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9409" w14:textId="77777777" w:rsidR="006878A4" w:rsidRPr="00DE62B2" w:rsidRDefault="006878A4" w:rsidP="006878A4">
      <w:pPr>
        <w:keepNext/>
        <w:keepLines/>
        <w:spacing w:before="240" w:after="0" w:line="240" w:lineRule="auto"/>
        <w:outlineLvl w:val="0"/>
        <w:rPr>
          <w:rFonts w:asciiTheme="majorHAnsi" w:eastAsiaTheme="majorEastAsia" w:hAnsiTheme="majorHAnsi" w:cstheme="majorBidi"/>
          <w:color w:val="245A8F"/>
          <w:kern w:val="0"/>
          <w:sz w:val="48"/>
          <w:szCs w:val="32"/>
          <w14:ligatures w14:val="none"/>
        </w:rPr>
      </w:pPr>
      <w:r w:rsidRPr="00DE62B2">
        <w:rPr>
          <w:rFonts w:asciiTheme="majorHAnsi" w:eastAsiaTheme="majorEastAsia" w:hAnsiTheme="majorHAnsi" w:cstheme="majorBidi"/>
          <w:color w:val="245A8F"/>
          <w:kern w:val="0"/>
          <w:sz w:val="48"/>
          <w:szCs w:val="32"/>
          <w14:ligatures w14:val="none"/>
        </w:rPr>
        <w:t>Statement of Intent</w:t>
      </w:r>
    </w:p>
    <w:p w14:paraId="27EEE9C6" w14:textId="77777777" w:rsidR="006878A4" w:rsidRDefault="006878A4" w:rsidP="006878A4"/>
    <w:p w14:paraId="138B15DE" w14:textId="77777777" w:rsidR="006878A4" w:rsidRDefault="006878A4" w:rsidP="006878A4">
      <w:pPr>
        <w:spacing w:before="120" w:after="120"/>
      </w:pPr>
      <w:r>
        <w:t xml:space="preserve">In January 2024, the ACNC received a </w:t>
      </w:r>
      <w:hyperlink r:id="rId7" w:history="1">
        <w:r w:rsidRPr="007C1A21">
          <w:rPr>
            <w:rStyle w:val="Hyperlink"/>
          </w:rPr>
          <w:t>Statement of Expectations</w:t>
        </w:r>
      </w:hyperlink>
      <w:r>
        <w:t xml:space="preserve"> from the Assistant Minister </w:t>
      </w:r>
      <w:r w:rsidRPr="006264C0">
        <w:t>for Competition, Charities and Treasury</w:t>
      </w:r>
      <w:r>
        <w:t>.</w:t>
      </w:r>
    </w:p>
    <w:p w14:paraId="59D29D52" w14:textId="77777777" w:rsidR="006878A4" w:rsidRDefault="006878A4" w:rsidP="006878A4">
      <w:pPr>
        <w:spacing w:before="120" w:after="120"/>
      </w:pPr>
      <w:r>
        <w:t xml:space="preserve">This Statement of Intent articulates how the ACNC will meet these Expectations. </w:t>
      </w:r>
    </w:p>
    <w:p w14:paraId="7FEA2B0D" w14:textId="77777777" w:rsidR="006878A4" w:rsidRPr="00F6043B" w:rsidRDefault="006878A4" w:rsidP="006878A4">
      <w:pPr>
        <w:pStyle w:val="NoSpacing"/>
        <w:spacing w:before="120" w:after="120"/>
        <w:rPr>
          <w:rFonts w:asciiTheme="majorHAnsi" w:eastAsiaTheme="majorEastAsia" w:hAnsiTheme="majorHAnsi" w:cstheme="majorBidi"/>
          <w:b/>
          <w:bCs/>
          <w:color w:val="338177" w:themeColor="accent3"/>
          <w:kern w:val="0"/>
          <w:sz w:val="26"/>
          <w:szCs w:val="26"/>
          <w14:ligatures w14:val="none"/>
        </w:rPr>
      </w:pPr>
      <w:r w:rsidRPr="00F6043B">
        <w:rPr>
          <w:rFonts w:asciiTheme="majorHAnsi" w:eastAsiaTheme="majorEastAsia" w:hAnsiTheme="majorHAnsi" w:cstheme="majorBidi"/>
          <w:b/>
          <w:bCs/>
          <w:color w:val="338177" w:themeColor="accent3"/>
          <w:kern w:val="0"/>
          <w:sz w:val="26"/>
          <w:szCs w:val="26"/>
          <w14:ligatures w14:val="none"/>
        </w:rPr>
        <w:t xml:space="preserve">The role of the ACNC </w:t>
      </w:r>
    </w:p>
    <w:p w14:paraId="558290E0" w14:textId="53D605AC" w:rsidR="006878A4" w:rsidRDefault="006878A4" w:rsidP="006878A4">
      <w:pPr>
        <w:pStyle w:val="ListParagraph"/>
        <w:numPr>
          <w:ilvl w:val="0"/>
          <w:numId w:val="1"/>
        </w:numPr>
        <w:contextualSpacing w:val="0"/>
        <w:jc w:val="left"/>
        <w:rPr>
          <w:rFonts w:asciiTheme="minorHAnsi" w:hAnsiTheme="minorHAnsi" w:cstheme="minorHAnsi"/>
        </w:rPr>
      </w:pPr>
      <w:r w:rsidRPr="000C073A">
        <w:rPr>
          <w:rFonts w:asciiTheme="minorHAnsi" w:hAnsiTheme="minorHAnsi" w:cstheme="minorHAnsi"/>
        </w:rPr>
        <w:t xml:space="preserve">From </w:t>
      </w:r>
      <w:r>
        <w:rPr>
          <w:rFonts w:asciiTheme="minorHAnsi" w:hAnsiTheme="minorHAnsi" w:cstheme="minorHAnsi"/>
        </w:rPr>
        <w:t>supporting people escaping domestic violence</w:t>
      </w:r>
      <w:r w:rsidRPr="000C073A">
        <w:rPr>
          <w:rFonts w:asciiTheme="minorHAnsi" w:hAnsiTheme="minorHAnsi" w:cstheme="minorHAnsi"/>
        </w:rPr>
        <w:t xml:space="preserve"> to protecting </w:t>
      </w:r>
      <w:r>
        <w:rPr>
          <w:rFonts w:asciiTheme="minorHAnsi" w:hAnsiTheme="minorHAnsi" w:cstheme="minorHAnsi"/>
        </w:rPr>
        <w:t>endangered wildlife</w:t>
      </w:r>
      <w:r w:rsidRPr="000C073A">
        <w:rPr>
          <w:rFonts w:asciiTheme="minorHAnsi" w:hAnsiTheme="minorHAnsi" w:cstheme="minorHAnsi"/>
        </w:rPr>
        <w:t>, charities play a unique role in</w:t>
      </w:r>
      <w:r>
        <w:rPr>
          <w:rFonts w:asciiTheme="minorHAnsi" w:hAnsiTheme="minorHAnsi" w:cstheme="minorHAnsi"/>
        </w:rPr>
        <w:t xml:space="preserve"> building a sense of community and connectedness across Australia</w:t>
      </w:r>
      <w:r w:rsidRPr="000C073A">
        <w:rPr>
          <w:rFonts w:asciiTheme="minorHAnsi" w:hAnsiTheme="minorHAnsi" w:cstheme="minorHAnsi"/>
        </w:rPr>
        <w:t xml:space="preserve">. </w:t>
      </w:r>
      <w:r>
        <w:rPr>
          <w:rFonts w:asciiTheme="minorHAnsi" w:hAnsiTheme="minorHAnsi" w:cstheme="minorHAnsi"/>
        </w:rPr>
        <w:t xml:space="preserve">Some work overseas, delivering humanitarian aid </w:t>
      </w:r>
      <w:r w:rsidR="001119F0">
        <w:rPr>
          <w:rFonts w:asciiTheme="minorHAnsi" w:hAnsiTheme="minorHAnsi" w:cstheme="minorHAnsi"/>
        </w:rPr>
        <w:t>and</w:t>
      </w:r>
      <w:r>
        <w:rPr>
          <w:rFonts w:asciiTheme="minorHAnsi" w:hAnsiTheme="minorHAnsi" w:cstheme="minorHAnsi"/>
        </w:rPr>
        <w:t xml:space="preserve"> services.</w:t>
      </w:r>
    </w:p>
    <w:p w14:paraId="0CFCC4A9" w14:textId="77777777" w:rsidR="006878A4" w:rsidRDefault="006878A4" w:rsidP="006878A4">
      <w:pPr>
        <w:pStyle w:val="ListParagraph"/>
        <w:numPr>
          <w:ilvl w:val="0"/>
          <w:numId w:val="1"/>
        </w:numPr>
        <w:contextualSpacing w:val="0"/>
        <w:jc w:val="left"/>
        <w:rPr>
          <w:rFonts w:asciiTheme="minorHAnsi" w:hAnsiTheme="minorHAnsi" w:cstheme="minorBidi"/>
          <w:color w:val="212529"/>
          <w:shd w:val="clear" w:color="auto" w:fill="FFFFFF"/>
        </w:rPr>
      </w:pPr>
      <w:r>
        <w:rPr>
          <w:rFonts w:asciiTheme="minorHAnsi" w:hAnsiTheme="minorHAnsi" w:cstheme="minorBidi"/>
        </w:rPr>
        <w:t>Registered c</w:t>
      </w:r>
      <w:r w:rsidRPr="225444EB">
        <w:rPr>
          <w:rFonts w:asciiTheme="minorHAnsi" w:hAnsiTheme="minorHAnsi" w:cstheme="minorBidi"/>
        </w:rPr>
        <w:t xml:space="preserve">harities have charity-specific obligations as well </w:t>
      </w:r>
      <w:r>
        <w:rPr>
          <w:rFonts w:asciiTheme="minorHAnsi" w:hAnsiTheme="minorHAnsi" w:cstheme="minorBidi"/>
        </w:rPr>
        <w:t xml:space="preserve">as </w:t>
      </w:r>
      <w:r w:rsidRPr="225444EB">
        <w:rPr>
          <w:rFonts w:asciiTheme="minorHAnsi" w:hAnsiTheme="minorHAnsi" w:cstheme="minorBidi"/>
        </w:rPr>
        <w:t>requirements to comply with the general laws and obligations applicable to businesses. Typically, charities have fewer financial resources and rely heavily on the goodwill and commitment of volunteers – our data highlights that most operate on minimal revenue and without paid staff.</w:t>
      </w:r>
      <w:r w:rsidRPr="225444EB">
        <w:rPr>
          <w:rFonts w:asciiTheme="minorHAnsi" w:hAnsiTheme="minorHAnsi" w:cstheme="minorBidi"/>
          <w:color w:val="212529"/>
          <w:shd w:val="clear" w:color="auto" w:fill="FFFFFF"/>
        </w:rPr>
        <w:t xml:space="preserve"> </w:t>
      </w:r>
    </w:p>
    <w:p w14:paraId="58112E5B" w14:textId="77777777" w:rsidR="006878A4" w:rsidRDefault="006878A4" w:rsidP="006878A4">
      <w:pPr>
        <w:pStyle w:val="ListParagraph"/>
        <w:numPr>
          <w:ilvl w:val="0"/>
          <w:numId w:val="1"/>
        </w:numPr>
        <w:contextualSpacing w:val="0"/>
        <w:jc w:val="left"/>
        <w:rPr>
          <w:rFonts w:asciiTheme="minorHAnsi" w:hAnsiTheme="minorHAnsi" w:cstheme="minorBidi"/>
        </w:rPr>
      </w:pPr>
      <w:r w:rsidRPr="225444EB">
        <w:rPr>
          <w:rFonts w:asciiTheme="minorHAnsi" w:hAnsiTheme="minorHAnsi" w:cstheme="minorBidi"/>
        </w:rPr>
        <w:t>As the independent Commonwealth regulator of charities, the ACNC is responsible for registering new charities, as well as administering the national regulatory framework for around 60,000 existing charities. We do not regulate not-for-profit organisations that are not registered charities.</w:t>
      </w:r>
    </w:p>
    <w:p w14:paraId="262C4448" w14:textId="302D1475" w:rsidR="006878A4" w:rsidRPr="00D03522" w:rsidRDefault="006878A4" w:rsidP="006878A4">
      <w:pPr>
        <w:pStyle w:val="ListParagraph"/>
        <w:numPr>
          <w:ilvl w:val="0"/>
          <w:numId w:val="1"/>
        </w:numPr>
        <w:contextualSpacing w:val="0"/>
        <w:jc w:val="left"/>
        <w:rPr>
          <w:rFonts w:asciiTheme="minorHAnsi" w:hAnsiTheme="minorHAnsi" w:cstheme="minorBidi"/>
        </w:rPr>
      </w:pPr>
      <w:r w:rsidRPr="225444EB">
        <w:rPr>
          <w:rFonts w:asciiTheme="minorHAnsi" w:hAnsiTheme="minorHAnsi" w:cstheme="minorBidi"/>
        </w:rPr>
        <w:t>Our free online Charity Register − containing key details about registered charities</w:t>
      </w:r>
      <w:r w:rsidR="00A10823" w:rsidRPr="225444EB">
        <w:rPr>
          <w:rFonts w:asciiTheme="minorHAnsi" w:hAnsiTheme="minorHAnsi" w:cstheme="minorBidi"/>
        </w:rPr>
        <w:t xml:space="preserve"> </w:t>
      </w:r>
      <w:r w:rsidR="00CB4873" w:rsidRPr="225444EB">
        <w:rPr>
          <w:rFonts w:asciiTheme="minorHAnsi" w:hAnsiTheme="minorHAnsi" w:cstheme="minorBidi"/>
        </w:rPr>
        <w:t xml:space="preserve">− </w:t>
      </w:r>
      <w:r w:rsidR="00CB4873">
        <w:rPr>
          <w:rFonts w:asciiTheme="minorHAnsi" w:hAnsiTheme="minorHAnsi" w:cstheme="minorBidi"/>
        </w:rPr>
        <w:t>is</w:t>
      </w:r>
      <w:r w:rsidRPr="225444EB">
        <w:rPr>
          <w:rFonts w:asciiTheme="minorHAnsi" w:hAnsiTheme="minorHAnsi" w:cstheme="minorBidi"/>
        </w:rPr>
        <w:t xml:space="preserve"> at the heart of what we do. The Register:</w:t>
      </w:r>
    </w:p>
    <w:p w14:paraId="0B44553A" w14:textId="77777777" w:rsidR="006878A4" w:rsidRPr="00C82DC3" w:rsidRDefault="006878A4" w:rsidP="006878A4">
      <w:pPr>
        <w:pStyle w:val="ListParagraph"/>
        <w:numPr>
          <w:ilvl w:val="1"/>
          <w:numId w:val="2"/>
        </w:numPr>
        <w:spacing w:before="60" w:after="60"/>
        <w:ind w:left="1434" w:hanging="357"/>
        <w:contextualSpacing w:val="0"/>
        <w:rPr>
          <w:rFonts w:asciiTheme="minorHAnsi" w:hAnsiTheme="minorHAnsi" w:cstheme="minorHAnsi"/>
        </w:rPr>
      </w:pPr>
      <w:r w:rsidRPr="00C82DC3">
        <w:rPr>
          <w:rFonts w:asciiTheme="minorHAnsi" w:hAnsiTheme="minorHAnsi" w:cstheme="minorHAnsi"/>
        </w:rPr>
        <w:t>allows volunteers, the public and donors to find charities t</w:t>
      </w:r>
      <w:r>
        <w:rPr>
          <w:rFonts w:asciiTheme="minorHAnsi" w:hAnsiTheme="minorHAnsi" w:cstheme="minorHAnsi"/>
        </w:rPr>
        <w:t>o</w:t>
      </w:r>
      <w:r w:rsidRPr="00C82DC3">
        <w:rPr>
          <w:rFonts w:asciiTheme="minorHAnsi" w:hAnsiTheme="minorHAnsi" w:cstheme="minorHAnsi"/>
        </w:rPr>
        <w:t xml:space="preserve"> </w:t>
      </w:r>
      <w:proofErr w:type="gramStart"/>
      <w:r w:rsidRPr="00C82DC3">
        <w:rPr>
          <w:rFonts w:asciiTheme="minorHAnsi" w:hAnsiTheme="minorHAnsi" w:cstheme="minorHAnsi"/>
        </w:rPr>
        <w:t>support</w:t>
      </w:r>
      <w:proofErr w:type="gramEnd"/>
    </w:p>
    <w:p w14:paraId="57864818" w14:textId="77777777" w:rsidR="006878A4" w:rsidRPr="00C82DC3" w:rsidRDefault="006878A4" w:rsidP="006878A4">
      <w:pPr>
        <w:pStyle w:val="ListParagraph"/>
        <w:numPr>
          <w:ilvl w:val="1"/>
          <w:numId w:val="2"/>
        </w:numPr>
        <w:spacing w:before="60" w:after="60"/>
        <w:ind w:left="1434" w:hanging="357"/>
        <w:contextualSpacing w:val="0"/>
        <w:rPr>
          <w:rFonts w:asciiTheme="minorHAnsi" w:hAnsiTheme="minorHAnsi" w:cstheme="minorHAnsi"/>
        </w:rPr>
      </w:pPr>
      <w:r w:rsidRPr="00C82DC3">
        <w:rPr>
          <w:rFonts w:asciiTheme="minorHAnsi" w:hAnsiTheme="minorHAnsi" w:cstheme="minorHAnsi"/>
        </w:rPr>
        <w:t>can be used by charities to identify like-minded charities to collaborate with</w:t>
      </w:r>
    </w:p>
    <w:p w14:paraId="55889922" w14:textId="77777777" w:rsidR="006878A4" w:rsidRDefault="006878A4" w:rsidP="006878A4">
      <w:pPr>
        <w:pStyle w:val="ListParagraph"/>
        <w:numPr>
          <w:ilvl w:val="1"/>
          <w:numId w:val="2"/>
        </w:numPr>
        <w:spacing w:before="60" w:after="60"/>
        <w:ind w:left="1434" w:hanging="357"/>
        <w:contextualSpacing w:val="0"/>
        <w:rPr>
          <w:rFonts w:asciiTheme="minorHAnsi" w:hAnsiTheme="minorHAnsi" w:cstheme="minorHAnsi"/>
        </w:rPr>
      </w:pPr>
      <w:r w:rsidRPr="00C82DC3">
        <w:rPr>
          <w:rFonts w:asciiTheme="minorHAnsi" w:hAnsiTheme="minorHAnsi" w:cstheme="minorHAnsi"/>
        </w:rPr>
        <w:t xml:space="preserve">allows </w:t>
      </w:r>
      <w:r>
        <w:rPr>
          <w:rFonts w:asciiTheme="minorHAnsi" w:hAnsiTheme="minorHAnsi" w:cstheme="minorHAnsi"/>
        </w:rPr>
        <w:t xml:space="preserve">State, Territory and Commonwealth </w:t>
      </w:r>
      <w:r w:rsidRPr="00C82DC3">
        <w:rPr>
          <w:rFonts w:asciiTheme="minorHAnsi" w:hAnsiTheme="minorHAnsi" w:cstheme="minorHAnsi"/>
        </w:rPr>
        <w:t xml:space="preserve">government </w:t>
      </w:r>
      <w:r>
        <w:rPr>
          <w:rFonts w:asciiTheme="minorHAnsi" w:hAnsiTheme="minorHAnsi" w:cstheme="minorHAnsi"/>
        </w:rPr>
        <w:t xml:space="preserve">agencies </w:t>
      </w:r>
      <w:r w:rsidRPr="00C82DC3">
        <w:rPr>
          <w:rFonts w:asciiTheme="minorHAnsi" w:hAnsiTheme="minorHAnsi" w:cstheme="minorHAnsi"/>
        </w:rPr>
        <w:t xml:space="preserve">to </w:t>
      </w:r>
      <w:r>
        <w:rPr>
          <w:rFonts w:asciiTheme="minorHAnsi" w:hAnsiTheme="minorHAnsi" w:cstheme="minorHAnsi"/>
        </w:rPr>
        <w:t xml:space="preserve">easily </w:t>
      </w:r>
      <w:r w:rsidRPr="00C82DC3">
        <w:rPr>
          <w:rFonts w:asciiTheme="minorHAnsi" w:hAnsiTheme="minorHAnsi" w:cstheme="minorHAnsi"/>
        </w:rPr>
        <w:t>access</w:t>
      </w:r>
      <w:r>
        <w:rPr>
          <w:rFonts w:asciiTheme="minorHAnsi" w:hAnsiTheme="minorHAnsi" w:cstheme="minorHAnsi"/>
        </w:rPr>
        <w:t xml:space="preserve"> charity</w:t>
      </w:r>
      <w:r w:rsidRPr="00C82DC3">
        <w:rPr>
          <w:rFonts w:asciiTheme="minorHAnsi" w:hAnsiTheme="minorHAnsi" w:cstheme="minorHAnsi"/>
        </w:rPr>
        <w:t xml:space="preserve"> information, reducing the need to contact charities </w:t>
      </w:r>
      <w:r>
        <w:rPr>
          <w:rFonts w:asciiTheme="minorHAnsi" w:hAnsiTheme="minorHAnsi" w:cstheme="minorHAnsi"/>
        </w:rPr>
        <w:t xml:space="preserve">to ask for the same </w:t>
      </w:r>
      <w:proofErr w:type="gramStart"/>
      <w:r>
        <w:rPr>
          <w:rFonts w:asciiTheme="minorHAnsi" w:hAnsiTheme="minorHAnsi" w:cstheme="minorHAnsi"/>
        </w:rPr>
        <w:t>information</w:t>
      </w:r>
      <w:proofErr w:type="gramEnd"/>
    </w:p>
    <w:p w14:paraId="74679413" w14:textId="77777777" w:rsidR="006878A4" w:rsidRDefault="006878A4" w:rsidP="006878A4">
      <w:pPr>
        <w:pStyle w:val="ListParagraph"/>
        <w:numPr>
          <w:ilvl w:val="1"/>
          <w:numId w:val="2"/>
        </w:numPr>
        <w:spacing w:before="60" w:after="60"/>
        <w:ind w:left="1434" w:hanging="357"/>
        <w:contextualSpacing w:val="0"/>
        <w:rPr>
          <w:rFonts w:asciiTheme="minorHAnsi" w:hAnsiTheme="minorHAnsi" w:cstheme="minorHAnsi"/>
        </w:rPr>
      </w:pPr>
      <w:r>
        <w:rPr>
          <w:rFonts w:asciiTheme="minorHAnsi" w:hAnsiTheme="minorHAnsi" w:cstheme="minorHAnsi"/>
        </w:rPr>
        <w:t xml:space="preserve">is used by media, </w:t>
      </w:r>
      <w:proofErr w:type="gramStart"/>
      <w:r>
        <w:rPr>
          <w:rFonts w:asciiTheme="minorHAnsi" w:hAnsiTheme="minorHAnsi" w:cstheme="minorHAnsi"/>
        </w:rPr>
        <w:t>researchers</w:t>
      </w:r>
      <w:proofErr w:type="gramEnd"/>
      <w:r>
        <w:rPr>
          <w:rFonts w:asciiTheme="minorHAnsi" w:hAnsiTheme="minorHAnsi" w:cstheme="minorHAnsi"/>
        </w:rPr>
        <w:t xml:space="preserve"> and the public to find information on charities and to better understand the sector.</w:t>
      </w:r>
    </w:p>
    <w:p w14:paraId="44A89E3B" w14:textId="77777777" w:rsidR="006878A4" w:rsidRDefault="006878A4" w:rsidP="006878A4">
      <w:pPr>
        <w:pStyle w:val="ListParagraph"/>
        <w:numPr>
          <w:ilvl w:val="0"/>
          <w:numId w:val="1"/>
        </w:numPr>
        <w:ind w:left="714" w:hanging="357"/>
        <w:contextualSpacing w:val="0"/>
        <w:rPr>
          <w:rFonts w:asciiTheme="minorHAnsi" w:hAnsiTheme="minorHAnsi" w:cstheme="minorHAnsi"/>
        </w:rPr>
      </w:pPr>
      <w:r w:rsidRPr="000C073A">
        <w:rPr>
          <w:rFonts w:asciiTheme="minorHAnsi" w:hAnsiTheme="minorHAnsi" w:cstheme="minorHAnsi"/>
        </w:rPr>
        <w:t>The ACNC plays a key role in supporting the charity sector, ensuring that it continues to inspire confidence and respect.</w:t>
      </w:r>
      <w:r>
        <w:rPr>
          <w:rFonts w:asciiTheme="minorHAnsi" w:hAnsiTheme="minorHAnsi" w:cstheme="minorHAnsi"/>
        </w:rPr>
        <w:t xml:space="preserve"> </w:t>
      </w:r>
      <w:r w:rsidRPr="000C073A">
        <w:rPr>
          <w:rFonts w:asciiTheme="minorHAnsi" w:hAnsiTheme="minorHAnsi" w:cstheme="minorHAnsi"/>
        </w:rPr>
        <w:t>We recognise current issues facing the charity sector, including:</w:t>
      </w:r>
    </w:p>
    <w:p w14:paraId="13CB04B2" w14:textId="77777777" w:rsidR="006878A4" w:rsidRPr="000C073A" w:rsidRDefault="006878A4" w:rsidP="006878A4">
      <w:pPr>
        <w:pStyle w:val="ListParagraph"/>
        <w:numPr>
          <w:ilvl w:val="1"/>
          <w:numId w:val="2"/>
        </w:numPr>
        <w:spacing w:before="60" w:after="60"/>
        <w:ind w:left="1434" w:hanging="357"/>
        <w:contextualSpacing w:val="0"/>
        <w:rPr>
          <w:rFonts w:asciiTheme="minorHAnsi" w:hAnsiTheme="minorHAnsi" w:cstheme="minorHAnsi"/>
        </w:rPr>
      </w:pPr>
      <w:r w:rsidRPr="000C073A">
        <w:rPr>
          <w:rFonts w:asciiTheme="minorHAnsi" w:hAnsiTheme="minorHAnsi" w:cstheme="minorHAnsi"/>
        </w:rPr>
        <w:t xml:space="preserve">cost-of-living pressures that affect demand and the costs of </w:t>
      </w:r>
      <w:proofErr w:type="gramStart"/>
      <w:r w:rsidRPr="000C073A">
        <w:rPr>
          <w:rFonts w:asciiTheme="minorHAnsi" w:hAnsiTheme="minorHAnsi" w:cstheme="minorHAnsi"/>
        </w:rPr>
        <w:t>operating</w:t>
      </w:r>
      <w:proofErr w:type="gramEnd"/>
    </w:p>
    <w:p w14:paraId="6E7FCA2C" w14:textId="77777777" w:rsidR="006878A4" w:rsidRPr="000C073A" w:rsidRDefault="006878A4" w:rsidP="006878A4">
      <w:pPr>
        <w:pStyle w:val="ListParagraph"/>
        <w:numPr>
          <w:ilvl w:val="1"/>
          <w:numId w:val="2"/>
        </w:numPr>
        <w:spacing w:before="60" w:after="60"/>
        <w:contextualSpacing w:val="0"/>
        <w:rPr>
          <w:rFonts w:asciiTheme="minorHAnsi" w:hAnsiTheme="minorHAnsi" w:cstheme="minorHAnsi"/>
        </w:rPr>
      </w:pPr>
      <w:r w:rsidRPr="000C073A">
        <w:rPr>
          <w:rFonts w:asciiTheme="minorHAnsi" w:hAnsiTheme="minorHAnsi" w:cstheme="minorHAnsi"/>
        </w:rPr>
        <w:t xml:space="preserve">labour shortages which make it more difficult and expensive to attract </w:t>
      </w:r>
      <w:r>
        <w:rPr>
          <w:rFonts w:asciiTheme="minorHAnsi" w:hAnsiTheme="minorHAnsi" w:cstheme="minorHAnsi"/>
        </w:rPr>
        <w:t xml:space="preserve">and retain </w:t>
      </w:r>
      <w:r w:rsidRPr="000C073A">
        <w:rPr>
          <w:rFonts w:asciiTheme="minorHAnsi" w:hAnsiTheme="minorHAnsi" w:cstheme="minorHAnsi"/>
        </w:rPr>
        <w:t xml:space="preserve">the right </w:t>
      </w:r>
      <w:proofErr w:type="gramStart"/>
      <w:r w:rsidRPr="000C073A">
        <w:rPr>
          <w:rFonts w:asciiTheme="minorHAnsi" w:hAnsiTheme="minorHAnsi" w:cstheme="minorHAnsi"/>
        </w:rPr>
        <w:t>staff</w:t>
      </w:r>
      <w:proofErr w:type="gramEnd"/>
    </w:p>
    <w:p w14:paraId="377BEBF3" w14:textId="77777777" w:rsidR="006878A4" w:rsidRPr="000C073A" w:rsidRDefault="006878A4" w:rsidP="006878A4">
      <w:pPr>
        <w:pStyle w:val="ListParagraph"/>
        <w:numPr>
          <w:ilvl w:val="1"/>
          <w:numId w:val="2"/>
        </w:numPr>
        <w:spacing w:before="60" w:after="60"/>
        <w:contextualSpacing w:val="0"/>
        <w:rPr>
          <w:rFonts w:asciiTheme="minorHAnsi" w:hAnsiTheme="minorHAnsi" w:cstheme="minorHAnsi"/>
        </w:rPr>
      </w:pPr>
      <w:r w:rsidRPr="000C073A">
        <w:rPr>
          <w:rFonts w:asciiTheme="minorHAnsi" w:hAnsiTheme="minorHAnsi" w:cstheme="minorHAnsi"/>
        </w:rPr>
        <w:t>cybersecurity and privacy risks</w:t>
      </w:r>
    </w:p>
    <w:p w14:paraId="2817ADC2" w14:textId="77777777" w:rsidR="006878A4" w:rsidRPr="000C073A" w:rsidRDefault="006878A4" w:rsidP="006878A4">
      <w:pPr>
        <w:pStyle w:val="ListParagraph"/>
        <w:numPr>
          <w:ilvl w:val="1"/>
          <w:numId w:val="2"/>
        </w:numPr>
        <w:spacing w:before="60" w:after="60"/>
        <w:contextualSpacing w:val="0"/>
        <w:rPr>
          <w:rFonts w:asciiTheme="minorHAnsi" w:hAnsiTheme="minorHAnsi" w:cstheme="minorHAnsi"/>
        </w:rPr>
      </w:pPr>
      <w:r>
        <w:rPr>
          <w:rFonts w:asciiTheme="minorHAnsi" w:hAnsiTheme="minorHAnsi" w:cstheme="minorHAnsi"/>
          <w:color w:val="212529"/>
          <w:shd w:val="clear" w:color="auto" w:fill="FFFFFF"/>
        </w:rPr>
        <w:t xml:space="preserve">the </w:t>
      </w:r>
      <w:r w:rsidRPr="000C073A">
        <w:rPr>
          <w:rFonts w:asciiTheme="minorHAnsi" w:hAnsiTheme="minorHAnsi" w:cstheme="minorHAnsi"/>
          <w:color w:val="212529"/>
          <w:shd w:val="clear" w:color="auto" w:fill="FFFFFF"/>
        </w:rPr>
        <w:t>cumulative impact of regulatory reform</w:t>
      </w:r>
      <w:r>
        <w:rPr>
          <w:rFonts w:asciiTheme="minorHAnsi" w:hAnsiTheme="minorHAnsi" w:cstheme="minorHAnsi"/>
          <w:color w:val="212529"/>
          <w:shd w:val="clear" w:color="auto" w:fill="FFFFFF"/>
        </w:rPr>
        <w:t>s that affect</w:t>
      </w:r>
      <w:r w:rsidRPr="000C073A">
        <w:rPr>
          <w:rFonts w:asciiTheme="minorHAnsi" w:hAnsiTheme="minorHAnsi" w:cstheme="minorHAnsi"/>
          <w:color w:val="212529"/>
          <w:shd w:val="clear" w:color="auto" w:fill="FFFFFF"/>
        </w:rPr>
        <w:t xml:space="preserve"> charities</w:t>
      </w:r>
      <w:r w:rsidRPr="000C073A">
        <w:rPr>
          <w:rFonts w:asciiTheme="minorHAnsi" w:hAnsiTheme="minorHAnsi" w:cstheme="minorHAnsi"/>
        </w:rPr>
        <w:t>.</w:t>
      </w:r>
    </w:p>
    <w:p w14:paraId="2F71B535" w14:textId="77777777" w:rsidR="006878A4" w:rsidRDefault="006878A4" w:rsidP="006878A4">
      <w:pPr>
        <w:pStyle w:val="ListParagraph"/>
        <w:numPr>
          <w:ilvl w:val="0"/>
          <w:numId w:val="1"/>
        </w:numPr>
        <w:ind w:left="714" w:hanging="357"/>
        <w:contextualSpacing w:val="0"/>
        <w:jc w:val="left"/>
        <w:rPr>
          <w:rFonts w:asciiTheme="minorHAnsi" w:hAnsiTheme="minorHAnsi" w:cstheme="minorHAnsi"/>
        </w:rPr>
      </w:pPr>
      <w:r>
        <w:rPr>
          <w:rFonts w:asciiTheme="minorHAnsi" w:hAnsiTheme="minorHAnsi" w:cstheme="minorHAnsi"/>
        </w:rPr>
        <w:t>We</w:t>
      </w:r>
      <w:r w:rsidRPr="006A5D3D">
        <w:rPr>
          <w:rFonts w:asciiTheme="minorHAnsi" w:hAnsiTheme="minorHAnsi" w:cstheme="minorHAnsi"/>
        </w:rPr>
        <w:t xml:space="preserve"> are committed to supporting charities </w:t>
      </w:r>
      <w:r>
        <w:rPr>
          <w:rFonts w:asciiTheme="minorHAnsi" w:hAnsiTheme="minorHAnsi" w:cstheme="minorHAnsi"/>
        </w:rPr>
        <w:t xml:space="preserve">understand </w:t>
      </w:r>
      <w:r w:rsidRPr="006A5D3D">
        <w:rPr>
          <w:rFonts w:asciiTheme="minorHAnsi" w:hAnsiTheme="minorHAnsi" w:cstheme="minorHAnsi"/>
        </w:rPr>
        <w:t>and</w:t>
      </w:r>
      <w:r>
        <w:rPr>
          <w:rFonts w:asciiTheme="minorHAnsi" w:hAnsiTheme="minorHAnsi" w:cstheme="minorHAnsi"/>
        </w:rPr>
        <w:t xml:space="preserve"> meet their ongoing ACNC obligations. We don’t</w:t>
      </w:r>
      <w:r w:rsidRPr="006A5D3D">
        <w:rPr>
          <w:rFonts w:asciiTheme="minorHAnsi" w:hAnsiTheme="minorHAnsi" w:cstheme="minorHAnsi"/>
        </w:rPr>
        <w:t xml:space="preserve"> hesitate to act where there is a risk to the public</w:t>
      </w:r>
      <w:r>
        <w:rPr>
          <w:rFonts w:asciiTheme="minorHAnsi" w:hAnsiTheme="minorHAnsi" w:cstheme="minorHAnsi"/>
        </w:rPr>
        <w:t xml:space="preserve"> or serious wrongdoing (</w:t>
      </w:r>
      <w:r w:rsidRPr="006A5D3D">
        <w:rPr>
          <w:rFonts w:asciiTheme="minorHAnsi" w:hAnsiTheme="minorHAnsi" w:cstheme="minorHAnsi"/>
        </w:rPr>
        <w:t xml:space="preserve">outlined in our </w:t>
      </w:r>
      <w:hyperlink r:id="rId8" w:anchor=":~:text=The%20ACNC%27s%20regulatory%20approach%20reflects,understanding%20of%20the%20charity%20sector." w:history="1">
        <w:r w:rsidRPr="006A5D3D">
          <w:rPr>
            <w:rStyle w:val="Hyperlink"/>
            <w:rFonts w:asciiTheme="minorHAnsi" w:hAnsiTheme="minorHAnsi" w:cstheme="minorHAnsi"/>
          </w:rPr>
          <w:t>Regulatory Approach Statement</w:t>
        </w:r>
      </w:hyperlink>
      <w:r>
        <w:rPr>
          <w:rFonts w:asciiTheme="minorHAnsi" w:hAnsiTheme="minorHAnsi" w:cstheme="minorHAnsi"/>
        </w:rPr>
        <w:t>).</w:t>
      </w:r>
    </w:p>
    <w:p w14:paraId="384181E7" w14:textId="77777777" w:rsidR="006878A4" w:rsidRPr="00E640D3" w:rsidRDefault="006878A4" w:rsidP="006878A4">
      <w:pPr>
        <w:pStyle w:val="ListParagraph"/>
        <w:numPr>
          <w:ilvl w:val="0"/>
          <w:numId w:val="1"/>
        </w:numPr>
        <w:contextualSpacing w:val="0"/>
        <w:jc w:val="left"/>
        <w:rPr>
          <w:rFonts w:asciiTheme="minorHAnsi" w:hAnsiTheme="minorHAnsi" w:cstheme="minorBidi"/>
        </w:rPr>
      </w:pPr>
      <w:r w:rsidRPr="225444EB">
        <w:rPr>
          <w:rFonts w:asciiTheme="minorHAnsi" w:hAnsiTheme="minorHAnsi" w:cstheme="minorBidi"/>
        </w:rPr>
        <w:t>We work with all levels of government to reduce red tape and minimise regulatory burden for charities, sharing our data and regulatory insights to build understanding of the sector’s contribution and needs, and to inform policy development.</w:t>
      </w:r>
    </w:p>
    <w:p w14:paraId="442157FB" w14:textId="77777777" w:rsidR="006878A4" w:rsidRDefault="006878A4" w:rsidP="006878A4">
      <w:pPr>
        <w:pStyle w:val="NoSpacing"/>
        <w:spacing w:before="120" w:after="120"/>
        <w:rPr>
          <w:rFonts w:asciiTheme="majorHAnsi" w:eastAsiaTheme="majorEastAsia" w:hAnsiTheme="majorHAnsi" w:cstheme="majorBidi"/>
          <w:b/>
          <w:bCs/>
          <w:color w:val="338177" w:themeColor="accent3"/>
          <w:kern w:val="0"/>
          <w:sz w:val="26"/>
          <w:szCs w:val="26"/>
          <w14:ligatures w14:val="none"/>
        </w:rPr>
      </w:pPr>
    </w:p>
    <w:p w14:paraId="4E390296" w14:textId="77777777" w:rsidR="006878A4" w:rsidRPr="00E640D3" w:rsidRDefault="006878A4" w:rsidP="006878A4">
      <w:pPr>
        <w:pStyle w:val="NoSpacing"/>
        <w:spacing w:before="120" w:after="120"/>
        <w:rPr>
          <w:rFonts w:asciiTheme="majorHAnsi" w:eastAsiaTheme="majorEastAsia" w:hAnsiTheme="majorHAnsi" w:cstheme="majorBidi"/>
          <w:b/>
          <w:bCs/>
          <w:color w:val="338177" w:themeColor="accent3"/>
          <w:kern w:val="0"/>
          <w:sz w:val="26"/>
          <w:szCs w:val="26"/>
          <w14:ligatures w14:val="none"/>
        </w:rPr>
      </w:pPr>
      <w:r w:rsidRPr="00E640D3">
        <w:rPr>
          <w:rFonts w:asciiTheme="majorHAnsi" w:eastAsiaTheme="majorEastAsia" w:hAnsiTheme="majorHAnsi" w:cstheme="majorBidi"/>
          <w:b/>
          <w:bCs/>
          <w:color w:val="338177" w:themeColor="accent3"/>
          <w:kern w:val="0"/>
          <w:sz w:val="26"/>
          <w:szCs w:val="26"/>
          <w14:ligatures w14:val="none"/>
        </w:rPr>
        <w:lastRenderedPageBreak/>
        <w:t>How we will contribute to the Government’s priorities and objectives</w:t>
      </w:r>
    </w:p>
    <w:p w14:paraId="7C251C7D" w14:textId="4B4C0C2C" w:rsidR="006878A4" w:rsidRPr="00626680" w:rsidRDefault="00280883" w:rsidP="006878A4">
      <w:pPr>
        <w:pStyle w:val="ListParagraph"/>
        <w:numPr>
          <w:ilvl w:val="0"/>
          <w:numId w:val="1"/>
        </w:numPr>
        <w:ind w:left="714" w:hanging="357"/>
        <w:contextualSpacing w:val="0"/>
        <w:jc w:val="left"/>
        <w:rPr>
          <w:rFonts w:asciiTheme="minorHAnsi" w:hAnsiTheme="minorHAnsi" w:cstheme="minorHAnsi"/>
        </w:rPr>
      </w:pPr>
      <w:r>
        <w:rPr>
          <w:rFonts w:asciiTheme="minorHAnsi" w:hAnsiTheme="minorHAnsi" w:cstheme="minorHAnsi"/>
        </w:rPr>
        <w:t>Our</w:t>
      </w:r>
      <w:r w:rsidR="006878A4" w:rsidRPr="00626680">
        <w:rPr>
          <w:rFonts w:asciiTheme="minorHAnsi" w:hAnsiTheme="minorHAnsi" w:cstheme="minorHAnsi"/>
        </w:rPr>
        <w:t xml:space="preserve"> four priorities </w:t>
      </w:r>
      <w:r w:rsidR="006878A4">
        <w:rPr>
          <w:rFonts w:asciiTheme="minorHAnsi" w:hAnsiTheme="minorHAnsi" w:cstheme="minorHAnsi"/>
        </w:rPr>
        <w:t>align wi</w:t>
      </w:r>
      <w:r w:rsidR="006878A4" w:rsidRPr="00626680">
        <w:rPr>
          <w:rFonts w:asciiTheme="minorHAnsi" w:hAnsiTheme="minorHAnsi" w:cstheme="minorHAnsi"/>
        </w:rPr>
        <w:t>th the Government’s expectations</w:t>
      </w:r>
      <w:r>
        <w:rPr>
          <w:rFonts w:asciiTheme="minorHAnsi" w:hAnsiTheme="minorHAnsi" w:cstheme="minorHAnsi"/>
        </w:rPr>
        <w:t>. These priorities are</w:t>
      </w:r>
      <w:r w:rsidR="006878A4" w:rsidRPr="00626680">
        <w:rPr>
          <w:rFonts w:asciiTheme="minorHAnsi" w:hAnsiTheme="minorHAnsi" w:cstheme="minorHAnsi"/>
        </w:rPr>
        <w:t>:</w:t>
      </w:r>
    </w:p>
    <w:p w14:paraId="36C2EC1C" w14:textId="77777777" w:rsidR="006878A4" w:rsidRPr="00673A9A" w:rsidRDefault="006878A4" w:rsidP="006878A4">
      <w:pPr>
        <w:pStyle w:val="ListParagraph"/>
        <w:numPr>
          <w:ilvl w:val="1"/>
          <w:numId w:val="2"/>
        </w:numPr>
        <w:spacing w:before="60" w:after="60"/>
        <w:ind w:left="1434" w:hanging="357"/>
        <w:contextualSpacing w:val="0"/>
        <w:rPr>
          <w:rFonts w:asciiTheme="minorHAnsi" w:hAnsiTheme="minorHAnsi" w:cstheme="minorHAnsi"/>
        </w:rPr>
      </w:pPr>
      <w:r w:rsidRPr="00673A9A">
        <w:rPr>
          <w:rFonts w:asciiTheme="minorHAnsi" w:hAnsiTheme="minorHAnsi" w:cstheme="minorHAnsi"/>
        </w:rPr>
        <w:t>The Charity Register</w:t>
      </w:r>
    </w:p>
    <w:p w14:paraId="6EE8BC05" w14:textId="77777777" w:rsidR="006878A4" w:rsidRPr="00673A9A" w:rsidRDefault="006878A4" w:rsidP="006878A4">
      <w:pPr>
        <w:pStyle w:val="ListParagraph"/>
        <w:numPr>
          <w:ilvl w:val="1"/>
          <w:numId w:val="2"/>
        </w:numPr>
        <w:spacing w:before="60" w:after="60"/>
        <w:ind w:left="1434" w:hanging="357"/>
        <w:contextualSpacing w:val="0"/>
        <w:rPr>
          <w:rFonts w:asciiTheme="minorHAnsi" w:hAnsiTheme="minorHAnsi" w:cstheme="minorHAnsi"/>
        </w:rPr>
      </w:pPr>
      <w:r w:rsidRPr="00673A9A">
        <w:rPr>
          <w:rFonts w:asciiTheme="minorHAnsi" w:hAnsiTheme="minorHAnsi" w:cstheme="minorHAnsi"/>
        </w:rPr>
        <w:t>Supporting Charities and Building Capability</w:t>
      </w:r>
    </w:p>
    <w:p w14:paraId="71820173" w14:textId="77777777" w:rsidR="006878A4" w:rsidRDefault="006878A4" w:rsidP="006878A4">
      <w:pPr>
        <w:pStyle w:val="ListParagraph"/>
        <w:numPr>
          <w:ilvl w:val="1"/>
          <w:numId w:val="2"/>
        </w:numPr>
        <w:spacing w:before="60" w:after="60"/>
        <w:ind w:left="1434" w:hanging="357"/>
        <w:contextualSpacing w:val="0"/>
        <w:rPr>
          <w:rFonts w:asciiTheme="minorHAnsi" w:hAnsiTheme="minorHAnsi" w:cstheme="minorHAnsi"/>
        </w:rPr>
      </w:pPr>
      <w:bookmarkStart w:id="0" w:name="_Hlk158201330"/>
      <w:r w:rsidRPr="00673A9A">
        <w:rPr>
          <w:rFonts w:asciiTheme="minorHAnsi" w:hAnsiTheme="minorHAnsi" w:cstheme="minorHAnsi"/>
        </w:rPr>
        <w:t>Maximising the use of ACNC data</w:t>
      </w:r>
    </w:p>
    <w:p w14:paraId="237E9FE0" w14:textId="77777777" w:rsidR="006878A4" w:rsidRDefault="006878A4" w:rsidP="006878A4">
      <w:pPr>
        <w:pStyle w:val="ListParagraph"/>
        <w:numPr>
          <w:ilvl w:val="1"/>
          <w:numId w:val="2"/>
        </w:numPr>
        <w:spacing w:before="60" w:after="60"/>
        <w:ind w:left="1434" w:hanging="357"/>
        <w:contextualSpacing w:val="0"/>
        <w:rPr>
          <w:rFonts w:asciiTheme="minorHAnsi" w:hAnsiTheme="minorHAnsi" w:cstheme="minorHAnsi"/>
        </w:rPr>
      </w:pPr>
      <w:r>
        <w:rPr>
          <w:rFonts w:asciiTheme="minorHAnsi" w:hAnsiTheme="minorHAnsi" w:cstheme="minorHAnsi"/>
        </w:rPr>
        <w:t>Organisational capability.</w:t>
      </w:r>
    </w:p>
    <w:bookmarkEnd w:id="0"/>
    <w:p w14:paraId="4BC81B08" w14:textId="77777777" w:rsidR="006878A4" w:rsidRPr="006656A1" w:rsidRDefault="006878A4" w:rsidP="006878A4">
      <w:pPr>
        <w:pStyle w:val="Heading3"/>
        <w:spacing w:before="120" w:after="120"/>
      </w:pPr>
      <w:r w:rsidRPr="006656A1">
        <w:t>The Charity Register</w:t>
      </w:r>
    </w:p>
    <w:p w14:paraId="56C1E6C2" w14:textId="77777777" w:rsidR="006878A4" w:rsidRPr="00626680" w:rsidRDefault="006878A4" w:rsidP="006878A4">
      <w:pPr>
        <w:pStyle w:val="ListParagraph"/>
        <w:numPr>
          <w:ilvl w:val="0"/>
          <w:numId w:val="1"/>
        </w:numPr>
        <w:ind w:left="714" w:hanging="357"/>
        <w:contextualSpacing w:val="0"/>
        <w:jc w:val="left"/>
        <w:rPr>
          <w:rFonts w:asciiTheme="minorHAnsi" w:hAnsiTheme="minorHAnsi" w:cstheme="minorHAnsi"/>
        </w:rPr>
      </w:pPr>
      <w:r w:rsidRPr="00626680">
        <w:rPr>
          <w:rFonts w:asciiTheme="minorHAnsi" w:hAnsiTheme="minorHAnsi" w:cstheme="minorHAnsi"/>
        </w:rPr>
        <w:t>We are committed to ensuring that</w:t>
      </w:r>
      <w:r>
        <w:rPr>
          <w:rFonts w:asciiTheme="minorHAnsi" w:hAnsiTheme="minorHAnsi" w:cstheme="minorHAnsi"/>
        </w:rPr>
        <w:t xml:space="preserve"> the</w:t>
      </w:r>
      <w:r w:rsidRPr="00626680">
        <w:rPr>
          <w:rFonts w:asciiTheme="minorHAnsi" w:hAnsiTheme="minorHAnsi" w:cstheme="minorHAnsi"/>
        </w:rPr>
        <w:t xml:space="preserve"> Charity Register is up to dat</w:t>
      </w:r>
      <w:r>
        <w:rPr>
          <w:rFonts w:asciiTheme="minorHAnsi" w:hAnsiTheme="minorHAnsi" w:cstheme="minorHAnsi"/>
        </w:rPr>
        <w:t>e, accurate and complete.</w:t>
      </w:r>
      <w:r w:rsidRPr="00626680">
        <w:rPr>
          <w:rFonts w:asciiTheme="minorHAnsi" w:hAnsiTheme="minorHAnsi" w:cstheme="minorHAnsi"/>
        </w:rPr>
        <w:t xml:space="preserve"> </w:t>
      </w:r>
    </w:p>
    <w:p w14:paraId="67BE8D0C" w14:textId="6C90EC48" w:rsidR="006878A4" w:rsidRPr="009C369A" w:rsidRDefault="006878A4" w:rsidP="2AC37BEB">
      <w:pPr>
        <w:pStyle w:val="ListParagraph"/>
        <w:numPr>
          <w:ilvl w:val="0"/>
          <w:numId w:val="1"/>
        </w:numPr>
        <w:jc w:val="left"/>
        <w:rPr>
          <w:rFonts w:asciiTheme="minorHAnsi" w:hAnsiTheme="minorHAnsi" w:cstheme="minorBidi"/>
        </w:rPr>
      </w:pPr>
      <w:r w:rsidRPr="2AC37BEB">
        <w:rPr>
          <w:rFonts w:asciiTheme="minorHAnsi" w:hAnsiTheme="minorHAnsi" w:cstheme="minorBidi"/>
        </w:rPr>
        <w:t>To achieve this</w:t>
      </w:r>
      <w:r w:rsidR="00F644E7">
        <w:rPr>
          <w:rFonts w:asciiTheme="minorHAnsi" w:hAnsiTheme="minorHAnsi" w:cstheme="minorBidi"/>
        </w:rPr>
        <w:t>,</w:t>
      </w:r>
      <w:r w:rsidRPr="2AC37BEB">
        <w:rPr>
          <w:rFonts w:asciiTheme="minorHAnsi" w:hAnsiTheme="minorHAnsi" w:cstheme="minorBidi"/>
        </w:rPr>
        <w:t xml:space="preserve"> we will continue our</w:t>
      </w:r>
      <w:hyperlink r:id="rId9">
        <w:r w:rsidR="004D4547" w:rsidRPr="004D4547">
          <w:t xml:space="preserve"> </w:t>
        </w:r>
        <w:r w:rsidR="004D4547" w:rsidRPr="004D4547">
          <w:rPr>
            <w:rStyle w:val="Hyperlink"/>
            <w:rFonts w:asciiTheme="minorHAnsi" w:hAnsiTheme="minorHAnsi" w:cstheme="minorBidi"/>
          </w:rPr>
          <w:t>reviews of charity entitlement of DGR endorsed charities</w:t>
        </w:r>
        <w:r w:rsidR="005C54F6">
          <w:rPr>
            <w:rFonts w:asciiTheme="minorHAnsi" w:hAnsiTheme="minorHAnsi" w:cstheme="minorBidi"/>
          </w:rPr>
          <w:t>,</w:t>
        </w:r>
        <w:r w:rsidR="004D4547" w:rsidRPr="005C54F6">
          <w:rPr>
            <w:rStyle w:val="Hyperlink"/>
            <w:rFonts w:asciiTheme="minorHAnsi" w:hAnsiTheme="minorHAnsi" w:cstheme="minorBidi"/>
            <w:color w:val="auto"/>
            <w:u w:val="none"/>
          </w:rPr>
          <w:t xml:space="preserve"> </w:t>
        </w:r>
      </w:hyperlink>
      <w:hyperlink r:id="rId10">
        <w:r w:rsidRPr="2AC37BEB">
          <w:rPr>
            <w:rStyle w:val="Hyperlink"/>
            <w:rFonts w:asciiTheme="minorHAnsi" w:hAnsiTheme="minorHAnsi" w:cstheme="minorBidi"/>
          </w:rPr>
          <w:t>monitoring and enforcement activities</w:t>
        </w:r>
      </w:hyperlink>
      <w:r w:rsidRPr="2AC37BEB">
        <w:rPr>
          <w:rFonts w:asciiTheme="minorHAnsi" w:hAnsiTheme="minorHAnsi" w:cstheme="minorBidi"/>
        </w:rPr>
        <w:t xml:space="preserve"> and data integrity work (such as removing those who persistently fail to meet their reporting obligations via our </w:t>
      </w:r>
      <w:hyperlink r:id="rId11">
        <w:r w:rsidRPr="2AC37BEB">
          <w:rPr>
            <w:rStyle w:val="Hyperlink"/>
            <w:rFonts w:asciiTheme="minorHAnsi" w:hAnsiTheme="minorHAnsi" w:cstheme="minorBidi"/>
          </w:rPr>
          <w:t>double defaulter process</w:t>
        </w:r>
      </w:hyperlink>
      <w:r w:rsidRPr="2AC37BEB">
        <w:rPr>
          <w:rFonts w:asciiTheme="minorHAnsi" w:hAnsiTheme="minorHAnsi" w:cstheme="minorBidi"/>
        </w:rPr>
        <w:t xml:space="preserve">). </w:t>
      </w:r>
    </w:p>
    <w:p w14:paraId="1435E6C5" w14:textId="77777777" w:rsidR="006878A4" w:rsidRPr="006656A1" w:rsidRDefault="006878A4" w:rsidP="006878A4">
      <w:pPr>
        <w:pStyle w:val="Heading3"/>
        <w:spacing w:before="120" w:after="120"/>
      </w:pPr>
      <w:r w:rsidRPr="006656A1">
        <w:t>Supporting Charities and Building Capabilities</w:t>
      </w:r>
    </w:p>
    <w:p w14:paraId="72E2CC22" w14:textId="77777777" w:rsidR="006878A4" w:rsidRPr="00344651" w:rsidRDefault="006878A4" w:rsidP="006878A4">
      <w:pPr>
        <w:pStyle w:val="Default"/>
        <w:numPr>
          <w:ilvl w:val="0"/>
          <w:numId w:val="1"/>
        </w:numPr>
        <w:spacing w:before="120" w:after="120"/>
        <w:rPr>
          <w:sz w:val="22"/>
          <w:szCs w:val="22"/>
        </w:rPr>
      </w:pPr>
      <w:r w:rsidRPr="225444EB">
        <w:rPr>
          <w:sz w:val="22"/>
          <w:szCs w:val="22"/>
        </w:rPr>
        <w:t xml:space="preserve">With over half of charities being entirely volunteer run, we know we need to provide clear guidance to support busy people who often have other jobs and responsibilities. We focus on promoting good governance and working in partnership with peak bodies and professional and sector-based service providers to support charities. We draw on the experience and expertise of a broad range of stakeholders when developing or updating guidance, whether it be interactive checklists, webinars, online learning products or videos. </w:t>
      </w:r>
    </w:p>
    <w:p w14:paraId="01BE39E1" w14:textId="77777777" w:rsidR="006878A4" w:rsidRPr="002D43F7" w:rsidRDefault="006878A4" w:rsidP="006878A4">
      <w:pPr>
        <w:pStyle w:val="Default"/>
        <w:numPr>
          <w:ilvl w:val="0"/>
          <w:numId w:val="1"/>
        </w:numPr>
        <w:spacing w:before="120" w:after="120"/>
        <w:rPr>
          <w:sz w:val="22"/>
          <w:szCs w:val="22"/>
        </w:rPr>
      </w:pPr>
      <w:r w:rsidRPr="225444EB">
        <w:rPr>
          <w:sz w:val="22"/>
          <w:szCs w:val="22"/>
        </w:rPr>
        <w:t xml:space="preserve">We will publish </w:t>
      </w:r>
      <w:hyperlink r:id="rId12" w:history="1">
        <w:r w:rsidRPr="225444EB">
          <w:rPr>
            <w:rStyle w:val="Hyperlink"/>
            <w:sz w:val="22"/>
            <w:szCs w:val="22"/>
          </w:rPr>
          <w:t>deidentified reasons for decisions</w:t>
        </w:r>
      </w:hyperlink>
      <w:r w:rsidRPr="225444EB">
        <w:rPr>
          <w:sz w:val="22"/>
          <w:szCs w:val="22"/>
        </w:rPr>
        <w:t xml:space="preserve"> to accept or refuse applications for registration that may provide educational benefit to the sector and build understanding of how the ACNC applies the law.  </w:t>
      </w:r>
      <w:r>
        <w:tab/>
      </w:r>
    </w:p>
    <w:p w14:paraId="79BF1439" w14:textId="77777777" w:rsidR="006878A4" w:rsidRPr="006656A1" w:rsidRDefault="006878A4" w:rsidP="006878A4">
      <w:pPr>
        <w:pStyle w:val="Heading3"/>
        <w:spacing w:before="120" w:after="120"/>
      </w:pPr>
      <w:r w:rsidRPr="006656A1">
        <w:t>Maximising the use of ACNC data</w:t>
      </w:r>
    </w:p>
    <w:p w14:paraId="3277C459" w14:textId="77777777" w:rsidR="006878A4" w:rsidRPr="00805C87" w:rsidRDefault="006878A4" w:rsidP="006878A4">
      <w:pPr>
        <w:pStyle w:val="ListParagraph"/>
        <w:numPr>
          <w:ilvl w:val="0"/>
          <w:numId w:val="1"/>
        </w:numPr>
        <w:contextualSpacing w:val="0"/>
        <w:rPr>
          <w:rFonts w:ascii="Calibri" w:hAnsi="Calibri" w:cs="Calibri"/>
          <w:kern w:val="0"/>
          <w:lang w:eastAsia="en-US"/>
        </w:rPr>
      </w:pPr>
      <w:r w:rsidRPr="225444EB">
        <w:rPr>
          <w:rFonts w:ascii="Calibri" w:hAnsi="Calibri" w:cs="Calibri"/>
          <w:kern w:val="0"/>
          <w:lang w:eastAsia="en-US"/>
        </w:rPr>
        <w:t xml:space="preserve">We hold significant longitudinal data on Australia’s charities which is a critical asset for the sector, the public and governments. We are committed to sharing this asset and our insights as widely as possible to help inform the public, </w:t>
      </w:r>
      <w:proofErr w:type="gramStart"/>
      <w:r w:rsidRPr="225444EB">
        <w:rPr>
          <w:rFonts w:ascii="Calibri" w:hAnsi="Calibri" w:cs="Calibri"/>
          <w:kern w:val="0"/>
          <w:lang w:eastAsia="en-US"/>
        </w:rPr>
        <w:t>government</w:t>
      </w:r>
      <w:proofErr w:type="gramEnd"/>
      <w:r w:rsidRPr="225444EB">
        <w:rPr>
          <w:rFonts w:ascii="Calibri" w:hAnsi="Calibri" w:cs="Calibri"/>
          <w:kern w:val="0"/>
          <w:lang w:eastAsia="en-US"/>
        </w:rPr>
        <w:t xml:space="preserve"> and donors about the sector.</w:t>
      </w:r>
    </w:p>
    <w:p w14:paraId="37B45BA1" w14:textId="77777777" w:rsidR="006878A4" w:rsidRPr="004B3F9A" w:rsidRDefault="006878A4" w:rsidP="006878A4">
      <w:pPr>
        <w:pStyle w:val="Default"/>
        <w:numPr>
          <w:ilvl w:val="0"/>
          <w:numId w:val="1"/>
        </w:numPr>
        <w:spacing w:before="120" w:after="120"/>
        <w:rPr>
          <w:sz w:val="22"/>
          <w:szCs w:val="22"/>
        </w:rPr>
      </w:pPr>
      <w:r>
        <w:rPr>
          <w:sz w:val="22"/>
          <w:szCs w:val="22"/>
        </w:rPr>
        <w:t xml:space="preserve">We publish an annual </w:t>
      </w:r>
      <w:hyperlink r:id="rId13" w:history="1">
        <w:r w:rsidRPr="00C3612C">
          <w:rPr>
            <w:rStyle w:val="Hyperlink"/>
            <w:sz w:val="22"/>
            <w:szCs w:val="22"/>
          </w:rPr>
          <w:t>Australian Charities Report</w:t>
        </w:r>
      </w:hyperlink>
      <w:r>
        <w:rPr>
          <w:sz w:val="22"/>
          <w:szCs w:val="22"/>
        </w:rPr>
        <w:t xml:space="preserve"> based on Annual Information Statement data and we draw on our </w:t>
      </w:r>
      <w:r w:rsidRPr="004B3F9A">
        <w:rPr>
          <w:sz w:val="22"/>
          <w:szCs w:val="22"/>
        </w:rPr>
        <w:t xml:space="preserve">data in our </w:t>
      </w:r>
      <w:hyperlink r:id="rId14" w:history="1">
        <w:r w:rsidRPr="004B3F9A">
          <w:rPr>
            <w:rStyle w:val="Hyperlink"/>
            <w:sz w:val="22"/>
            <w:szCs w:val="22"/>
          </w:rPr>
          <w:t>submissions to Government</w:t>
        </w:r>
      </w:hyperlink>
      <w:r w:rsidRPr="004B3F9A">
        <w:rPr>
          <w:sz w:val="22"/>
          <w:szCs w:val="22"/>
        </w:rPr>
        <w:t xml:space="preserve"> (examples include our submissions to the Department of Social Services’ Blueprint Expert Reference Group and the Productivity Commission’s Philanthropy Inquiry). </w:t>
      </w:r>
      <w:r w:rsidRPr="004B3F9A">
        <w:rPr>
          <w:sz w:val="22"/>
          <w:szCs w:val="22"/>
        </w:rPr>
        <w:tab/>
      </w:r>
    </w:p>
    <w:p w14:paraId="1D2C0C67" w14:textId="77777777" w:rsidR="006878A4" w:rsidRDefault="006878A4" w:rsidP="006878A4">
      <w:pPr>
        <w:pStyle w:val="Default"/>
        <w:numPr>
          <w:ilvl w:val="0"/>
          <w:numId w:val="1"/>
        </w:numPr>
        <w:spacing w:before="120" w:after="120"/>
        <w:rPr>
          <w:sz w:val="22"/>
          <w:szCs w:val="22"/>
        </w:rPr>
      </w:pPr>
      <w:r w:rsidRPr="225444EB">
        <w:rPr>
          <w:sz w:val="22"/>
          <w:szCs w:val="22"/>
        </w:rPr>
        <w:t xml:space="preserve">As part of our ‘report once, use often’ framework, we have established data sharing arrangements with State, Territory and Commonwealth agencies. We will continue to share our data to assist the implementation of the National Fundraising Principles and the deemed cross-border fundraising recognition model. </w:t>
      </w:r>
    </w:p>
    <w:p w14:paraId="3DE487E3" w14:textId="77777777" w:rsidR="006878A4" w:rsidRPr="006656A1" w:rsidRDefault="006878A4" w:rsidP="006878A4">
      <w:pPr>
        <w:pStyle w:val="Heading3"/>
        <w:spacing w:before="120" w:after="120"/>
      </w:pPr>
      <w:r w:rsidRPr="006656A1">
        <w:t>Organisational capability</w:t>
      </w:r>
    </w:p>
    <w:p w14:paraId="033DD959" w14:textId="2B7F2B08" w:rsidR="006878A4" w:rsidRDefault="006878A4" w:rsidP="006878A4">
      <w:pPr>
        <w:pStyle w:val="Default"/>
        <w:numPr>
          <w:ilvl w:val="0"/>
          <w:numId w:val="1"/>
        </w:numPr>
        <w:spacing w:before="120" w:after="120"/>
        <w:rPr>
          <w:sz w:val="22"/>
          <w:szCs w:val="22"/>
        </w:rPr>
      </w:pPr>
      <w:r w:rsidRPr="00BE6CE3">
        <w:rPr>
          <w:sz w:val="22"/>
          <w:szCs w:val="22"/>
        </w:rPr>
        <w:t>To achieve our purposes, we are committed to</w:t>
      </w:r>
      <w:r>
        <w:rPr>
          <w:sz w:val="22"/>
          <w:szCs w:val="22"/>
        </w:rPr>
        <w:t xml:space="preserve"> </w:t>
      </w:r>
      <w:r w:rsidR="00E03542">
        <w:rPr>
          <w:sz w:val="22"/>
          <w:szCs w:val="22"/>
        </w:rPr>
        <w:t xml:space="preserve">continuous improvement and </w:t>
      </w:r>
      <w:r w:rsidRPr="00BE6CE3">
        <w:rPr>
          <w:sz w:val="22"/>
          <w:szCs w:val="22"/>
        </w:rPr>
        <w:t>equipping our staff with the tools, systems and processes they need to achieve our priorities effectively and efficiently</w:t>
      </w:r>
      <w:r>
        <w:rPr>
          <w:sz w:val="22"/>
          <w:szCs w:val="22"/>
        </w:rPr>
        <w:t>.</w:t>
      </w:r>
      <w:r w:rsidR="00E23E83">
        <w:rPr>
          <w:sz w:val="22"/>
          <w:szCs w:val="22"/>
        </w:rPr>
        <w:t xml:space="preserve"> </w:t>
      </w:r>
      <w:r w:rsidR="00ED3A5F">
        <w:rPr>
          <w:sz w:val="22"/>
          <w:szCs w:val="22"/>
        </w:rPr>
        <w:t xml:space="preserve">This will ensure that we remain a risk </w:t>
      </w:r>
      <w:proofErr w:type="gramStart"/>
      <w:r w:rsidR="00ED3A5F">
        <w:rPr>
          <w:sz w:val="22"/>
          <w:szCs w:val="22"/>
        </w:rPr>
        <w:t>based</w:t>
      </w:r>
      <w:proofErr w:type="gramEnd"/>
      <w:r w:rsidR="00ED3A5F">
        <w:rPr>
          <w:sz w:val="22"/>
          <w:szCs w:val="22"/>
        </w:rPr>
        <w:t xml:space="preserve"> and data driven regulator.</w:t>
      </w:r>
    </w:p>
    <w:p w14:paraId="76C7E28D" w14:textId="77777777" w:rsidR="006878A4" w:rsidRDefault="006878A4" w:rsidP="006878A4">
      <w:pPr>
        <w:pStyle w:val="Default"/>
        <w:numPr>
          <w:ilvl w:val="0"/>
          <w:numId w:val="1"/>
        </w:numPr>
        <w:spacing w:before="120" w:after="120"/>
        <w:rPr>
          <w:sz w:val="22"/>
          <w:szCs w:val="22"/>
        </w:rPr>
      </w:pPr>
      <w:r w:rsidRPr="225444EB">
        <w:rPr>
          <w:sz w:val="22"/>
          <w:szCs w:val="22"/>
        </w:rPr>
        <w:t xml:space="preserve">This is reflected in our </w:t>
      </w:r>
      <w:hyperlink r:id="rId15">
        <w:r w:rsidRPr="225444EB">
          <w:rPr>
            <w:rStyle w:val="Hyperlink"/>
            <w:sz w:val="22"/>
            <w:szCs w:val="22"/>
          </w:rPr>
          <w:t>Culture Plan</w:t>
        </w:r>
      </w:hyperlink>
      <w:r w:rsidRPr="225444EB">
        <w:rPr>
          <w:sz w:val="22"/>
          <w:szCs w:val="22"/>
        </w:rPr>
        <w:t xml:space="preserve"> and our </w:t>
      </w:r>
      <w:hyperlink r:id="rId16">
        <w:r w:rsidRPr="225444EB">
          <w:rPr>
            <w:rStyle w:val="Hyperlink"/>
            <w:sz w:val="22"/>
            <w:szCs w:val="22"/>
          </w:rPr>
          <w:t>Diversity, Equity and Inclusion Statement of Commitment</w:t>
        </w:r>
      </w:hyperlink>
      <w:r w:rsidRPr="225444EB">
        <w:rPr>
          <w:sz w:val="22"/>
          <w:szCs w:val="22"/>
        </w:rPr>
        <w:t xml:space="preserve">, which support an engaged and capable workforce that comes together as ‘One ACNC’. </w:t>
      </w:r>
    </w:p>
    <w:p w14:paraId="6D4B3668" w14:textId="77777777" w:rsidR="006878A4" w:rsidRDefault="006878A4" w:rsidP="006878A4">
      <w:pPr>
        <w:pStyle w:val="NoSpacing"/>
        <w:spacing w:before="120" w:after="120"/>
        <w:rPr>
          <w:rFonts w:asciiTheme="majorHAnsi" w:eastAsiaTheme="majorEastAsia" w:hAnsiTheme="majorHAnsi" w:cstheme="majorBidi"/>
          <w:b/>
          <w:bCs/>
          <w:color w:val="338177" w:themeColor="accent3"/>
          <w:kern w:val="0"/>
          <w:sz w:val="26"/>
          <w:szCs w:val="26"/>
          <w14:ligatures w14:val="none"/>
        </w:rPr>
      </w:pPr>
    </w:p>
    <w:p w14:paraId="4F205006" w14:textId="77777777" w:rsidR="006878A4" w:rsidRPr="009F05E7" w:rsidRDefault="006878A4" w:rsidP="006878A4">
      <w:pPr>
        <w:pStyle w:val="NoSpacing"/>
        <w:spacing w:before="120" w:after="120"/>
        <w:rPr>
          <w:rFonts w:asciiTheme="majorHAnsi" w:eastAsiaTheme="majorEastAsia" w:hAnsiTheme="majorHAnsi" w:cstheme="majorBidi"/>
          <w:b/>
          <w:bCs/>
          <w:color w:val="338177" w:themeColor="accent3"/>
          <w:kern w:val="0"/>
          <w:sz w:val="26"/>
          <w:szCs w:val="26"/>
          <w14:ligatures w14:val="none"/>
        </w:rPr>
      </w:pPr>
      <w:r w:rsidRPr="009F05E7">
        <w:rPr>
          <w:rFonts w:asciiTheme="majorHAnsi" w:eastAsiaTheme="majorEastAsia" w:hAnsiTheme="majorHAnsi" w:cstheme="majorBidi"/>
          <w:b/>
          <w:bCs/>
          <w:color w:val="338177" w:themeColor="accent3"/>
          <w:kern w:val="0"/>
          <w:sz w:val="26"/>
          <w:szCs w:val="26"/>
          <w14:ligatures w14:val="none"/>
        </w:rPr>
        <w:lastRenderedPageBreak/>
        <w:t>Relationships with stakeholders</w:t>
      </w:r>
    </w:p>
    <w:p w14:paraId="25AAD56A" w14:textId="40FB3B65" w:rsidR="006878A4" w:rsidRPr="00F4421F" w:rsidRDefault="006878A4" w:rsidP="006878A4">
      <w:pPr>
        <w:pStyle w:val="Default"/>
        <w:numPr>
          <w:ilvl w:val="0"/>
          <w:numId w:val="1"/>
        </w:numPr>
        <w:spacing w:before="120" w:after="120"/>
        <w:rPr>
          <w:sz w:val="22"/>
          <w:szCs w:val="22"/>
        </w:rPr>
      </w:pPr>
      <w:r>
        <w:rPr>
          <w:sz w:val="22"/>
          <w:szCs w:val="22"/>
        </w:rPr>
        <w:t>We are committed to working with</w:t>
      </w:r>
      <w:r w:rsidRPr="00F4421F">
        <w:rPr>
          <w:sz w:val="22"/>
          <w:szCs w:val="22"/>
        </w:rPr>
        <w:t xml:space="preserve"> stakeholders to deliver our vision and purposes. As part our commitment to ongoing improvement, we </w:t>
      </w:r>
      <w:r w:rsidR="00CB4873" w:rsidRPr="00F4421F">
        <w:rPr>
          <w:sz w:val="22"/>
          <w:szCs w:val="22"/>
        </w:rPr>
        <w:t xml:space="preserve">have </w:t>
      </w:r>
      <w:r w:rsidR="00CB4873">
        <w:rPr>
          <w:sz w:val="22"/>
          <w:szCs w:val="22"/>
        </w:rPr>
        <w:t>embedded</w:t>
      </w:r>
      <w:r w:rsidRPr="00F4421F">
        <w:rPr>
          <w:sz w:val="22"/>
          <w:szCs w:val="22"/>
        </w:rPr>
        <w:t xml:space="preserve"> the Government’s three principles of better practice </w:t>
      </w:r>
      <w:r>
        <w:rPr>
          <w:sz w:val="22"/>
          <w:szCs w:val="22"/>
        </w:rPr>
        <w:t>when working with our stakeholders</w:t>
      </w:r>
      <w:r w:rsidRPr="00F4421F">
        <w:rPr>
          <w:sz w:val="22"/>
          <w:szCs w:val="22"/>
        </w:rPr>
        <w:t>.</w:t>
      </w:r>
    </w:p>
    <w:p w14:paraId="25CA182E" w14:textId="77777777" w:rsidR="006878A4" w:rsidRPr="00F4421F" w:rsidRDefault="006878A4" w:rsidP="006878A4">
      <w:pPr>
        <w:pStyle w:val="Default"/>
        <w:numPr>
          <w:ilvl w:val="0"/>
          <w:numId w:val="1"/>
        </w:numPr>
        <w:spacing w:before="120" w:after="120"/>
        <w:rPr>
          <w:sz w:val="22"/>
          <w:szCs w:val="22"/>
        </w:rPr>
      </w:pPr>
      <w:r w:rsidRPr="00F4421F">
        <w:rPr>
          <w:sz w:val="22"/>
          <w:szCs w:val="22"/>
        </w:rPr>
        <w:t xml:space="preserve">We </w:t>
      </w:r>
      <w:r>
        <w:rPr>
          <w:sz w:val="22"/>
          <w:szCs w:val="22"/>
        </w:rPr>
        <w:t xml:space="preserve">will maintain </w:t>
      </w:r>
      <w:r w:rsidRPr="00F4421F">
        <w:rPr>
          <w:sz w:val="22"/>
          <w:szCs w:val="22"/>
        </w:rPr>
        <w:t xml:space="preserve">an open relationship with the charity sector to gain a greater understanding of charities’ points of view and ensure we make informed decisions about how we meet our objects. Our key consultation mechanisms include the </w:t>
      </w:r>
      <w:hyperlink r:id="rId17" w:history="1">
        <w:r w:rsidRPr="006A7127">
          <w:rPr>
            <w:rStyle w:val="Hyperlink"/>
            <w:sz w:val="22"/>
            <w:szCs w:val="22"/>
          </w:rPr>
          <w:t>Adviser</w:t>
        </w:r>
      </w:hyperlink>
      <w:r>
        <w:rPr>
          <w:sz w:val="22"/>
          <w:szCs w:val="22"/>
        </w:rPr>
        <w:t xml:space="preserve"> and</w:t>
      </w:r>
      <w:r w:rsidRPr="00F4421F">
        <w:rPr>
          <w:sz w:val="22"/>
          <w:szCs w:val="22"/>
        </w:rPr>
        <w:t xml:space="preserve"> </w:t>
      </w:r>
      <w:hyperlink r:id="rId18" w:history="1">
        <w:r w:rsidRPr="009C3915">
          <w:rPr>
            <w:rStyle w:val="Hyperlink"/>
            <w:sz w:val="22"/>
            <w:szCs w:val="22"/>
          </w:rPr>
          <w:t>Sector</w:t>
        </w:r>
      </w:hyperlink>
      <w:r>
        <w:rPr>
          <w:sz w:val="22"/>
          <w:szCs w:val="22"/>
        </w:rPr>
        <w:t xml:space="preserve"> Forums, our </w:t>
      </w:r>
      <w:hyperlink r:id="rId19" w:history="1">
        <w:r w:rsidRPr="006A7127">
          <w:rPr>
            <w:rStyle w:val="Hyperlink"/>
            <w:sz w:val="22"/>
            <w:szCs w:val="22"/>
          </w:rPr>
          <w:t>Consultation Group</w:t>
        </w:r>
      </w:hyperlink>
      <w:r w:rsidRPr="00F4421F">
        <w:rPr>
          <w:sz w:val="22"/>
          <w:szCs w:val="22"/>
        </w:rPr>
        <w:t xml:space="preserve"> as well as the </w:t>
      </w:r>
      <w:hyperlink r:id="rId20" w:history="1">
        <w:r w:rsidRPr="00802743">
          <w:rPr>
            <w:rStyle w:val="Hyperlink"/>
            <w:sz w:val="22"/>
            <w:szCs w:val="22"/>
          </w:rPr>
          <w:t>ACNC Advisory Board</w:t>
        </w:r>
      </w:hyperlink>
      <w:r w:rsidRPr="00F4421F">
        <w:rPr>
          <w:sz w:val="22"/>
          <w:szCs w:val="22"/>
        </w:rPr>
        <w:t xml:space="preserve">. </w:t>
      </w:r>
    </w:p>
    <w:p w14:paraId="550E59ED" w14:textId="77777777" w:rsidR="006878A4" w:rsidRDefault="006878A4" w:rsidP="006878A4">
      <w:pPr>
        <w:pStyle w:val="Default"/>
        <w:numPr>
          <w:ilvl w:val="0"/>
          <w:numId w:val="1"/>
        </w:numPr>
        <w:spacing w:before="120" w:after="120"/>
        <w:rPr>
          <w:sz w:val="22"/>
          <w:szCs w:val="22"/>
        </w:rPr>
      </w:pPr>
      <w:r>
        <w:rPr>
          <w:sz w:val="22"/>
          <w:szCs w:val="22"/>
        </w:rPr>
        <w:t xml:space="preserve">When making decisions, we will be </w:t>
      </w:r>
      <w:hyperlink r:id="rId21" w:history="1">
        <w:r w:rsidRPr="001525A8">
          <w:rPr>
            <w:rStyle w:val="Hyperlink"/>
            <w:sz w:val="22"/>
            <w:szCs w:val="22"/>
          </w:rPr>
          <w:t>open and provide stakeholders with a chance to be heard</w:t>
        </w:r>
      </w:hyperlink>
      <w:r>
        <w:rPr>
          <w:sz w:val="22"/>
          <w:szCs w:val="22"/>
        </w:rPr>
        <w:t>.</w:t>
      </w:r>
    </w:p>
    <w:p w14:paraId="229CC24D" w14:textId="77777777" w:rsidR="006878A4" w:rsidRDefault="006878A4" w:rsidP="006878A4">
      <w:pPr>
        <w:pStyle w:val="Default"/>
        <w:numPr>
          <w:ilvl w:val="0"/>
          <w:numId w:val="1"/>
        </w:numPr>
        <w:spacing w:before="120" w:after="120"/>
        <w:rPr>
          <w:sz w:val="22"/>
          <w:szCs w:val="22"/>
        </w:rPr>
      </w:pPr>
      <w:r w:rsidRPr="004F4BE3">
        <w:rPr>
          <w:sz w:val="22"/>
          <w:szCs w:val="22"/>
        </w:rPr>
        <w:t>We will continue to work</w:t>
      </w:r>
      <w:r>
        <w:rPr>
          <w:sz w:val="22"/>
          <w:szCs w:val="22"/>
        </w:rPr>
        <w:t xml:space="preserve"> closely</w:t>
      </w:r>
      <w:r w:rsidRPr="004F4BE3">
        <w:rPr>
          <w:sz w:val="22"/>
          <w:szCs w:val="22"/>
        </w:rPr>
        <w:t xml:space="preserve"> with </w:t>
      </w:r>
      <w:r>
        <w:rPr>
          <w:sz w:val="22"/>
          <w:szCs w:val="22"/>
        </w:rPr>
        <w:t>State, Territory and Commonwealth agencies (including Treasury and the Australian Taxation Office (ATO)) to share our expertise and insights</w:t>
      </w:r>
      <w:r w:rsidRPr="004F4BE3">
        <w:rPr>
          <w:sz w:val="22"/>
          <w:szCs w:val="22"/>
        </w:rPr>
        <w:t>.</w:t>
      </w:r>
    </w:p>
    <w:p w14:paraId="72D6B858" w14:textId="77777777" w:rsidR="006878A4" w:rsidRPr="009F05E7" w:rsidRDefault="006878A4" w:rsidP="006878A4">
      <w:pPr>
        <w:pStyle w:val="NoSpacing"/>
        <w:spacing w:before="120" w:after="120"/>
        <w:rPr>
          <w:rFonts w:asciiTheme="majorHAnsi" w:eastAsiaTheme="majorEastAsia" w:hAnsiTheme="majorHAnsi" w:cstheme="majorBidi"/>
          <w:b/>
          <w:bCs/>
          <w:color w:val="338177" w:themeColor="accent3"/>
          <w:kern w:val="0"/>
          <w:sz w:val="26"/>
          <w:szCs w:val="26"/>
          <w14:ligatures w14:val="none"/>
        </w:rPr>
      </w:pPr>
      <w:r w:rsidRPr="009F05E7">
        <w:rPr>
          <w:rFonts w:asciiTheme="majorHAnsi" w:eastAsiaTheme="majorEastAsia" w:hAnsiTheme="majorHAnsi" w:cstheme="majorBidi"/>
          <w:b/>
          <w:bCs/>
          <w:color w:val="338177" w:themeColor="accent3"/>
          <w:kern w:val="0"/>
          <w:sz w:val="26"/>
          <w:szCs w:val="26"/>
          <w14:ligatures w14:val="none"/>
        </w:rPr>
        <w:t xml:space="preserve">Governance and accountability </w:t>
      </w:r>
    </w:p>
    <w:p w14:paraId="326B06E6" w14:textId="77777777" w:rsidR="006878A4" w:rsidRPr="00044D6B" w:rsidRDefault="006878A4" w:rsidP="006878A4">
      <w:pPr>
        <w:pStyle w:val="Default"/>
        <w:numPr>
          <w:ilvl w:val="0"/>
          <w:numId w:val="1"/>
        </w:numPr>
        <w:spacing w:before="120" w:after="120"/>
        <w:rPr>
          <w:sz w:val="22"/>
          <w:szCs w:val="22"/>
        </w:rPr>
      </w:pPr>
      <w:r w:rsidRPr="00044D6B">
        <w:rPr>
          <w:sz w:val="22"/>
          <w:szCs w:val="22"/>
        </w:rPr>
        <w:t xml:space="preserve">The Commissioner of </w:t>
      </w:r>
      <w:r>
        <w:rPr>
          <w:sz w:val="22"/>
          <w:szCs w:val="22"/>
        </w:rPr>
        <w:t>Taxation</w:t>
      </w:r>
      <w:r w:rsidRPr="00044D6B">
        <w:rPr>
          <w:sz w:val="22"/>
          <w:szCs w:val="22"/>
        </w:rPr>
        <w:t xml:space="preserve"> is the accountable authority </w:t>
      </w:r>
      <w:r>
        <w:rPr>
          <w:sz w:val="22"/>
          <w:szCs w:val="22"/>
        </w:rPr>
        <w:t>for</w:t>
      </w:r>
      <w:r w:rsidRPr="00044D6B">
        <w:rPr>
          <w:sz w:val="22"/>
          <w:szCs w:val="22"/>
        </w:rPr>
        <w:t xml:space="preserve"> the </w:t>
      </w:r>
      <w:proofErr w:type="gramStart"/>
      <w:r w:rsidRPr="00044D6B">
        <w:rPr>
          <w:sz w:val="22"/>
          <w:szCs w:val="22"/>
        </w:rPr>
        <w:t>ACNC</w:t>
      </w:r>
      <w:proofErr w:type="gramEnd"/>
      <w:r w:rsidRPr="00044D6B">
        <w:rPr>
          <w:sz w:val="22"/>
          <w:szCs w:val="22"/>
        </w:rPr>
        <w:t xml:space="preserve"> and we </w:t>
      </w:r>
      <w:r>
        <w:rPr>
          <w:sz w:val="22"/>
          <w:szCs w:val="22"/>
        </w:rPr>
        <w:t>regularly provide updates at</w:t>
      </w:r>
      <w:r w:rsidRPr="00044D6B">
        <w:rPr>
          <w:sz w:val="22"/>
          <w:szCs w:val="22"/>
        </w:rPr>
        <w:t xml:space="preserve"> the ATO’s Audit and Risk Committee</w:t>
      </w:r>
      <w:r>
        <w:rPr>
          <w:sz w:val="22"/>
          <w:szCs w:val="22"/>
        </w:rPr>
        <w:t>. We</w:t>
      </w:r>
      <w:r w:rsidRPr="00044D6B">
        <w:rPr>
          <w:sz w:val="22"/>
          <w:szCs w:val="22"/>
        </w:rPr>
        <w:t xml:space="preserve"> have also established our own Performance, Audit and Risk Committee</w:t>
      </w:r>
      <w:r>
        <w:rPr>
          <w:sz w:val="22"/>
          <w:szCs w:val="22"/>
        </w:rPr>
        <w:t xml:space="preserve"> with an independent chair as part of our commitment to being a better practice regulator</w:t>
      </w:r>
      <w:r w:rsidRPr="00044D6B">
        <w:rPr>
          <w:sz w:val="22"/>
          <w:szCs w:val="22"/>
        </w:rPr>
        <w:t>.</w:t>
      </w:r>
    </w:p>
    <w:p w14:paraId="4EF47401" w14:textId="77777777" w:rsidR="006878A4" w:rsidRPr="00044D6B" w:rsidRDefault="006878A4" w:rsidP="006878A4">
      <w:pPr>
        <w:pStyle w:val="Default"/>
        <w:numPr>
          <w:ilvl w:val="0"/>
          <w:numId w:val="1"/>
        </w:numPr>
        <w:spacing w:before="120" w:after="120"/>
        <w:rPr>
          <w:sz w:val="22"/>
          <w:szCs w:val="22"/>
        </w:rPr>
      </w:pPr>
      <w:r w:rsidRPr="00044D6B">
        <w:rPr>
          <w:sz w:val="22"/>
          <w:szCs w:val="22"/>
        </w:rPr>
        <w:t xml:space="preserve">We have an important relationship with the ATO, and we </w:t>
      </w:r>
      <w:r>
        <w:rPr>
          <w:sz w:val="22"/>
          <w:szCs w:val="22"/>
        </w:rPr>
        <w:t>gain efficiencies by sharing</w:t>
      </w:r>
      <w:r w:rsidRPr="00044D6B">
        <w:rPr>
          <w:sz w:val="22"/>
          <w:szCs w:val="22"/>
        </w:rPr>
        <w:t xml:space="preserve"> many back-office services</w:t>
      </w:r>
      <w:r>
        <w:rPr>
          <w:sz w:val="22"/>
          <w:szCs w:val="22"/>
        </w:rPr>
        <w:t xml:space="preserve"> including employee support services (our staff have the benefits of being ATO employees)</w:t>
      </w:r>
      <w:r w:rsidRPr="00044D6B">
        <w:rPr>
          <w:sz w:val="22"/>
          <w:szCs w:val="22"/>
        </w:rPr>
        <w:t xml:space="preserve">. </w:t>
      </w:r>
    </w:p>
    <w:p w14:paraId="13132B06" w14:textId="7106515F" w:rsidR="006878A4" w:rsidRDefault="006878A4" w:rsidP="006878A4">
      <w:pPr>
        <w:pStyle w:val="Default"/>
        <w:numPr>
          <w:ilvl w:val="0"/>
          <w:numId w:val="1"/>
        </w:numPr>
        <w:spacing w:before="120" w:after="120"/>
        <w:rPr>
          <w:sz w:val="22"/>
          <w:szCs w:val="22"/>
        </w:rPr>
      </w:pPr>
      <w:r w:rsidRPr="225444EB">
        <w:rPr>
          <w:sz w:val="22"/>
          <w:szCs w:val="22"/>
        </w:rPr>
        <w:t xml:space="preserve">We continue to work closely with the Commissioner of Taxation, with </w:t>
      </w:r>
      <w:r w:rsidR="00173212">
        <w:rPr>
          <w:sz w:val="22"/>
          <w:szCs w:val="22"/>
        </w:rPr>
        <w:t xml:space="preserve">active </w:t>
      </w:r>
      <w:r w:rsidRPr="225444EB">
        <w:rPr>
          <w:sz w:val="22"/>
          <w:szCs w:val="22"/>
        </w:rPr>
        <w:t xml:space="preserve">engagement at Commissioner level as well as a productive exchange across all our functions and where our work intersects. For example, the ACNC and ATO continue to work closely on the </w:t>
      </w:r>
      <w:hyperlink r:id="rId22">
        <w:r w:rsidRPr="225444EB">
          <w:rPr>
            <w:rStyle w:val="Hyperlink"/>
            <w:sz w:val="22"/>
            <w:szCs w:val="22"/>
          </w:rPr>
          <w:t>ATO’s Self-assessing Income Tax Exempt Reforms</w:t>
        </w:r>
      </w:hyperlink>
      <w:r w:rsidRPr="225444EB">
        <w:rPr>
          <w:sz w:val="22"/>
          <w:szCs w:val="22"/>
        </w:rPr>
        <w:t>.</w:t>
      </w:r>
    </w:p>
    <w:p w14:paraId="308C372C" w14:textId="16135410" w:rsidR="00527C18" w:rsidRPr="0019029B" w:rsidRDefault="006878A4" w:rsidP="0019029B">
      <w:pPr>
        <w:pStyle w:val="Default"/>
        <w:numPr>
          <w:ilvl w:val="0"/>
          <w:numId w:val="1"/>
        </w:numPr>
        <w:spacing w:before="120" w:after="120"/>
        <w:rPr>
          <w:sz w:val="22"/>
          <w:szCs w:val="22"/>
        </w:rPr>
      </w:pPr>
      <w:r>
        <w:rPr>
          <w:sz w:val="22"/>
          <w:szCs w:val="22"/>
        </w:rPr>
        <w:t xml:space="preserve">We are committed to acting </w:t>
      </w:r>
      <w:r w:rsidRPr="00044D6B">
        <w:rPr>
          <w:sz w:val="22"/>
          <w:szCs w:val="22"/>
        </w:rPr>
        <w:t xml:space="preserve">in accordance with the </w:t>
      </w:r>
      <w:r w:rsidRPr="00700316">
        <w:rPr>
          <w:i/>
          <w:iCs/>
          <w:sz w:val="22"/>
          <w:szCs w:val="22"/>
        </w:rPr>
        <w:t>Public Governance, Performance and Accountability Act 2013</w:t>
      </w:r>
      <w:r w:rsidRPr="00044D6B">
        <w:rPr>
          <w:sz w:val="22"/>
          <w:szCs w:val="22"/>
        </w:rPr>
        <w:t xml:space="preserve"> and policies of the Government.</w:t>
      </w:r>
    </w:p>
    <w:sectPr w:rsidR="00527C18" w:rsidRPr="0019029B" w:rsidSect="008F4E6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8965" w14:textId="77777777" w:rsidR="00774A00" w:rsidRDefault="00774A00" w:rsidP="00975452">
      <w:pPr>
        <w:spacing w:after="0" w:line="240" w:lineRule="auto"/>
      </w:pPr>
      <w:r>
        <w:separator/>
      </w:r>
    </w:p>
  </w:endnote>
  <w:endnote w:type="continuationSeparator" w:id="0">
    <w:p w14:paraId="5325AB4B" w14:textId="77777777" w:rsidR="00774A00" w:rsidRDefault="00774A00" w:rsidP="00975452">
      <w:pPr>
        <w:spacing w:after="0" w:line="240" w:lineRule="auto"/>
      </w:pPr>
      <w:r>
        <w:continuationSeparator/>
      </w:r>
    </w:p>
  </w:endnote>
  <w:endnote w:type="continuationNotice" w:id="1">
    <w:p w14:paraId="3320DAC3" w14:textId="77777777" w:rsidR="00774A00" w:rsidRDefault="0077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21FE" w14:textId="0A5102E2" w:rsidR="00975452" w:rsidRDefault="006878A4">
    <w:pPr>
      <w:pStyle w:val="Footer"/>
    </w:pPr>
    <w:r>
      <w:rPr>
        <w:noProof/>
      </w:rPr>
      <mc:AlternateContent>
        <mc:Choice Requires="wps">
          <w:drawing>
            <wp:anchor distT="0" distB="0" distL="0" distR="0" simplePos="0" relativeHeight="251658244" behindDoc="0" locked="0" layoutInCell="1" allowOverlap="1" wp14:anchorId="60E8602E" wp14:editId="6471C1B1">
              <wp:simplePos x="635" y="635"/>
              <wp:positionH relativeFrom="page">
                <wp:align>center</wp:align>
              </wp:positionH>
              <wp:positionV relativeFrom="page">
                <wp:align>bottom</wp:align>
              </wp:positionV>
              <wp:extent cx="443865" cy="443865"/>
              <wp:effectExtent l="0" t="0" r="16510" b="0"/>
              <wp:wrapNone/>
              <wp:docPr id="5230198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3E803" w14:textId="7BB87D40" w:rsidR="006878A4" w:rsidRPr="006878A4" w:rsidRDefault="006878A4" w:rsidP="006878A4">
                          <w:pPr>
                            <w:spacing w:after="0"/>
                            <w:rPr>
                              <w:rFonts w:ascii="Calibri" w:eastAsia="Calibri" w:hAnsi="Calibri" w:cs="Calibri"/>
                              <w:noProof/>
                              <w:color w:val="FF0000"/>
                              <w:sz w:val="20"/>
                              <w:szCs w:val="20"/>
                            </w:rPr>
                          </w:pPr>
                          <w:r w:rsidRPr="006878A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8602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913E803" w14:textId="7BB87D40" w:rsidR="006878A4" w:rsidRPr="006878A4" w:rsidRDefault="006878A4" w:rsidP="006878A4">
                    <w:pPr>
                      <w:spacing w:after="0"/>
                      <w:rPr>
                        <w:rFonts w:ascii="Calibri" w:eastAsia="Calibri" w:hAnsi="Calibri" w:cs="Calibri"/>
                        <w:noProof/>
                        <w:color w:val="FF0000"/>
                        <w:sz w:val="20"/>
                        <w:szCs w:val="20"/>
                      </w:rPr>
                    </w:pPr>
                    <w:r w:rsidRPr="006878A4">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5D8D" w14:textId="77777777" w:rsidR="009605CB" w:rsidRDefault="0019029B" w:rsidP="009605CB">
    <w:pPr>
      <w:pStyle w:val="Footer"/>
      <w:jc w:val="right"/>
    </w:pPr>
    <w:sdt>
      <w:sdtPr>
        <w:id w:val="1854683345"/>
        <w:docPartObj>
          <w:docPartGallery w:val="Page Numbers (Bottom of Page)"/>
          <w:docPartUnique/>
        </w:docPartObj>
      </w:sdtPr>
      <w:sdtEndPr/>
      <w:sdtContent>
        <w:sdt>
          <w:sdtPr>
            <w:id w:val="-359200773"/>
            <w:docPartObj>
              <w:docPartGallery w:val="Page Numbers (Top of Page)"/>
              <w:docPartUnique/>
            </w:docPartObj>
          </w:sdtPr>
          <w:sdtEndPr/>
          <w:sdtContent>
            <w:r w:rsidR="009605CB">
              <w:t xml:space="preserve">Page </w:t>
            </w:r>
            <w:r w:rsidR="009605CB">
              <w:rPr>
                <w:b/>
                <w:bCs/>
                <w:sz w:val="24"/>
                <w:szCs w:val="24"/>
              </w:rPr>
              <w:fldChar w:fldCharType="begin"/>
            </w:r>
            <w:r w:rsidR="009605CB">
              <w:rPr>
                <w:b/>
                <w:bCs/>
              </w:rPr>
              <w:instrText xml:space="preserve"> PAGE </w:instrText>
            </w:r>
            <w:r w:rsidR="009605CB">
              <w:rPr>
                <w:b/>
                <w:bCs/>
                <w:sz w:val="24"/>
                <w:szCs w:val="24"/>
              </w:rPr>
              <w:fldChar w:fldCharType="separate"/>
            </w:r>
            <w:r w:rsidR="009605CB">
              <w:rPr>
                <w:b/>
                <w:bCs/>
                <w:sz w:val="24"/>
              </w:rPr>
              <w:t>1</w:t>
            </w:r>
            <w:r w:rsidR="009605CB">
              <w:rPr>
                <w:b/>
                <w:bCs/>
                <w:sz w:val="24"/>
                <w:szCs w:val="24"/>
              </w:rPr>
              <w:fldChar w:fldCharType="end"/>
            </w:r>
            <w:r w:rsidR="009605CB">
              <w:t xml:space="preserve"> of </w:t>
            </w:r>
            <w:r w:rsidR="009605CB">
              <w:rPr>
                <w:b/>
                <w:bCs/>
                <w:sz w:val="24"/>
                <w:szCs w:val="24"/>
              </w:rPr>
              <w:fldChar w:fldCharType="begin"/>
            </w:r>
            <w:r w:rsidR="009605CB">
              <w:rPr>
                <w:b/>
                <w:bCs/>
              </w:rPr>
              <w:instrText xml:space="preserve"> NUMPAGES  </w:instrText>
            </w:r>
            <w:r w:rsidR="009605CB">
              <w:rPr>
                <w:b/>
                <w:bCs/>
                <w:sz w:val="24"/>
                <w:szCs w:val="24"/>
              </w:rPr>
              <w:fldChar w:fldCharType="separate"/>
            </w:r>
            <w:r w:rsidR="009605CB">
              <w:rPr>
                <w:b/>
                <w:bCs/>
                <w:sz w:val="24"/>
              </w:rPr>
              <w:t>3</w:t>
            </w:r>
            <w:r w:rsidR="009605CB">
              <w:rPr>
                <w:b/>
                <w:bCs/>
                <w:sz w:val="24"/>
                <w:szCs w:val="24"/>
              </w:rPr>
              <w:fldChar w:fldCharType="end"/>
            </w:r>
          </w:sdtContent>
        </w:sdt>
      </w:sdtContent>
    </w:sdt>
  </w:p>
  <w:p w14:paraId="74258DFE" w14:textId="77777777" w:rsidR="009605CB" w:rsidRDefault="00960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F018" w14:textId="62F4BE67" w:rsidR="006878A4" w:rsidRDefault="0019029B">
    <w:pPr>
      <w:pStyle w:val="Footer"/>
      <w:jc w:val="right"/>
    </w:pPr>
    <w:sdt>
      <w:sdtPr>
        <w:id w:val="-61720989"/>
        <w:docPartObj>
          <w:docPartGallery w:val="Page Numbers (Bottom of Page)"/>
          <w:docPartUnique/>
        </w:docPartObj>
      </w:sdtPr>
      <w:sdtEndPr/>
      <w:sdtContent>
        <w:sdt>
          <w:sdtPr>
            <w:id w:val="-1769616900"/>
            <w:docPartObj>
              <w:docPartGallery w:val="Page Numbers (Top of Page)"/>
              <w:docPartUnique/>
            </w:docPartObj>
          </w:sdtPr>
          <w:sdtEndPr/>
          <w:sdtContent>
            <w:r w:rsidR="006878A4">
              <w:t xml:space="preserve">Page </w:t>
            </w:r>
            <w:r w:rsidR="006878A4">
              <w:rPr>
                <w:b/>
                <w:bCs/>
                <w:sz w:val="24"/>
                <w:szCs w:val="24"/>
              </w:rPr>
              <w:fldChar w:fldCharType="begin"/>
            </w:r>
            <w:r w:rsidR="006878A4">
              <w:rPr>
                <w:b/>
                <w:bCs/>
              </w:rPr>
              <w:instrText xml:space="preserve"> PAGE </w:instrText>
            </w:r>
            <w:r w:rsidR="006878A4">
              <w:rPr>
                <w:b/>
                <w:bCs/>
                <w:sz w:val="24"/>
                <w:szCs w:val="24"/>
              </w:rPr>
              <w:fldChar w:fldCharType="separate"/>
            </w:r>
            <w:r w:rsidR="006878A4">
              <w:rPr>
                <w:b/>
                <w:bCs/>
                <w:noProof/>
              </w:rPr>
              <w:t>2</w:t>
            </w:r>
            <w:r w:rsidR="006878A4">
              <w:rPr>
                <w:b/>
                <w:bCs/>
                <w:sz w:val="24"/>
                <w:szCs w:val="24"/>
              </w:rPr>
              <w:fldChar w:fldCharType="end"/>
            </w:r>
            <w:r w:rsidR="006878A4">
              <w:t xml:space="preserve"> of </w:t>
            </w:r>
            <w:r w:rsidR="006878A4">
              <w:rPr>
                <w:b/>
                <w:bCs/>
                <w:sz w:val="24"/>
                <w:szCs w:val="24"/>
              </w:rPr>
              <w:fldChar w:fldCharType="begin"/>
            </w:r>
            <w:r w:rsidR="006878A4">
              <w:rPr>
                <w:b/>
                <w:bCs/>
              </w:rPr>
              <w:instrText xml:space="preserve"> NUMPAGES  </w:instrText>
            </w:r>
            <w:r w:rsidR="006878A4">
              <w:rPr>
                <w:b/>
                <w:bCs/>
                <w:sz w:val="24"/>
                <w:szCs w:val="24"/>
              </w:rPr>
              <w:fldChar w:fldCharType="separate"/>
            </w:r>
            <w:r w:rsidR="006878A4">
              <w:rPr>
                <w:b/>
                <w:bCs/>
                <w:noProof/>
              </w:rPr>
              <w:t>2</w:t>
            </w:r>
            <w:r w:rsidR="006878A4">
              <w:rPr>
                <w:b/>
                <w:bCs/>
                <w:sz w:val="24"/>
                <w:szCs w:val="24"/>
              </w:rPr>
              <w:fldChar w:fldCharType="end"/>
            </w:r>
          </w:sdtContent>
        </w:sdt>
      </w:sdtContent>
    </w:sdt>
  </w:p>
  <w:p w14:paraId="5529E150" w14:textId="43BD92E3" w:rsidR="00975452" w:rsidRDefault="0097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ACA7" w14:textId="77777777" w:rsidR="00774A00" w:rsidRDefault="00774A00" w:rsidP="00975452">
      <w:pPr>
        <w:spacing w:after="0" w:line="240" w:lineRule="auto"/>
      </w:pPr>
      <w:r>
        <w:separator/>
      </w:r>
    </w:p>
  </w:footnote>
  <w:footnote w:type="continuationSeparator" w:id="0">
    <w:p w14:paraId="191EFE47" w14:textId="77777777" w:rsidR="00774A00" w:rsidRDefault="00774A00" w:rsidP="00975452">
      <w:pPr>
        <w:spacing w:after="0" w:line="240" w:lineRule="auto"/>
      </w:pPr>
      <w:r>
        <w:continuationSeparator/>
      </w:r>
    </w:p>
  </w:footnote>
  <w:footnote w:type="continuationNotice" w:id="1">
    <w:p w14:paraId="06880F8B" w14:textId="77777777" w:rsidR="00774A00" w:rsidRDefault="00774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13B0" w14:textId="4DF99D2C" w:rsidR="00975452" w:rsidRDefault="006878A4">
    <w:pPr>
      <w:pStyle w:val="Header"/>
    </w:pPr>
    <w:r>
      <w:rPr>
        <w:noProof/>
      </w:rPr>
      <mc:AlternateContent>
        <mc:Choice Requires="wps">
          <w:drawing>
            <wp:anchor distT="0" distB="0" distL="0" distR="0" simplePos="0" relativeHeight="251658241" behindDoc="0" locked="0" layoutInCell="1" allowOverlap="1" wp14:anchorId="7C0F7008" wp14:editId="387CAB3F">
              <wp:simplePos x="635" y="635"/>
              <wp:positionH relativeFrom="page">
                <wp:align>center</wp:align>
              </wp:positionH>
              <wp:positionV relativeFrom="page">
                <wp:align>top</wp:align>
              </wp:positionV>
              <wp:extent cx="443865" cy="443865"/>
              <wp:effectExtent l="0" t="0" r="16510" b="4445"/>
              <wp:wrapNone/>
              <wp:docPr id="2527562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B336F" w14:textId="1F711C57" w:rsidR="006878A4" w:rsidRPr="006878A4" w:rsidRDefault="006878A4" w:rsidP="006878A4">
                          <w:pPr>
                            <w:spacing w:after="0"/>
                            <w:rPr>
                              <w:rFonts w:ascii="Calibri" w:eastAsia="Calibri" w:hAnsi="Calibri" w:cs="Calibri"/>
                              <w:noProof/>
                              <w:color w:val="FF0000"/>
                              <w:sz w:val="20"/>
                              <w:szCs w:val="20"/>
                            </w:rPr>
                          </w:pPr>
                          <w:r w:rsidRPr="006878A4">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F700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7B336F" w14:textId="1F711C57" w:rsidR="006878A4" w:rsidRPr="006878A4" w:rsidRDefault="006878A4" w:rsidP="006878A4">
                    <w:pPr>
                      <w:spacing w:after="0"/>
                      <w:rPr>
                        <w:rFonts w:ascii="Calibri" w:eastAsia="Calibri" w:hAnsi="Calibri" w:cs="Calibri"/>
                        <w:noProof/>
                        <w:color w:val="FF0000"/>
                        <w:sz w:val="20"/>
                        <w:szCs w:val="20"/>
                      </w:rPr>
                    </w:pPr>
                    <w:r w:rsidRPr="006878A4">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91AD" w14:textId="1276367E" w:rsidR="00975452" w:rsidRDefault="00975452" w:rsidP="006878A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CE1" w14:textId="5C154D19" w:rsidR="00975452" w:rsidRDefault="006878A4" w:rsidP="006878A4">
    <w:pPr>
      <w:pStyle w:val="Header"/>
      <w:jc w:val="right"/>
    </w:pPr>
    <w:r>
      <w:rPr>
        <w:noProof/>
        <w:lang w:eastAsia="en-AU"/>
      </w:rPr>
      <w:drawing>
        <wp:inline distT="0" distB="0" distL="0" distR="0" wp14:anchorId="57C5CE3D" wp14:editId="383BA34E">
          <wp:extent cx="2733675" cy="722558"/>
          <wp:effectExtent l="0" t="0" r="0" b="1905"/>
          <wp:docPr id="1833484795" name="Picture 183348479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84795" name="Picture 1833484795"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0493" cy="729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0C49"/>
    <w:multiLevelType w:val="hybridMultilevel"/>
    <w:tmpl w:val="E12C13BA"/>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4A2DC8"/>
    <w:multiLevelType w:val="hybridMultilevel"/>
    <w:tmpl w:val="C1C660A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7764637">
    <w:abstractNumId w:val="1"/>
  </w:num>
  <w:num w:numId="2" w16cid:durableId="23239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A4"/>
    <w:rsid w:val="00014FE8"/>
    <w:rsid w:val="00021D8A"/>
    <w:rsid w:val="000858D5"/>
    <w:rsid w:val="000F5663"/>
    <w:rsid w:val="00107F69"/>
    <w:rsid w:val="001119F0"/>
    <w:rsid w:val="00173212"/>
    <w:rsid w:val="0019029B"/>
    <w:rsid w:val="00220B0F"/>
    <w:rsid w:val="0026391A"/>
    <w:rsid w:val="00280883"/>
    <w:rsid w:val="00321E2C"/>
    <w:rsid w:val="00361128"/>
    <w:rsid w:val="003C1025"/>
    <w:rsid w:val="004270D3"/>
    <w:rsid w:val="00442B80"/>
    <w:rsid w:val="004B6DF0"/>
    <w:rsid w:val="004D4547"/>
    <w:rsid w:val="004F235E"/>
    <w:rsid w:val="00527C18"/>
    <w:rsid w:val="00582B37"/>
    <w:rsid w:val="005C54F6"/>
    <w:rsid w:val="00665106"/>
    <w:rsid w:val="006878A4"/>
    <w:rsid w:val="00774A00"/>
    <w:rsid w:val="007B2442"/>
    <w:rsid w:val="007D1915"/>
    <w:rsid w:val="00811D95"/>
    <w:rsid w:val="008731D9"/>
    <w:rsid w:val="008F4E6F"/>
    <w:rsid w:val="009605CB"/>
    <w:rsid w:val="00975452"/>
    <w:rsid w:val="009F240A"/>
    <w:rsid w:val="00A10823"/>
    <w:rsid w:val="00B132E9"/>
    <w:rsid w:val="00B55AEE"/>
    <w:rsid w:val="00BD055F"/>
    <w:rsid w:val="00BD3E0A"/>
    <w:rsid w:val="00BD5AEF"/>
    <w:rsid w:val="00CB4873"/>
    <w:rsid w:val="00DB061D"/>
    <w:rsid w:val="00DE7404"/>
    <w:rsid w:val="00E03542"/>
    <w:rsid w:val="00E10916"/>
    <w:rsid w:val="00E23E83"/>
    <w:rsid w:val="00ED3A5F"/>
    <w:rsid w:val="00F644E7"/>
    <w:rsid w:val="00F847BD"/>
    <w:rsid w:val="2AC37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9C0E"/>
  <w15:chartTrackingRefBased/>
  <w15:docId w15:val="{247D77F7-E0E8-428A-B441-0F2491C3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A4"/>
  </w:style>
  <w:style w:type="paragraph" w:styleId="Heading1">
    <w:name w:val="heading 1"/>
    <w:basedOn w:val="Normal"/>
    <w:link w:val="Heading1Char"/>
    <w:uiPriority w:val="9"/>
    <w:qFormat/>
    <w:rsid w:val="00665106"/>
    <w:pPr>
      <w:keepNext/>
      <w:keepLines/>
      <w:spacing w:before="240" w:after="0"/>
      <w:outlineLvl w:val="0"/>
    </w:pPr>
    <w:rPr>
      <w:rFonts w:asciiTheme="majorHAnsi" w:eastAsiaTheme="majorEastAsia" w:hAnsiTheme="majorHAnsi" w:cstheme="majorBidi"/>
      <w:color w:val="1B436B" w:themeColor="accent1" w:themeShade="BF"/>
      <w:sz w:val="32"/>
      <w:szCs w:val="32"/>
    </w:rPr>
  </w:style>
  <w:style w:type="paragraph" w:styleId="Heading2">
    <w:name w:val="heading 2"/>
    <w:basedOn w:val="Normal"/>
    <w:link w:val="Heading2Char"/>
    <w:uiPriority w:val="9"/>
    <w:semiHidden/>
    <w:unhideWhenUsed/>
    <w:qFormat/>
    <w:rsid w:val="00665106"/>
    <w:pPr>
      <w:keepNext/>
      <w:keepLines/>
      <w:spacing w:before="40" w:after="0"/>
      <w:outlineLvl w:val="1"/>
    </w:pPr>
    <w:rPr>
      <w:rFonts w:asciiTheme="majorHAnsi" w:eastAsiaTheme="majorEastAsia" w:hAnsiTheme="majorHAnsi" w:cstheme="majorBidi"/>
      <w:color w:val="1B436B" w:themeColor="accent1" w:themeShade="BF"/>
      <w:sz w:val="26"/>
      <w:szCs w:val="26"/>
    </w:rPr>
  </w:style>
  <w:style w:type="paragraph" w:styleId="Heading3">
    <w:name w:val="heading 3"/>
    <w:basedOn w:val="Heading2"/>
    <w:next w:val="Normal"/>
    <w:link w:val="Heading3Char"/>
    <w:uiPriority w:val="9"/>
    <w:unhideWhenUsed/>
    <w:qFormat/>
    <w:rsid w:val="00665106"/>
    <w:pPr>
      <w:outlineLvl w:val="2"/>
    </w:pPr>
    <w:rPr>
      <w:color w:val="122C47" w:themeColor="accent1" w:themeShade="7F"/>
      <w:sz w:val="24"/>
      <w:szCs w:val="24"/>
    </w:rPr>
  </w:style>
  <w:style w:type="paragraph" w:styleId="Heading4">
    <w:name w:val="heading 4"/>
    <w:basedOn w:val="Normal"/>
    <w:next w:val="Normal"/>
    <w:link w:val="Heading4Char"/>
    <w:uiPriority w:val="9"/>
    <w:semiHidden/>
    <w:unhideWhenUsed/>
    <w:qFormat/>
    <w:rsid w:val="00665106"/>
    <w:pPr>
      <w:keepNext/>
      <w:keepLines/>
      <w:spacing w:before="40" w:after="0"/>
      <w:outlineLvl w:val="3"/>
    </w:pPr>
    <w:rPr>
      <w:rFonts w:asciiTheme="majorHAnsi" w:eastAsiaTheme="majorEastAsia" w:hAnsiTheme="majorHAnsi" w:cstheme="majorBidi"/>
      <w:i/>
      <w:iCs/>
      <w:color w:val="1B436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452"/>
  </w:style>
  <w:style w:type="paragraph" w:styleId="Footer">
    <w:name w:val="footer"/>
    <w:basedOn w:val="Normal"/>
    <w:link w:val="FooterChar"/>
    <w:uiPriority w:val="99"/>
    <w:unhideWhenUsed/>
    <w:rsid w:val="00975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452"/>
  </w:style>
  <w:style w:type="paragraph" w:customStyle="1" w:styleId="TableParagraph">
    <w:name w:val="Table Paragraph"/>
    <w:basedOn w:val="Normal"/>
    <w:uiPriority w:val="1"/>
    <w:rsid w:val="00665106"/>
    <w:pPr>
      <w:widowControl w:val="0"/>
      <w:spacing w:after="0" w:line="240" w:lineRule="auto"/>
    </w:pPr>
    <w:rPr>
      <w:lang w:val="en-US"/>
    </w:rPr>
  </w:style>
  <w:style w:type="character" w:customStyle="1" w:styleId="Heading1Char">
    <w:name w:val="Heading 1 Char"/>
    <w:basedOn w:val="DefaultParagraphFont"/>
    <w:link w:val="Heading1"/>
    <w:uiPriority w:val="9"/>
    <w:rsid w:val="00665106"/>
    <w:rPr>
      <w:rFonts w:asciiTheme="majorHAnsi" w:eastAsiaTheme="majorEastAsia" w:hAnsiTheme="majorHAnsi" w:cstheme="majorBidi"/>
      <w:color w:val="1B436B" w:themeColor="accent1" w:themeShade="BF"/>
      <w:sz w:val="32"/>
      <w:szCs w:val="32"/>
    </w:rPr>
  </w:style>
  <w:style w:type="character" w:customStyle="1" w:styleId="Heading2Char">
    <w:name w:val="Heading 2 Char"/>
    <w:basedOn w:val="DefaultParagraphFont"/>
    <w:link w:val="Heading2"/>
    <w:uiPriority w:val="9"/>
    <w:semiHidden/>
    <w:rsid w:val="00665106"/>
    <w:rPr>
      <w:rFonts w:asciiTheme="majorHAnsi" w:eastAsiaTheme="majorEastAsia" w:hAnsiTheme="majorHAnsi" w:cstheme="majorBidi"/>
      <w:color w:val="1B436B" w:themeColor="accent1" w:themeShade="BF"/>
      <w:sz w:val="26"/>
      <w:szCs w:val="26"/>
    </w:rPr>
  </w:style>
  <w:style w:type="character" w:customStyle="1" w:styleId="Heading3Char">
    <w:name w:val="Heading 3 Char"/>
    <w:basedOn w:val="DefaultParagraphFont"/>
    <w:link w:val="Heading3"/>
    <w:uiPriority w:val="9"/>
    <w:rsid w:val="00665106"/>
    <w:rPr>
      <w:rFonts w:asciiTheme="majorHAnsi" w:eastAsiaTheme="majorEastAsia" w:hAnsiTheme="majorHAnsi" w:cstheme="majorBidi"/>
      <w:color w:val="122C47" w:themeColor="accent1" w:themeShade="7F"/>
      <w:sz w:val="24"/>
      <w:szCs w:val="24"/>
    </w:rPr>
  </w:style>
  <w:style w:type="character" w:customStyle="1" w:styleId="Heading4Char">
    <w:name w:val="Heading 4 Char"/>
    <w:basedOn w:val="DefaultParagraphFont"/>
    <w:link w:val="Heading4"/>
    <w:uiPriority w:val="9"/>
    <w:semiHidden/>
    <w:rsid w:val="00665106"/>
    <w:rPr>
      <w:rFonts w:asciiTheme="majorHAnsi" w:eastAsiaTheme="majorEastAsia" w:hAnsiTheme="majorHAnsi" w:cstheme="majorBidi"/>
      <w:i/>
      <w:iCs/>
      <w:color w:val="1B436B" w:themeColor="accent1" w:themeShade="BF"/>
    </w:rPr>
  </w:style>
  <w:style w:type="paragraph" w:styleId="BodyText">
    <w:name w:val="Body Text"/>
    <w:basedOn w:val="Normal"/>
    <w:link w:val="BodyTextChar"/>
    <w:uiPriority w:val="1"/>
    <w:rsid w:val="00665106"/>
    <w:pPr>
      <w:widowControl w:val="0"/>
      <w:spacing w:before="114" w:after="0" w:line="240" w:lineRule="auto"/>
      <w:ind w:left="107"/>
    </w:pPr>
    <w:rPr>
      <w:rFonts w:ascii="Arial" w:eastAsia="Arial" w:hAnsi="Arial"/>
      <w:sz w:val="19"/>
      <w:szCs w:val="19"/>
      <w:lang w:val="en-US"/>
    </w:rPr>
  </w:style>
  <w:style w:type="character" w:customStyle="1" w:styleId="BodyTextChar">
    <w:name w:val="Body Text Char"/>
    <w:basedOn w:val="DefaultParagraphFont"/>
    <w:link w:val="BodyText"/>
    <w:uiPriority w:val="1"/>
    <w:rsid w:val="00665106"/>
    <w:rPr>
      <w:rFonts w:ascii="Arial" w:eastAsia="Arial" w:hAnsi="Arial"/>
      <w:sz w:val="19"/>
      <w:szCs w:val="19"/>
      <w:lang w:val="en-US"/>
    </w:rPr>
  </w:style>
  <w:style w:type="paragraph" w:styleId="ListParagraph">
    <w:name w:val="List Paragraph"/>
    <w:basedOn w:val="Normal"/>
    <w:uiPriority w:val="34"/>
    <w:qFormat/>
    <w:rsid w:val="000F5663"/>
    <w:pPr>
      <w:spacing w:before="120" w:after="120" w:line="240" w:lineRule="auto"/>
      <w:ind w:left="720"/>
      <w:contextualSpacing/>
      <w:jc w:val="both"/>
    </w:pPr>
    <w:rPr>
      <w:rFonts w:ascii="Arial" w:hAnsi="Arial" w:cs="Verdana"/>
      <w:color w:val="000000"/>
      <w:szCs w:val="20"/>
      <w:lang w:eastAsia="en-AU"/>
    </w:rPr>
  </w:style>
  <w:style w:type="paragraph" w:styleId="NoSpacing">
    <w:name w:val="No Spacing"/>
    <w:aliases w:val="No Spacing Headers"/>
    <w:uiPriority w:val="1"/>
    <w:qFormat/>
    <w:rsid w:val="000F5663"/>
    <w:pPr>
      <w:spacing w:after="0" w:line="240" w:lineRule="auto"/>
    </w:pPr>
    <w:rPr>
      <w:color w:val="3B3838" w:themeColor="background2" w:themeShade="40"/>
    </w:rPr>
  </w:style>
  <w:style w:type="character" w:styleId="Hyperlink">
    <w:name w:val="Hyperlink"/>
    <w:basedOn w:val="DefaultParagraphFont"/>
    <w:uiPriority w:val="99"/>
    <w:unhideWhenUsed/>
    <w:rsid w:val="006878A4"/>
    <w:rPr>
      <w:color w:val="0000FF"/>
      <w:u w:val="single"/>
    </w:rPr>
  </w:style>
  <w:style w:type="paragraph" w:customStyle="1" w:styleId="Default">
    <w:name w:val="Default"/>
    <w:rsid w:val="006878A4"/>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6878A4"/>
    <w:pPr>
      <w:spacing w:after="0" w:line="240" w:lineRule="auto"/>
    </w:pPr>
  </w:style>
  <w:style w:type="character" w:styleId="CommentReference">
    <w:name w:val="annotation reference"/>
    <w:basedOn w:val="DefaultParagraphFont"/>
    <w:uiPriority w:val="99"/>
    <w:semiHidden/>
    <w:unhideWhenUsed/>
    <w:rsid w:val="00442B80"/>
    <w:rPr>
      <w:sz w:val="16"/>
      <w:szCs w:val="16"/>
    </w:rPr>
  </w:style>
  <w:style w:type="paragraph" w:styleId="CommentText">
    <w:name w:val="annotation text"/>
    <w:basedOn w:val="Normal"/>
    <w:link w:val="CommentTextChar"/>
    <w:uiPriority w:val="99"/>
    <w:unhideWhenUsed/>
    <w:rsid w:val="00442B80"/>
    <w:pPr>
      <w:spacing w:line="240" w:lineRule="auto"/>
    </w:pPr>
    <w:rPr>
      <w:sz w:val="20"/>
      <w:szCs w:val="20"/>
    </w:rPr>
  </w:style>
  <w:style w:type="character" w:customStyle="1" w:styleId="CommentTextChar">
    <w:name w:val="Comment Text Char"/>
    <w:basedOn w:val="DefaultParagraphFont"/>
    <w:link w:val="CommentText"/>
    <w:uiPriority w:val="99"/>
    <w:rsid w:val="00442B80"/>
    <w:rPr>
      <w:sz w:val="20"/>
      <w:szCs w:val="20"/>
    </w:rPr>
  </w:style>
  <w:style w:type="paragraph" w:styleId="CommentSubject">
    <w:name w:val="annotation subject"/>
    <w:basedOn w:val="CommentText"/>
    <w:next w:val="CommentText"/>
    <w:link w:val="CommentSubjectChar"/>
    <w:uiPriority w:val="99"/>
    <w:semiHidden/>
    <w:unhideWhenUsed/>
    <w:rsid w:val="00442B80"/>
    <w:rPr>
      <w:b/>
      <w:bCs/>
    </w:rPr>
  </w:style>
  <w:style w:type="character" w:customStyle="1" w:styleId="CommentSubjectChar">
    <w:name w:val="Comment Subject Char"/>
    <w:basedOn w:val="CommentTextChar"/>
    <w:link w:val="CommentSubject"/>
    <w:uiPriority w:val="99"/>
    <w:semiHidden/>
    <w:rsid w:val="00442B80"/>
    <w:rPr>
      <w:b/>
      <w:bCs/>
      <w:sz w:val="20"/>
      <w:szCs w:val="20"/>
    </w:rPr>
  </w:style>
  <w:style w:type="character" w:styleId="Mention">
    <w:name w:val="Mention"/>
    <w:basedOn w:val="DefaultParagraphFont"/>
    <w:uiPriority w:val="99"/>
    <w:unhideWhenUsed/>
    <w:rsid w:val="00442B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nc.gov.au/raise-concern/regulating-charities/acnc-regulatory-approach-statement" TargetMode="External"/><Relationship Id="rId13" Type="http://schemas.openxmlformats.org/officeDocument/2006/relationships/hyperlink" Target="https://www.acnc.gov.au/tools/other-resources/charity-data-hub" TargetMode="External"/><Relationship Id="rId18" Type="http://schemas.openxmlformats.org/officeDocument/2006/relationships/hyperlink" Target="https://www.acnc.gov.au/about/corporate-information/our-vision-mission-and-values/acnc-stakeholder-engagement/acnc-sector-foru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acnc.gov.au/about/corporate-information/corporate-policies/commissioners-policy-statement-decision-making" TargetMode="External"/><Relationship Id="rId7" Type="http://schemas.openxmlformats.org/officeDocument/2006/relationships/hyperlink" Target="https://treasury.gov.au/the-department/accountability-reporting/statements-of-expectations" TargetMode="External"/><Relationship Id="rId12" Type="http://schemas.openxmlformats.org/officeDocument/2006/relationships/hyperlink" Target="https://www.acnc.gov.au/tools/acnc-secrecy-reforms-project" TargetMode="External"/><Relationship Id="rId17" Type="http://schemas.openxmlformats.org/officeDocument/2006/relationships/hyperlink" Target="https://www.acnc.gov.au/about/corporate-information/our-vision-mission-and-values/acnc-stakeholder-engagement/acnc-adviser-foru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cnc.gov.au/about/corporate-information/our-vision-mission-and-values/diversity-equity-and-inclusion" TargetMode="External"/><Relationship Id="rId20" Type="http://schemas.openxmlformats.org/officeDocument/2006/relationships/hyperlink" Target="https://www.acnc.gov.au/about/corporate-information/our-vision-mission-and-values/acnc-advisory-boa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nc.gov.au/for-charities/manage-your-charity/obligations-acnc/reporting-annually-acnc/double-defaulter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cnc.gov.au/about/acnc-culture-pla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cnc.gov.au/about/corporate-information/corporate-policies/commissioners-policy-statement-compliance-and-enforcement" TargetMode="External"/><Relationship Id="rId19" Type="http://schemas.openxmlformats.org/officeDocument/2006/relationships/hyperlink" Target="https://www.acnc.gov.au/about/corporate-information/our-vision-mission-and-values/acnc-stakeholder-engagement/acnc-consultation-group" TargetMode="External"/><Relationship Id="rId4" Type="http://schemas.openxmlformats.org/officeDocument/2006/relationships/webSettings" Target="webSettings.xml"/><Relationship Id="rId9" Type="http://schemas.openxmlformats.org/officeDocument/2006/relationships/hyperlink" Target="https://www.acnc.gov.au/tools/factsheets/reviews-deductible-gift-recipient-endorsed-charities" TargetMode="External"/><Relationship Id="rId14" Type="http://schemas.openxmlformats.org/officeDocument/2006/relationships/hyperlink" Target="https://www.acnc.gov.au/about/acnc-submissions" TargetMode="External"/><Relationship Id="rId22" Type="http://schemas.openxmlformats.org/officeDocument/2006/relationships/hyperlink" Target="https://www.acnc.gov.au/self-assessed-income-tax-exempt-organisation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NC">
      <a:dk1>
        <a:srgbClr val="666666"/>
      </a:dk1>
      <a:lt1>
        <a:sysClr val="window" lastClr="FFFFFF"/>
      </a:lt1>
      <a:dk2>
        <a:srgbClr val="000000"/>
      </a:dk2>
      <a:lt2>
        <a:srgbClr val="E7E6E6"/>
      </a:lt2>
      <a:accent1>
        <a:srgbClr val="245A8F"/>
      </a:accent1>
      <a:accent2>
        <a:srgbClr val="97CDD0"/>
      </a:accent2>
      <a:accent3>
        <a:srgbClr val="338177"/>
      </a:accent3>
      <a:accent4>
        <a:srgbClr val="669933"/>
      </a:accent4>
      <a:accent5>
        <a:srgbClr val="CCCC33"/>
      </a:accent5>
      <a:accent6>
        <a:srgbClr val="FFFFFF"/>
      </a:accent6>
      <a:hlink>
        <a:srgbClr val="245A8F"/>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1398</Words>
  <Characters>7844</Characters>
  <Application>Microsoft Office Word</Application>
  <DocSecurity>0</DocSecurity>
  <Lines>137</Lines>
  <Paragraphs>70</Paragraphs>
  <ScaleCrop>false</ScaleCrop>
  <HeadingPairs>
    <vt:vector size="2" baseType="variant">
      <vt:variant>
        <vt:lpstr>Title</vt:lpstr>
      </vt:variant>
      <vt:variant>
        <vt:i4>1</vt:i4>
      </vt:variant>
    </vt:vector>
  </HeadingPairs>
  <TitlesOfParts>
    <vt:vector size="1" baseType="lpstr">
      <vt:lpstr>Australian Charities and Not-for-profits Commission - Statement of Intent</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Charities and Not-for-profits Commission - Statement of Intent</dc:title>
  <dc:subject/>
  <dc:creator>Australian Charities and Not-for-profits Commission</dc:creator>
  <cp:keywords/>
  <dc:description/>
  <cp:lastModifiedBy>Rock, Zoe</cp:lastModifiedBy>
  <cp:revision>29</cp:revision>
  <dcterms:created xsi:type="dcterms:W3CDTF">2024-03-14T01:48:00Z</dcterms:created>
  <dcterms:modified xsi:type="dcterms:W3CDTF">2024-06-04T23:31:00Z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4266bcbc,f10c0ef,6b35748d</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61b9cba2,1f2ca67b,24e7fba5</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02421e9c-e840-43fc-b071-d383f1dfe50f_Enabled">
    <vt:lpwstr>true</vt:lpwstr>
  </property>
  <property fmtid="{D5CDD505-2E9C-101B-9397-08002B2CF9AE}" pid="9" name="MSIP_Label_02421e9c-e840-43fc-b071-d383f1dfe50f_SetDate">
    <vt:lpwstr>2024-03-14T01:56:05Z</vt:lpwstr>
  </property>
  <property fmtid="{D5CDD505-2E9C-101B-9397-08002B2CF9AE}" pid="10" name="MSIP_Label_02421e9c-e840-43fc-b071-d383f1dfe50f_Method">
    <vt:lpwstr>Privileged</vt:lpwstr>
  </property>
  <property fmtid="{D5CDD505-2E9C-101B-9397-08002B2CF9AE}" pid="11" name="MSIP_Label_02421e9c-e840-43fc-b071-d383f1dfe50f_Name">
    <vt:lpwstr>Official</vt:lpwstr>
  </property>
  <property fmtid="{D5CDD505-2E9C-101B-9397-08002B2CF9AE}" pid="12" name="MSIP_Label_02421e9c-e840-43fc-b071-d383f1dfe50f_SiteId">
    <vt:lpwstr>934ddd5c-a4ff-4d51-9e15-6d3e3e2df493</vt:lpwstr>
  </property>
  <property fmtid="{D5CDD505-2E9C-101B-9397-08002B2CF9AE}" pid="13" name="MSIP_Label_02421e9c-e840-43fc-b071-d383f1dfe50f_ActionId">
    <vt:lpwstr>ded5acb7-26c0-40c9-8a5f-b0f33e3050c9</vt:lpwstr>
  </property>
  <property fmtid="{D5CDD505-2E9C-101B-9397-08002B2CF9AE}" pid="14" name="MSIP_Label_02421e9c-e840-43fc-b071-d383f1dfe50f_ContentBits">
    <vt:lpwstr>3</vt:lpwstr>
  </property>
</Properties>
</file>