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CBE4" w14:textId="1C5C5758" w:rsidR="00F109D4" w:rsidRPr="003C5719" w:rsidRDefault="00896ED5" w:rsidP="004A27A8">
      <w:pPr>
        <w:pStyle w:val="Heading1"/>
        <w:spacing w:after="360"/>
        <w:rPr>
          <w:rFonts w:ascii="Times New Roman" w:hAnsi="Times New Roman"/>
          <w:sz w:val="24"/>
          <w:szCs w:val="24"/>
        </w:rPr>
      </w:pPr>
      <w:r>
        <w:rPr>
          <w:rFonts w:ascii="Times New Roman" w:hAnsi="Times New Roman"/>
          <w:sz w:val="24"/>
          <w:szCs w:val="24"/>
        </w:rPr>
        <w:t xml:space="preserve">DRAFT </w:t>
      </w:r>
      <w:r w:rsidR="00F109D4" w:rsidRPr="003C5719">
        <w:rPr>
          <w:rFonts w:ascii="Times New Roman" w:hAnsi="Times New Roman"/>
          <w:sz w:val="24"/>
          <w:szCs w:val="24"/>
        </w:rPr>
        <w:t>EXPLANATORY STATEMENT</w:t>
      </w:r>
    </w:p>
    <w:p w14:paraId="4C0CFB81" w14:textId="77777777" w:rsidR="00901AB1" w:rsidRPr="003C5719" w:rsidRDefault="00901AB1" w:rsidP="00901AB1">
      <w:pPr>
        <w:pStyle w:val="Heading2"/>
        <w:jc w:val="center"/>
        <w:rPr>
          <w:sz w:val="24"/>
          <w:szCs w:val="24"/>
        </w:rPr>
      </w:pPr>
      <w:r w:rsidRPr="003C5719">
        <w:rPr>
          <w:sz w:val="24"/>
          <w:szCs w:val="24"/>
        </w:rPr>
        <w:t xml:space="preserve">Issued by authority of </w:t>
      </w:r>
      <w:sdt>
        <w:sdtPr>
          <w:rPr>
            <w:rStyle w:val="DefaultChar"/>
          </w:rPr>
          <w:id w:val="-1025254589"/>
          <w:placeholder>
            <w:docPart w:val="BAD6E343872945DBABFDE097065BDC4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Treasurer</w:t>
          </w:r>
        </w:sdtContent>
      </w:sdt>
      <w:r w:rsidRPr="003C5719">
        <w:rPr>
          <w:sz w:val="24"/>
          <w:szCs w:val="24"/>
        </w:rPr>
        <w:t xml:space="preserve"> </w:t>
      </w:r>
    </w:p>
    <w:p w14:paraId="29195F5A" w14:textId="77777777" w:rsidR="00901AB1" w:rsidRPr="00945F26" w:rsidRDefault="00901AB1" w:rsidP="00901AB1">
      <w:pPr>
        <w:spacing w:before="240" w:after="240"/>
        <w:jc w:val="center"/>
        <w:rPr>
          <w:i/>
        </w:rPr>
      </w:pPr>
      <w:r w:rsidRPr="0092410D">
        <w:rPr>
          <w:i/>
        </w:rPr>
        <w:t xml:space="preserve">Petroleum Resource </w:t>
      </w:r>
      <w:r w:rsidRPr="00945F26">
        <w:rPr>
          <w:i/>
        </w:rPr>
        <w:t>Rent Tax Assessment Act 1987</w:t>
      </w:r>
    </w:p>
    <w:p w14:paraId="4D6BD138" w14:textId="310CB120" w:rsidR="00901AB1" w:rsidRPr="00945F26" w:rsidRDefault="00901AB1" w:rsidP="00901AB1">
      <w:pPr>
        <w:tabs>
          <w:tab w:val="left" w:pos="1418"/>
        </w:tabs>
        <w:spacing w:before="0" w:after="240"/>
        <w:jc w:val="center"/>
        <w:rPr>
          <w:i/>
        </w:rPr>
      </w:pPr>
      <w:r w:rsidRPr="00945F26">
        <w:rPr>
          <w:i/>
        </w:rPr>
        <w:t>Petroleum Resource Rent Tax Regulation</w:t>
      </w:r>
      <w:r w:rsidR="00D80C9D">
        <w:rPr>
          <w:i/>
        </w:rPr>
        <w:t>s</w:t>
      </w:r>
      <w:r w:rsidRPr="00945F26">
        <w:rPr>
          <w:i/>
        </w:rPr>
        <w:t xml:space="preserve"> </w:t>
      </w:r>
      <w:r w:rsidR="00791423">
        <w:rPr>
          <w:i/>
        </w:rPr>
        <w:t>2024</w:t>
      </w:r>
    </w:p>
    <w:p w14:paraId="66C0A9D7" w14:textId="1C414887" w:rsidR="00901AB1" w:rsidRPr="00945F26" w:rsidRDefault="00901AB1" w:rsidP="00901AB1">
      <w:pPr>
        <w:spacing w:before="240"/>
      </w:pPr>
      <w:r w:rsidRPr="00945F26">
        <w:t xml:space="preserve">Section 114 of the </w:t>
      </w:r>
      <w:r w:rsidRPr="00945F26">
        <w:rPr>
          <w:i/>
          <w:iCs/>
        </w:rPr>
        <w:t>Petroleum Resource Rent Tax Assessment Act 1987</w:t>
      </w:r>
      <w:r w:rsidRPr="00945F26">
        <w:t xml:space="preserve"> (the Act) provides that the Governor</w:t>
      </w:r>
      <w:r w:rsidR="00A57572" w:rsidRPr="00945F26">
        <w:t>-</w:t>
      </w:r>
      <w:r w:rsidRPr="00945F26">
        <w:t>General may make regulations prescribing matters required or permitted by the Act to be prescribed, or necessary or convenient to be prescribed, for carrying out or giving effect to the Act.</w:t>
      </w:r>
    </w:p>
    <w:p w14:paraId="08408748" w14:textId="77777777" w:rsidR="00901AB1" w:rsidRPr="00945F26" w:rsidRDefault="00901AB1" w:rsidP="00901AB1">
      <w:pPr>
        <w:spacing w:before="240"/>
      </w:pPr>
      <w:r w:rsidRPr="00945F26">
        <w:t>Section 24 of the Act provides that assessable petroleum receipts arising from certain instances of sales gas becoming an excluded commodity in relation to a petroleum project are to be worked out according to the regulation.</w:t>
      </w:r>
    </w:p>
    <w:p w14:paraId="2E929765" w14:textId="4D0C8703" w:rsidR="00901AB1" w:rsidRDefault="00901AB1" w:rsidP="00901AB1">
      <w:pPr>
        <w:spacing w:before="240"/>
      </w:pPr>
      <w:r>
        <w:t xml:space="preserve">The </w:t>
      </w:r>
      <w:r w:rsidRPr="34F2DF8A">
        <w:rPr>
          <w:i/>
          <w:iCs/>
        </w:rPr>
        <w:t xml:space="preserve">Petroleum Resource Rent Tax Assessment Regulations </w:t>
      </w:r>
      <w:r w:rsidR="00791423">
        <w:rPr>
          <w:i/>
          <w:iCs/>
        </w:rPr>
        <w:t>2024</w:t>
      </w:r>
      <w:r>
        <w:t xml:space="preserve"> (the </w:t>
      </w:r>
      <w:r w:rsidR="00791423">
        <w:t>2024</w:t>
      </w:r>
      <w:r>
        <w:t xml:space="preserve"> Regulations) reforms the methodology used to calculate the price of sales gas that is processed into liquefied natural gas (LNG), including the advance pricing arrangement (APA) rules</w:t>
      </w:r>
      <w:r w:rsidR="00A46C96">
        <w:t>,</w:t>
      </w:r>
      <w:r>
        <w:t xml:space="preserve"> comparable uncontrolled price (CUP) rules and ensuring that tolling arrangements are expressly captured in the regulation. </w:t>
      </w:r>
      <w:r w:rsidR="00D14236">
        <w:t>The substantive tolling arrangements</w:t>
      </w:r>
      <w:r w:rsidR="00632888">
        <w:t xml:space="preserve"> relating to Recommendation </w:t>
      </w:r>
      <w:r w:rsidR="0079779B">
        <w:t>8 of the Treasury Rev</w:t>
      </w:r>
      <w:r w:rsidR="00B66D30">
        <w:t>i</w:t>
      </w:r>
      <w:r w:rsidR="0079779B">
        <w:t>ew</w:t>
      </w:r>
      <w:r w:rsidR="00D14236">
        <w:t xml:space="preserve"> were previously outlined in the </w:t>
      </w:r>
      <w:r w:rsidR="00791423">
        <w:rPr>
          <w:i/>
          <w:iCs/>
        </w:rPr>
        <w:t>2024</w:t>
      </w:r>
      <w:r w:rsidR="004A0090">
        <w:rPr>
          <w:i/>
          <w:iCs/>
        </w:rPr>
        <w:t> </w:t>
      </w:r>
      <w:r w:rsidR="00D14236" w:rsidRPr="34F2DF8A">
        <w:rPr>
          <w:i/>
          <w:iCs/>
        </w:rPr>
        <w:t xml:space="preserve">Regulation: Tolling Arrangements </w:t>
      </w:r>
      <w:r w:rsidR="00D14236">
        <w:t>insert, and so will not be deal</w:t>
      </w:r>
      <w:r w:rsidR="00BA6F7A">
        <w:t>t</w:t>
      </w:r>
      <w:r w:rsidR="00D14236">
        <w:t xml:space="preserve"> with</w:t>
      </w:r>
      <w:r w:rsidR="00AA7403">
        <w:t xml:space="preserve"> in </w:t>
      </w:r>
      <w:r w:rsidR="00D50777">
        <w:t>these draft Regulations</w:t>
      </w:r>
      <w:r w:rsidR="00AA7403">
        <w:t xml:space="preserve">. </w:t>
      </w:r>
    </w:p>
    <w:p w14:paraId="4A9223EA" w14:textId="4057A3EA" w:rsidR="00456022" w:rsidRPr="00D14236" w:rsidRDefault="00691C14" w:rsidP="00901AB1">
      <w:pPr>
        <w:spacing w:before="240"/>
      </w:pPr>
      <w:r>
        <w:t xml:space="preserve">The </w:t>
      </w:r>
      <w:r w:rsidR="00CD1584">
        <w:t xml:space="preserve">amendments in these exposure draft regulations and the </w:t>
      </w:r>
      <w:r w:rsidR="007145D2">
        <w:t xml:space="preserve">exposure draft </w:t>
      </w:r>
      <w:r w:rsidR="00CD1584">
        <w:t xml:space="preserve">tolling </w:t>
      </w:r>
      <w:r w:rsidR="00D521BA">
        <w:t>regulations</w:t>
      </w:r>
      <w:r w:rsidR="0076656A">
        <w:t xml:space="preserve"> represent the </w:t>
      </w:r>
      <w:r w:rsidR="007145D2">
        <w:t xml:space="preserve">substantive </w:t>
      </w:r>
      <w:r w:rsidR="0076656A">
        <w:t xml:space="preserve">amendments </w:t>
      </w:r>
      <w:r w:rsidR="007145D2">
        <w:t xml:space="preserve">that will be made </w:t>
      </w:r>
      <w:r w:rsidR="000C7645">
        <w:t xml:space="preserve">as part of the remaking of the </w:t>
      </w:r>
      <w:r w:rsidR="000C7645" w:rsidRPr="000C7645">
        <w:rPr>
          <w:i/>
          <w:iCs/>
        </w:rPr>
        <w:t>Petroleum Resource Rent Tax Regulation 2015</w:t>
      </w:r>
      <w:r w:rsidR="000C7645">
        <w:t xml:space="preserve"> later in 2024. </w:t>
      </w:r>
    </w:p>
    <w:p w14:paraId="48C6C70C" w14:textId="4B2BEFF5" w:rsidR="00901AB1" w:rsidRPr="00945F26" w:rsidRDefault="00207BB0" w:rsidP="00901AB1">
      <w:pPr>
        <w:spacing w:before="240"/>
      </w:pPr>
      <w:r>
        <w:t>On 7 May 2023, the Government announced that it would in</w:t>
      </w:r>
      <w:r w:rsidRPr="00207BB0">
        <w:t xml:space="preserve">troduce changes to the Petroleum Resource Rent Tax (PRRT) to deliver a fairer return to the Australian community from their natural resources. </w:t>
      </w:r>
      <w:r>
        <w:t>The changes respond to the Treasury Gas Transfer Pricing Review (Treasury Review), as well as recommendations in the earlier Callaghan Review. The GTP Review was initiated by the former Coalition Government and restarted under the Albanese Government, and its release follows extensive consultation since 2019. The 2024 Regulations implement recommendations 3, 5, 6, 7, and 11 of the Treasury Review.</w:t>
      </w:r>
      <w:r w:rsidDel="00207BB0">
        <w:t xml:space="preserve"> </w:t>
      </w:r>
    </w:p>
    <w:p w14:paraId="0CCEEA89" w14:textId="230BE02F" w:rsidR="00901AB1" w:rsidRPr="00945F26" w:rsidRDefault="00901AB1" w:rsidP="00901AB1">
      <w:pPr>
        <w:spacing w:before="240"/>
      </w:pPr>
      <w:r>
        <w:t xml:space="preserve">The GTP rules are used to determine the arm’s length price of sales gas in an LNG project, using one of three methods: </w:t>
      </w:r>
      <w:r w:rsidR="00103047">
        <w:t xml:space="preserve">the </w:t>
      </w:r>
      <w:r>
        <w:t xml:space="preserve">APA, </w:t>
      </w:r>
      <w:proofErr w:type="gramStart"/>
      <w:r>
        <w:t>CUP</w:t>
      </w:r>
      <w:proofErr w:type="gramEnd"/>
      <w:r>
        <w:t xml:space="preserve"> or residual pricing method (RPM). Given that the PRRT is a resource rent tax, the pricing of sales gas under the GTP rules should result in the PRRT taxing those resource rents that are properly attributable to the associated petroleum resource. However, the Callaghan </w:t>
      </w:r>
      <w:r w:rsidR="7BA9CC0E">
        <w:t>R</w:t>
      </w:r>
      <w:r>
        <w:t xml:space="preserve">eview concluded that the GTP rules are complex, opaque and raise issues as to whether the outcome ensures the Australian community is receiving an equitable </w:t>
      </w:r>
      <w:r w:rsidR="00103047">
        <w:t xml:space="preserve">and fair </w:t>
      </w:r>
      <w:r>
        <w:t xml:space="preserve">share from the gas used in LNG projects. </w:t>
      </w:r>
    </w:p>
    <w:p w14:paraId="79082EB5" w14:textId="27466363" w:rsidR="00901AB1" w:rsidRPr="00945F26" w:rsidRDefault="00901AB1" w:rsidP="00901AB1">
      <w:pPr>
        <w:spacing w:before="240"/>
      </w:pPr>
      <w:r w:rsidRPr="00945F26">
        <w:t xml:space="preserve">The </w:t>
      </w:r>
      <w:r w:rsidR="00791423">
        <w:t>2024</w:t>
      </w:r>
      <w:r w:rsidRPr="00945F26">
        <w:t xml:space="preserve"> Regulations aim to mitigate these concerns by updating the CUP rules to be in line with the </w:t>
      </w:r>
      <w:r w:rsidR="00634C65" w:rsidRPr="00634C65">
        <w:t>Organisation for Economic Co-operation and Developmen</w:t>
      </w:r>
      <w:r w:rsidR="00634C65">
        <w:t>t</w:t>
      </w:r>
      <w:r w:rsidR="00634C65" w:rsidRPr="00634C65">
        <w:t xml:space="preserve"> </w:t>
      </w:r>
      <w:r w:rsidR="00634C65">
        <w:t>(</w:t>
      </w:r>
      <w:r w:rsidRPr="00945F26">
        <w:t>OECD</w:t>
      </w:r>
      <w:r w:rsidR="00634C65">
        <w:t>)</w:t>
      </w:r>
      <w:r w:rsidRPr="00945F26">
        <w:t xml:space="preserve"> guidelines, modifying the APA rules to include principles in agreeing to an APA, and </w:t>
      </w:r>
      <w:r w:rsidRPr="00945F26">
        <w:lastRenderedPageBreak/>
        <w:t xml:space="preserve">including express rules for tolling arrangements in the RPM calculations. Further amendments to ensure the rent from projects is adequately captured include: </w:t>
      </w:r>
    </w:p>
    <w:p w14:paraId="6519C447" w14:textId="262F009D" w:rsidR="00945F26" w:rsidRPr="00945F26" w:rsidRDefault="00901AB1" w:rsidP="008B24FA">
      <w:pPr>
        <w:pStyle w:val="Bullet"/>
        <w:numPr>
          <w:ilvl w:val="0"/>
          <w:numId w:val="20"/>
        </w:numPr>
      </w:pPr>
      <w:r w:rsidRPr="00945F26">
        <w:t xml:space="preserve">requiring projects to make an irrevocable election to use the shorter or longer asset life formula; </w:t>
      </w:r>
    </w:p>
    <w:p w14:paraId="4E28E78D" w14:textId="692254BD" w:rsidR="00901AB1" w:rsidRPr="00945F26" w:rsidRDefault="00901AB1" w:rsidP="008B24FA">
      <w:pPr>
        <w:pStyle w:val="Bullet"/>
        <w:numPr>
          <w:ilvl w:val="0"/>
          <w:numId w:val="20"/>
        </w:numPr>
      </w:pPr>
      <w:r w:rsidRPr="00945F26">
        <w:t>equalising the treatment of the notional upstream and downstream entities between loss situations and profit situations; and</w:t>
      </w:r>
    </w:p>
    <w:p w14:paraId="1247DE7F" w14:textId="166BD483" w:rsidR="00901AB1" w:rsidRPr="00945F26" w:rsidRDefault="00901AB1" w:rsidP="008B24FA">
      <w:pPr>
        <w:pStyle w:val="Bullet"/>
        <w:numPr>
          <w:ilvl w:val="0"/>
          <w:numId w:val="20"/>
        </w:numPr>
      </w:pPr>
      <w:r w:rsidRPr="00945F26">
        <w:t>where an LNG facility enters the PRRT regime for the first time for backfill or tolling purposes, the value of the plant for use in PRRT calculations being set to the historical cost of the LNG facility, uplifted by the GDP deflator to the date of first production for PRRT purposes.</w:t>
      </w:r>
    </w:p>
    <w:p w14:paraId="6A2F728B" w14:textId="2FA60E5C" w:rsidR="00901AB1" w:rsidRPr="00945F26" w:rsidRDefault="00901AB1" w:rsidP="00901AB1">
      <w:pPr>
        <w:spacing w:before="240"/>
      </w:pPr>
      <w:r w:rsidRPr="00945F26">
        <w:t xml:space="preserve">The Act does not specify any conditions that need to be satisfied before the power to make the </w:t>
      </w:r>
      <w:r w:rsidR="00791423">
        <w:t>2024</w:t>
      </w:r>
      <w:r w:rsidR="004163F8">
        <w:t xml:space="preserve"> </w:t>
      </w:r>
      <w:r w:rsidRPr="00945F26">
        <w:t xml:space="preserve">Regulations may be exercised. </w:t>
      </w:r>
    </w:p>
    <w:p w14:paraId="394A387B" w14:textId="5C95E689" w:rsidR="00901AB1" w:rsidRPr="00945F26" w:rsidRDefault="00901AB1" w:rsidP="00901AB1">
      <w:pPr>
        <w:spacing w:before="240"/>
      </w:pPr>
      <w:r w:rsidRPr="00945F26">
        <w:t xml:space="preserve">The </w:t>
      </w:r>
      <w:r w:rsidR="00791423">
        <w:t>2024</w:t>
      </w:r>
      <w:r w:rsidRPr="00945F26">
        <w:t xml:space="preserve"> Regulations are subject to sunsetting and disallowance. </w:t>
      </w:r>
    </w:p>
    <w:p w14:paraId="6F65956E" w14:textId="62D09255" w:rsidR="00901AB1" w:rsidRPr="00945F26" w:rsidRDefault="00901AB1" w:rsidP="00901AB1">
      <w:pPr>
        <w:spacing w:before="240"/>
      </w:pPr>
      <w:r>
        <w:t xml:space="preserve">The </w:t>
      </w:r>
      <w:r w:rsidR="00791423">
        <w:t>2024</w:t>
      </w:r>
      <w:r>
        <w:t xml:space="preserve"> Regulations are a legislative instrument for the purposes of the</w:t>
      </w:r>
      <w:r w:rsidRPr="53F18977">
        <w:rPr>
          <w:i/>
          <w:iCs/>
        </w:rPr>
        <w:t xml:space="preserve"> Legislation Act 2003</w:t>
      </w:r>
      <w:r>
        <w:t>.</w:t>
      </w:r>
    </w:p>
    <w:p w14:paraId="2722997E" w14:textId="4069B753" w:rsidR="00901AB1" w:rsidRPr="00945F26" w:rsidRDefault="00901AB1" w:rsidP="00901AB1">
      <w:pPr>
        <w:spacing w:before="240"/>
      </w:pPr>
      <w:r w:rsidRPr="00945F26">
        <w:t xml:space="preserve">The </w:t>
      </w:r>
      <w:r w:rsidR="00791423">
        <w:t>2024</w:t>
      </w:r>
      <w:r w:rsidRPr="00945F26">
        <w:t xml:space="preserve"> Regulations commence on the day after </w:t>
      </w:r>
      <w:r w:rsidR="00965134">
        <w:t xml:space="preserve">their </w:t>
      </w:r>
      <w:r w:rsidRPr="00945F26">
        <w:t xml:space="preserve">registration. </w:t>
      </w:r>
    </w:p>
    <w:p w14:paraId="75674C6A" w14:textId="5C8213E0" w:rsidR="00901AB1" w:rsidRPr="00945F26" w:rsidRDefault="00901AB1" w:rsidP="00901AB1">
      <w:pPr>
        <w:spacing w:before="240"/>
      </w:pPr>
      <w:r w:rsidRPr="00945F26">
        <w:t xml:space="preserve">Details of the </w:t>
      </w:r>
      <w:r w:rsidR="00791423">
        <w:t>2024</w:t>
      </w:r>
      <w:r w:rsidRPr="00945F26">
        <w:t xml:space="preserve"> Regulations are set out in </w:t>
      </w:r>
      <w:r w:rsidRPr="00D14236">
        <w:rPr>
          <w:u w:val="single"/>
        </w:rPr>
        <w:t>Attachment A</w:t>
      </w:r>
      <w:r w:rsidRPr="00945F26">
        <w:t xml:space="preserve">. </w:t>
      </w:r>
    </w:p>
    <w:p w14:paraId="3F0B885C" w14:textId="18881D01" w:rsidR="00EB2AEF" w:rsidRPr="003C5719" w:rsidRDefault="00901AB1" w:rsidP="00901AB1">
      <w:pPr>
        <w:spacing w:before="240"/>
      </w:pPr>
      <w:r>
        <w:t>The Office of Impact Analysis (OIA) has been consulted and advised that the Gas Transfer Pricing Review has been certified as a process equivalent to an Impact Analysis. The measure has no impact on compliance costs.</w:t>
      </w:r>
      <w:r w:rsidR="00F109D4">
        <w:t xml:space="preserve"> </w:t>
      </w:r>
    </w:p>
    <w:p w14:paraId="387B1215" w14:textId="3EC73AA9" w:rsidR="00EA4DD8" w:rsidRPr="003C5719" w:rsidRDefault="00EA4DD8" w:rsidP="4F630F43">
      <w:pPr>
        <w:pageBreakBefore/>
        <w:spacing w:before="240"/>
        <w:jc w:val="right"/>
        <w:rPr>
          <w:b/>
          <w:bCs/>
          <w:u w:val="single"/>
        </w:rPr>
      </w:pPr>
      <w:r w:rsidRPr="4F630F43">
        <w:rPr>
          <w:b/>
          <w:bCs/>
          <w:u w:val="single"/>
        </w:rPr>
        <w:lastRenderedPageBreak/>
        <w:t>ATTACHMENT</w:t>
      </w:r>
      <w:r w:rsidR="0834F557" w:rsidRPr="4F630F43">
        <w:rPr>
          <w:b/>
          <w:bCs/>
          <w:u w:val="single"/>
        </w:rPr>
        <w:t xml:space="preserve"> A</w:t>
      </w:r>
    </w:p>
    <w:p w14:paraId="3340DEA1" w14:textId="378887CE" w:rsidR="00901AB1" w:rsidRPr="003C5719" w:rsidRDefault="00901AB1" w:rsidP="00901AB1">
      <w:pPr>
        <w:spacing w:before="240"/>
        <w:rPr>
          <w:b/>
          <w:bCs/>
          <w:szCs w:val="24"/>
          <w:u w:val="single"/>
        </w:rPr>
      </w:pPr>
      <w:r w:rsidRPr="003C5719">
        <w:rPr>
          <w:b/>
          <w:bCs/>
          <w:u w:val="single"/>
        </w:rPr>
        <w:t xml:space="preserve">Details of the </w:t>
      </w:r>
      <w:r>
        <w:rPr>
          <w:b/>
          <w:i/>
          <w:u w:val="single"/>
        </w:rPr>
        <w:t xml:space="preserve">Petroleum Resource Rent Tax Assessment Regulations </w:t>
      </w:r>
      <w:r w:rsidR="00791423">
        <w:rPr>
          <w:b/>
          <w:i/>
          <w:u w:val="single"/>
        </w:rPr>
        <w:t>2024</w:t>
      </w:r>
      <w:r>
        <w:rPr>
          <w:b/>
          <w:i/>
          <w:u w:val="single"/>
        </w:rPr>
        <w:t xml:space="preserve">: </w:t>
      </w:r>
      <w:r w:rsidR="005A7624">
        <w:rPr>
          <w:b/>
          <w:i/>
          <w:u w:val="single"/>
        </w:rPr>
        <w:t>Treasury</w:t>
      </w:r>
      <w:r w:rsidR="000E718F">
        <w:rPr>
          <w:b/>
          <w:i/>
          <w:u w:val="single"/>
        </w:rPr>
        <w:t xml:space="preserve"> Review Amendments</w:t>
      </w:r>
    </w:p>
    <w:p w14:paraId="17149C54" w14:textId="519E1C4E" w:rsidR="00901AB1" w:rsidRDefault="00901AB1" w:rsidP="61B11EE0">
      <w:pPr>
        <w:spacing w:before="240"/>
      </w:pPr>
      <w:r>
        <w:t>This attachment sets ou</w:t>
      </w:r>
      <w:r w:rsidR="007875F3">
        <w:t>t</w:t>
      </w:r>
      <w:r>
        <w:t xml:space="preserve"> further details on the </w:t>
      </w:r>
      <w:r w:rsidR="6829C2AA" w:rsidRPr="34F2DF8A">
        <w:rPr>
          <w:i/>
          <w:iCs/>
          <w:color w:val="000000" w:themeColor="text1"/>
        </w:rPr>
        <w:t xml:space="preserve">Petroleum Resource Rent Tax Assessment Regulations </w:t>
      </w:r>
      <w:r w:rsidR="00791423">
        <w:rPr>
          <w:i/>
          <w:iCs/>
          <w:color w:val="000000" w:themeColor="text1"/>
        </w:rPr>
        <w:t>2024</w:t>
      </w:r>
      <w:r w:rsidR="6829C2AA">
        <w:t xml:space="preserve"> (the </w:t>
      </w:r>
      <w:r w:rsidR="00791423">
        <w:t>2024</w:t>
      </w:r>
      <w:r>
        <w:t xml:space="preserve"> Regulations</w:t>
      </w:r>
      <w:r w:rsidR="52191454">
        <w:t>)</w:t>
      </w:r>
      <w:r>
        <w:t>. All</w:t>
      </w:r>
      <w:r w:rsidR="00A57572">
        <w:t xml:space="preserve"> legislative</w:t>
      </w:r>
      <w:r>
        <w:t xml:space="preserve"> references are to the </w:t>
      </w:r>
      <w:r w:rsidR="00791423">
        <w:t>2024</w:t>
      </w:r>
      <w:r w:rsidR="00A57572">
        <w:t xml:space="preserve"> Regulations unless otherwise stated. References to a </w:t>
      </w:r>
      <w:r w:rsidR="5F8FC6B2">
        <w:t>‘</w:t>
      </w:r>
      <w:r w:rsidR="00A57572">
        <w:t xml:space="preserve">corresponding provision’ are to the corresponding provision in the </w:t>
      </w:r>
      <w:r w:rsidR="00A57572" w:rsidRPr="34F2DF8A">
        <w:rPr>
          <w:i/>
          <w:iCs/>
        </w:rPr>
        <w:t>Petroleum Resource Rent Tax Assessment Regulation 2015</w:t>
      </w:r>
      <w:r w:rsidR="00A57572">
        <w:t xml:space="preserve"> (the 2015 Regulation).</w:t>
      </w:r>
    </w:p>
    <w:p w14:paraId="4F4EA32A" w14:textId="4CED5B23" w:rsidR="00A57572" w:rsidRDefault="00A57572" w:rsidP="004A27A8">
      <w:pPr>
        <w:spacing w:before="240"/>
      </w:pPr>
      <w:r>
        <w:t>This attachment outlines the</w:t>
      </w:r>
      <w:r w:rsidR="007A7B27">
        <w:t xml:space="preserve"> </w:t>
      </w:r>
      <w:r w:rsidR="5F45D9C1">
        <w:t>principal</w:t>
      </w:r>
      <w:r>
        <w:t xml:space="preserve"> changes between the </w:t>
      </w:r>
      <w:r w:rsidR="00791423">
        <w:t>2024</w:t>
      </w:r>
      <w:r>
        <w:t xml:space="preserve"> Regulations and the 2015 Regulation that relate to</w:t>
      </w:r>
      <w:r w:rsidR="00923F7D">
        <w:t xml:space="preserve"> the following matters</w:t>
      </w:r>
      <w:r>
        <w:t>:</w:t>
      </w:r>
    </w:p>
    <w:p w14:paraId="71A71BDE" w14:textId="719420DD" w:rsidR="000825D1" w:rsidRDefault="000825D1" w:rsidP="000825D1">
      <w:pPr>
        <w:pStyle w:val="Bullet"/>
        <w:numPr>
          <w:ilvl w:val="0"/>
          <w:numId w:val="20"/>
        </w:numPr>
      </w:pPr>
      <w:r>
        <w:t>Advance pricing arrangement</w:t>
      </w:r>
      <w:r w:rsidR="004D2B6B">
        <w:t xml:space="preserve"> </w:t>
      </w:r>
      <w:r w:rsidR="0013126F">
        <w:t>(APA)</w:t>
      </w:r>
      <w:r w:rsidR="00923F7D">
        <w:t>.</w:t>
      </w:r>
      <w:r>
        <w:t xml:space="preserve"> </w:t>
      </w:r>
    </w:p>
    <w:p w14:paraId="5F0D507E" w14:textId="5C0553D4" w:rsidR="00A57572" w:rsidRDefault="00A57572" w:rsidP="008B24FA">
      <w:pPr>
        <w:pStyle w:val="Bullet"/>
        <w:numPr>
          <w:ilvl w:val="0"/>
          <w:numId w:val="20"/>
        </w:numPr>
      </w:pPr>
      <w:r>
        <w:t>Comparable uncontrolled price</w:t>
      </w:r>
      <w:r w:rsidR="004D2B6B">
        <w:t xml:space="preserve"> </w:t>
      </w:r>
      <w:r w:rsidR="0013126F">
        <w:t>(CUP)</w:t>
      </w:r>
      <w:r w:rsidR="00923F7D">
        <w:t>.</w:t>
      </w:r>
    </w:p>
    <w:p w14:paraId="31AE90DF" w14:textId="21C085F5" w:rsidR="000825D1" w:rsidRDefault="000825D1" w:rsidP="000825D1">
      <w:pPr>
        <w:pStyle w:val="Bullet"/>
        <w:numPr>
          <w:ilvl w:val="0"/>
          <w:numId w:val="20"/>
        </w:numPr>
      </w:pPr>
      <w:r>
        <w:t>Upstream/downstream treatment in profit/loss situations</w:t>
      </w:r>
      <w:r w:rsidR="00923F7D">
        <w:t>.</w:t>
      </w:r>
    </w:p>
    <w:p w14:paraId="6FE57FA6" w14:textId="7AED1CA6" w:rsidR="00D43AA2" w:rsidRDefault="00D43AA2" w:rsidP="00D43AA2">
      <w:pPr>
        <w:pStyle w:val="Bullet"/>
        <w:numPr>
          <w:ilvl w:val="0"/>
          <w:numId w:val="20"/>
        </w:numPr>
      </w:pPr>
      <w:r>
        <w:t>Capital costs for LNG facilities entering the PRRT regime</w:t>
      </w:r>
      <w:r w:rsidR="00923F7D">
        <w:t>.</w:t>
      </w:r>
    </w:p>
    <w:p w14:paraId="0DDFCB0A" w14:textId="5D14FBF5" w:rsidR="00A57572" w:rsidRDefault="00A57572" w:rsidP="008B24FA">
      <w:pPr>
        <w:pStyle w:val="Bullet"/>
        <w:numPr>
          <w:ilvl w:val="0"/>
          <w:numId w:val="20"/>
        </w:numPr>
      </w:pPr>
      <w:r>
        <w:t>Asset life formula election</w:t>
      </w:r>
      <w:r w:rsidR="00923F7D">
        <w:t>.</w:t>
      </w:r>
    </w:p>
    <w:p w14:paraId="64DDF7EC" w14:textId="38BCE6C3" w:rsidR="00B42EE6" w:rsidRDefault="00B42EE6" w:rsidP="008B24FA">
      <w:pPr>
        <w:pStyle w:val="Bullet"/>
        <w:numPr>
          <w:ilvl w:val="0"/>
          <w:numId w:val="20"/>
        </w:numPr>
      </w:pPr>
      <w:r>
        <w:t>Technical changes associated with the sunsetting remake.</w:t>
      </w:r>
    </w:p>
    <w:p w14:paraId="3B52FBE8" w14:textId="5AF1FECF" w:rsidR="6322DC7D" w:rsidRDefault="007344E5" w:rsidP="2811BF63">
      <w:pPr>
        <w:pStyle w:val="Bullet"/>
        <w:rPr>
          <w:u w:val="single"/>
        </w:rPr>
      </w:pPr>
      <w:r>
        <w:rPr>
          <w:u w:val="single"/>
        </w:rPr>
        <w:t xml:space="preserve">Part </w:t>
      </w:r>
      <w:r w:rsidR="0056682D">
        <w:rPr>
          <w:u w:val="single"/>
        </w:rPr>
        <w:t>2</w:t>
      </w:r>
      <w:r>
        <w:rPr>
          <w:u w:val="single"/>
        </w:rPr>
        <w:t xml:space="preserve"> (</w:t>
      </w:r>
      <w:r w:rsidR="00AC3290">
        <w:rPr>
          <w:u w:val="single"/>
        </w:rPr>
        <w:t>Section 22</w:t>
      </w:r>
      <w:r>
        <w:rPr>
          <w:u w:val="single"/>
        </w:rPr>
        <w:t>)</w:t>
      </w:r>
      <w:r w:rsidR="00AC3290">
        <w:rPr>
          <w:u w:val="single"/>
        </w:rPr>
        <w:t xml:space="preserve"> - </w:t>
      </w:r>
      <w:r w:rsidR="00AC3290" w:rsidRPr="3DD2C276">
        <w:rPr>
          <w:u w:val="single"/>
        </w:rPr>
        <w:t>Advance Pricing Arrangement</w:t>
      </w:r>
      <w:r w:rsidR="00896859">
        <w:rPr>
          <w:u w:val="single"/>
        </w:rPr>
        <w:t>s</w:t>
      </w:r>
    </w:p>
    <w:p w14:paraId="2C47ACF4" w14:textId="036A74FF" w:rsidR="00A6599A" w:rsidRDefault="006812D2" w:rsidP="2811BF63">
      <w:pPr>
        <w:pStyle w:val="Bullet"/>
        <w:spacing w:line="259" w:lineRule="auto"/>
      </w:pPr>
      <w:r>
        <w:t xml:space="preserve">Part </w:t>
      </w:r>
      <w:r w:rsidR="0056682D">
        <w:t>2</w:t>
      </w:r>
      <w:r>
        <w:t xml:space="preserve"> of Schedule 1 to the </w:t>
      </w:r>
      <w:r w:rsidR="00791423">
        <w:t>2024</w:t>
      </w:r>
      <w:r>
        <w:t xml:space="preserve"> Regulations implements </w:t>
      </w:r>
      <w:r w:rsidR="0032705C">
        <w:t xml:space="preserve">recommendation </w:t>
      </w:r>
      <w:r w:rsidR="00EB1AFE">
        <w:t>7</w:t>
      </w:r>
      <w:r w:rsidR="0032705C">
        <w:t xml:space="preserve"> of the Treasury Review. </w:t>
      </w:r>
      <w:r w:rsidR="00110061">
        <w:t xml:space="preserve">Recommendation </w:t>
      </w:r>
      <w:r w:rsidR="00EB1AFE">
        <w:t>7</w:t>
      </w:r>
      <w:r w:rsidR="00110061">
        <w:t xml:space="preserve"> modifies the APA rules to provide guidance to industry and the Commissioner of Taxation </w:t>
      </w:r>
      <w:r w:rsidR="0043657F">
        <w:t xml:space="preserve">(Commissioner) </w:t>
      </w:r>
      <w:r w:rsidR="00110061">
        <w:t>on the principles that the Commissioner must have regard to in agreeing an APA</w:t>
      </w:r>
      <w:r w:rsidR="00B221E6">
        <w:t xml:space="preserve">, and to limit the circumstances in which an APA can be </w:t>
      </w:r>
      <w:bookmarkStart w:id="0" w:name="_Int_6na8lDG9"/>
      <w:proofErr w:type="gramStart"/>
      <w:r w:rsidR="00B221E6">
        <w:t>entered into</w:t>
      </w:r>
      <w:bookmarkEnd w:id="0"/>
      <w:proofErr w:type="gramEnd"/>
      <w:r w:rsidR="00110061">
        <w:t>.</w:t>
      </w:r>
    </w:p>
    <w:p w14:paraId="45C70A2E" w14:textId="77777777" w:rsidR="00FE01FE" w:rsidRDefault="00F646B6" w:rsidP="2811BF63">
      <w:pPr>
        <w:pStyle w:val="Bullet"/>
        <w:spacing w:line="259" w:lineRule="auto"/>
      </w:pPr>
      <w:r>
        <w:t xml:space="preserve">The APA is an agreement between the Commissioner and a taxpayer that establishes an agreed method to calculate the amount of assessable </w:t>
      </w:r>
      <w:r w:rsidR="00A73299">
        <w:t>petroleum</w:t>
      </w:r>
      <w:r>
        <w:t xml:space="preserve"> receipts for </w:t>
      </w:r>
      <w:r w:rsidR="003B3BBF">
        <w:t>the taxpayer</w:t>
      </w:r>
      <w:r>
        <w:t>.</w:t>
      </w:r>
    </w:p>
    <w:p w14:paraId="09DACC0C" w14:textId="1A40F5FD" w:rsidR="00D45BCD" w:rsidRDefault="00D45BCD" w:rsidP="2811BF63">
      <w:pPr>
        <w:pStyle w:val="Bullet"/>
        <w:spacing w:line="259" w:lineRule="auto"/>
      </w:pPr>
      <w:r w:rsidRPr="00081CAB">
        <w:t xml:space="preserve">The Commissioner may, at the request of a participant in a relevant operation, make an </w:t>
      </w:r>
      <w:r>
        <w:t>APA</w:t>
      </w:r>
      <w:r w:rsidRPr="00081CAB">
        <w:t xml:space="preserve"> with the participant about how the assessable petroleum receipts of the participant are to be calculated in relation to project sales gas</w:t>
      </w:r>
      <w:r w:rsidR="00FE01FE">
        <w:t xml:space="preserve">. </w:t>
      </w:r>
    </w:p>
    <w:p w14:paraId="47ED2EEB" w14:textId="4469F8D6" w:rsidR="003B31C0" w:rsidRDefault="00A854D5" w:rsidP="2811BF63">
      <w:pPr>
        <w:pStyle w:val="Bullet"/>
        <w:spacing w:line="259" w:lineRule="auto"/>
      </w:pPr>
      <w:r>
        <w:t xml:space="preserve">Section 22 is amended to </w:t>
      </w:r>
      <w:r w:rsidR="00CC4B05">
        <w:t>require</w:t>
      </w:r>
      <w:r w:rsidR="310B7283">
        <w:t xml:space="preserve"> the Commissioner </w:t>
      </w:r>
      <w:r w:rsidR="00B9386B">
        <w:t>to</w:t>
      </w:r>
      <w:r w:rsidR="00D5634B">
        <w:t xml:space="preserve"> be satisfied</w:t>
      </w:r>
      <w:r w:rsidR="004B3004">
        <w:t xml:space="preserve"> of additional cri</w:t>
      </w:r>
      <w:r w:rsidR="001349A1">
        <w:t>teria</w:t>
      </w:r>
      <w:r w:rsidR="002A7FA1">
        <w:t xml:space="preserve"> in</w:t>
      </w:r>
      <w:r w:rsidR="001349A1">
        <w:t xml:space="preserve"> making</w:t>
      </w:r>
      <w:r w:rsidR="00B15AB6">
        <w:t xml:space="preserve"> an APA</w:t>
      </w:r>
      <w:r w:rsidR="001349A1">
        <w:t xml:space="preserve"> </w:t>
      </w:r>
      <w:r w:rsidR="002A7FA1">
        <w:t>with a participant of an operation</w:t>
      </w:r>
      <w:r w:rsidR="001349A1">
        <w:t>.</w:t>
      </w:r>
    </w:p>
    <w:p w14:paraId="19775451" w14:textId="690C63DE" w:rsidR="006A5219" w:rsidRDefault="001C6EB8" w:rsidP="00305E9E">
      <w:pPr>
        <w:pStyle w:val="Bullet"/>
        <w:spacing w:line="259" w:lineRule="auto"/>
      </w:pPr>
      <w:r>
        <w:t>The amendments require that t</w:t>
      </w:r>
      <w:r w:rsidR="6BCFF12C">
        <w:t xml:space="preserve">he Commissioner </w:t>
      </w:r>
      <w:r w:rsidR="00083956">
        <w:t>must</w:t>
      </w:r>
      <w:r w:rsidR="6BCFF12C">
        <w:t xml:space="preserve"> </w:t>
      </w:r>
      <w:r w:rsidR="39E9FFA9">
        <w:t xml:space="preserve">be satisfied </w:t>
      </w:r>
      <w:r w:rsidR="00305E9E">
        <w:t>that i</w:t>
      </w:r>
      <w:r w:rsidR="00CA4899">
        <w:t>t is not practica</w:t>
      </w:r>
      <w:r w:rsidR="006652BF">
        <w:t>ble</w:t>
      </w:r>
      <w:r w:rsidR="007E6F5A">
        <w:t>:</w:t>
      </w:r>
      <w:r w:rsidR="000470A3">
        <w:t xml:space="preserve"> </w:t>
      </w:r>
    </w:p>
    <w:p w14:paraId="46A51FCD" w14:textId="3865D3D8" w:rsidR="000470A3" w:rsidRDefault="00817462" w:rsidP="00201D64">
      <w:pPr>
        <w:pStyle w:val="Bullet"/>
        <w:numPr>
          <w:ilvl w:val="0"/>
          <w:numId w:val="20"/>
        </w:numPr>
      </w:pPr>
      <w:r>
        <w:t>to</w:t>
      </w:r>
      <w:r w:rsidR="000B6FC4">
        <w:t xml:space="preserve"> d</w:t>
      </w:r>
      <w:r w:rsidR="00A91DA4">
        <w:t xml:space="preserve">etermine </w:t>
      </w:r>
      <w:r w:rsidR="31FEAE0E">
        <w:t xml:space="preserve">a </w:t>
      </w:r>
      <w:r w:rsidR="000B6FC4">
        <w:t>CUP</w:t>
      </w:r>
      <w:r w:rsidR="00A371D3">
        <w:t xml:space="preserve"> under section 23</w:t>
      </w:r>
      <w:r w:rsidR="00AE7FBF">
        <w:t xml:space="preserve"> for the project sales gas</w:t>
      </w:r>
      <w:r w:rsidR="00F82CD3">
        <w:t>;</w:t>
      </w:r>
      <w:r w:rsidR="00B77BFA">
        <w:t xml:space="preserve"> and</w:t>
      </w:r>
    </w:p>
    <w:p w14:paraId="5A65991D" w14:textId="707475F7" w:rsidR="006A5219" w:rsidRDefault="006A5219" w:rsidP="00201D64">
      <w:pPr>
        <w:pStyle w:val="Bullet"/>
        <w:numPr>
          <w:ilvl w:val="0"/>
          <w:numId w:val="20"/>
        </w:numPr>
      </w:pPr>
      <w:r>
        <w:t>to use</w:t>
      </w:r>
      <w:r w:rsidR="00DA7A71">
        <w:t xml:space="preserve"> </w:t>
      </w:r>
      <w:r w:rsidR="00685AE2">
        <w:t>one</w:t>
      </w:r>
      <w:r w:rsidR="00B44315">
        <w:t xml:space="preserve"> or more</w:t>
      </w:r>
      <w:r w:rsidR="00DA7A71">
        <w:t xml:space="preserve"> step</w:t>
      </w:r>
      <w:r w:rsidR="00B44315">
        <w:t>s</w:t>
      </w:r>
      <w:r w:rsidR="00DA7A71">
        <w:t xml:space="preserve"> in the </w:t>
      </w:r>
      <w:r w:rsidR="00844550">
        <w:t>residual pricing method (</w:t>
      </w:r>
      <w:r w:rsidR="00DA7A71">
        <w:t>RPM</w:t>
      </w:r>
      <w:r w:rsidR="00844550">
        <w:t>)</w:t>
      </w:r>
      <w:r w:rsidR="00633203">
        <w:t xml:space="preserve"> </w:t>
      </w:r>
      <w:r w:rsidR="00633203" w:rsidRPr="00081CAB">
        <w:t>in relation to the project sales gas for the participant</w:t>
      </w:r>
      <w:r w:rsidR="00957581">
        <w:t>.</w:t>
      </w:r>
    </w:p>
    <w:p w14:paraId="130AA4D2" w14:textId="02D9ED2D" w:rsidR="00957581" w:rsidRDefault="00B77BFA" w:rsidP="2811BF63">
      <w:pPr>
        <w:pStyle w:val="Bullet"/>
        <w:spacing w:line="259" w:lineRule="auto"/>
        <w:rPr>
          <w:szCs w:val="24"/>
        </w:rPr>
      </w:pPr>
      <w:r>
        <w:rPr>
          <w:szCs w:val="24"/>
        </w:rPr>
        <w:lastRenderedPageBreak/>
        <w:t>The Commissioner must additionally be satisfied</w:t>
      </w:r>
      <w:r w:rsidR="00121C22">
        <w:rPr>
          <w:szCs w:val="24"/>
        </w:rPr>
        <w:t xml:space="preserve"> that the calculation in the APA</w:t>
      </w:r>
      <w:r w:rsidR="00360119">
        <w:rPr>
          <w:szCs w:val="24"/>
        </w:rPr>
        <w:t xml:space="preserve"> will</w:t>
      </w:r>
      <w:r w:rsidR="00201D64">
        <w:rPr>
          <w:szCs w:val="24"/>
        </w:rPr>
        <w:t>:</w:t>
      </w:r>
    </w:p>
    <w:p w14:paraId="2897688E" w14:textId="4A74F785" w:rsidR="00603945" w:rsidRDefault="00603945" w:rsidP="0021459F">
      <w:pPr>
        <w:pStyle w:val="Bullet"/>
        <w:numPr>
          <w:ilvl w:val="0"/>
          <w:numId w:val="20"/>
        </w:numPr>
        <w:rPr>
          <w:szCs w:val="24"/>
        </w:rPr>
      </w:pPr>
      <w:r>
        <w:rPr>
          <w:szCs w:val="24"/>
        </w:rPr>
        <w:t>give effect to the RPM</w:t>
      </w:r>
      <w:r w:rsidR="004B5963">
        <w:rPr>
          <w:szCs w:val="24"/>
        </w:rPr>
        <w:t>;</w:t>
      </w:r>
    </w:p>
    <w:p w14:paraId="2DB152D3" w14:textId="2953050F" w:rsidR="00102854" w:rsidRDefault="006137BB" w:rsidP="0021459F">
      <w:pPr>
        <w:pStyle w:val="Bullet"/>
        <w:numPr>
          <w:ilvl w:val="0"/>
          <w:numId w:val="20"/>
        </w:numPr>
      </w:pPr>
      <w:r>
        <w:t xml:space="preserve">result in a reasonably accurate </w:t>
      </w:r>
      <w:r w:rsidR="00A371D3">
        <w:t>estimation</w:t>
      </w:r>
      <w:r>
        <w:t xml:space="preserve"> for any </w:t>
      </w:r>
      <w:r w:rsidR="00144313">
        <w:t>RPM steps that are not practicable to use</w:t>
      </w:r>
      <w:r w:rsidR="00600A3A">
        <w:t>;</w:t>
      </w:r>
    </w:p>
    <w:p w14:paraId="42E39944" w14:textId="6D77C0F9" w:rsidR="00201D64" w:rsidRDefault="006C64E8" w:rsidP="0021459F">
      <w:pPr>
        <w:pStyle w:val="Bullet"/>
        <w:numPr>
          <w:ilvl w:val="0"/>
          <w:numId w:val="20"/>
        </w:numPr>
        <w:rPr>
          <w:szCs w:val="24"/>
        </w:rPr>
      </w:pPr>
      <w:r>
        <w:rPr>
          <w:szCs w:val="24"/>
        </w:rPr>
        <w:t>not depart from the RPM</w:t>
      </w:r>
      <w:r w:rsidR="00B32877">
        <w:rPr>
          <w:szCs w:val="24"/>
        </w:rPr>
        <w:t xml:space="preserve"> </w:t>
      </w:r>
      <w:r w:rsidR="00A371D3">
        <w:rPr>
          <w:szCs w:val="24"/>
        </w:rPr>
        <w:t xml:space="preserve">statement </w:t>
      </w:r>
      <w:r w:rsidR="00B32877">
        <w:rPr>
          <w:szCs w:val="24"/>
        </w:rPr>
        <w:t>more than is necessary t</w:t>
      </w:r>
      <w:r w:rsidR="00603945">
        <w:rPr>
          <w:szCs w:val="24"/>
        </w:rPr>
        <w:t>o address any identified</w:t>
      </w:r>
      <w:r w:rsidR="00B0328F">
        <w:rPr>
          <w:szCs w:val="24"/>
        </w:rPr>
        <w:t xml:space="preserve"> impracticalities in using </w:t>
      </w:r>
      <w:r w:rsidR="00102854">
        <w:rPr>
          <w:szCs w:val="24"/>
        </w:rPr>
        <w:t>the RPM</w:t>
      </w:r>
      <w:r w:rsidR="00600A3A">
        <w:rPr>
          <w:szCs w:val="24"/>
        </w:rPr>
        <w:t>;</w:t>
      </w:r>
    </w:p>
    <w:p w14:paraId="4CB06F38" w14:textId="52DFF4B2" w:rsidR="00102854" w:rsidRDefault="0049016D" w:rsidP="0021459F">
      <w:pPr>
        <w:pStyle w:val="Bullet"/>
        <w:numPr>
          <w:ilvl w:val="0"/>
          <w:numId w:val="20"/>
        </w:numPr>
        <w:rPr>
          <w:szCs w:val="24"/>
        </w:rPr>
      </w:pPr>
      <w:r>
        <w:rPr>
          <w:szCs w:val="24"/>
        </w:rPr>
        <w:t>not depart from the calculation in section 24</w:t>
      </w:r>
      <w:r w:rsidR="00600A3A">
        <w:rPr>
          <w:szCs w:val="24"/>
        </w:rPr>
        <w:t>; and</w:t>
      </w:r>
    </w:p>
    <w:p w14:paraId="5FD465A3" w14:textId="04D5614D" w:rsidR="0049016D" w:rsidRDefault="00E71502" w:rsidP="001B700D">
      <w:pPr>
        <w:pStyle w:val="Bullet"/>
        <w:numPr>
          <w:ilvl w:val="0"/>
          <w:numId w:val="20"/>
        </w:numPr>
      </w:pPr>
      <w:r>
        <w:t>not provide</w:t>
      </w:r>
      <w:r w:rsidR="00477B2D">
        <w:t xml:space="preserve"> for a capital allowance to be applied to cap</w:t>
      </w:r>
      <w:r w:rsidR="00084D04">
        <w:t>ital costs in a way that is inconsistent with sections 16, 17</w:t>
      </w:r>
      <w:r w:rsidR="00A371D3">
        <w:t>,</w:t>
      </w:r>
      <w:r w:rsidR="00084D04">
        <w:t xml:space="preserve"> 18</w:t>
      </w:r>
      <w:r w:rsidR="00A371D3">
        <w:t xml:space="preserve"> or 41A</w:t>
      </w:r>
      <w:r w:rsidR="00084D04">
        <w:t xml:space="preserve">. This requirement has the effect of preventing the Commissioner </w:t>
      </w:r>
      <w:proofErr w:type="gramStart"/>
      <w:r w:rsidR="00084D04">
        <w:t>entering into</w:t>
      </w:r>
      <w:proofErr w:type="gramEnd"/>
      <w:r w:rsidR="00084D04">
        <w:t xml:space="preserve"> an APA if</w:t>
      </w:r>
      <w:r>
        <w:t xml:space="preserve"> </w:t>
      </w:r>
      <w:r w:rsidR="00084D04">
        <w:t>it would provide a</w:t>
      </w:r>
      <w:r>
        <w:t xml:space="preserve"> more favourable outcome than the RPM</w:t>
      </w:r>
      <w:r w:rsidR="008B4629">
        <w:t>.</w:t>
      </w:r>
    </w:p>
    <w:p w14:paraId="093960DE" w14:textId="789BC296" w:rsidR="0089348D" w:rsidRDefault="002D55B0" w:rsidP="60078987">
      <w:pPr>
        <w:pStyle w:val="Bullet"/>
        <w:spacing w:line="259" w:lineRule="auto"/>
      </w:pPr>
      <w:r>
        <w:t>T</w:t>
      </w:r>
      <w:r w:rsidR="009D4B71">
        <w:t xml:space="preserve">he Commissioner </w:t>
      </w:r>
      <w:r w:rsidR="00A371D3">
        <w:t xml:space="preserve">may agree to the term of the APA and </w:t>
      </w:r>
      <w:r w:rsidR="009D4B71">
        <w:t xml:space="preserve">is not required to </w:t>
      </w:r>
      <w:r>
        <w:t xml:space="preserve">consider </w:t>
      </w:r>
      <w:r w:rsidR="005A1D87">
        <w:t>the length of an</w:t>
      </w:r>
      <w:r w:rsidR="0073410B">
        <w:t xml:space="preserve">y related sales contract when agreeing </w:t>
      </w:r>
      <w:r w:rsidR="00AF1CFA">
        <w:t xml:space="preserve">to the period over which </w:t>
      </w:r>
      <w:r w:rsidR="00334F5B">
        <w:t>an APA</w:t>
      </w:r>
      <w:r w:rsidR="00AF1CFA">
        <w:t xml:space="preserve"> applies</w:t>
      </w:r>
      <w:r w:rsidR="00334F5B">
        <w:t xml:space="preserve">. The overarching consideration for the Commissioner is whether </w:t>
      </w:r>
      <w:r w:rsidR="001D08EB">
        <w:t xml:space="preserve">the APA gives effect to the RPM. </w:t>
      </w:r>
      <w:r w:rsidR="0073410B">
        <w:t xml:space="preserve"> </w:t>
      </w:r>
    </w:p>
    <w:p w14:paraId="50319A43" w14:textId="64FA716D" w:rsidR="47EF6AE0" w:rsidRDefault="47EF6AE0" w:rsidP="60078987">
      <w:pPr>
        <w:pStyle w:val="Bullet"/>
        <w:spacing w:line="259" w:lineRule="auto"/>
      </w:pPr>
      <w:r>
        <w:t xml:space="preserve">Where an APA </w:t>
      </w:r>
      <w:r w:rsidR="000671FE">
        <w:t>was entered into</w:t>
      </w:r>
      <w:r>
        <w:t xml:space="preserve"> prior to the amendments to section 22, that APA will remain in effect</w:t>
      </w:r>
      <w:r w:rsidR="6BBACEDE">
        <w:t xml:space="preserve">. This will be the case even where the existing APA could not have been validly entered in to under the amended section 22. </w:t>
      </w:r>
      <w:r w:rsidR="004C1FA7">
        <w:t>However, participant</w:t>
      </w:r>
      <w:r w:rsidR="003D21F9">
        <w:t xml:space="preserve">s </w:t>
      </w:r>
      <w:r w:rsidR="00586A07">
        <w:t xml:space="preserve">to </w:t>
      </w:r>
      <w:r w:rsidR="00B669AD">
        <w:t>an existing APA</w:t>
      </w:r>
      <w:r w:rsidR="00586A07">
        <w:t xml:space="preserve"> may only </w:t>
      </w:r>
      <w:r w:rsidR="004C1FA7">
        <w:t xml:space="preserve">amend </w:t>
      </w:r>
      <w:r w:rsidR="00953945">
        <w:t>their</w:t>
      </w:r>
      <w:r w:rsidR="00B669AD">
        <w:t xml:space="preserve"> existing</w:t>
      </w:r>
      <w:r w:rsidR="00953945">
        <w:t xml:space="preserve"> APA</w:t>
      </w:r>
      <w:r w:rsidR="004E7F71">
        <w:t xml:space="preserve"> </w:t>
      </w:r>
      <w:r w:rsidR="002C191F">
        <w:t xml:space="preserve">if </w:t>
      </w:r>
      <w:r w:rsidR="004E7F71">
        <w:t xml:space="preserve">the </w:t>
      </w:r>
      <w:r w:rsidR="002C191F">
        <w:t>APA</w:t>
      </w:r>
      <w:r w:rsidR="009F7F20">
        <w:t xml:space="preserve"> (as amended)</w:t>
      </w:r>
      <w:r w:rsidR="002C191F">
        <w:t xml:space="preserve"> complies with the requirements </w:t>
      </w:r>
      <w:r w:rsidR="004E7F71">
        <w:t>o</w:t>
      </w:r>
      <w:r w:rsidR="002C191F">
        <w:t>f</w:t>
      </w:r>
      <w:r w:rsidR="004E7F71">
        <w:t xml:space="preserve"> section 22</w:t>
      </w:r>
      <w:r w:rsidR="005F39DD">
        <w:t>.</w:t>
      </w:r>
      <w:r w:rsidR="003F40A3">
        <w:t xml:space="preserve"> </w:t>
      </w:r>
    </w:p>
    <w:p w14:paraId="3E51894E" w14:textId="4698F598" w:rsidR="005457CA" w:rsidRPr="0078450A" w:rsidRDefault="007344E5" w:rsidP="005457CA">
      <w:pPr>
        <w:pStyle w:val="Bullet"/>
        <w:rPr>
          <w:u w:val="single"/>
        </w:rPr>
      </w:pPr>
      <w:r>
        <w:rPr>
          <w:u w:val="single"/>
        </w:rPr>
        <w:t xml:space="preserve">Part </w:t>
      </w:r>
      <w:r w:rsidR="00503F46">
        <w:rPr>
          <w:u w:val="single"/>
        </w:rPr>
        <w:t>1</w:t>
      </w:r>
      <w:r>
        <w:rPr>
          <w:u w:val="single"/>
        </w:rPr>
        <w:t xml:space="preserve"> (</w:t>
      </w:r>
      <w:r w:rsidR="00AC3290">
        <w:rPr>
          <w:u w:val="single"/>
        </w:rPr>
        <w:t>Section 23</w:t>
      </w:r>
      <w:r>
        <w:rPr>
          <w:u w:val="single"/>
        </w:rPr>
        <w:t>)</w:t>
      </w:r>
      <w:r w:rsidR="00AC3290">
        <w:rPr>
          <w:u w:val="single"/>
        </w:rPr>
        <w:t xml:space="preserve"> - </w:t>
      </w:r>
      <w:r w:rsidR="00F1449B" w:rsidRPr="3DD2C276">
        <w:rPr>
          <w:u w:val="single"/>
        </w:rPr>
        <w:t>The Comparable Uncontrolled Price</w:t>
      </w:r>
    </w:p>
    <w:p w14:paraId="06085F64" w14:textId="4A477169" w:rsidR="00706BB9" w:rsidRDefault="00706BB9" w:rsidP="00706BB9">
      <w:pPr>
        <w:pStyle w:val="Bullet"/>
        <w:spacing w:line="259" w:lineRule="auto"/>
      </w:pPr>
      <w:r>
        <w:t xml:space="preserve">Part </w:t>
      </w:r>
      <w:r w:rsidR="00503F46">
        <w:t>1</w:t>
      </w:r>
      <w:r>
        <w:t xml:space="preserve"> of Schedule 1 to the </w:t>
      </w:r>
      <w:r w:rsidR="00791423">
        <w:t>2024</w:t>
      </w:r>
      <w:r>
        <w:t xml:space="preserve"> Regulations implements recommendation </w:t>
      </w:r>
      <w:r w:rsidR="001A7892">
        <w:t>6</w:t>
      </w:r>
      <w:r>
        <w:t xml:space="preserve"> of the Treasury Review. Recommendation </w:t>
      </w:r>
      <w:r w:rsidR="001A7892">
        <w:t xml:space="preserve">6 updates the CUP rules to align with the </w:t>
      </w:r>
      <w:r w:rsidR="00051D44" w:rsidRPr="00051D44">
        <w:t xml:space="preserve">Organisation for Economic Co-operation and Development </w:t>
      </w:r>
      <w:r w:rsidR="00051D44">
        <w:t>(</w:t>
      </w:r>
      <w:r w:rsidR="001A7892">
        <w:t>OECD</w:t>
      </w:r>
      <w:r w:rsidR="00051D44">
        <w:t>)</w:t>
      </w:r>
      <w:r w:rsidR="001A7892">
        <w:t xml:space="preserve"> guidelines. In particular, the analysis for the CUP should be broadened to consider all reasonable conditions of a comparable transaction. Reasonably accurate adjustments would continue to be permitted.</w:t>
      </w:r>
    </w:p>
    <w:p w14:paraId="6F76C821" w14:textId="6C63E3A2" w:rsidR="009118F6" w:rsidRDefault="0056632B" w:rsidP="005457CA">
      <w:pPr>
        <w:pStyle w:val="Bullet"/>
      </w:pPr>
      <w:r>
        <w:t>Section 23 is amended so that</w:t>
      </w:r>
      <w:r w:rsidR="00B933B9">
        <w:t>:</w:t>
      </w:r>
      <w:r>
        <w:t xml:space="preserve"> </w:t>
      </w:r>
    </w:p>
    <w:p w14:paraId="07E341F7" w14:textId="0EFDDED8" w:rsidR="009118F6" w:rsidRPr="009118F6" w:rsidRDefault="0056632B" w:rsidP="009118F6">
      <w:pPr>
        <w:pStyle w:val="Bullet"/>
        <w:numPr>
          <w:ilvl w:val="0"/>
          <w:numId w:val="20"/>
        </w:numPr>
        <w:rPr>
          <w:szCs w:val="24"/>
        </w:rPr>
      </w:pPr>
      <w:r>
        <w:t xml:space="preserve">inconsistencies </w:t>
      </w:r>
      <w:r w:rsidR="00DE2086">
        <w:t>between</w:t>
      </w:r>
      <w:r>
        <w:t xml:space="preserve"> the</w:t>
      </w:r>
      <w:r w:rsidR="00DE2086">
        <w:t xml:space="preserve"> CUP method in the Regulation and the</w:t>
      </w:r>
      <w:r>
        <w:t xml:space="preserve"> OECD guidelines are removed</w:t>
      </w:r>
      <w:r w:rsidR="00AC3290">
        <w:t>;</w:t>
      </w:r>
      <w:r w:rsidR="00CF335C">
        <w:t xml:space="preserve"> and </w:t>
      </w:r>
    </w:p>
    <w:p w14:paraId="6F42BE83" w14:textId="3AE89685" w:rsidR="00E86B2D" w:rsidRPr="009118F6" w:rsidRDefault="00E86B2D" w:rsidP="009118F6">
      <w:pPr>
        <w:pStyle w:val="Bullet"/>
        <w:numPr>
          <w:ilvl w:val="0"/>
          <w:numId w:val="20"/>
        </w:numPr>
        <w:rPr>
          <w:szCs w:val="24"/>
        </w:rPr>
      </w:pPr>
      <w:r>
        <w:t xml:space="preserve">the factors that the Commissioner is required to </w:t>
      </w:r>
      <w:proofErr w:type="gramStart"/>
      <w:r>
        <w:t>take into account</w:t>
      </w:r>
      <w:proofErr w:type="gramEnd"/>
      <w:r>
        <w:t xml:space="preserve"> when assessing a proposed comparable transaction are broadened</w:t>
      </w:r>
      <w:r w:rsidR="00DE2086">
        <w:t>.</w:t>
      </w:r>
      <w:r w:rsidR="004E3BF4">
        <w:t xml:space="preserve"> </w:t>
      </w:r>
    </w:p>
    <w:p w14:paraId="44DCA211" w14:textId="4524EB33" w:rsidR="0010521A" w:rsidRDefault="004E3BF4" w:rsidP="005457CA">
      <w:pPr>
        <w:pStyle w:val="Bullet"/>
      </w:pPr>
      <w:r>
        <w:t>To that end, the term ‘comparable transaction</w:t>
      </w:r>
      <w:r w:rsidR="00631CF5">
        <w:t>’ is introduced.</w:t>
      </w:r>
      <w:r w:rsidR="00FE179E">
        <w:t xml:space="preserve"> The Commissioner must now be satisfied, in addition to existing criteria, that </w:t>
      </w:r>
      <w:r w:rsidR="00171500">
        <w:t xml:space="preserve">a price for sales gas </w:t>
      </w:r>
      <w:r w:rsidR="008B5DAA">
        <w:t>was obtained for</w:t>
      </w:r>
      <w:r w:rsidR="00171500">
        <w:t xml:space="preserve"> a ‘comparable transaction’</w:t>
      </w:r>
      <w:r w:rsidR="6F622B16">
        <w:t xml:space="preserve"> </w:t>
      </w:r>
      <w:r w:rsidR="2B45A4D6">
        <w:t xml:space="preserve">and </w:t>
      </w:r>
      <w:r w:rsidR="6F622B16">
        <w:t>at an arms-length price.</w:t>
      </w:r>
    </w:p>
    <w:p w14:paraId="172ADB9C" w14:textId="50C15FA9" w:rsidR="00F67E85" w:rsidRDefault="004837B3" w:rsidP="0036529B">
      <w:pPr>
        <w:pStyle w:val="Bullet"/>
      </w:pPr>
      <w:r>
        <w:t>Subsection 23(1) outlines where a comparable uncontrolled price will exist</w:t>
      </w:r>
      <w:r w:rsidR="00944A9E">
        <w:t xml:space="preserve"> in relation to a relevant transaction</w:t>
      </w:r>
      <w:r>
        <w:t>.</w:t>
      </w:r>
      <w:r w:rsidR="00F67E85">
        <w:t xml:space="preserve"> A comparable uncontrolled price </w:t>
      </w:r>
      <w:r w:rsidR="00FF1D31">
        <w:t xml:space="preserve">in relation to a relevant </w:t>
      </w:r>
      <w:r w:rsidR="00276CBB">
        <w:t>transaction</w:t>
      </w:r>
      <w:r w:rsidR="00FF1D31">
        <w:t xml:space="preserve"> </w:t>
      </w:r>
      <w:r w:rsidR="00F67E85">
        <w:t>will exist where</w:t>
      </w:r>
      <w:r w:rsidR="00AC3290">
        <w:t xml:space="preserve"> the</w:t>
      </w:r>
      <w:r w:rsidR="0036529B">
        <w:t>:</w:t>
      </w:r>
    </w:p>
    <w:p w14:paraId="1B2212F9" w14:textId="380D7820" w:rsidR="0036529B" w:rsidRPr="006259A1" w:rsidRDefault="0036529B" w:rsidP="0036529B">
      <w:pPr>
        <w:pStyle w:val="Bullet"/>
        <w:numPr>
          <w:ilvl w:val="0"/>
          <w:numId w:val="20"/>
        </w:numPr>
        <w:rPr>
          <w:szCs w:val="24"/>
        </w:rPr>
      </w:pPr>
      <w:r>
        <w:lastRenderedPageBreak/>
        <w:t>Commissioner is satisfied that the parties to the other transaction were dealing with each other at arm’s length;</w:t>
      </w:r>
    </w:p>
    <w:p w14:paraId="2C392286" w14:textId="2BFD088B" w:rsidR="006259A1" w:rsidRDefault="006259A1" w:rsidP="0036529B">
      <w:pPr>
        <w:pStyle w:val="Bullet"/>
        <w:numPr>
          <w:ilvl w:val="0"/>
          <w:numId w:val="20"/>
        </w:numPr>
        <w:rPr>
          <w:szCs w:val="24"/>
        </w:rPr>
      </w:pPr>
      <w:r>
        <w:t>other transaction is a comparable transaction to the relevant transaction; and</w:t>
      </w:r>
    </w:p>
    <w:p w14:paraId="053EA204" w14:textId="17409538" w:rsidR="0036529B" w:rsidRDefault="001816AD" w:rsidP="0036529B">
      <w:pPr>
        <w:pStyle w:val="Bullet"/>
        <w:numPr>
          <w:ilvl w:val="0"/>
          <w:numId w:val="20"/>
        </w:numPr>
        <w:rPr>
          <w:szCs w:val="24"/>
        </w:rPr>
      </w:pPr>
      <w:r>
        <w:rPr>
          <w:szCs w:val="24"/>
        </w:rPr>
        <w:t>other transaction was entered</w:t>
      </w:r>
      <w:r w:rsidR="0020796A">
        <w:rPr>
          <w:szCs w:val="24"/>
        </w:rPr>
        <w:t xml:space="preserve"> into in a market that the Commissioner is satisfied is a relevant market.</w:t>
      </w:r>
    </w:p>
    <w:p w14:paraId="30E37765" w14:textId="674614E6" w:rsidR="00F90E1A" w:rsidRDefault="00F90E1A" w:rsidP="005457CA">
      <w:pPr>
        <w:pStyle w:val="Bullet"/>
      </w:pPr>
      <w:r>
        <w:t xml:space="preserve">Subsection 23(2) </w:t>
      </w:r>
      <w:r w:rsidR="00443930">
        <w:t>reflects former subsection 23(5)</w:t>
      </w:r>
      <w:r w:rsidR="008E1D27">
        <w:t xml:space="preserve"> and defines ‘relevant transaction’.</w:t>
      </w:r>
    </w:p>
    <w:p w14:paraId="525570F1" w14:textId="33197045" w:rsidR="005300C8" w:rsidRPr="00AC3290" w:rsidRDefault="005300C8" w:rsidP="005457CA">
      <w:pPr>
        <w:pStyle w:val="Bullet"/>
        <w:rPr>
          <w:i/>
          <w:iCs/>
        </w:rPr>
      </w:pPr>
      <w:r>
        <w:rPr>
          <w:i/>
          <w:iCs/>
        </w:rPr>
        <w:t>Comparable transaction</w:t>
      </w:r>
    </w:p>
    <w:p w14:paraId="5747952C" w14:textId="781B6EF8" w:rsidR="00DB4545" w:rsidRDefault="00DF6998" w:rsidP="00B71D17">
      <w:pPr>
        <w:pStyle w:val="Bullet"/>
      </w:pPr>
      <w:r>
        <w:t>Subsection 23(3)</w:t>
      </w:r>
      <w:r w:rsidR="00631CF5">
        <w:t xml:space="preserve"> </w:t>
      </w:r>
      <w:r w:rsidR="00EB6EFB">
        <w:t xml:space="preserve">outlines the factors relevant to determining a </w:t>
      </w:r>
      <w:r w:rsidR="00934575">
        <w:t>‘comparable transaction</w:t>
      </w:r>
      <w:r w:rsidR="00991BF1">
        <w:t>’, which means</w:t>
      </w:r>
      <w:r w:rsidR="005450C2">
        <w:t>, in relation to a relevant transaction,</w:t>
      </w:r>
      <w:r w:rsidR="00991BF1">
        <w:t xml:space="preserve"> an</w:t>
      </w:r>
      <w:r w:rsidR="00F43E7B">
        <w:t>other transaction</w:t>
      </w:r>
      <w:r w:rsidR="00991BF1">
        <w:t xml:space="preserve"> that the Commissioner is satisfied is comparable to the relevant transaction</w:t>
      </w:r>
      <w:r w:rsidR="00B71D17">
        <w:t xml:space="preserve">. </w:t>
      </w:r>
      <w:r w:rsidR="00174493">
        <w:t xml:space="preserve">These factors </w:t>
      </w:r>
      <w:r w:rsidR="009F3839">
        <w:t>include</w:t>
      </w:r>
      <w:r w:rsidR="00B269AE">
        <w:t xml:space="preserve"> the</w:t>
      </w:r>
      <w:r w:rsidR="009F3839">
        <w:t>:</w:t>
      </w:r>
    </w:p>
    <w:p w14:paraId="1313177D" w14:textId="0C8597C9" w:rsidR="00493BD6" w:rsidRDefault="00C0157D" w:rsidP="004F071D">
      <w:pPr>
        <w:pStyle w:val="Bullet"/>
        <w:numPr>
          <w:ilvl w:val="0"/>
          <w:numId w:val="20"/>
        </w:numPr>
        <w:rPr>
          <w:szCs w:val="24"/>
        </w:rPr>
      </w:pPr>
      <w:r>
        <w:t>f</w:t>
      </w:r>
      <w:r w:rsidR="00CC2760">
        <w:t>unctions performed, assets use</w:t>
      </w:r>
      <w:r w:rsidR="006F04E7">
        <w:t>d</w:t>
      </w:r>
      <w:r w:rsidR="000E051C">
        <w:t>,</w:t>
      </w:r>
      <w:r>
        <w:t xml:space="preserve"> and</w:t>
      </w:r>
      <w:r w:rsidR="00CC2760">
        <w:t xml:space="preserve"> risk</w:t>
      </w:r>
      <w:r w:rsidR="005E0748">
        <w:t>s</w:t>
      </w:r>
      <w:r w:rsidR="00CC2760">
        <w:t xml:space="preserve"> borne</w:t>
      </w:r>
      <w:r>
        <w:t xml:space="preserve"> by</w:t>
      </w:r>
      <w:r w:rsidR="009B4065">
        <w:t>,</w:t>
      </w:r>
      <w:r w:rsidR="00467468">
        <w:t xml:space="preserve"> and</w:t>
      </w:r>
      <w:r w:rsidR="00085771">
        <w:t xml:space="preserve"> </w:t>
      </w:r>
      <w:r w:rsidR="005E0748">
        <w:t>business strategies</w:t>
      </w:r>
      <w:r w:rsidR="00467468">
        <w:t xml:space="preserve"> of</w:t>
      </w:r>
      <w:r w:rsidR="007976C3">
        <w:t>,</w:t>
      </w:r>
      <w:r w:rsidR="00467468">
        <w:t xml:space="preserve"> the entities involved in</w:t>
      </w:r>
      <w:r w:rsidR="007976C3">
        <w:t xml:space="preserve"> both</w:t>
      </w:r>
      <w:r w:rsidR="00467468">
        <w:t xml:space="preserve"> the relevant transaction</w:t>
      </w:r>
      <w:r w:rsidR="00FD2D80">
        <w:t xml:space="preserve"> and the other transaction</w:t>
      </w:r>
      <w:r w:rsidR="00874CAC">
        <w:t>;</w:t>
      </w:r>
    </w:p>
    <w:p w14:paraId="32B4C2F4" w14:textId="4CE12478" w:rsidR="000D7416" w:rsidRDefault="00493BD6" w:rsidP="004F071D">
      <w:pPr>
        <w:pStyle w:val="Bullet"/>
        <w:numPr>
          <w:ilvl w:val="0"/>
          <w:numId w:val="20"/>
        </w:numPr>
        <w:rPr>
          <w:szCs w:val="24"/>
        </w:rPr>
      </w:pPr>
      <w:r>
        <w:t>terms of any relevant contracts between</w:t>
      </w:r>
      <w:r w:rsidR="000821D8">
        <w:t xml:space="preserve"> the </w:t>
      </w:r>
      <w:r w:rsidR="00FD2D80">
        <w:t>part</w:t>
      </w:r>
      <w:r w:rsidR="000821D8">
        <w:t xml:space="preserve">ies involved in </w:t>
      </w:r>
      <w:r w:rsidR="005C5960">
        <w:t xml:space="preserve">both </w:t>
      </w:r>
      <w:r w:rsidR="000821D8">
        <w:t xml:space="preserve">the </w:t>
      </w:r>
      <w:r w:rsidR="005C5960">
        <w:t>relevant trans</w:t>
      </w:r>
      <w:r w:rsidR="000821D8">
        <w:t>act</w:t>
      </w:r>
      <w:r w:rsidR="005C5960">
        <w:t>ion</w:t>
      </w:r>
      <w:r w:rsidR="000821D8">
        <w:t xml:space="preserve"> and parties to the </w:t>
      </w:r>
      <w:r w:rsidR="005C5960">
        <w:t>o</w:t>
      </w:r>
      <w:r w:rsidR="000821D8">
        <w:t>t</w:t>
      </w:r>
      <w:r w:rsidR="005C5960">
        <w:t>her</w:t>
      </w:r>
      <w:r w:rsidR="000821D8">
        <w:t xml:space="preserve"> transaction</w:t>
      </w:r>
      <w:r w:rsidR="00874CAC">
        <w:t>;</w:t>
      </w:r>
    </w:p>
    <w:p w14:paraId="09AF6682" w14:textId="6EBDFFE6" w:rsidR="00176822" w:rsidRDefault="00176822" w:rsidP="004F071D">
      <w:pPr>
        <w:pStyle w:val="Bullet"/>
        <w:numPr>
          <w:ilvl w:val="0"/>
          <w:numId w:val="20"/>
        </w:numPr>
        <w:rPr>
          <w:szCs w:val="24"/>
        </w:rPr>
      </w:pPr>
      <w:r>
        <w:t>characteristics of any property or services transferred</w:t>
      </w:r>
      <w:r w:rsidR="00874CAC">
        <w:t>; and</w:t>
      </w:r>
    </w:p>
    <w:p w14:paraId="3A39C268" w14:textId="3593F663" w:rsidR="00742D90" w:rsidRDefault="00B269AE" w:rsidP="004F071D">
      <w:pPr>
        <w:pStyle w:val="Bullet"/>
        <w:numPr>
          <w:ilvl w:val="0"/>
          <w:numId w:val="20"/>
        </w:numPr>
      </w:pPr>
      <w:r>
        <w:t>economic circumstances</w:t>
      </w:r>
      <w:r w:rsidR="003A615F">
        <w:t>.</w:t>
      </w:r>
    </w:p>
    <w:p w14:paraId="108B0C35" w14:textId="772898B8" w:rsidR="00211046" w:rsidRDefault="00D75515" w:rsidP="005457CA">
      <w:pPr>
        <w:pStyle w:val="Bullet"/>
      </w:pPr>
      <w:r>
        <w:t>Subsection 23</w:t>
      </w:r>
      <w:r w:rsidR="001F6755">
        <w:t>(</w:t>
      </w:r>
      <w:r w:rsidR="00B71D17">
        <w:t>4</w:t>
      </w:r>
      <w:r w:rsidR="001F6755">
        <w:t>) allow</w:t>
      </w:r>
      <w:r w:rsidR="005300C8">
        <w:t>s</w:t>
      </w:r>
      <w:r w:rsidR="001F6755">
        <w:t xml:space="preserve"> the Commissioner to make a reasonably accurate adjustment </w:t>
      </w:r>
      <w:r w:rsidR="00167257">
        <w:t>to</w:t>
      </w:r>
      <w:r w:rsidR="006A5984">
        <w:t xml:space="preserve"> a price</w:t>
      </w:r>
      <w:r w:rsidR="00167257">
        <w:t xml:space="preserve"> </w:t>
      </w:r>
      <w:r w:rsidR="005C5960">
        <w:t xml:space="preserve">obtained for the transaction </w:t>
      </w:r>
      <w:r w:rsidR="00167257">
        <w:t xml:space="preserve">to eliminate </w:t>
      </w:r>
      <w:r w:rsidR="004B3E47">
        <w:t xml:space="preserve">the effect of any </w:t>
      </w:r>
      <w:r w:rsidR="00493285">
        <w:t>difference</w:t>
      </w:r>
      <w:r w:rsidR="00937372">
        <w:t xml:space="preserve"> between </w:t>
      </w:r>
      <w:r w:rsidR="0044650A">
        <w:t xml:space="preserve">the other transaction </w:t>
      </w:r>
      <w:r w:rsidR="00937372">
        <w:t xml:space="preserve">and </w:t>
      </w:r>
      <w:r w:rsidR="0044650A">
        <w:t>the</w:t>
      </w:r>
      <w:r w:rsidR="00937372">
        <w:t xml:space="preserve"> relevant transaction</w:t>
      </w:r>
      <w:r w:rsidR="00B24AC1">
        <w:t>. T</w:t>
      </w:r>
      <w:r w:rsidR="00150387">
        <w:t xml:space="preserve">o do this, the Commissioner must be satisfied that </w:t>
      </w:r>
      <w:r w:rsidR="000620B6">
        <w:t>doing so</w:t>
      </w:r>
      <w:r w:rsidR="00150387">
        <w:t xml:space="preserve"> is necessary to identify a CUP</w:t>
      </w:r>
      <w:r w:rsidR="004C7B13">
        <w:t xml:space="preserve"> in relation to a relevant transaction.</w:t>
      </w:r>
    </w:p>
    <w:p w14:paraId="3D113DE2" w14:textId="77777777" w:rsidR="004753AD" w:rsidRDefault="001F4A90" w:rsidP="00AC3290">
      <w:pPr>
        <w:pStyle w:val="Bullet"/>
      </w:pPr>
      <w:r>
        <w:t xml:space="preserve">Subsection 23(5) ensures that the Commissioner </w:t>
      </w:r>
      <w:r w:rsidR="00F576F6">
        <w:t xml:space="preserve">does not </w:t>
      </w:r>
      <w:proofErr w:type="gramStart"/>
      <w:r w:rsidR="00373DA5">
        <w:t>make adjustments</w:t>
      </w:r>
      <w:proofErr w:type="gramEnd"/>
      <w:r w:rsidR="00373DA5">
        <w:t xml:space="preserve"> which undermine the </w:t>
      </w:r>
      <w:r w:rsidR="00B1266D">
        <w:t>arm’s length nature of the other transaction</w:t>
      </w:r>
      <w:r w:rsidR="00573C78">
        <w:t xml:space="preserve">, as doing so would undermine </w:t>
      </w:r>
      <w:r w:rsidR="005F3D98">
        <w:t xml:space="preserve">the purpose of </w:t>
      </w:r>
      <w:r w:rsidR="00455D4A">
        <w:t>paragraph 2</w:t>
      </w:r>
      <w:r w:rsidR="000A28B0">
        <w:t>3</w:t>
      </w:r>
      <w:r w:rsidR="00455D4A">
        <w:t>(1)(a)</w:t>
      </w:r>
      <w:r w:rsidR="000A28B0">
        <w:t xml:space="preserve">. </w:t>
      </w:r>
    </w:p>
    <w:p w14:paraId="3C448C96" w14:textId="77777777" w:rsidR="00DB059E" w:rsidRDefault="00DB059E" w:rsidP="00DB059E">
      <w:pPr>
        <w:pStyle w:val="Bullet"/>
      </w:pPr>
      <w:r>
        <w:t>Once the adjustment has been made the Commissioner may treat the adjusted price of the other transaction as the CUP to the relevant transaction.</w:t>
      </w:r>
    </w:p>
    <w:p w14:paraId="2FF93EE2" w14:textId="5CEA123E" w:rsidR="00A2227B" w:rsidRDefault="00A2227B" w:rsidP="00A2227B">
      <w:pPr>
        <w:pStyle w:val="Bullet"/>
      </w:pPr>
      <w:r>
        <w:t>Subsection 23</w:t>
      </w:r>
      <w:r w:rsidR="004267C1">
        <w:t>(6) provides that t</w:t>
      </w:r>
      <w:r>
        <w:t>he Commissioner may be satisfied that the other transaction is comparable to the relevant transaction even if</w:t>
      </w:r>
      <w:r w:rsidR="004267C1">
        <w:t xml:space="preserve"> </w:t>
      </w:r>
      <w:r>
        <w:t>the parties to the other transaction dealt with each other at arm’s length in relation to the other transaction</w:t>
      </w:r>
      <w:r w:rsidR="00F515DA">
        <w:t>,</w:t>
      </w:r>
      <w:r>
        <w:t xml:space="preserve"> but</w:t>
      </w:r>
      <w:r w:rsidR="00F515DA">
        <w:t xml:space="preserve"> </w:t>
      </w:r>
      <w:r>
        <w:t>the parties to the relevant transaction did not deal with each other at arm’s length in relation to the relevant transaction.</w:t>
      </w:r>
      <w:r w:rsidR="006B12E7">
        <w:t xml:space="preserve"> This subsection </w:t>
      </w:r>
      <w:r w:rsidR="004F4A12">
        <w:t>ensures</w:t>
      </w:r>
      <w:r w:rsidR="006B12E7">
        <w:t xml:space="preserve"> that the mere difference </w:t>
      </w:r>
      <w:r w:rsidR="00DB059E">
        <w:t>of the</w:t>
      </w:r>
      <w:r w:rsidR="008510A7">
        <w:t xml:space="preserve"> arm’s length nature of the transactions does not prevent </w:t>
      </w:r>
      <w:r w:rsidR="00881657">
        <w:t xml:space="preserve">a comparable transaction from being identified. </w:t>
      </w:r>
    </w:p>
    <w:p w14:paraId="0E17E633" w14:textId="2ACC3204" w:rsidR="0044650A" w:rsidRPr="00AC3290" w:rsidRDefault="004B3E47" w:rsidP="00AC3290">
      <w:pPr>
        <w:pStyle w:val="Bullet"/>
        <w:rPr>
          <w:i/>
          <w:iCs/>
        </w:rPr>
      </w:pPr>
      <w:r>
        <w:rPr>
          <w:i/>
          <w:iCs/>
        </w:rPr>
        <w:t>R</w:t>
      </w:r>
      <w:r w:rsidR="0044650A">
        <w:rPr>
          <w:i/>
          <w:iCs/>
        </w:rPr>
        <w:t xml:space="preserve">elevant market </w:t>
      </w:r>
    </w:p>
    <w:p w14:paraId="1D395E64" w14:textId="66B96BFB" w:rsidR="00211046" w:rsidRDefault="005C17E5" w:rsidP="005457CA">
      <w:pPr>
        <w:pStyle w:val="Bullet"/>
      </w:pPr>
      <w:r>
        <w:t>Subsection 23(</w:t>
      </w:r>
      <w:r w:rsidR="00DB059E">
        <w:t>7</w:t>
      </w:r>
      <w:r>
        <w:t xml:space="preserve">) </w:t>
      </w:r>
      <w:r w:rsidR="00B55AB7">
        <w:t>provides</w:t>
      </w:r>
      <w:r>
        <w:t xml:space="preserve"> that, </w:t>
      </w:r>
      <w:proofErr w:type="gramStart"/>
      <w:r w:rsidR="000A436A">
        <w:t xml:space="preserve">in order </w:t>
      </w:r>
      <w:r>
        <w:t>to</w:t>
      </w:r>
      <w:proofErr w:type="gramEnd"/>
      <w:r>
        <w:t xml:space="preserve"> be satisfied that the market is relevant</w:t>
      </w:r>
      <w:r w:rsidR="00D42EB9">
        <w:t xml:space="preserve"> (which i</w:t>
      </w:r>
      <w:r w:rsidR="00653666">
        <w:t>s a requirement of paragraph 23(1)(a)</w:t>
      </w:r>
      <w:r w:rsidR="003B33AF">
        <w:t>)</w:t>
      </w:r>
      <w:r>
        <w:t xml:space="preserve">, the Commissioner </w:t>
      </w:r>
      <w:r w:rsidR="000A436A">
        <w:t>must take into account</w:t>
      </w:r>
      <w:r w:rsidR="00653666">
        <w:t>:</w:t>
      </w:r>
    </w:p>
    <w:p w14:paraId="169D09B0" w14:textId="0A10693B" w:rsidR="00D9482E" w:rsidRDefault="00D9482E" w:rsidP="00653666">
      <w:pPr>
        <w:pStyle w:val="Bullet"/>
        <w:numPr>
          <w:ilvl w:val="0"/>
          <w:numId w:val="20"/>
        </w:numPr>
      </w:pPr>
      <w:r>
        <w:lastRenderedPageBreak/>
        <w:t>the supply and demand characteristics of the market, including:</w:t>
      </w:r>
    </w:p>
    <w:p w14:paraId="7E6F2D7C" w14:textId="578B5086" w:rsidR="00653666" w:rsidRDefault="00290225" w:rsidP="00AC3290">
      <w:pPr>
        <w:pStyle w:val="Bullet"/>
        <w:numPr>
          <w:ilvl w:val="1"/>
          <w:numId w:val="20"/>
        </w:numPr>
      </w:pPr>
      <w:r>
        <w:t>the composition of the sales gas sold in the market and</w:t>
      </w:r>
    </w:p>
    <w:p w14:paraId="322E8205" w14:textId="1A348EE9" w:rsidR="00290225" w:rsidRDefault="00290225" w:rsidP="00AC3290">
      <w:pPr>
        <w:pStyle w:val="Bullet"/>
        <w:numPr>
          <w:ilvl w:val="1"/>
          <w:numId w:val="20"/>
        </w:numPr>
      </w:pPr>
      <w:r>
        <w:t xml:space="preserve">geographic differences between the production facilities and the product delivery point of the sales gas sold in the </w:t>
      </w:r>
      <w:r w:rsidR="00DB1575">
        <w:t>market and</w:t>
      </w:r>
    </w:p>
    <w:p w14:paraId="5FDCD012" w14:textId="56323F76" w:rsidR="00DB1575" w:rsidRDefault="00DB1575" w:rsidP="00AC3290">
      <w:pPr>
        <w:pStyle w:val="Bullet"/>
        <w:numPr>
          <w:ilvl w:val="1"/>
          <w:numId w:val="20"/>
        </w:numPr>
      </w:pPr>
      <w:r>
        <w:t>the end use for the sales gas sold in the market</w:t>
      </w:r>
      <w:r w:rsidR="00D9482E">
        <w:t>;</w:t>
      </w:r>
    </w:p>
    <w:p w14:paraId="7C2A72BB" w14:textId="50629FBA" w:rsidR="007A3538" w:rsidRDefault="00204A6D" w:rsidP="007A3538">
      <w:pPr>
        <w:pStyle w:val="Bullet"/>
        <w:numPr>
          <w:ilvl w:val="0"/>
          <w:numId w:val="20"/>
        </w:numPr>
      </w:pPr>
      <w:r>
        <w:t>the terms of contracts usual in the market</w:t>
      </w:r>
      <w:r w:rsidR="00DA5174">
        <w:t xml:space="preserve">, and conditions </w:t>
      </w:r>
      <w:r w:rsidR="000E7DCE">
        <w:t>reasonably considered to affect the price</w:t>
      </w:r>
      <w:r w:rsidR="00D9482E">
        <w:t>;</w:t>
      </w:r>
    </w:p>
    <w:p w14:paraId="05E7B654" w14:textId="0989824D" w:rsidR="000E7DCE" w:rsidRDefault="000E7DCE" w:rsidP="007A3538">
      <w:pPr>
        <w:pStyle w:val="Bullet"/>
        <w:numPr>
          <w:ilvl w:val="0"/>
          <w:numId w:val="20"/>
        </w:numPr>
      </w:pPr>
      <w:r>
        <w:t>market strategies</w:t>
      </w:r>
      <w:r w:rsidR="00D9482E">
        <w:t>;</w:t>
      </w:r>
    </w:p>
    <w:p w14:paraId="73E37EEB" w14:textId="4387A8A1" w:rsidR="00620F79" w:rsidRDefault="00620F79" w:rsidP="007A3538">
      <w:pPr>
        <w:pStyle w:val="Bullet"/>
        <w:numPr>
          <w:ilvl w:val="0"/>
          <w:numId w:val="20"/>
        </w:numPr>
      </w:pPr>
      <w:r>
        <w:t xml:space="preserve">spot sales, if they are below or above marginal </w:t>
      </w:r>
      <w:proofErr w:type="gramStart"/>
      <w:r>
        <w:t>cost</w:t>
      </w:r>
      <w:r w:rsidR="00D9482E">
        <w:t>;</w:t>
      </w:r>
      <w:proofErr w:type="gramEnd"/>
    </w:p>
    <w:p w14:paraId="6894781E" w14:textId="1082EC09" w:rsidR="00620F79" w:rsidRDefault="00620F79" w:rsidP="007A3538">
      <w:pPr>
        <w:pStyle w:val="Bullet"/>
        <w:numPr>
          <w:ilvl w:val="0"/>
          <w:numId w:val="20"/>
        </w:numPr>
      </w:pPr>
      <w:r>
        <w:t>processing costs</w:t>
      </w:r>
      <w:r w:rsidR="00D9482E">
        <w:t>;</w:t>
      </w:r>
    </w:p>
    <w:p w14:paraId="4E3942F5" w14:textId="58A0FFD5" w:rsidR="00620F79" w:rsidRDefault="00620F79" w:rsidP="007A3538">
      <w:pPr>
        <w:pStyle w:val="Bullet"/>
        <w:numPr>
          <w:ilvl w:val="0"/>
          <w:numId w:val="20"/>
        </w:numPr>
      </w:pPr>
      <w:r>
        <w:t>technology used in processing</w:t>
      </w:r>
      <w:r w:rsidR="00D9482E">
        <w:t>; and</w:t>
      </w:r>
    </w:p>
    <w:p w14:paraId="6F1BFEA7" w14:textId="586CA749" w:rsidR="00F34931" w:rsidRDefault="00F34931" w:rsidP="007A3538">
      <w:pPr>
        <w:pStyle w:val="Bullet"/>
        <w:numPr>
          <w:ilvl w:val="0"/>
          <w:numId w:val="20"/>
        </w:numPr>
      </w:pPr>
      <w:r>
        <w:t>any factor that would be reasonable to consider.</w:t>
      </w:r>
    </w:p>
    <w:p w14:paraId="277CB7D8" w14:textId="79F23B5C" w:rsidR="005457CA" w:rsidRDefault="007344E5" w:rsidP="005457CA">
      <w:pPr>
        <w:pStyle w:val="Bullet"/>
        <w:rPr>
          <w:u w:val="single"/>
        </w:rPr>
      </w:pPr>
      <w:r>
        <w:rPr>
          <w:u w:val="single"/>
        </w:rPr>
        <w:t xml:space="preserve">Part </w:t>
      </w:r>
      <w:r w:rsidR="002B16AB">
        <w:rPr>
          <w:u w:val="single"/>
        </w:rPr>
        <w:t>3</w:t>
      </w:r>
      <w:r>
        <w:rPr>
          <w:u w:val="single"/>
        </w:rPr>
        <w:t xml:space="preserve"> (</w:t>
      </w:r>
      <w:r w:rsidR="00AC3290">
        <w:rPr>
          <w:u w:val="single"/>
        </w:rPr>
        <w:t>Section</w:t>
      </w:r>
      <w:r w:rsidR="00F92F37">
        <w:rPr>
          <w:u w:val="single"/>
        </w:rPr>
        <w:t>s</w:t>
      </w:r>
      <w:r w:rsidR="00AC3290">
        <w:rPr>
          <w:u w:val="single"/>
        </w:rPr>
        <w:t xml:space="preserve"> 24</w:t>
      </w:r>
      <w:r w:rsidR="00F92F37">
        <w:rPr>
          <w:u w:val="single"/>
        </w:rPr>
        <w:t xml:space="preserve"> and </w:t>
      </w:r>
      <w:r w:rsidR="00544D91">
        <w:rPr>
          <w:u w:val="single"/>
        </w:rPr>
        <w:t>35</w:t>
      </w:r>
      <w:r>
        <w:rPr>
          <w:u w:val="single"/>
        </w:rPr>
        <w:t>)</w:t>
      </w:r>
      <w:r w:rsidR="00AC3290">
        <w:rPr>
          <w:u w:val="single"/>
        </w:rPr>
        <w:t xml:space="preserve"> </w:t>
      </w:r>
      <w:r w:rsidR="005457CA" w:rsidRPr="3DD2C276">
        <w:rPr>
          <w:u w:val="single"/>
        </w:rPr>
        <w:t xml:space="preserve">– Upstream/Downstream Treatment in a Profit/Loss Situation </w:t>
      </w:r>
    </w:p>
    <w:p w14:paraId="4230A18F" w14:textId="3817A0DF" w:rsidR="007F5A92" w:rsidRDefault="007F5A92" w:rsidP="007F5A92">
      <w:pPr>
        <w:pStyle w:val="Bullet"/>
        <w:spacing w:line="259" w:lineRule="auto"/>
      </w:pPr>
      <w:r>
        <w:t xml:space="preserve">Part </w:t>
      </w:r>
      <w:r w:rsidR="002B16AB">
        <w:t>3</w:t>
      </w:r>
      <w:r>
        <w:t xml:space="preserve"> of Schedule 1 to the </w:t>
      </w:r>
      <w:r w:rsidR="00791423">
        <w:t>2024</w:t>
      </w:r>
      <w:r>
        <w:t xml:space="preserve"> Regulations implements recommendation 5 of the Treasury Review. Recommendation 5</w:t>
      </w:r>
      <w:r w:rsidR="00ED1A90">
        <w:t xml:space="preserve"> equalises the treatment of the notional upstream and downstream entities between loss </w:t>
      </w:r>
      <w:r w:rsidR="00CE074B">
        <w:t xml:space="preserve">and profit </w:t>
      </w:r>
      <w:r w:rsidR="00ED1A90">
        <w:t>situations</w:t>
      </w:r>
      <w:r>
        <w:t>.</w:t>
      </w:r>
    </w:p>
    <w:p w14:paraId="76A58FA4" w14:textId="7A01E5BB" w:rsidR="005457CA" w:rsidRDefault="005457CA" w:rsidP="005457CA">
      <w:pPr>
        <w:pStyle w:val="Bullet"/>
        <w:spacing w:line="259" w:lineRule="auto"/>
      </w:pPr>
      <w:r>
        <w:t xml:space="preserve">Section 24 is amended so that the formula in subsection 24(b) applies in all circumstances. </w:t>
      </w:r>
      <w:r w:rsidR="004A7908">
        <w:t xml:space="preserve">Prior to this amendment, </w:t>
      </w:r>
      <w:r>
        <w:t>the formula in subsection 24(b) only applie</w:t>
      </w:r>
      <w:r w:rsidR="004A7908">
        <w:t>d</w:t>
      </w:r>
      <w:r>
        <w:t xml:space="preserve"> in profit situations</w:t>
      </w:r>
      <w:r w:rsidR="00D51B9E">
        <w:t xml:space="preserve"> (netback price greater than cost-plus price)</w:t>
      </w:r>
      <w:r>
        <w:t xml:space="preserve">. </w:t>
      </w:r>
    </w:p>
    <w:p w14:paraId="488483EF" w14:textId="194FF584" w:rsidR="005457CA" w:rsidRDefault="005457CA" w:rsidP="005457CA">
      <w:pPr>
        <w:pStyle w:val="Bullet"/>
        <w:spacing w:line="259" w:lineRule="auto"/>
      </w:pPr>
      <w:r>
        <w:t>The amendment prevents a project</w:t>
      </w:r>
      <w:r w:rsidR="00181DEE">
        <w:t>’</w:t>
      </w:r>
      <w:r>
        <w:t>s notional loss</w:t>
      </w:r>
      <w:r w:rsidR="00CB6057">
        <w:t xml:space="preserve"> (</w:t>
      </w:r>
      <w:r>
        <w:t xml:space="preserve">netback price is </w:t>
      </w:r>
      <w:r w:rsidR="00D51B9E">
        <w:t>less</w:t>
      </w:r>
      <w:r>
        <w:t xml:space="preserve"> than the cost-plus price</w:t>
      </w:r>
      <w:r w:rsidR="00CB6057">
        <w:t>)</w:t>
      </w:r>
      <w:r>
        <w:t xml:space="preserve"> being attributed solely to the upstream part of the project. The amendment provides a symmetric treatment</w:t>
      </w:r>
      <w:r w:rsidR="00403670">
        <w:t xml:space="preserve"> between the netback and cost-plus price in both</w:t>
      </w:r>
      <w:r>
        <w:t xml:space="preserve"> profit and loss situations. </w:t>
      </w:r>
    </w:p>
    <w:p w14:paraId="6176A261" w14:textId="5B5A853E" w:rsidR="114A5AD7" w:rsidRDefault="007344E5" w:rsidP="0A02A21B">
      <w:pPr>
        <w:pStyle w:val="Bullet"/>
        <w:rPr>
          <w:u w:val="single"/>
        </w:rPr>
      </w:pPr>
      <w:r>
        <w:rPr>
          <w:u w:val="single"/>
        </w:rPr>
        <w:t xml:space="preserve">Part </w:t>
      </w:r>
      <w:r w:rsidR="0037258C">
        <w:rPr>
          <w:u w:val="single"/>
        </w:rPr>
        <w:t>5</w:t>
      </w:r>
      <w:r w:rsidRPr="007344E5">
        <w:rPr>
          <w:u w:val="single"/>
        </w:rPr>
        <w:t xml:space="preserve"> </w:t>
      </w:r>
      <w:r>
        <w:rPr>
          <w:u w:val="single"/>
        </w:rPr>
        <w:t>(Sections 31 and 41A)</w:t>
      </w:r>
      <w:r w:rsidR="001A6F81">
        <w:rPr>
          <w:u w:val="single"/>
        </w:rPr>
        <w:t xml:space="preserve"> -</w:t>
      </w:r>
      <w:r w:rsidR="114A5AD7" w:rsidRPr="0A02A21B">
        <w:rPr>
          <w:u w:val="single"/>
        </w:rPr>
        <w:t xml:space="preserve"> Capital Costs for Facilities Entering the PRRT System</w:t>
      </w:r>
    </w:p>
    <w:p w14:paraId="178347DA" w14:textId="5881DEDB" w:rsidR="00255366" w:rsidRPr="005F73EB" w:rsidRDefault="00255366" w:rsidP="000363F0">
      <w:pPr>
        <w:pStyle w:val="Bullet"/>
        <w:spacing w:line="259" w:lineRule="auto"/>
      </w:pPr>
      <w:r>
        <w:t xml:space="preserve">Part </w:t>
      </w:r>
      <w:r w:rsidR="0037258C">
        <w:t>5</w:t>
      </w:r>
      <w:r>
        <w:t xml:space="preserve"> of Schedule 1 to the </w:t>
      </w:r>
      <w:r w:rsidR="00791423">
        <w:t>2024</w:t>
      </w:r>
      <w:r>
        <w:t xml:space="preserve"> Regulations implements recommendation </w:t>
      </w:r>
      <w:r w:rsidR="006142B7">
        <w:t>11</w:t>
      </w:r>
      <w:r>
        <w:t xml:space="preserve"> of the Treasury Review. Recommendation </w:t>
      </w:r>
      <w:r w:rsidR="006142B7">
        <w:t>11</w:t>
      </w:r>
      <w:r>
        <w:t xml:space="preserve"> </w:t>
      </w:r>
      <w:r w:rsidR="005F73EB">
        <w:t xml:space="preserve">includes appropriate costs in the upstream cost base, with an appropriate way of bringing </w:t>
      </w:r>
      <w:r w:rsidR="004649A9">
        <w:t xml:space="preserve">upstream and downstream costs of capital equipment </w:t>
      </w:r>
      <w:r w:rsidR="003D18D8">
        <w:t xml:space="preserve">that were </w:t>
      </w:r>
      <w:r w:rsidR="003D18D8" w:rsidRPr="003D18D8">
        <w:t>previously not included in the PRRT regime</w:t>
      </w:r>
      <w:r w:rsidR="00C6159A">
        <w:t xml:space="preserve"> in</w:t>
      </w:r>
      <w:r w:rsidR="005F73EB">
        <w:t xml:space="preserve">to </w:t>
      </w:r>
      <w:r w:rsidR="007E0D27">
        <w:t xml:space="preserve">the </w:t>
      </w:r>
      <w:r w:rsidR="005F73EB">
        <w:t>c</w:t>
      </w:r>
      <w:r w:rsidR="007E0D27">
        <w:t>alculations of the RPM</w:t>
      </w:r>
      <w:r w:rsidR="005F73EB">
        <w:t>.</w:t>
      </w:r>
      <w:r w:rsidR="007A0004">
        <w:t xml:space="preserve"> </w:t>
      </w:r>
    </w:p>
    <w:p w14:paraId="195968B3" w14:textId="431250EE" w:rsidR="008B096F" w:rsidRDefault="008B096F" w:rsidP="0A02A21B">
      <w:pPr>
        <w:pStyle w:val="Bullet"/>
        <w:rPr>
          <w:szCs w:val="24"/>
        </w:rPr>
      </w:pPr>
      <w:r>
        <w:rPr>
          <w:szCs w:val="24"/>
        </w:rPr>
        <w:t xml:space="preserve">Step 1 of the RPM </w:t>
      </w:r>
      <w:r w:rsidR="00326DDE">
        <w:rPr>
          <w:szCs w:val="24"/>
        </w:rPr>
        <w:t xml:space="preserve">requires taxpayers to, under section 31, </w:t>
      </w:r>
      <w:r w:rsidR="00326DDE" w:rsidRPr="00326DDE">
        <w:rPr>
          <w:szCs w:val="24"/>
        </w:rPr>
        <w:t>identify all types of cost associated with the integrated operation up to and including the assessment year</w:t>
      </w:r>
      <w:r w:rsidR="00326DDE">
        <w:rPr>
          <w:szCs w:val="24"/>
        </w:rPr>
        <w:t xml:space="preserve">. </w:t>
      </w:r>
      <w:r w:rsidR="00292A13">
        <w:rPr>
          <w:szCs w:val="24"/>
        </w:rPr>
        <w:t xml:space="preserve">Section 31 sets out the types of costs associated with an integrated operation. </w:t>
      </w:r>
      <w:r w:rsidR="0097794D">
        <w:rPr>
          <w:szCs w:val="24"/>
        </w:rPr>
        <w:t>Broadly, e</w:t>
      </w:r>
      <w:r w:rsidR="007A0004">
        <w:rPr>
          <w:szCs w:val="24"/>
        </w:rPr>
        <w:t xml:space="preserve">xisting subsection 31(2) requires </w:t>
      </w:r>
      <w:r w:rsidR="0097794D">
        <w:rPr>
          <w:szCs w:val="24"/>
        </w:rPr>
        <w:t>taxpayers to i</w:t>
      </w:r>
      <w:r w:rsidR="0097794D" w:rsidRPr="0097794D">
        <w:rPr>
          <w:szCs w:val="24"/>
        </w:rPr>
        <w:t>nclude all costs incurred by the participants that are attributabl</w:t>
      </w:r>
      <w:r w:rsidR="0097794D">
        <w:rPr>
          <w:szCs w:val="24"/>
        </w:rPr>
        <w:t xml:space="preserve">e </w:t>
      </w:r>
      <w:r w:rsidR="0097794D" w:rsidRPr="0097794D">
        <w:rPr>
          <w:szCs w:val="24"/>
        </w:rPr>
        <w:t>to the operation, whether incurred during the operating life of the operation or before the production year.</w:t>
      </w:r>
    </w:p>
    <w:p w14:paraId="56AD72B7" w14:textId="30447F9D" w:rsidR="005F4A49" w:rsidRDefault="005F4A49" w:rsidP="0A02A21B">
      <w:pPr>
        <w:pStyle w:val="Bullet"/>
        <w:rPr>
          <w:szCs w:val="24"/>
        </w:rPr>
      </w:pPr>
      <w:r>
        <w:rPr>
          <w:szCs w:val="24"/>
        </w:rPr>
        <w:lastRenderedPageBreak/>
        <w:t xml:space="preserve">Broadly, the new provisions in </w:t>
      </w:r>
      <w:r w:rsidR="00AD300C">
        <w:rPr>
          <w:szCs w:val="24"/>
        </w:rPr>
        <w:t xml:space="preserve">section 31 </w:t>
      </w:r>
      <w:r w:rsidR="00C6196A">
        <w:rPr>
          <w:szCs w:val="24"/>
        </w:rPr>
        <w:t xml:space="preserve">operate in relation to </w:t>
      </w:r>
      <w:r w:rsidR="00D25A0A">
        <w:rPr>
          <w:szCs w:val="24"/>
        </w:rPr>
        <w:t>‘brought-in unit</w:t>
      </w:r>
      <w:r w:rsidR="009A64C4">
        <w:rPr>
          <w:szCs w:val="24"/>
        </w:rPr>
        <w:t>s</w:t>
      </w:r>
      <w:r w:rsidR="00D25A0A">
        <w:rPr>
          <w:szCs w:val="24"/>
        </w:rPr>
        <w:t xml:space="preserve"> of property’. These </w:t>
      </w:r>
      <w:r w:rsidR="009A64C4">
        <w:rPr>
          <w:szCs w:val="24"/>
        </w:rPr>
        <w:t xml:space="preserve">are </w:t>
      </w:r>
      <w:r w:rsidR="00D25A0A">
        <w:rPr>
          <w:szCs w:val="24"/>
        </w:rPr>
        <w:t xml:space="preserve">units of property </w:t>
      </w:r>
      <w:r w:rsidR="009A64C4">
        <w:rPr>
          <w:szCs w:val="24"/>
        </w:rPr>
        <w:t xml:space="preserve">which </w:t>
      </w:r>
      <w:r w:rsidR="00D25A0A">
        <w:rPr>
          <w:szCs w:val="24"/>
        </w:rPr>
        <w:t xml:space="preserve">were </w:t>
      </w:r>
      <w:r w:rsidR="00511E58">
        <w:rPr>
          <w:szCs w:val="24"/>
        </w:rPr>
        <w:t xml:space="preserve">not originally intended to be used in the relevant operation but </w:t>
      </w:r>
      <w:r w:rsidR="002F186C">
        <w:rPr>
          <w:szCs w:val="24"/>
        </w:rPr>
        <w:t>are later used in the operation. T</w:t>
      </w:r>
      <w:r w:rsidR="00580AE0">
        <w:rPr>
          <w:szCs w:val="24"/>
        </w:rPr>
        <w:t xml:space="preserve">he new provisions in section 31 are intended to remove </w:t>
      </w:r>
      <w:r w:rsidR="00535A26">
        <w:rPr>
          <w:szCs w:val="24"/>
        </w:rPr>
        <w:t>all</w:t>
      </w:r>
      <w:r w:rsidR="00BC7D47">
        <w:rPr>
          <w:szCs w:val="24"/>
        </w:rPr>
        <w:t xml:space="preserve"> costs </w:t>
      </w:r>
      <w:r w:rsidR="00B22AAD">
        <w:rPr>
          <w:szCs w:val="24"/>
        </w:rPr>
        <w:t xml:space="preserve">incurred </w:t>
      </w:r>
      <w:r w:rsidR="00BC7D47">
        <w:rPr>
          <w:szCs w:val="24"/>
        </w:rPr>
        <w:t xml:space="preserve">in relation to these units of property from </w:t>
      </w:r>
      <w:r w:rsidR="009720FB">
        <w:rPr>
          <w:szCs w:val="24"/>
        </w:rPr>
        <w:t>the scope of subsection 31(2)</w:t>
      </w:r>
      <w:r w:rsidR="00535A26">
        <w:rPr>
          <w:szCs w:val="24"/>
        </w:rPr>
        <w:t xml:space="preserve">, </w:t>
      </w:r>
      <w:r w:rsidR="007C7E07">
        <w:rPr>
          <w:szCs w:val="24"/>
        </w:rPr>
        <w:t xml:space="preserve">and for these costs to </w:t>
      </w:r>
      <w:r w:rsidR="00336D8A">
        <w:rPr>
          <w:szCs w:val="24"/>
        </w:rPr>
        <w:t xml:space="preserve">instead </w:t>
      </w:r>
      <w:r w:rsidR="007C7E07">
        <w:rPr>
          <w:szCs w:val="24"/>
        </w:rPr>
        <w:t xml:space="preserve">be exclusively dealt with under </w:t>
      </w:r>
      <w:r w:rsidR="00334E6E">
        <w:rPr>
          <w:szCs w:val="24"/>
        </w:rPr>
        <w:t xml:space="preserve">subsection 31(8). </w:t>
      </w:r>
      <w:r w:rsidR="00336D8A">
        <w:rPr>
          <w:szCs w:val="24"/>
        </w:rPr>
        <w:t>S</w:t>
      </w:r>
      <w:r w:rsidR="00501D06">
        <w:rPr>
          <w:szCs w:val="24"/>
        </w:rPr>
        <w:t>ubsection 31(8)</w:t>
      </w:r>
      <w:r w:rsidR="00336D8A">
        <w:rPr>
          <w:szCs w:val="24"/>
        </w:rPr>
        <w:t xml:space="preserve"> only allows for some of these costs </w:t>
      </w:r>
      <w:r w:rsidR="004D3171">
        <w:rPr>
          <w:szCs w:val="24"/>
        </w:rPr>
        <w:t xml:space="preserve">to be included, </w:t>
      </w:r>
      <w:r w:rsidR="00255CE7">
        <w:rPr>
          <w:szCs w:val="24"/>
        </w:rPr>
        <w:t xml:space="preserve">which </w:t>
      </w:r>
      <w:r w:rsidR="00D17AAA">
        <w:rPr>
          <w:szCs w:val="24"/>
        </w:rPr>
        <w:t xml:space="preserve">are generally the </w:t>
      </w:r>
      <w:r w:rsidR="00501D06">
        <w:rPr>
          <w:szCs w:val="24"/>
        </w:rPr>
        <w:t xml:space="preserve">original </w:t>
      </w:r>
      <w:r w:rsidR="00AE1F29">
        <w:rPr>
          <w:szCs w:val="24"/>
        </w:rPr>
        <w:t xml:space="preserve">construction </w:t>
      </w:r>
      <w:r w:rsidR="00501D06">
        <w:rPr>
          <w:szCs w:val="24"/>
        </w:rPr>
        <w:t xml:space="preserve">costs </w:t>
      </w:r>
      <w:r w:rsidR="007324AE">
        <w:rPr>
          <w:szCs w:val="24"/>
        </w:rPr>
        <w:t xml:space="preserve">of the </w:t>
      </w:r>
      <w:r w:rsidR="003B516E">
        <w:rPr>
          <w:szCs w:val="24"/>
        </w:rPr>
        <w:t>unit of property</w:t>
      </w:r>
      <w:r w:rsidR="00501D06">
        <w:rPr>
          <w:szCs w:val="24"/>
        </w:rPr>
        <w:t>.</w:t>
      </w:r>
      <w:r w:rsidR="00351CE0">
        <w:rPr>
          <w:szCs w:val="24"/>
        </w:rPr>
        <w:t xml:space="preserve"> To bring these original costs to current values, </w:t>
      </w:r>
      <w:r w:rsidR="00306E72">
        <w:rPr>
          <w:szCs w:val="24"/>
        </w:rPr>
        <w:t xml:space="preserve">the original costs are indexed </w:t>
      </w:r>
      <w:r w:rsidR="00754C8B">
        <w:rPr>
          <w:szCs w:val="24"/>
        </w:rPr>
        <w:t xml:space="preserve">by </w:t>
      </w:r>
      <w:r w:rsidR="00351CE0">
        <w:rPr>
          <w:szCs w:val="24"/>
        </w:rPr>
        <w:t>the GDP deflator</w:t>
      </w:r>
      <w:r w:rsidR="0022418A">
        <w:rPr>
          <w:szCs w:val="24"/>
        </w:rPr>
        <w:t xml:space="preserve"> formula at subsection 41A(2)</w:t>
      </w:r>
      <w:r w:rsidR="00EF5545">
        <w:rPr>
          <w:szCs w:val="24"/>
        </w:rPr>
        <w:t xml:space="preserve">. </w:t>
      </w:r>
    </w:p>
    <w:p w14:paraId="79A1239A" w14:textId="2CBB038A" w:rsidR="004D5CDD" w:rsidRDefault="004D5CDD" w:rsidP="007A0086">
      <w:pPr>
        <w:pStyle w:val="Bullet"/>
        <w:rPr>
          <w:szCs w:val="24"/>
        </w:rPr>
      </w:pPr>
      <w:r>
        <w:rPr>
          <w:szCs w:val="24"/>
        </w:rPr>
        <w:t xml:space="preserve">The Regulations introduce new subsection 31(2A). This subsection </w:t>
      </w:r>
      <w:r w:rsidR="00843F81">
        <w:rPr>
          <w:szCs w:val="24"/>
        </w:rPr>
        <w:t>ensures that costs incurred in</w:t>
      </w:r>
      <w:r w:rsidR="00BB52E6">
        <w:rPr>
          <w:szCs w:val="24"/>
        </w:rPr>
        <w:t xml:space="preserve"> relation to the acquisition of </w:t>
      </w:r>
      <w:r w:rsidR="0031010E">
        <w:rPr>
          <w:szCs w:val="24"/>
        </w:rPr>
        <w:t xml:space="preserve">a </w:t>
      </w:r>
      <w:r w:rsidR="0031010E">
        <w:t xml:space="preserve">brought-in unit of property (e.g., purchasing </w:t>
      </w:r>
      <w:r w:rsidR="00131AE1">
        <w:t xml:space="preserve">and leasing </w:t>
      </w:r>
      <w:r w:rsidR="0031010E">
        <w:t xml:space="preserve">costs) are not included under </w:t>
      </w:r>
      <w:r w:rsidR="00B01687">
        <w:t xml:space="preserve">subsection 31(2). </w:t>
      </w:r>
      <w:r w:rsidR="00843F81">
        <w:rPr>
          <w:szCs w:val="24"/>
        </w:rPr>
        <w:t xml:space="preserve"> </w:t>
      </w:r>
    </w:p>
    <w:p w14:paraId="2618D163" w14:textId="77777777" w:rsidR="00FB6A8D" w:rsidRDefault="00DA32DF" w:rsidP="007A0086">
      <w:pPr>
        <w:pStyle w:val="Bullet"/>
      </w:pPr>
      <w:r>
        <w:rPr>
          <w:szCs w:val="24"/>
        </w:rPr>
        <w:t xml:space="preserve">Subsection </w:t>
      </w:r>
      <w:r w:rsidR="00E835C9">
        <w:rPr>
          <w:szCs w:val="24"/>
        </w:rPr>
        <w:t xml:space="preserve">31(7) </w:t>
      </w:r>
      <w:r w:rsidR="00DE2627">
        <w:rPr>
          <w:szCs w:val="24"/>
        </w:rPr>
        <w:t xml:space="preserve">provides the meaning of ‘brought-in unit of property’. </w:t>
      </w:r>
      <w:r w:rsidR="00FB6A8D">
        <w:rPr>
          <w:szCs w:val="24"/>
        </w:rPr>
        <w:t>A</w:t>
      </w:r>
      <w:r w:rsidR="00FB6A8D">
        <w:t xml:space="preserve"> unit of property is a brought-in unit of property if: </w:t>
      </w:r>
    </w:p>
    <w:p w14:paraId="79FFA477" w14:textId="77777777" w:rsidR="00FB6A8D" w:rsidRDefault="00FB6A8D" w:rsidP="00CD7DAB">
      <w:pPr>
        <w:pStyle w:val="Bullet"/>
        <w:numPr>
          <w:ilvl w:val="0"/>
          <w:numId w:val="20"/>
        </w:numPr>
      </w:pPr>
      <w:r>
        <w:t xml:space="preserve">when the unit of property was created, the unit of property was not used or intended to be used in any other relevant operation; </w:t>
      </w:r>
    </w:p>
    <w:p w14:paraId="402261E1" w14:textId="560D4EF6" w:rsidR="00FB6A8D" w:rsidRDefault="00FB6A8D" w:rsidP="00CD7DAB">
      <w:pPr>
        <w:pStyle w:val="Bullet"/>
        <w:numPr>
          <w:ilvl w:val="0"/>
          <w:numId w:val="20"/>
        </w:numPr>
      </w:pPr>
      <w:r>
        <w:t>the unit of property was later used in the relevant operation;</w:t>
      </w:r>
      <w:r w:rsidR="003F7F18">
        <w:t xml:space="preserve"> and</w:t>
      </w:r>
    </w:p>
    <w:p w14:paraId="154D8670" w14:textId="11217520" w:rsidR="001C01E0" w:rsidRDefault="00FB6A8D" w:rsidP="00CD7DAB">
      <w:pPr>
        <w:pStyle w:val="Bullet"/>
        <w:numPr>
          <w:ilvl w:val="0"/>
          <w:numId w:val="20"/>
        </w:numPr>
        <w:rPr>
          <w:szCs w:val="24"/>
        </w:rPr>
      </w:pPr>
      <w:r>
        <w:t xml:space="preserve">before the unit of property was first used in the relevant operation, the unit of property was not used </w:t>
      </w:r>
      <w:r w:rsidR="002979D1">
        <w:t xml:space="preserve">in </w:t>
      </w:r>
      <w:r w:rsidR="003F7F18">
        <w:t>a petroleum project</w:t>
      </w:r>
      <w:r>
        <w:t>.</w:t>
      </w:r>
    </w:p>
    <w:p w14:paraId="392C46A0" w14:textId="1C11D86D" w:rsidR="00FB3D5A" w:rsidRDefault="00164F21" w:rsidP="007A0086">
      <w:pPr>
        <w:pStyle w:val="Bullet"/>
      </w:pPr>
      <w:r>
        <w:rPr>
          <w:szCs w:val="24"/>
        </w:rPr>
        <w:t xml:space="preserve">Subsection 31(8) </w:t>
      </w:r>
      <w:r w:rsidR="007D1456">
        <w:rPr>
          <w:szCs w:val="24"/>
        </w:rPr>
        <w:t xml:space="preserve">states which </w:t>
      </w:r>
      <w:r w:rsidR="000002D0">
        <w:rPr>
          <w:szCs w:val="24"/>
        </w:rPr>
        <w:t xml:space="preserve">capital costs </w:t>
      </w:r>
      <w:r w:rsidR="00E74A92">
        <w:t xml:space="preserve">incurred in relation to a brought-in unit of property are included. </w:t>
      </w:r>
      <w:r w:rsidR="00083956">
        <w:t>C</w:t>
      </w:r>
      <w:r w:rsidR="003435C2">
        <w:t>osts are included to the extent all the following conditions are satisfied</w:t>
      </w:r>
      <w:r w:rsidR="005916CD">
        <w:t xml:space="preserve"> in relation to cost</w:t>
      </w:r>
      <w:r w:rsidR="00FB3D5A">
        <w:t>:</w:t>
      </w:r>
    </w:p>
    <w:p w14:paraId="71694B80" w14:textId="77777777" w:rsidR="005916CD" w:rsidRDefault="005916CD" w:rsidP="00AD1CF5">
      <w:pPr>
        <w:pStyle w:val="Bullet"/>
        <w:numPr>
          <w:ilvl w:val="0"/>
          <w:numId w:val="20"/>
        </w:numPr>
      </w:pPr>
      <w:r>
        <w:t xml:space="preserve">The cost was incurred by a person who was an owner of the unit of property at the time the cost was incurred. </w:t>
      </w:r>
    </w:p>
    <w:p w14:paraId="6263B554" w14:textId="77777777" w:rsidR="003B59F4" w:rsidRDefault="005916CD" w:rsidP="00AD1CF5">
      <w:pPr>
        <w:pStyle w:val="Bullet"/>
        <w:numPr>
          <w:ilvl w:val="0"/>
          <w:numId w:val="20"/>
        </w:numPr>
      </w:pPr>
      <w:r>
        <w:t xml:space="preserve">The cost was incurred in respect of the construction, </w:t>
      </w:r>
      <w:proofErr w:type="gramStart"/>
      <w:r>
        <w:t>improvement</w:t>
      </w:r>
      <w:proofErr w:type="gramEnd"/>
      <w:r>
        <w:t xml:space="preserve"> or maintenance of the unit of property</w:t>
      </w:r>
      <w:r w:rsidR="003B59F4">
        <w:t>.</w:t>
      </w:r>
    </w:p>
    <w:p w14:paraId="70497310" w14:textId="77777777" w:rsidR="00E330A9" w:rsidRDefault="003B59F4" w:rsidP="00AD1CF5">
      <w:pPr>
        <w:pStyle w:val="Bullet"/>
        <w:numPr>
          <w:ilvl w:val="0"/>
          <w:numId w:val="20"/>
        </w:numPr>
      </w:pPr>
      <w:r>
        <w:t>T</w:t>
      </w:r>
      <w:r w:rsidR="005916CD">
        <w:t>he cost was not a payment or allowance between owners of the unit of property</w:t>
      </w:r>
      <w:r w:rsidR="00E330A9">
        <w:t>.</w:t>
      </w:r>
    </w:p>
    <w:p w14:paraId="3F6B6316" w14:textId="0DC35F0C" w:rsidR="002E47CC" w:rsidRDefault="00E330A9" w:rsidP="00AD1CF5">
      <w:pPr>
        <w:pStyle w:val="Bullet"/>
        <w:numPr>
          <w:ilvl w:val="0"/>
          <w:numId w:val="20"/>
        </w:numPr>
      </w:pPr>
      <w:r>
        <w:t>T</w:t>
      </w:r>
      <w:r w:rsidR="005916CD">
        <w:t>he cost was incurred before the 31 December of the year of tax in which the unit of property was first used to carry out any of the actions mentioned in section 8</w:t>
      </w:r>
      <w:r w:rsidR="00364323">
        <w:t xml:space="preserve"> in relation to the relevant operation</w:t>
      </w:r>
      <w:r w:rsidR="002E47CC">
        <w:t xml:space="preserve">. </w:t>
      </w:r>
    </w:p>
    <w:p w14:paraId="70EDF704" w14:textId="77777777" w:rsidR="00C77FF6" w:rsidRDefault="002E47CC" w:rsidP="00AD1CF5">
      <w:pPr>
        <w:pStyle w:val="Bullet"/>
        <w:numPr>
          <w:ilvl w:val="0"/>
          <w:numId w:val="20"/>
        </w:numPr>
      </w:pPr>
      <w:r>
        <w:t>T</w:t>
      </w:r>
      <w:r w:rsidR="005916CD">
        <w:t>he cost was not incurred for the purpose of preparing the unit of property to be used in the relevant operation</w:t>
      </w:r>
      <w:r w:rsidR="00C77FF6">
        <w:t xml:space="preserve">. </w:t>
      </w:r>
    </w:p>
    <w:p w14:paraId="23C06CE6" w14:textId="7B427D8A" w:rsidR="003F7F18" w:rsidRPr="00FB3D5A" w:rsidRDefault="00C77FF6" w:rsidP="00AD1CF5">
      <w:pPr>
        <w:pStyle w:val="Bullet"/>
        <w:numPr>
          <w:ilvl w:val="0"/>
          <w:numId w:val="20"/>
        </w:numPr>
      </w:pPr>
      <w:r>
        <w:t>E</w:t>
      </w:r>
      <w:r w:rsidR="005916CD">
        <w:t>ither or both of subparagraphs 36(1)(b)(ii) and (iii) apply to the cost</w:t>
      </w:r>
      <w:r w:rsidR="005313C0">
        <w:t xml:space="preserve"> (</w:t>
      </w:r>
      <w:r w:rsidR="00113FC0">
        <w:t xml:space="preserve">broadly, ensuring the cost </w:t>
      </w:r>
      <w:r w:rsidR="00AC1E81">
        <w:t>is of a capital nature)</w:t>
      </w:r>
      <w:r w:rsidR="005916CD">
        <w:t>.</w:t>
      </w:r>
      <w:r w:rsidR="003435C2">
        <w:t xml:space="preserve"> </w:t>
      </w:r>
    </w:p>
    <w:p w14:paraId="6466742E" w14:textId="38789E00" w:rsidR="00CD7DAB" w:rsidRDefault="00831102" w:rsidP="007A0086">
      <w:pPr>
        <w:pStyle w:val="Bullet"/>
        <w:rPr>
          <w:szCs w:val="24"/>
        </w:rPr>
      </w:pPr>
      <w:r>
        <w:t xml:space="preserve">A cost included under subsection </w:t>
      </w:r>
      <w:r w:rsidR="00E22E06">
        <w:t>31</w:t>
      </w:r>
      <w:r>
        <w:t xml:space="preserve">(8) may be treated as a cost partly attributable to the operation if the brought-in unit of property has also been used in relation to another relevant operation. If </w:t>
      </w:r>
      <w:r w:rsidR="00321E25">
        <w:t xml:space="preserve">it </w:t>
      </w:r>
      <w:r w:rsidR="002B5BE1">
        <w:t xml:space="preserve">is </w:t>
      </w:r>
      <w:r>
        <w:t>partly attributable to the relevant operation, the amount of the cost is taken to be the amount that can reasonably be apportioned to the operation.</w:t>
      </w:r>
    </w:p>
    <w:p w14:paraId="3490E93C" w14:textId="0694185C" w:rsidR="002B5BE1" w:rsidRDefault="0029546A" w:rsidP="007A0086">
      <w:pPr>
        <w:pStyle w:val="Bullet"/>
        <w:rPr>
          <w:szCs w:val="24"/>
        </w:rPr>
      </w:pPr>
      <w:r>
        <w:rPr>
          <w:szCs w:val="24"/>
        </w:rPr>
        <w:lastRenderedPageBreak/>
        <w:t xml:space="preserve">New section 41A </w:t>
      </w:r>
      <w:r w:rsidR="00410C22">
        <w:rPr>
          <w:szCs w:val="24"/>
        </w:rPr>
        <w:t>inde</w:t>
      </w:r>
      <w:r w:rsidR="008A721E">
        <w:rPr>
          <w:szCs w:val="24"/>
        </w:rPr>
        <w:t xml:space="preserve">xes </w:t>
      </w:r>
      <w:r w:rsidR="00E22E06">
        <w:rPr>
          <w:szCs w:val="24"/>
        </w:rPr>
        <w:t xml:space="preserve">costs included under </w:t>
      </w:r>
      <w:r w:rsidR="00E22E06">
        <w:t xml:space="preserve">subsection 31(8). </w:t>
      </w:r>
      <w:r w:rsidR="00460252">
        <w:t xml:space="preserve">For the purposes of step 9 of the RPM, section 41A applies </w:t>
      </w:r>
      <w:r w:rsidR="00322DC5">
        <w:t>to</w:t>
      </w:r>
      <w:r w:rsidR="00460252">
        <w:t xml:space="preserve"> costs included under subsection 31(8). The included capital cost is indexed by applying the </w:t>
      </w:r>
      <w:r w:rsidR="00322DC5">
        <w:t xml:space="preserve">following </w:t>
      </w:r>
      <w:r w:rsidR="00460252">
        <w:t>formula:</w:t>
      </w:r>
    </w:p>
    <w:p w14:paraId="652A60D9" w14:textId="03224020" w:rsidR="00961510" w:rsidRPr="00DB0055" w:rsidRDefault="00003F96" w:rsidP="2811BF63">
      <w:pPr>
        <w:pStyle w:val="Bullet"/>
        <w:rPr>
          <w:szCs w:val="24"/>
        </w:rPr>
      </w:pPr>
      <m:oMathPara>
        <m:oMath>
          <m:r>
            <w:rPr>
              <w:rFonts w:ascii="Cambria Math" w:hAnsi="Cambria Math"/>
              <w:szCs w:val="24"/>
            </w:rPr>
            <m:t>Included capital cost×</m:t>
          </m:r>
          <m:f>
            <m:fPr>
              <m:ctrlPr>
                <w:rPr>
                  <w:rFonts w:ascii="Cambria Math" w:hAnsi="Cambria Math"/>
                  <w:i/>
                  <w:szCs w:val="24"/>
                </w:rPr>
              </m:ctrlPr>
            </m:fPr>
            <m:num>
              <m:r>
                <w:rPr>
                  <w:rFonts w:ascii="Cambria Math" w:hAnsi="Cambria Math"/>
                  <w:szCs w:val="24"/>
                </w:rPr>
                <m:t>GDP deflator for the first processing year</m:t>
              </m:r>
            </m:num>
            <m:den>
              <m:r>
                <w:rPr>
                  <w:rFonts w:ascii="Cambria Math" w:hAnsi="Cambria Math"/>
                  <w:szCs w:val="24"/>
                </w:rPr>
                <m:t>GDP deflator for the start year</m:t>
              </m:r>
            </m:den>
          </m:f>
        </m:oMath>
      </m:oMathPara>
    </w:p>
    <w:p w14:paraId="6C5914D5" w14:textId="5E9E6683" w:rsidR="00DB0055" w:rsidRDefault="00DB0055" w:rsidP="2811BF63">
      <w:pPr>
        <w:pStyle w:val="Bullet"/>
        <w:rPr>
          <w:szCs w:val="24"/>
        </w:rPr>
      </w:pPr>
      <w:r>
        <w:rPr>
          <w:szCs w:val="24"/>
        </w:rPr>
        <w:t xml:space="preserve">The term </w:t>
      </w:r>
      <w:r w:rsidR="00447C54">
        <w:rPr>
          <w:szCs w:val="24"/>
        </w:rPr>
        <w:t>‘</w:t>
      </w:r>
      <w:r>
        <w:rPr>
          <w:szCs w:val="24"/>
        </w:rPr>
        <w:t>GDP deflator</w:t>
      </w:r>
      <w:r w:rsidR="00447C54">
        <w:rPr>
          <w:szCs w:val="24"/>
        </w:rPr>
        <w:t>’</w:t>
      </w:r>
      <w:r>
        <w:rPr>
          <w:szCs w:val="24"/>
        </w:rPr>
        <w:t xml:space="preserve"> in this formula uses the meaning of </w:t>
      </w:r>
      <w:r w:rsidR="006916BD">
        <w:rPr>
          <w:szCs w:val="24"/>
        </w:rPr>
        <w:t xml:space="preserve">GDP deflator in section 2A of the </w:t>
      </w:r>
      <w:r w:rsidR="00577484">
        <w:rPr>
          <w:szCs w:val="24"/>
        </w:rPr>
        <w:t>Act</w:t>
      </w:r>
      <w:r w:rsidR="00401177">
        <w:rPr>
          <w:szCs w:val="24"/>
        </w:rPr>
        <w:t>.</w:t>
      </w:r>
      <w:r w:rsidR="00577484">
        <w:rPr>
          <w:szCs w:val="24"/>
        </w:rPr>
        <w:t xml:space="preserve"> </w:t>
      </w:r>
      <w:r w:rsidR="004163F8">
        <w:rPr>
          <w:szCs w:val="24"/>
        </w:rPr>
        <w:t>F</w:t>
      </w:r>
      <w:r w:rsidR="00380318">
        <w:rPr>
          <w:szCs w:val="24"/>
        </w:rPr>
        <w:t xml:space="preserve">or </w:t>
      </w:r>
      <w:r w:rsidR="00447C54">
        <w:rPr>
          <w:szCs w:val="24"/>
        </w:rPr>
        <w:t>a</w:t>
      </w:r>
      <w:r w:rsidR="00380318" w:rsidDel="00003F96">
        <w:rPr>
          <w:szCs w:val="24"/>
        </w:rPr>
        <w:t xml:space="preserve"> </w:t>
      </w:r>
      <w:r w:rsidR="00380318">
        <w:rPr>
          <w:szCs w:val="24"/>
        </w:rPr>
        <w:t>year</w:t>
      </w:r>
      <w:r w:rsidR="00003F96">
        <w:rPr>
          <w:szCs w:val="24"/>
        </w:rPr>
        <w:t xml:space="preserve"> of tax</w:t>
      </w:r>
      <w:r w:rsidR="00380318">
        <w:rPr>
          <w:szCs w:val="24"/>
        </w:rPr>
        <w:t>,</w:t>
      </w:r>
      <w:r w:rsidR="00577484">
        <w:rPr>
          <w:szCs w:val="24"/>
        </w:rPr>
        <w:t xml:space="preserve"> </w:t>
      </w:r>
      <w:r w:rsidR="004163F8">
        <w:rPr>
          <w:szCs w:val="24"/>
        </w:rPr>
        <w:t xml:space="preserve">this is </w:t>
      </w:r>
      <w:r w:rsidR="00D0791A">
        <w:rPr>
          <w:szCs w:val="24"/>
        </w:rPr>
        <w:t xml:space="preserve">worked out by dividing the GDP deflator for the year </w:t>
      </w:r>
      <w:r w:rsidR="00401177">
        <w:rPr>
          <w:szCs w:val="24"/>
        </w:rPr>
        <w:t xml:space="preserve">of tax </w:t>
      </w:r>
      <w:r w:rsidR="00D0791A">
        <w:rPr>
          <w:szCs w:val="24"/>
        </w:rPr>
        <w:t xml:space="preserve">by the GDP </w:t>
      </w:r>
      <w:r w:rsidR="00380318">
        <w:rPr>
          <w:szCs w:val="24"/>
        </w:rPr>
        <w:t>deflator for the immediately preceding financial year.</w:t>
      </w:r>
    </w:p>
    <w:p w14:paraId="3951317B" w14:textId="7B3A84CC" w:rsidR="002D521A" w:rsidRDefault="002D521A" w:rsidP="2811BF63">
      <w:pPr>
        <w:pStyle w:val="Bullet"/>
        <w:rPr>
          <w:szCs w:val="24"/>
        </w:rPr>
      </w:pPr>
      <w:r>
        <w:rPr>
          <w:szCs w:val="24"/>
        </w:rPr>
        <w:t xml:space="preserve">Broadly, the formula </w:t>
      </w:r>
      <w:r w:rsidR="00167090">
        <w:rPr>
          <w:szCs w:val="24"/>
        </w:rPr>
        <w:t>increases</w:t>
      </w:r>
      <w:r>
        <w:rPr>
          <w:szCs w:val="24"/>
        </w:rPr>
        <w:t xml:space="preserve"> the </w:t>
      </w:r>
      <w:r w:rsidR="00A65558">
        <w:rPr>
          <w:szCs w:val="24"/>
        </w:rPr>
        <w:t xml:space="preserve">value of </w:t>
      </w:r>
      <w:r w:rsidR="00390130">
        <w:rPr>
          <w:szCs w:val="24"/>
        </w:rPr>
        <w:t xml:space="preserve">included capital costs </w:t>
      </w:r>
      <w:r w:rsidR="00057D44">
        <w:rPr>
          <w:szCs w:val="24"/>
        </w:rPr>
        <w:t xml:space="preserve">to their </w:t>
      </w:r>
      <w:r w:rsidR="00A94507">
        <w:rPr>
          <w:szCs w:val="24"/>
        </w:rPr>
        <w:t>present-day</w:t>
      </w:r>
      <w:r w:rsidR="00887FF2">
        <w:rPr>
          <w:szCs w:val="24"/>
        </w:rPr>
        <w:t xml:space="preserve"> </w:t>
      </w:r>
      <w:r w:rsidR="00BF38CB">
        <w:rPr>
          <w:szCs w:val="24"/>
        </w:rPr>
        <w:t xml:space="preserve">value. The formula achieves </w:t>
      </w:r>
      <w:r w:rsidR="00763341">
        <w:rPr>
          <w:szCs w:val="24"/>
        </w:rPr>
        <w:t xml:space="preserve">this </w:t>
      </w:r>
      <w:r w:rsidR="00A94507">
        <w:rPr>
          <w:szCs w:val="24"/>
        </w:rPr>
        <w:t>according to</w:t>
      </w:r>
      <w:r w:rsidR="009E5234">
        <w:rPr>
          <w:szCs w:val="24"/>
        </w:rPr>
        <w:t xml:space="preserve"> the </w:t>
      </w:r>
      <w:r w:rsidR="00A94507">
        <w:rPr>
          <w:szCs w:val="24"/>
        </w:rPr>
        <w:t xml:space="preserve">period from the time when the cost was originally incurred to the time </w:t>
      </w:r>
      <w:r w:rsidR="006C370C">
        <w:rPr>
          <w:szCs w:val="24"/>
        </w:rPr>
        <w:t xml:space="preserve">when the </w:t>
      </w:r>
      <w:r w:rsidR="00D36B0C">
        <w:rPr>
          <w:szCs w:val="24"/>
        </w:rPr>
        <w:t xml:space="preserve">relevant property was first used in the relevant operation. </w:t>
      </w:r>
    </w:p>
    <w:p w14:paraId="6CF0C400" w14:textId="0F0576E1" w:rsidR="00460252" w:rsidRDefault="00460252" w:rsidP="00460252">
      <w:pPr>
        <w:pStyle w:val="Bullet"/>
        <w:rPr>
          <w:szCs w:val="24"/>
        </w:rPr>
      </w:pPr>
      <w:r>
        <w:rPr>
          <w:szCs w:val="24"/>
        </w:rPr>
        <w:t>Where taxpayers do not have sufficient information about the original costs, this will generally mean that section 25 (</w:t>
      </w:r>
      <w:r>
        <w:t xml:space="preserve">RPM price where information is not available) </w:t>
      </w:r>
      <w:r>
        <w:rPr>
          <w:szCs w:val="24"/>
        </w:rPr>
        <w:t>will apply. Section 25 require</w:t>
      </w:r>
      <w:r w:rsidR="00E82F48">
        <w:rPr>
          <w:szCs w:val="24"/>
        </w:rPr>
        <w:t>s</w:t>
      </w:r>
      <w:r>
        <w:rPr>
          <w:szCs w:val="24"/>
        </w:rPr>
        <w:t xml:space="preserve"> the Commissioner to determine an RPM price that is a ‘fair and reasonable price’ (subject to certain conditions). If section 25 applies merely because a taxpayer does not have sufficient information about the original costs, it may be possible for the Commissioner to apply section 25 in a way which merely </w:t>
      </w:r>
      <w:r w:rsidR="00C2469E">
        <w:rPr>
          <w:szCs w:val="24"/>
        </w:rPr>
        <w:t xml:space="preserve">involves </w:t>
      </w:r>
      <w:r w:rsidR="00FA5B88">
        <w:rPr>
          <w:szCs w:val="24"/>
        </w:rPr>
        <w:t>deeming</w:t>
      </w:r>
      <w:r>
        <w:rPr>
          <w:szCs w:val="24"/>
        </w:rPr>
        <w:t xml:space="preserve"> certain information about the original costs. However, this will depend on all the facts and circumstances, including whether the Commissioner is concerned about any artificiality or contrivance in the taxpayer’s dealings. </w:t>
      </w:r>
    </w:p>
    <w:p w14:paraId="6562B51B" w14:textId="5A7EC59A" w:rsidR="51B866E5" w:rsidRDefault="007344E5" w:rsidP="2811BF63">
      <w:pPr>
        <w:pStyle w:val="Bullet"/>
        <w:rPr>
          <w:u w:val="single"/>
        </w:rPr>
      </w:pPr>
      <w:r>
        <w:rPr>
          <w:u w:val="single"/>
        </w:rPr>
        <w:t xml:space="preserve">Part </w:t>
      </w:r>
      <w:r w:rsidR="000B7285">
        <w:rPr>
          <w:u w:val="single"/>
        </w:rPr>
        <w:t>4</w:t>
      </w:r>
      <w:r>
        <w:rPr>
          <w:u w:val="single"/>
        </w:rPr>
        <w:t xml:space="preserve"> (sections 42 and 42A) - </w:t>
      </w:r>
      <w:r w:rsidR="7F2E941C" w:rsidRPr="2811BF63">
        <w:rPr>
          <w:u w:val="single"/>
        </w:rPr>
        <w:t>Asset Life Formula Election</w:t>
      </w:r>
    </w:p>
    <w:p w14:paraId="4D305EF3" w14:textId="4E1B5682" w:rsidR="001C4D1C" w:rsidRPr="005F73EB" w:rsidRDefault="001C4D1C" w:rsidP="001C4D1C">
      <w:pPr>
        <w:pStyle w:val="Bullet"/>
        <w:spacing w:line="259" w:lineRule="auto"/>
      </w:pPr>
      <w:r>
        <w:t xml:space="preserve">Part </w:t>
      </w:r>
      <w:r w:rsidR="000B7285">
        <w:t>4</w:t>
      </w:r>
      <w:r>
        <w:t xml:space="preserve"> of Schedule 1 to the </w:t>
      </w:r>
      <w:r w:rsidR="00791423">
        <w:t>2024</w:t>
      </w:r>
      <w:r>
        <w:t xml:space="preserve"> Regulations implements recommendation 3 of the Treasury Review. Recommendation 3</w:t>
      </w:r>
      <w:r w:rsidR="00262930" w:rsidRPr="00262930">
        <w:t xml:space="preserve"> </w:t>
      </w:r>
      <w:r w:rsidR="00262930">
        <w:t>require</w:t>
      </w:r>
      <w:r w:rsidR="000B3D59">
        <w:t>s</w:t>
      </w:r>
      <w:r w:rsidR="00262930">
        <w:t xml:space="preserve"> projects to make an irrevocable election to use the shorter or longer asset life formula to remove the integrity risk that projects change the operating life of </w:t>
      </w:r>
      <w:r w:rsidR="006865CC">
        <w:t>units of property</w:t>
      </w:r>
      <w:r w:rsidR="00262930">
        <w:t xml:space="preserve"> to benefit from </w:t>
      </w:r>
      <w:r w:rsidR="000B3D59">
        <w:t xml:space="preserve">a </w:t>
      </w:r>
      <w:r w:rsidR="00262930">
        <w:t xml:space="preserve">higher </w:t>
      </w:r>
      <w:r w:rsidR="007E4FB0">
        <w:t>capital allocation amount</w:t>
      </w:r>
      <w:r w:rsidR="00262930">
        <w:t xml:space="preserve"> allowable under the shorter asset life formula.</w:t>
      </w:r>
    </w:p>
    <w:p w14:paraId="613D7C0F" w14:textId="6E10A10E" w:rsidR="00E82979" w:rsidRDefault="002336A0" w:rsidP="2811BF63">
      <w:pPr>
        <w:pStyle w:val="Bullet"/>
        <w:spacing w:line="259" w:lineRule="auto"/>
        <w:rPr>
          <w:color w:val="000000"/>
          <w:szCs w:val="24"/>
        </w:rPr>
      </w:pPr>
      <w:r>
        <w:t>For each included capital cost, s</w:t>
      </w:r>
      <w:r w:rsidR="00CF4082">
        <w:t xml:space="preserve">tep 10 of the RPM requires </w:t>
      </w:r>
      <w:r>
        <w:t>taxpayers to</w:t>
      </w:r>
      <w:r w:rsidR="00571CF1" w:rsidRPr="00DD7A2E">
        <w:rPr>
          <w:color w:val="000000"/>
          <w:szCs w:val="24"/>
        </w:rPr>
        <w:t xml:space="preserve"> allocate to each year of tax from the production year onward a cost, </w:t>
      </w:r>
      <w:r w:rsidR="00A36E1A">
        <w:rPr>
          <w:color w:val="000000"/>
          <w:szCs w:val="24"/>
        </w:rPr>
        <w:t xml:space="preserve">with </w:t>
      </w:r>
      <w:r w:rsidR="00571CF1" w:rsidRPr="00DD7A2E">
        <w:rPr>
          <w:color w:val="000000"/>
          <w:szCs w:val="24"/>
        </w:rPr>
        <w:t xml:space="preserve">the </w:t>
      </w:r>
      <w:r w:rsidR="00C2028E" w:rsidRPr="00DD7A2E">
        <w:rPr>
          <w:color w:val="000000"/>
          <w:szCs w:val="24"/>
        </w:rPr>
        <w:t xml:space="preserve">amount of the </w:t>
      </w:r>
      <w:r w:rsidR="00571CF1" w:rsidRPr="00DD7A2E">
        <w:rPr>
          <w:color w:val="000000"/>
          <w:szCs w:val="24"/>
        </w:rPr>
        <w:t>cost given by section 42</w:t>
      </w:r>
      <w:r w:rsidR="00C2028E" w:rsidRPr="00DD7A2E">
        <w:rPr>
          <w:color w:val="000000"/>
          <w:szCs w:val="24"/>
        </w:rPr>
        <w:t xml:space="preserve">. </w:t>
      </w:r>
      <w:r w:rsidR="00715DDE" w:rsidRPr="00DD7A2E">
        <w:rPr>
          <w:color w:val="000000"/>
          <w:szCs w:val="24"/>
        </w:rPr>
        <w:t>B</w:t>
      </w:r>
      <w:r w:rsidR="00A95D21" w:rsidRPr="00DD7A2E">
        <w:rPr>
          <w:color w:val="000000"/>
          <w:szCs w:val="24"/>
        </w:rPr>
        <w:t>ro</w:t>
      </w:r>
      <w:r w:rsidR="00D54D21" w:rsidRPr="00DD7A2E">
        <w:rPr>
          <w:color w:val="000000"/>
          <w:szCs w:val="24"/>
        </w:rPr>
        <w:t xml:space="preserve">adly, </w:t>
      </w:r>
      <w:r w:rsidR="002242C6" w:rsidRPr="00DD7A2E">
        <w:rPr>
          <w:color w:val="000000"/>
          <w:szCs w:val="24"/>
        </w:rPr>
        <w:t xml:space="preserve">section </w:t>
      </w:r>
      <w:r w:rsidR="00D9643D" w:rsidRPr="00DD7A2E">
        <w:rPr>
          <w:color w:val="000000"/>
          <w:szCs w:val="24"/>
        </w:rPr>
        <w:t xml:space="preserve">42 </w:t>
      </w:r>
      <w:r w:rsidR="00592813" w:rsidRPr="00DD7A2E">
        <w:rPr>
          <w:color w:val="000000"/>
          <w:szCs w:val="24"/>
        </w:rPr>
        <w:t xml:space="preserve">(as amended) </w:t>
      </w:r>
      <w:r w:rsidR="00D203E5" w:rsidRPr="00DD7A2E">
        <w:rPr>
          <w:color w:val="000000"/>
          <w:szCs w:val="24"/>
        </w:rPr>
        <w:t>sets out how capital costs are allocated to a year</w:t>
      </w:r>
      <w:r w:rsidR="007E4FB0">
        <w:rPr>
          <w:color w:val="000000"/>
          <w:szCs w:val="24"/>
        </w:rPr>
        <w:t xml:space="preserve"> of</w:t>
      </w:r>
      <w:r w:rsidR="00D203E5" w:rsidRPr="00DD7A2E">
        <w:rPr>
          <w:color w:val="000000"/>
          <w:szCs w:val="24"/>
        </w:rPr>
        <w:t xml:space="preserve"> tax, </w:t>
      </w:r>
      <w:r w:rsidR="00654B78">
        <w:rPr>
          <w:color w:val="000000"/>
          <w:szCs w:val="24"/>
        </w:rPr>
        <w:t>with this being done in reference to the ‘capital allocation period'.</w:t>
      </w:r>
    </w:p>
    <w:p w14:paraId="33F0CC93" w14:textId="6EA8D90C" w:rsidR="00903F53" w:rsidRDefault="00F00AE6" w:rsidP="2811BF63">
      <w:pPr>
        <w:pStyle w:val="Bullet"/>
        <w:spacing w:line="259" w:lineRule="auto"/>
      </w:pPr>
      <w:r>
        <w:t>'Capital allocation period’ means</w:t>
      </w:r>
      <w:r w:rsidR="00903F53">
        <w:t xml:space="preserve">: </w:t>
      </w:r>
    </w:p>
    <w:p w14:paraId="7B457BF9" w14:textId="777E0BA3" w:rsidR="00903F53" w:rsidRDefault="00F00AE6" w:rsidP="00DD7A2E">
      <w:pPr>
        <w:pStyle w:val="Bullet"/>
        <w:numPr>
          <w:ilvl w:val="0"/>
          <w:numId w:val="20"/>
        </w:numPr>
      </w:pPr>
      <w:r>
        <w:t>for a unit of property in relation to which an election under section 42A is mad</w:t>
      </w:r>
      <w:r w:rsidR="00903F53">
        <w:t xml:space="preserve">e, </w:t>
      </w:r>
      <w:r>
        <w:t>the meaning given by section 42A; or</w:t>
      </w:r>
    </w:p>
    <w:p w14:paraId="1421D2ED" w14:textId="6F9E320A" w:rsidR="007C0209" w:rsidRDefault="00F00AE6" w:rsidP="00DD7A2E">
      <w:pPr>
        <w:pStyle w:val="Bullet"/>
        <w:numPr>
          <w:ilvl w:val="0"/>
          <w:numId w:val="20"/>
        </w:numPr>
      </w:pPr>
      <w:r>
        <w:t>for any other unit of property</w:t>
      </w:r>
      <w:r w:rsidR="00903F53">
        <w:t xml:space="preserve">, </w:t>
      </w:r>
      <w:r>
        <w:t>has the meaning given by subsection 42(6)</w:t>
      </w:r>
    </w:p>
    <w:p w14:paraId="72BED548" w14:textId="7E03A604" w:rsidR="00975B9C" w:rsidRDefault="00B51F8D" w:rsidP="00975B9C">
      <w:pPr>
        <w:pStyle w:val="Bullet"/>
        <w:spacing w:line="259" w:lineRule="auto"/>
      </w:pPr>
      <w:r>
        <w:t xml:space="preserve">Despite </w:t>
      </w:r>
      <w:r w:rsidR="00D3688B">
        <w:t xml:space="preserve">section 42A </w:t>
      </w:r>
      <w:r w:rsidR="00E9083F">
        <w:t>and subsection 42(6), s</w:t>
      </w:r>
      <w:r w:rsidR="00975B9C">
        <w:t>ubsection 42A(7) provides a rule in relation to costs that are capital costs only because of subparagraph 36(1)(b)(</w:t>
      </w:r>
      <w:proofErr w:type="spellStart"/>
      <w:r w:rsidR="00975B9C">
        <w:t>i</w:t>
      </w:r>
      <w:proofErr w:type="spellEnd"/>
      <w:r w:rsidR="00975B9C">
        <w:t>). These costs are taken to have been incurred in relation to a unit of property that has a capital allocation period that is the expected operating life of the operation.</w:t>
      </w:r>
    </w:p>
    <w:p w14:paraId="68F99EE3" w14:textId="7D282E4D" w:rsidR="002B348D" w:rsidRDefault="00FD277F" w:rsidP="2811BF63">
      <w:pPr>
        <w:pStyle w:val="Bullet"/>
        <w:spacing w:line="259" w:lineRule="auto"/>
      </w:pPr>
      <w:r>
        <w:lastRenderedPageBreak/>
        <w:t xml:space="preserve">New section 42A provides that </w:t>
      </w:r>
      <w:r w:rsidR="00BF0A64">
        <w:t xml:space="preserve">the participants in a relevant operation may, for a unit of property used in the relevant operation, elect to use a particular number of calendar years as the capital allocation period for the unit of property for the purposes of section 42. </w:t>
      </w:r>
      <w:r w:rsidR="00EE2BF2">
        <w:t xml:space="preserve">Various rules </w:t>
      </w:r>
      <w:r w:rsidR="00556852">
        <w:t>apply in relation to an election, including the following:</w:t>
      </w:r>
    </w:p>
    <w:p w14:paraId="512F5E5A" w14:textId="77777777" w:rsidR="00B20108" w:rsidRDefault="00B20108" w:rsidP="00DD7A2E">
      <w:pPr>
        <w:pStyle w:val="Bullet"/>
        <w:numPr>
          <w:ilvl w:val="0"/>
          <w:numId w:val="20"/>
        </w:numPr>
      </w:pPr>
      <w:r>
        <w:t xml:space="preserve">The election must be made by all participants in the operation jointly. </w:t>
      </w:r>
    </w:p>
    <w:p w14:paraId="1E50A986" w14:textId="77777777" w:rsidR="00B20108" w:rsidRDefault="00B20108" w:rsidP="00DD7A2E">
      <w:pPr>
        <w:pStyle w:val="Bullet"/>
        <w:numPr>
          <w:ilvl w:val="0"/>
          <w:numId w:val="20"/>
        </w:numPr>
      </w:pPr>
      <w:r>
        <w:t xml:space="preserve">The election must be made in writing. </w:t>
      </w:r>
    </w:p>
    <w:p w14:paraId="4EE5DD9B" w14:textId="77777777" w:rsidR="00B20108" w:rsidRDefault="00B20108" w:rsidP="00DD7A2E">
      <w:pPr>
        <w:pStyle w:val="Bullet"/>
        <w:numPr>
          <w:ilvl w:val="0"/>
          <w:numId w:val="20"/>
        </w:numPr>
      </w:pPr>
      <w:r>
        <w:t xml:space="preserve">The election must specify the capital allocation period for the unit of property. </w:t>
      </w:r>
    </w:p>
    <w:p w14:paraId="3C3801EA" w14:textId="0A5B6F56" w:rsidR="00B3492E" w:rsidRDefault="00B20108" w:rsidP="00DD7A2E">
      <w:pPr>
        <w:pStyle w:val="Bullet"/>
        <w:numPr>
          <w:ilvl w:val="0"/>
          <w:numId w:val="20"/>
        </w:numPr>
      </w:pPr>
      <w:r>
        <w:t>The election may only be made before the first time a PRRT return is given to the Commissioner, in relation to the relevant project for the relevant operation, at or after the time the unit of property is first used in the relevant operation</w:t>
      </w:r>
      <w:r w:rsidR="00B3492E">
        <w:t xml:space="preserve">. </w:t>
      </w:r>
      <w:r w:rsidR="00787046">
        <w:t>Note, subsection</w:t>
      </w:r>
      <w:r w:rsidR="0052743D">
        <w:t>s</w:t>
      </w:r>
      <w:r w:rsidR="00787046">
        <w:t xml:space="preserve"> 42A(5) </w:t>
      </w:r>
      <w:r w:rsidR="0052743D">
        <w:t xml:space="preserve">and (6) </w:t>
      </w:r>
      <w:r w:rsidR="00787046">
        <w:t>provide transitional rule</w:t>
      </w:r>
      <w:r w:rsidR="0052743D">
        <w:t>s</w:t>
      </w:r>
      <w:r w:rsidR="00787046">
        <w:t xml:space="preserve"> in relation to </w:t>
      </w:r>
      <w:r w:rsidR="00542607">
        <w:t xml:space="preserve">units of property in use at </w:t>
      </w:r>
      <w:r w:rsidR="00DC56DC">
        <w:t>the time the 202</w:t>
      </w:r>
      <w:r w:rsidR="00B11784">
        <w:t>4</w:t>
      </w:r>
      <w:r w:rsidR="00DC56DC">
        <w:t xml:space="preserve"> Regulations </w:t>
      </w:r>
      <w:r w:rsidR="002F38F3">
        <w:t xml:space="preserve">commence. </w:t>
      </w:r>
    </w:p>
    <w:p w14:paraId="49900F7A" w14:textId="77777777" w:rsidR="00B3492E" w:rsidRDefault="00B3492E" w:rsidP="00DD7A2E">
      <w:pPr>
        <w:pStyle w:val="Bullet"/>
        <w:numPr>
          <w:ilvl w:val="0"/>
          <w:numId w:val="20"/>
        </w:numPr>
      </w:pPr>
      <w:r>
        <w:t>The election is</w:t>
      </w:r>
      <w:r w:rsidR="00B20108">
        <w:t xml:space="preserve"> irrevocable.</w:t>
      </w:r>
    </w:p>
    <w:p w14:paraId="463B097F" w14:textId="407A9DCA" w:rsidR="00B3492E" w:rsidRDefault="00B20108" w:rsidP="00DD7A2E">
      <w:pPr>
        <w:pStyle w:val="Bullet"/>
        <w:numPr>
          <w:ilvl w:val="0"/>
          <w:numId w:val="20"/>
        </w:numPr>
      </w:pPr>
      <w:r>
        <w:t>If an election has been made and one or more new participants are later added to the relevant operation</w:t>
      </w:r>
      <w:r w:rsidR="00B3492E">
        <w:t>, then</w:t>
      </w:r>
      <w:r>
        <w:t xml:space="preserve"> the election continues in force for the participants who made </w:t>
      </w:r>
      <w:r w:rsidR="00E2284C">
        <w:t>it,</w:t>
      </w:r>
      <w:r>
        <w:t xml:space="preserve"> and any new participant is also taken to have made the election. </w:t>
      </w:r>
    </w:p>
    <w:p w14:paraId="5CD83F24" w14:textId="77777777" w:rsidR="008A3A46" w:rsidRDefault="00B20108" w:rsidP="008A3A46">
      <w:pPr>
        <w:pStyle w:val="Bullet"/>
        <w:numPr>
          <w:ilvl w:val="0"/>
          <w:numId w:val="20"/>
        </w:numPr>
      </w:pPr>
      <w:r>
        <w:t xml:space="preserve">If an election </w:t>
      </w:r>
      <w:r w:rsidR="001B08EF">
        <w:t>has been</w:t>
      </w:r>
      <w:r>
        <w:t xml:space="preserve"> made under this section for a particular unit of property, the election continues to apply to the unit even if</w:t>
      </w:r>
      <w:r w:rsidR="001B08EF">
        <w:t xml:space="preserve"> </w:t>
      </w:r>
      <w:r>
        <w:t>the unit ceases being used in the relevant operation</w:t>
      </w:r>
      <w:r w:rsidR="001B08EF">
        <w:t xml:space="preserve"> or </w:t>
      </w:r>
      <w:r>
        <w:t>the unit is used in another relevant operation.</w:t>
      </w:r>
    </w:p>
    <w:p w14:paraId="4FA9720F" w14:textId="78B0312F" w:rsidR="002D51F9" w:rsidRDefault="007542DF" w:rsidP="00541580">
      <w:pPr>
        <w:pStyle w:val="Bullet"/>
      </w:pPr>
      <w:r>
        <w:t>If the participants do not make an election under section 42A for a particular unit of property, the capital allocation period for the unit of property will be determined under subsection 42(6)</w:t>
      </w:r>
      <w:r w:rsidR="000F22CF">
        <w:t>,</w:t>
      </w:r>
      <w:r w:rsidR="006A7618">
        <w:t xml:space="preserve"> </w:t>
      </w:r>
      <w:r w:rsidR="000F22CF">
        <w:t xml:space="preserve">which </w:t>
      </w:r>
      <w:r w:rsidR="006A7618">
        <w:t>broadly provides that</w:t>
      </w:r>
      <w:r w:rsidR="002D51F9">
        <w:t>:</w:t>
      </w:r>
    </w:p>
    <w:p w14:paraId="21672033" w14:textId="41560C71" w:rsidR="006A7618" w:rsidRDefault="006A7618" w:rsidP="00DD7A2E">
      <w:pPr>
        <w:pStyle w:val="Bullet"/>
        <w:numPr>
          <w:ilvl w:val="0"/>
          <w:numId w:val="20"/>
        </w:numPr>
      </w:pPr>
      <w:r>
        <w:t>the capital allocation period for the unit of property is the period of calendar years between</w:t>
      </w:r>
      <w:r w:rsidR="00D56F7F">
        <w:t xml:space="preserve"> the time </w:t>
      </w:r>
      <w:r w:rsidR="004666A0">
        <w:t xml:space="preserve">the cost was incurred </w:t>
      </w:r>
      <w:r w:rsidR="00704F85">
        <w:t xml:space="preserve">and the time </w:t>
      </w:r>
      <w:r w:rsidR="00E46E10">
        <w:t xml:space="preserve">the </w:t>
      </w:r>
      <w:r w:rsidR="00E14C8C">
        <w:t xml:space="preserve">unit </w:t>
      </w:r>
      <w:r w:rsidR="00E46E10">
        <w:t xml:space="preserve">of </w:t>
      </w:r>
      <w:r w:rsidR="00C621A5">
        <w:t xml:space="preserve">property </w:t>
      </w:r>
      <w:r w:rsidR="00B45D82">
        <w:t>is expected to</w:t>
      </w:r>
      <w:r w:rsidR="00326E31">
        <w:t xml:space="preserve"> no longer be used in the </w:t>
      </w:r>
      <w:r w:rsidR="00B45D82">
        <w:t>operation</w:t>
      </w:r>
      <w:r w:rsidR="002D51F9">
        <w:t xml:space="preserve">; and </w:t>
      </w:r>
    </w:p>
    <w:p w14:paraId="57547D42" w14:textId="77777777" w:rsidR="00AA0073" w:rsidRDefault="00AA0073" w:rsidP="00C831D9">
      <w:pPr>
        <w:pStyle w:val="Bullet"/>
        <w:numPr>
          <w:ilvl w:val="0"/>
          <w:numId w:val="20"/>
        </w:numPr>
      </w:pPr>
      <w:r>
        <w:t xml:space="preserve">the </w:t>
      </w:r>
      <w:r w:rsidR="006A7618">
        <w:t xml:space="preserve">method in subsection </w:t>
      </w:r>
      <w:r>
        <w:t>42</w:t>
      </w:r>
      <w:r w:rsidR="006A7618">
        <w:t xml:space="preserve">(4) must be used to work out the annual allocation for capital costs incurred in relation to the unit of property. </w:t>
      </w:r>
    </w:p>
    <w:p w14:paraId="5726E6A4" w14:textId="5B1BE3C9" w:rsidR="00C8707E" w:rsidRPr="00FF1B81" w:rsidRDefault="00C8707E" w:rsidP="2811BF63">
      <w:pPr>
        <w:pStyle w:val="Bullet"/>
        <w:spacing w:line="259" w:lineRule="auto"/>
        <w:rPr>
          <w:u w:val="single"/>
        </w:rPr>
      </w:pPr>
      <w:r w:rsidRPr="00FF1B81">
        <w:rPr>
          <w:u w:val="single"/>
        </w:rPr>
        <w:t xml:space="preserve">Part </w:t>
      </w:r>
      <w:r w:rsidR="00361907" w:rsidRPr="00FF1B81">
        <w:rPr>
          <w:u w:val="single"/>
        </w:rPr>
        <w:t>7</w:t>
      </w:r>
      <w:r w:rsidRPr="00FF1B81">
        <w:rPr>
          <w:u w:val="single"/>
        </w:rPr>
        <w:t xml:space="preserve"> – Minor amendments</w:t>
      </w:r>
    </w:p>
    <w:p w14:paraId="7F20A8E1" w14:textId="58B3B086" w:rsidR="002B348D" w:rsidRDefault="00C5410B" w:rsidP="2811BF63">
      <w:pPr>
        <w:pStyle w:val="Bullet"/>
        <w:spacing w:line="259" w:lineRule="auto"/>
      </w:pPr>
      <w:r>
        <w:t xml:space="preserve">Part </w:t>
      </w:r>
      <w:r w:rsidR="00361907">
        <w:t>7</w:t>
      </w:r>
      <w:r>
        <w:t xml:space="preserve"> of Schedule 1 to the </w:t>
      </w:r>
      <w:r w:rsidR="00791423">
        <w:t>2024</w:t>
      </w:r>
      <w:r>
        <w:t xml:space="preserve"> Regulations makes minor amendments to </w:t>
      </w:r>
      <w:r w:rsidR="007F1E5F">
        <w:t xml:space="preserve">the 2015 Regulation. </w:t>
      </w:r>
      <w:r w:rsidR="002921DA">
        <w:t xml:space="preserve">These </w:t>
      </w:r>
      <w:r w:rsidR="00792FB4">
        <w:t xml:space="preserve">amendments are </w:t>
      </w:r>
      <w:r w:rsidR="009A5D25">
        <w:t xml:space="preserve">consistent with the policy intent </w:t>
      </w:r>
      <w:r w:rsidR="00792FB4">
        <w:t xml:space="preserve">of </w:t>
      </w:r>
      <w:r w:rsidR="003B7F3B">
        <w:t xml:space="preserve">the 2015 Regulation </w:t>
      </w:r>
      <w:r w:rsidR="00B875F5">
        <w:t xml:space="preserve">and are </w:t>
      </w:r>
      <w:r w:rsidR="00845B31">
        <w:t xml:space="preserve">not </w:t>
      </w:r>
      <w:r w:rsidR="00B875F5">
        <w:t xml:space="preserve">intended to </w:t>
      </w:r>
      <w:r w:rsidR="00BC082D">
        <w:t xml:space="preserve">substantively alter the </w:t>
      </w:r>
      <w:r w:rsidR="0080178F">
        <w:t xml:space="preserve">operation of the 2015 Regulation. </w:t>
      </w:r>
    </w:p>
    <w:p w14:paraId="61A22670" w14:textId="1766B24D" w:rsidR="0080178F" w:rsidRDefault="005E520C" w:rsidP="2811BF63">
      <w:pPr>
        <w:pStyle w:val="Bullet"/>
        <w:spacing w:line="259" w:lineRule="auto"/>
      </w:pPr>
      <w:r>
        <w:t xml:space="preserve">Sections 6 </w:t>
      </w:r>
      <w:r w:rsidR="005B33AE">
        <w:t>sets out when</w:t>
      </w:r>
      <w:r w:rsidR="003B7F3B">
        <w:t xml:space="preserve"> a</w:t>
      </w:r>
      <w:r w:rsidR="0015794C">
        <w:t>n</w:t>
      </w:r>
      <w:r w:rsidR="003B7F3B">
        <w:t xml:space="preserve"> </w:t>
      </w:r>
      <w:r w:rsidR="00994546">
        <w:t xml:space="preserve">integrated </w:t>
      </w:r>
      <w:r w:rsidR="000B3D59">
        <w:t>Gas to Liquid (</w:t>
      </w:r>
      <w:r w:rsidR="00910A57">
        <w:t>GTL</w:t>
      </w:r>
      <w:r w:rsidR="000B3D59">
        <w:t>)</w:t>
      </w:r>
      <w:r w:rsidR="00910A57">
        <w:t xml:space="preserve"> operation</w:t>
      </w:r>
      <w:r w:rsidR="005F148A">
        <w:t xml:space="preserve"> exist</w:t>
      </w:r>
      <w:r w:rsidR="000B3D59">
        <w:t>s</w:t>
      </w:r>
      <w:r w:rsidR="005B33AE">
        <w:t>.</w:t>
      </w:r>
      <w:r w:rsidR="005F148A">
        <w:t xml:space="preserve"> </w:t>
      </w:r>
      <w:r w:rsidR="00F76773">
        <w:t>Subsection</w:t>
      </w:r>
      <w:r w:rsidR="003B7F3B">
        <w:t> </w:t>
      </w:r>
      <w:r w:rsidR="00D03B77">
        <w:t xml:space="preserve">6(3) </w:t>
      </w:r>
      <w:r w:rsidR="0015794C">
        <w:t>provides the meaning of ‘</w:t>
      </w:r>
      <w:r w:rsidR="006F011C">
        <w:t>project sales gas</w:t>
      </w:r>
      <w:r w:rsidR="0015794C">
        <w:t xml:space="preserve">’ in relation to an </w:t>
      </w:r>
      <w:r w:rsidR="00994546">
        <w:t>integrated GTL operation</w:t>
      </w:r>
      <w:r w:rsidR="005104B0">
        <w:t xml:space="preserve">. </w:t>
      </w:r>
      <w:r w:rsidR="006C3533">
        <w:t xml:space="preserve">PRRT may be payable in relation to </w:t>
      </w:r>
      <w:r w:rsidR="00F91DB1">
        <w:t xml:space="preserve">project sales </w:t>
      </w:r>
      <w:r w:rsidR="00DC39C2">
        <w:t>gas</w:t>
      </w:r>
      <w:r w:rsidR="003E0FFD">
        <w:t xml:space="preserve">. </w:t>
      </w:r>
    </w:p>
    <w:p w14:paraId="6C90C686" w14:textId="79FFA2BE" w:rsidR="000F0FE1" w:rsidRDefault="00AD5EF6" w:rsidP="00AD5EF6">
      <w:pPr>
        <w:pStyle w:val="Bullet"/>
        <w:spacing w:line="259" w:lineRule="auto"/>
      </w:pPr>
      <w:r>
        <w:t xml:space="preserve">An integrated GTL operation exists if there is an operation </w:t>
      </w:r>
      <w:r w:rsidR="00954CC0">
        <w:t xml:space="preserve">(the ‘overall operation’) </w:t>
      </w:r>
      <w:r>
        <w:t>in which:</w:t>
      </w:r>
    </w:p>
    <w:p w14:paraId="1FA053B5" w14:textId="2578D069" w:rsidR="00AD5EF6" w:rsidRDefault="00AD5EF6" w:rsidP="00954692">
      <w:pPr>
        <w:pStyle w:val="Bullet"/>
        <w:numPr>
          <w:ilvl w:val="0"/>
          <w:numId w:val="20"/>
        </w:numPr>
      </w:pPr>
      <w:r>
        <w:lastRenderedPageBreak/>
        <w:t>petroleum is, or will be, recovered from a petroleum project; and</w:t>
      </w:r>
    </w:p>
    <w:p w14:paraId="06264023" w14:textId="4D5A89AA" w:rsidR="00AD5EF6" w:rsidRDefault="00AD5EF6" w:rsidP="00954692">
      <w:pPr>
        <w:pStyle w:val="Bullet"/>
        <w:numPr>
          <w:ilvl w:val="0"/>
          <w:numId w:val="20"/>
        </w:numPr>
      </w:pPr>
      <w:r>
        <w:t xml:space="preserve">sales gas is, or will be, produced from some or </w:t>
      </w:r>
      <w:proofErr w:type="gramStart"/>
      <w:r>
        <w:t>all of</w:t>
      </w:r>
      <w:proofErr w:type="gramEnd"/>
      <w:r>
        <w:t xml:space="preserve"> the petroleum; and</w:t>
      </w:r>
    </w:p>
    <w:p w14:paraId="44EAB424" w14:textId="4117C731" w:rsidR="00AD5EF6" w:rsidRDefault="00AD5EF6" w:rsidP="00954692">
      <w:pPr>
        <w:pStyle w:val="Bullet"/>
        <w:numPr>
          <w:ilvl w:val="0"/>
          <w:numId w:val="20"/>
        </w:numPr>
      </w:pPr>
      <w:r>
        <w:t xml:space="preserve">some or </w:t>
      </w:r>
      <w:proofErr w:type="gramStart"/>
      <w:r>
        <w:t>all of</w:t>
      </w:r>
      <w:proofErr w:type="gramEnd"/>
      <w:r>
        <w:t xml:space="preserve"> the sales gas is, or will be, processed into a liquefied product.</w:t>
      </w:r>
    </w:p>
    <w:p w14:paraId="064D78B6" w14:textId="106238F6" w:rsidR="00C434C1" w:rsidRDefault="00C434C1" w:rsidP="2811BF63">
      <w:pPr>
        <w:pStyle w:val="Bullet"/>
        <w:spacing w:line="259" w:lineRule="auto"/>
      </w:pPr>
      <w:r>
        <w:t xml:space="preserve">Subsection </w:t>
      </w:r>
      <w:r w:rsidR="003D4C6C">
        <w:t xml:space="preserve">6(3) is amended to make clear the intended meaning of </w:t>
      </w:r>
      <w:r w:rsidR="007A1811">
        <w:t>‘</w:t>
      </w:r>
      <w:r w:rsidR="003D4C6C">
        <w:t>project sales gas</w:t>
      </w:r>
      <w:r w:rsidR="007A1811">
        <w:t>’</w:t>
      </w:r>
      <w:r w:rsidR="003D4C6C">
        <w:t xml:space="preserve">. </w:t>
      </w:r>
      <w:r w:rsidR="00893C4C">
        <w:t>T</w:t>
      </w:r>
      <w:r w:rsidR="00893C4C" w:rsidRPr="00893C4C">
        <w:t xml:space="preserve">he project sales gas of </w:t>
      </w:r>
      <w:r w:rsidR="00893C4C">
        <w:t>an</w:t>
      </w:r>
      <w:r w:rsidR="00893C4C" w:rsidRPr="00893C4C">
        <w:t xml:space="preserve"> integrated GT</w:t>
      </w:r>
      <w:r w:rsidR="00576511">
        <w:t>L</w:t>
      </w:r>
      <w:r w:rsidR="00893C4C" w:rsidRPr="00893C4C">
        <w:t xml:space="preserve"> operation is the sales gas </w:t>
      </w:r>
      <w:r w:rsidR="001A0306">
        <w:t xml:space="preserve">(being the sales gas that is, or will be, produced from some or </w:t>
      </w:r>
      <w:proofErr w:type="gramStart"/>
      <w:r w:rsidR="001A0306">
        <w:t>all of</w:t>
      </w:r>
      <w:proofErr w:type="gramEnd"/>
      <w:r w:rsidR="001A0306">
        <w:t xml:space="preserve"> the petroleum) that</w:t>
      </w:r>
      <w:r w:rsidR="00E177EB">
        <w:t>:</w:t>
      </w:r>
    </w:p>
    <w:p w14:paraId="021365ED" w14:textId="77777777" w:rsidR="002C759C" w:rsidRDefault="002C759C" w:rsidP="00954692">
      <w:pPr>
        <w:pStyle w:val="Bullet"/>
        <w:numPr>
          <w:ilvl w:val="0"/>
          <w:numId w:val="20"/>
        </w:numPr>
      </w:pPr>
      <w:r>
        <w:t>will be processed into liquefied product within the overall operation; or</w:t>
      </w:r>
    </w:p>
    <w:p w14:paraId="37E58B6D" w14:textId="77777777" w:rsidR="00594A7C" w:rsidRDefault="002C759C" w:rsidP="00937479">
      <w:pPr>
        <w:pStyle w:val="Bullet"/>
        <w:numPr>
          <w:ilvl w:val="0"/>
          <w:numId w:val="20"/>
        </w:numPr>
      </w:pPr>
      <w:r>
        <w:t xml:space="preserve">will, after becoming an excluded commodity, be used in the downstream stage of the operation in relation to the processing of </w:t>
      </w:r>
      <w:r w:rsidR="009F0992">
        <w:t xml:space="preserve">sales </w:t>
      </w:r>
      <w:r w:rsidRPr="00893C4C">
        <w:t xml:space="preserve">gas </w:t>
      </w:r>
      <w:r w:rsidR="001A0306">
        <w:t xml:space="preserve">(being the sales gas </w:t>
      </w:r>
      <w:r>
        <w:t>that is, or will be, produced from some or all of the petroleum</w:t>
      </w:r>
      <w:r w:rsidR="001A0306">
        <w:t>)</w:t>
      </w:r>
      <w:r>
        <w:t xml:space="preserve"> into liquefied product</w:t>
      </w:r>
      <w:r w:rsidR="000B2938">
        <w:t xml:space="preserve"> (note</w:t>
      </w:r>
      <w:r w:rsidR="00D01C57">
        <w:t xml:space="preserve">, under </w:t>
      </w:r>
      <w:r w:rsidR="003A42E3">
        <w:t xml:space="preserve">paragraph 24(1)(e) of the Act, not all sales </w:t>
      </w:r>
      <w:r w:rsidR="00937479">
        <w:t xml:space="preserve">gas that becomes an excluded commodity will be </w:t>
      </w:r>
      <w:r w:rsidR="00937479" w:rsidRPr="00884C19">
        <w:t>subject to the regulations)</w:t>
      </w:r>
      <w:r w:rsidRPr="00884C19">
        <w:t>.</w:t>
      </w:r>
      <w:r w:rsidR="00216029" w:rsidRPr="00884C19">
        <w:t xml:space="preserve"> </w:t>
      </w:r>
    </w:p>
    <w:p w14:paraId="6591AAC1" w14:textId="702E3649" w:rsidR="00E177EB" w:rsidRDefault="00216029" w:rsidP="00594A7C">
      <w:pPr>
        <w:pStyle w:val="Bullet"/>
      </w:pPr>
      <w:r w:rsidRPr="00884C19">
        <w:t>Where sales gas</w:t>
      </w:r>
      <w:r w:rsidR="001139C5">
        <w:t xml:space="preserve"> </w:t>
      </w:r>
      <w:r w:rsidR="001139C5" w:rsidRPr="001139C5">
        <w:t>(the ‘destroyed sales gas’)</w:t>
      </w:r>
      <w:r w:rsidR="001139C5">
        <w:t xml:space="preserve"> is</w:t>
      </w:r>
      <w:r w:rsidRPr="00884C19">
        <w:t xml:space="preserve"> destroyed in relation to the processing of other sales gas into liquefied product, then the</w:t>
      </w:r>
      <w:r w:rsidR="001139C5">
        <w:t xml:space="preserve"> destroyed</w:t>
      </w:r>
      <w:r w:rsidRPr="00884C19">
        <w:t xml:space="preserve"> sales gas is intended to be taken to be ‘used’ in relation to the processing of the other sales gas into liquefied product.  </w:t>
      </w:r>
    </w:p>
    <w:p w14:paraId="524BF7A0" w14:textId="548AD4AD" w:rsidR="00937479" w:rsidRDefault="001E199E" w:rsidP="002C759C">
      <w:pPr>
        <w:pStyle w:val="Bullet"/>
        <w:spacing w:line="259" w:lineRule="auto"/>
      </w:pPr>
      <w:r>
        <w:t>Broadly, the amendments ensure that, f</w:t>
      </w:r>
      <w:r w:rsidRPr="001E199E">
        <w:t xml:space="preserve">or the purposes of paragraph 19(6)(b) and subsection 20(6), sales gas that is used </w:t>
      </w:r>
      <w:r w:rsidR="00AE552F">
        <w:t xml:space="preserve">in relation to the </w:t>
      </w:r>
      <w:r w:rsidRPr="001E199E">
        <w:t xml:space="preserve">downstream </w:t>
      </w:r>
      <w:r w:rsidR="0091236C">
        <w:t>processing of sales gas into liquifie</w:t>
      </w:r>
      <w:r w:rsidR="00EE7F9C">
        <w:t xml:space="preserve">d product </w:t>
      </w:r>
      <w:r w:rsidR="00526784">
        <w:t xml:space="preserve">(for example, sales gas that is </w:t>
      </w:r>
      <w:r w:rsidR="00897AC8">
        <w:t xml:space="preserve">converted into electricity to operate downstream facilities) </w:t>
      </w:r>
      <w:r w:rsidRPr="001E199E">
        <w:t>must be included in the volume or mass of project sales gas to which the RPM price is then applied to work out a taxpayer’s assessable receipts.</w:t>
      </w:r>
    </w:p>
    <w:p w14:paraId="6C109FD5" w14:textId="4090438E" w:rsidR="004E3379" w:rsidRDefault="00FC1EC8" w:rsidP="002C6CC5">
      <w:pPr>
        <w:pStyle w:val="Bullet"/>
        <w:spacing w:line="259" w:lineRule="auto"/>
      </w:pPr>
      <w:r>
        <w:t xml:space="preserve">Similar </w:t>
      </w:r>
      <w:r w:rsidR="004B0780">
        <w:t xml:space="preserve">amendments are made </w:t>
      </w:r>
      <w:r w:rsidR="00AC5A55">
        <w:t>in relation to section 7</w:t>
      </w:r>
      <w:r w:rsidR="00954692">
        <w:t>, which deal</w:t>
      </w:r>
      <w:r w:rsidR="00FA5AB2">
        <w:t>s</w:t>
      </w:r>
      <w:r w:rsidR="00954692">
        <w:t xml:space="preserve"> with integrated </w:t>
      </w:r>
      <w:r w:rsidR="00576511">
        <w:t>gas to energy</w:t>
      </w:r>
      <w:r w:rsidR="00954692">
        <w:t xml:space="preserve"> operations. </w:t>
      </w:r>
    </w:p>
    <w:p w14:paraId="5CBE4A84" w14:textId="03A0F5B5" w:rsidR="002C6CC5" w:rsidRPr="00954692" w:rsidRDefault="004E3379" w:rsidP="002C6CC5">
      <w:pPr>
        <w:pStyle w:val="Bullet"/>
        <w:spacing w:line="259" w:lineRule="auto"/>
        <w:rPr>
          <w:u w:val="single"/>
        </w:rPr>
      </w:pPr>
      <w:r w:rsidRPr="00954692">
        <w:rPr>
          <w:u w:val="single"/>
        </w:rPr>
        <w:t xml:space="preserve">Part </w:t>
      </w:r>
      <w:r w:rsidR="00361907" w:rsidRPr="00954692">
        <w:rPr>
          <w:u w:val="single"/>
        </w:rPr>
        <w:t>6</w:t>
      </w:r>
      <w:r w:rsidRPr="00954692">
        <w:rPr>
          <w:u w:val="single"/>
        </w:rPr>
        <w:t xml:space="preserve"> </w:t>
      </w:r>
      <w:r w:rsidR="00994546">
        <w:rPr>
          <w:u w:val="single"/>
        </w:rPr>
        <w:t xml:space="preserve">- </w:t>
      </w:r>
      <w:r w:rsidR="00125962" w:rsidRPr="00954692">
        <w:rPr>
          <w:u w:val="single"/>
        </w:rPr>
        <w:t>Transitional</w:t>
      </w:r>
      <w:r w:rsidR="00F946E4" w:rsidRPr="00954692">
        <w:rPr>
          <w:u w:val="single"/>
        </w:rPr>
        <w:t xml:space="preserve"> provisions</w:t>
      </w:r>
    </w:p>
    <w:p w14:paraId="33F8A84F" w14:textId="77777777" w:rsidR="00DB059E" w:rsidRDefault="00113E68" w:rsidP="00C22CC4">
      <w:pPr>
        <w:pStyle w:val="Bullet"/>
        <w:spacing w:line="259" w:lineRule="auto"/>
      </w:pPr>
      <w:r>
        <w:t xml:space="preserve">Section 56 provides that the </w:t>
      </w:r>
      <w:r w:rsidR="00791423">
        <w:t>2024</w:t>
      </w:r>
      <w:r>
        <w:t xml:space="preserve"> Regulations apply </w:t>
      </w:r>
      <w:r w:rsidR="00882DD1">
        <w:t>in relation to a year of tax beginning on or after 1 July 2024.</w:t>
      </w:r>
    </w:p>
    <w:p w14:paraId="0ACB6947" w14:textId="694C6CD9" w:rsidR="00C22CC4" w:rsidRDefault="00691EBE" w:rsidP="00C22CC4">
      <w:pPr>
        <w:pStyle w:val="Bullet"/>
        <w:spacing w:line="259" w:lineRule="auto"/>
      </w:pPr>
      <w:r w:rsidRPr="00691EBE">
        <w:t xml:space="preserve">The </w:t>
      </w:r>
      <w:r w:rsidR="00791423">
        <w:t>2024</w:t>
      </w:r>
      <w:r>
        <w:t xml:space="preserve"> </w:t>
      </w:r>
      <w:r w:rsidRPr="00691EBE">
        <w:t>Regulation</w:t>
      </w:r>
      <w:r>
        <w:t>s</w:t>
      </w:r>
      <w:r w:rsidRPr="00691EBE">
        <w:t xml:space="preserve"> also includes </w:t>
      </w:r>
      <w:r w:rsidR="008A015A">
        <w:t xml:space="preserve">a general sunsetting </w:t>
      </w:r>
      <w:r w:rsidRPr="00691EBE">
        <w:t>transitional provision to ensure that actions, such as the making of applications</w:t>
      </w:r>
      <w:r>
        <w:t xml:space="preserve"> or elections</w:t>
      </w:r>
      <w:r w:rsidRPr="00691EBE">
        <w:t xml:space="preserve"> and the giving of notices and permissions, taken under the 2005</w:t>
      </w:r>
      <w:r>
        <w:t xml:space="preserve"> or 2015</w:t>
      </w:r>
      <w:r w:rsidRPr="00691EBE">
        <w:t xml:space="preserve"> Regulations continue to apply as if they had been taken under the </w:t>
      </w:r>
      <w:r w:rsidR="00791423">
        <w:t>2024</w:t>
      </w:r>
      <w:r w:rsidR="00BD6F94">
        <w:t xml:space="preserve"> </w:t>
      </w:r>
      <w:r w:rsidRPr="00691EBE">
        <w:t>Regulation</w:t>
      </w:r>
      <w:r w:rsidR="00BD6F94">
        <w:t xml:space="preserve">s. </w:t>
      </w:r>
    </w:p>
    <w:sectPr w:rsidR="00C22CC4"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02E8" w14:textId="77777777" w:rsidR="000426D8" w:rsidRDefault="000426D8" w:rsidP="00954679">
      <w:pPr>
        <w:spacing w:before="0" w:after="0"/>
      </w:pPr>
      <w:r>
        <w:separator/>
      </w:r>
    </w:p>
  </w:endnote>
  <w:endnote w:type="continuationSeparator" w:id="0">
    <w:p w14:paraId="2CADC913" w14:textId="77777777" w:rsidR="000426D8" w:rsidRDefault="000426D8" w:rsidP="00954679">
      <w:pPr>
        <w:spacing w:before="0" w:after="0"/>
      </w:pPr>
      <w:r>
        <w:continuationSeparator/>
      </w:r>
    </w:p>
  </w:endnote>
  <w:endnote w:type="continuationNotice" w:id="1">
    <w:p w14:paraId="1A0D2922" w14:textId="77777777" w:rsidR="000426D8" w:rsidRDefault="000426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132BB2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D770" w14:textId="77777777" w:rsidR="000426D8" w:rsidRDefault="000426D8" w:rsidP="00954679">
      <w:pPr>
        <w:spacing w:before="0" w:after="0"/>
      </w:pPr>
      <w:r>
        <w:separator/>
      </w:r>
    </w:p>
  </w:footnote>
  <w:footnote w:type="continuationSeparator" w:id="0">
    <w:p w14:paraId="0A370696" w14:textId="77777777" w:rsidR="000426D8" w:rsidRDefault="000426D8" w:rsidP="00954679">
      <w:pPr>
        <w:spacing w:before="0" w:after="0"/>
      </w:pPr>
      <w:r>
        <w:continuationSeparator/>
      </w:r>
    </w:p>
  </w:footnote>
  <w:footnote w:type="continuationNotice" w:id="1">
    <w:p w14:paraId="50B30EF6" w14:textId="77777777" w:rsidR="000426D8" w:rsidRDefault="000426D8">
      <w:pPr>
        <w:spacing w:before="0"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6na8lDG9" int2:invalidationBookmarkName="" int2:hashCode="S6Kd9KxpxsGJVC" int2:id="EKsXfKO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A68"/>
    <w:multiLevelType w:val="multilevel"/>
    <w:tmpl w:val="58C2724E"/>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BA9870"/>
    <w:multiLevelType w:val="multilevel"/>
    <w:tmpl w:val="9932A5CE"/>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8B16D"/>
    <w:multiLevelType w:val="multilevel"/>
    <w:tmpl w:val="017C5342"/>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EF439"/>
    <w:multiLevelType w:val="multilevel"/>
    <w:tmpl w:val="B2C85A08"/>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9BB521"/>
    <w:multiLevelType w:val="multilevel"/>
    <w:tmpl w:val="3B92C13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2EF63293"/>
    <w:multiLevelType w:val="hybridMultilevel"/>
    <w:tmpl w:val="54A0E3A8"/>
    <w:lvl w:ilvl="0" w:tplc="1E8E84C2">
      <w:start w:val="1"/>
      <w:numFmt w:val="decimal"/>
      <w:lvlText w:val="•"/>
      <w:lvlJc w:val="left"/>
      <w:pPr>
        <w:ind w:left="720" w:hanging="360"/>
      </w:pPr>
    </w:lvl>
    <w:lvl w:ilvl="1" w:tplc="6AC6ABCA">
      <w:start w:val="1"/>
      <w:numFmt w:val="lowerLetter"/>
      <w:lvlText w:val="%2."/>
      <w:lvlJc w:val="left"/>
      <w:pPr>
        <w:ind w:left="1440" w:hanging="360"/>
      </w:pPr>
    </w:lvl>
    <w:lvl w:ilvl="2" w:tplc="FF3AF02A">
      <w:start w:val="1"/>
      <w:numFmt w:val="lowerRoman"/>
      <w:lvlText w:val="%3."/>
      <w:lvlJc w:val="right"/>
      <w:pPr>
        <w:ind w:left="2160" w:hanging="180"/>
      </w:pPr>
    </w:lvl>
    <w:lvl w:ilvl="3" w:tplc="23327956">
      <w:start w:val="1"/>
      <w:numFmt w:val="decimal"/>
      <w:lvlText w:val="%4."/>
      <w:lvlJc w:val="left"/>
      <w:pPr>
        <w:ind w:left="2880" w:hanging="360"/>
      </w:pPr>
    </w:lvl>
    <w:lvl w:ilvl="4" w:tplc="738403EA">
      <w:start w:val="1"/>
      <w:numFmt w:val="lowerLetter"/>
      <w:lvlText w:val="%5."/>
      <w:lvlJc w:val="left"/>
      <w:pPr>
        <w:ind w:left="3600" w:hanging="360"/>
      </w:pPr>
    </w:lvl>
    <w:lvl w:ilvl="5" w:tplc="6C428AB8">
      <w:start w:val="1"/>
      <w:numFmt w:val="lowerRoman"/>
      <w:lvlText w:val="%6."/>
      <w:lvlJc w:val="right"/>
      <w:pPr>
        <w:ind w:left="4320" w:hanging="180"/>
      </w:pPr>
    </w:lvl>
    <w:lvl w:ilvl="6" w:tplc="39AA98AC">
      <w:start w:val="1"/>
      <w:numFmt w:val="decimal"/>
      <w:lvlText w:val="%7."/>
      <w:lvlJc w:val="left"/>
      <w:pPr>
        <w:ind w:left="5040" w:hanging="360"/>
      </w:pPr>
    </w:lvl>
    <w:lvl w:ilvl="7" w:tplc="868C4600">
      <w:start w:val="1"/>
      <w:numFmt w:val="lowerLetter"/>
      <w:lvlText w:val="%8."/>
      <w:lvlJc w:val="left"/>
      <w:pPr>
        <w:ind w:left="5760" w:hanging="360"/>
      </w:pPr>
    </w:lvl>
    <w:lvl w:ilvl="8" w:tplc="C11A8022">
      <w:start w:val="1"/>
      <w:numFmt w:val="lowerRoman"/>
      <w:lvlText w:val="%9."/>
      <w:lvlJc w:val="right"/>
      <w:pPr>
        <w:ind w:left="6480" w:hanging="180"/>
      </w:pPr>
    </w:lvl>
  </w:abstractNum>
  <w:abstractNum w:abstractNumId="9" w15:restartNumberingAfterBreak="0">
    <w:nsid w:val="2FA9F704"/>
    <w:multiLevelType w:val="hybridMultilevel"/>
    <w:tmpl w:val="7BF86458"/>
    <w:lvl w:ilvl="0" w:tplc="F9443758">
      <w:start w:val="1"/>
      <w:numFmt w:val="decimal"/>
      <w:lvlText w:val="•"/>
      <w:lvlJc w:val="left"/>
      <w:pPr>
        <w:ind w:left="720" w:hanging="360"/>
      </w:pPr>
    </w:lvl>
    <w:lvl w:ilvl="1" w:tplc="98E05F02">
      <w:start w:val="1"/>
      <w:numFmt w:val="lowerLetter"/>
      <w:lvlText w:val="%2."/>
      <w:lvlJc w:val="left"/>
      <w:pPr>
        <w:ind w:left="1440" w:hanging="360"/>
      </w:pPr>
    </w:lvl>
    <w:lvl w:ilvl="2" w:tplc="604A8B80">
      <w:start w:val="1"/>
      <w:numFmt w:val="lowerRoman"/>
      <w:lvlText w:val="%3."/>
      <w:lvlJc w:val="right"/>
      <w:pPr>
        <w:ind w:left="2160" w:hanging="180"/>
      </w:pPr>
    </w:lvl>
    <w:lvl w:ilvl="3" w:tplc="51D4AE74">
      <w:start w:val="1"/>
      <w:numFmt w:val="decimal"/>
      <w:lvlText w:val="%4."/>
      <w:lvlJc w:val="left"/>
      <w:pPr>
        <w:ind w:left="2880" w:hanging="360"/>
      </w:pPr>
    </w:lvl>
    <w:lvl w:ilvl="4" w:tplc="1818A8A0">
      <w:start w:val="1"/>
      <w:numFmt w:val="lowerLetter"/>
      <w:lvlText w:val="%5."/>
      <w:lvlJc w:val="left"/>
      <w:pPr>
        <w:ind w:left="3600" w:hanging="360"/>
      </w:pPr>
    </w:lvl>
    <w:lvl w:ilvl="5" w:tplc="733090B6">
      <w:start w:val="1"/>
      <w:numFmt w:val="lowerRoman"/>
      <w:lvlText w:val="%6."/>
      <w:lvlJc w:val="right"/>
      <w:pPr>
        <w:ind w:left="4320" w:hanging="180"/>
      </w:pPr>
    </w:lvl>
    <w:lvl w:ilvl="6" w:tplc="0AF48CC0">
      <w:start w:val="1"/>
      <w:numFmt w:val="decimal"/>
      <w:lvlText w:val="%7."/>
      <w:lvlJc w:val="left"/>
      <w:pPr>
        <w:ind w:left="5040" w:hanging="360"/>
      </w:pPr>
    </w:lvl>
    <w:lvl w:ilvl="7" w:tplc="3C60BA70">
      <w:start w:val="1"/>
      <w:numFmt w:val="lowerLetter"/>
      <w:lvlText w:val="%8."/>
      <w:lvlJc w:val="left"/>
      <w:pPr>
        <w:ind w:left="5760" w:hanging="360"/>
      </w:pPr>
    </w:lvl>
    <w:lvl w:ilvl="8" w:tplc="F52C341C">
      <w:start w:val="1"/>
      <w:numFmt w:val="lowerRoman"/>
      <w:lvlText w:val="%9."/>
      <w:lvlJc w:val="right"/>
      <w:pPr>
        <w:ind w:left="6480" w:hanging="180"/>
      </w:pPr>
    </w:lvl>
  </w:abstractNum>
  <w:abstractNum w:abstractNumId="10" w15:restartNumberingAfterBreak="0">
    <w:nsid w:val="34D4DB5E"/>
    <w:multiLevelType w:val="multilevel"/>
    <w:tmpl w:val="EB04B04C"/>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AD48D6"/>
    <w:multiLevelType w:val="hybridMultilevel"/>
    <w:tmpl w:val="CE949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F39148"/>
    <w:multiLevelType w:val="multilevel"/>
    <w:tmpl w:val="ED92B3A2"/>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F4878D"/>
    <w:multiLevelType w:val="multilevel"/>
    <w:tmpl w:val="F5C04A86"/>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20B2E3"/>
    <w:multiLevelType w:val="multilevel"/>
    <w:tmpl w:val="1C2E4FD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E4903"/>
    <w:multiLevelType w:val="hybridMultilevel"/>
    <w:tmpl w:val="A8FAEB14"/>
    <w:lvl w:ilvl="0" w:tplc="E1F88806">
      <w:start w:val="1"/>
      <w:numFmt w:val="decimal"/>
      <w:lvlText w:val="•"/>
      <w:lvlJc w:val="left"/>
      <w:pPr>
        <w:ind w:left="720" w:hanging="360"/>
      </w:pPr>
    </w:lvl>
    <w:lvl w:ilvl="1" w:tplc="DC6227B8">
      <w:start w:val="1"/>
      <w:numFmt w:val="lowerLetter"/>
      <w:lvlText w:val="%2."/>
      <w:lvlJc w:val="left"/>
      <w:pPr>
        <w:ind w:left="1440" w:hanging="360"/>
      </w:pPr>
    </w:lvl>
    <w:lvl w:ilvl="2" w:tplc="375AE854">
      <w:start w:val="1"/>
      <w:numFmt w:val="lowerRoman"/>
      <w:lvlText w:val="%3."/>
      <w:lvlJc w:val="right"/>
      <w:pPr>
        <w:ind w:left="2160" w:hanging="180"/>
      </w:pPr>
    </w:lvl>
    <w:lvl w:ilvl="3" w:tplc="80ACAE76">
      <w:start w:val="1"/>
      <w:numFmt w:val="decimal"/>
      <w:lvlText w:val="%4."/>
      <w:lvlJc w:val="left"/>
      <w:pPr>
        <w:ind w:left="2880" w:hanging="360"/>
      </w:pPr>
    </w:lvl>
    <w:lvl w:ilvl="4" w:tplc="67ACD1B2">
      <w:start w:val="1"/>
      <w:numFmt w:val="lowerLetter"/>
      <w:lvlText w:val="%5."/>
      <w:lvlJc w:val="left"/>
      <w:pPr>
        <w:ind w:left="3600" w:hanging="360"/>
      </w:pPr>
    </w:lvl>
    <w:lvl w:ilvl="5" w:tplc="31DE8FAC">
      <w:start w:val="1"/>
      <w:numFmt w:val="lowerRoman"/>
      <w:lvlText w:val="%6."/>
      <w:lvlJc w:val="right"/>
      <w:pPr>
        <w:ind w:left="4320" w:hanging="180"/>
      </w:pPr>
    </w:lvl>
    <w:lvl w:ilvl="6" w:tplc="5310F1DE">
      <w:start w:val="1"/>
      <w:numFmt w:val="decimal"/>
      <w:lvlText w:val="%7."/>
      <w:lvlJc w:val="left"/>
      <w:pPr>
        <w:ind w:left="5040" w:hanging="360"/>
      </w:pPr>
    </w:lvl>
    <w:lvl w:ilvl="7" w:tplc="9462E0BA">
      <w:start w:val="1"/>
      <w:numFmt w:val="lowerLetter"/>
      <w:lvlText w:val="%8."/>
      <w:lvlJc w:val="left"/>
      <w:pPr>
        <w:ind w:left="5760" w:hanging="360"/>
      </w:pPr>
    </w:lvl>
    <w:lvl w:ilvl="8" w:tplc="0448851E">
      <w:start w:val="1"/>
      <w:numFmt w:val="lowerRoman"/>
      <w:lvlText w:val="%9."/>
      <w:lvlJc w:val="right"/>
      <w:pPr>
        <w:ind w:left="6480" w:hanging="180"/>
      </w:pPr>
    </w:lvl>
  </w:abstractNum>
  <w:abstractNum w:abstractNumId="16" w15:restartNumberingAfterBreak="0">
    <w:nsid w:val="5E2105C3"/>
    <w:multiLevelType w:val="multilevel"/>
    <w:tmpl w:val="0ABE57DA"/>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A43C0B"/>
    <w:multiLevelType w:val="multilevel"/>
    <w:tmpl w:val="F5D4887A"/>
    <w:name w:val="StandardBulletedList"/>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9843F4"/>
    <w:multiLevelType w:val="multilevel"/>
    <w:tmpl w:val="B69AB3B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8C72D3"/>
    <w:multiLevelType w:val="multilevel"/>
    <w:tmpl w:val="E5A8F606"/>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747698"/>
    <w:multiLevelType w:val="hybridMultilevel"/>
    <w:tmpl w:val="85209732"/>
    <w:lvl w:ilvl="0" w:tplc="EDF0B838">
      <w:start w:val="1"/>
      <w:numFmt w:val="decimal"/>
      <w:lvlText w:val="•"/>
      <w:lvlJc w:val="left"/>
      <w:pPr>
        <w:ind w:left="720" w:hanging="360"/>
      </w:pPr>
    </w:lvl>
    <w:lvl w:ilvl="1" w:tplc="CDA02F3E">
      <w:start w:val="1"/>
      <w:numFmt w:val="lowerLetter"/>
      <w:lvlText w:val="%2."/>
      <w:lvlJc w:val="left"/>
      <w:pPr>
        <w:ind w:left="1440" w:hanging="360"/>
      </w:pPr>
    </w:lvl>
    <w:lvl w:ilvl="2" w:tplc="E0DAA340">
      <w:start w:val="1"/>
      <w:numFmt w:val="lowerRoman"/>
      <w:lvlText w:val="%3."/>
      <w:lvlJc w:val="right"/>
      <w:pPr>
        <w:ind w:left="2160" w:hanging="180"/>
      </w:pPr>
    </w:lvl>
    <w:lvl w:ilvl="3" w:tplc="60120D52">
      <w:start w:val="1"/>
      <w:numFmt w:val="decimal"/>
      <w:lvlText w:val="%4."/>
      <w:lvlJc w:val="left"/>
      <w:pPr>
        <w:ind w:left="2880" w:hanging="360"/>
      </w:pPr>
    </w:lvl>
    <w:lvl w:ilvl="4" w:tplc="7C9E150C">
      <w:start w:val="1"/>
      <w:numFmt w:val="lowerLetter"/>
      <w:lvlText w:val="%5."/>
      <w:lvlJc w:val="left"/>
      <w:pPr>
        <w:ind w:left="3600" w:hanging="360"/>
      </w:pPr>
    </w:lvl>
    <w:lvl w:ilvl="5" w:tplc="E5CC61B2">
      <w:start w:val="1"/>
      <w:numFmt w:val="lowerRoman"/>
      <w:lvlText w:val="%6."/>
      <w:lvlJc w:val="right"/>
      <w:pPr>
        <w:ind w:left="4320" w:hanging="180"/>
      </w:pPr>
    </w:lvl>
    <w:lvl w:ilvl="6" w:tplc="86445F50">
      <w:start w:val="1"/>
      <w:numFmt w:val="decimal"/>
      <w:lvlText w:val="%7."/>
      <w:lvlJc w:val="left"/>
      <w:pPr>
        <w:ind w:left="5040" w:hanging="360"/>
      </w:pPr>
    </w:lvl>
    <w:lvl w:ilvl="7" w:tplc="F98651F0">
      <w:start w:val="1"/>
      <w:numFmt w:val="lowerLetter"/>
      <w:lvlText w:val="%8."/>
      <w:lvlJc w:val="left"/>
      <w:pPr>
        <w:ind w:left="5760" w:hanging="360"/>
      </w:pPr>
    </w:lvl>
    <w:lvl w:ilvl="8" w:tplc="C3F88DDE">
      <w:start w:val="1"/>
      <w:numFmt w:val="lowerRoman"/>
      <w:lvlText w:val="%9."/>
      <w:lvlJc w:val="right"/>
      <w:pPr>
        <w:ind w:left="6480" w:hanging="180"/>
      </w:pPr>
    </w:lvl>
  </w:abstractNum>
  <w:abstractNum w:abstractNumId="21" w15:restartNumberingAfterBreak="0">
    <w:nsid w:val="7E51721B"/>
    <w:multiLevelType w:val="multilevel"/>
    <w:tmpl w:val="8408AD3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7B7FE6"/>
    <w:multiLevelType w:val="multilevel"/>
    <w:tmpl w:val="3A649580"/>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9062087">
    <w:abstractNumId w:val="12"/>
  </w:num>
  <w:num w:numId="2" w16cid:durableId="886650117">
    <w:abstractNumId w:val="15"/>
  </w:num>
  <w:num w:numId="3" w16cid:durableId="675307753">
    <w:abstractNumId w:val="20"/>
  </w:num>
  <w:num w:numId="4" w16cid:durableId="622271814">
    <w:abstractNumId w:val="9"/>
  </w:num>
  <w:num w:numId="5" w16cid:durableId="1153913911">
    <w:abstractNumId w:val="8"/>
  </w:num>
  <w:num w:numId="6" w16cid:durableId="501090056">
    <w:abstractNumId w:val="2"/>
  </w:num>
  <w:num w:numId="7" w16cid:durableId="1666128631">
    <w:abstractNumId w:val="4"/>
  </w:num>
  <w:num w:numId="8" w16cid:durableId="457647054">
    <w:abstractNumId w:val="18"/>
  </w:num>
  <w:num w:numId="9" w16cid:durableId="255554553">
    <w:abstractNumId w:val="10"/>
  </w:num>
  <w:num w:numId="10" w16cid:durableId="1290934870">
    <w:abstractNumId w:val="13"/>
  </w:num>
  <w:num w:numId="11" w16cid:durableId="742992784">
    <w:abstractNumId w:val="16"/>
  </w:num>
  <w:num w:numId="12" w16cid:durableId="1319502087">
    <w:abstractNumId w:val="0"/>
  </w:num>
  <w:num w:numId="13" w16cid:durableId="84496504">
    <w:abstractNumId w:val="22"/>
  </w:num>
  <w:num w:numId="14" w16cid:durableId="840631796">
    <w:abstractNumId w:val="19"/>
  </w:num>
  <w:num w:numId="15" w16cid:durableId="867455302">
    <w:abstractNumId w:val="21"/>
  </w:num>
  <w:num w:numId="16" w16cid:durableId="244463074">
    <w:abstractNumId w:val="3"/>
  </w:num>
  <w:num w:numId="17" w16cid:durableId="1462305573">
    <w:abstractNumId w:val="14"/>
  </w:num>
  <w:num w:numId="18" w16cid:durableId="838345130">
    <w:abstractNumId w:val="6"/>
  </w:num>
  <w:num w:numId="19" w16cid:durableId="2142919768">
    <w:abstractNumId w:val="7"/>
  </w:num>
  <w:num w:numId="20" w16cid:durableId="92435628">
    <w:abstractNumId w:val="17"/>
  </w:num>
  <w:num w:numId="21" w16cid:durableId="102648425">
    <w:abstractNumId w:val="5"/>
  </w:num>
  <w:num w:numId="22" w16cid:durableId="1451314351">
    <w:abstractNumId w:val="1"/>
  </w:num>
  <w:num w:numId="23" w16cid:durableId="1455824937">
    <w:abstractNumId w:val="17"/>
  </w:num>
  <w:num w:numId="24" w16cid:durableId="2012178582">
    <w:abstractNumId w:val="17"/>
  </w:num>
  <w:num w:numId="25" w16cid:durableId="1173374635">
    <w:abstractNumId w:val="17"/>
  </w:num>
  <w:num w:numId="26" w16cid:durableId="1074162301">
    <w:abstractNumId w:val="17"/>
  </w:num>
  <w:num w:numId="27" w16cid:durableId="1206795025">
    <w:abstractNumId w:val="17"/>
  </w:num>
  <w:num w:numId="28" w16cid:durableId="474571849">
    <w:abstractNumId w:val="17"/>
  </w:num>
  <w:num w:numId="29" w16cid:durableId="890385033">
    <w:abstractNumId w:val="17"/>
  </w:num>
  <w:num w:numId="30" w16cid:durableId="392780191">
    <w:abstractNumId w:val="17"/>
  </w:num>
  <w:num w:numId="31" w16cid:durableId="1793669345">
    <w:abstractNumId w:val="17"/>
  </w:num>
  <w:num w:numId="32" w16cid:durableId="2085832638">
    <w:abstractNumId w:val="17"/>
  </w:num>
  <w:num w:numId="33" w16cid:durableId="724838217">
    <w:abstractNumId w:val="17"/>
  </w:num>
  <w:num w:numId="34" w16cid:durableId="951398036">
    <w:abstractNumId w:val="17"/>
  </w:num>
  <w:num w:numId="35" w16cid:durableId="451899093">
    <w:abstractNumId w:val="17"/>
  </w:num>
  <w:num w:numId="36" w16cid:durableId="1210075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B1"/>
    <w:rsid w:val="0000018A"/>
    <w:rsid w:val="000002D0"/>
    <w:rsid w:val="000004DF"/>
    <w:rsid w:val="0000178A"/>
    <w:rsid w:val="00001C92"/>
    <w:rsid w:val="0000217A"/>
    <w:rsid w:val="000026BE"/>
    <w:rsid w:val="00003189"/>
    <w:rsid w:val="00003F96"/>
    <w:rsid w:val="00005303"/>
    <w:rsid w:val="00005B51"/>
    <w:rsid w:val="00005E48"/>
    <w:rsid w:val="0000628C"/>
    <w:rsid w:val="000063FD"/>
    <w:rsid w:val="0000670A"/>
    <w:rsid w:val="000068A7"/>
    <w:rsid w:val="0000783F"/>
    <w:rsid w:val="0000C665"/>
    <w:rsid w:val="00011075"/>
    <w:rsid w:val="00013390"/>
    <w:rsid w:val="0001519A"/>
    <w:rsid w:val="00016EA2"/>
    <w:rsid w:val="000175F0"/>
    <w:rsid w:val="000179B3"/>
    <w:rsid w:val="00021257"/>
    <w:rsid w:val="00022224"/>
    <w:rsid w:val="0002323C"/>
    <w:rsid w:val="00023577"/>
    <w:rsid w:val="00024CF5"/>
    <w:rsid w:val="0002546A"/>
    <w:rsid w:val="00027042"/>
    <w:rsid w:val="0003092F"/>
    <w:rsid w:val="0003093A"/>
    <w:rsid w:val="00030ADB"/>
    <w:rsid w:val="00031AE1"/>
    <w:rsid w:val="00032225"/>
    <w:rsid w:val="000328DB"/>
    <w:rsid w:val="000329D3"/>
    <w:rsid w:val="00033109"/>
    <w:rsid w:val="00033A44"/>
    <w:rsid w:val="0003635F"/>
    <w:rsid w:val="000363F0"/>
    <w:rsid w:val="0003702B"/>
    <w:rsid w:val="000370E2"/>
    <w:rsid w:val="00040993"/>
    <w:rsid w:val="00041C87"/>
    <w:rsid w:val="00042050"/>
    <w:rsid w:val="000426D8"/>
    <w:rsid w:val="00042B8A"/>
    <w:rsid w:val="000455BA"/>
    <w:rsid w:val="000470A3"/>
    <w:rsid w:val="000470D5"/>
    <w:rsid w:val="000507BC"/>
    <w:rsid w:val="00051648"/>
    <w:rsid w:val="00051D44"/>
    <w:rsid w:val="00051DE6"/>
    <w:rsid w:val="000523FF"/>
    <w:rsid w:val="000524A9"/>
    <w:rsid w:val="0005316A"/>
    <w:rsid w:val="00053A35"/>
    <w:rsid w:val="00053AE8"/>
    <w:rsid w:val="0005412E"/>
    <w:rsid w:val="000547DB"/>
    <w:rsid w:val="000554F1"/>
    <w:rsid w:val="0005588C"/>
    <w:rsid w:val="00056665"/>
    <w:rsid w:val="0005774F"/>
    <w:rsid w:val="00057D44"/>
    <w:rsid w:val="000605BB"/>
    <w:rsid w:val="00060EE8"/>
    <w:rsid w:val="000618C8"/>
    <w:rsid w:val="000620B6"/>
    <w:rsid w:val="00065F03"/>
    <w:rsid w:val="00066F33"/>
    <w:rsid w:val="000671FE"/>
    <w:rsid w:val="00067B08"/>
    <w:rsid w:val="00070382"/>
    <w:rsid w:val="000707BE"/>
    <w:rsid w:val="00071CC6"/>
    <w:rsid w:val="00071D42"/>
    <w:rsid w:val="000720D8"/>
    <w:rsid w:val="000723D7"/>
    <w:rsid w:val="000724E8"/>
    <w:rsid w:val="000726E0"/>
    <w:rsid w:val="00072ECA"/>
    <w:rsid w:val="00073D97"/>
    <w:rsid w:val="00073EA6"/>
    <w:rsid w:val="0007426A"/>
    <w:rsid w:val="00075A77"/>
    <w:rsid w:val="00076178"/>
    <w:rsid w:val="00076E15"/>
    <w:rsid w:val="00076FF9"/>
    <w:rsid w:val="00080673"/>
    <w:rsid w:val="00080B0A"/>
    <w:rsid w:val="00080C75"/>
    <w:rsid w:val="00081277"/>
    <w:rsid w:val="000821D8"/>
    <w:rsid w:val="000825D1"/>
    <w:rsid w:val="000830DD"/>
    <w:rsid w:val="0008340C"/>
    <w:rsid w:val="00083545"/>
    <w:rsid w:val="00083956"/>
    <w:rsid w:val="00083C8F"/>
    <w:rsid w:val="00084D04"/>
    <w:rsid w:val="000854E0"/>
    <w:rsid w:val="00085771"/>
    <w:rsid w:val="0008615E"/>
    <w:rsid w:val="0008741E"/>
    <w:rsid w:val="00087D13"/>
    <w:rsid w:val="00093E02"/>
    <w:rsid w:val="0009458A"/>
    <w:rsid w:val="00095211"/>
    <w:rsid w:val="00095999"/>
    <w:rsid w:val="00096745"/>
    <w:rsid w:val="00097997"/>
    <w:rsid w:val="00097F36"/>
    <w:rsid w:val="000A070E"/>
    <w:rsid w:val="000A28B0"/>
    <w:rsid w:val="000A28DE"/>
    <w:rsid w:val="000A2AFB"/>
    <w:rsid w:val="000A436A"/>
    <w:rsid w:val="000A5B12"/>
    <w:rsid w:val="000A69C5"/>
    <w:rsid w:val="000A79DD"/>
    <w:rsid w:val="000B057D"/>
    <w:rsid w:val="000B1879"/>
    <w:rsid w:val="000B2938"/>
    <w:rsid w:val="000B39A1"/>
    <w:rsid w:val="000B3D59"/>
    <w:rsid w:val="000B550C"/>
    <w:rsid w:val="000B5894"/>
    <w:rsid w:val="000B636B"/>
    <w:rsid w:val="000B66C9"/>
    <w:rsid w:val="000B6BC5"/>
    <w:rsid w:val="000B6FC4"/>
    <w:rsid w:val="000B7285"/>
    <w:rsid w:val="000C10DF"/>
    <w:rsid w:val="000C1F2F"/>
    <w:rsid w:val="000C29D2"/>
    <w:rsid w:val="000C2E12"/>
    <w:rsid w:val="000C3AD1"/>
    <w:rsid w:val="000C3ECC"/>
    <w:rsid w:val="000C4B61"/>
    <w:rsid w:val="000C5C40"/>
    <w:rsid w:val="000C603C"/>
    <w:rsid w:val="000C6935"/>
    <w:rsid w:val="000C7645"/>
    <w:rsid w:val="000D11E5"/>
    <w:rsid w:val="000D2234"/>
    <w:rsid w:val="000D290F"/>
    <w:rsid w:val="000D29BE"/>
    <w:rsid w:val="000D4453"/>
    <w:rsid w:val="000D4BC0"/>
    <w:rsid w:val="000D5551"/>
    <w:rsid w:val="000D5827"/>
    <w:rsid w:val="000D59B4"/>
    <w:rsid w:val="000D611C"/>
    <w:rsid w:val="000D7416"/>
    <w:rsid w:val="000E051C"/>
    <w:rsid w:val="000E0D48"/>
    <w:rsid w:val="000E1237"/>
    <w:rsid w:val="000E2B91"/>
    <w:rsid w:val="000E32E3"/>
    <w:rsid w:val="000E3870"/>
    <w:rsid w:val="000E5855"/>
    <w:rsid w:val="000E5C8A"/>
    <w:rsid w:val="000E718F"/>
    <w:rsid w:val="000E7DCE"/>
    <w:rsid w:val="000F0FE1"/>
    <w:rsid w:val="000F10E9"/>
    <w:rsid w:val="000F120A"/>
    <w:rsid w:val="000F1F12"/>
    <w:rsid w:val="000F22CF"/>
    <w:rsid w:val="000F2B9C"/>
    <w:rsid w:val="000F3A05"/>
    <w:rsid w:val="000F53D9"/>
    <w:rsid w:val="000F56C6"/>
    <w:rsid w:val="000F6196"/>
    <w:rsid w:val="000F6454"/>
    <w:rsid w:val="000F74AB"/>
    <w:rsid w:val="000F7B37"/>
    <w:rsid w:val="001012C2"/>
    <w:rsid w:val="00102854"/>
    <w:rsid w:val="00102DAE"/>
    <w:rsid w:val="00103047"/>
    <w:rsid w:val="001031B8"/>
    <w:rsid w:val="0010384F"/>
    <w:rsid w:val="00103A27"/>
    <w:rsid w:val="00104004"/>
    <w:rsid w:val="001046F8"/>
    <w:rsid w:val="0010521A"/>
    <w:rsid w:val="00110061"/>
    <w:rsid w:val="0011042A"/>
    <w:rsid w:val="0011058C"/>
    <w:rsid w:val="001110A5"/>
    <w:rsid w:val="001139C5"/>
    <w:rsid w:val="00113B45"/>
    <w:rsid w:val="00113E68"/>
    <w:rsid w:val="00113FC0"/>
    <w:rsid w:val="00114003"/>
    <w:rsid w:val="00114351"/>
    <w:rsid w:val="00114818"/>
    <w:rsid w:val="0011527C"/>
    <w:rsid w:val="00116972"/>
    <w:rsid w:val="00117096"/>
    <w:rsid w:val="00117848"/>
    <w:rsid w:val="00117C02"/>
    <w:rsid w:val="001216D5"/>
    <w:rsid w:val="00121AA3"/>
    <w:rsid w:val="00121C22"/>
    <w:rsid w:val="00123FAD"/>
    <w:rsid w:val="00125962"/>
    <w:rsid w:val="00126280"/>
    <w:rsid w:val="00126DCD"/>
    <w:rsid w:val="001276B4"/>
    <w:rsid w:val="001305EF"/>
    <w:rsid w:val="0013118A"/>
    <w:rsid w:val="0013126F"/>
    <w:rsid w:val="001319C8"/>
    <w:rsid w:val="00131AE1"/>
    <w:rsid w:val="00131DE7"/>
    <w:rsid w:val="001331B7"/>
    <w:rsid w:val="00133D7A"/>
    <w:rsid w:val="001345C5"/>
    <w:rsid w:val="001349A1"/>
    <w:rsid w:val="00135186"/>
    <w:rsid w:val="00136086"/>
    <w:rsid w:val="00136C3B"/>
    <w:rsid w:val="001374B1"/>
    <w:rsid w:val="001417D2"/>
    <w:rsid w:val="00142BCF"/>
    <w:rsid w:val="00142F5F"/>
    <w:rsid w:val="00143DF0"/>
    <w:rsid w:val="00144313"/>
    <w:rsid w:val="001457A3"/>
    <w:rsid w:val="0014608E"/>
    <w:rsid w:val="00150187"/>
    <w:rsid w:val="00150387"/>
    <w:rsid w:val="00150474"/>
    <w:rsid w:val="00152B32"/>
    <w:rsid w:val="00153032"/>
    <w:rsid w:val="001534D5"/>
    <w:rsid w:val="001544AF"/>
    <w:rsid w:val="00155328"/>
    <w:rsid w:val="00156610"/>
    <w:rsid w:val="0015790F"/>
    <w:rsid w:val="0015794C"/>
    <w:rsid w:val="00160F66"/>
    <w:rsid w:val="001610F9"/>
    <w:rsid w:val="001625C3"/>
    <w:rsid w:val="0016300C"/>
    <w:rsid w:val="0016499C"/>
    <w:rsid w:val="00164F21"/>
    <w:rsid w:val="001654D2"/>
    <w:rsid w:val="0016568F"/>
    <w:rsid w:val="00167090"/>
    <w:rsid w:val="00167257"/>
    <w:rsid w:val="0017055C"/>
    <w:rsid w:val="00170A37"/>
    <w:rsid w:val="00171500"/>
    <w:rsid w:val="00171ADD"/>
    <w:rsid w:val="00172B5A"/>
    <w:rsid w:val="00174493"/>
    <w:rsid w:val="001759BE"/>
    <w:rsid w:val="00176822"/>
    <w:rsid w:val="00177C3E"/>
    <w:rsid w:val="0018072B"/>
    <w:rsid w:val="00180776"/>
    <w:rsid w:val="001816AD"/>
    <w:rsid w:val="00181DEE"/>
    <w:rsid w:val="00181E52"/>
    <w:rsid w:val="00182518"/>
    <w:rsid w:val="001853F2"/>
    <w:rsid w:val="00186407"/>
    <w:rsid w:val="00186988"/>
    <w:rsid w:val="00187857"/>
    <w:rsid w:val="00190ED3"/>
    <w:rsid w:val="00191F4E"/>
    <w:rsid w:val="001935D6"/>
    <w:rsid w:val="00193DDF"/>
    <w:rsid w:val="0019500F"/>
    <w:rsid w:val="00195A29"/>
    <w:rsid w:val="00195EE1"/>
    <w:rsid w:val="00196480"/>
    <w:rsid w:val="001964FB"/>
    <w:rsid w:val="00196E2B"/>
    <w:rsid w:val="00197F59"/>
    <w:rsid w:val="001A0306"/>
    <w:rsid w:val="001A2E06"/>
    <w:rsid w:val="001A3647"/>
    <w:rsid w:val="001A440A"/>
    <w:rsid w:val="001A4D3D"/>
    <w:rsid w:val="001A6F81"/>
    <w:rsid w:val="001A721E"/>
    <w:rsid w:val="001A7892"/>
    <w:rsid w:val="001B075D"/>
    <w:rsid w:val="001B08EF"/>
    <w:rsid w:val="001B188D"/>
    <w:rsid w:val="001B25CA"/>
    <w:rsid w:val="001B2B63"/>
    <w:rsid w:val="001B32DF"/>
    <w:rsid w:val="001B4919"/>
    <w:rsid w:val="001B5701"/>
    <w:rsid w:val="001B63D4"/>
    <w:rsid w:val="001B700D"/>
    <w:rsid w:val="001B7535"/>
    <w:rsid w:val="001B7696"/>
    <w:rsid w:val="001B7EC2"/>
    <w:rsid w:val="001B7FED"/>
    <w:rsid w:val="001C01E0"/>
    <w:rsid w:val="001C0477"/>
    <w:rsid w:val="001C0FD1"/>
    <w:rsid w:val="001C122F"/>
    <w:rsid w:val="001C4D1C"/>
    <w:rsid w:val="001C6D5A"/>
    <w:rsid w:val="001C6EAE"/>
    <w:rsid w:val="001C6EB8"/>
    <w:rsid w:val="001C7A6B"/>
    <w:rsid w:val="001D0315"/>
    <w:rsid w:val="001D08EB"/>
    <w:rsid w:val="001D0991"/>
    <w:rsid w:val="001D132A"/>
    <w:rsid w:val="001D1BCD"/>
    <w:rsid w:val="001D4FB1"/>
    <w:rsid w:val="001D5274"/>
    <w:rsid w:val="001D69B0"/>
    <w:rsid w:val="001D7210"/>
    <w:rsid w:val="001E0A74"/>
    <w:rsid w:val="001E0C91"/>
    <w:rsid w:val="001E109B"/>
    <w:rsid w:val="001E199E"/>
    <w:rsid w:val="001E2736"/>
    <w:rsid w:val="001E44C2"/>
    <w:rsid w:val="001E6377"/>
    <w:rsid w:val="001E6A74"/>
    <w:rsid w:val="001E79AB"/>
    <w:rsid w:val="001F200A"/>
    <w:rsid w:val="001F2496"/>
    <w:rsid w:val="001F2F72"/>
    <w:rsid w:val="001F381D"/>
    <w:rsid w:val="001F41D0"/>
    <w:rsid w:val="001F462C"/>
    <w:rsid w:val="001F4A90"/>
    <w:rsid w:val="001F57BB"/>
    <w:rsid w:val="001F6024"/>
    <w:rsid w:val="001F6486"/>
    <w:rsid w:val="001F6755"/>
    <w:rsid w:val="001F7DD3"/>
    <w:rsid w:val="0020045D"/>
    <w:rsid w:val="00200636"/>
    <w:rsid w:val="00201D64"/>
    <w:rsid w:val="00202872"/>
    <w:rsid w:val="0020493F"/>
    <w:rsid w:val="00204A6D"/>
    <w:rsid w:val="00205B01"/>
    <w:rsid w:val="0020796A"/>
    <w:rsid w:val="00207BB0"/>
    <w:rsid w:val="00211046"/>
    <w:rsid w:val="002115A5"/>
    <w:rsid w:val="002132B3"/>
    <w:rsid w:val="002132BD"/>
    <w:rsid w:val="002134FC"/>
    <w:rsid w:val="00213F1A"/>
    <w:rsid w:val="0021459F"/>
    <w:rsid w:val="00214888"/>
    <w:rsid w:val="00214D1B"/>
    <w:rsid w:val="00214DD2"/>
    <w:rsid w:val="00216029"/>
    <w:rsid w:val="002176DE"/>
    <w:rsid w:val="00220A6F"/>
    <w:rsid w:val="00220F16"/>
    <w:rsid w:val="00221082"/>
    <w:rsid w:val="002226C1"/>
    <w:rsid w:val="0022418A"/>
    <w:rsid w:val="002242C6"/>
    <w:rsid w:val="002244B1"/>
    <w:rsid w:val="00225A07"/>
    <w:rsid w:val="002263D4"/>
    <w:rsid w:val="00226CF2"/>
    <w:rsid w:val="00226F88"/>
    <w:rsid w:val="0022773A"/>
    <w:rsid w:val="0023011E"/>
    <w:rsid w:val="0023078D"/>
    <w:rsid w:val="002314DC"/>
    <w:rsid w:val="00231837"/>
    <w:rsid w:val="00232F1F"/>
    <w:rsid w:val="00232F34"/>
    <w:rsid w:val="002336A0"/>
    <w:rsid w:val="0023481C"/>
    <w:rsid w:val="002349A0"/>
    <w:rsid w:val="00234E09"/>
    <w:rsid w:val="00236C38"/>
    <w:rsid w:val="0023753A"/>
    <w:rsid w:val="00240D31"/>
    <w:rsid w:val="0024245F"/>
    <w:rsid w:val="0024349B"/>
    <w:rsid w:val="00246B54"/>
    <w:rsid w:val="00250051"/>
    <w:rsid w:val="0025163F"/>
    <w:rsid w:val="00251EF1"/>
    <w:rsid w:val="0025325D"/>
    <w:rsid w:val="00254C5B"/>
    <w:rsid w:val="00255366"/>
    <w:rsid w:val="00255CE7"/>
    <w:rsid w:val="00256655"/>
    <w:rsid w:val="00256924"/>
    <w:rsid w:val="00256B9E"/>
    <w:rsid w:val="0026241B"/>
    <w:rsid w:val="00262930"/>
    <w:rsid w:val="00265096"/>
    <w:rsid w:val="0026536D"/>
    <w:rsid w:val="00267B8B"/>
    <w:rsid w:val="00267C37"/>
    <w:rsid w:val="00270C7B"/>
    <w:rsid w:val="0027118E"/>
    <w:rsid w:val="002725F4"/>
    <w:rsid w:val="00275C5A"/>
    <w:rsid w:val="00276CBB"/>
    <w:rsid w:val="002771E5"/>
    <w:rsid w:val="002776F9"/>
    <w:rsid w:val="00277840"/>
    <w:rsid w:val="00283017"/>
    <w:rsid w:val="00284AB0"/>
    <w:rsid w:val="00284B3B"/>
    <w:rsid w:val="00284D8D"/>
    <w:rsid w:val="0028751E"/>
    <w:rsid w:val="00287C5A"/>
    <w:rsid w:val="00290225"/>
    <w:rsid w:val="00291C63"/>
    <w:rsid w:val="002921DA"/>
    <w:rsid w:val="0029256E"/>
    <w:rsid w:val="00292A13"/>
    <w:rsid w:val="00293839"/>
    <w:rsid w:val="00293BD7"/>
    <w:rsid w:val="00295278"/>
    <w:rsid w:val="0029546A"/>
    <w:rsid w:val="002954D9"/>
    <w:rsid w:val="00295E06"/>
    <w:rsid w:val="00297413"/>
    <w:rsid w:val="002979D1"/>
    <w:rsid w:val="00297CAE"/>
    <w:rsid w:val="002A0A1C"/>
    <w:rsid w:val="002A1236"/>
    <w:rsid w:val="002A1367"/>
    <w:rsid w:val="002A282A"/>
    <w:rsid w:val="002A3C80"/>
    <w:rsid w:val="002A46DE"/>
    <w:rsid w:val="002A4C11"/>
    <w:rsid w:val="002A541B"/>
    <w:rsid w:val="002A5A7A"/>
    <w:rsid w:val="002A5EDE"/>
    <w:rsid w:val="002A6B2C"/>
    <w:rsid w:val="002A6DA4"/>
    <w:rsid w:val="002A7B74"/>
    <w:rsid w:val="002A7E1F"/>
    <w:rsid w:val="002A7FA1"/>
    <w:rsid w:val="002B16AB"/>
    <w:rsid w:val="002B214F"/>
    <w:rsid w:val="002B348D"/>
    <w:rsid w:val="002B3C19"/>
    <w:rsid w:val="002B48EF"/>
    <w:rsid w:val="002B56BE"/>
    <w:rsid w:val="002B5B25"/>
    <w:rsid w:val="002B5BE1"/>
    <w:rsid w:val="002B5ED8"/>
    <w:rsid w:val="002B77FC"/>
    <w:rsid w:val="002C0792"/>
    <w:rsid w:val="002C0A5A"/>
    <w:rsid w:val="002C1001"/>
    <w:rsid w:val="002C191F"/>
    <w:rsid w:val="002C226C"/>
    <w:rsid w:val="002C3EE2"/>
    <w:rsid w:val="002C4DB2"/>
    <w:rsid w:val="002C5879"/>
    <w:rsid w:val="002C6705"/>
    <w:rsid w:val="002C6CC5"/>
    <w:rsid w:val="002C6D58"/>
    <w:rsid w:val="002C759C"/>
    <w:rsid w:val="002C7A8B"/>
    <w:rsid w:val="002C7ED1"/>
    <w:rsid w:val="002D2576"/>
    <w:rsid w:val="002D30B9"/>
    <w:rsid w:val="002D3469"/>
    <w:rsid w:val="002D4B55"/>
    <w:rsid w:val="002D51F9"/>
    <w:rsid w:val="002D521A"/>
    <w:rsid w:val="002D55B0"/>
    <w:rsid w:val="002D5736"/>
    <w:rsid w:val="002D5CAB"/>
    <w:rsid w:val="002D6E55"/>
    <w:rsid w:val="002D6EFE"/>
    <w:rsid w:val="002E0BB9"/>
    <w:rsid w:val="002E25C9"/>
    <w:rsid w:val="002E29E8"/>
    <w:rsid w:val="002E2C88"/>
    <w:rsid w:val="002E365D"/>
    <w:rsid w:val="002E3A58"/>
    <w:rsid w:val="002E47CC"/>
    <w:rsid w:val="002E4C21"/>
    <w:rsid w:val="002E73BB"/>
    <w:rsid w:val="002F022D"/>
    <w:rsid w:val="002F03EF"/>
    <w:rsid w:val="002F0BAD"/>
    <w:rsid w:val="002F157D"/>
    <w:rsid w:val="002F186C"/>
    <w:rsid w:val="002F1E41"/>
    <w:rsid w:val="002F2DB4"/>
    <w:rsid w:val="002F38F3"/>
    <w:rsid w:val="002F41C7"/>
    <w:rsid w:val="002F42D2"/>
    <w:rsid w:val="002F4802"/>
    <w:rsid w:val="002F61F5"/>
    <w:rsid w:val="002F6BB1"/>
    <w:rsid w:val="002F7C2E"/>
    <w:rsid w:val="003001F2"/>
    <w:rsid w:val="00300D95"/>
    <w:rsid w:val="00301482"/>
    <w:rsid w:val="00301C89"/>
    <w:rsid w:val="00302571"/>
    <w:rsid w:val="00302826"/>
    <w:rsid w:val="00302917"/>
    <w:rsid w:val="00302D70"/>
    <w:rsid w:val="003037F8"/>
    <w:rsid w:val="003041FA"/>
    <w:rsid w:val="00304A98"/>
    <w:rsid w:val="00305D71"/>
    <w:rsid w:val="00305E6E"/>
    <w:rsid w:val="00305E9E"/>
    <w:rsid w:val="00306E72"/>
    <w:rsid w:val="00307584"/>
    <w:rsid w:val="0031010E"/>
    <w:rsid w:val="003106F5"/>
    <w:rsid w:val="00311594"/>
    <w:rsid w:val="0031289E"/>
    <w:rsid w:val="00312A68"/>
    <w:rsid w:val="00312F4B"/>
    <w:rsid w:val="00314247"/>
    <w:rsid w:val="003152B7"/>
    <w:rsid w:val="00315EAB"/>
    <w:rsid w:val="003161E9"/>
    <w:rsid w:val="0031779C"/>
    <w:rsid w:val="00321E25"/>
    <w:rsid w:val="00322CC2"/>
    <w:rsid w:val="00322DC5"/>
    <w:rsid w:val="00324745"/>
    <w:rsid w:val="00324909"/>
    <w:rsid w:val="00324A18"/>
    <w:rsid w:val="003259FA"/>
    <w:rsid w:val="00326DDE"/>
    <w:rsid w:val="00326E31"/>
    <w:rsid w:val="0032705C"/>
    <w:rsid w:val="00327F92"/>
    <w:rsid w:val="0033120C"/>
    <w:rsid w:val="00331F64"/>
    <w:rsid w:val="003321AD"/>
    <w:rsid w:val="003342CD"/>
    <w:rsid w:val="0033477F"/>
    <w:rsid w:val="00334E6E"/>
    <w:rsid w:val="00334F5B"/>
    <w:rsid w:val="00335042"/>
    <w:rsid w:val="0033558C"/>
    <w:rsid w:val="00336D8A"/>
    <w:rsid w:val="003375BD"/>
    <w:rsid w:val="00340BFC"/>
    <w:rsid w:val="00341642"/>
    <w:rsid w:val="00341E61"/>
    <w:rsid w:val="00342284"/>
    <w:rsid w:val="00342E51"/>
    <w:rsid w:val="003435C2"/>
    <w:rsid w:val="00345008"/>
    <w:rsid w:val="00346524"/>
    <w:rsid w:val="00346F68"/>
    <w:rsid w:val="00347B0F"/>
    <w:rsid w:val="003516BF"/>
    <w:rsid w:val="00351CE0"/>
    <w:rsid w:val="00355872"/>
    <w:rsid w:val="00356426"/>
    <w:rsid w:val="00357733"/>
    <w:rsid w:val="00360119"/>
    <w:rsid w:val="00360C0A"/>
    <w:rsid w:val="0036131B"/>
    <w:rsid w:val="00361907"/>
    <w:rsid w:val="00361D15"/>
    <w:rsid w:val="00362B70"/>
    <w:rsid w:val="00364323"/>
    <w:rsid w:val="003643EF"/>
    <w:rsid w:val="00364966"/>
    <w:rsid w:val="00364DEE"/>
    <w:rsid w:val="0036529B"/>
    <w:rsid w:val="00365433"/>
    <w:rsid w:val="00367355"/>
    <w:rsid w:val="003675D6"/>
    <w:rsid w:val="00367B6F"/>
    <w:rsid w:val="00370395"/>
    <w:rsid w:val="0037083A"/>
    <w:rsid w:val="003708C4"/>
    <w:rsid w:val="0037132B"/>
    <w:rsid w:val="0037180D"/>
    <w:rsid w:val="0037258C"/>
    <w:rsid w:val="0037267D"/>
    <w:rsid w:val="00373853"/>
    <w:rsid w:val="00373DA1"/>
    <w:rsid w:val="00373DA5"/>
    <w:rsid w:val="00380318"/>
    <w:rsid w:val="00381733"/>
    <w:rsid w:val="00381E5A"/>
    <w:rsid w:val="00382319"/>
    <w:rsid w:val="003823B4"/>
    <w:rsid w:val="00382651"/>
    <w:rsid w:val="00383844"/>
    <w:rsid w:val="00383C54"/>
    <w:rsid w:val="003840D8"/>
    <w:rsid w:val="003857DB"/>
    <w:rsid w:val="00390130"/>
    <w:rsid w:val="003901B1"/>
    <w:rsid w:val="0039056A"/>
    <w:rsid w:val="00390571"/>
    <w:rsid w:val="00390E3D"/>
    <w:rsid w:val="00392BBA"/>
    <w:rsid w:val="00392C0C"/>
    <w:rsid w:val="00394A1A"/>
    <w:rsid w:val="003954FD"/>
    <w:rsid w:val="003958A9"/>
    <w:rsid w:val="00395D42"/>
    <w:rsid w:val="00395E29"/>
    <w:rsid w:val="0039678F"/>
    <w:rsid w:val="00397D9F"/>
    <w:rsid w:val="00397DE0"/>
    <w:rsid w:val="003A1B1A"/>
    <w:rsid w:val="003A26CD"/>
    <w:rsid w:val="003A275B"/>
    <w:rsid w:val="003A2F68"/>
    <w:rsid w:val="003A42E3"/>
    <w:rsid w:val="003A4537"/>
    <w:rsid w:val="003A615F"/>
    <w:rsid w:val="003A6666"/>
    <w:rsid w:val="003A6839"/>
    <w:rsid w:val="003B0220"/>
    <w:rsid w:val="003B15EE"/>
    <w:rsid w:val="003B19DD"/>
    <w:rsid w:val="003B319F"/>
    <w:rsid w:val="003B31C0"/>
    <w:rsid w:val="003B31F4"/>
    <w:rsid w:val="003B33AF"/>
    <w:rsid w:val="003B3870"/>
    <w:rsid w:val="003B3BBF"/>
    <w:rsid w:val="003B4356"/>
    <w:rsid w:val="003B4BBF"/>
    <w:rsid w:val="003B5066"/>
    <w:rsid w:val="003B516E"/>
    <w:rsid w:val="003B5357"/>
    <w:rsid w:val="003B59EF"/>
    <w:rsid w:val="003B59F4"/>
    <w:rsid w:val="003B747C"/>
    <w:rsid w:val="003B7F3B"/>
    <w:rsid w:val="003C18A8"/>
    <w:rsid w:val="003C445C"/>
    <w:rsid w:val="003C545B"/>
    <w:rsid w:val="003C5719"/>
    <w:rsid w:val="003C7907"/>
    <w:rsid w:val="003C7B82"/>
    <w:rsid w:val="003D0B99"/>
    <w:rsid w:val="003D10E7"/>
    <w:rsid w:val="003D18D8"/>
    <w:rsid w:val="003D21F9"/>
    <w:rsid w:val="003D392B"/>
    <w:rsid w:val="003D428E"/>
    <w:rsid w:val="003D4C6C"/>
    <w:rsid w:val="003D50BA"/>
    <w:rsid w:val="003D5E75"/>
    <w:rsid w:val="003D60D7"/>
    <w:rsid w:val="003D697A"/>
    <w:rsid w:val="003D765A"/>
    <w:rsid w:val="003E0411"/>
    <w:rsid w:val="003E0FFD"/>
    <w:rsid w:val="003E11B4"/>
    <w:rsid w:val="003E1C8F"/>
    <w:rsid w:val="003E1CE3"/>
    <w:rsid w:val="003E2AC4"/>
    <w:rsid w:val="003E59C7"/>
    <w:rsid w:val="003E60E4"/>
    <w:rsid w:val="003E6206"/>
    <w:rsid w:val="003E77BC"/>
    <w:rsid w:val="003E7DFF"/>
    <w:rsid w:val="003F0449"/>
    <w:rsid w:val="003F17A4"/>
    <w:rsid w:val="003F3B86"/>
    <w:rsid w:val="003F3F4F"/>
    <w:rsid w:val="003F3FE2"/>
    <w:rsid w:val="003F40A3"/>
    <w:rsid w:val="003F6EB2"/>
    <w:rsid w:val="003F7F18"/>
    <w:rsid w:val="004000AE"/>
    <w:rsid w:val="0040065D"/>
    <w:rsid w:val="00400897"/>
    <w:rsid w:val="00401177"/>
    <w:rsid w:val="00401E4D"/>
    <w:rsid w:val="00402B79"/>
    <w:rsid w:val="00402D04"/>
    <w:rsid w:val="00402E02"/>
    <w:rsid w:val="00403670"/>
    <w:rsid w:val="004049A9"/>
    <w:rsid w:val="00405630"/>
    <w:rsid w:val="00405DF4"/>
    <w:rsid w:val="00406944"/>
    <w:rsid w:val="00406F5E"/>
    <w:rsid w:val="004072A6"/>
    <w:rsid w:val="00410C22"/>
    <w:rsid w:val="004127D3"/>
    <w:rsid w:val="00412BB6"/>
    <w:rsid w:val="004142CA"/>
    <w:rsid w:val="004161CB"/>
    <w:rsid w:val="004163F8"/>
    <w:rsid w:val="00417F47"/>
    <w:rsid w:val="00420137"/>
    <w:rsid w:val="00420C37"/>
    <w:rsid w:val="0042108D"/>
    <w:rsid w:val="004217C6"/>
    <w:rsid w:val="0042229B"/>
    <w:rsid w:val="0042375D"/>
    <w:rsid w:val="00424D66"/>
    <w:rsid w:val="00424E84"/>
    <w:rsid w:val="00425046"/>
    <w:rsid w:val="00425D86"/>
    <w:rsid w:val="004266E6"/>
    <w:rsid w:val="004267C1"/>
    <w:rsid w:val="00426918"/>
    <w:rsid w:val="00430CA9"/>
    <w:rsid w:val="0043158A"/>
    <w:rsid w:val="00432BEC"/>
    <w:rsid w:val="00433D62"/>
    <w:rsid w:val="00434C42"/>
    <w:rsid w:val="004355DD"/>
    <w:rsid w:val="004356E8"/>
    <w:rsid w:val="0043657F"/>
    <w:rsid w:val="00436952"/>
    <w:rsid w:val="00443930"/>
    <w:rsid w:val="00443B20"/>
    <w:rsid w:val="00443CB4"/>
    <w:rsid w:val="0044423D"/>
    <w:rsid w:val="004447BB"/>
    <w:rsid w:val="0044650A"/>
    <w:rsid w:val="00447C54"/>
    <w:rsid w:val="0045313B"/>
    <w:rsid w:val="00454E2D"/>
    <w:rsid w:val="00454F6B"/>
    <w:rsid w:val="00455087"/>
    <w:rsid w:val="00455D4A"/>
    <w:rsid w:val="00456022"/>
    <w:rsid w:val="00456FA5"/>
    <w:rsid w:val="0045705E"/>
    <w:rsid w:val="004570FF"/>
    <w:rsid w:val="004577E7"/>
    <w:rsid w:val="00460252"/>
    <w:rsid w:val="00462095"/>
    <w:rsid w:val="00462A2A"/>
    <w:rsid w:val="00462BC7"/>
    <w:rsid w:val="00462C12"/>
    <w:rsid w:val="00464356"/>
    <w:rsid w:val="004649A9"/>
    <w:rsid w:val="004666A0"/>
    <w:rsid w:val="00466731"/>
    <w:rsid w:val="00466DD5"/>
    <w:rsid w:val="00467468"/>
    <w:rsid w:val="00467E83"/>
    <w:rsid w:val="004716BB"/>
    <w:rsid w:val="0047265F"/>
    <w:rsid w:val="00473B09"/>
    <w:rsid w:val="00473B71"/>
    <w:rsid w:val="0047532C"/>
    <w:rsid w:val="004753AD"/>
    <w:rsid w:val="004755FE"/>
    <w:rsid w:val="00475D7A"/>
    <w:rsid w:val="00476FB1"/>
    <w:rsid w:val="00477B2D"/>
    <w:rsid w:val="00482273"/>
    <w:rsid w:val="00482B81"/>
    <w:rsid w:val="00482D4C"/>
    <w:rsid w:val="00483475"/>
    <w:rsid w:val="004837B3"/>
    <w:rsid w:val="004838E4"/>
    <w:rsid w:val="004839BE"/>
    <w:rsid w:val="00483D85"/>
    <w:rsid w:val="0048457E"/>
    <w:rsid w:val="0048463A"/>
    <w:rsid w:val="0049016D"/>
    <w:rsid w:val="00490A7C"/>
    <w:rsid w:val="00490CFC"/>
    <w:rsid w:val="004923C7"/>
    <w:rsid w:val="00492530"/>
    <w:rsid w:val="004929C8"/>
    <w:rsid w:val="00492BF6"/>
    <w:rsid w:val="00493285"/>
    <w:rsid w:val="00493BD6"/>
    <w:rsid w:val="004967DE"/>
    <w:rsid w:val="004A007E"/>
    <w:rsid w:val="004A0090"/>
    <w:rsid w:val="004A0133"/>
    <w:rsid w:val="004A0B50"/>
    <w:rsid w:val="004A0F50"/>
    <w:rsid w:val="004A10CE"/>
    <w:rsid w:val="004A1638"/>
    <w:rsid w:val="004A18BC"/>
    <w:rsid w:val="004A2184"/>
    <w:rsid w:val="004A27A8"/>
    <w:rsid w:val="004A3005"/>
    <w:rsid w:val="004A3018"/>
    <w:rsid w:val="004A4499"/>
    <w:rsid w:val="004A63B4"/>
    <w:rsid w:val="004A7393"/>
    <w:rsid w:val="004A7639"/>
    <w:rsid w:val="004A7908"/>
    <w:rsid w:val="004B0780"/>
    <w:rsid w:val="004B1B75"/>
    <w:rsid w:val="004B3004"/>
    <w:rsid w:val="004B3C0F"/>
    <w:rsid w:val="004B3E47"/>
    <w:rsid w:val="004B3FE5"/>
    <w:rsid w:val="004B430C"/>
    <w:rsid w:val="004B4363"/>
    <w:rsid w:val="004B446C"/>
    <w:rsid w:val="004B4A3C"/>
    <w:rsid w:val="004B4EE6"/>
    <w:rsid w:val="004B5963"/>
    <w:rsid w:val="004B6687"/>
    <w:rsid w:val="004B698C"/>
    <w:rsid w:val="004C05E4"/>
    <w:rsid w:val="004C1EE5"/>
    <w:rsid w:val="004C1FA7"/>
    <w:rsid w:val="004C28DF"/>
    <w:rsid w:val="004C4A27"/>
    <w:rsid w:val="004C59A8"/>
    <w:rsid w:val="004C5CCD"/>
    <w:rsid w:val="004C5E02"/>
    <w:rsid w:val="004C6253"/>
    <w:rsid w:val="004C787F"/>
    <w:rsid w:val="004C7B13"/>
    <w:rsid w:val="004D0181"/>
    <w:rsid w:val="004D1C26"/>
    <w:rsid w:val="004D2B6B"/>
    <w:rsid w:val="004D3171"/>
    <w:rsid w:val="004D474E"/>
    <w:rsid w:val="004D4AE5"/>
    <w:rsid w:val="004D57A7"/>
    <w:rsid w:val="004D5CDD"/>
    <w:rsid w:val="004E17D8"/>
    <w:rsid w:val="004E2431"/>
    <w:rsid w:val="004E2EE7"/>
    <w:rsid w:val="004E313A"/>
    <w:rsid w:val="004E3379"/>
    <w:rsid w:val="004E3590"/>
    <w:rsid w:val="004E39E1"/>
    <w:rsid w:val="004E3BF4"/>
    <w:rsid w:val="004E3CA2"/>
    <w:rsid w:val="004E4C78"/>
    <w:rsid w:val="004E626C"/>
    <w:rsid w:val="004E70ED"/>
    <w:rsid w:val="004E7838"/>
    <w:rsid w:val="004E7F71"/>
    <w:rsid w:val="004F00BA"/>
    <w:rsid w:val="004F011F"/>
    <w:rsid w:val="004F018E"/>
    <w:rsid w:val="004F03F4"/>
    <w:rsid w:val="004F071D"/>
    <w:rsid w:val="004F0B83"/>
    <w:rsid w:val="004F27A3"/>
    <w:rsid w:val="004F2B71"/>
    <w:rsid w:val="004F4A12"/>
    <w:rsid w:val="004F4C00"/>
    <w:rsid w:val="004F545C"/>
    <w:rsid w:val="004F56D0"/>
    <w:rsid w:val="004F580C"/>
    <w:rsid w:val="005017E4"/>
    <w:rsid w:val="00501D06"/>
    <w:rsid w:val="0050235E"/>
    <w:rsid w:val="0050236B"/>
    <w:rsid w:val="00502A3B"/>
    <w:rsid w:val="00503A99"/>
    <w:rsid w:val="00503E44"/>
    <w:rsid w:val="00503F46"/>
    <w:rsid w:val="00505CA9"/>
    <w:rsid w:val="00507130"/>
    <w:rsid w:val="00507449"/>
    <w:rsid w:val="0050777E"/>
    <w:rsid w:val="00507A25"/>
    <w:rsid w:val="005104B0"/>
    <w:rsid w:val="00511E58"/>
    <w:rsid w:val="00511EB1"/>
    <w:rsid w:val="00512058"/>
    <w:rsid w:val="00513FE8"/>
    <w:rsid w:val="0051429B"/>
    <w:rsid w:val="00515283"/>
    <w:rsid w:val="00521450"/>
    <w:rsid w:val="005227C8"/>
    <w:rsid w:val="005227CE"/>
    <w:rsid w:val="00522E69"/>
    <w:rsid w:val="005231C5"/>
    <w:rsid w:val="00525602"/>
    <w:rsid w:val="00526784"/>
    <w:rsid w:val="00526EDE"/>
    <w:rsid w:val="0052743D"/>
    <w:rsid w:val="00527E3F"/>
    <w:rsid w:val="005300C8"/>
    <w:rsid w:val="005313C0"/>
    <w:rsid w:val="00533926"/>
    <w:rsid w:val="005345AB"/>
    <w:rsid w:val="00535A26"/>
    <w:rsid w:val="005375B4"/>
    <w:rsid w:val="00537FB7"/>
    <w:rsid w:val="005411D1"/>
    <w:rsid w:val="00541580"/>
    <w:rsid w:val="00541F44"/>
    <w:rsid w:val="00542354"/>
    <w:rsid w:val="00542607"/>
    <w:rsid w:val="00542873"/>
    <w:rsid w:val="00543E1F"/>
    <w:rsid w:val="00544D91"/>
    <w:rsid w:val="005450C2"/>
    <w:rsid w:val="005457CA"/>
    <w:rsid w:val="00545CA7"/>
    <w:rsid w:val="00547601"/>
    <w:rsid w:val="0054790E"/>
    <w:rsid w:val="00552DB6"/>
    <w:rsid w:val="00553021"/>
    <w:rsid w:val="00554607"/>
    <w:rsid w:val="00554BA3"/>
    <w:rsid w:val="00554DCB"/>
    <w:rsid w:val="00555A2A"/>
    <w:rsid w:val="0055637C"/>
    <w:rsid w:val="0055675D"/>
    <w:rsid w:val="00556848"/>
    <w:rsid w:val="00556852"/>
    <w:rsid w:val="00556B32"/>
    <w:rsid w:val="00556F0F"/>
    <w:rsid w:val="005573C4"/>
    <w:rsid w:val="0055774F"/>
    <w:rsid w:val="00562125"/>
    <w:rsid w:val="00564C37"/>
    <w:rsid w:val="00565FE8"/>
    <w:rsid w:val="0056632B"/>
    <w:rsid w:val="0056682D"/>
    <w:rsid w:val="00566E8F"/>
    <w:rsid w:val="005709DE"/>
    <w:rsid w:val="00571C72"/>
    <w:rsid w:val="00571CF1"/>
    <w:rsid w:val="0057220A"/>
    <w:rsid w:val="005726BA"/>
    <w:rsid w:val="00573276"/>
    <w:rsid w:val="00573C78"/>
    <w:rsid w:val="00573E4F"/>
    <w:rsid w:val="00573FFC"/>
    <w:rsid w:val="0057422E"/>
    <w:rsid w:val="00576511"/>
    <w:rsid w:val="00577484"/>
    <w:rsid w:val="00580AE0"/>
    <w:rsid w:val="00581C71"/>
    <w:rsid w:val="005822E4"/>
    <w:rsid w:val="00582F73"/>
    <w:rsid w:val="005833BE"/>
    <w:rsid w:val="005835D7"/>
    <w:rsid w:val="005858FB"/>
    <w:rsid w:val="00585F2D"/>
    <w:rsid w:val="00586A07"/>
    <w:rsid w:val="00587077"/>
    <w:rsid w:val="005916CD"/>
    <w:rsid w:val="005917EA"/>
    <w:rsid w:val="00592813"/>
    <w:rsid w:val="00592F1C"/>
    <w:rsid w:val="0059302A"/>
    <w:rsid w:val="005945FC"/>
    <w:rsid w:val="00594A7C"/>
    <w:rsid w:val="00594AD8"/>
    <w:rsid w:val="005950F4"/>
    <w:rsid w:val="0059560B"/>
    <w:rsid w:val="0059617E"/>
    <w:rsid w:val="0059645C"/>
    <w:rsid w:val="00596672"/>
    <w:rsid w:val="0059720F"/>
    <w:rsid w:val="00597537"/>
    <w:rsid w:val="005A1D87"/>
    <w:rsid w:val="005A2572"/>
    <w:rsid w:val="005A3E20"/>
    <w:rsid w:val="005A4B1F"/>
    <w:rsid w:val="005A5DA9"/>
    <w:rsid w:val="005A632A"/>
    <w:rsid w:val="005A7624"/>
    <w:rsid w:val="005A79E5"/>
    <w:rsid w:val="005B187F"/>
    <w:rsid w:val="005B33AE"/>
    <w:rsid w:val="005B3AF1"/>
    <w:rsid w:val="005B4DEF"/>
    <w:rsid w:val="005B4E2E"/>
    <w:rsid w:val="005B529E"/>
    <w:rsid w:val="005B5629"/>
    <w:rsid w:val="005B6313"/>
    <w:rsid w:val="005B6593"/>
    <w:rsid w:val="005B7A1B"/>
    <w:rsid w:val="005C032C"/>
    <w:rsid w:val="005C0E0F"/>
    <w:rsid w:val="005C17E5"/>
    <w:rsid w:val="005C1DE3"/>
    <w:rsid w:val="005C1E11"/>
    <w:rsid w:val="005C20D2"/>
    <w:rsid w:val="005C4C7F"/>
    <w:rsid w:val="005C5960"/>
    <w:rsid w:val="005C5A25"/>
    <w:rsid w:val="005C6056"/>
    <w:rsid w:val="005C65BB"/>
    <w:rsid w:val="005C73D6"/>
    <w:rsid w:val="005C7D0C"/>
    <w:rsid w:val="005D147C"/>
    <w:rsid w:val="005D2168"/>
    <w:rsid w:val="005D2502"/>
    <w:rsid w:val="005D32C9"/>
    <w:rsid w:val="005D5D5A"/>
    <w:rsid w:val="005D6C54"/>
    <w:rsid w:val="005D7D5A"/>
    <w:rsid w:val="005D7E35"/>
    <w:rsid w:val="005E0748"/>
    <w:rsid w:val="005E0F7D"/>
    <w:rsid w:val="005E18EC"/>
    <w:rsid w:val="005E2569"/>
    <w:rsid w:val="005E3FA2"/>
    <w:rsid w:val="005E4792"/>
    <w:rsid w:val="005E4BAC"/>
    <w:rsid w:val="005E520C"/>
    <w:rsid w:val="005E580A"/>
    <w:rsid w:val="005E6641"/>
    <w:rsid w:val="005F0A45"/>
    <w:rsid w:val="005F0ABE"/>
    <w:rsid w:val="005F148A"/>
    <w:rsid w:val="005F1BC2"/>
    <w:rsid w:val="005F21D9"/>
    <w:rsid w:val="005F2826"/>
    <w:rsid w:val="005F2FE8"/>
    <w:rsid w:val="005F39DD"/>
    <w:rsid w:val="005F3D98"/>
    <w:rsid w:val="005F4A3F"/>
    <w:rsid w:val="005F4A49"/>
    <w:rsid w:val="005F4B2B"/>
    <w:rsid w:val="005F5DEE"/>
    <w:rsid w:val="005F610D"/>
    <w:rsid w:val="005F65B9"/>
    <w:rsid w:val="005F73EB"/>
    <w:rsid w:val="005F7EBF"/>
    <w:rsid w:val="00600114"/>
    <w:rsid w:val="00600A3A"/>
    <w:rsid w:val="0060130D"/>
    <w:rsid w:val="00601502"/>
    <w:rsid w:val="00603945"/>
    <w:rsid w:val="00604286"/>
    <w:rsid w:val="006049A6"/>
    <w:rsid w:val="00604C2D"/>
    <w:rsid w:val="00606671"/>
    <w:rsid w:val="00606986"/>
    <w:rsid w:val="00606C70"/>
    <w:rsid w:val="006100E5"/>
    <w:rsid w:val="00611251"/>
    <w:rsid w:val="00611C82"/>
    <w:rsid w:val="00612034"/>
    <w:rsid w:val="00612329"/>
    <w:rsid w:val="006137A6"/>
    <w:rsid w:val="006137BB"/>
    <w:rsid w:val="00613B16"/>
    <w:rsid w:val="0061418C"/>
    <w:rsid w:val="006142B7"/>
    <w:rsid w:val="00615574"/>
    <w:rsid w:val="00620F79"/>
    <w:rsid w:val="00623F9C"/>
    <w:rsid w:val="006243C6"/>
    <w:rsid w:val="00624769"/>
    <w:rsid w:val="00624F81"/>
    <w:rsid w:val="006259A1"/>
    <w:rsid w:val="0063081F"/>
    <w:rsid w:val="00630893"/>
    <w:rsid w:val="006311D9"/>
    <w:rsid w:val="006313F1"/>
    <w:rsid w:val="00631CF5"/>
    <w:rsid w:val="00631FC8"/>
    <w:rsid w:val="006326E0"/>
    <w:rsid w:val="00632888"/>
    <w:rsid w:val="00633203"/>
    <w:rsid w:val="00633BF3"/>
    <w:rsid w:val="00633EA7"/>
    <w:rsid w:val="00634A5B"/>
    <w:rsid w:val="00634C65"/>
    <w:rsid w:val="00636B89"/>
    <w:rsid w:val="00637596"/>
    <w:rsid w:val="006404D2"/>
    <w:rsid w:val="0064129F"/>
    <w:rsid w:val="00641550"/>
    <w:rsid w:val="0064309D"/>
    <w:rsid w:val="00645A3C"/>
    <w:rsid w:val="00647BB7"/>
    <w:rsid w:val="0065146D"/>
    <w:rsid w:val="00651880"/>
    <w:rsid w:val="00652ED2"/>
    <w:rsid w:val="0065308D"/>
    <w:rsid w:val="00653666"/>
    <w:rsid w:val="00654B78"/>
    <w:rsid w:val="00655963"/>
    <w:rsid w:val="00656BA2"/>
    <w:rsid w:val="00656BEC"/>
    <w:rsid w:val="00657894"/>
    <w:rsid w:val="00660B57"/>
    <w:rsid w:val="00660F56"/>
    <w:rsid w:val="006652BF"/>
    <w:rsid w:val="00666DBF"/>
    <w:rsid w:val="006710C5"/>
    <w:rsid w:val="006711DF"/>
    <w:rsid w:val="00672250"/>
    <w:rsid w:val="0067234C"/>
    <w:rsid w:val="0067460A"/>
    <w:rsid w:val="00675AFE"/>
    <w:rsid w:val="006764FF"/>
    <w:rsid w:val="00680177"/>
    <w:rsid w:val="00680297"/>
    <w:rsid w:val="0068046D"/>
    <w:rsid w:val="006804F1"/>
    <w:rsid w:val="00680871"/>
    <w:rsid w:val="006812D2"/>
    <w:rsid w:val="00681B6A"/>
    <w:rsid w:val="0068343B"/>
    <w:rsid w:val="00683956"/>
    <w:rsid w:val="00683B0A"/>
    <w:rsid w:val="00685939"/>
    <w:rsid w:val="00685AE2"/>
    <w:rsid w:val="006865CC"/>
    <w:rsid w:val="006867A9"/>
    <w:rsid w:val="006873CE"/>
    <w:rsid w:val="00687C4D"/>
    <w:rsid w:val="0069087A"/>
    <w:rsid w:val="00690B1C"/>
    <w:rsid w:val="006916BD"/>
    <w:rsid w:val="00691C14"/>
    <w:rsid w:val="00691EBE"/>
    <w:rsid w:val="0069205F"/>
    <w:rsid w:val="00692C42"/>
    <w:rsid w:val="006951B8"/>
    <w:rsid w:val="00695DDF"/>
    <w:rsid w:val="00695E3C"/>
    <w:rsid w:val="00697278"/>
    <w:rsid w:val="006A0786"/>
    <w:rsid w:val="006A11D6"/>
    <w:rsid w:val="006A1FC3"/>
    <w:rsid w:val="006A20A5"/>
    <w:rsid w:val="006A4A29"/>
    <w:rsid w:val="006A5219"/>
    <w:rsid w:val="006A5984"/>
    <w:rsid w:val="006A7618"/>
    <w:rsid w:val="006A7B87"/>
    <w:rsid w:val="006A7DF0"/>
    <w:rsid w:val="006B1290"/>
    <w:rsid w:val="006B12E7"/>
    <w:rsid w:val="006B2093"/>
    <w:rsid w:val="006B2686"/>
    <w:rsid w:val="006B2C3A"/>
    <w:rsid w:val="006B33FC"/>
    <w:rsid w:val="006B4F60"/>
    <w:rsid w:val="006B520A"/>
    <w:rsid w:val="006B523A"/>
    <w:rsid w:val="006B55FD"/>
    <w:rsid w:val="006B5D82"/>
    <w:rsid w:val="006C0785"/>
    <w:rsid w:val="006C170A"/>
    <w:rsid w:val="006C1A25"/>
    <w:rsid w:val="006C1DB5"/>
    <w:rsid w:val="006C3533"/>
    <w:rsid w:val="006C3702"/>
    <w:rsid w:val="006C370C"/>
    <w:rsid w:val="006C5653"/>
    <w:rsid w:val="006C64E8"/>
    <w:rsid w:val="006C686A"/>
    <w:rsid w:val="006C79D4"/>
    <w:rsid w:val="006D0CD3"/>
    <w:rsid w:val="006D1054"/>
    <w:rsid w:val="006D10EC"/>
    <w:rsid w:val="006D129F"/>
    <w:rsid w:val="006D31C2"/>
    <w:rsid w:val="006D478B"/>
    <w:rsid w:val="006D4B55"/>
    <w:rsid w:val="006D4DAA"/>
    <w:rsid w:val="006D57EF"/>
    <w:rsid w:val="006D60D0"/>
    <w:rsid w:val="006D6110"/>
    <w:rsid w:val="006D672B"/>
    <w:rsid w:val="006D6F64"/>
    <w:rsid w:val="006E04DB"/>
    <w:rsid w:val="006E0852"/>
    <w:rsid w:val="006E0CBA"/>
    <w:rsid w:val="006E209B"/>
    <w:rsid w:val="006E3AB4"/>
    <w:rsid w:val="006E4994"/>
    <w:rsid w:val="006E6321"/>
    <w:rsid w:val="006E690B"/>
    <w:rsid w:val="006E7926"/>
    <w:rsid w:val="006F011C"/>
    <w:rsid w:val="006F04E7"/>
    <w:rsid w:val="006F06C1"/>
    <w:rsid w:val="006F081D"/>
    <w:rsid w:val="006F0E25"/>
    <w:rsid w:val="006F0ECB"/>
    <w:rsid w:val="006F103F"/>
    <w:rsid w:val="006F1A14"/>
    <w:rsid w:val="006F2036"/>
    <w:rsid w:val="006F417C"/>
    <w:rsid w:val="006F623C"/>
    <w:rsid w:val="006F632D"/>
    <w:rsid w:val="006F652A"/>
    <w:rsid w:val="006F683C"/>
    <w:rsid w:val="006F6C2A"/>
    <w:rsid w:val="006F713F"/>
    <w:rsid w:val="006F74AB"/>
    <w:rsid w:val="0070169C"/>
    <w:rsid w:val="00701F57"/>
    <w:rsid w:val="007026AC"/>
    <w:rsid w:val="00702F04"/>
    <w:rsid w:val="00703BC9"/>
    <w:rsid w:val="00704611"/>
    <w:rsid w:val="0070498B"/>
    <w:rsid w:val="00704A7A"/>
    <w:rsid w:val="00704CCA"/>
    <w:rsid w:val="00704F85"/>
    <w:rsid w:val="00705171"/>
    <w:rsid w:val="007053B0"/>
    <w:rsid w:val="00705FC2"/>
    <w:rsid w:val="00706BB9"/>
    <w:rsid w:val="00710E94"/>
    <w:rsid w:val="0071339B"/>
    <w:rsid w:val="0071405A"/>
    <w:rsid w:val="007145D2"/>
    <w:rsid w:val="007146AE"/>
    <w:rsid w:val="00715CBF"/>
    <w:rsid w:val="00715DDE"/>
    <w:rsid w:val="00716C38"/>
    <w:rsid w:val="0071733D"/>
    <w:rsid w:val="00720450"/>
    <w:rsid w:val="00721131"/>
    <w:rsid w:val="007215BB"/>
    <w:rsid w:val="00721B49"/>
    <w:rsid w:val="00723D57"/>
    <w:rsid w:val="00724181"/>
    <w:rsid w:val="007262B9"/>
    <w:rsid w:val="00727152"/>
    <w:rsid w:val="00727D8A"/>
    <w:rsid w:val="007303DD"/>
    <w:rsid w:val="00730DA8"/>
    <w:rsid w:val="00731C04"/>
    <w:rsid w:val="00731FEA"/>
    <w:rsid w:val="007323F4"/>
    <w:rsid w:val="007324AE"/>
    <w:rsid w:val="0073410B"/>
    <w:rsid w:val="007344E5"/>
    <w:rsid w:val="007352E2"/>
    <w:rsid w:val="00735921"/>
    <w:rsid w:val="0073599B"/>
    <w:rsid w:val="00736AE7"/>
    <w:rsid w:val="00736F61"/>
    <w:rsid w:val="00737A9D"/>
    <w:rsid w:val="007402F4"/>
    <w:rsid w:val="00740537"/>
    <w:rsid w:val="00740AC9"/>
    <w:rsid w:val="007410B2"/>
    <w:rsid w:val="0074185E"/>
    <w:rsid w:val="00742253"/>
    <w:rsid w:val="00742D90"/>
    <w:rsid w:val="007430DA"/>
    <w:rsid w:val="007436F0"/>
    <w:rsid w:val="0074422A"/>
    <w:rsid w:val="00745C4B"/>
    <w:rsid w:val="0074625C"/>
    <w:rsid w:val="007468C6"/>
    <w:rsid w:val="00746AF2"/>
    <w:rsid w:val="0074728E"/>
    <w:rsid w:val="00747497"/>
    <w:rsid w:val="007475DD"/>
    <w:rsid w:val="00747B63"/>
    <w:rsid w:val="00750AB0"/>
    <w:rsid w:val="00750C00"/>
    <w:rsid w:val="00751DEE"/>
    <w:rsid w:val="007523F9"/>
    <w:rsid w:val="00753A88"/>
    <w:rsid w:val="007542DF"/>
    <w:rsid w:val="007545D4"/>
    <w:rsid w:val="00754769"/>
    <w:rsid w:val="00754C8B"/>
    <w:rsid w:val="00755612"/>
    <w:rsid w:val="00755F4F"/>
    <w:rsid w:val="00757B95"/>
    <w:rsid w:val="007604D2"/>
    <w:rsid w:val="00760BBF"/>
    <w:rsid w:val="007620BB"/>
    <w:rsid w:val="00763341"/>
    <w:rsid w:val="00764A13"/>
    <w:rsid w:val="00764E68"/>
    <w:rsid w:val="00765E11"/>
    <w:rsid w:val="007662C7"/>
    <w:rsid w:val="0076656A"/>
    <w:rsid w:val="0077024E"/>
    <w:rsid w:val="00772FAF"/>
    <w:rsid w:val="00773C0B"/>
    <w:rsid w:val="0077425A"/>
    <w:rsid w:val="00776306"/>
    <w:rsid w:val="0078089C"/>
    <w:rsid w:val="00780ABD"/>
    <w:rsid w:val="007816E2"/>
    <w:rsid w:val="00782ACA"/>
    <w:rsid w:val="0078450A"/>
    <w:rsid w:val="0078629F"/>
    <w:rsid w:val="00787046"/>
    <w:rsid w:val="0078749E"/>
    <w:rsid w:val="007875F3"/>
    <w:rsid w:val="00787C3E"/>
    <w:rsid w:val="00790449"/>
    <w:rsid w:val="007909C3"/>
    <w:rsid w:val="00790F33"/>
    <w:rsid w:val="00791423"/>
    <w:rsid w:val="0079167F"/>
    <w:rsid w:val="00791CB3"/>
    <w:rsid w:val="00792FB4"/>
    <w:rsid w:val="007940E6"/>
    <w:rsid w:val="00794440"/>
    <w:rsid w:val="007947C5"/>
    <w:rsid w:val="00794B83"/>
    <w:rsid w:val="00795C1D"/>
    <w:rsid w:val="00796F08"/>
    <w:rsid w:val="007976C3"/>
    <w:rsid w:val="0079779B"/>
    <w:rsid w:val="00797DB8"/>
    <w:rsid w:val="007A0004"/>
    <w:rsid w:val="007A0086"/>
    <w:rsid w:val="007A028C"/>
    <w:rsid w:val="007A0646"/>
    <w:rsid w:val="007A11EE"/>
    <w:rsid w:val="007A1811"/>
    <w:rsid w:val="007A1887"/>
    <w:rsid w:val="007A1D61"/>
    <w:rsid w:val="007A2AE8"/>
    <w:rsid w:val="007A33F8"/>
    <w:rsid w:val="007A3538"/>
    <w:rsid w:val="007A362E"/>
    <w:rsid w:val="007A3651"/>
    <w:rsid w:val="007A507B"/>
    <w:rsid w:val="007A55A7"/>
    <w:rsid w:val="007A57BC"/>
    <w:rsid w:val="007A6382"/>
    <w:rsid w:val="007A7B27"/>
    <w:rsid w:val="007B061D"/>
    <w:rsid w:val="007B0AF8"/>
    <w:rsid w:val="007B1F10"/>
    <w:rsid w:val="007B2143"/>
    <w:rsid w:val="007B2A99"/>
    <w:rsid w:val="007B318D"/>
    <w:rsid w:val="007B335E"/>
    <w:rsid w:val="007B3EBC"/>
    <w:rsid w:val="007B4750"/>
    <w:rsid w:val="007B4A9D"/>
    <w:rsid w:val="007B5C13"/>
    <w:rsid w:val="007B5D2F"/>
    <w:rsid w:val="007B6500"/>
    <w:rsid w:val="007B730A"/>
    <w:rsid w:val="007B7557"/>
    <w:rsid w:val="007C0209"/>
    <w:rsid w:val="007C137D"/>
    <w:rsid w:val="007C1597"/>
    <w:rsid w:val="007C6607"/>
    <w:rsid w:val="007C7AB9"/>
    <w:rsid w:val="007C7D64"/>
    <w:rsid w:val="007C7E07"/>
    <w:rsid w:val="007D1456"/>
    <w:rsid w:val="007D1BA9"/>
    <w:rsid w:val="007D32B7"/>
    <w:rsid w:val="007D3A10"/>
    <w:rsid w:val="007D4C92"/>
    <w:rsid w:val="007D51F6"/>
    <w:rsid w:val="007D56C0"/>
    <w:rsid w:val="007D6771"/>
    <w:rsid w:val="007D67C6"/>
    <w:rsid w:val="007E018D"/>
    <w:rsid w:val="007E0D27"/>
    <w:rsid w:val="007E1339"/>
    <w:rsid w:val="007E1788"/>
    <w:rsid w:val="007E202F"/>
    <w:rsid w:val="007E220D"/>
    <w:rsid w:val="007E3EF8"/>
    <w:rsid w:val="007E4AEB"/>
    <w:rsid w:val="007E4FB0"/>
    <w:rsid w:val="007E5DA9"/>
    <w:rsid w:val="007E6A45"/>
    <w:rsid w:val="007E6F5A"/>
    <w:rsid w:val="007F12C0"/>
    <w:rsid w:val="007F1663"/>
    <w:rsid w:val="007F1B71"/>
    <w:rsid w:val="007F1E5F"/>
    <w:rsid w:val="007F2616"/>
    <w:rsid w:val="007F3248"/>
    <w:rsid w:val="007F3AE7"/>
    <w:rsid w:val="007F4FCF"/>
    <w:rsid w:val="007F5A92"/>
    <w:rsid w:val="007F70B3"/>
    <w:rsid w:val="00800683"/>
    <w:rsid w:val="0080178F"/>
    <w:rsid w:val="008020F3"/>
    <w:rsid w:val="0080320B"/>
    <w:rsid w:val="00803F94"/>
    <w:rsid w:val="00804833"/>
    <w:rsid w:val="00805937"/>
    <w:rsid w:val="00807E7D"/>
    <w:rsid w:val="00810072"/>
    <w:rsid w:val="00812B2E"/>
    <w:rsid w:val="00812FA4"/>
    <w:rsid w:val="00813B0E"/>
    <w:rsid w:val="008145A8"/>
    <w:rsid w:val="008145BA"/>
    <w:rsid w:val="008166D4"/>
    <w:rsid w:val="00817462"/>
    <w:rsid w:val="00821493"/>
    <w:rsid w:val="008214F4"/>
    <w:rsid w:val="008236BD"/>
    <w:rsid w:val="00823A0E"/>
    <w:rsid w:val="00823B35"/>
    <w:rsid w:val="00824254"/>
    <w:rsid w:val="008249BE"/>
    <w:rsid w:val="00827267"/>
    <w:rsid w:val="008274A5"/>
    <w:rsid w:val="00827575"/>
    <w:rsid w:val="00827B34"/>
    <w:rsid w:val="00827F01"/>
    <w:rsid w:val="00831102"/>
    <w:rsid w:val="00831352"/>
    <w:rsid w:val="00831372"/>
    <w:rsid w:val="00831675"/>
    <w:rsid w:val="00832C21"/>
    <w:rsid w:val="00833654"/>
    <w:rsid w:val="00833D41"/>
    <w:rsid w:val="00834390"/>
    <w:rsid w:val="0083521D"/>
    <w:rsid w:val="00837FA2"/>
    <w:rsid w:val="0084026E"/>
    <w:rsid w:val="008404AD"/>
    <w:rsid w:val="00840620"/>
    <w:rsid w:val="00840F36"/>
    <w:rsid w:val="00841B08"/>
    <w:rsid w:val="008431D4"/>
    <w:rsid w:val="00843F81"/>
    <w:rsid w:val="00844550"/>
    <w:rsid w:val="00844849"/>
    <w:rsid w:val="00845737"/>
    <w:rsid w:val="00845A80"/>
    <w:rsid w:val="00845B31"/>
    <w:rsid w:val="00845B72"/>
    <w:rsid w:val="00846CBA"/>
    <w:rsid w:val="00846EB2"/>
    <w:rsid w:val="008500E8"/>
    <w:rsid w:val="008510A7"/>
    <w:rsid w:val="00851808"/>
    <w:rsid w:val="00852224"/>
    <w:rsid w:val="00852A8A"/>
    <w:rsid w:val="00852F3D"/>
    <w:rsid w:val="00853033"/>
    <w:rsid w:val="008543F1"/>
    <w:rsid w:val="00854933"/>
    <w:rsid w:val="00854F02"/>
    <w:rsid w:val="008552D6"/>
    <w:rsid w:val="00855502"/>
    <w:rsid w:val="00855D43"/>
    <w:rsid w:val="00855DA3"/>
    <w:rsid w:val="00856074"/>
    <w:rsid w:val="00857107"/>
    <w:rsid w:val="008578C2"/>
    <w:rsid w:val="00857DD0"/>
    <w:rsid w:val="00860BB5"/>
    <w:rsid w:val="00862443"/>
    <w:rsid w:val="00863442"/>
    <w:rsid w:val="00864C7A"/>
    <w:rsid w:val="00865AD5"/>
    <w:rsid w:val="00867394"/>
    <w:rsid w:val="0087062D"/>
    <w:rsid w:val="00871865"/>
    <w:rsid w:val="00871A11"/>
    <w:rsid w:val="00872E5C"/>
    <w:rsid w:val="008736FD"/>
    <w:rsid w:val="008739A6"/>
    <w:rsid w:val="00873E31"/>
    <w:rsid w:val="00874CAC"/>
    <w:rsid w:val="008751D3"/>
    <w:rsid w:val="00876937"/>
    <w:rsid w:val="00876D03"/>
    <w:rsid w:val="00877071"/>
    <w:rsid w:val="0087781D"/>
    <w:rsid w:val="008779B4"/>
    <w:rsid w:val="00877A2F"/>
    <w:rsid w:val="0088138D"/>
    <w:rsid w:val="00881657"/>
    <w:rsid w:val="008816A0"/>
    <w:rsid w:val="008818A6"/>
    <w:rsid w:val="00882DD1"/>
    <w:rsid w:val="00883863"/>
    <w:rsid w:val="0088467C"/>
    <w:rsid w:val="008848EA"/>
    <w:rsid w:val="00884937"/>
    <w:rsid w:val="00884B6D"/>
    <w:rsid w:val="00884C19"/>
    <w:rsid w:val="008853B9"/>
    <w:rsid w:val="00885AA3"/>
    <w:rsid w:val="00886443"/>
    <w:rsid w:val="00886A8B"/>
    <w:rsid w:val="00887859"/>
    <w:rsid w:val="00887FF2"/>
    <w:rsid w:val="00890E09"/>
    <w:rsid w:val="00891F21"/>
    <w:rsid w:val="00892D3B"/>
    <w:rsid w:val="0089348D"/>
    <w:rsid w:val="008938BF"/>
    <w:rsid w:val="00893C4C"/>
    <w:rsid w:val="008944AF"/>
    <w:rsid w:val="00894579"/>
    <w:rsid w:val="00896085"/>
    <w:rsid w:val="0089635A"/>
    <w:rsid w:val="00896859"/>
    <w:rsid w:val="00896DF6"/>
    <w:rsid w:val="00896ED5"/>
    <w:rsid w:val="0089725A"/>
    <w:rsid w:val="00897AC8"/>
    <w:rsid w:val="008A015A"/>
    <w:rsid w:val="008A054C"/>
    <w:rsid w:val="008A2BDB"/>
    <w:rsid w:val="008A32C6"/>
    <w:rsid w:val="008A3A46"/>
    <w:rsid w:val="008A4D6B"/>
    <w:rsid w:val="008A545C"/>
    <w:rsid w:val="008A5B67"/>
    <w:rsid w:val="008A5CCD"/>
    <w:rsid w:val="008A61FF"/>
    <w:rsid w:val="008A69AD"/>
    <w:rsid w:val="008A6A6D"/>
    <w:rsid w:val="008A70F6"/>
    <w:rsid w:val="008A721E"/>
    <w:rsid w:val="008A7CA3"/>
    <w:rsid w:val="008B096F"/>
    <w:rsid w:val="008B213F"/>
    <w:rsid w:val="008B22A7"/>
    <w:rsid w:val="008B24FA"/>
    <w:rsid w:val="008B2533"/>
    <w:rsid w:val="008B29E7"/>
    <w:rsid w:val="008B2C4E"/>
    <w:rsid w:val="008B33DF"/>
    <w:rsid w:val="008B3766"/>
    <w:rsid w:val="008B4629"/>
    <w:rsid w:val="008B5C0B"/>
    <w:rsid w:val="008B5DAA"/>
    <w:rsid w:val="008B5DD3"/>
    <w:rsid w:val="008B7929"/>
    <w:rsid w:val="008C004F"/>
    <w:rsid w:val="008C2216"/>
    <w:rsid w:val="008C2833"/>
    <w:rsid w:val="008C2B5F"/>
    <w:rsid w:val="008C2F4C"/>
    <w:rsid w:val="008C3067"/>
    <w:rsid w:val="008C31B2"/>
    <w:rsid w:val="008C6340"/>
    <w:rsid w:val="008C697E"/>
    <w:rsid w:val="008C6B91"/>
    <w:rsid w:val="008D03A5"/>
    <w:rsid w:val="008D07E2"/>
    <w:rsid w:val="008D16F7"/>
    <w:rsid w:val="008D278B"/>
    <w:rsid w:val="008D40FA"/>
    <w:rsid w:val="008D4835"/>
    <w:rsid w:val="008D52B4"/>
    <w:rsid w:val="008D5808"/>
    <w:rsid w:val="008D7D52"/>
    <w:rsid w:val="008E00F0"/>
    <w:rsid w:val="008E0F97"/>
    <w:rsid w:val="008E1427"/>
    <w:rsid w:val="008E1D27"/>
    <w:rsid w:val="008E23A8"/>
    <w:rsid w:val="008E42E3"/>
    <w:rsid w:val="008E4D74"/>
    <w:rsid w:val="008E52C7"/>
    <w:rsid w:val="008E5A1D"/>
    <w:rsid w:val="008E60D8"/>
    <w:rsid w:val="008E6273"/>
    <w:rsid w:val="008E65F3"/>
    <w:rsid w:val="008E6CAC"/>
    <w:rsid w:val="008E7757"/>
    <w:rsid w:val="008F0C50"/>
    <w:rsid w:val="008F1D0D"/>
    <w:rsid w:val="008F2529"/>
    <w:rsid w:val="008F34B7"/>
    <w:rsid w:val="008F3A96"/>
    <w:rsid w:val="008F41DA"/>
    <w:rsid w:val="008F5B63"/>
    <w:rsid w:val="008F778A"/>
    <w:rsid w:val="008F7873"/>
    <w:rsid w:val="00900B66"/>
    <w:rsid w:val="00900E41"/>
    <w:rsid w:val="0090101B"/>
    <w:rsid w:val="009017D7"/>
    <w:rsid w:val="00901939"/>
    <w:rsid w:val="00901950"/>
    <w:rsid w:val="00901AB1"/>
    <w:rsid w:val="00901ED8"/>
    <w:rsid w:val="00902934"/>
    <w:rsid w:val="00902ED6"/>
    <w:rsid w:val="0090320B"/>
    <w:rsid w:val="009035D4"/>
    <w:rsid w:val="0090393E"/>
    <w:rsid w:val="00903C93"/>
    <w:rsid w:val="00903CD5"/>
    <w:rsid w:val="00903F53"/>
    <w:rsid w:val="0090475B"/>
    <w:rsid w:val="00906037"/>
    <w:rsid w:val="0090692F"/>
    <w:rsid w:val="00906B84"/>
    <w:rsid w:val="00906E61"/>
    <w:rsid w:val="009076A3"/>
    <w:rsid w:val="00910A57"/>
    <w:rsid w:val="0091188E"/>
    <w:rsid w:val="009118F6"/>
    <w:rsid w:val="0091236C"/>
    <w:rsid w:val="009123A3"/>
    <w:rsid w:val="0091280A"/>
    <w:rsid w:val="00912DBA"/>
    <w:rsid w:val="009143A0"/>
    <w:rsid w:val="0092017A"/>
    <w:rsid w:val="00920B3A"/>
    <w:rsid w:val="00921787"/>
    <w:rsid w:val="00921B5A"/>
    <w:rsid w:val="00921F65"/>
    <w:rsid w:val="00923F7D"/>
    <w:rsid w:val="00924260"/>
    <w:rsid w:val="00924B8B"/>
    <w:rsid w:val="00924EB8"/>
    <w:rsid w:val="00925124"/>
    <w:rsid w:val="00925635"/>
    <w:rsid w:val="00925E94"/>
    <w:rsid w:val="009268AF"/>
    <w:rsid w:val="00927333"/>
    <w:rsid w:val="00927C59"/>
    <w:rsid w:val="00931881"/>
    <w:rsid w:val="00932086"/>
    <w:rsid w:val="009332D5"/>
    <w:rsid w:val="00933462"/>
    <w:rsid w:val="00933508"/>
    <w:rsid w:val="0093421F"/>
    <w:rsid w:val="00934575"/>
    <w:rsid w:val="009346F1"/>
    <w:rsid w:val="00934B84"/>
    <w:rsid w:val="00936902"/>
    <w:rsid w:val="00937372"/>
    <w:rsid w:val="00937479"/>
    <w:rsid w:val="00941674"/>
    <w:rsid w:val="00942170"/>
    <w:rsid w:val="0094486D"/>
    <w:rsid w:val="00944A9E"/>
    <w:rsid w:val="00944E12"/>
    <w:rsid w:val="00945CFA"/>
    <w:rsid w:val="00945F26"/>
    <w:rsid w:val="00946DB7"/>
    <w:rsid w:val="00946E9A"/>
    <w:rsid w:val="0094769A"/>
    <w:rsid w:val="00950E58"/>
    <w:rsid w:val="009525FA"/>
    <w:rsid w:val="00952DF0"/>
    <w:rsid w:val="00953860"/>
    <w:rsid w:val="00953945"/>
    <w:rsid w:val="00953DEB"/>
    <w:rsid w:val="00954679"/>
    <w:rsid w:val="00954692"/>
    <w:rsid w:val="00954CC0"/>
    <w:rsid w:val="009552FE"/>
    <w:rsid w:val="00955673"/>
    <w:rsid w:val="009556E0"/>
    <w:rsid w:val="00955A3D"/>
    <w:rsid w:val="009560A9"/>
    <w:rsid w:val="009562E9"/>
    <w:rsid w:val="00957581"/>
    <w:rsid w:val="00960D29"/>
    <w:rsid w:val="009611A9"/>
    <w:rsid w:val="00961510"/>
    <w:rsid w:val="00962902"/>
    <w:rsid w:val="00962EE6"/>
    <w:rsid w:val="009631E0"/>
    <w:rsid w:val="0096509D"/>
    <w:rsid w:val="00965134"/>
    <w:rsid w:val="009655DA"/>
    <w:rsid w:val="00965BBC"/>
    <w:rsid w:val="00966219"/>
    <w:rsid w:val="0096649D"/>
    <w:rsid w:val="0096656E"/>
    <w:rsid w:val="00966F26"/>
    <w:rsid w:val="009673D0"/>
    <w:rsid w:val="0097045A"/>
    <w:rsid w:val="00970985"/>
    <w:rsid w:val="0097172C"/>
    <w:rsid w:val="00971823"/>
    <w:rsid w:val="009720FB"/>
    <w:rsid w:val="00972823"/>
    <w:rsid w:val="0097285D"/>
    <w:rsid w:val="009736CD"/>
    <w:rsid w:val="00974931"/>
    <w:rsid w:val="00974996"/>
    <w:rsid w:val="00974DF2"/>
    <w:rsid w:val="009750C3"/>
    <w:rsid w:val="009750D1"/>
    <w:rsid w:val="00975A9E"/>
    <w:rsid w:val="00975B9C"/>
    <w:rsid w:val="00975D19"/>
    <w:rsid w:val="00976C18"/>
    <w:rsid w:val="0097794D"/>
    <w:rsid w:val="0098020B"/>
    <w:rsid w:val="00982FF0"/>
    <w:rsid w:val="0098384E"/>
    <w:rsid w:val="00983907"/>
    <w:rsid w:val="009841C6"/>
    <w:rsid w:val="00984962"/>
    <w:rsid w:val="00985B82"/>
    <w:rsid w:val="00986DBC"/>
    <w:rsid w:val="0098715E"/>
    <w:rsid w:val="0098737D"/>
    <w:rsid w:val="009878F6"/>
    <w:rsid w:val="00990813"/>
    <w:rsid w:val="00990BE6"/>
    <w:rsid w:val="00990E38"/>
    <w:rsid w:val="00991BF1"/>
    <w:rsid w:val="00991E11"/>
    <w:rsid w:val="00992E98"/>
    <w:rsid w:val="0099332F"/>
    <w:rsid w:val="00994546"/>
    <w:rsid w:val="0099510C"/>
    <w:rsid w:val="009A192E"/>
    <w:rsid w:val="009A2167"/>
    <w:rsid w:val="009A222F"/>
    <w:rsid w:val="009A4867"/>
    <w:rsid w:val="009A49F0"/>
    <w:rsid w:val="009A5307"/>
    <w:rsid w:val="009A5838"/>
    <w:rsid w:val="009A5D25"/>
    <w:rsid w:val="009A5EF5"/>
    <w:rsid w:val="009A64C4"/>
    <w:rsid w:val="009A76DE"/>
    <w:rsid w:val="009B2A7C"/>
    <w:rsid w:val="009B4065"/>
    <w:rsid w:val="009B55D5"/>
    <w:rsid w:val="009B7A38"/>
    <w:rsid w:val="009C0051"/>
    <w:rsid w:val="009C02DD"/>
    <w:rsid w:val="009C2D50"/>
    <w:rsid w:val="009C304A"/>
    <w:rsid w:val="009C3912"/>
    <w:rsid w:val="009C50BB"/>
    <w:rsid w:val="009C598C"/>
    <w:rsid w:val="009C64AE"/>
    <w:rsid w:val="009C6A1E"/>
    <w:rsid w:val="009C6E5F"/>
    <w:rsid w:val="009D295F"/>
    <w:rsid w:val="009D2F0C"/>
    <w:rsid w:val="009D3529"/>
    <w:rsid w:val="009D386C"/>
    <w:rsid w:val="009D477C"/>
    <w:rsid w:val="009D4AF2"/>
    <w:rsid w:val="009D4B71"/>
    <w:rsid w:val="009D5237"/>
    <w:rsid w:val="009D67F7"/>
    <w:rsid w:val="009D7AC4"/>
    <w:rsid w:val="009D7E82"/>
    <w:rsid w:val="009E2179"/>
    <w:rsid w:val="009E27A5"/>
    <w:rsid w:val="009E2F86"/>
    <w:rsid w:val="009E3B3D"/>
    <w:rsid w:val="009E50E1"/>
    <w:rsid w:val="009E5234"/>
    <w:rsid w:val="009E5D7E"/>
    <w:rsid w:val="009E63D5"/>
    <w:rsid w:val="009E6B64"/>
    <w:rsid w:val="009F08FB"/>
    <w:rsid w:val="009F0992"/>
    <w:rsid w:val="009F0E11"/>
    <w:rsid w:val="009F164C"/>
    <w:rsid w:val="009F177A"/>
    <w:rsid w:val="009F1D43"/>
    <w:rsid w:val="009F3063"/>
    <w:rsid w:val="009F3839"/>
    <w:rsid w:val="009F561C"/>
    <w:rsid w:val="009F5883"/>
    <w:rsid w:val="009F5BD3"/>
    <w:rsid w:val="009F6595"/>
    <w:rsid w:val="009F6919"/>
    <w:rsid w:val="009F7733"/>
    <w:rsid w:val="009F7F20"/>
    <w:rsid w:val="00A01720"/>
    <w:rsid w:val="00A01A72"/>
    <w:rsid w:val="00A01BBA"/>
    <w:rsid w:val="00A02E4A"/>
    <w:rsid w:val="00A0332F"/>
    <w:rsid w:val="00A0407F"/>
    <w:rsid w:val="00A042C4"/>
    <w:rsid w:val="00A054C7"/>
    <w:rsid w:val="00A07B6D"/>
    <w:rsid w:val="00A1025F"/>
    <w:rsid w:val="00A11C91"/>
    <w:rsid w:val="00A11CD7"/>
    <w:rsid w:val="00A11EB2"/>
    <w:rsid w:val="00A12209"/>
    <w:rsid w:val="00A14DE0"/>
    <w:rsid w:val="00A14E04"/>
    <w:rsid w:val="00A15A8B"/>
    <w:rsid w:val="00A16DD3"/>
    <w:rsid w:val="00A17517"/>
    <w:rsid w:val="00A2039C"/>
    <w:rsid w:val="00A204D0"/>
    <w:rsid w:val="00A2227B"/>
    <w:rsid w:val="00A225E8"/>
    <w:rsid w:val="00A227B6"/>
    <w:rsid w:val="00A233F0"/>
    <w:rsid w:val="00A247C0"/>
    <w:rsid w:val="00A24CF9"/>
    <w:rsid w:val="00A25FA4"/>
    <w:rsid w:val="00A26335"/>
    <w:rsid w:val="00A30D36"/>
    <w:rsid w:val="00A31484"/>
    <w:rsid w:val="00A31681"/>
    <w:rsid w:val="00A31CE0"/>
    <w:rsid w:val="00A32B16"/>
    <w:rsid w:val="00A3351A"/>
    <w:rsid w:val="00A338D5"/>
    <w:rsid w:val="00A34CA4"/>
    <w:rsid w:val="00A34DB1"/>
    <w:rsid w:val="00A36B3F"/>
    <w:rsid w:val="00A36DF3"/>
    <w:rsid w:val="00A36E1A"/>
    <w:rsid w:val="00A3713D"/>
    <w:rsid w:val="00A371D3"/>
    <w:rsid w:val="00A37C37"/>
    <w:rsid w:val="00A4064D"/>
    <w:rsid w:val="00A40C42"/>
    <w:rsid w:val="00A4441D"/>
    <w:rsid w:val="00A445B3"/>
    <w:rsid w:val="00A464E2"/>
    <w:rsid w:val="00A46C96"/>
    <w:rsid w:val="00A504BE"/>
    <w:rsid w:val="00A520DD"/>
    <w:rsid w:val="00A52312"/>
    <w:rsid w:val="00A52D1A"/>
    <w:rsid w:val="00A532DD"/>
    <w:rsid w:val="00A5522E"/>
    <w:rsid w:val="00A55548"/>
    <w:rsid w:val="00A56A69"/>
    <w:rsid w:val="00A57572"/>
    <w:rsid w:val="00A60ECF"/>
    <w:rsid w:val="00A649B6"/>
    <w:rsid w:val="00A65558"/>
    <w:rsid w:val="00A6599A"/>
    <w:rsid w:val="00A66D65"/>
    <w:rsid w:val="00A67896"/>
    <w:rsid w:val="00A70141"/>
    <w:rsid w:val="00A706EF"/>
    <w:rsid w:val="00A71508"/>
    <w:rsid w:val="00A73299"/>
    <w:rsid w:val="00A74B8C"/>
    <w:rsid w:val="00A74B90"/>
    <w:rsid w:val="00A760F0"/>
    <w:rsid w:val="00A76479"/>
    <w:rsid w:val="00A777D4"/>
    <w:rsid w:val="00A77B04"/>
    <w:rsid w:val="00A807F0"/>
    <w:rsid w:val="00A80BCF"/>
    <w:rsid w:val="00A825D1"/>
    <w:rsid w:val="00A8299E"/>
    <w:rsid w:val="00A82EBF"/>
    <w:rsid w:val="00A8369C"/>
    <w:rsid w:val="00A84917"/>
    <w:rsid w:val="00A84D42"/>
    <w:rsid w:val="00A84F81"/>
    <w:rsid w:val="00A85046"/>
    <w:rsid w:val="00A854D5"/>
    <w:rsid w:val="00A85526"/>
    <w:rsid w:val="00A8607D"/>
    <w:rsid w:val="00A86085"/>
    <w:rsid w:val="00A86579"/>
    <w:rsid w:val="00A876F7"/>
    <w:rsid w:val="00A90212"/>
    <w:rsid w:val="00A908EF"/>
    <w:rsid w:val="00A90CC4"/>
    <w:rsid w:val="00A91129"/>
    <w:rsid w:val="00A91DA4"/>
    <w:rsid w:val="00A92B2F"/>
    <w:rsid w:val="00A936BA"/>
    <w:rsid w:val="00A938FA"/>
    <w:rsid w:val="00A9401D"/>
    <w:rsid w:val="00A94507"/>
    <w:rsid w:val="00A956FD"/>
    <w:rsid w:val="00A95D21"/>
    <w:rsid w:val="00A97109"/>
    <w:rsid w:val="00AA0073"/>
    <w:rsid w:val="00AA10CE"/>
    <w:rsid w:val="00AA1689"/>
    <w:rsid w:val="00AA1A0C"/>
    <w:rsid w:val="00AA32DA"/>
    <w:rsid w:val="00AA496F"/>
    <w:rsid w:val="00AA4D96"/>
    <w:rsid w:val="00AA5770"/>
    <w:rsid w:val="00AA5F57"/>
    <w:rsid w:val="00AA70DB"/>
    <w:rsid w:val="00AA7403"/>
    <w:rsid w:val="00AB0EB8"/>
    <w:rsid w:val="00AB2354"/>
    <w:rsid w:val="00AB2E70"/>
    <w:rsid w:val="00AB33C1"/>
    <w:rsid w:val="00AB3E03"/>
    <w:rsid w:val="00AB540B"/>
    <w:rsid w:val="00AB5C84"/>
    <w:rsid w:val="00AC0B97"/>
    <w:rsid w:val="00AC1D15"/>
    <w:rsid w:val="00AC1D59"/>
    <w:rsid w:val="00AC1D8C"/>
    <w:rsid w:val="00AC1E81"/>
    <w:rsid w:val="00AC3290"/>
    <w:rsid w:val="00AC444E"/>
    <w:rsid w:val="00AC4A19"/>
    <w:rsid w:val="00AC50E7"/>
    <w:rsid w:val="00AC5A55"/>
    <w:rsid w:val="00AC69C0"/>
    <w:rsid w:val="00AC7A11"/>
    <w:rsid w:val="00AD0E77"/>
    <w:rsid w:val="00AD1663"/>
    <w:rsid w:val="00AD16BA"/>
    <w:rsid w:val="00AD1CF5"/>
    <w:rsid w:val="00AD28DE"/>
    <w:rsid w:val="00AD300C"/>
    <w:rsid w:val="00AD3D06"/>
    <w:rsid w:val="00AD3E5D"/>
    <w:rsid w:val="00AD3EE9"/>
    <w:rsid w:val="00AD44C6"/>
    <w:rsid w:val="00AD5EF6"/>
    <w:rsid w:val="00AD67CE"/>
    <w:rsid w:val="00AD78E0"/>
    <w:rsid w:val="00AE060B"/>
    <w:rsid w:val="00AE0851"/>
    <w:rsid w:val="00AE1F29"/>
    <w:rsid w:val="00AE2B3A"/>
    <w:rsid w:val="00AE2F4F"/>
    <w:rsid w:val="00AE3EDF"/>
    <w:rsid w:val="00AE460D"/>
    <w:rsid w:val="00AE552F"/>
    <w:rsid w:val="00AE5C8C"/>
    <w:rsid w:val="00AE5C9E"/>
    <w:rsid w:val="00AE5FCC"/>
    <w:rsid w:val="00AE6864"/>
    <w:rsid w:val="00AE68A6"/>
    <w:rsid w:val="00AE69CD"/>
    <w:rsid w:val="00AE7F82"/>
    <w:rsid w:val="00AE7FBF"/>
    <w:rsid w:val="00AF0EC2"/>
    <w:rsid w:val="00AF14F4"/>
    <w:rsid w:val="00AF1862"/>
    <w:rsid w:val="00AF197F"/>
    <w:rsid w:val="00AF1CFA"/>
    <w:rsid w:val="00AF269D"/>
    <w:rsid w:val="00AF32B2"/>
    <w:rsid w:val="00AF4614"/>
    <w:rsid w:val="00AF4713"/>
    <w:rsid w:val="00AF5016"/>
    <w:rsid w:val="00AF5910"/>
    <w:rsid w:val="00AF6038"/>
    <w:rsid w:val="00AF6880"/>
    <w:rsid w:val="00AF70C1"/>
    <w:rsid w:val="00AF7AEF"/>
    <w:rsid w:val="00B013B3"/>
    <w:rsid w:val="00B01687"/>
    <w:rsid w:val="00B026F6"/>
    <w:rsid w:val="00B02DA4"/>
    <w:rsid w:val="00B02FE9"/>
    <w:rsid w:val="00B0328F"/>
    <w:rsid w:val="00B03809"/>
    <w:rsid w:val="00B0442A"/>
    <w:rsid w:val="00B05385"/>
    <w:rsid w:val="00B061BB"/>
    <w:rsid w:val="00B07B0C"/>
    <w:rsid w:val="00B11784"/>
    <w:rsid w:val="00B120F9"/>
    <w:rsid w:val="00B1266D"/>
    <w:rsid w:val="00B13018"/>
    <w:rsid w:val="00B15AB6"/>
    <w:rsid w:val="00B16476"/>
    <w:rsid w:val="00B20108"/>
    <w:rsid w:val="00B20421"/>
    <w:rsid w:val="00B2148A"/>
    <w:rsid w:val="00B216C5"/>
    <w:rsid w:val="00B21FE3"/>
    <w:rsid w:val="00B221E6"/>
    <w:rsid w:val="00B22AAD"/>
    <w:rsid w:val="00B23CDB"/>
    <w:rsid w:val="00B23F58"/>
    <w:rsid w:val="00B24835"/>
    <w:rsid w:val="00B24AC1"/>
    <w:rsid w:val="00B25563"/>
    <w:rsid w:val="00B25ED2"/>
    <w:rsid w:val="00B26040"/>
    <w:rsid w:val="00B26227"/>
    <w:rsid w:val="00B269AE"/>
    <w:rsid w:val="00B26D48"/>
    <w:rsid w:val="00B2789F"/>
    <w:rsid w:val="00B32877"/>
    <w:rsid w:val="00B33ACD"/>
    <w:rsid w:val="00B33B0F"/>
    <w:rsid w:val="00B33C55"/>
    <w:rsid w:val="00B34298"/>
    <w:rsid w:val="00B34601"/>
    <w:rsid w:val="00B3492E"/>
    <w:rsid w:val="00B36578"/>
    <w:rsid w:val="00B3660C"/>
    <w:rsid w:val="00B36937"/>
    <w:rsid w:val="00B37032"/>
    <w:rsid w:val="00B4077D"/>
    <w:rsid w:val="00B40949"/>
    <w:rsid w:val="00B40D80"/>
    <w:rsid w:val="00B4156E"/>
    <w:rsid w:val="00B41AEC"/>
    <w:rsid w:val="00B41F7B"/>
    <w:rsid w:val="00B42EE1"/>
    <w:rsid w:val="00B42EE6"/>
    <w:rsid w:val="00B44315"/>
    <w:rsid w:val="00B45D82"/>
    <w:rsid w:val="00B4696F"/>
    <w:rsid w:val="00B46E7E"/>
    <w:rsid w:val="00B47A59"/>
    <w:rsid w:val="00B5086D"/>
    <w:rsid w:val="00B51F27"/>
    <w:rsid w:val="00B51F8D"/>
    <w:rsid w:val="00B5349B"/>
    <w:rsid w:val="00B54A3A"/>
    <w:rsid w:val="00B55AB7"/>
    <w:rsid w:val="00B55D8D"/>
    <w:rsid w:val="00B5649C"/>
    <w:rsid w:val="00B56F95"/>
    <w:rsid w:val="00B57000"/>
    <w:rsid w:val="00B60E2B"/>
    <w:rsid w:val="00B618C4"/>
    <w:rsid w:val="00B669AD"/>
    <w:rsid w:val="00B66D30"/>
    <w:rsid w:val="00B67E54"/>
    <w:rsid w:val="00B70FF3"/>
    <w:rsid w:val="00B71270"/>
    <w:rsid w:val="00B7138A"/>
    <w:rsid w:val="00B71B17"/>
    <w:rsid w:val="00B71D17"/>
    <w:rsid w:val="00B721A0"/>
    <w:rsid w:val="00B722DA"/>
    <w:rsid w:val="00B73445"/>
    <w:rsid w:val="00B741B9"/>
    <w:rsid w:val="00B74380"/>
    <w:rsid w:val="00B74A99"/>
    <w:rsid w:val="00B774B3"/>
    <w:rsid w:val="00B776E7"/>
    <w:rsid w:val="00B779DE"/>
    <w:rsid w:val="00B77BFA"/>
    <w:rsid w:val="00B77E6C"/>
    <w:rsid w:val="00B77FC9"/>
    <w:rsid w:val="00B82775"/>
    <w:rsid w:val="00B8293D"/>
    <w:rsid w:val="00B859AC"/>
    <w:rsid w:val="00B862BA"/>
    <w:rsid w:val="00B865D0"/>
    <w:rsid w:val="00B875F5"/>
    <w:rsid w:val="00B87A49"/>
    <w:rsid w:val="00B87BCC"/>
    <w:rsid w:val="00B911F7"/>
    <w:rsid w:val="00B91533"/>
    <w:rsid w:val="00B91603"/>
    <w:rsid w:val="00B91ECE"/>
    <w:rsid w:val="00B92478"/>
    <w:rsid w:val="00B926F8"/>
    <w:rsid w:val="00B92B8B"/>
    <w:rsid w:val="00B933B9"/>
    <w:rsid w:val="00B9386B"/>
    <w:rsid w:val="00B93ACB"/>
    <w:rsid w:val="00B943FB"/>
    <w:rsid w:val="00B94B31"/>
    <w:rsid w:val="00B97463"/>
    <w:rsid w:val="00B978A7"/>
    <w:rsid w:val="00BA0209"/>
    <w:rsid w:val="00BA1359"/>
    <w:rsid w:val="00BA13A1"/>
    <w:rsid w:val="00BA22B2"/>
    <w:rsid w:val="00BA2491"/>
    <w:rsid w:val="00BA25B4"/>
    <w:rsid w:val="00BA2FB2"/>
    <w:rsid w:val="00BA38D3"/>
    <w:rsid w:val="00BA6188"/>
    <w:rsid w:val="00BA6F7A"/>
    <w:rsid w:val="00BB0803"/>
    <w:rsid w:val="00BB13C1"/>
    <w:rsid w:val="00BB2280"/>
    <w:rsid w:val="00BB3BDF"/>
    <w:rsid w:val="00BB458D"/>
    <w:rsid w:val="00BB4AC0"/>
    <w:rsid w:val="00BB4DA5"/>
    <w:rsid w:val="00BB52E6"/>
    <w:rsid w:val="00BB5634"/>
    <w:rsid w:val="00BB5D3A"/>
    <w:rsid w:val="00BB608E"/>
    <w:rsid w:val="00BB7567"/>
    <w:rsid w:val="00BC082D"/>
    <w:rsid w:val="00BC0F8A"/>
    <w:rsid w:val="00BC24E7"/>
    <w:rsid w:val="00BC2B4C"/>
    <w:rsid w:val="00BC361A"/>
    <w:rsid w:val="00BC3E33"/>
    <w:rsid w:val="00BC5960"/>
    <w:rsid w:val="00BC59DB"/>
    <w:rsid w:val="00BC68C2"/>
    <w:rsid w:val="00BC768C"/>
    <w:rsid w:val="00BC7D47"/>
    <w:rsid w:val="00BD1AA4"/>
    <w:rsid w:val="00BD2045"/>
    <w:rsid w:val="00BD234C"/>
    <w:rsid w:val="00BD3450"/>
    <w:rsid w:val="00BD3D7D"/>
    <w:rsid w:val="00BD49F7"/>
    <w:rsid w:val="00BD4C82"/>
    <w:rsid w:val="00BD61A2"/>
    <w:rsid w:val="00BD6F94"/>
    <w:rsid w:val="00BD71E6"/>
    <w:rsid w:val="00BD7D48"/>
    <w:rsid w:val="00BE4143"/>
    <w:rsid w:val="00BE41B8"/>
    <w:rsid w:val="00BE484D"/>
    <w:rsid w:val="00BF0A64"/>
    <w:rsid w:val="00BF1171"/>
    <w:rsid w:val="00BF19F9"/>
    <w:rsid w:val="00BF2145"/>
    <w:rsid w:val="00BF2514"/>
    <w:rsid w:val="00BF2596"/>
    <w:rsid w:val="00BF38CB"/>
    <w:rsid w:val="00BF428B"/>
    <w:rsid w:val="00BF4997"/>
    <w:rsid w:val="00BF614E"/>
    <w:rsid w:val="00BF6292"/>
    <w:rsid w:val="00BF6FFA"/>
    <w:rsid w:val="00BF7A4C"/>
    <w:rsid w:val="00C00B11"/>
    <w:rsid w:val="00C010F9"/>
    <w:rsid w:val="00C0157D"/>
    <w:rsid w:val="00C01DAE"/>
    <w:rsid w:val="00C01DF8"/>
    <w:rsid w:val="00C02810"/>
    <w:rsid w:val="00C040F7"/>
    <w:rsid w:val="00C06A5E"/>
    <w:rsid w:val="00C104CD"/>
    <w:rsid w:val="00C10BAC"/>
    <w:rsid w:val="00C119C4"/>
    <w:rsid w:val="00C169B0"/>
    <w:rsid w:val="00C17BF9"/>
    <w:rsid w:val="00C2028E"/>
    <w:rsid w:val="00C20D81"/>
    <w:rsid w:val="00C221A5"/>
    <w:rsid w:val="00C22B97"/>
    <w:rsid w:val="00C22CC4"/>
    <w:rsid w:val="00C22E7C"/>
    <w:rsid w:val="00C23D3D"/>
    <w:rsid w:val="00C23F3C"/>
    <w:rsid w:val="00C245FB"/>
    <w:rsid w:val="00C2469E"/>
    <w:rsid w:val="00C24ACA"/>
    <w:rsid w:val="00C24EDE"/>
    <w:rsid w:val="00C26452"/>
    <w:rsid w:val="00C27299"/>
    <w:rsid w:val="00C303A0"/>
    <w:rsid w:val="00C30FC8"/>
    <w:rsid w:val="00C341F9"/>
    <w:rsid w:val="00C3493E"/>
    <w:rsid w:val="00C35283"/>
    <w:rsid w:val="00C3593E"/>
    <w:rsid w:val="00C36F17"/>
    <w:rsid w:val="00C36FF0"/>
    <w:rsid w:val="00C37D20"/>
    <w:rsid w:val="00C37E05"/>
    <w:rsid w:val="00C4061F"/>
    <w:rsid w:val="00C41875"/>
    <w:rsid w:val="00C41A46"/>
    <w:rsid w:val="00C4270A"/>
    <w:rsid w:val="00C4318B"/>
    <w:rsid w:val="00C434C1"/>
    <w:rsid w:val="00C44A46"/>
    <w:rsid w:val="00C46412"/>
    <w:rsid w:val="00C47243"/>
    <w:rsid w:val="00C47789"/>
    <w:rsid w:val="00C47A76"/>
    <w:rsid w:val="00C47F3D"/>
    <w:rsid w:val="00C50403"/>
    <w:rsid w:val="00C5164A"/>
    <w:rsid w:val="00C5214E"/>
    <w:rsid w:val="00C52172"/>
    <w:rsid w:val="00C5229B"/>
    <w:rsid w:val="00C5237D"/>
    <w:rsid w:val="00C52492"/>
    <w:rsid w:val="00C539A9"/>
    <w:rsid w:val="00C5410B"/>
    <w:rsid w:val="00C54786"/>
    <w:rsid w:val="00C553A8"/>
    <w:rsid w:val="00C55418"/>
    <w:rsid w:val="00C55D29"/>
    <w:rsid w:val="00C55D67"/>
    <w:rsid w:val="00C567C1"/>
    <w:rsid w:val="00C56964"/>
    <w:rsid w:val="00C56F2E"/>
    <w:rsid w:val="00C60B12"/>
    <w:rsid w:val="00C6159A"/>
    <w:rsid w:val="00C6196A"/>
    <w:rsid w:val="00C61B03"/>
    <w:rsid w:val="00C621A5"/>
    <w:rsid w:val="00C62389"/>
    <w:rsid w:val="00C6256B"/>
    <w:rsid w:val="00C62A34"/>
    <w:rsid w:val="00C62B3A"/>
    <w:rsid w:val="00C630F3"/>
    <w:rsid w:val="00C63299"/>
    <w:rsid w:val="00C65F8A"/>
    <w:rsid w:val="00C70F3F"/>
    <w:rsid w:val="00C7107D"/>
    <w:rsid w:val="00C715A1"/>
    <w:rsid w:val="00C73BD6"/>
    <w:rsid w:val="00C74A49"/>
    <w:rsid w:val="00C750C3"/>
    <w:rsid w:val="00C76531"/>
    <w:rsid w:val="00C77893"/>
    <w:rsid w:val="00C77F20"/>
    <w:rsid w:val="00C77FF6"/>
    <w:rsid w:val="00C81765"/>
    <w:rsid w:val="00C819C0"/>
    <w:rsid w:val="00C82355"/>
    <w:rsid w:val="00C831D9"/>
    <w:rsid w:val="00C83DB6"/>
    <w:rsid w:val="00C8491D"/>
    <w:rsid w:val="00C84A0A"/>
    <w:rsid w:val="00C84FA0"/>
    <w:rsid w:val="00C862BF"/>
    <w:rsid w:val="00C86A52"/>
    <w:rsid w:val="00C86F6D"/>
    <w:rsid w:val="00C8707E"/>
    <w:rsid w:val="00C8E017"/>
    <w:rsid w:val="00C9066F"/>
    <w:rsid w:val="00C90AB4"/>
    <w:rsid w:val="00C90D44"/>
    <w:rsid w:val="00C927CC"/>
    <w:rsid w:val="00C93454"/>
    <w:rsid w:val="00C94045"/>
    <w:rsid w:val="00C948D8"/>
    <w:rsid w:val="00C95606"/>
    <w:rsid w:val="00C97B47"/>
    <w:rsid w:val="00CA0BE9"/>
    <w:rsid w:val="00CA138D"/>
    <w:rsid w:val="00CA1E09"/>
    <w:rsid w:val="00CA24D9"/>
    <w:rsid w:val="00CA2BE5"/>
    <w:rsid w:val="00CA303E"/>
    <w:rsid w:val="00CA3AB2"/>
    <w:rsid w:val="00CA3B77"/>
    <w:rsid w:val="00CA403F"/>
    <w:rsid w:val="00CA4899"/>
    <w:rsid w:val="00CA49C2"/>
    <w:rsid w:val="00CA49EB"/>
    <w:rsid w:val="00CA57D9"/>
    <w:rsid w:val="00CA5D67"/>
    <w:rsid w:val="00CA668E"/>
    <w:rsid w:val="00CB0253"/>
    <w:rsid w:val="00CB1765"/>
    <w:rsid w:val="00CB1ACD"/>
    <w:rsid w:val="00CB1C35"/>
    <w:rsid w:val="00CB24E4"/>
    <w:rsid w:val="00CB44A1"/>
    <w:rsid w:val="00CB44F4"/>
    <w:rsid w:val="00CB5964"/>
    <w:rsid w:val="00CB6057"/>
    <w:rsid w:val="00CB6119"/>
    <w:rsid w:val="00CB675E"/>
    <w:rsid w:val="00CB684F"/>
    <w:rsid w:val="00CB7A1E"/>
    <w:rsid w:val="00CC220F"/>
    <w:rsid w:val="00CC2388"/>
    <w:rsid w:val="00CC2760"/>
    <w:rsid w:val="00CC2AFE"/>
    <w:rsid w:val="00CC4B05"/>
    <w:rsid w:val="00CC7641"/>
    <w:rsid w:val="00CC7CDC"/>
    <w:rsid w:val="00CD0748"/>
    <w:rsid w:val="00CD1584"/>
    <w:rsid w:val="00CD1B08"/>
    <w:rsid w:val="00CD21ED"/>
    <w:rsid w:val="00CD22F0"/>
    <w:rsid w:val="00CD3FC3"/>
    <w:rsid w:val="00CD7DAB"/>
    <w:rsid w:val="00CE074B"/>
    <w:rsid w:val="00CE0951"/>
    <w:rsid w:val="00CE0AF2"/>
    <w:rsid w:val="00CE0B46"/>
    <w:rsid w:val="00CE0DCC"/>
    <w:rsid w:val="00CE1260"/>
    <w:rsid w:val="00CE22B7"/>
    <w:rsid w:val="00CE3BAA"/>
    <w:rsid w:val="00CE403E"/>
    <w:rsid w:val="00CE454B"/>
    <w:rsid w:val="00CE4AD4"/>
    <w:rsid w:val="00CE4D44"/>
    <w:rsid w:val="00CE4EFB"/>
    <w:rsid w:val="00CE5154"/>
    <w:rsid w:val="00CE68C1"/>
    <w:rsid w:val="00CE6D6F"/>
    <w:rsid w:val="00CE6F4C"/>
    <w:rsid w:val="00CE7D19"/>
    <w:rsid w:val="00CF0681"/>
    <w:rsid w:val="00CF0E19"/>
    <w:rsid w:val="00CF2515"/>
    <w:rsid w:val="00CF335C"/>
    <w:rsid w:val="00CF3E79"/>
    <w:rsid w:val="00CF4082"/>
    <w:rsid w:val="00CF571D"/>
    <w:rsid w:val="00CF6FA5"/>
    <w:rsid w:val="00CF6FE6"/>
    <w:rsid w:val="00CF7914"/>
    <w:rsid w:val="00D01C57"/>
    <w:rsid w:val="00D02877"/>
    <w:rsid w:val="00D03B77"/>
    <w:rsid w:val="00D0411E"/>
    <w:rsid w:val="00D06E79"/>
    <w:rsid w:val="00D073D6"/>
    <w:rsid w:val="00D074A2"/>
    <w:rsid w:val="00D0791A"/>
    <w:rsid w:val="00D12186"/>
    <w:rsid w:val="00D12995"/>
    <w:rsid w:val="00D13794"/>
    <w:rsid w:val="00D14236"/>
    <w:rsid w:val="00D14257"/>
    <w:rsid w:val="00D156D5"/>
    <w:rsid w:val="00D157DB"/>
    <w:rsid w:val="00D15E4C"/>
    <w:rsid w:val="00D166C2"/>
    <w:rsid w:val="00D16FE7"/>
    <w:rsid w:val="00D1722E"/>
    <w:rsid w:val="00D17AAA"/>
    <w:rsid w:val="00D203E5"/>
    <w:rsid w:val="00D208A9"/>
    <w:rsid w:val="00D218E7"/>
    <w:rsid w:val="00D24052"/>
    <w:rsid w:val="00D24386"/>
    <w:rsid w:val="00D24465"/>
    <w:rsid w:val="00D258DF"/>
    <w:rsid w:val="00D25A0A"/>
    <w:rsid w:val="00D26FA4"/>
    <w:rsid w:val="00D300F2"/>
    <w:rsid w:val="00D30BDD"/>
    <w:rsid w:val="00D31575"/>
    <w:rsid w:val="00D31A89"/>
    <w:rsid w:val="00D31BC0"/>
    <w:rsid w:val="00D345D2"/>
    <w:rsid w:val="00D34626"/>
    <w:rsid w:val="00D34E9C"/>
    <w:rsid w:val="00D34FB4"/>
    <w:rsid w:val="00D359BA"/>
    <w:rsid w:val="00D3688B"/>
    <w:rsid w:val="00D36B0C"/>
    <w:rsid w:val="00D419A8"/>
    <w:rsid w:val="00D4257A"/>
    <w:rsid w:val="00D42EB9"/>
    <w:rsid w:val="00D43842"/>
    <w:rsid w:val="00D43AA2"/>
    <w:rsid w:val="00D456A9"/>
    <w:rsid w:val="00D45BCD"/>
    <w:rsid w:val="00D467FC"/>
    <w:rsid w:val="00D473DF"/>
    <w:rsid w:val="00D50777"/>
    <w:rsid w:val="00D50902"/>
    <w:rsid w:val="00D50DF7"/>
    <w:rsid w:val="00D51413"/>
    <w:rsid w:val="00D51B9E"/>
    <w:rsid w:val="00D51DEA"/>
    <w:rsid w:val="00D521BA"/>
    <w:rsid w:val="00D52798"/>
    <w:rsid w:val="00D530BB"/>
    <w:rsid w:val="00D53571"/>
    <w:rsid w:val="00D538F4"/>
    <w:rsid w:val="00D5468A"/>
    <w:rsid w:val="00D54D21"/>
    <w:rsid w:val="00D5634B"/>
    <w:rsid w:val="00D56F7F"/>
    <w:rsid w:val="00D56FA0"/>
    <w:rsid w:val="00D579E2"/>
    <w:rsid w:val="00D57AAB"/>
    <w:rsid w:val="00D6091C"/>
    <w:rsid w:val="00D61745"/>
    <w:rsid w:val="00D62665"/>
    <w:rsid w:val="00D63E06"/>
    <w:rsid w:val="00D64202"/>
    <w:rsid w:val="00D645AC"/>
    <w:rsid w:val="00D64C70"/>
    <w:rsid w:val="00D6671A"/>
    <w:rsid w:val="00D66C71"/>
    <w:rsid w:val="00D66D7C"/>
    <w:rsid w:val="00D66E4F"/>
    <w:rsid w:val="00D70205"/>
    <w:rsid w:val="00D735EF"/>
    <w:rsid w:val="00D74FEC"/>
    <w:rsid w:val="00D75515"/>
    <w:rsid w:val="00D7609F"/>
    <w:rsid w:val="00D76627"/>
    <w:rsid w:val="00D766DF"/>
    <w:rsid w:val="00D76AAE"/>
    <w:rsid w:val="00D778E3"/>
    <w:rsid w:val="00D77A7F"/>
    <w:rsid w:val="00D80364"/>
    <w:rsid w:val="00D80C9D"/>
    <w:rsid w:val="00D81AA7"/>
    <w:rsid w:val="00D81B66"/>
    <w:rsid w:val="00D8266F"/>
    <w:rsid w:val="00D829FF"/>
    <w:rsid w:val="00D82D08"/>
    <w:rsid w:val="00D82E47"/>
    <w:rsid w:val="00D82F04"/>
    <w:rsid w:val="00D838B9"/>
    <w:rsid w:val="00D84A01"/>
    <w:rsid w:val="00D84DA5"/>
    <w:rsid w:val="00D85232"/>
    <w:rsid w:val="00D85696"/>
    <w:rsid w:val="00D87040"/>
    <w:rsid w:val="00D87A8B"/>
    <w:rsid w:val="00D9012A"/>
    <w:rsid w:val="00D90647"/>
    <w:rsid w:val="00D929E1"/>
    <w:rsid w:val="00D93557"/>
    <w:rsid w:val="00D93C78"/>
    <w:rsid w:val="00D93E81"/>
    <w:rsid w:val="00D940F4"/>
    <w:rsid w:val="00D9482E"/>
    <w:rsid w:val="00D9611D"/>
    <w:rsid w:val="00D9643D"/>
    <w:rsid w:val="00D969C3"/>
    <w:rsid w:val="00D96C24"/>
    <w:rsid w:val="00D96CCC"/>
    <w:rsid w:val="00D977EA"/>
    <w:rsid w:val="00D979B5"/>
    <w:rsid w:val="00D979EF"/>
    <w:rsid w:val="00D97DDE"/>
    <w:rsid w:val="00DA0F48"/>
    <w:rsid w:val="00DA1B14"/>
    <w:rsid w:val="00DA2530"/>
    <w:rsid w:val="00DA2EA4"/>
    <w:rsid w:val="00DA32DF"/>
    <w:rsid w:val="00DA5174"/>
    <w:rsid w:val="00DA5A46"/>
    <w:rsid w:val="00DA6152"/>
    <w:rsid w:val="00DA7A71"/>
    <w:rsid w:val="00DB0055"/>
    <w:rsid w:val="00DB059E"/>
    <w:rsid w:val="00DB05B8"/>
    <w:rsid w:val="00DB148C"/>
    <w:rsid w:val="00DB1575"/>
    <w:rsid w:val="00DB1A31"/>
    <w:rsid w:val="00DB1CD1"/>
    <w:rsid w:val="00DB202E"/>
    <w:rsid w:val="00DB225B"/>
    <w:rsid w:val="00DB31FD"/>
    <w:rsid w:val="00DB4545"/>
    <w:rsid w:val="00DB4F78"/>
    <w:rsid w:val="00DB5ECD"/>
    <w:rsid w:val="00DC027B"/>
    <w:rsid w:val="00DC0CDE"/>
    <w:rsid w:val="00DC1A85"/>
    <w:rsid w:val="00DC39C2"/>
    <w:rsid w:val="00DC498E"/>
    <w:rsid w:val="00DC4D72"/>
    <w:rsid w:val="00DC548B"/>
    <w:rsid w:val="00DC56DC"/>
    <w:rsid w:val="00DC64CC"/>
    <w:rsid w:val="00DC6525"/>
    <w:rsid w:val="00DC7018"/>
    <w:rsid w:val="00DC746F"/>
    <w:rsid w:val="00DC7734"/>
    <w:rsid w:val="00DD0AC5"/>
    <w:rsid w:val="00DD12B0"/>
    <w:rsid w:val="00DD5610"/>
    <w:rsid w:val="00DD7A2E"/>
    <w:rsid w:val="00DE04B4"/>
    <w:rsid w:val="00DE0A4A"/>
    <w:rsid w:val="00DE2086"/>
    <w:rsid w:val="00DE2627"/>
    <w:rsid w:val="00DE468B"/>
    <w:rsid w:val="00DE47F9"/>
    <w:rsid w:val="00DE502A"/>
    <w:rsid w:val="00DE54E1"/>
    <w:rsid w:val="00DE703F"/>
    <w:rsid w:val="00DE7677"/>
    <w:rsid w:val="00DF0316"/>
    <w:rsid w:val="00DF0CB3"/>
    <w:rsid w:val="00DF39B8"/>
    <w:rsid w:val="00DF4637"/>
    <w:rsid w:val="00DF494C"/>
    <w:rsid w:val="00DF5DF6"/>
    <w:rsid w:val="00DF5E2E"/>
    <w:rsid w:val="00DF6170"/>
    <w:rsid w:val="00DF63EB"/>
    <w:rsid w:val="00DF6998"/>
    <w:rsid w:val="00DF6C7F"/>
    <w:rsid w:val="00DF6D0B"/>
    <w:rsid w:val="00DF7393"/>
    <w:rsid w:val="00DF75D3"/>
    <w:rsid w:val="00DF7E0D"/>
    <w:rsid w:val="00DF7FA8"/>
    <w:rsid w:val="00E00E55"/>
    <w:rsid w:val="00E01397"/>
    <w:rsid w:val="00E01D5F"/>
    <w:rsid w:val="00E02E2C"/>
    <w:rsid w:val="00E05643"/>
    <w:rsid w:val="00E0624D"/>
    <w:rsid w:val="00E07F96"/>
    <w:rsid w:val="00E1485C"/>
    <w:rsid w:val="00E14C10"/>
    <w:rsid w:val="00E14C8C"/>
    <w:rsid w:val="00E15D1D"/>
    <w:rsid w:val="00E16175"/>
    <w:rsid w:val="00E177EB"/>
    <w:rsid w:val="00E179D4"/>
    <w:rsid w:val="00E17A69"/>
    <w:rsid w:val="00E20023"/>
    <w:rsid w:val="00E2284C"/>
    <w:rsid w:val="00E22C26"/>
    <w:rsid w:val="00E22E06"/>
    <w:rsid w:val="00E23AFD"/>
    <w:rsid w:val="00E23B26"/>
    <w:rsid w:val="00E23BCD"/>
    <w:rsid w:val="00E247F9"/>
    <w:rsid w:val="00E24DF6"/>
    <w:rsid w:val="00E26954"/>
    <w:rsid w:val="00E276D5"/>
    <w:rsid w:val="00E3032F"/>
    <w:rsid w:val="00E31148"/>
    <w:rsid w:val="00E314E9"/>
    <w:rsid w:val="00E330A9"/>
    <w:rsid w:val="00E341A7"/>
    <w:rsid w:val="00E34843"/>
    <w:rsid w:val="00E34A70"/>
    <w:rsid w:val="00E34B60"/>
    <w:rsid w:val="00E353A3"/>
    <w:rsid w:val="00E357CD"/>
    <w:rsid w:val="00E35C9D"/>
    <w:rsid w:val="00E35F3C"/>
    <w:rsid w:val="00E3675F"/>
    <w:rsid w:val="00E378D1"/>
    <w:rsid w:val="00E37B8E"/>
    <w:rsid w:val="00E37FF7"/>
    <w:rsid w:val="00E40702"/>
    <w:rsid w:val="00E42725"/>
    <w:rsid w:val="00E43FC5"/>
    <w:rsid w:val="00E4438C"/>
    <w:rsid w:val="00E44C34"/>
    <w:rsid w:val="00E44F4F"/>
    <w:rsid w:val="00E456C0"/>
    <w:rsid w:val="00E457F3"/>
    <w:rsid w:val="00E45909"/>
    <w:rsid w:val="00E462C3"/>
    <w:rsid w:val="00E46BFD"/>
    <w:rsid w:val="00E46E10"/>
    <w:rsid w:val="00E476B6"/>
    <w:rsid w:val="00E502FF"/>
    <w:rsid w:val="00E50663"/>
    <w:rsid w:val="00E50DE0"/>
    <w:rsid w:val="00E53CA2"/>
    <w:rsid w:val="00E54C52"/>
    <w:rsid w:val="00E55F9B"/>
    <w:rsid w:val="00E56800"/>
    <w:rsid w:val="00E56E24"/>
    <w:rsid w:val="00E576F5"/>
    <w:rsid w:val="00E57882"/>
    <w:rsid w:val="00E57A6A"/>
    <w:rsid w:val="00E60982"/>
    <w:rsid w:val="00E634BF"/>
    <w:rsid w:val="00E63C96"/>
    <w:rsid w:val="00E6488C"/>
    <w:rsid w:val="00E649E8"/>
    <w:rsid w:val="00E67B30"/>
    <w:rsid w:val="00E700E9"/>
    <w:rsid w:val="00E7072F"/>
    <w:rsid w:val="00E70EBF"/>
    <w:rsid w:val="00E71502"/>
    <w:rsid w:val="00E71A30"/>
    <w:rsid w:val="00E73CC1"/>
    <w:rsid w:val="00E742CB"/>
    <w:rsid w:val="00E742F8"/>
    <w:rsid w:val="00E74A92"/>
    <w:rsid w:val="00E75D46"/>
    <w:rsid w:val="00E76288"/>
    <w:rsid w:val="00E77B36"/>
    <w:rsid w:val="00E8014C"/>
    <w:rsid w:val="00E80636"/>
    <w:rsid w:val="00E81C34"/>
    <w:rsid w:val="00E82979"/>
    <w:rsid w:val="00E82F48"/>
    <w:rsid w:val="00E832FE"/>
    <w:rsid w:val="00E83385"/>
    <w:rsid w:val="00E835C9"/>
    <w:rsid w:val="00E83F2B"/>
    <w:rsid w:val="00E847C7"/>
    <w:rsid w:val="00E84B3D"/>
    <w:rsid w:val="00E85196"/>
    <w:rsid w:val="00E86357"/>
    <w:rsid w:val="00E86B2D"/>
    <w:rsid w:val="00E86EED"/>
    <w:rsid w:val="00E87284"/>
    <w:rsid w:val="00E8780E"/>
    <w:rsid w:val="00E87FAC"/>
    <w:rsid w:val="00E9083F"/>
    <w:rsid w:val="00E90F81"/>
    <w:rsid w:val="00E91107"/>
    <w:rsid w:val="00E91249"/>
    <w:rsid w:val="00E91443"/>
    <w:rsid w:val="00E93297"/>
    <w:rsid w:val="00E95AA3"/>
    <w:rsid w:val="00E96BD2"/>
    <w:rsid w:val="00E97664"/>
    <w:rsid w:val="00EA0BBA"/>
    <w:rsid w:val="00EA2FD2"/>
    <w:rsid w:val="00EA3B33"/>
    <w:rsid w:val="00EA42D7"/>
    <w:rsid w:val="00EA4DD8"/>
    <w:rsid w:val="00EA574A"/>
    <w:rsid w:val="00EA5F9F"/>
    <w:rsid w:val="00EA6120"/>
    <w:rsid w:val="00EA7959"/>
    <w:rsid w:val="00EA7D18"/>
    <w:rsid w:val="00EB11E6"/>
    <w:rsid w:val="00EB1AFE"/>
    <w:rsid w:val="00EB2154"/>
    <w:rsid w:val="00EB2AEF"/>
    <w:rsid w:val="00EB2BED"/>
    <w:rsid w:val="00EB2D4D"/>
    <w:rsid w:val="00EB3A8E"/>
    <w:rsid w:val="00EB4109"/>
    <w:rsid w:val="00EB5398"/>
    <w:rsid w:val="00EB5B8D"/>
    <w:rsid w:val="00EB5EC2"/>
    <w:rsid w:val="00EB6D09"/>
    <w:rsid w:val="00EB6EFB"/>
    <w:rsid w:val="00EB7E71"/>
    <w:rsid w:val="00EC15DA"/>
    <w:rsid w:val="00EC1D8F"/>
    <w:rsid w:val="00EC3F7C"/>
    <w:rsid w:val="00EC6BE9"/>
    <w:rsid w:val="00ED06CC"/>
    <w:rsid w:val="00ED123E"/>
    <w:rsid w:val="00ED1A90"/>
    <w:rsid w:val="00ED1F15"/>
    <w:rsid w:val="00ED216B"/>
    <w:rsid w:val="00ED222F"/>
    <w:rsid w:val="00ED4230"/>
    <w:rsid w:val="00ED447E"/>
    <w:rsid w:val="00ED4777"/>
    <w:rsid w:val="00ED6996"/>
    <w:rsid w:val="00ED7139"/>
    <w:rsid w:val="00EE02EB"/>
    <w:rsid w:val="00EE10E8"/>
    <w:rsid w:val="00EE2A31"/>
    <w:rsid w:val="00EE2BF2"/>
    <w:rsid w:val="00EE46EE"/>
    <w:rsid w:val="00EE5BCA"/>
    <w:rsid w:val="00EE5CE8"/>
    <w:rsid w:val="00EE656E"/>
    <w:rsid w:val="00EE7059"/>
    <w:rsid w:val="00EE7F9C"/>
    <w:rsid w:val="00EF18FA"/>
    <w:rsid w:val="00EF2788"/>
    <w:rsid w:val="00EF3103"/>
    <w:rsid w:val="00EF422C"/>
    <w:rsid w:val="00EF5545"/>
    <w:rsid w:val="00EF59AF"/>
    <w:rsid w:val="00EF5DA1"/>
    <w:rsid w:val="00EF65F0"/>
    <w:rsid w:val="00EF6E9B"/>
    <w:rsid w:val="00EF6F2A"/>
    <w:rsid w:val="00EF7714"/>
    <w:rsid w:val="00F00AE6"/>
    <w:rsid w:val="00F01AD7"/>
    <w:rsid w:val="00F023DB"/>
    <w:rsid w:val="00F109D4"/>
    <w:rsid w:val="00F10A6F"/>
    <w:rsid w:val="00F110F2"/>
    <w:rsid w:val="00F1194E"/>
    <w:rsid w:val="00F11A03"/>
    <w:rsid w:val="00F1264B"/>
    <w:rsid w:val="00F12E6D"/>
    <w:rsid w:val="00F1449B"/>
    <w:rsid w:val="00F15EE9"/>
    <w:rsid w:val="00F164E0"/>
    <w:rsid w:val="00F16B71"/>
    <w:rsid w:val="00F21C37"/>
    <w:rsid w:val="00F21F00"/>
    <w:rsid w:val="00F22850"/>
    <w:rsid w:val="00F22F58"/>
    <w:rsid w:val="00F230E3"/>
    <w:rsid w:val="00F24736"/>
    <w:rsid w:val="00F2593C"/>
    <w:rsid w:val="00F25D9E"/>
    <w:rsid w:val="00F2667A"/>
    <w:rsid w:val="00F268DE"/>
    <w:rsid w:val="00F27344"/>
    <w:rsid w:val="00F27E1C"/>
    <w:rsid w:val="00F30D4F"/>
    <w:rsid w:val="00F31B71"/>
    <w:rsid w:val="00F322DE"/>
    <w:rsid w:val="00F336A1"/>
    <w:rsid w:val="00F33E16"/>
    <w:rsid w:val="00F343AA"/>
    <w:rsid w:val="00F34931"/>
    <w:rsid w:val="00F34C58"/>
    <w:rsid w:val="00F41B24"/>
    <w:rsid w:val="00F4241B"/>
    <w:rsid w:val="00F42BB7"/>
    <w:rsid w:val="00F43E7B"/>
    <w:rsid w:val="00F45E63"/>
    <w:rsid w:val="00F462B5"/>
    <w:rsid w:val="00F46577"/>
    <w:rsid w:val="00F46704"/>
    <w:rsid w:val="00F46C17"/>
    <w:rsid w:val="00F46D00"/>
    <w:rsid w:val="00F4721A"/>
    <w:rsid w:val="00F47585"/>
    <w:rsid w:val="00F47B26"/>
    <w:rsid w:val="00F515DA"/>
    <w:rsid w:val="00F51B98"/>
    <w:rsid w:val="00F52263"/>
    <w:rsid w:val="00F52607"/>
    <w:rsid w:val="00F52C1B"/>
    <w:rsid w:val="00F544D2"/>
    <w:rsid w:val="00F56E3A"/>
    <w:rsid w:val="00F576F6"/>
    <w:rsid w:val="00F607CF"/>
    <w:rsid w:val="00F60941"/>
    <w:rsid w:val="00F6249C"/>
    <w:rsid w:val="00F646B6"/>
    <w:rsid w:val="00F64828"/>
    <w:rsid w:val="00F64E03"/>
    <w:rsid w:val="00F66ACB"/>
    <w:rsid w:val="00F678B8"/>
    <w:rsid w:val="00F67E5C"/>
    <w:rsid w:val="00F67E85"/>
    <w:rsid w:val="00F7078E"/>
    <w:rsid w:val="00F71E0F"/>
    <w:rsid w:val="00F72CEC"/>
    <w:rsid w:val="00F738A5"/>
    <w:rsid w:val="00F7405B"/>
    <w:rsid w:val="00F75BDB"/>
    <w:rsid w:val="00F76773"/>
    <w:rsid w:val="00F76B97"/>
    <w:rsid w:val="00F77B0B"/>
    <w:rsid w:val="00F80CD2"/>
    <w:rsid w:val="00F81204"/>
    <w:rsid w:val="00F81232"/>
    <w:rsid w:val="00F814F9"/>
    <w:rsid w:val="00F819C8"/>
    <w:rsid w:val="00F8291C"/>
    <w:rsid w:val="00F82CD3"/>
    <w:rsid w:val="00F8347B"/>
    <w:rsid w:val="00F85E6F"/>
    <w:rsid w:val="00F86538"/>
    <w:rsid w:val="00F874BC"/>
    <w:rsid w:val="00F9015A"/>
    <w:rsid w:val="00F90E1A"/>
    <w:rsid w:val="00F91DB1"/>
    <w:rsid w:val="00F91E1A"/>
    <w:rsid w:val="00F9280F"/>
    <w:rsid w:val="00F92F37"/>
    <w:rsid w:val="00F93560"/>
    <w:rsid w:val="00F93B92"/>
    <w:rsid w:val="00F946E4"/>
    <w:rsid w:val="00F95449"/>
    <w:rsid w:val="00F95817"/>
    <w:rsid w:val="00F95AC5"/>
    <w:rsid w:val="00F97FE5"/>
    <w:rsid w:val="00FA1942"/>
    <w:rsid w:val="00FA380A"/>
    <w:rsid w:val="00FA5646"/>
    <w:rsid w:val="00FA5AB2"/>
    <w:rsid w:val="00FA5B88"/>
    <w:rsid w:val="00FA61AF"/>
    <w:rsid w:val="00FA7404"/>
    <w:rsid w:val="00FB2D98"/>
    <w:rsid w:val="00FB3D5A"/>
    <w:rsid w:val="00FB6A8D"/>
    <w:rsid w:val="00FC04DB"/>
    <w:rsid w:val="00FC160E"/>
    <w:rsid w:val="00FC1AE7"/>
    <w:rsid w:val="00FC1EC8"/>
    <w:rsid w:val="00FC2302"/>
    <w:rsid w:val="00FC2CB5"/>
    <w:rsid w:val="00FC3097"/>
    <w:rsid w:val="00FC38D9"/>
    <w:rsid w:val="00FC3A8F"/>
    <w:rsid w:val="00FC595E"/>
    <w:rsid w:val="00FC5DEF"/>
    <w:rsid w:val="00FC60E2"/>
    <w:rsid w:val="00FC6735"/>
    <w:rsid w:val="00FD04E9"/>
    <w:rsid w:val="00FD10BD"/>
    <w:rsid w:val="00FD19F7"/>
    <w:rsid w:val="00FD1EB3"/>
    <w:rsid w:val="00FD25FB"/>
    <w:rsid w:val="00FD277F"/>
    <w:rsid w:val="00FD2D80"/>
    <w:rsid w:val="00FD33EB"/>
    <w:rsid w:val="00FD55D9"/>
    <w:rsid w:val="00FD58A8"/>
    <w:rsid w:val="00FD6F1A"/>
    <w:rsid w:val="00FD7402"/>
    <w:rsid w:val="00FD78C9"/>
    <w:rsid w:val="00FE01FE"/>
    <w:rsid w:val="00FE038C"/>
    <w:rsid w:val="00FE04E4"/>
    <w:rsid w:val="00FE12CF"/>
    <w:rsid w:val="00FE179E"/>
    <w:rsid w:val="00FE1DC7"/>
    <w:rsid w:val="00FE2467"/>
    <w:rsid w:val="00FE2DD7"/>
    <w:rsid w:val="00FE4261"/>
    <w:rsid w:val="00FE73F9"/>
    <w:rsid w:val="00FE76D6"/>
    <w:rsid w:val="00FE7AA4"/>
    <w:rsid w:val="00FE7EBF"/>
    <w:rsid w:val="00FF1057"/>
    <w:rsid w:val="00FF1B81"/>
    <w:rsid w:val="00FF1D31"/>
    <w:rsid w:val="00FF260E"/>
    <w:rsid w:val="00FF3E25"/>
    <w:rsid w:val="00FF435B"/>
    <w:rsid w:val="00FF5839"/>
    <w:rsid w:val="00FF597B"/>
    <w:rsid w:val="00FF5A7E"/>
    <w:rsid w:val="00FF5FD8"/>
    <w:rsid w:val="00FF6D97"/>
    <w:rsid w:val="00FF7D89"/>
    <w:rsid w:val="0102586D"/>
    <w:rsid w:val="01698E5F"/>
    <w:rsid w:val="01F0CA72"/>
    <w:rsid w:val="01F11FC5"/>
    <w:rsid w:val="020B45D1"/>
    <w:rsid w:val="024ACB52"/>
    <w:rsid w:val="031DB6C9"/>
    <w:rsid w:val="036D33F7"/>
    <w:rsid w:val="03B0DB5D"/>
    <w:rsid w:val="03CEFBE8"/>
    <w:rsid w:val="04473715"/>
    <w:rsid w:val="048AC1AB"/>
    <w:rsid w:val="04E22DF4"/>
    <w:rsid w:val="0631CD4B"/>
    <w:rsid w:val="06937AB1"/>
    <w:rsid w:val="06C490E8"/>
    <w:rsid w:val="06D3FDDE"/>
    <w:rsid w:val="074A2C38"/>
    <w:rsid w:val="07534A02"/>
    <w:rsid w:val="07AE97E0"/>
    <w:rsid w:val="07CD9DAC"/>
    <w:rsid w:val="08290241"/>
    <w:rsid w:val="0834F557"/>
    <w:rsid w:val="08606149"/>
    <w:rsid w:val="087905F6"/>
    <w:rsid w:val="087A84E7"/>
    <w:rsid w:val="08ABB70B"/>
    <w:rsid w:val="08D93E19"/>
    <w:rsid w:val="08E3F538"/>
    <w:rsid w:val="0918C39A"/>
    <w:rsid w:val="09330E59"/>
    <w:rsid w:val="0A02A21B"/>
    <w:rsid w:val="0A2251AB"/>
    <w:rsid w:val="0A3641CD"/>
    <w:rsid w:val="0A54CFD4"/>
    <w:rsid w:val="0AA010BA"/>
    <w:rsid w:val="0AAE9331"/>
    <w:rsid w:val="0AB89656"/>
    <w:rsid w:val="0AF8F233"/>
    <w:rsid w:val="0C11ECA9"/>
    <w:rsid w:val="0C3276A2"/>
    <w:rsid w:val="0D1A1C39"/>
    <w:rsid w:val="0D6D0A8A"/>
    <w:rsid w:val="0D6DE28F"/>
    <w:rsid w:val="0DE6C1AC"/>
    <w:rsid w:val="0E3D78ED"/>
    <w:rsid w:val="0E7C069C"/>
    <w:rsid w:val="0FC9C94C"/>
    <w:rsid w:val="106D802F"/>
    <w:rsid w:val="10A93B4D"/>
    <w:rsid w:val="113DEE68"/>
    <w:rsid w:val="114A5AD7"/>
    <w:rsid w:val="11CB9D77"/>
    <w:rsid w:val="11FD10A1"/>
    <w:rsid w:val="123D8E62"/>
    <w:rsid w:val="125AB5FC"/>
    <w:rsid w:val="12A06682"/>
    <w:rsid w:val="12BE922E"/>
    <w:rsid w:val="12CA59C1"/>
    <w:rsid w:val="133BA658"/>
    <w:rsid w:val="13C01023"/>
    <w:rsid w:val="13F3EAE6"/>
    <w:rsid w:val="14827F76"/>
    <w:rsid w:val="14F62F09"/>
    <w:rsid w:val="16099231"/>
    <w:rsid w:val="161E4FD7"/>
    <w:rsid w:val="1650810B"/>
    <w:rsid w:val="168E1939"/>
    <w:rsid w:val="16FF09F8"/>
    <w:rsid w:val="174BD2DA"/>
    <w:rsid w:val="177BCA41"/>
    <w:rsid w:val="17AD8C86"/>
    <w:rsid w:val="17BA2038"/>
    <w:rsid w:val="17D48708"/>
    <w:rsid w:val="18837CB7"/>
    <w:rsid w:val="18B89D79"/>
    <w:rsid w:val="18C9369C"/>
    <w:rsid w:val="19AA8E5A"/>
    <w:rsid w:val="1A411BE9"/>
    <w:rsid w:val="1A9D522D"/>
    <w:rsid w:val="1A9E6559"/>
    <w:rsid w:val="1B458FF7"/>
    <w:rsid w:val="1B616766"/>
    <w:rsid w:val="1B7083F9"/>
    <w:rsid w:val="1BCEB808"/>
    <w:rsid w:val="1C163E24"/>
    <w:rsid w:val="1C5AC955"/>
    <w:rsid w:val="1C88C06B"/>
    <w:rsid w:val="1CBDE328"/>
    <w:rsid w:val="1CC382A3"/>
    <w:rsid w:val="1D104F26"/>
    <w:rsid w:val="1D238F11"/>
    <w:rsid w:val="1D7B6C01"/>
    <w:rsid w:val="1E045A6E"/>
    <w:rsid w:val="1E381775"/>
    <w:rsid w:val="1EEBE0F4"/>
    <w:rsid w:val="1EED1E35"/>
    <w:rsid w:val="1F263EC2"/>
    <w:rsid w:val="2022FC0E"/>
    <w:rsid w:val="202FE09D"/>
    <w:rsid w:val="208725A0"/>
    <w:rsid w:val="20950D55"/>
    <w:rsid w:val="20A2292B"/>
    <w:rsid w:val="20AEBE43"/>
    <w:rsid w:val="21D50C21"/>
    <w:rsid w:val="21E0BCFF"/>
    <w:rsid w:val="21FB1443"/>
    <w:rsid w:val="2230D220"/>
    <w:rsid w:val="2245922A"/>
    <w:rsid w:val="225B3170"/>
    <w:rsid w:val="22774CA1"/>
    <w:rsid w:val="22BE77D2"/>
    <w:rsid w:val="231C4DC8"/>
    <w:rsid w:val="2353E053"/>
    <w:rsid w:val="238FFE8D"/>
    <w:rsid w:val="23F9AFE5"/>
    <w:rsid w:val="242B02FC"/>
    <w:rsid w:val="24E707BD"/>
    <w:rsid w:val="24F0E7F9"/>
    <w:rsid w:val="24FB72DC"/>
    <w:rsid w:val="25043909"/>
    <w:rsid w:val="2512B70D"/>
    <w:rsid w:val="25447F43"/>
    <w:rsid w:val="2569D3AD"/>
    <w:rsid w:val="25934074"/>
    <w:rsid w:val="2755E6CC"/>
    <w:rsid w:val="2811BF63"/>
    <w:rsid w:val="28BB5779"/>
    <w:rsid w:val="28C22E42"/>
    <w:rsid w:val="28CAE136"/>
    <w:rsid w:val="28FDE5C1"/>
    <w:rsid w:val="292DB956"/>
    <w:rsid w:val="29361CC0"/>
    <w:rsid w:val="29DE20E1"/>
    <w:rsid w:val="29F9486E"/>
    <w:rsid w:val="2A91429F"/>
    <w:rsid w:val="2ABA2550"/>
    <w:rsid w:val="2B1E4069"/>
    <w:rsid w:val="2B45A4D6"/>
    <w:rsid w:val="2BD7B7C7"/>
    <w:rsid w:val="2CBE343E"/>
    <w:rsid w:val="2D0166C2"/>
    <w:rsid w:val="2D096C9C"/>
    <w:rsid w:val="2D13A0DC"/>
    <w:rsid w:val="2D26C2DE"/>
    <w:rsid w:val="2D2A65AA"/>
    <w:rsid w:val="2D8B718D"/>
    <w:rsid w:val="2E52DCE2"/>
    <w:rsid w:val="2EB230A0"/>
    <w:rsid w:val="2EB8ECE9"/>
    <w:rsid w:val="2F4CC157"/>
    <w:rsid w:val="2FBB16E2"/>
    <w:rsid w:val="2FC873D9"/>
    <w:rsid w:val="2FE09683"/>
    <w:rsid w:val="2FF76CBD"/>
    <w:rsid w:val="30025DB4"/>
    <w:rsid w:val="30410D5E"/>
    <w:rsid w:val="307036C2"/>
    <w:rsid w:val="3097780E"/>
    <w:rsid w:val="30CFA82C"/>
    <w:rsid w:val="30D92512"/>
    <w:rsid w:val="310B7283"/>
    <w:rsid w:val="3188E3DC"/>
    <w:rsid w:val="31F3A192"/>
    <w:rsid w:val="31FEAE0E"/>
    <w:rsid w:val="325D7D51"/>
    <w:rsid w:val="32836022"/>
    <w:rsid w:val="3311C2D0"/>
    <w:rsid w:val="3313B36E"/>
    <w:rsid w:val="33718534"/>
    <w:rsid w:val="338F71F3"/>
    <w:rsid w:val="343198C8"/>
    <w:rsid w:val="346B5415"/>
    <w:rsid w:val="347F8041"/>
    <w:rsid w:val="34F2DF8A"/>
    <w:rsid w:val="35981759"/>
    <w:rsid w:val="35A3BC70"/>
    <w:rsid w:val="35C64940"/>
    <w:rsid w:val="35CBDED2"/>
    <w:rsid w:val="3674A152"/>
    <w:rsid w:val="368EAFEB"/>
    <w:rsid w:val="36AB616B"/>
    <w:rsid w:val="3741EEA3"/>
    <w:rsid w:val="3777584B"/>
    <w:rsid w:val="38985154"/>
    <w:rsid w:val="38F32AE3"/>
    <w:rsid w:val="398743F9"/>
    <w:rsid w:val="39D592E9"/>
    <w:rsid w:val="39E9FFA9"/>
    <w:rsid w:val="3A10B897"/>
    <w:rsid w:val="3A8EFB44"/>
    <w:rsid w:val="3AEFFE71"/>
    <w:rsid w:val="3C840CDD"/>
    <w:rsid w:val="3CF34058"/>
    <w:rsid w:val="3D066809"/>
    <w:rsid w:val="3D1480E1"/>
    <w:rsid w:val="3D4774F7"/>
    <w:rsid w:val="3D7B4B28"/>
    <w:rsid w:val="3DA199DD"/>
    <w:rsid w:val="3DA49405"/>
    <w:rsid w:val="3DAE58A7"/>
    <w:rsid w:val="3DD2C276"/>
    <w:rsid w:val="3E14D8CA"/>
    <w:rsid w:val="3E2F4E2B"/>
    <w:rsid w:val="3E9BAED0"/>
    <w:rsid w:val="3F294A72"/>
    <w:rsid w:val="3F610CF3"/>
    <w:rsid w:val="3F7EB2EA"/>
    <w:rsid w:val="3F86E039"/>
    <w:rsid w:val="3F9C6EB5"/>
    <w:rsid w:val="3FC9DA81"/>
    <w:rsid w:val="3FEA550C"/>
    <w:rsid w:val="40325E66"/>
    <w:rsid w:val="40C9DCAF"/>
    <w:rsid w:val="40CA912C"/>
    <w:rsid w:val="41026DEC"/>
    <w:rsid w:val="41B4C310"/>
    <w:rsid w:val="41CE8CF3"/>
    <w:rsid w:val="41D0E9D8"/>
    <w:rsid w:val="420597C4"/>
    <w:rsid w:val="423ECBA2"/>
    <w:rsid w:val="42B8D2FF"/>
    <w:rsid w:val="42C2E2C4"/>
    <w:rsid w:val="42C8D018"/>
    <w:rsid w:val="436281DC"/>
    <w:rsid w:val="43DC9834"/>
    <w:rsid w:val="4403574C"/>
    <w:rsid w:val="441F96E5"/>
    <w:rsid w:val="448E19E8"/>
    <w:rsid w:val="44FE523D"/>
    <w:rsid w:val="45A9058C"/>
    <w:rsid w:val="45F43766"/>
    <w:rsid w:val="46ACC13B"/>
    <w:rsid w:val="46F609D4"/>
    <w:rsid w:val="4744D5ED"/>
    <w:rsid w:val="479C413B"/>
    <w:rsid w:val="47EF6AE0"/>
    <w:rsid w:val="489D3C83"/>
    <w:rsid w:val="492E80FE"/>
    <w:rsid w:val="49653944"/>
    <w:rsid w:val="49A10642"/>
    <w:rsid w:val="49C9C19A"/>
    <w:rsid w:val="4A020DE5"/>
    <w:rsid w:val="4A399ECF"/>
    <w:rsid w:val="4B2B68FB"/>
    <w:rsid w:val="4B2EE4B3"/>
    <w:rsid w:val="4B5276AC"/>
    <w:rsid w:val="4BB0D24D"/>
    <w:rsid w:val="4C1D0168"/>
    <w:rsid w:val="4C26F5C5"/>
    <w:rsid w:val="4C7D5429"/>
    <w:rsid w:val="4CA61C72"/>
    <w:rsid w:val="4CE96184"/>
    <w:rsid w:val="4CFBE6E5"/>
    <w:rsid w:val="4D1711BC"/>
    <w:rsid w:val="4D7A5467"/>
    <w:rsid w:val="4DC0E0EC"/>
    <w:rsid w:val="4DC8B2DB"/>
    <w:rsid w:val="4DE0AB93"/>
    <w:rsid w:val="4EAF61DB"/>
    <w:rsid w:val="4F630F43"/>
    <w:rsid w:val="4F637533"/>
    <w:rsid w:val="504B323C"/>
    <w:rsid w:val="5053AC14"/>
    <w:rsid w:val="5063CE26"/>
    <w:rsid w:val="50B6FFFC"/>
    <w:rsid w:val="50E82438"/>
    <w:rsid w:val="51B866E5"/>
    <w:rsid w:val="52095A07"/>
    <w:rsid w:val="52191454"/>
    <w:rsid w:val="523D1EFF"/>
    <w:rsid w:val="52412E9A"/>
    <w:rsid w:val="52EB909A"/>
    <w:rsid w:val="52F0EC79"/>
    <w:rsid w:val="53125CDF"/>
    <w:rsid w:val="5382D2FE"/>
    <w:rsid w:val="53CB0E19"/>
    <w:rsid w:val="53F18977"/>
    <w:rsid w:val="53FFDF02"/>
    <w:rsid w:val="545F9E1E"/>
    <w:rsid w:val="548CBCDA"/>
    <w:rsid w:val="54A1562C"/>
    <w:rsid w:val="55A3ED1B"/>
    <w:rsid w:val="55A76C5C"/>
    <w:rsid w:val="55F68DE9"/>
    <w:rsid w:val="560077F9"/>
    <w:rsid w:val="5623315C"/>
    <w:rsid w:val="565220A4"/>
    <w:rsid w:val="569D7F82"/>
    <w:rsid w:val="56E89BE6"/>
    <w:rsid w:val="57032831"/>
    <w:rsid w:val="57262241"/>
    <w:rsid w:val="5762E73D"/>
    <w:rsid w:val="57BF01BD"/>
    <w:rsid w:val="57F8E548"/>
    <w:rsid w:val="58FEB79E"/>
    <w:rsid w:val="595AD21E"/>
    <w:rsid w:val="596F466A"/>
    <w:rsid w:val="59C2E1C6"/>
    <w:rsid w:val="59E0E4B0"/>
    <w:rsid w:val="59F8AD99"/>
    <w:rsid w:val="5A7B64A7"/>
    <w:rsid w:val="5AF004C3"/>
    <w:rsid w:val="5AF1F34D"/>
    <w:rsid w:val="5B4BB1E6"/>
    <w:rsid w:val="5B922F20"/>
    <w:rsid w:val="5BA99ED4"/>
    <w:rsid w:val="5C167B0F"/>
    <w:rsid w:val="5C25F82B"/>
    <w:rsid w:val="5C2D9503"/>
    <w:rsid w:val="5C33AE19"/>
    <w:rsid w:val="5C4FA32E"/>
    <w:rsid w:val="5C7952A4"/>
    <w:rsid w:val="5CC12A41"/>
    <w:rsid w:val="5D33D901"/>
    <w:rsid w:val="5D8F50E1"/>
    <w:rsid w:val="5DA77F2B"/>
    <w:rsid w:val="5E389037"/>
    <w:rsid w:val="5F45D9C1"/>
    <w:rsid w:val="5F6535C5"/>
    <w:rsid w:val="5F8FC6B2"/>
    <w:rsid w:val="5FE326B2"/>
    <w:rsid w:val="60078987"/>
    <w:rsid w:val="6033E4EF"/>
    <w:rsid w:val="60AA37D2"/>
    <w:rsid w:val="61B11EE0"/>
    <w:rsid w:val="62170254"/>
    <w:rsid w:val="628CB6FC"/>
    <w:rsid w:val="62AA0AE1"/>
    <w:rsid w:val="6322DC7D"/>
    <w:rsid w:val="632AC69B"/>
    <w:rsid w:val="63737CDE"/>
    <w:rsid w:val="6398868E"/>
    <w:rsid w:val="63A1E978"/>
    <w:rsid w:val="63FA46DF"/>
    <w:rsid w:val="6436ED09"/>
    <w:rsid w:val="6485C503"/>
    <w:rsid w:val="6544C0A4"/>
    <w:rsid w:val="656B52E0"/>
    <w:rsid w:val="65961740"/>
    <w:rsid w:val="66469E8B"/>
    <w:rsid w:val="66623AEE"/>
    <w:rsid w:val="66BD0AD3"/>
    <w:rsid w:val="6750DC84"/>
    <w:rsid w:val="67A2D185"/>
    <w:rsid w:val="67CCF77F"/>
    <w:rsid w:val="67D1CF0E"/>
    <w:rsid w:val="67DE5D76"/>
    <w:rsid w:val="67FCA78B"/>
    <w:rsid w:val="6829C2AA"/>
    <w:rsid w:val="69029EBE"/>
    <w:rsid w:val="69118001"/>
    <w:rsid w:val="69D5EB54"/>
    <w:rsid w:val="6A1DACD7"/>
    <w:rsid w:val="6ADC3B8A"/>
    <w:rsid w:val="6AEC91D5"/>
    <w:rsid w:val="6B4E9CE4"/>
    <w:rsid w:val="6B775399"/>
    <w:rsid w:val="6BBACEDE"/>
    <w:rsid w:val="6BCFF12C"/>
    <w:rsid w:val="6C21E16C"/>
    <w:rsid w:val="6C50DB78"/>
    <w:rsid w:val="6D019A68"/>
    <w:rsid w:val="6D58B54E"/>
    <w:rsid w:val="6DE1487F"/>
    <w:rsid w:val="6DECABD9"/>
    <w:rsid w:val="6E13DC4C"/>
    <w:rsid w:val="6E26305A"/>
    <w:rsid w:val="6E5ACD0E"/>
    <w:rsid w:val="6EE21412"/>
    <w:rsid w:val="6F1FC5DC"/>
    <w:rsid w:val="6F4CD1BF"/>
    <w:rsid w:val="6F622B16"/>
    <w:rsid w:val="6F6B0174"/>
    <w:rsid w:val="6FAFACAD"/>
    <w:rsid w:val="704DFCEC"/>
    <w:rsid w:val="71190611"/>
    <w:rsid w:val="721CCC59"/>
    <w:rsid w:val="7251F331"/>
    <w:rsid w:val="72C251C6"/>
    <w:rsid w:val="72F6612A"/>
    <w:rsid w:val="7415B641"/>
    <w:rsid w:val="744D2ED2"/>
    <w:rsid w:val="749A2447"/>
    <w:rsid w:val="74A2864D"/>
    <w:rsid w:val="74C25BAA"/>
    <w:rsid w:val="752DCA61"/>
    <w:rsid w:val="7567A934"/>
    <w:rsid w:val="758E5FFA"/>
    <w:rsid w:val="75A523CD"/>
    <w:rsid w:val="766CF57A"/>
    <w:rsid w:val="768CBF22"/>
    <w:rsid w:val="7808C5DB"/>
    <w:rsid w:val="78111B89"/>
    <w:rsid w:val="7821B0F9"/>
    <w:rsid w:val="787A781A"/>
    <w:rsid w:val="79374C06"/>
    <w:rsid w:val="79375DB5"/>
    <w:rsid w:val="79505AFF"/>
    <w:rsid w:val="79B01D92"/>
    <w:rsid w:val="7A14655C"/>
    <w:rsid w:val="7A61D11D"/>
    <w:rsid w:val="7ACC471D"/>
    <w:rsid w:val="7AF6FE6E"/>
    <w:rsid w:val="7B6944C8"/>
    <w:rsid w:val="7B79BEE4"/>
    <w:rsid w:val="7B965508"/>
    <w:rsid w:val="7BA9CC0E"/>
    <w:rsid w:val="7C0F27AD"/>
    <w:rsid w:val="7C6215D3"/>
    <w:rsid w:val="7C6EECC8"/>
    <w:rsid w:val="7D480084"/>
    <w:rsid w:val="7D8A7DC2"/>
    <w:rsid w:val="7D9551E9"/>
    <w:rsid w:val="7DBB9E91"/>
    <w:rsid w:val="7DBEBA8B"/>
    <w:rsid w:val="7E0B86A6"/>
    <w:rsid w:val="7E31ED9C"/>
    <w:rsid w:val="7E84AC72"/>
    <w:rsid w:val="7EDD6A39"/>
    <w:rsid w:val="7EDFECB6"/>
    <w:rsid w:val="7F28EC41"/>
    <w:rsid w:val="7F2E941C"/>
    <w:rsid w:val="7FD370F9"/>
    <w:rsid w:val="7FEFA0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B0DEF"/>
  <w15:docId w15:val="{08010DE1-E693-4D1A-BC80-3ECDAF63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9"/>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base-text-paragraphChar">
    <w:name w:val="base-text-paragraph Char"/>
    <w:basedOn w:val="DefaultParagraphFont"/>
    <w:link w:val="base-text-paragraph"/>
    <w:uiPriority w:val="1"/>
    <w:rsid w:val="174BD2DA"/>
    <w:rPr>
      <w:sz w:val="22"/>
      <w:szCs w:val="22"/>
    </w:rPr>
  </w:style>
  <w:style w:type="character" w:styleId="Mention">
    <w:name w:val="Mention"/>
    <w:basedOn w:val="DefaultParagraphFont"/>
    <w:uiPriority w:val="99"/>
    <w:unhideWhenUsed/>
    <w:rsid w:val="005D3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65969">
      <w:bodyDiv w:val="1"/>
      <w:marLeft w:val="0"/>
      <w:marRight w:val="0"/>
      <w:marTop w:val="0"/>
      <w:marBottom w:val="0"/>
      <w:divBdr>
        <w:top w:val="none" w:sz="0" w:space="0" w:color="auto"/>
        <w:left w:val="none" w:sz="0" w:space="0" w:color="auto"/>
        <w:bottom w:val="none" w:sz="0" w:space="0" w:color="auto"/>
        <w:right w:val="none" w:sz="0" w:space="0" w:color="auto"/>
      </w:divBdr>
    </w:div>
    <w:div w:id="769082608">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7498819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426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D6E343872945DBABFDE097065BDC4C"/>
        <w:category>
          <w:name w:val="General"/>
          <w:gallery w:val="placeholder"/>
        </w:category>
        <w:types>
          <w:type w:val="bbPlcHdr"/>
        </w:types>
        <w:behaviors>
          <w:behavior w:val="content"/>
        </w:behaviors>
        <w:guid w:val="{0D607C38-4762-4281-AA6E-5172BFCB9C1F}"/>
      </w:docPartPr>
      <w:docPartBody>
        <w:p w:rsidR="000D0E8A" w:rsidRDefault="00D93557" w:rsidP="00D93557">
          <w:pPr>
            <w:pStyle w:val="BAD6E343872945DBABFDE097065BDC4C"/>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57"/>
    <w:rsid w:val="00072ED2"/>
    <w:rsid w:val="000D0E8A"/>
    <w:rsid w:val="000F7613"/>
    <w:rsid w:val="00116945"/>
    <w:rsid w:val="00386743"/>
    <w:rsid w:val="00391185"/>
    <w:rsid w:val="00462624"/>
    <w:rsid w:val="00507266"/>
    <w:rsid w:val="00551295"/>
    <w:rsid w:val="00624FEF"/>
    <w:rsid w:val="006E37C1"/>
    <w:rsid w:val="006E7CF5"/>
    <w:rsid w:val="00750B9D"/>
    <w:rsid w:val="007A59FD"/>
    <w:rsid w:val="007C41E6"/>
    <w:rsid w:val="00874504"/>
    <w:rsid w:val="00921771"/>
    <w:rsid w:val="00A07570"/>
    <w:rsid w:val="00A11EED"/>
    <w:rsid w:val="00A14BDE"/>
    <w:rsid w:val="00A64D90"/>
    <w:rsid w:val="00C0099F"/>
    <w:rsid w:val="00C108F7"/>
    <w:rsid w:val="00C87057"/>
    <w:rsid w:val="00CA64E7"/>
    <w:rsid w:val="00D8630C"/>
    <w:rsid w:val="00D93557"/>
    <w:rsid w:val="00DA5E9A"/>
    <w:rsid w:val="00E15623"/>
    <w:rsid w:val="00E571FC"/>
    <w:rsid w:val="00EF59CB"/>
    <w:rsid w:val="00F1580D"/>
    <w:rsid w:val="00F22265"/>
    <w:rsid w:val="00F34647"/>
    <w:rsid w:val="00F57F88"/>
    <w:rsid w:val="00FA6460"/>
    <w:rsid w:val="00FB233B"/>
    <w:rsid w:val="00FE4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FEF"/>
    <w:rPr>
      <w:color w:val="808080"/>
    </w:rPr>
  </w:style>
  <w:style w:type="paragraph" w:customStyle="1" w:styleId="BAD6E343872945DBABFDE097065BDC4C">
    <w:name w:val="BAD6E343872945DBABFDE097065BDC4C"/>
    <w:rsid w:val="00D93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B3E054A912CC40BE72EFD9D47BC933" ma:contentTypeVersion="15" ma:contentTypeDescription="Create a new document." ma:contentTypeScope="" ma:versionID="92ccdfa8de551d5bf9169c74df040419">
  <xsd:schema xmlns:xsd="http://www.w3.org/2001/XMLSchema" xmlns:xs="http://www.w3.org/2001/XMLSchema" xmlns:p="http://schemas.microsoft.com/office/2006/metadata/properties" xmlns:ns2="ef209f3f-5c93-47d0-a846-df4853a4fc2c" xmlns:ns3="fe39d773-a83d-4623-ae74-f25711a76616" xmlns:ns4="7f7568d6-2be4-43fc-9f2c-472dcca57fde" targetNamespace="http://schemas.microsoft.com/office/2006/metadata/properties" ma:root="true" ma:fieldsID="64b61c23660b58a9b659bb904e7d6cc2" ns2:_="" ns3:_="" ns4:_="">
    <xsd:import namespace="ef209f3f-5c93-47d0-a846-df4853a4fc2c"/>
    <xsd:import namespace="fe39d773-a83d-4623-ae74-f25711a76616"/>
    <xsd:import namespace="7f7568d6-2be4-43fc-9f2c-472dcca57fd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DateandTime"/>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9f3f-5c93-47d0-a846-df4853a4fc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c8bb7d-f6c1-455f-8295-1d2310be9783}" ma:internalName="TaxCatchAll" ma:showField="CatchAllData"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9c8bb7d-f6c1-455f-8295-1d2310be9783}" ma:internalName="TaxCatchAllLabel" ma:readOnly="true" ma:showField="CatchAllDataLabel"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568d6-2be4-43fc-9f2c-472dcca57fd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ateandTime" ma:index="27" ma:displayName="Date and Time" ma:format="DateTime"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f209f3f-5c93-47d0-a846-df4853a4fc2c">
      <Value>111</Value>
      <Value>117</Value>
      <Value>114</Value>
      <Value>113</Value>
      <Value>112</Value>
    </TaxCatchAl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ateandTime xmlns="7f7568d6-2be4-43fc-9f2c-472dcca57fd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Energy</TermName>
          <TermId xmlns="http://schemas.microsoft.com/office/infopath/2007/PartnerControls">697142a4-30e6-4927-b08c-6642f61f6a7d</TermId>
        </TermInfo>
      </Terms>
    </gfba5f33532c49208d2320ce38cc3c2b>
    <_dlc_DocId xmlns="fe39d773-a83d-4623-ae74-f25711a76616">K4266TYZEXYK-552269998-383</_dlc_DocId>
    <_dlc_DocIdUrl xmlns="fe39d773-a83d-4623-ae74-f25711a76616">
      <Url>https://austreasury.sharepoint.com/sites/res-tax-function/_layouts/15/DocIdRedir.aspx?ID=K4266TYZEXYK-552269998-383</Url>
      <Description>K4266TYZEXYK-552269998-383</Description>
    </_dlc_DocIdUrl>
  </documentManagement>
</p:propertie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B86C89A2-AC99-43CF-A1CF-F564C349682C}">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B97AA810-78B1-41CF-9329-8D033E4E7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9f3f-5c93-47d0-a846-df4853a4fc2c"/>
    <ds:schemaRef ds:uri="fe39d773-a83d-4623-ae74-f25711a76616"/>
    <ds:schemaRef ds:uri="7f7568d6-2be4-43fc-9f2c-472dcca5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purl.org/dc/terms/"/>
    <ds:schemaRef ds:uri="http://purl.org/dc/dcmitype/"/>
    <ds:schemaRef ds:uri="http://schemas.microsoft.com/office/infopath/2007/PartnerControls"/>
    <ds:schemaRef ds:uri="fe39d773-a83d-4623-ae74-f25711a76616"/>
    <ds:schemaRef ds:uri="http://purl.org/dc/elements/1.1/"/>
    <ds:schemaRef ds:uri="http://schemas.microsoft.com/office/2006/documentManagement/types"/>
    <ds:schemaRef ds:uri="ef209f3f-5c93-47d0-a846-df4853a4fc2c"/>
    <ds:schemaRef ds:uri="http://schemas.openxmlformats.org/package/2006/metadata/core-properties"/>
    <ds:schemaRef ds:uri="7f7568d6-2be4-43fc-9f2c-472dcca57fd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10</Pages>
  <Words>3916</Words>
  <Characters>20427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Explanatory statement: Petroleum Resource Rent Tax Assessment Act 1987 / Petroleum Resource Rent Tax Regulations 2024</vt:lpstr>
    </vt:vector>
  </TitlesOfParts>
  <Company>Australian Government</Company>
  <LinksUpToDate>false</LinksUpToDate>
  <CharactersWithSpaces>24295</CharactersWithSpaces>
  <SharedDoc>false</SharedDoc>
  <HLinks>
    <vt:vector size="12" baseType="variant">
      <vt:variant>
        <vt:i4>7536660</vt:i4>
      </vt:variant>
      <vt:variant>
        <vt:i4>3</vt:i4>
      </vt:variant>
      <vt:variant>
        <vt:i4>0</vt:i4>
      </vt:variant>
      <vt:variant>
        <vt:i4>5</vt:i4>
      </vt:variant>
      <vt:variant>
        <vt:lpwstr>mailto:Cameron.Anderson-Smith@TREASURY.GOV.AU</vt:lpwstr>
      </vt:variant>
      <vt:variant>
        <vt:lpwstr/>
      </vt:variant>
      <vt:variant>
        <vt:i4>7536660</vt:i4>
      </vt:variant>
      <vt:variant>
        <vt:i4>0</vt:i4>
      </vt:variant>
      <vt:variant>
        <vt:i4>0</vt:i4>
      </vt:variant>
      <vt:variant>
        <vt:i4>5</vt:i4>
      </vt:variant>
      <vt:variant>
        <vt:lpwstr>mailto:Cameron.Anderson-Smith@TREASURY.GOV.AU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Petroleum Resource Rent Tax Assessment Act 1987 / Petroleum Resource Rent Tax Regulations 2024</dc:title>
  <dc:subject/>
  <dc:creator>Treasury</dc:creator>
  <cp:keywords/>
  <cp:lastModifiedBy>Thomas, Deborah</cp:lastModifiedBy>
  <cp:revision>2</cp:revision>
  <cp:lastPrinted>2024-02-07T01:50:00Z</cp:lastPrinted>
  <dcterms:created xsi:type="dcterms:W3CDTF">2024-03-08T01:27:00Z</dcterms:created>
  <dcterms:modified xsi:type="dcterms:W3CDTF">2024-03-08T01:27:00Z</dcterms:modified>
</cp:coreProperties>
</file>