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500AE" w14:textId="77777777" w:rsidR="00E24AA1" w:rsidRDefault="00E24AA1" w:rsidP="00E24AA1">
      <w:pPr>
        <w:pStyle w:val="Baseparagraphcentred"/>
      </w:pPr>
      <w:bookmarkStart w:id="0" w:name="_Toc78548463"/>
      <w:bookmarkStart w:id="1" w:name="_Toc78549734"/>
      <w:bookmarkStart w:id="2" w:name="_Toc78549779"/>
      <w:bookmarkStart w:id="3" w:name="_Toc80097481"/>
      <w:bookmarkStart w:id="4" w:name="_Toc80097775"/>
      <w:bookmarkStart w:id="5" w:name="_Hlk81640909"/>
    </w:p>
    <w:p w14:paraId="04F7E902" w14:textId="77777777" w:rsidR="00E24AA1" w:rsidRDefault="00E24AA1" w:rsidP="00E24AA1">
      <w:pPr>
        <w:pStyle w:val="Baseparagraphcentred"/>
      </w:pPr>
    </w:p>
    <w:p w14:paraId="35B2A461" w14:textId="77777777" w:rsidR="00E24AA1" w:rsidRDefault="00E24AA1" w:rsidP="00E24AA1">
      <w:pPr>
        <w:pStyle w:val="Baseparagraphcentred"/>
        <w:pBdr>
          <w:bottom w:val="single" w:sz="4" w:space="1" w:color="auto"/>
        </w:pBdr>
      </w:pPr>
    </w:p>
    <w:p w14:paraId="2158EEFD" w14:textId="0CCDC063" w:rsidR="00E24AA1" w:rsidRPr="00E24AA1" w:rsidRDefault="006A0BD4" w:rsidP="00E24AA1">
      <w:pPr>
        <w:pStyle w:val="BillName"/>
      </w:pPr>
      <w:bookmarkStart w:id="6" w:name="BillName"/>
      <w:bookmarkEnd w:id="6"/>
      <w:r>
        <w:t>TBA</w:t>
      </w:r>
    </w:p>
    <w:p w14:paraId="6BD519E7" w14:textId="77777777" w:rsidR="00E24AA1" w:rsidRDefault="00E24AA1" w:rsidP="00E24AA1">
      <w:pPr>
        <w:pStyle w:val="Baseparagraphcentred"/>
        <w:pBdr>
          <w:top w:val="single" w:sz="4" w:space="1" w:color="auto"/>
        </w:pBdr>
      </w:pPr>
    </w:p>
    <w:p w14:paraId="694FA362" w14:textId="77777777" w:rsidR="00E24AA1" w:rsidRDefault="00E24AA1" w:rsidP="00E24AA1">
      <w:pPr>
        <w:pStyle w:val="Baseparagraphcentred"/>
      </w:pPr>
    </w:p>
    <w:p w14:paraId="2F3BD92B" w14:textId="77777777" w:rsidR="00E24AA1" w:rsidRDefault="00E24AA1" w:rsidP="00E24AA1">
      <w:pPr>
        <w:pStyle w:val="Baseparagraphcentred"/>
      </w:pPr>
    </w:p>
    <w:p w14:paraId="2607160C" w14:textId="77777777" w:rsidR="00E24AA1" w:rsidRDefault="00E24AA1" w:rsidP="00E24AA1">
      <w:pPr>
        <w:pStyle w:val="Baseparagraphcentred"/>
      </w:pPr>
    </w:p>
    <w:p w14:paraId="78E59283" w14:textId="7DE65925" w:rsidR="00E24AA1" w:rsidRDefault="00AB504D" w:rsidP="00E24AA1">
      <w:pPr>
        <w:pStyle w:val="Baseparagraphcentred"/>
      </w:pPr>
      <w:r>
        <w:t>E</w:t>
      </w:r>
      <w:r w:rsidR="00C42B7C">
        <w:t xml:space="preserve">XPOSURE </w:t>
      </w:r>
      <w:r w:rsidR="00E24AA1">
        <w:t>EXPLANATORY M</w:t>
      </w:r>
      <w:r w:rsidR="00C42B7C">
        <w:t>ATERIALS</w:t>
      </w:r>
    </w:p>
    <w:p w14:paraId="1A32A8B9" w14:textId="77777777" w:rsidR="00E24AA1" w:rsidRDefault="00E24AA1" w:rsidP="00E24AA1">
      <w:pPr>
        <w:pStyle w:val="Baseparagraphcentred"/>
      </w:pPr>
    </w:p>
    <w:p w14:paraId="02DA8015" w14:textId="4FCCC118" w:rsidR="003B31B2" w:rsidRDefault="00950614" w:rsidP="00950614">
      <w:pPr>
        <w:pStyle w:val="Baseparagraphcentred"/>
        <w:tabs>
          <w:tab w:val="left" w:pos="6975"/>
        </w:tabs>
        <w:jc w:val="left"/>
      </w:pPr>
      <w:r>
        <w:tab/>
      </w:r>
    </w:p>
    <w:p w14:paraId="74207E07" w14:textId="77777777" w:rsidR="003B31B2" w:rsidRDefault="003B31B2" w:rsidP="00E24AA1">
      <w:pPr>
        <w:pStyle w:val="Baseparagraphcentred"/>
      </w:pPr>
    </w:p>
    <w:p w14:paraId="3D1877EB" w14:textId="77777777" w:rsidR="003B31B2" w:rsidRDefault="003B31B2" w:rsidP="00E24AA1">
      <w:pPr>
        <w:pStyle w:val="Baseparagraphcentred"/>
      </w:pPr>
    </w:p>
    <w:p w14:paraId="18490B84" w14:textId="77777777" w:rsidR="008A3B5F" w:rsidRPr="00020288" w:rsidRDefault="008A3B5F" w:rsidP="008A3B5F">
      <w:pPr>
        <w:pStyle w:val="Normalparatextnonumbers"/>
      </w:pPr>
    </w:p>
    <w:p w14:paraId="085D6A1C" w14:textId="77777777" w:rsidR="004B121A" w:rsidRPr="0090171F" w:rsidRDefault="004B121A" w:rsidP="0090171F">
      <w:pPr>
        <w:pStyle w:val="Normalparatextnonumbers"/>
      </w:pPr>
      <w:bookmarkStart w:id="7" w:name="ConsultPreamble"/>
      <w:bookmarkEnd w:id="7"/>
      <w:r w:rsidRPr="0090171F">
        <w:br w:type="page"/>
      </w:r>
    </w:p>
    <w:p w14:paraId="02BC5E96" w14:textId="77777777" w:rsidR="004B121A" w:rsidRPr="0090171F" w:rsidRDefault="004B121A" w:rsidP="004B121A">
      <w:pPr>
        <w:pStyle w:val="Normalparatextnonumbers"/>
        <w:numPr>
          <w:ilvl w:val="4"/>
          <w:numId w:val="2"/>
        </w:numPr>
        <w:rPr>
          <w:b/>
        </w:rPr>
      </w:pPr>
      <w:r w:rsidRPr="0090171F">
        <w:rPr>
          <w:b/>
        </w:rPr>
        <w:lastRenderedPageBreak/>
        <w:t>Consultation preamble</w:t>
      </w:r>
    </w:p>
    <w:p w14:paraId="0F854CA1" w14:textId="77777777" w:rsidR="004B121A" w:rsidRPr="0090171F" w:rsidRDefault="004B121A" w:rsidP="0090171F">
      <w:pPr>
        <w:pStyle w:val="Normalparatextnonumbers"/>
      </w:pPr>
      <w:r w:rsidRPr="0090171F">
        <w:t>Treasury seeks feedback on the effectiveness of this exposure draft explanatory material in explaining the policy context and operation of the proposed new law, including, but not limited to:</w:t>
      </w:r>
    </w:p>
    <w:p w14:paraId="07D96F72" w14:textId="77777777" w:rsidR="004B121A" w:rsidRPr="0090171F" w:rsidRDefault="004B121A" w:rsidP="0090171F">
      <w:pPr>
        <w:pStyle w:val="Normalparatextnonumbers"/>
      </w:pPr>
      <w:r w:rsidRPr="0090171F">
        <w:t>•</w:t>
      </w:r>
      <w:r w:rsidRPr="0090171F">
        <w:tab/>
        <w:t xml:space="preserve">how the new law is intended to </w:t>
      </w:r>
      <w:proofErr w:type="gramStart"/>
      <w:r w:rsidRPr="0090171F">
        <w:t>operate;</w:t>
      </w:r>
      <w:proofErr w:type="gramEnd"/>
    </w:p>
    <w:p w14:paraId="3B952050" w14:textId="77777777" w:rsidR="004B121A" w:rsidRPr="0090171F" w:rsidRDefault="004B121A" w:rsidP="00924E28">
      <w:pPr>
        <w:pStyle w:val="Normalparatextnonumbers"/>
        <w:tabs>
          <w:tab w:val="left" w:pos="709"/>
        </w:tabs>
        <w:ind w:left="709" w:hanging="709"/>
      </w:pPr>
      <w:r w:rsidRPr="0090171F">
        <w:t>•</w:t>
      </w:r>
      <w:r w:rsidRPr="0090171F">
        <w:tab/>
        <w:t xml:space="preserve">whether the background and policy context </w:t>
      </w:r>
      <w:proofErr w:type="gramStart"/>
      <w:r w:rsidRPr="0090171F">
        <w:t>is</w:t>
      </w:r>
      <w:proofErr w:type="gramEnd"/>
      <w:r w:rsidRPr="0090171F">
        <w:t xml:space="preserve"> sufficiently comprehensive to support understanding of the policy intent and outcomes of the new law;</w:t>
      </w:r>
    </w:p>
    <w:p w14:paraId="630563DE" w14:textId="77777777" w:rsidR="004B121A" w:rsidRPr="0090171F" w:rsidRDefault="004B121A" w:rsidP="0090171F">
      <w:pPr>
        <w:pStyle w:val="Normalparatextnonumbers"/>
        <w:ind w:left="709" w:hanging="709"/>
      </w:pPr>
      <w:r w:rsidRPr="0090171F">
        <w:t>•</w:t>
      </w:r>
      <w:r w:rsidRPr="0090171F">
        <w:tab/>
        <w:t>the use of relevant examples, illustrations or diagrams as explanatory aids;</w:t>
      </w:r>
      <w:r w:rsidRPr="0090171F">
        <w:br/>
        <w:t>and</w:t>
      </w:r>
    </w:p>
    <w:p w14:paraId="60D52E70" w14:textId="77777777" w:rsidR="004B121A" w:rsidRPr="0090171F" w:rsidRDefault="004B121A" w:rsidP="0090171F">
      <w:pPr>
        <w:pStyle w:val="Normalparatextnonumbers"/>
        <w:ind w:left="709" w:hanging="709"/>
      </w:pPr>
      <w:r w:rsidRPr="0090171F">
        <w:t>•</w:t>
      </w:r>
      <w:r w:rsidRPr="0090171F">
        <w:tab/>
        <w:t>any other matters affecting the readability or presentation of the explanatory material.</w:t>
      </w:r>
    </w:p>
    <w:p w14:paraId="6D636304" w14:textId="77777777" w:rsidR="004B121A" w:rsidRPr="0090171F" w:rsidRDefault="004B121A" w:rsidP="0090171F">
      <w:pPr>
        <w:pStyle w:val="Normalparatextnonumbers"/>
      </w:pPr>
      <w:r w:rsidRPr="0090171F">
        <w:t xml:space="preserve">Feedback on these matters will assist to ensure the Explanatory Memoranda for the Bill aids the Parliament’s consideration of the proposed new law and the needs of other users. </w:t>
      </w:r>
    </w:p>
    <w:p w14:paraId="18DA729D" w14:textId="28E0AF63" w:rsidR="004B121A" w:rsidRPr="0090171F" w:rsidRDefault="004B121A" w:rsidP="0090171F">
      <w:pPr>
        <w:pStyle w:val="Normalparatextnonumbers"/>
      </w:pPr>
      <w:r w:rsidRPr="003923E9">
        <w:t>Treasury and the ATO work closely to identify aspects of new tax laws which may benefit from ATO public advice and guidance (PAG). Feedback is also sought on any aspects of the new law where ATO PAG should be considered, to support stakeholders’ understanding and application of the new law. Stakeholder feedback on this question will be shared with the ATO.</w:t>
      </w:r>
    </w:p>
    <w:p w14:paraId="31E61CCE" w14:textId="77777777" w:rsidR="00EF1C29" w:rsidRPr="00EF1C29" w:rsidRDefault="00EF1C29" w:rsidP="00EF1C29">
      <w:pPr>
        <w:spacing w:before="0" w:after="160" w:line="259" w:lineRule="auto"/>
        <w:rPr>
          <w:bCs/>
        </w:rPr>
      </w:pPr>
    </w:p>
    <w:p w14:paraId="0AD7DF26" w14:textId="5B3C8D30" w:rsidR="00873094" w:rsidRPr="00EF1C29" w:rsidRDefault="00873094" w:rsidP="00EF1C29">
      <w:pPr>
        <w:spacing w:before="0" w:after="160" w:line="259" w:lineRule="auto"/>
        <w:rPr>
          <w:rFonts w:ascii="Helvitica" w:hAnsi="Helvitica" w:cstheme="minorHAnsi"/>
          <w:bCs/>
          <w:sz w:val="24"/>
          <w:szCs w:val="20"/>
        </w:rPr>
        <w:sectPr w:rsidR="00873094" w:rsidRPr="00EF1C29" w:rsidSect="00000BFC">
          <w:footerReference w:type="even" r:id="rId12"/>
          <w:footerReference w:type="default" r:id="rId13"/>
          <w:headerReference w:type="first" r:id="rId14"/>
          <w:footerReference w:type="first" r:id="rId15"/>
          <w:type w:val="oddPage"/>
          <w:pgSz w:w="9979" w:h="14175" w:code="138"/>
          <w:pgMar w:top="567" w:right="1134" w:bottom="567" w:left="1134" w:header="709" w:footer="709" w:gutter="0"/>
          <w:cols w:space="708"/>
          <w:titlePg/>
          <w:docGrid w:linePitch="360"/>
        </w:sectPr>
      </w:pPr>
    </w:p>
    <w:p w14:paraId="6E5BCAE6" w14:textId="77777777" w:rsidR="00873094" w:rsidRPr="00020288" w:rsidRDefault="00873094" w:rsidP="00873094">
      <w:pPr>
        <w:pStyle w:val="TOCHeading"/>
      </w:pPr>
      <w:bookmarkStart w:id="8" w:name="_Toc80172450"/>
      <w:bookmarkStart w:id="9" w:name="_Toc80197114"/>
      <w:bookmarkStart w:id="10" w:name="_Toc81852681"/>
      <w:bookmarkEnd w:id="0"/>
      <w:bookmarkEnd w:id="1"/>
      <w:bookmarkEnd w:id="2"/>
      <w:bookmarkEnd w:id="3"/>
      <w:bookmarkEnd w:id="4"/>
      <w:r w:rsidRPr="00020288">
        <w:lastRenderedPageBreak/>
        <w:t>Table of Contents</w:t>
      </w:r>
      <w:bookmarkStart w:id="11" w:name="_Toc78549733"/>
      <w:bookmarkStart w:id="12" w:name="_Toc78549778"/>
      <w:bookmarkStart w:id="13" w:name="_Toc80097483"/>
      <w:bookmarkStart w:id="14" w:name="_Toc80097777"/>
      <w:bookmarkStart w:id="15" w:name="_Toc80115276"/>
      <w:bookmarkStart w:id="16" w:name="_Toc80172451"/>
      <w:bookmarkStart w:id="17" w:name="_Toc80197115"/>
      <w:bookmarkStart w:id="18" w:name="_Toc81852682"/>
      <w:bookmarkStart w:id="19" w:name="_Toc81852727"/>
      <w:bookmarkEnd w:id="8"/>
      <w:bookmarkEnd w:id="9"/>
      <w:bookmarkEnd w:id="10"/>
    </w:p>
    <w:p w14:paraId="088E540D" w14:textId="2B927E45" w:rsidR="00E1092D" w:rsidRDefault="00873094">
      <w:pPr>
        <w:pStyle w:val="TOC1"/>
        <w:rPr>
          <w:rFonts w:asciiTheme="minorHAnsi" w:eastAsiaTheme="minorEastAsia" w:hAnsiTheme="minorHAnsi" w:cstheme="minorBidi"/>
          <w:bCs w:val="0"/>
          <w:noProof/>
          <w:kern w:val="2"/>
          <w:sz w:val="22"/>
          <w:szCs w:val="22"/>
          <w:lang w:eastAsia="en-AU"/>
          <w14:ligatures w14:val="standardContextual"/>
        </w:rPr>
      </w:pPr>
      <w:r>
        <w:fldChar w:fldCharType="begin"/>
      </w:r>
      <w:r w:rsidRPr="00BC2E4A">
        <w:instrText xml:space="preserve"> TOC \o "1-1" \u </w:instrText>
      </w:r>
      <w:r>
        <w:fldChar w:fldCharType="separate"/>
      </w:r>
      <w:r w:rsidR="00E1092D">
        <w:rPr>
          <w:noProof/>
        </w:rPr>
        <w:t>Glossary</w:t>
      </w:r>
      <w:r w:rsidR="00E1092D">
        <w:rPr>
          <w:noProof/>
        </w:rPr>
        <w:tab/>
      </w:r>
      <w:r w:rsidR="00E1092D">
        <w:rPr>
          <w:noProof/>
        </w:rPr>
        <w:fldChar w:fldCharType="begin"/>
      </w:r>
      <w:r w:rsidR="00E1092D">
        <w:rPr>
          <w:noProof/>
        </w:rPr>
        <w:instrText xml:space="preserve"> PAGEREF _Toc157756076 \h </w:instrText>
      </w:r>
      <w:r w:rsidR="00E1092D">
        <w:rPr>
          <w:noProof/>
        </w:rPr>
      </w:r>
      <w:r w:rsidR="00E1092D">
        <w:rPr>
          <w:noProof/>
        </w:rPr>
        <w:fldChar w:fldCharType="separate"/>
      </w:r>
      <w:r w:rsidR="00E1092D">
        <w:rPr>
          <w:noProof/>
        </w:rPr>
        <w:t>3</w:t>
      </w:r>
      <w:r w:rsidR="00E1092D">
        <w:rPr>
          <w:noProof/>
        </w:rPr>
        <w:fldChar w:fldCharType="end"/>
      </w:r>
    </w:p>
    <w:p w14:paraId="573B3882" w14:textId="50408D02" w:rsidR="00E1092D" w:rsidRDefault="00E1092D">
      <w:pPr>
        <w:pStyle w:val="TOC1"/>
        <w:rPr>
          <w:rFonts w:asciiTheme="minorHAnsi" w:eastAsiaTheme="minorEastAsia" w:hAnsiTheme="minorHAnsi" w:cstheme="minorBidi"/>
          <w:bCs w:val="0"/>
          <w:noProof/>
          <w:kern w:val="2"/>
          <w:sz w:val="22"/>
          <w:szCs w:val="22"/>
          <w:lang w:eastAsia="en-AU"/>
          <w14:ligatures w14:val="standardContextual"/>
        </w:rPr>
      </w:pPr>
      <w:r w:rsidRPr="001A53EE">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kern w:val="2"/>
          <w:sz w:val="22"/>
          <w:szCs w:val="22"/>
          <w:lang w:eastAsia="en-AU"/>
          <w14:ligatures w14:val="standardContextual"/>
        </w:rPr>
        <w:tab/>
      </w:r>
      <w:r>
        <w:rPr>
          <w:noProof/>
        </w:rPr>
        <w:t>Producer tax offset</w:t>
      </w:r>
      <w:r>
        <w:rPr>
          <w:noProof/>
        </w:rPr>
        <w:tab/>
      </w:r>
      <w:r>
        <w:rPr>
          <w:noProof/>
        </w:rPr>
        <w:fldChar w:fldCharType="begin"/>
      </w:r>
      <w:r>
        <w:rPr>
          <w:noProof/>
        </w:rPr>
        <w:instrText xml:space="preserve"> PAGEREF _Toc157756077 \h </w:instrText>
      </w:r>
      <w:r>
        <w:rPr>
          <w:noProof/>
        </w:rPr>
      </w:r>
      <w:r>
        <w:rPr>
          <w:noProof/>
        </w:rPr>
        <w:fldChar w:fldCharType="separate"/>
      </w:r>
      <w:r>
        <w:rPr>
          <w:noProof/>
        </w:rPr>
        <w:t>4</w:t>
      </w:r>
      <w:r>
        <w:rPr>
          <w:noProof/>
        </w:rPr>
        <w:fldChar w:fldCharType="end"/>
      </w:r>
    </w:p>
    <w:p w14:paraId="2961E925" w14:textId="28DEAFF4" w:rsidR="00873094" w:rsidRPr="00020288" w:rsidRDefault="00873094" w:rsidP="00BC2E4A">
      <w:pPr>
        <w:pStyle w:val="TOC1"/>
      </w:pPr>
      <w:r>
        <w:fldChar w:fldCharType="end"/>
      </w:r>
    </w:p>
    <w:p w14:paraId="021708C0" w14:textId="77777777" w:rsidR="00873094" w:rsidRPr="00020288" w:rsidRDefault="00873094" w:rsidP="00873094"/>
    <w:p w14:paraId="48B769EB" w14:textId="682BDF6A" w:rsidR="00B3345D" w:rsidRDefault="00B3345D">
      <w:pPr>
        <w:spacing w:before="0" w:after="160" w:line="259" w:lineRule="auto"/>
      </w:pPr>
      <w:r>
        <w:br w:type="page"/>
      </w:r>
    </w:p>
    <w:p w14:paraId="7626DB24" w14:textId="6C04589B" w:rsidR="00B3345D" w:rsidRDefault="00B3345D">
      <w:pPr>
        <w:spacing w:before="0" w:after="160" w:line="259" w:lineRule="auto"/>
      </w:pPr>
      <w:r>
        <w:lastRenderedPageBreak/>
        <w:br w:type="page"/>
      </w:r>
    </w:p>
    <w:p w14:paraId="7DC83415" w14:textId="77777777" w:rsidR="00873094" w:rsidRPr="00020288" w:rsidRDefault="00873094" w:rsidP="00873094">
      <w:pPr>
        <w:sectPr w:rsidR="00873094" w:rsidRPr="00020288" w:rsidSect="00000BFC">
          <w:headerReference w:type="even" r:id="rId16"/>
          <w:headerReference w:type="default" r:id="rId17"/>
          <w:headerReference w:type="first" r:id="rId18"/>
          <w:footerReference w:type="first" r:id="rId19"/>
          <w:type w:val="oddPage"/>
          <w:pgSz w:w="9979" w:h="14175" w:code="9"/>
          <w:pgMar w:top="567" w:right="1134" w:bottom="567" w:left="1134" w:header="709" w:footer="709" w:gutter="0"/>
          <w:pgNumType w:start="1"/>
          <w:cols w:space="708"/>
          <w:titlePg/>
          <w:docGrid w:linePitch="360"/>
        </w:sectPr>
      </w:pPr>
    </w:p>
    <w:p w14:paraId="3F6730BE" w14:textId="77777777" w:rsidR="00873094" w:rsidRPr="00020288" w:rsidRDefault="00873094" w:rsidP="00873094">
      <w:pPr>
        <w:pStyle w:val="Heading1"/>
        <w:rPr>
          <w:rFonts w:hint="eastAsia"/>
        </w:rPr>
      </w:pPr>
      <w:bookmarkStart w:id="20" w:name="_Toc82021619"/>
      <w:bookmarkStart w:id="21" w:name="_Toc82067318"/>
      <w:bookmarkStart w:id="22" w:name="_Toc82072959"/>
      <w:bookmarkStart w:id="23" w:name="_Toc82073275"/>
      <w:bookmarkStart w:id="24" w:name="_Toc82073912"/>
      <w:bookmarkStart w:id="25" w:name="_Toc82074016"/>
      <w:bookmarkStart w:id="26" w:name="_Toc157689337"/>
      <w:bookmarkStart w:id="27" w:name="_Toc157756076"/>
      <w:r w:rsidRPr="00020288">
        <w:lastRenderedPageBreak/>
        <w:t>Glossary</w:t>
      </w:r>
      <w:bookmarkStart w:id="28" w:name="_Toc485286223"/>
      <w:bookmarkStart w:id="29" w:name="_Toc78193244"/>
      <w:bookmarkStart w:id="30" w:name="_Toc7819340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00A12BAA">
        <w:tab/>
      </w:r>
      <w:r w:rsidR="001F670B">
        <w:t xml:space="preserve"> </w:t>
      </w:r>
    </w:p>
    <w:p w14:paraId="74C5C7BB"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6CD0EEF7" w14:textId="77777777" w:rsidTr="002425D9">
        <w:tc>
          <w:tcPr>
            <w:tcW w:w="3776" w:type="dxa"/>
            <w:shd w:val="clear" w:color="auto" w:fill="auto"/>
          </w:tcPr>
          <w:p w14:paraId="628C418D" w14:textId="77777777" w:rsidR="00873094" w:rsidRPr="002E7A73" w:rsidRDefault="00873094" w:rsidP="00B7393A">
            <w:pPr>
              <w:pStyle w:val="Tableheaderrowtext"/>
            </w:pPr>
            <w:bookmarkStart w:id="31" w:name="GlossaryTableStart"/>
            <w:bookmarkEnd w:id="31"/>
            <w:r w:rsidRPr="002E7A73">
              <w:t>Abbreviation</w:t>
            </w:r>
          </w:p>
        </w:tc>
        <w:tc>
          <w:tcPr>
            <w:tcW w:w="3874" w:type="dxa"/>
            <w:shd w:val="clear" w:color="auto" w:fill="auto"/>
          </w:tcPr>
          <w:p w14:paraId="39BB985D" w14:textId="77777777" w:rsidR="00873094" w:rsidRPr="002E7A73" w:rsidRDefault="00873094" w:rsidP="00B7393A">
            <w:pPr>
              <w:pStyle w:val="Tableheaderrowtext"/>
            </w:pPr>
            <w:r w:rsidRPr="002E7A73">
              <w:t>Definition</w:t>
            </w:r>
          </w:p>
        </w:tc>
      </w:tr>
      <w:tr w:rsidR="00873094" w:rsidRPr="00020288" w14:paraId="71F0094A" w14:textId="77777777" w:rsidTr="002425D9">
        <w:tc>
          <w:tcPr>
            <w:tcW w:w="3776" w:type="dxa"/>
          </w:tcPr>
          <w:p w14:paraId="315608AD" w14:textId="6DA633FE" w:rsidR="00873094" w:rsidRPr="00020288" w:rsidRDefault="00A519D0" w:rsidP="002425D9">
            <w:pPr>
              <w:pStyle w:val="Normalparatextnonumbers"/>
            </w:pPr>
            <w:r>
              <w:t>ITAA 1997</w:t>
            </w:r>
          </w:p>
        </w:tc>
        <w:tc>
          <w:tcPr>
            <w:tcW w:w="3874" w:type="dxa"/>
          </w:tcPr>
          <w:p w14:paraId="4C97ADB6" w14:textId="4DE34317" w:rsidR="00873094" w:rsidRPr="00020288" w:rsidRDefault="001031E4" w:rsidP="002425D9">
            <w:pPr>
              <w:pStyle w:val="Normalparatextnonumbers"/>
            </w:pPr>
            <w:r w:rsidRPr="672778F5">
              <w:rPr>
                <w:i/>
                <w:iCs/>
              </w:rPr>
              <w:t>Income Tax Assessment Act 1997</w:t>
            </w:r>
          </w:p>
        </w:tc>
      </w:tr>
    </w:tbl>
    <w:p w14:paraId="634C75BD" w14:textId="77777777" w:rsidR="00873094" w:rsidRPr="00020288" w:rsidRDefault="00873094" w:rsidP="00873094"/>
    <w:p w14:paraId="63CBD73C" w14:textId="77777777" w:rsidR="00873094" w:rsidRPr="00020288" w:rsidRDefault="00873094" w:rsidP="00873094"/>
    <w:bookmarkEnd w:id="5"/>
    <w:bookmarkEnd w:id="28"/>
    <w:bookmarkEnd w:id="29"/>
    <w:bookmarkEnd w:id="30"/>
    <w:p w14:paraId="412BFB9F" w14:textId="19206180" w:rsidR="002710D5" w:rsidRDefault="004773D2">
      <w:pPr>
        <w:spacing w:before="0" w:after="160" w:line="259" w:lineRule="auto"/>
      </w:pPr>
      <w:r>
        <w:br w:type="page"/>
      </w:r>
    </w:p>
    <w:p w14:paraId="526551F6" w14:textId="77777777" w:rsidR="002710D5" w:rsidRPr="0073326A" w:rsidRDefault="002710D5" w:rsidP="002710D5">
      <w:pPr>
        <w:pStyle w:val="Chapterheading"/>
        <w:rPr>
          <w:rFonts w:hint="eastAsia"/>
        </w:rPr>
      </w:pPr>
      <w:bookmarkStart w:id="32" w:name="_Toc157001784"/>
      <w:bookmarkStart w:id="33" w:name="_Toc157756077"/>
      <w:r>
        <w:lastRenderedPageBreak/>
        <w:t>Producer tax offset</w:t>
      </w:r>
      <w:bookmarkEnd w:id="32"/>
      <w:bookmarkEnd w:id="33"/>
    </w:p>
    <w:p w14:paraId="14062974" w14:textId="77777777" w:rsidR="002710D5" w:rsidRPr="000C1570" w:rsidRDefault="002710D5" w:rsidP="002710D5">
      <w:pPr>
        <w:pStyle w:val="Heading2"/>
        <w:rPr>
          <w:rFonts w:hint="eastAsia"/>
        </w:rPr>
      </w:pPr>
      <w:r w:rsidRPr="00433EEF">
        <w:t>Outline of chapter</w:t>
      </w:r>
    </w:p>
    <w:p w14:paraId="4B710DDF" w14:textId="77777777" w:rsidR="002710D5" w:rsidRPr="007B7980" w:rsidRDefault="002710D5" w:rsidP="002710D5">
      <w:pPr>
        <w:pStyle w:val="Normalparatextwithnumbers"/>
      </w:pPr>
      <w:bookmarkStart w:id="34" w:name="_Hlk156553293"/>
      <w:r w:rsidRPr="002A0E9C">
        <w:t>Schedule # to the Bill amends the ITAA 1997 to make changes to the producer tax offset to</w:t>
      </w:r>
      <w:r>
        <w:t xml:space="preserve"> </w:t>
      </w:r>
      <w:r w:rsidRPr="007B7980">
        <w:t xml:space="preserve">allow a film production company to qualify for the producer tax offset by spending a minimum of $35 million </w:t>
      </w:r>
      <w:r w:rsidRPr="008F265F">
        <w:t xml:space="preserve">of qualifying Australian production expenditure </w:t>
      </w:r>
      <w:r w:rsidRPr="007B7980">
        <w:t>for a season of a drama series</w:t>
      </w:r>
      <w:r>
        <w:t>,</w:t>
      </w:r>
      <w:r w:rsidRPr="007B7980">
        <w:t xml:space="preserve"> over a maximum period of 12 months of production or 36 months for an animated image film series.</w:t>
      </w:r>
      <w:bookmarkEnd w:id="34"/>
    </w:p>
    <w:p w14:paraId="4B2E0FD5" w14:textId="77777777" w:rsidR="002710D5" w:rsidRPr="00020288" w:rsidRDefault="002710D5" w:rsidP="002710D5">
      <w:pPr>
        <w:pStyle w:val="Heading2"/>
        <w:rPr>
          <w:rFonts w:hint="eastAsia"/>
        </w:rPr>
      </w:pPr>
      <w:r w:rsidRPr="00020288">
        <w:t xml:space="preserve">Context of </w:t>
      </w:r>
      <w:r w:rsidRPr="005D0844">
        <w:t>amendments</w:t>
      </w:r>
    </w:p>
    <w:p w14:paraId="412246D4" w14:textId="77777777" w:rsidR="002710D5" w:rsidRDefault="002710D5" w:rsidP="002710D5">
      <w:pPr>
        <w:pStyle w:val="Normalparatextwithnumbers"/>
        <w:numPr>
          <w:ilvl w:val="1"/>
          <w:numId w:val="3"/>
        </w:numPr>
      </w:pPr>
      <w:r>
        <w:t xml:space="preserve">The producer tax offset is a refundable tax offset calculated by reference to the Australian expenditure incurred in making the film. </w:t>
      </w:r>
      <w:r w:rsidRPr="00DC0380">
        <w:t>A film production company may be entitled to this offset for their film production. The tax offset is intended to support and develop the Australian screen industry by providing concessional tax treatment for Australian film expenditure.</w:t>
      </w:r>
    </w:p>
    <w:p w14:paraId="5B0414CC" w14:textId="77777777" w:rsidR="002710D5" w:rsidRPr="00D7561A" w:rsidRDefault="002710D5" w:rsidP="002710D5">
      <w:pPr>
        <w:pStyle w:val="Normalparatextwithnumbers"/>
        <w:numPr>
          <w:ilvl w:val="1"/>
          <w:numId w:val="3"/>
        </w:numPr>
      </w:pPr>
      <w:r w:rsidRPr="00D7561A">
        <w:t xml:space="preserve">The amendments introduce an alternative means by which a film production company can access the </w:t>
      </w:r>
      <w:r>
        <w:t>producer</w:t>
      </w:r>
      <w:r w:rsidRPr="00D7561A">
        <w:t xml:space="preserve"> tax offset if it produces drama series. </w:t>
      </w:r>
    </w:p>
    <w:p w14:paraId="469EB186" w14:textId="77777777" w:rsidR="002710D5" w:rsidRPr="00D7561A" w:rsidRDefault="002710D5" w:rsidP="002710D5">
      <w:pPr>
        <w:pStyle w:val="Normalparatextwithnumbers"/>
        <w:numPr>
          <w:ilvl w:val="1"/>
          <w:numId w:val="3"/>
        </w:numPr>
      </w:pPr>
      <w:r w:rsidRPr="00D7561A">
        <w:t xml:space="preserve">The Government recognised the need to add a new category for eligibility for the producer offset to support </w:t>
      </w:r>
      <w:r>
        <w:t>the production of</w:t>
      </w:r>
      <w:r w:rsidRPr="00D7561A">
        <w:t xml:space="preserve"> long</w:t>
      </w:r>
      <w:r>
        <w:t>-</w:t>
      </w:r>
      <w:r w:rsidRPr="00D7561A">
        <w:t>term Australian drama series.</w:t>
      </w:r>
    </w:p>
    <w:p w14:paraId="510D2C3C" w14:textId="77777777" w:rsidR="002710D5" w:rsidRPr="00C25F10" w:rsidRDefault="002710D5" w:rsidP="002710D5">
      <w:pPr>
        <w:keepNext/>
        <w:keepLines/>
        <w:spacing w:before="360" w:after="360"/>
        <w:outlineLvl w:val="1"/>
        <w:rPr>
          <w:rFonts w:ascii="Helvitica" w:eastAsia="Times New Roman" w:hAnsi="Helvitica" w:cs="Times New Roman"/>
          <w:sz w:val="36"/>
          <w:szCs w:val="26"/>
        </w:rPr>
      </w:pPr>
      <w:r w:rsidRPr="00C25F10">
        <w:rPr>
          <w:rFonts w:ascii="Helvitica" w:eastAsia="Times New Roman" w:hAnsi="Helvitica" w:cs="Times New Roman"/>
          <w:sz w:val="36"/>
          <w:szCs w:val="26"/>
        </w:rPr>
        <w:t>Comparison of key features of new law and current law</w:t>
      </w:r>
    </w:p>
    <w:p w14:paraId="0166C960" w14:textId="77777777" w:rsidR="002710D5" w:rsidRPr="00C25F10" w:rsidRDefault="002710D5" w:rsidP="002710D5">
      <w:pPr>
        <w:keepNext/>
        <w:numPr>
          <w:ilvl w:val="4"/>
          <w:numId w:val="0"/>
        </w:numPr>
        <w:spacing w:before="240" w:after="200"/>
        <w:ind w:left="1701" w:hanging="1701"/>
        <w:outlineLvl w:val="3"/>
        <w:rPr>
          <w:rFonts w:ascii="Helvetica" w:eastAsia="Times New Roman" w:hAnsi="Helvetica" w:cs="Helvetica"/>
          <w:b/>
          <w:i/>
          <w:iCs/>
        </w:rPr>
      </w:pPr>
      <w:r w:rsidRPr="00C25F10">
        <w:rPr>
          <w:rFonts w:ascii="Helvetica" w:eastAsia="Times New Roman" w:hAnsi="Helvetica" w:cs="Helvetica"/>
          <w:b/>
          <w:i/>
          <w:iCs/>
        </w:rPr>
        <w:t>Comparison of new law and current law</w:t>
      </w:r>
    </w:p>
    <w:tbl>
      <w:tblPr>
        <w:tblStyle w:val="Treasurytable"/>
        <w:tblW w:w="0" w:type="auto"/>
        <w:tblLook w:val="01E0" w:firstRow="1" w:lastRow="1" w:firstColumn="1" w:lastColumn="1" w:noHBand="0" w:noVBand="0"/>
      </w:tblPr>
      <w:tblGrid>
        <w:gridCol w:w="3776"/>
        <w:gridCol w:w="3874"/>
      </w:tblGrid>
      <w:tr w:rsidR="002710D5" w:rsidRPr="00C25F10" w14:paraId="0208D579" w14:textId="77777777" w:rsidTr="00F32D2E">
        <w:trPr>
          <w:cnfStyle w:val="100000000000" w:firstRow="1" w:lastRow="0" w:firstColumn="0" w:lastColumn="0" w:oddVBand="0" w:evenVBand="0" w:oddHBand="0" w:evenHBand="0" w:firstRowFirstColumn="0" w:firstRowLastColumn="0" w:lastRowFirstColumn="0" w:lastRowLastColumn="0"/>
        </w:trPr>
        <w:tc>
          <w:tcPr>
            <w:tcW w:w="3776" w:type="dxa"/>
          </w:tcPr>
          <w:p w14:paraId="5F48179A" w14:textId="77777777" w:rsidR="002710D5" w:rsidRPr="00C25F10" w:rsidRDefault="002710D5" w:rsidP="00F32D2E">
            <w:pPr>
              <w:keepNext/>
              <w:outlineLvl w:val="3"/>
              <w:rPr>
                <w:rFonts w:ascii="Helvetica" w:eastAsia="Times New Roman" w:hAnsi="Helvetica" w:cs="Helvetica"/>
                <w:b/>
                <w:i/>
                <w:iCs/>
              </w:rPr>
            </w:pPr>
            <w:r w:rsidRPr="00C25F10">
              <w:rPr>
                <w:rFonts w:ascii="Helvetica" w:eastAsia="Times New Roman" w:hAnsi="Helvetica" w:cs="Helvetica"/>
                <w:b/>
                <w:i/>
                <w:iCs/>
              </w:rPr>
              <w:t>New law</w:t>
            </w:r>
          </w:p>
        </w:tc>
        <w:tc>
          <w:tcPr>
            <w:tcW w:w="3874" w:type="dxa"/>
          </w:tcPr>
          <w:p w14:paraId="6BBE63D5" w14:textId="77777777" w:rsidR="002710D5" w:rsidRPr="00C25F10" w:rsidRDefault="002710D5" w:rsidP="00F32D2E">
            <w:pPr>
              <w:keepNext/>
              <w:outlineLvl w:val="3"/>
              <w:rPr>
                <w:rFonts w:ascii="Helvetica" w:eastAsia="Times New Roman" w:hAnsi="Helvetica" w:cs="Helvetica"/>
                <w:b/>
                <w:i/>
                <w:iCs/>
              </w:rPr>
            </w:pPr>
            <w:r w:rsidRPr="00C25F10">
              <w:rPr>
                <w:rFonts w:ascii="Helvetica" w:eastAsia="Times New Roman" w:hAnsi="Helvetica" w:cs="Helvetica"/>
                <w:b/>
                <w:i/>
                <w:iCs/>
              </w:rPr>
              <w:t>Current law</w:t>
            </w:r>
          </w:p>
        </w:tc>
      </w:tr>
      <w:tr w:rsidR="002710D5" w:rsidRPr="00C25F10" w14:paraId="5B880C2A" w14:textId="77777777" w:rsidTr="00F32D2E">
        <w:tc>
          <w:tcPr>
            <w:tcW w:w="3776" w:type="dxa"/>
          </w:tcPr>
          <w:p w14:paraId="27F2366F" w14:textId="77777777" w:rsidR="002710D5" w:rsidRPr="00C25F10" w:rsidRDefault="002710D5" w:rsidP="00F32D2E">
            <w:pPr>
              <w:pStyle w:val="Tabletext"/>
            </w:pPr>
            <w:r w:rsidRPr="00C25F10">
              <w:t>A season of a drama series also qualifies for the producer tax offset if:</w:t>
            </w:r>
          </w:p>
          <w:p w14:paraId="121F1200" w14:textId="77777777" w:rsidR="002710D5" w:rsidRPr="00C25F10" w:rsidRDefault="002710D5" w:rsidP="00F32D2E">
            <w:pPr>
              <w:pStyle w:val="Tabledotpoint1"/>
            </w:pPr>
            <w:r w:rsidRPr="00C25F10">
              <w:t>qualifying Australian production expenditure</w:t>
            </w:r>
            <w:r>
              <w:t xml:space="preserve"> for the season of the series</w:t>
            </w:r>
            <w:r w:rsidRPr="00C25F10">
              <w:t xml:space="preserve"> is $35</w:t>
            </w:r>
            <w:r>
              <w:t> </w:t>
            </w:r>
            <w:r w:rsidRPr="00C25F10">
              <w:t xml:space="preserve">million or </w:t>
            </w:r>
            <w:proofErr w:type="gramStart"/>
            <w:r w:rsidRPr="00C25F10">
              <w:t>more;</w:t>
            </w:r>
            <w:proofErr w:type="gramEnd"/>
          </w:p>
          <w:p w14:paraId="4D025407" w14:textId="77777777" w:rsidR="002710D5" w:rsidRPr="00C25F10" w:rsidRDefault="002710D5" w:rsidP="00F32D2E">
            <w:pPr>
              <w:pStyle w:val="Tabledotpoint1"/>
            </w:pPr>
            <w:r w:rsidRPr="00C25F10">
              <w:t xml:space="preserve">the </w:t>
            </w:r>
            <w:r>
              <w:t xml:space="preserve">season of the </w:t>
            </w:r>
            <w:r w:rsidRPr="00C25F10">
              <w:t>series contains two or more consecutive episodes; and</w:t>
            </w:r>
          </w:p>
          <w:p w14:paraId="6D5E7C10" w14:textId="77777777" w:rsidR="002710D5" w:rsidRPr="00C25F10" w:rsidRDefault="002710D5" w:rsidP="00F32D2E">
            <w:pPr>
              <w:pStyle w:val="Tabledotpoint1"/>
            </w:pPr>
            <w:r w:rsidRPr="00C25F10">
              <w:lastRenderedPageBreak/>
              <w:t xml:space="preserve">the </w:t>
            </w:r>
            <w:r>
              <w:t xml:space="preserve">season of the </w:t>
            </w:r>
            <w:r w:rsidRPr="00C25F10">
              <w:t>series is completed i</w:t>
            </w:r>
            <w:r>
              <w:t>n</w:t>
            </w:r>
            <w:r w:rsidRPr="00C25F10">
              <w:t xml:space="preserve"> no more than 12 months or 36 months for a</w:t>
            </w:r>
            <w:r>
              <w:t xml:space="preserve"> digital or other</w:t>
            </w:r>
            <w:r w:rsidRPr="00C25F10">
              <w:t xml:space="preserve"> animated image film series.</w:t>
            </w:r>
          </w:p>
        </w:tc>
        <w:tc>
          <w:tcPr>
            <w:tcW w:w="3874" w:type="dxa"/>
          </w:tcPr>
          <w:p w14:paraId="5CCA64C0" w14:textId="77777777" w:rsidR="002710D5" w:rsidRPr="00C25F10" w:rsidRDefault="002710D5" w:rsidP="00F32D2E">
            <w:pPr>
              <w:pStyle w:val="Tabletext"/>
            </w:pPr>
            <w:r w:rsidRPr="00C25F10">
              <w:lastRenderedPageBreak/>
              <w:t>Not applicable</w:t>
            </w:r>
          </w:p>
        </w:tc>
      </w:tr>
    </w:tbl>
    <w:p w14:paraId="0D478F1D" w14:textId="77777777" w:rsidR="002710D5" w:rsidRPr="00020288" w:rsidRDefault="002710D5" w:rsidP="002710D5">
      <w:pPr>
        <w:pStyle w:val="Normalparatextwithnumbers"/>
        <w:numPr>
          <w:ilvl w:val="0"/>
          <w:numId w:val="0"/>
        </w:numPr>
        <w:ind w:left="709"/>
      </w:pPr>
    </w:p>
    <w:p w14:paraId="0D49F593" w14:textId="77777777" w:rsidR="002710D5" w:rsidRDefault="002710D5" w:rsidP="002710D5">
      <w:pPr>
        <w:pStyle w:val="Heading2"/>
        <w:numPr>
          <w:ilvl w:val="1"/>
          <w:numId w:val="2"/>
        </w:numPr>
        <w:tabs>
          <w:tab w:val="num" w:pos="567"/>
        </w:tabs>
        <w:ind w:left="567" w:hanging="567"/>
        <w:rPr>
          <w:rFonts w:hint="eastAsia"/>
        </w:rPr>
      </w:pPr>
      <w:r w:rsidRPr="00020288">
        <w:t>Detailed explanation of new law</w:t>
      </w:r>
    </w:p>
    <w:p w14:paraId="695EB80E" w14:textId="77777777" w:rsidR="002710D5" w:rsidRPr="003A390E" w:rsidRDefault="002710D5" w:rsidP="002710D5">
      <w:pPr>
        <w:pStyle w:val="Heading4"/>
      </w:pPr>
      <w:r>
        <w:t>Season of a drama series</w:t>
      </w:r>
    </w:p>
    <w:p w14:paraId="71C7DF01" w14:textId="77777777" w:rsidR="002710D5" w:rsidRDefault="002710D5" w:rsidP="002710D5">
      <w:pPr>
        <w:pStyle w:val="Normalparatextwithnumbers"/>
        <w:numPr>
          <w:ilvl w:val="1"/>
          <w:numId w:val="3"/>
        </w:numPr>
      </w:pPr>
      <w:r>
        <w:t>Schedule # to the Bill introduces a new test for a film production to enable a film production company to qualify for the producer tax offset.</w:t>
      </w:r>
    </w:p>
    <w:p w14:paraId="1BC3151D" w14:textId="77777777" w:rsidR="002710D5" w:rsidRDefault="002710D5" w:rsidP="002710D5">
      <w:pPr>
        <w:pStyle w:val="Normalparatextwithnumbers"/>
        <w:numPr>
          <w:ilvl w:val="1"/>
          <w:numId w:val="3"/>
        </w:numPr>
      </w:pPr>
      <w:r>
        <w:t>The new category provides for film productions that are a season of a series, and the series is a drama series. A film production must have Australian production expenditure on the film of $</w:t>
      </w:r>
      <w:r w:rsidDel="00BE246B">
        <w:t>35</w:t>
      </w:r>
      <w:r>
        <w:t xml:space="preserve"> million or more. There is no per hour minimum spending threshold requirement that applies. This new category supports the production of longer drama series that have significant expenditure over their season of the </w:t>
      </w:r>
      <w:proofErr w:type="gramStart"/>
      <w:r>
        <w:t>series</w:t>
      </w:r>
      <w:proofErr w:type="gramEnd"/>
      <w:r>
        <w:t xml:space="preserve"> but they do not satisfy the per hour expenditure requirement due to their lower per hour production costs.</w:t>
      </w:r>
    </w:p>
    <w:p w14:paraId="260DB4CE" w14:textId="3DC27A16" w:rsidR="002710D5" w:rsidRPr="00B35272" w:rsidRDefault="002710D5" w:rsidP="002710D5">
      <w:pPr>
        <w:pStyle w:val="Normalparatextwithnumbers"/>
        <w:numPr>
          <w:ilvl w:val="0"/>
          <w:numId w:val="0"/>
        </w:numPr>
        <w:ind w:left="709"/>
        <w:rPr>
          <w:b/>
          <w:bCs/>
          <w:i/>
          <w:iCs/>
        </w:rPr>
      </w:pPr>
      <w:r>
        <w:rPr>
          <w:b/>
          <w:bCs/>
          <w:i/>
          <w:iCs/>
        </w:rPr>
        <w:t>[Schedule #, item 2</w:t>
      </w:r>
      <w:r w:rsidR="00A77674">
        <w:rPr>
          <w:b/>
          <w:bCs/>
          <w:i/>
          <w:iCs/>
        </w:rPr>
        <w:t>1</w:t>
      </w:r>
      <w:r>
        <w:rPr>
          <w:b/>
          <w:bCs/>
          <w:i/>
          <w:iCs/>
        </w:rPr>
        <w:t xml:space="preserve">, table item 7A of subsection 376-65(6) of the ITAA 1997] </w:t>
      </w:r>
    </w:p>
    <w:p w14:paraId="76DE104F" w14:textId="77777777" w:rsidR="002710D5" w:rsidRDefault="002710D5" w:rsidP="002710D5">
      <w:pPr>
        <w:pStyle w:val="Normalparatextwithnumbers"/>
        <w:numPr>
          <w:ilvl w:val="1"/>
          <w:numId w:val="3"/>
        </w:numPr>
      </w:pPr>
      <w:r>
        <w:t xml:space="preserve">The season of a drama series must satisfy certain conditions to establish eligibility including that it: </w:t>
      </w:r>
    </w:p>
    <w:p w14:paraId="40249FDC" w14:textId="4DF2B6E4" w:rsidR="002710D5" w:rsidRDefault="002710D5" w:rsidP="002710D5">
      <w:pPr>
        <w:pStyle w:val="Dotpoint1"/>
        <w:numPr>
          <w:ilvl w:val="0"/>
          <w:numId w:val="8"/>
        </w:numPr>
        <w:ind w:left="1418" w:hanging="709"/>
      </w:pPr>
      <w:r>
        <w:t>is produced wholly or principally for public release on television (this term includes streaming services) under a single title for the drama series;</w:t>
      </w:r>
      <w:r w:rsidR="00E1092D">
        <w:t xml:space="preserve"> and</w:t>
      </w:r>
    </w:p>
    <w:p w14:paraId="581589D2" w14:textId="77777777" w:rsidR="002710D5" w:rsidRDefault="002710D5" w:rsidP="002710D5">
      <w:pPr>
        <w:pStyle w:val="Dotpoint1"/>
        <w:numPr>
          <w:ilvl w:val="0"/>
          <w:numId w:val="8"/>
        </w:numPr>
        <w:ind w:left="1418" w:hanging="709"/>
      </w:pPr>
      <w:r>
        <w:t>comprises</w:t>
      </w:r>
      <w:r w:rsidDel="00E20051">
        <w:t xml:space="preserve"> </w:t>
      </w:r>
      <w:r>
        <w:t xml:space="preserve">two or more episodes that are intended for exhibition together in a national market or markets. </w:t>
      </w:r>
    </w:p>
    <w:p w14:paraId="4D552165" w14:textId="05AC5F2F" w:rsidR="002710D5" w:rsidRPr="005C0B72" w:rsidRDefault="002710D5" w:rsidP="002710D5">
      <w:pPr>
        <w:pStyle w:val="Dotpoint1"/>
        <w:numPr>
          <w:ilvl w:val="0"/>
          <w:numId w:val="0"/>
        </w:numPr>
        <w:ind w:left="1418"/>
        <w:rPr>
          <w:rStyle w:val="References"/>
        </w:rPr>
      </w:pPr>
      <w:bookmarkStart w:id="35" w:name="_Hlk156551616"/>
      <w:r>
        <w:rPr>
          <w:rStyle w:val="References"/>
        </w:rPr>
        <w:t>[</w:t>
      </w:r>
      <w:r>
        <w:rPr>
          <w:b/>
          <w:bCs/>
          <w:i/>
          <w:iCs/>
        </w:rPr>
        <w:t>Schedule #, item 2</w:t>
      </w:r>
      <w:r w:rsidR="00EC3D8B">
        <w:rPr>
          <w:b/>
          <w:bCs/>
          <w:i/>
          <w:iCs/>
        </w:rPr>
        <w:t>2</w:t>
      </w:r>
      <w:r>
        <w:rPr>
          <w:b/>
          <w:bCs/>
          <w:i/>
          <w:iCs/>
        </w:rPr>
        <w:t>, paragraphs 376-65(6</w:t>
      </w:r>
      <w:proofErr w:type="gramStart"/>
      <w:r>
        <w:rPr>
          <w:b/>
          <w:bCs/>
          <w:i/>
          <w:iCs/>
        </w:rPr>
        <w:t>B)(</w:t>
      </w:r>
      <w:proofErr w:type="gramEnd"/>
      <w:r>
        <w:rPr>
          <w:b/>
          <w:bCs/>
          <w:i/>
          <w:iCs/>
        </w:rPr>
        <w:t>a) and (b) of the ITAA 1997]</w:t>
      </w:r>
    </w:p>
    <w:bookmarkEnd w:id="35"/>
    <w:p w14:paraId="55EEECF1" w14:textId="7745BB37" w:rsidR="002710D5" w:rsidRDefault="002710D5" w:rsidP="002710D5">
      <w:pPr>
        <w:pStyle w:val="Normalparatextwithnumbers"/>
        <w:numPr>
          <w:ilvl w:val="1"/>
          <w:numId w:val="3"/>
        </w:numPr>
      </w:pPr>
      <w:r>
        <w:t>The principal photography for a season of a drama series</w:t>
      </w:r>
      <w:r w:rsidDel="00C46CDB">
        <w:t xml:space="preserve"> </w:t>
      </w:r>
      <w:r>
        <w:t xml:space="preserve">must be completed in no longer than 12 months after commencement of the principal photography or no longer than 36 months after commencement of production of a series that is mainly digital or other animated images. The maximum production time periods do not include the photography of any pilot episode for the production which can be undertaken outside this </w:t>
      </w:r>
      <w:proofErr w:type="gramStart"/>
      <w:r>
        <w:t>time period</w:t>
      </w:r>
      <w:proofErr w:type="gramEnd"/>
      <w:r>
        <w:t xml:space="preserve">. The </w:t>
      </w:r>
      <w:proofErr w:type="gramStart"/>
      <w:r>
        <w:t>time period</w:t>
      </w:r>
      <w:proofErr w:type="gramEnd"/>
      <w:r>
        <w:t xml:space="preserve"> in which the principal photography must be completed ensures that the minimum</w:t>
      </w:r>
      <w:r w:rsidRPr="00283375">
        <w:t xml:space="preserve"> of qualifying Australian production expenditure </w:t>
      </w:r>
      <w:r>
        <w:t xml:space="preserve">of $35 million must be incurred </w:t>
      </w:r>
      <w:r w:rsidRPr="006245DB">
        <w:lastRenderedPageBreak/>
        <w:t xml:space="preserve">within the specified timeframe </w:t>
      </w:r>
      <w:r>
        <w:t xml:space="preserve">for a drama series to be eligible for the producer tax offset. This </w:t>
      </w:r>
      <w:proofErr w:type="gramStart"/>
      <w:r>
        <w:t>time period</w:t>
      </w:r>
      <w:proofErr w:type="gramEnd"/>
      <w:r>
        <w:t xml:space="preserve"> cap excludes productions that can only reach the minimum expenditure requirement over a longer time period (noting that digital or other animation allows a three-year period).</w:t>
      </w:r>
    </w:p>
    <w:p w14:paraId="4A04BDCE" w14:textId="1F2B9420" w:rsidR="002710D5" w:rsidRPr="005E6BBA" w:rsidRDefault="002710D5" w:rsidP="002710D5">
      <w:pPr>
        <w:pStyle w:val="Normalparatextwithnumbers"/>
        <w:numPr>
          <w:ilvl w:val="1"/>
          <w:numId w:val="0"/>
        </w:numPr>
        <w:ind w:left="709"/>
        <w:rPr>
          <w:b/>
          <w:bCs/>
          <w:i/>
          <w:iCs/>
        </w:rPr>
      </w:pPr>
      <w:r w:rsidRPr="4F330D09">
        <w:rPr>
          <w:b/>
          <w:bCs/>
          <w:i/>
          <w:iCs/>
        </w:rPr>
        <w:t>[Schedule #, item 2</w:t>
      </w:r>
      <w:r w:rsidR="00A77674">
        <w:rPr>
          <w:b/>
          <w:bCs/>
          <w:i/>
          <w:iCs/>
        </w:rPr>
        <w:t>2</w:t>
      </w:r>
      <w:r w:rsidRPr="4F330D09">
        <w:rPr>
          <w:b/>
          <w:bCs/>
          <w:i/>
          <w:iCs/>
        </w:rPr>
        <w:t>, paragraph 376-65(6</w:t>
      </w:r>
      <w:proofErr w:type="gramStart"/>
      <w:r w:rsidRPr="4F330D09">
        <w:rPr>
          <w:b/>
          <w:bCs/>
          <w:i/>
          <w:iCs/>
        </w:rPr>
        <w:t>B)(</w:t>
      </w:r>
      <w:proofErr w:type="gramEnd"/>
      <w:r w:rsidRPr="4F330D09">
        <w:rPr>
          <w:b/>
          <w:bCs/>
          <w:i/>
          <w:iCs/>
        </w:rPr>
        <w:t>c) of the ITAA 1997]</w:t>
      </w:r>
    </w:p>
    <w:p w14:paraId="32F26306" w14:textId="77777777" w:rsidR="002710D5" w:rsidRDefault="002710D5" w:rsidP="002710D5">
      <w:pPr>
        <w:pStyle w:val="Normalparatextwithnumbers"/>
        <w:numPr>
          <w:ilvl w:val="1"/>
          <w:numId w:val="3"/>
        </w:numPr>
      </w:pPr>
      <w:r>
        <w:t>A season of a drama series can qualify for the producer tax offset under either the new eligibility criteria inserted by Schedule # or under existing table item 7 of subsection 376-65(6) of the ITAA 1997. Existing table item 7 of subsection 376-65(6) requires $1 million minimum of qualifying Australian production expenditure and a minimum of $500,000 per hour expenditure. The existing law provides flexibility to ensure that higher production cost drama series can continue to be supported by the producer tax offset in operation prior to the amendments as well as longer drama series with lower per hour production costs to which Schedule # applies.</w:t>
      </w:r>
    </w:p>
    <w:p w14:paraId="17CDB932" w14:textId="043904C7" w:rsidR="002710D5" w:rsidRPr="005E6BBA" w:rsidRDefault="002710D5" w:rsidP="002710D5">
      <w:pPr>
        <w:pStyle w:val="Normalparatextwithnumbers"/>
        <w:numPr>
          <w:ilvl w:val="1"/>
          <w:numId w:val="0"/>
        </w:numPr>
        <w:ind w:left="709"/>
        <w:rPr>
          <w:b/>
          <w:bCs/>
          <w:i/>
          <w:iCs/>
        </w:rPr>
      </w:pPr>
      <w:r w:rsidRPr="048A21D4">
        <w:rPr>
          <w:b/>
          <w:bCs/>
          <w:i/>
          <w:iCs/>
        </w:rPr>
        <w:t>[Schedule #, items 2</w:t>
      </w:r>
      <w:r w:rsidR="003F6391">
        <w:rPr>
          <w:b/>
          <w:bCs/>
          <w:i/>
          <w:iCs/>
        </w:rPr>
        <w:t>1</w:t>
      </w:r>
      <w:r w:rsidRPr="048A21D4">
        <w:rPr>
          <w:b/>
          <w:bCs/>
          <w:i/>
          <w:iCs/>
        </w:rPr>
        <w:t xml:space="preserve"> and 2</w:t>
      </w:r>
      <w:r w:rsidR="003F6391">
        <w:rPr>
          <w:b/>
          <w:bCs/>
          <w:i/>
          <w:iCs/>
        </w:rPr>
        <w:t>2</w:t>
      </w:r>
      <w:r w:rsidRPr="048A21D4">
        <w:rPr>
          <w:b/>
          <w:bCs/>
          <w:i/>
          <w:iCs/>
        </w:rPr>
        <w:t>, subsection 376-65(6) and subsection 376</w:t>
      </w:r>
      <w:r>
        <w:rPr>
          <w:b/>
          <w:bCs/>
          <w:i/>
          <w:iCs/>
        </w:rPr>
        <w:noBreakHyphen/>
      </w:r>
      <w:r w:rsidRPr="048A21D4">
        <w:rPr>
          <w:b/>
          <w:bCs/>
          <w:i/>
          <w:iCs/>
        </w:rPr>
        <w:t>65(6A) of the ITAA 1997]</w:t>
      </w:r>
    </w:p>
    <w:p w14:paraId="4A4668BD" w14:textId="77777777" w:rsidR="002710D5" w:rsidRPr="00F60548" w:rsidRDefault="002710D5" w:rsidP="002710D5">
      <w:pPr>
        <w:keepNext/>
        <w:keepLines/>
        <w:spacing w:before="360" w:after="360"/>
        <w:outlineLvl w:val="1"/>
        <w:rPr>
          <w:rFonts w:ascii="Helvitica" w:eastAsia="Times New Roman" w:hAnsi="Helvitica" w:cs="Times New Roman"/>
          <w:sz w:val="36"/>
          <w:szCs w:val="26"/>
        </w:rPr>
      </w:pPr>
      <w:bookmarkStart w:id="36" w:name="_Toc78193246"/>
      <w:bookmarkStart w:id="37" w:name="_Toc78193403"/>
      <w:bookmarkStart w:id="38" w:name="_Toc78548476"/>
      <w:bookmarkStart w:id="39" w:name="_Toc78549747"/>
      <w:bookmarkStart w:id="40" w:name="_Toc78549791"/>
      <w:r w:rsidRPr="00F60548">
        <w:rPr>
          <w:rFonts w:ascii="Helvitica" w:eastAsia="Times New Roman" w:hAnsi="Helvitica" w:cs="Times New Roman"/>
          <w:sz w:val="36"/>
          <w:szCs w:val="26"/>
        </w:rPr>
        <w:t>Commencement, application, and transitional provisions</w:t>
      </w:r>
    </w:p>
    <w:p w14:paraId="0A2CEFA2" w14:textId="77777777" w:rsidR="002710D5" w:rsidRPr="009B2614" w:rsidRDefault="002710D5" w:rsidP="002710D5">
      <w:pPr>
        <w:keepNext/>
        <w:keepLines/>
        <w:numPr>
          <w:ilvl w:val="3"/>
          <w:numId w:val="2"/>
        </w:numPr>
        <w:spacing w:before="280" w:after="240"/>
        <w:outlineLvl w:val="3"/>
        <w:rPr>
          <w:rFonts w:ascii="Helvetica" w:eastAsia="Times New Roman" w:hAnsi="Helvetica" w:cs="Times New Roman"/>
          <w:iCs/>
          <w:sz w:val="28"/>
        </w:rPr>
      </w:pPr>
      <w:r w:rsidRPr="009B2614">
        <w:rPr>
          <w:rFonts w:ascii="Helvetica" w:eastAsia="Times New Roman" w:hAnsi="Helvetica" w:cs="Times New Roman"/>
          <w:iCs/>
          <w:sz w:val="28"/>
        </w:rPr>
        <w:t>Commencement</w:t>
      </w:r>
    </w:p>
    <w:p w14:paraId="78F1CC93" w14:textId="77777777" w:rsidR="002710D5" w:rsidRPr="002803E2" w:rsidRDefault="002710D5" w:rsidP="002710D5">
      <w:pPr>
        <w:pStyle w:val="Normalparatextwithnumbers"/>
      </w:pPr>
      <w:r>
        <w:t>Schedule # commences on the first day of the first quarter after Royal Assent.</w:t>
      </w:r>
    </w:p>
    <w:p w14:paraId="6F42227A" w14:textId="1583FDE4" w:rsidR="002710D5" w:rsidRPr="00310D10" w:rsidRDefault="002710D5" w:rsidP="002710D5">
      <w:pPr>
        <w:pStyle w:val="Normalparatextwithnumbers"/>
        <w:numPr>
          <w:ilvl w:val="0"/>
          <w:numId w:val="0"/>
        </w:numPr>
        <w:ind w:left="709"/>
        <w:rPr>
          <w:b/>
          <w:bCs/>
          <w:i/>
          <w:iCs/>
        </w:rPr>
      </w:pPr>
      <w:r w:rsidRPr="00310D10">
        <w:rPr>
          <w:b/>
          <w:bCs/>
          <w:i/>
          <w:iCs/>
        </w:rPr>
        <w:t>[</w:t>
      </w:r>
      <w:r w:rsidR="00902695">
        <w:rPr>
          <w:b/>
          <w:bCs/>
          <w:i/>
          <w:iCs/>
        </w:rPr>
        <w:t>Clause 2</w:t>
      </w:r>
      <w:r w:rsidRPr="00310D10">
        <w:rPr>
          <w:b/>
          <w:bCs/>
          <w:i/>
          <w:iCs/>
        </w:rPr>
        <w:t>]</w:t>
      </w:r>
    </w:p>
    <w:p w14:paraId="5731A4EB" w14:textId="77777777" w:rsidR="002710D5" w:rsidRPr="00B778F4" w:rsidRDefault="002710D5" w:rsidP="002710D5">
      <w:pPr>
        <w:keepNext/>
        <w:keepLines/>
        <w:numPr>
          <w:ilvl w:val="3"/>
          <w:numId w:val="2"/>
        </w:numPr>
        <w:spacing w:before="280" w:after="240"/>
        <w:outlineLvl w:val="3"/>
        <w:rPr>
          <w:rFonts w:ascii="Helvetica" w:eastAsia="Times New Roman" w:hAnsi="Helvetica" w:cs="Times New Roman"/>
          <w:iCs/>
          <w:sz w:val="28"/>
        </w:rPr>
      </w:pPr>
      <w:r w:rsidRPr="00B778F4">
        <w:rPr>
          <w:rFonts w:ascii="Helvetica" w:eastAsia="Times New Roman" w:hAnsi="Helvetica" w:cs="Times New Roman"/>
          <w:iCs/>
          <w:sz w:val="28"/>
        </w:rPr>
        <w:t xml:space="preserve">Application  </w:t>
      </w:r>
    </w:p>
    <w:p w14:paraId="2690BC4A" w14:textId="77777777" w:rsidR="002710D5" w:rsidRDefault="002710D5" w:rsidP="002710D5">
      <w:pPr>
        <w:pStyle w:val="Normalparatextwithnumbers"/>
      </w:pPr>
      <w:r>
        <w:t xml:space="preserve">Schedule # to the Bill applies: </w:t>
      </w:r>
    </w:p>
    <w:p w14:paraId="19943276" w14:textId="77777777" w:rsidR="002710D5" w:rsidRDefault="002710D5" w:rsidP="002710D5">
      <w:pPr>
        <w:pStyle w:val="Dotpoint1"/>
        <w:numPr>
          <w:ilvl w:val="0"/>
          <w:numId w:val="8"/>
        </w:numPr>
        <w:ind w:left="1418" w:hanging="709"/>
      </w:pPr>
      <w:r>
        <w:t>for a film that is predominantly a digital animation or other animation—the making of the film; or</w:t>
      </w:r>
    </w:p>
    <w:p w14:paraId="65608898" w14:textId="77777777" w:rsidR="002710D5" w:rsidRDefault="002710D5" w:rsidP="002710D5">
      <w:pPr>
        <w:pStyle w:val="Dotpoint1"/>
        <w:numPr>
          <w:ilvl w:val="0"/>
          <w:numId w:val="8"/>
        </w:numPr>
        <w:ind w:left="1418" w:hanging="709"/>
      </w:pPr>
      <w:r>
        <w:t xml:space="preserve">otherwise—the principal photography for the </w:t>
      </w:r>
      <w:proofErr w:type="gramStart"/>
      <w:r>
        <w:t>film;</w:t>
      </w:r>
      <w:proofErr w:type="gramEnd"/>
    </w:p>
    <w:p w14:paraId="4365241B" w14:textId="77777777" w:rsidR="002710D5" w:rsidRDefault="002710D5" w:rsidP="002710D5">
      <w:pPr>
        <w:pStyle w:val="Normalparatextwithnumbers"/>
        <w:numPr>
          <w:ilvl w:val="0"/>
          <w:numId w:val="0"/>
        </w:numPr>
        <w:ind w:left="709"/>
      </w:pPr>
      <w:r>
        <w:t>that commenced on or after 1 July 2024.</w:t>
      </w:r>
    </w:p>
    <w:p w14:paraId="1A270770" w14:textId="6D41E8B0" w:rsidR="002710D5" w:rsidRDefault="002710D5" w:rsidP="002710D5">
      <w:pPr>
        <w:pStyle w:val="Normalparatextwithnumbers"/>
        <w:numPr>
          <w:ilvl w:val="0"/>
          <w:numId w:val="0"/>
        </w:numPr>
        <w:ind w:left="709"/>
      </w:pPr>
      <w:bookmarkStart w:id="41" w:name="_Hlk156546623"/>
      <w:r w:rsidRPr="00310D10">
        <w:rPr>
          <w:b/>
          <w:bCs/>
          <w:i/>
          <w:iCs/>
        </w:rPr>
        <w:t xml:space="preserve">[Schedule #, item </w:t>
      </w:r>
      <w:r>
        <w:rPr>
          <w:b/>
          <w:bCs/>
          <w:i/>
          <w:iCs/>
        </w:rPr>
        <w:t>2</w:t>
      </w:r>
      <w:r w:rsidR="00381306">
        <w:rPr>
          <w:b/>
          <w:bCs/>
          <w:i/>
          <w:iCs/>
        </w:rPr>
        <w:t>3</w:t>
      </w:r>
      <w:r w:rsidRPr="00310D10">
        <w:rPr>
          <w:b/>
          <w:bCs/>
          <w:i/>
          <w:iCs/>
        </w:rPr>
        <w:t>]</w:t>
      </w:r>
      <w:bookmarkStart w:id="42" w:name="IAGoesHere"/>
      <w:bookmarkEnd w:id="36"/>
      <w:bookmarkEnd w:id="37"/>
      <w:bookmarkEnd w:id="38"/>
      <w:bookmarkEnd w:id="39"/>
      <w:bookmarkEnd w:id="40"/>
      <w:bookmarkEnd w:id="41"/>
      <w:bookmarkEnd w:id="42"/>
    </w:p>
    <w:p w14:paraId="7B068264" w14:textId="77777777" w:rsidR="001B76DC" w:rsidRDefault="001B76DC" w:rsidP="004B121A">
      <w:pPr>
        <w:pStyle w:val="Normalparatextnonumbers"/>
      </w:pPr>
    </w:p>
    <w:p w14:paraId="560F6835" w14:textId="77777777" w:rsidR="009D744D" w:rsidRPr="009D744D" w:rsidRDefault="009D744D" w:rsidP="00F23588">
      <w:pPr>
        <w:jc w:val="right"/>
      </w:pPr>
    </w:p>
    <w:sectPr w:rsidR="009D744D" w:rsidRPr="009D744D" w:rsidSect="00000BFC">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38CF4" w14:textId="77777777" w:rsidR="00FD5D35" w:rsidRDefault="00FD5D35">
      <w:pPr>
        <w:spacing w:before="0" w:after="0"/>
      </w:pPr>
      <w:r>
        <w:separator/>
      </w:r>
    </w:p>
  </w:endnote>
  <w:endnote w:type="continuationSeparator" w:id="0">
    <w:p w14:paraId="33F7F2CF" w14:textId="77777777" w:rsidR="00FD5D35" w:rsidRDefault="00FD5D35">
      <w:pPr>
        <w:spacing w:before="0" w:after="0"/>
      </w:pPr>
      <w:r>
        <w:continuationSeparator/>
      </w:r>
    </w:p>
  </w:endnote>
  <w:endnote w:type="continuationNotice" w:id="1">
    <w:p w14:paraId="670D6F31" w14:textId="77777777" w:rsidR="00FD5D35" w:rsidRDefault="00FD5D3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ECE6" w14:textId="49A8450E" w:rsidR="004B121A" w:rsidRDefault="004B121A" w:rsidP="004B121A">
    <w:pPr>
      <w:pStyle w:val="Footer"/>
    </w:pP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CE96D" w14:textId="5CFDDEA0" w:rsidR="004B121A" w:rsidRDefault="004B121A" w:rsidP="004B121A">
    <w:pPr>
      <w:pStyle w:val="Footer"/>
      <w:jc w:val="right"/>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55771"/>
      <w:docPartObj>
        <w:docPartGallery w:val="Page Numbers (Bottom of Page)"/>
        <w:docPartUnique/>
      </w:docPartObj>
    </w:sdtPr>
    <w:sdtEndPr>
      <w:rPr>
        <w:noProof/>
      </w:rPr>
    </w:sdtEndPr>
    <w:sdtContent>
      <w:p w14:paraId="32FB4AE4" w14:textId="2A898B7F" w:rsidR="00AB1EAC" w:rsidRDefault="00AB1E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224EF7" w14:textId="77777777" w:rsidR="007A2DBD" w:rsidRDefault="007A2DBD" w:rsidP="002425D9">
    <w:pPr>
      <w:pStyle w:val="Footer"/>
      <w:ind w:right="360" w:firstLine="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88B61" w14:textId="77777777" w:rsidR="007A2DBD" w:rsidRPr="004D61CF" w:rsidRDefault="007A2DBD" w:rsidP="002425D9">
    <w:pPr>
      <w:pStyle w:val="right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602BC" w14:textId="77777777" w:rsidR="00FD5D35" w:rsidRDefault="00FD5D35">
      <w:pPr>
        <w:spacing w:before="0" w:after="0"/>
      </w:pPr>
      <w:r>
        <w:separator/>
      </w:r>
    </w:p>
  </w:footnote>
  <w:footnote w:type="continuationSeparator" w:id="0">
    <w:p w14:paraId="626A0F8D" w14:textId="77777777" w:rsidR="00FD5D35" w:rsidRDefault="00FD5D35">
      <w:pPr>
        <w:spacing w:before="0" w:after="0"/>
      </w:pPr>
      <w:r>
        <w:continuationSeparator/>
      </w:r>
    </w:p>
  </w:footnote>
  <w:footnote w:type="continuationNotice" w:id="1">
    <w:p w14:paraId="4A0CD36B" w14:textId="77777777" w:rsidR="00FD5D35" w:rsidRDefault="00FD5D3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182601"/>
      <w:docPartObj>
        <w:docPartGallery w:val="Watermarks"/>
      </w:docPartObj>
    </w:sdtPr>
    <w:sdtEndPr/>
    <w:sdtContent>
      <w:p w14:paraId="00680734" w14:textId="77777777" w:rsidR="007A2DBD" w:rsidRDefault="00B61692">
        <w:pPr>
          <w:pStyle w:val="Header"/>
        </w:pPr>
        <w:r>
          <w:rPr>
            <w:noProof/>
          </w:rPr>
          <w:pict w14:anchorId="1BCF3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B0C14" w14:textId="77777777" w:rsidR="007A2DBD" w:rsidRPr="009106AC" w:rsidRDefault="007A2DBD" w:rsidP="0024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5D0A9" w14:textId="1855D1E2" w:rsidR="007A2DBD" w:rsidRPr="00513D99" w:rsidRDefault="007A2DBD" w:rsidP="00513D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9CE73" w14:textId="77777777" w:rsidR="007A2DBD" w:rsidRDefault="007A2D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29170CA0"/>
    <w:multiLevelType w:val="multilevel"/>
    <w:tmpl w:val="049421C8"/>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5D2CC9"/>
    <w:multiLevelType w:val="multilevel"/>
    <w:tmpl w:val="EB40A840"/>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7"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9" w15:restartNumberingAfterBreak="0">
    <w:nsid w:val="60490B74"/>
    <w:multiLevelType w:val="hybridMultilevel"/>
    <w:tmpl w:val="EC7866F8"/>
    <w:lvl w:ilvl="0" w:tplc="FFFFFFFF">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3"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6599739">
    <w:abstractNumId w:val="0"/>
  </w:num>
  <w:num w:numId="2" w16cid:durableId="1948731128">
    <w:abstractNumId w:val="11"/>
  </w:num>
  <w:num w:numId="3" w16cid:durableId="1829707682">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822813120">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1281185342">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16cid:durableId="834690233">
    <w:abstractNumId w:val="3"/>
  </w:num>
  <w:num w:numId="7" w16cid:durableId="1022901957">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1142381951">
    <w:abstractNumId w:val="4"/>
  </w:num>
  <w:num w:numId="9" w16cid:durableId="911041120">
    <w:abstractNumId w:val="13"/>
  </w:num>
  <w:num w:numId="10" w16cid:durableId="2017876939">
    <w:abstractNumId w:val="7"/>
  </w:num>
  <w:num w:numId="11" w16cid:durableId="679544403">
    <w:abstractNumId w:val="6"/>
  </w:num>
  <w:num w:numId="12" w16cid:durableId="974681568">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422262118">
    <w:abstractNumId w:val="11"/>
  </w:num>
  <w:num w:numId="14" w16cid:durableId="1648515472">
    <w:abstractNumId w:val="9"/>
  </w:num>
  <w:num w:numId="15" w16cid:durableId="407070147">
    <w:abstractNumId w:val="10"/>
  </w:num>
  <w:num w:numId="16" w16cid:durableId="1102265301">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16cid:durableId="1005204720">
    <w:abstractNumId w:val="4"/>
  </w:num>
  <w:num w:numId="18" w16cid:durableId="680205999">
    <w:abstractNumId w:val="2"/>
  </w:num>
  <w:num w:numId="19" w16cid:durableId="1491290959">
    <w:abstractNumId w:val="8"/>
  </w:num>
  <w:num w:numId="20" w16cid:durableId="1101536722">
    <w:abstractNumId w:val="12"/>
  </w:num>
  <w:num w:numId="21" w16cid:durableId="1399742980">
    <w:abstractNumId w:val="11"/>
  </w:num>
  <w:num w:numId="22" w16cid:durableId="397169042">
    <w:abstractNumId w:val="1"/>
  </w:num>
  <w:num w:numId="23" w16cid:durableId="785856834">
    <w:abstractNumId w:val="5"/>
  </w:num>
  <w:num w:numId="24" w16cid:durableId="1125152798">
    <w:abstractNumId w:val="3"/>
    <w:lvlOverride w:ilvl="0">
      <w:startOverride w:val="1"/>
      <w:lvl w:ilvl="0">
        <w:start w:val="1"/>
        <w:numFmt w:val="decimal"/>
        <w:pStyle w:val="Chapterheading"/>
        <w:lvlText w:val="Chapter %1:"/>
        <w:lvlJc w:val="left"/>
        <w:pPr>
          <w:tabs>
            <w:tab w:val="num" w:pos="2977"/>
          </w:tabs>
          <w:ind w:left="0" w:firstLine="0"/>
        </w:pPr>
        <w:rPr>
          <w:rFonts w:ascii="Helvitica" w:hAnsi="Helvitica" w:hint="default"/>
          <w:b w:val="0"/>
          <w:bCs w:val="0"/>
          <w:i w:val="0"/>
          <w:iCs w:val="0"/>
          <w:caps w:val="0"/>
          <w:smallCaps w:val="0"/>
          <w:strike w:val="0"/>
          <w:dstrike w:val="0"/>
          <w:outline w:val="0"/>
          <w:shadow w:val="0"/>
          <w:emboss w:val="0"/>
          <w:imprint w:val="0"/>
          <w:noProof w:val="0"/>
          <w:vanish w:val="0"/>
          <w:webHidden w:val="0"/>
          <w:color w:val="auto"/>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Normalparatextwithnumbers"/>
        <w:lvlText w:val=""/>
        <w:lvlJc w:val="left"/>
      </w:lvl>
    </w:lvlOverride>
    <w:lvlOverride w:ilvl="2">
      <w:startOverride w:val="1"/>
      <w:lvl w:ilvl="2">
        <w:start w:val="1"/>
        <w:numFmt w:val="decimal"/>
        <w:pStyle w:val="DiagramHeading"/>
        <w:lvlText w:val=""/>
        <w:lvlJc w:val="left"/>
      </w:lvl>
    </w:lvlOverride>
    <w:lvlOverride w:ilvl="3">
      <w:startOverride w:val="1"/>
      <w:lvl w:ilvl="3">
        <w:start w:val="1"/>
        <w:numFmt w:val="decimal"/>
        <w:pStyle w:val="ExampleHeading"/>
        <w:lvlText w:val=""/>
        <w:lvlJc w:val="left"/>
      </w:lvl>
    </w:lvlOverride>
    <w:lvlOverride w:ilvl="4">
      <w:startOverride w:val="1"/>
      <w:lvl w:ilvl="4">
        <w:start w:val="1"/>
        <w:numFmt w:val="decimal"/>
        <w:pStyle w:val="TableHeading"/>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D50"/>
    <w:rsid w:val="00000BFC"/>
    <w:rsid w:val="00003AC5"/>
    <w:rsid w:val="00006076"/>
    <w:rsid w:val="00011BEF"/>
    <w:rsid w:val="00016F50"/>
    <w:rsid w:val="00017B8A"/>
    <w:rsid w:val="00021DAA"/>
    <w:rsid w:val="00022BA9"/>
    <w:rsid w:val="00024273"/>
    <w:rsid w:val="00030E1C"/>
    <w:rsid w:val="00040058"/>
    <w:rsid w:val="00041348"/>
    <w:rsid w:val="000418B4"/>
    <w:rsid w:val="00042E14"/>
    <w:rsid w:val="00043E8E"/>
    <w:rsid w:val="00047FF2"/>
    <w:rsid w:val="0005452A"/>
    <w:rsid w:val="00055D58"/>
    <w:rsid w:val="0005639C"/>
    <w:rsid w:val="00061BE1"/>
    <w:rsid w:val="00072274"/>
    <w:rsid w:val="00080486"/>
    <w:rsid w:val="000826D6"/>
    <w:rsid w:val="00084832"/>
    <w:rsid w:val="000848CD"/>
    <w:rsid w:val="00086C75"/>
    <w:rsid w:val="00087F47"/>
    <w:rsid w:val="00087FE9"/>
    <w:rsid w:val="00090A2C"/>
    <w:rsid w:val="00093074"/>
    <w:rsid w:val="000A3230"/>
    <w:rsid w:val="000A4EB2"/>
    <w:rsid w:val="000A591F"/>
    <w:rsid w:val="000A59EF"/>
    <w:rsid w:val="000A651D"/>
    <w:rsid w:val="000B3A63"/>
    <w:rsid w:val="000B3DE7"/>
    <w:rsid w:val="000B6B3E"/>
    <w:rsid w:val="000B7D6E"/>
    <w:rsid w:val="000C07E3"/>
    <w:rsid w:val="000C1570"/>
    <w:rsid w:val="000C1FCB"/>
    <w:rsid w:val="000C27CD"/>
    <w:rsid w:val="000C3A0D"/>
    <w:rsid w:val="000C47D8"/>
    <w:rsid w:val="000D4CC3"/>
    <w:rsid w:val="000D5261"/>
    <w:rsid w:val="000D5731"/>
    <w:rsid w:val="000D6316"/>
    <w:rsid w:val="000D6609"/>
    <w:rsid w:val="000D70B8"/>
    <w:rsid w:val="000E0605"/>
    <w:rsid w:val="000E437E"/>
    <w:rsid w:val="000E4D39"/>
    <w:rsid w:val="000E521B"/>
    <w:rsid w:val="000E59CA"/>
    <w:rsid w:val="000E68E3"/>
    <w:rsid w:val="000F0392"/>
    <w:rsid w:val="000F685B"/>
    <w:rsid w:val="0010273A"/>
    <w:rsid w:val="001028F8"/>
    <w:rsid w:val="00102D39"/>
    <w:rsid w:val="00102E44"/>
    <w:rsid w:val="001031E4"/>
    <w:rsid w:val="001034A4"/>
    <w:rsid w:val="00103C0E"/>
    <w:rsid w:val="00104C83"/>
    <w:rsid w:val="00105E85"/>
    <w:rsid w:val="00105ED3"/>
    <w:rsid w:val="001064C7"/>
    <w:rsid w:val="00106FDC"/>
    <w:rsid w:val="001106D4"/>
    <w:rsid w:val="00115509"/>
    <w:rsid w:val="001227A2"/>
    <w:rsid w:val="001235C2"/>
    <w:rsid w:val="00123F84"/>
    <w:rsid w:val="00126E93"/>
    <w:rsid w:val="00132119"/>
    <w:rsid w:val="00132641"/>
    <w:rsid w:val="001369ED"/>
    <w:rsid w:val="0013794A"/>
    <w:rsid w:val="00141701"/>
    <w:rsid w:val="00145566"/>
    <w:rsid w:val="00145CB3"/>
    <w:rsid w:val="00156953"/>
    <w:rsid w:val="00157FCF"/>
    <w:rsid w:val="00162224"/>
    <w:rsid w:val="00163457"/>
    <w:rsid w:val="00167777"/>
    <w:rsid w:val="00167E3E"/>
    <w:rsid w:val="00170C78"/>
    <w:rsid w:val="00170E44"/>
    <w:rsid w:val="0017319D"/>
    <w:rsid w:val="001741A2"/>
    <w:rsid w:val="0017441F"/>
    <w:rsid w:val="00174E7E"/>
    <w:rsid w:val="00175B36"/>
    <w:rsid w:val="0017645E"/>
    <w:rsid w:val="00177FFE"/>
    <w:rsid w:val="00181AAA"/>
    <w:rsid w:val="00183C5C"/>
    <w:rsid w:val="00184350"/>
    <w:rsid w:val="00191310"/>
    <w:rsid w:val="00193EF9"/>
    <w:rsid w:val="001954A9"/>
    <w:rsid w:val="00195D1C"/>
    <w:rsid w:val="001A4064"/>
    <w:rsid w:val="001A5DEA"/>
    <w:rsid w:val="001B07FA"/>
    <w:rsid w:val="001B129A"/>
    <w:rsid w:val="001B1306"/>
    <w:rsid w:val="001B6ADF"/>
    <w:rsid w:val="001B7416"/>
    <w:rsid w:val="001B76DC"/>
    <w:rsid w:val="001B7A06"/>
    <w:rsid w:val="001C0C71"/>
    <w:rsid w:val="001C49FB"/>
    <w:rsid w:val="001C5CBF"/>
    <w:rsid w:val="001D3F1E"/>
    <w:rsid w:val="001D56A5"/>
    <w:rsid w:val="001D621A"/>
    <w:rsid w:val="001D665C"/>
    <w:rsid w:val="001D6815"/>
    <w:rsid w:val="001D6EAE"/>
    <w:rsid w:val="001D7A14"/>
    <w:rsid w:val="001E01BF"/>
    <w:rsid w:val="001E09B8"/>
    <w:rsid w:val="001E2472"/>
    <w:rsid w:val="001E32EA"/>
    <w:rsid w:val="001E3E5D"/>
    <w:rsid w:val="001E4E83"/>
    <w:rsid w:val="001F670B"/>
    <w:rsid w:val="001F7DAA"/>
    <w:rsid w:val="00201490"/>
    <w:rsid w:val="00204C71"/>
    <w:rsid w:val="002055F9"/>
    <w:rsid w:val="002103F2"/>
    <w:rsid w:val="00221C93"/>
    <w:rsid w:val="00223BA8"/>
    <w:rsid w:val="0022512C"/>
    <w:rsid w:val="00227A9A"/>
    <w:rsid w:val="00227F22"/>
    <w:rsid w:val="002307BC"/>
    <w:rsid w:val="002308A0"/>
    <w:rsid w:val="00230C17"/>
    <w:rsid w:val="002328C6"/>
    <w:rsid w:val="00233491"/>
    <w:rsid w:val="00233526"/>
    <w:rsid w:val="002339FE"/>
    <w:rsid w:val="0023409D"/>
    <w:rsid w:val="00235F63"/>
    <w:rsid w:val="00241575"/>
    <w:rsid w:val="002425D9"/>
    <w:rsid w:val="00242B2A"/>
    <w:rsid w:val="00242EBB"/>
    <w:rsid w:val="00243F2F"/>
    <w:rsid w:val="00244140"/>
    <w:rsid w:val="00245C67"/>
    <w:rsid w:val="0024784F"/>
    <w:rsid w:val="00250844"/>
    <w:rsid w:val="00251559"/>
    <w:rsid w:val="00254713"/>
    <w:rsid w:val="00256686"/>
    <w:rsid w:val="00260B8B"/>
    <w:rsid w:val="0027000D"/>
    <w:rsid w:val="002704BC"/>
    <w:rsid w:val="002705BA"/>
    <w:rsid w:val="002710D5"/>
    <w:rsid w:val="0027322A"/>
    <w:rsid w:val="00274D5C"/>
    <w:rsid w:val="00276753"/>
    <w:rsid w:val="002805CA"/>
    <w:rsid w:val="00280FA9"/>
    <w:rsid w:val="00283375"/>
    <w:rsid w:val="00284C76"/>
    <w:rsid w:val="002872AB"/>
    <w:rsid w:val="00287492"/>
    <w:rsid w:val="002935AC"/>
    <w:rsid w:val="00294A56"/>
    <w:rsid w:val="002952B8"/>
    <w:rsid w:val="00297081"/>
    <w:rsid w:val="002A05B7"/>
    <w:rsid w:val="002A0E9C"/>
    <w:rsid w:val="002A2137"/>
    <w:rsid w:val="002A2E15"/>
    <w:rsid w:val="002A52E5"/>
    <w:rsid w:val="002A6AB0"/>
    <w:rsid w:val="002B0B67"/>
    <w:rsid w:val="002B13DC"/>
    <w:rsid w:val="002B1D9E"/>
    <w:rsid w:val="002B2E2C"/>
    <w:rsid w:val="002B623C"/>
    <w:rsid w:val="002B62EC"/>
    <w:rsid w:val="002B6F60"/>
    <w:rsid w:val="002C1913"/>
    <w:rsid w:val="002C3AEA"/>
    <w:rsid w:val="002C3F96"/>
    <w:rsid w:val="002C46B0"/>
    <w:rsid w:val="002C6AC9"/>
    <w:rsid w:val="002C78D6"/>
    <w:rsid w:val="002D02B9"/>
    <w:rsid w:val="002D080A"/>
    <w:rsid w:val="002D0961"/>
    <w:rsid w:val="002D120F"/>
    <w:rsid w:val="002D443A"/>
    <w:rsid w:val="002D5705"/>
    <w:rsid w:val="002F0153"/>
    <w:rsid w:val="002F0DF0"/>
    <w:rsid w:val="002F1CB0"/>
    <w:rsid w:val="002F334A"/>
    <w:rsid w:val="002F4B60"/>
    <w:rsid w:val="002F5302"/>
    <w:rsid w:val="002F5665"/>
    <w:rsid w:val="00300160"/>
    <w:rsid w:val="00301821"/>
    <w:rsid w:val="003019EF"/>
    <w:rsid w:val="003037CA"/>
    <w:rsid w:val="00304771"/>
    <w:rsid w:val="00304E64"/>
    <w:rsid w:val="0030642E"/>
    <w:rsid w:val="00306492"/>
    <w:rsid w:val="00310D10"/>
    <w:rsid w:val="00311D05"/>
    <w:rsid w:val="0031508F"/>
    <w:rsid w:val="00315D81"/>
    <w:rsid w:val="00320EBE"/>
    <w:rsid w:val="00324483"/>
    <w:rsid w:val="00327420"/>
    <w:rsid w:val="00336A9D"/>
    <w:rsid w:val="00336DA0"/>
    <w:rsid w:val="00337F8B"/>
    <w:rsid w:val="00341E55"/>
    <w:rsid w:val="003424BC"/>
    <w:rsid w:val="00345DD1"/>
    <w:rsid w:val="003510A8"/>
    <w:rsid w:val="00351274"/>
    <w:rsid w:val="003517E5"/>
    <w:rsid w:val="003519C7"/>
    <w:rsid w:val="00351D4D"/>
    <w:rsid w:val="003556BF"/>
    <w:rsid w:val="003561C4"/>
    <w:rsid w:val="003569E8"/>
    <w:rsid w:val="0035719A"/>
    <w:rsid w:val="003574EB"/>
    <w:rsid w:val="003600E7"/>
    <w:rsid w:val="003637C9"/>
    <w:rsid w:val="0036790F"/>
    <w:rsid w:val="00367AA3"/>
    <w:rsid w:val="0037134C"/>
    <w:rsid w:val="003734A0"/>
    <w:rsid w:val="00381306"/>
    <w:rsid w:val="00383211"/>
    <w:rsid w:val="003846F9"/>
    <w:rsid w:val="00386161"/>
    <w:rsid w:val="00386D97"/>
    <w:rsid w:val="00387402"/>
    <w:rsid w:val="00387F67"/>
    <w:rsid w:val="00390BBC"/>
    <w:rsid w:val="003923E9"/>
    <w:rsid w:val="0039267B"/>
    <w:rsid w:val="0039391C"/>
    <w:rsid w:val="003971ED"/>
    <w:rsid w:val="003A0372"/>
    <w:rsid w:val="003A0D04"/>
    <w:rsid w:val="003A10AB"/>
    <w:rsid w:val="003A289E"/>
    <w:rsid w:val="003A390E"/>
    <w:rsid w:val="003A3968"/>
    <w:rsid w:val="003A49FD"/>
    <w:rsid w:val="003B1433"/>
    <w:rsid w:val="003B26D2"/>
    <w:rsid w:val="003B31B2"/>
    <w:rsid w:val="003B3F4B"/>
    <w:rsid w:val="003B56A7"/>
    <w:rsid w:val="003B7E41"/>
    <w:rsid w:val="003C405A"/>
    <w:rsid w:val="003C54A9"/>
    <w:rsid w:val="003D1AB8"/>
    <w:rsid w:val="003D3C05"/>
    <w:rsid w:val="003D593A"/>
    <w:rsid w:val="003D7F9D"/>
    <w:rsid w:val="003E0C3C"/>
    <w:rsid w:val="003E1A20"/>
    <w:rsid w:val="003E1A5F"/>
    <w:rsid w:val="003E29EA"/>
    <w:rsid w:val="003E4086"/>
    <w:rsid w:val="003E4DFF"/>
    <w:rsid w:val="003E595D"/>
    <w:rsid w:val="003E7B12"/>
    <w:rsid w:val="003F1AD7"/>
    <w:rsid w:val="003F28B3"/>
    <w:rsid w:val="003F3479"/>
    <w:rsid w:val="003F45A0"/>
    <w:rsid w:val="003F5BA1"/>
    <w:rsid w:val="003F6064"/>
    <w:rsid w:val="003F6391"/>
    <w:rsid w:val="00400FA2"/>
    <w:rsid w:val="00402925"/>
    <w:rsid w:val="00407688"/>
    <w:rsid w:val="00411F56"/>
    <w:rsid w:val="004127E8"/>
    <w:rsid w:val="00414017"/>
    <w:rsid w:val="00414AD4"/>
    <w:rsid w:val="00416920"/>
    <w:rsid w:val="004215DC"/>
    <w:rsid w:val="00421955"/>
    <w:rsid w:val="00427EDF"/>
    <w:rsid w:val="00430A32"/>
    <w:rsid w:val="00432202"/>
    <w:rsid w:val="00433EEF"/>
    <w:rsid w:val="0043444F"/>
    <w:rsid w:val="0043694D"/>
    <w:rsid w:val="00437F9F"/>
    <w:rsid w:val="004411F1"/>
    <w:rsid w:val="00442DD5"/>
    <w:rsid w:val="0044445D"/>
    <w:rsid w:val="00444A44"/>
    <w:rsid w:val="0044588B"/>
    <w:rsid w:val="0045672B"/>
    <w:rsid w:val="00456777"/>
    <w:rsid w:val="004603EF"/>
    <w:rsid w:val="00460B01"/>
    <w:rsid w:val="00464DA2"/>
    <w:rsid w:val="00464EE6"/>
    <w:rsid w:val="00465DD7"/>
    <w:rsid w:val="004711A9"/>
    <w:rsid w:val="00475732"/>
    <w:rsid w:val="0047593B"/>
    <w:rsid w:val="0047650D"/>
    <w:rsid w:val="00476EB8"/>
    <w:rsid w:val="0047723B"/>
    <w:rsid w:val="004773D2"/>
    <w:rsid w:val="00477C04"/>
    <w:rsid w:val="0048159D"/>
    <w:rsid w:val="004824A2"/>
    <w:rsid w:val="00485FD0"/>
    <w:rsid w:val="00486616"/>
    <w:rsid w:val="00486B3C"/>
    <w:rsid w:val="00492729"/>
    <w:rsid w:val="00496642"/>
    <w:rsid w:val="00496C21"/>
    <w:rsid w:val="004971E2"/>
    <w:rsid w:val="004A0421"/>
    <w:rsid w:val="004A1806"/>
    <w:rsid w:val="004A2969"/>
    <w:rsid w:val="004A4D84"/>
    <w:rsid w:val="004A7470"/>
    <w:rsid w:val="004B0122"/>
    <w:rsid w:val="004B121A"/>
    <w:rsid w:val="004B1C70"/>
    <w:rsid w:val="004B1F33"/>
    <w:rsid w:val="004C0A13"/>
    <w:rsid w:val="004C5013"/>
    <w:rsid w:val="004C54F0"/>
    <w:rsid w:val="004C5803"/>
    <w:rsid w:val="004D2527"/>
    <w:rsid w:val="004D2B66"/>
    <w:rsid w:val="004D5BEA"/>
    <w:rsid w:val="004D717B"/>
    <w:rsid w:val="004E3001"/>
    <w:rsid w:val="004E3EC3"/>
    <w:rsid w:val="004E7200"/>
    <w:rsid w:val="004F0F14"/>
    <w:rsid w:val="004F23C3"/>
    <w:rsid w:val="004F3A87"/>
    <w:rsid w:val="004F43A3"/>
    <w:rsid w:val="004F4BD4"/>
    <w:rsid w:val="004F7C15"/>
    <w:rsid w:val="0050115A"/>
    <w:rsid w:val="005035B2"/>
    <w:rsid w:val="00504F33"/>
    <w:rsid w:val="00505347"/>
    <w:rsid w:val="0050572B"/>
    <w:rsid w:val="00505B8D"/>
    <w:rsid w:val="005066F5"/>
    <w:rsid w:val="0050674A"/>
    <w:rsid w:val="00511649"/>
    <w:rsid w:val="00513D99"/>
    <w:rsid w:val="0051429F"/>
    <w:rsid w:val="005159BF"/>
    <w:rsid w:val="00517D6E"/>
    <w:rsid w:val="0052017A"/>
    <w:rsid w:val="005206B5"/>
    <w:rsid w:val="00524A6B"/>
    <w:rsid w:val="00524EDF"/>
    <w:rsid w:val="00526D2B"/>
    <w:rsid w:val="00531C67"/>
    <w:rsid w:val="00533A46"/>
    <w:rsid w:val="005356CB"/>
    <w:rsid w:val="00535D5D"/>
    <w:rsid w:val="00542299"/>
    <w:rsid w:val="005455BB"/>
    <w:rsid w:val="005515C0"/>
    <w:rsid w:val="00551F6C"/>
    <w:rsid w:val="005545DC"/>
    <w:rsid w:val="00560E0B"/>
    <w:rsid w:val="005625A5"/>
    <w:rsid w:val="0056675C"/>
    <w:rsid w:val="00570343"/>
    <w:rsid w:val="0057157E"/>
    <w:rsid w:val="0057163B"/>
    <w:rsid w:val="00575321"/>
    <w:rsid w:val="00583A1C"/>
    <w:rsid w:val="005854DC"/>
    <w:rsid w:val="005878FD"/>
    <w:rsid w:val="005902B4"/>
    <w:rsid w:val="0059200B"/>
    <w:rsid w:val="00595A00"/>
    <w:rsid w:val="00595CF4"/>
    <w:rsid w:val="005A1C4A"/>
    <w:rsid w:val="005A3AA3"/>
    <w:rsid w:val="005A6F4F"/>
    <w:rsid w:val="005B09D6"/>
    <w:rsid w:val="005B32E2"/>
    <w:rsid w:val="005B5184"/>
    <w:rsid w:val="005C0B72"/>
    <w:rsid w:val="005C13D0"/>
    <w:rsid w:val="005C2BD1"/>
    <w:rsid w:val="005D0844"/>
    <w:rsid w:val="005D169F"/>
    <w:rsid w:val="005D59EA"/>
    <w:rsid w:val="005D5F12"/>
    <w:rsid w:val="005E002E"/>
    <w:rsid w:val="005E1542"/>
    <w:rsid w:val="005E4340"/>
    <w:rsid w:val="005E6580"/>
    <w:rsid w:val="005E676D"/>
    <w:rsid w:val="005E6BBA"/>
    <w:rsid w:val="005F70DE"/>
    <w:rsid w:val="0060250C"/>
    <w:rsid w:val="00603598"/>
    <w:rsid w:val="006042C2"/>
    <w:rsid w:val="00605B13"/>
    <w:rsid w:val="006114EC"/>
    <w:rsid w:val="00615631"/>
    <w:rsid w:val="00617533"/>
    <w:rsid w:val="00617BEA"/>
    <w:rsid w:val="0062193F"/>
    <w:rsid w:val="00621C23"/>
    <w:rsid w:val="00622763"/>
    <w:rsid w:val="006227BE"/>
    <w:rsid w:val="006235C8"/>
    <w:rsid w:val="006245DB"/>
    <w:rsid w:val="00624905"/>
    <w:rsid w:val="0062720A"/>
    <w:rsid w:val="00630372"/>
    <w:rsid w:val="00630725"/>
    <w:rsid w:val="00630A7F"/>
    <w:rsid w:val="00631861"/>
    <w:rsid w:val="00631E2A"/>
    <w:rsid w:val="00631F3B"/>
    <w:rsid w:val="00633953"/>
    <w:rsid w:val="00634DB8"/>
    <w:rsid w:val="00635E13"/>
    <w:rsid w:val="00636160"/>
    <w:rsid w:val="00640246"/>
    <w:rsid w:val="0064086C"/>
    <w:rsid w:val="006419E9"/>
    <w:rsid w:val="00641A01"/>
    <w:rsid w:val="00642420"/>
    <w:rsid w:val="00642D14"/>
    <w:rsid w:val="00646C85"/>
    <w:rsid w:val="006479AC"/>
    <w:rsid w:val="00653877"/>
    <w:rsid w:val="00662797"/>
    <w:rsid w:val="00662907"/>
    <w:rsid w:val="00662A8F"/>
    <w:rsid w:val="006633F1"/>
    <w:rsid w:val="00664A8B"/>
    <w:rsid w:val="00664CA7"/>
    <w:rsid w:val="00665C39"/>
    <w:rsid w:val="00671E5B"/>
    <w:rsid w:val="0067350E"/>
    <w:rsid w:val="006744EE"/>
    <w:rsid w:val="00677804"/>
    <w:rsid w:val="00680558"/>
    <w:rsid w:val="0068102C"/>
    <w:rsid w:val="00683847"/>
    <w:rsid w:val="00684564"/>
    <w:rsid w:val="0068527F"/>
    <w:rsid w:val="006858DC"/>
    <w:rsid w:val="00687798"/>
    <w:rsid w:val="0069081A"/>
    <w:rsid w:val="00690895"/>
    <w:rsid w:val="00690ECB"/>
    <w:rsid w:val="0069376F"/>
    <w:rsid w:val="00693AE3"/>
    <w:rsid w:val="006A0BD4"/>
    <w:rsid w:val="006A1723"/>
    <w:rsid w:val="006A2166"/>
    <w:rsid w:val="006A2BC6"/>
    <w:rsid w:val="006A4D82"/>
    <w:rsid w:val="006A5F86"/>
    <w:rsid w:val="006A7BA6"/>
    <w:rsid w:val="006B5FE0"/>
    <w:rsid w:val="006B761D"/>
    <w:rsid w:val="006C192F"/>
    <w:rsid w:val="006C40A4"/>
    <w:rsid w:val="006C42BC"/>
    <w:rsid w:val="006C5D21"/>
    <w:rsid w:val="006C67F6"/>
    <w:rsid w:val="006D0188"/>
    <w:rsid w:val="006D0920"/>
    <w:rsid w:val="006D621B"/>
    <w:rsid w:val="006D7ABF"/>
    <w:rsid w:val="006E0237"/>
    <w:rsid w:val="006E1239"/>
    <w:rsid w:val="006E251B"/>
    <w:rsid w:val="006E3E1B"/>
    <w:rsid w:val="006E6659"/>
    <w:rsid w:val="006E699E"/>
    <w:rsid w:val="006F4B02"/>
    <w:rsid w:val="006F55C1"/>
    <w:rsid w:val="00701C09"/>
    <w:rsid w:val="0070382B"/>
    <w:rsid w:val="00706D58"/>
    <w:rsid w:val="00707500"/>
    <w:rsid w:val="0071220F"/>
    <w:rsid w:val="007145E8"/>
    <w:rsid w:val="00714B89"/>
    <w:rsid w:val="00714BA4"/>
    <w:rsid w:val="00715A30"/>
    <w:rsid w:val="0072514A"/>
    <w:rsid w:val="00727A1A"/>
    <w:rsid w:val="007309A0"/>
    <w:rsid w:val="007316F6"/>
    <w:rsid w:val="00731BE4"/>
    <w:rsid w:val="0073326A"/>
    <w:rsid w:val="00734238"/>
    <w:rsid w:val="00734BEF"/>
    <w:rsid w:val="00737AE2"/>
    <w:rsid w:val="007426A8"/>
    <w:rsid w:val="00747916"/>
    <w:rsid w:val="007479A1"/>
    <w:rsid w:val="00747FA9"/>
    <w:rsid w:val="00751F02"/>
    <w:rsid w:val="00752137"/>
    <w:rsid w:val="00752190"/>
    <w:rsid w:val="007562AA"/>
    <w:rsid w:val="00761DDC"/>
    <w:rsid w:val="00763484"/>
    <w:rsid w:val="00764C69"/>
    <w:rsid w:val="00766AE2"/>
    <w:rsid w:val="00766B37"/>
    <w:rsid w:val="00770464"/>
    <w:rsid w:val="00772C80"/>
    <w:rsid w:val="00773549"/>
    <w:rsid w:val="0077424B"/>
    <w:rsid w:val="007755EB"/>
    <w:rsid w:val="00777A92"/>
    <w:rsid w:val="00780234"/>
    <w:rsid w:val="00780818"/>
    <w:rsid w:val="007831F0"/>
    <w:rsid w:val="00783D84"/>
    <w:rsid w:val="00784961"/>
    <w:rsid w:val="007850A3"/>
    <w:rsid w:val="00785634"/>
    <w:rsid w:val="00785E00"/>
    <w:rsid w:val="00792858"/>
    <w:rsid w:val="00794773"/>
    <w:rsid w:val="00796751"/>
    <w:rsid w:val="007A1308"/>
    <w:rsid w:val="007A29D3"/>
    <w:rsid w:val="007A2DBD"/>
    <w:rsid w:val="007A380D"/>
    <w:rsid w:val="007A7B2C"/>
    <w:rsid w:val="007B0794"/>
    <w:rsid w:val="007B1509"/>
    <w:rsid w:val="007B2D3E"/>
    <w:rsid w:val="007B6304"/>
    <w:rsid w:val="007B6309"/>
    <w:rsid w:val="007B7980"/>
    <w:rsid w:val="007C1F94"/>
    <w:rsid w:val="007C55E0"/>
    <w:rsid w:val="007C6371"/>
    <w:rsid w:val="007D0737"/>
    <w:rsid w:val="007D0ABA"/>
    <w:rsid w:val="007D2FB9"/>
    <w:rsid w:val="007E189F"/>
    <w:rsid w:val="007E1ED8"/>
    <w:rsid w:val="007E549F"/>
    <w:rsid w:val="007E62B0"/>
    <w:rsid w:val="007F09B0"/>
    <w:rsid w:val="007F1EEC"/>
    <w:rsid w:val="007F2115"/>
    <w:rsid w:val="007F3B53"/>
    <w:rsid w:val="007F4E3E"/>
    <w:rsid w:val="007F6CE3"/>
    <w:rsid w:val="007F7A11"/>
    <w:rsid w:val="00800D33"/>
    <w:rsid w:val="00801DB0"/>
    <w:rsid w:val="008031DA"/>
    <w:rsid w:val="00803D52"/>
    <w:rsid w:val="00806A91"/>
    <w:rsid w:val="00806DC6"/>
    <w:rsid w:val="008111C7"/>
    <w:rsid w:val="00812CE2"/>
    <w:rsid w:val="008132B7"/>
    <w:rsid w:val="00815856"/>
    <w:rsid w:val="0082074C"/>
    <w:rsid w:val="0082284C"/>
    <w:rsid w:val="00823ABD"/>
    <w:rsid w:val="00831B01"/>
    <w:rsid w:val="00832CEA"/>
    <w:rsid w:val="008342D8"/>
    <w:rsid w:val="00840882"/>
    <w:rsid w:val="008433A1"/>
    <w:rsid w:val="00844B47"/>
    <w:rsid w:val="00852ECB"/>
    <w:rsid w:val="0086005B"/>
    <w:rsid w:val="008651F2"/>
    <w:rsid w:val="00867F3F"/>
    <w:rsid w:val="00870071"/>
    <w:rsid w:val="00870715"/>
    <w:rsid w:val="0087222E"/>
    <w:rsid w:val="00873094"/>
    <w:rsid w:val="008731A8"/>
    <w:rsid w:val="00873F23"/>
    <w:rsid w:val="00873FE2"/>
    <w:rsid w:val="00875426"/>
    <w:rsid w:val="008808F7"/>
    <w:rsid w:val="008815DD"/>
    <w:rsid w:val="00883A1C"/>
    <w:rsid w:val="00884182"/>
    <w:rsid w:val="0088598A"/>
    <w:rsid w:val="00891DE0"/>
    <w:rsid w:val="008925E6"/>
    <w:rsid w:val="008A0BD2"/>
    <w:rsid w:val="008A17CB"/>
    <w:rsid w:val="008A3B5F"/>
    <w:rsid w:val="008A4656"/>
    <w:rsid w:val="008A5829"/>
    <w:rsid w:val="008A5A27"/>
    <w:rsid w:val="008A68FA"/>
    <w:rsid w:val="008B5D11"/>
    <w:rsid w:val="008B76C5"/>
    <w:rsid w:val="008C0524"/>
    <w:rsid w:val="008C0D90"/>
    <w:rsid w:val="008C1C02"/>
    <w:rsid w:val="008C50D3"/>
    <w:rsid w:val="008C5717"/>
    <w:rsid w:val="008C7D3E"/>
    <w:rsid w:val="008D0E47"/>
    <w:rsid w:val="008D13B7"/>
    <w:rsid w:val="008D62F9"/>
    <w:rsid w:val="008D7810"/>
    <w:rsid w:val="008E0374"/>
    <w:rsid w:val="008E0420"/>
    <w:rsid w:val="008E1CA0"/>
    <w:rsid w:val="008E3DC9"/>
    <w:rsid w:val="008E5B84"/>
    <w:rsid w:val="008E6D09"/>
    <w:rsid w:val="008F08A2"/>
    <w:rsid w:val="008F15B8"/>
    <w:rsid w:val="008F265F"/>
    <w:rsid w:val="008F2D9B"/>
    <w:rsid w:val="008F75BB"/>
    <w:rsid w:val="009000A1"/>
    <w:rsid w:val="0090171F"/>
    <w:rsid w:val="00902695"/>
    <w:rsid w:val="00902F00"/>
    <w:rsid w:val="00902FD6"/>
    <w:rsid w:val="009037D3"/>
    <w:rsid w:val="00905657"/>
    <w:rsid w:val="00907EB9"/>
    <w:rsid w:val="009148A4"/>
    <w:rsid w:val="00915F2E"/>
    <w:rsid w:val="009167B6"/>
    <w:rsid w:val="009201C3"/>
    <w:rsid w:val="00920DAD"/>
    <w:rsid w:val="009249BA"/>
    <w:rsid w:val="00924E28"/>
    <w:rsid w:val="009275EE"/>
    <w:rsid w:val="009309AC"/>
    <w:rsid w:val="009313AB"/>
    <w:rsid w:val="009317B0"/>
    <w:rsid w:val="0093354E"/>
    <w:rsid w:val="009367B1"/>
    <w:rsid w:val="0093785A"/>
    <w:rsid w:val="0094130D"/>
    <w:rsid w:val="00943861"/>
    <w:rsid w:val="00943920"/>
    <w:rsid w:val="00945DEC"/>
    <w:rsid w:val="00946A04"/>
    <w:rsid w:val="00946F22"/>
    <w:rsid w:val="00950614"/>
    <w:rsid w:val="00953668"/>
    <w:rsid w:val="009543FA"/>
    <w:rsid w:val="00960385"/>
    <w:rsid w:val="00961264"/>
    <w:rsid w:val="00962208"/>
    <w:rsid w:val="009623DF"/>
    <w:rsid w:val="00965412"/>
    <w:rsid w:val="00966650"/>
    <w:rsid w:val="009673E0"/>
    <w:rsid w:val="00970644"/>
    <w:rsid w:val="00971B3C"/>
    <w:rsid w:val="009732E4"/>
    <w:rsid w:val="00973E7A"/>
    <w:rsid w:val="009742FA"/>
    <w:rsid w:val="009747C3"/>
    <w:rsid w:val="009751C2"/>
    <w:rsid w:val="00983876"/>
    <w:rsid w:val="009848BD"/>
    <w:rsid w:val="00986DC6"/>
    <w:rsid w:val="0099381D"/>
    <w:rsid w:val="00994A71"/>
    <w:rsid w:val="009A17FF"/>
    <w:rsid w:val="009A1994"/>
    <w:rsid w:val="009A222C"/>
    <w:rsid w:val="009A2442"/>
    <w:rsid w:val="009A273B"/>
    <w:rsid w:val="009A4B04"/>
    <w:rsid w:val="009A5A85"/>
    <w:rsid w:val="009A63C3"/>
    <w:rsid w:val="009B0549"/>
    <w:rsid w:val="009B15B4"/>
    <w:rsid w:val="009B2614"/>
    <w:rsid w:val="009B6278"/>
    <w:rsid w:val="009B6C34"/>
    <w:rsid w:val="009B76F8"/>
    <w:rsid w:val="009C1571"/>
    <w:rsid w:val="009C19E2"/>
    <w:rsid w:val="009D095E"/>
    <w:rsid w:val="009D2E19"/>
    <w:rsid w:val="009D4AA1"/>
    <w:rsid w:val="009D744D"/>
    <w:rsid w:val="009D7F85"/>
    <w:rsid w:val="009E07CA"/>
    <w:rsid w:val="009E19A7"/>
    <w:rsid w:val="009E2D72"/>
    <w:rsid w:val="009E62EC"/>
    <w:rsid w:val="009F3F97"/>
    <w:rsid w:val="009F3FA5"/>
    <w:rsid w:val="009F5D38"/>
    <w:rsid w:val="009F7089"/>
    <w:rsid w:val="009F79D5"/>
    <w:rsid w:val="00A01943"/>
    <w:rsid w:val="00A043E4"/>
    <w:rsid w:val="00A04BF2"/>
    <w:rsid w:val="00A05161"/>
    <w:rsid w:val="00A055A0"/>
    <w:rsid w:val="00A056A1"/>
    <w:rsid w:val="00A0615A"/>
    <w:rsid w:val="00A079C4"/>
    <w:rsid w:val="00A07C8D"/>
    <w:rsid w:val="00A12BAA"/>
    <w:rsid w:val="00A13B61"/>
    <w:rsid w:val="00A13BEA"/>
    <w:rsid w:val="00A13CCB"/>
    <w:rsid w:val="00A14B48"/>
    <w:rsid w:val="00A23A7A"/>
    <w:rsid w:val="00A24406"/>
    <w:rsid w:val="00A24FCC"/>
    <w:rsid w:val="00A2676D"/>
    <w:rsid w:val="00A26C75"/>
    <w:rsid w:val="00A31634"/>
    <w:rsid w:val="00A31D50"/>
    <w:rsid w:val="00A358FA"/>
    <w:rsid w:val="00A4178E"/>
    <w:rsid w:val="00A42C50"/>
    <w:rsid w:val="00A444AF"/>
    <w:rsid w:val="00A450D6"/>
    <w:rsid w:val="00A4709A"/>
    <w:rsid w:val="00A50270"/>
    <w:rsid w:val="00A508BA"/>
    <w:rsid w:val="00A50D10"/>
    <w:rsid w:val="00A519D0"/>
    <w:rsid w:val="00A52FC2"/>
    <w:rsid w:val="00A53B6C"/>
    <w:rsid w:val="00A545F1"/>
    <w:rsid w:val="00A54680"/>
    <w:rsid w:val="00A55263"/>
    <w:rsid w:val="00A558CE"/>
    <w:rsid w:val="00A5614F"/>
    <w:rsid w:val="00A63A51"/>
    <w:rsid w:val="00A657C3"/>
    <w:rsid w:val="00A67F1D"/>
    <w:rsid w:val="00A70F09"/>
    <w:rsid w:val="00A70FF2"/>
    <w:rsid w:val="00A7111A"/>
    <w:rsid w:val="00A7178B"/>
    <w:rsid w:val="00A740A3"/>
    <w:rsid w:val="00A74B1A"/>
    <w:rsid w:val="00A74EF8"/>
    <w:rsid w:val="00A750CC"/>
    <w:rsid w:val="00A77674"/>
    <w:rsid w:val="00A82310"/>
    <w:rsid w:val="00A83531"/>
    <w:rsid w:val="00A83C35"/>
    <w:rsid w:val="00A845A3"/>
    <w:rsid w:val="00A84C76"/>
    <w:rsid w:val="00A855B9"/>
    <w:rsid w:val="00A85CDE"/>
    <w:rsid w:val="00A85D3E"/>
    <w:rsid w:val="00A86890"/>
    <w:rsid w:val="00A8714D"/>
    <w:rsid w:val="00A87307"/>
    <w:rsid w:val="00A93215"/>
    <w:rsid w:val="00A93641"/>
    <w:rsid w:val="00A953D1"/>
    <w:rsid w:val="00A9588A"/>
    <w:rsid w:val="00A9733A"/>
    <w:rsid w:val="00AA2654"/>
    <w:rsid w:val="00AA30DC"/>
    <w:rsid w:val="00AA3334"/>
    <w:rsid w:val="00AA57DD"/>
    <w:rsid w:val="00AA79EE"/>
    <w:rsid w:val="00AB135B"/>
    <w:rsid w:val="00AB167D"/>
    <w:rsid w:val="00AB1C2F"/>
    <w:rsid w:val="00AB1EAC"/>
    <w:rsid w:val="00AB2AD9"/>
    <w:rsid w:val="00AB310B"/>
    <w:rsid w:val="00AB504D"/>
    <w:rsid w:val="00AB6924"/>
    <w:rsid w:val="00AC0E87"/>
    <w:rsid w:val="00AC2902"/>
    <w:rsid w:val="00AC3AD8"/>
    <w:rsid w:val="00AC67CF"/>
    <w:rsid w:val="00AD429C"/>
    <w:rsid w:val="00AE1C2A"/>
    <w:rsid w:val="00AE493F"/>
    <w:rsid w:val="00AE66AC"/>
    <w:rsid w:val="00AF0450"/>
    <w:rsid w:val="00AF12FB"/>
    <w:rsid w:val="00AF41DD"/>
    <w:rsid w:val="00AF50CE"/>
    <w:rsid w:val="00AF6D64"/>
    <w:rsid w:val="00AF7CC4"/>
    <w:rsid w:val="00AF7FCE"/>
    <w:rsid w:val="00B004CA"/>
    <w:rsid w:val="00B01B98"/>
    <w:rsid w:val="00B02217"/>
    <w:rsid w:val="00B0263F"/>
    <w:rsid w:val="00B02B58"/>
    <w:rsid w:val="00B02F18"/>
    <w:rsid w:val="00B05C8C"/>
    <w:rsid w:val="00B05EB6"/>
    <w:rsid w:val="00B06C7A"/>
    <w:rsid w:val="00B07271"/>
    <w:rsid w:val="00B0769E"/>
    <w:rsid w:val="00B149A7"/>
    <w:rsid w:val="00B15E79"/>
    <w:rsid w:val="00B201E7"/>
    <w:rsid w:val="00B20792"/>
    <w:rsid w:val="00B21D3F"/>
    <w:rsid w:val="00B23C89"/>
    <w:rsid w:val="00B255C5"/>
    <w:rsid w:val="00B25EF1"/>
    <w:rsid w:val="00B31F39"/>
    <w:rsid w:val="00B3345D"/>
    <w:rsid w:val="00B33AA7"/>
    <w:rsid w:val="00B34F4A"/>
    <w:rsid w:val="00B3508C"/>
    <w:rsid w:val="00B35272"/>
    <w:rsid w:val="00B36649"/>
    <w:rsid w:val="00B41A67"/>
    <w:rsid w:val="00B41A6A"/>
    <w:rsid w:val="00B4256C"/>
    <w:rsid w:val="00B42581"/>
    <w:rsid w:val="00B46A92"/>
    <w:rsid w:val="00B509C9"/>
    <w:rsid w:val="00B54FCD"/>
    <w:rsid w:val="00B56FEC"/>
    <w:rsid w:val="00B61285"/>
    <w:rsid w:val="00B61692"/>
    <w:rsid w:val="00B61EF2"/>
    <w:rsid w:val="00B626D6"/>
    <w:rsid w:val="00B6286A"/>
    <w:rsid w:val="00B65301"/>
    <w:rsid w:val="00B65CF9"/>
    <w:rsid w:val="00B7393A"/>
    <w:rsid w:val="00B753A5"/>
    <w:rsid w:val="00B768AF"/>
    <w:rsid w:val="00B778F4"/>
    <w:rsid w:val="00B77D03"/>
    <w:rsid w:val="00B80895"/>
    <w:rsid w:val="00B80C5C"/>
    <w:rsid w:val="00B8187E"/>
    <w:rsid w:val="00B83DBB"/>
    <w:rsid w:val="00B87099"/>
    <w:rsid w:val="00B905EE"/>
    <w:rsid w:val="00B9178E"/>
    <w:rsid w:val="00B93385"/>
    <w:rsid w:val="00B9356C"/>
    <w:rsid w:val="00B94E37"/>
    <w:rsid w:val="00B96479"/>
    <w:rsid w:val="00BA055E"/>
    <w:rsid w:val="00BA080D"/>
    <w:rsid w:val="00BA4228"/>
    <w:rsid w:val="00BA48B3"/>
    <w:rsid w:val="00BA54C2"/>
    <w:rsid w:val="00BB16F9"/>
    <w:rsid w:val="00BB1826"/>
    <w:rsid w:val="00BB2153"/>
    <w:rsid w:val="00BB245C"/>
    <w:rsid w:val="00BB2915"/>
    <w:rsid w:val="00BB2E5D"/>
    <w:rsid w:val="00BB2FFF"/>
    <w:rsid w:val="00BB734C"/>
    <w:rsid w:val="00BC0F1D"/>
    <w:rsid w:val="00BC2713"/>
    <w:rsid w:val="00BC2E4A"/>
    <w:rsid w:val="00BC3F1E"/>
    <w:rsid w:val="00BC4475"/>
    <w:rsid w:val="00BC55C6"/>
    <w:rsid w:val="00BC7940"/>
    <w:rsid w:val="00BC7A36"/>
    <w:rsid w:val="00BC7FF7"/>
    <w:rsid w:val="00BD0751"/>
    <w:rsid w:val="00BD1C54"/>
    <w:rsid w:val="00BD1F95"/>
    <w:rsid w:val="00BD2319"/>
    <w:rsid w:val="00BD2D7E"/>
    <w:rsid w:val="00BD38FF"/>
    <w:rsid w:val="00BD4BF5"/>
    <w:rsid w:val="00BD7670"/>
    <w:rsid w:val="00BE17C5"/>
    <w:rsid w:val="00BE246B"/>
    <w:rsid w:val="00BE4C1E"/>
    <w:rsid w:val="00BE5BC9"/>
    <w:rsid w:val="00BE6382"/>
    <w:rsid w:val="00BE6F07"/>
    <w:rsid w:val="00BF3F3C"/>
    <w:rsid w:val="00BF7F66"/>
    <w:rsid w:val="00C02012"/>
    <w:rsid w:val="00C022F9"/>
    <w:rsid w:val="00C045F6"/>
    <w:rsid w:val="00C07EDA"/>
    <w:rsid w:val="00C11C9F"/>
    <w:rsid w:val="00C143EE"/>
    <w:rsid w:val="00C1538C"/>
    <w:rsid w:val="00C16CDC"/>
    <w:rsid w:val="00C2087B"/>
    <w:rsid w:val="00C24787"/>
    <w:rsid w:val="00C250AD"/>
    <w:rsid w:val="00C25E66"/>
    <w:rsid w:val="00C25F10"/>
    <w:rsid w:val="00C2649F"/>
    <w:rsid w:val="00C26613"/>
    <w:rsid w:val="00C31521"/>
    <w:rsid w:val="00C36CD9"/>
    <w:rsid w:val="00C37785"/>
    <w:rsid w:val="00C42222"/>
    <w:rsid w:val="00C42B7C"/>
    <w:rsid w:val="00C44FB5"/>
    <w:rsid w:val="00C4522F"/>
    <w:rsid w:val="00C46077"/>
    <w:rsid w:val="00C46CDB"/>
    <w:rsid w:val="00C52244"/>
    <w:rsid w:val="00C53CB8"/>
    <w:rsid w:val="00C54DB3"/>
    <w:rsid w:val="00C57052"/>
    <w:rsid w:val="00C61891"/>
    <w:rsid w:val="00C63654"/>
    <w:rsid w:val="00C64593"/>
    <w:rsid w:val="00C6473B"/>
    <w:rsid w:val="00C71D5C"/>
    <w:rsid w:val="00C75A8E"/>
    <w:rsid w:val="00C84B02"/>
    <w:rsid w:val="00C85C90"/>
    <w:rsid w:val="00C90F4A"/>
    <w:rsid w:val="00C93E28"/>
    <w:rsid w:val="00C94FE4"/>
    <w:rsid w:val="00CA013A"/>
    <w:rsid w:val="00CA1043"/>
    <w:rsid w:val="00CA298C"/>
    <w:rsid w:val="00CA4720"/>
    <w:rsid w:val="00CA4B4D"/>
    <w:rsid w:val="00CB2065"/>
    <w:rsid w:val="00CB3B23"/>
    <w:rsid w:val="00CB3CB6"/>
    <w:rsid w:val="00CB43D4"/>
    <w:rsid w:val="00CB4F57"/>
    <w:rsid w:val="00CC0025"/>
    <w:rsid w:val="00CC47D9"/>
    <w:rsid w:val="00CC5652"/>
    <w:rsid w:val="00CC724C"/>
    <w:rsid w:val="00CC7ECC"/>
    <w:rsid w:val="00CD15D1"/>
    <w:rsid w:val="00CD1AC0"/>
    <w:rsid w:val="00CD280B"/>
    <w:rsid w:val="00CD2851"/>
    <w:rsid w:val="00CD2C20"/>
    <w:rsid w:val="00CD3358"/>
    <w:rsid w:val="00CD4D6F"/>
    <w:rsid w:val="00CD64E6"/>
    <w:rsid w:val="00CE2639"/>
    <w:rsid w:val="00CE4490"/>
    <w:rsid w:val="00CE4822"/>
    <w:rsid w:val="00CE5B35"/>
    <w:rsid w:val="00CE5B6B"/>
    <w:rsid w:val="00CE709D"/>
    <w:rsid w:val="00CF01E5"/>
    <w:rsid w:val="00CF04CD"/>
    <w:rsid w:val="00CF10E1"/>
    <w:rsid w:val="00CF12F8"/>
    <w:rsid w:val="00CF16E1"/>
    <w:rsid w:val="00CF6524"/>
    <w:rsid w:val="00CF6EB9"/>
    <w:rsid w:val="00CF7A03"/>
    <w:rsid w:val="00D02601"/>
    <w:rsid w:val="00D04320"/>
    <w:rsid w:val="00D04933"/>
    <w:rsid w:val="00D10AC5"/>
    <w:rsid w:val="00D11EC6"/>
    <w:rsid w:val="00D125AE"/>
    <w:rsid w:val="00D127EA"/>
    <w:rsid w:val="00D159FE"/>
    <w:rsid w:val="00D2001F"/>
    <w:rsid w:val="00D21B7A"/>
    <w:rsid w:val="00D24467"/>
    <w:rsid w:val="00D25F2F"/>
    <w:rsid w:val="00D33AF3"/>
    <w:rsid w:val="00D33E03"/>
    <w:rsid w:val="00D34E72"/>
    <w:rsid w:val="00D35AD5"/>
    <w:rsid w:val="00D3647C"/>
    <w:rsid w:val="00D364F7"/>
    <w:rsid w:val="00D366DF"/>
    <w:rsid w:val="00D4083B"/>
    <w:rsid w:val="00D40F64"/>
    <w:rsid w:val="00D44CF7"/>
    <w:rsid w:val="00D45096"/>
    <w:rsid w:val="00D45A02"/>
    <w:rsid w:val="00D51973"/>
    <w:rsid w:val="00D51D66"/>
    <w:rsid w:val="00D55F59"/>
    <w:rsid w:val="00D60E5A"/>
    <w:rsid w:val="00D627A7"/>
    <w:rsid w:val="00D62D5A"/>
    <w:rsid w:val="00D66DE1"/>
    <w:rsid w:val="00D7010C"/>
    <w:rsid w:val="00D7166A"/>
    <w:rsid w:val="00D71A86"/>
    <w:rsid w:val="00D724AD"/>
    <w:rsid w:val="00D74966"/>
    <w:rsid w:val="00D750C3"/>
    <w:rsid w:val="00D7561A"/>
    <w:rsid w:val="00D7633E"/>
    <w:rsid w:val="00D76AFF"/>
    <w:rsid w:val="00D76CCD"/>
    <w:rsid w:val="00D80141"/>
    <w:rsid w:val="00D82265"/>
    <w:rsid w:val="00D841C6"/>
    <w:rsid w:val="00D85918"/>
    <w:rsid w:val="00D85956"/>
    <w:rsid w:val="00D85D04"/>
    <w:rsid w:val="00D86D69"/>
    <w:rsid w:val="00D90CC5"/>
    <w:rsid w:val="00D91B8A"/>
    <w:rsid w:val="00D91C61"/>
    <w:rsid w:val="00D92D54"/>
    <w:rsid w:val="00DA3496"/>
    <w:rsid w:val="00DA635A"/>
    <w:rsid w:val="00DB0A95"/>
    <w:rsid w:val="00DB0D9B"/>
    <w:rsid w:val="00DB16F2"/>
    <w:rsid w:val="00DB26EA"/>
    <w:rsid w:val="00DB3ACD"/>
    <w:rsid w:val="00DB4F2A"/>
    <w:rsid w:val="00DB7E7D"/>
    <w:rsid w:val="00DC0380"/>
    <w:rsid w:val="00DC43A6"/>
    <w:rsid w:val="00DC6F84"/>
    <w:rsid w:val="00DD6655"/>
    <w:rsid w:val="00DD6CB7"/>
    <w:rsid w:val="00DE3F87"/>
    <w:rsid w:val="00DE5869"/>
    <w:rsid w:val="00DE6BB8"/>
    <w:rsid w:val="00DE6EBD"/>
    <w:rsid w:val="00DE6F32"/>
    <w:rsid w:val="00DE7F9D"/>
    <w:rsid w:val="00DF19EF"/>
    <w:rsid w:val="00DF5759"/>
    <w:rsid w:val="00DF5D0C"/>
    <w:rsid w:val="00DF647C"/>
    <w:rsid w:val="00E020D6"/>
    <w:rsid w:val="00E0357B"/>
    <w:rsid w:val="00E059E6"/>
    <w:rsid w:val="00E1092D"/>
    <w:rsid w:val="00E1142A"/>
    <w:rsid w:val="00E1274E"/>
    <w:rsid w:val="00E13800"/>
    <w:rsid w:val="00E13C7B"/>
    <w:rsid w:val="00E15E54"/>
    <w:rsid w:val="00E16BBE"/>
    <w:rsid w:val="00E17D90"/>
    <w:rsid w:val="00E20051"/>
    <w:rsid w:val="00E217DF"/>
    <w:rsid w:val="00E228A9"/>
    <w:rsid w:val="00E2336E"/>
    <w:rsid w:val="00E24652"/>
    <w:rsid w:val="00E24AA1"/>
    <w:rsid w:val="00E25862"/>
    <w:rsid w:val="00E268A1"/>
    <w:rsid w:val="00E26B56"/>
    <w:rsid w:val="00E27D54"/>
    <w:rsid w:val="00E30BC5"/>
    <w:rsid w:val="00E326A8"/>
    <w:rsid w:val="00E359EB"/>
    <w:rsid w:val="00E4061F"/>
    <w:rsid w:val="00E40FD7"/>
    <w:rsid w:val="00E50554"/>
    <w:rsid w:val="00E55972"/>
    <w:rsid w:val="00E57971"/>
    <w:rsid w:val="00E60ECF"/>
    <w:rsid w:val="00E70EAA"/>
    <w:rsid w:val="00E72862"/>
    <w:rsid w:val="00E75A89"/>
    <w:rsid w:val="00E7632E"/>
    <w:rsid w:val="00E7751B"/>
    <w:rsid w:val="00E80323"/>
    <w:rsid w:val="00E81386"/>
    <w:rsid w:val="00E837F8"/>
    <w:rsid w:val="00E8389A"/>
    <w:rsid w:val="00E84518"/>
    <w:rsid w:val="00E86242"/>
    <w:rsid w:val="00E8667C"/>
    <w:rsid w:val="00E90F4D"/>
    <w:rsid w:val="00E92E7C"/>
    <w:rsid w:val="00E93DEB"/>
    <w:rsid w:val="00E95EB2"/>
    <w:rsid w:val="00E96831"/>
    <w:rsid w:val="00EA2FE6"/>
    <w:rsid w:val="00EA4E79"/>
    <w:rsid w:val="00EA70B5"/>
    <w:rsid w:val="00EB3B95"/>
    <w:rsid w:val="00EB47E8"/>
    <w:rsid w:val="00EC195D"/>
    <w:rsid w:val="00EC3D8B"/>
    <w:rsid w:val="00ED2FE6"/>
    <w:rsid w:val="00ED532E"/>
    <w:rsid w:val="00ED5E39"/>
    <w:rsid w:val="00ED6578"/>
    <w:rsid w:val="00ED796F"/>
    <w:rsid w:val="00ED7A39"/>
    <w:rsid w:val="00ED7D43"/>
    <w:rsid w:val="00EE1289"/>
    <w:rsid w:val="00EE7C22"/>
    <w:rsid w:val="00EF0E5B"/>
    <w:rsid w:val="00EF1817"/>
    <w:rsid w:val="00EF1C29"/>
    <w:rsid w:val="00EF64CC"/>
    <w:rsid w:val="00EF6A1B"/>
    <w:rsid w:val="00EF6DB8"/>
    <w:rsid w:val="00F00776"/>
    <w:rsid w:val="00F00F84"/>
    <w:rsid w:val="00F011E4"/>
    <w:rsid w:val="00F01C5C"/>
    <w:rsid w:val="00F03203"/>
    <w:rsid w:val="00F04388"/>
    <w:rsid w:val="00F04C67"/>
    <w:rsid w:val="00F11405"/>
    <w:rsid w:val="00F1179B"/>
    <w:rsid w:val="00F11F3A"/>
    <w:rsid w:val="00F12523"/>
    <w:rsid w:val="00F1396F"/>
    <w:rsid w:val="00F16BC7"/>
    <w:rsid w:val="00F16C15"/>
    <w:rsid w:val="00F178FF"/>
    <w:rsid w:val="00F20687"/>
    <w:rsid w:val="00F209F8"/>
    <w:rsid w:val="00F21A5C"/>
    <w:rsid w:val="00F22F58"/>
    <w:rsid w:val="00F23588"/>
    <w:rsid w:val="00F24CEA"/>
    <w:rsid w:val="00F24EA6"/>
    <w:rsid w:val="00F254C2"/>
    <w:rsid w:val="00F263FA"/>
    <w:rsid w:val="00F27E5D"/>
    <w:rsid w:val="00F360E4"/>
    <w:rsid w:val="00F3749C"/>
    <w:rsid w:val="00F4059A"/>
    <w:rsid w:val="00F426D8"/>
    <w:rsid w:val="00F43EFE"/>
    <w:rsid w:val="00F44D39"/>
    <w:rsid w:val="00F4657A"/>
    <w:rsid w:val="00F46ECF"/>
    <w:rsid w:val="00F472EB"/>
    <w:rsid w:val="00F50B04"/>
    <w:rsid w:val="00F554CF"/>
    <w:rsid w:val="00F57615"/>
    <w:rsid w:val="00F60548"/>
    <w:rsid w:val="00F62519"/>
    <w:rsid w:val="00F6565E"/>
    <w:rsid w:val="00F675C7"/>
    <w:rsid w:val="00F71310"/>
    <w:rsid w:val="00F72AEE"/>
    <w:rsid w:val="00F76029"/>
    <w:rsid w:val="00F77EE1"/>
    <w:rsid w:val="00F8354B"/>
    <w:rsid w:val="00F842F2"/>
    <w:rsid w:val="00F87E32"/>
    <w:rsid w:val="00F87F4E"/>
    <w:rsid w:val="00F93B65"/>
    <w:rsid w:val="00F97117"/>
    <w:rsid w:val="00F97FDE"/>
    <w:rsid w:val="00FA22EF"/>
    <w:rsid w:val="00FA29B9"/>
    <w:rsid w:val="00FA2A16"/>
    <w:rsid w:val="00FA3EC5"/>
    <w:rsid w:val="00FA4DCA"/>
    <w:rsid w:val="00FA4FB7"/>
    <w:rsid w:val="00FA53AD"/>
    <w:rsid w:val="00FA6845"/>
    <w:rsid w:val="00FB2399"/>
    <w:rsid w:val="00FB40F7"/>
    <w:rsid w:val="00FB5693"/>
    <w:rsid w:val="00FC30B9"/>
    <w:rsid w:val="00FC442C"/>
    <w:rsid w:val="00FC4A34"/>
    <w:rsid w:val="00FD14DB"/>
    <w:rsid w:val="00FD57CF"/>
    <w:rsid w:val="00FD5B63"/>
    <w:rsid w:val="00FD5D35"/>
    <w:rsid w:val="00FE2322"/>
    <w:rsid w:val="00FE3B3A"/>
    <w:rsid w:val="00FE4872"/>
    <w:rsid w:val="00FF071D"/>
    <w:rsid w:val="00FF45C6"/>
    <w:rsid w:val="017F5C44"/>
    <w:rsid w:val="01953262"/>
    <w:rsid w:val="03E14433"/>
    <w:rsid w:val="048A21D4"/>
    <w:rsid w:val="08035F86"/>
    <w:rsid w:val="08C36661"/>
    <w:rsid w:val="08C95AAE"/>
    <w:rsid w:val="09F5947E"/>
    <w:rsid w:val="0A65FB3E"/>
    <w:rsid w:val="0B7FDCA7"/>
    <w:rsid w:val="0DB42DC6"/>
    <w:rsid w:val="12614229"/>
    <w:rsid w:val="172A6B2A"/>
    <w:rsid w:val="1AE53D95"/>
    <w:rsid w:val="1F9DCE85"/>
    <w:rsid w:val="1FD4DA09"/>
    <w:rsid w:val="217B6EA7"/>
    <w:rsid w:val="22937848"/>
    <w:rsid w:val="25F99064"/>
    <w:rsid w:val="28030E3F"/>
    <w:rsid w:val="35001679"/>
    <w:rsid w:val="380E5121"/>
    <w:rsid w:val="39D4B68C"/>
    <w:rsid w:val="3F51EB8D"/>
    <w:rsid w:val="43F7AF75"/>
    <w:rsid w:val="4B78A1A6"/>
    <w:rsid w:val="4F330D09"/>
    <w:rsid w:val="5629ECB3"/>
    <w:rsid w:val="57A858AA"/>
    <w:rsid w:val="5A410779"/>
    <w:rsid w:val="60616D45"/>
    <w:rsid w:val="64F6A0CD"/>
    <w:rsid w:val="6725D197"/>
    <w:rsid w:val="6A55CA7D"/>
    <w:rsid w:val="71367695"/>
    <w:rsid w:val="73E449EE"/>
    <w:rsid w:val="7A692BC0"/>
    <w:rsid w:val="7BA57177"/>
    <w:rsid w:val="7BB8B01F"/>
    <w:rsid w:val="7F052225"/>
    <w:rsid w:val="7F1C841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83879"/>
  <w15:chartTrackingRefBased/>
  <w15:docId w15:val="{40BD7C37-C4F5-4A20-8D95-8A3E8CEC0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semiHidden/>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tabs>
        <w:tab w:val="num" w:pos="532"/>
      </w:tabs>
      <w:spacing w:before="0" w:after="240" w:line="260" w:lineRule="exact"/>
      <w:ind w:left="532" w:hanging="284"/>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uiPriority w:val="99"/>
    <w:rsid w:val="00F22F58"/>
    <w:pPr>
      <w:tabs>
        <w:tab w:val="center" w:pos="4153"/>
        <w:tab w:val="right" w:pos="8306"/>
      </w:tabs>
    </w:pPr>
  </w:style>
  <w:style w:type="character" w:customStyle="1" w:styleId="FooterChar">
    <w:name w:val="Footer Char"/>
    <w:basedOn w:val="DefaultParagraphFont"/>
    <w:link w:val="Footer"/>
    <w:uiPriority w:val="99"/>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link w:val="InstructionalguidancedotpointChar"/>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link w:val="NormalparatextwithnumbersChar"/>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semiHidden/>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FollowedHyperlink">
    <w:name w:val="FollowedHyperlink"/>
    <w:basedOn w:val="DefaultParagraphFont"/>
    <w:uiPriority w:val="99"/>
    <w:semiHidden/>
    <w:unhideWhenUsed/>
    <w:rsid w:val="000A4EB2"/>
    <w:rPr>
      <w:color w:val="954F72" w:themeColor="followedHyperlink"/>
      <w:u w:val="single"/>
    </w:rPr>
  </w:style>
  <w:style w:type="character" w:customStyle="1" w:styleId="InstructionalguidancedotpointChar">
    <w:name w:val="Instructional guidance dot point Char"/>
    <w:basedOn w:val="InstructionalguidanceChar"/>
    <w:link w:val="Instructionalguidancedotpoint"/>
    <w:uiPriority w:val="99"/>
    <w:rsid w:val="000A4EB2"/>
    <w:rPr>
      <w:rFonts w:ascii="Calibri" w:eastAsia="Calibri" w:hAnsi="Calibri"/>
      <w:color w:val="2F5496" w:themeColor="accent1" w:themeShade="BF"/>
      <w:lang w:eastAsia="en-GB"/>
    </w:rPr>
  </w:style>
  <w:style w:type="paragraph" w:customStyle="1" w:styleId="Bullet">
    <w:name w:val="Bullet"/>
    <w:basedOn w:val="Normal"/>
    <w:link w:val="BulletChar"/>
    <w:rsid w:val="0027000D"/>
    <w:pPr>
      <w:tabs>
        <w:tab w:val="num" w:pos="520"/>
        <w:tab w:val="left" w:pos="720"/>
      </w:tabs>
      <w:ind w:left="520" w:hanging="520"/>
    </w:pPr>
    <w:rPr>
      <w:rFonts w:eastAsia="Calibri"/>
      <w:color w:val="2F5496" w:themeColor="accent1" w:themeShade="BF"/>
      <w:lang w:eastAsia="en-GB"/>
    </w:rPr>
  </w:style>
  <w:style w:type="character" w:customStyle="1" w:styleId="BulletChar">
    <w:name w:val="Bullet Char"/>
    <w:basedOn w:val="InstructionalguidancedotpointChar"/>
    <w:link w:val="Bullet"/>
    <w:rsid w:val="0027000D"/>
    <w:rPr>
      <w:rFonts w:ascii="Times New Roman" w:eastAsia="Calibri" w:hAnsi="Times New Roman"/>
      <w:color w:val="2F5496" w:themeColor="accent1" w:themeShade="BF"/>
      <w:lang w:eastAsia="en-GB"/>
    </w:rPr>
  </w:style>
  <w:style w:type="paragraph" w:customStyle="1" w:styleId="DoubleDot">
    <w:name w:val="Double Dot"/>
    <w:basedOn w:val="Normal"/>
    <w:rsid w:val="0027000D"/>
    <w:pPr>
      <w:tabs>
        <w:tab w:val="left" w:pos="720"/>
        <w:tab w:val="num" w:pos="1560"/>
      </w:tabs>
      <w:ind w:left="1560" w:hanging="520"/>
    </w:pPr>
    <w:rPr>
      <w:rFonts w:eastAsia="Calibri"/>
      <w:color w:val="2F5496" w:themeColor="accent1" w:themeShade="BF"/>
      <w:lang w:eastAsia="en-GB"/>
    </w:rPr>
  </w:style>
  <w:style w:type="character" w:styleId="CommentReference">
    <w:name w:val="annotation reference"/>
    <w:basedOn w:val="DefaultParagraphFont"/>
    <w:uiPriority w:val="99"/>
    <w:semiHidden/>
    <w:unhideWhenUsed/>
    <w:rsid w:val="00615631"/>
    <w:rPr>
      <w:sz w:val="16"/>
      <w:szCs w:val="16"/>
    </w:rPr>
  </w:style>
  <w:style w:type="paragraph" w:styleId="CommentText">
    <w:name w:val="annotation text"/>
    <w:basedOn w:val="Normal"/>
    <w:link w:val="CommentTextChar"/>
    <w:uiPriority w:val="99"/>
    <w:unhideWhenUsed/>
    <w:rsid w:val="00615631"/>
    <w:rPr>
      <w:sz w:val="20"/>
      <w:szCs w:val="20"/>
    </w:rPr>
  </w:style>
  <w:style w:type="character" w:customStyle="1" w:styleId="CommentTextChar">
    <w:name w:val="Comment Text Char"/>
    <w:basedOn w:val="DefaultParagraphFont"/>
    <w:link w:val="CommentText"/>
    <w:uiPriority w:val="99"/>
    <w:rsid w:val="0061563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15631"/>
    <w:rPr>
      <w:b/>
      <w:bCs/>
    </w:rPr>
  </w:style>
  <w:style w:type="character" w:customStyle="1" w:styleId="CommentSubjectChar">
    <w:name w:val="Comment Subject Char"/>
    <w:basedOn w:val="CommentTextChar"/>
    <w:link w:val="CommentSubject"/>
    <w:uiPriority w:val="99"/>
    <w:semiHidden/>
    <w:rsid w:val="00615631"/>
    <w:rPr>
      <w:rFonts w:ascii="Times New Roman" w:hAnsi="Times New Roman"/>
      <w:b/>
      <w:bCs/>
      <w:sz w:val="20"/>
      <w:szCs w:val="20"/>
    </w:rPr>
  </w:style>
  <w:style w:type="character" w:customStyle="1" w:styleId="NormalparatextwithnumbersChar">
    <w:name w:val="Normal para text (with numbers) Char"/>
    <w:basedOn w:val="DefaultParagraphFont"/>
    <w:link w:val="Normalparatextwithnumbers"/>
    <w:locked/>
    <w:rsid w:val="00F24EA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20F3A58D1FCD479DB09520EEB08727" ma:contentTypeVersion="29" ma:contentTypeDescription="Create a new document." ma:contentTypeScope="" ma:versionID="b70f77bccb5bc2f7f4003baf009a0dda">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xmlns:ns5="7865330c-fbc7-491e-a33e-3e7ed08202e7" targetNamespace="http://schemas.microsoft.com/office/2006/metadata/properties" ma:root="true" ma:fieldsID="31a7d1b17826e884055933b9381366c0" ns1:_="" ns2:_="" ns3:_="" ns4:_="" ns5:_="">
    <xsd:import namespace="http://schemas.microsoft.com/sharepoint/v3"/>
    <xsd:import namespace="ff38c824-6e29-4496-8487-69f397e7ed29"/>
    <xsd:import namespace="fe39d773-a83d-4623-ae74-f25711a76616"/>
    <xsd:import namespace="a289cb20-8bb9-401f-8d7b-706fb1a2988d"/>
    <xsd:import namespace="7865330c-fbc7-491e-a33e-3e7ed08202e7"/>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2:SharedWithUsers" minOccurs="0"/>
                <xsd:element ref="ns2:SharedWithDetails" minOccurs="0"/>
                <xsd:element ref="ns5:lcf76f155ced4ddcb4097134ff3c332f"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65330c-fbc7-491e-a33e-3e7ed08202e7" elementFormDefault="qualified">
    <xsd:import namespace="http://schemas.microsoft.com/office/2006/documentManagement/types"/>
    <xsd:import namespace="http://schemas.microsoft.com/office/infopath/2007/PartnerControls"/>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e39d773-a83d-4623-ae74-f25711a76616">5D7SUYYWNZQE-140307370-3210</_dlc_DocId>
    <_dlc_DocIdUrl xmlns="fe39d773-a83d-4623-ae74-f25711a76616">
      <Url>https://austreasury.sharepoint.com/sites/leg-meas-function/_layouts/15/DocIdRedir.aspx?ID=5D7SUYYWNZQE-140307370-3210</Url>
      <Description>5D7SUYYWNZQE-140307370-3210</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35e84e62-3a26-4caf-a0d0-f6c17aaffba5</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Other indirect taxes and levies</TermName>
          <TermId xmlns="http://schemas.microsoft.com/office/infopath/2007/PartnerControls">10ba3b99-4f4a-4727-8a42-546722046c72</TermId>
        </TermInfo>
      </Terms>
    </gfba5f33532c49208d2320ce38cc3c2b>
    <TaxCatchAll xmlns="ff38c824-6e29-4496-8487-69f397e7ed29">
      <Value>164</Value>
      <Value>3</Value>
      <Value>101</Value>
      <Value>1</Value>
      <Value>28</Value>
    </TaxCatchAll>
    <lcf76f155ced4ddcb4097134ff3c332f xmlns="7865330c-fbc7-491e-a33e-3e7ed08202e7">
      <Terms xmlns="http://schemas.microsoft.com/office/infopath/2007/PartnerControls"/>
    </lcf76f155ced4ddcb4097134ff3c332f>
    <DocumentSetDescription xmlns="http://schemas.microsoft.com/sharepoint/v3" xsi:nil="true"/>
    <Measureorigin xmlns="a289cb20-8bb9-401f-8d7b-706fb1a2988d">2023-24 MYEFO Measure</Measureorigin>
    <PT_x002f_Measure_x0020_No. xmlns="ff38c824-6e29-4496-8487-69f397e7ed29">TSY/47/0648</PT_x002f_Measure_x0020_No.>
    <Keydoc xmlns="a289cb20-8bb9-401f-8d7b-706fb1a2988d" xsi:nil="true"/>
    <Act_x0028_s_x0029_beingamended xmlns="a289cb20-8bb9-401f-8d7b-706fb1a2988d">Income Tax Assessment Act (1997)</Act_x0028_s_x0029_beingamended>
    <Projectname xmlns="a289cb20-8bb9-401f-8d7b-706fb1a2988d">Producer Tax Offset</Projectnam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B0F548A-E232-4464-8EF8-397E763A7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7865330c-fbc7-491e-a33e-3e7ed0820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customXml/itemProps3.xml><?xml version="1.0" encoding="utf-8"?>
<ds:datastoreItem xmlns:ds="http://schemas.openxmlformats.org/officeDocument/2006/customXml" ds:itemID="{466923F5-2C3A-4884-9281-238330888898}">
  <ds:schemaRefs>
    <ds:schemaRef ds:uri="http://schemas.microsoft.com/sharepoint/v3/contenttype/forms"/>
  </ds:schemaRefs>
</ds:datastoreItem>
</file>

<file path=customXml/itemProps4.xml><?xml version="1.0" encoding="utf-8"?>
<ds:datastoreItem xmlns:ds="http://schemas.openxmlformats.org/officeDocument/2006/customXml" ds:itemID="{6AB365E2-A817-49FA-9295-CAB62986032D}">
  <ds:schemaRefs>
    <ds:schemaRef ds:uri="http://purl.org/dc/dcmitype/"/>
    <ds:schemaRef ds:uri="http://purl.org/dc/elements/1.1/"/>
    <ds:schemaRef ds:uri="http://schemas.microsoft.com/office/2006/documentManagement/types"/>
    <ds:schemaRef ds:uri="http://schemas.microsoft.com/office/2006/metadata/properties"/>
    <ds:schemaRef ds:uri="7865330c-fbc7-491e-a33e-3e7ed08202e7"/>
    <ds:schemaRef ds:uri="http://purl.org/dc/terms/"/>
    <ds:schemaRef ds:uri="ff38c824-6e29-4496-8487-69f397e7ed29"/>
    <ds:schemaRef ds:uri="a289cb20-8bb9-401f-8d7b-706fb1a2988d"/>
    <ds:schemaRef ds:uri="fe39d773-a83d-4623-ae74-f25711a76616"/>
    <ds:schemaRef ds:uri="http://schemas.microsoft.com/sharepoint/v3"/>
    <ds:schemaRef ds:uri="http://schemas.openxmlformats.org/package/2006/metadata/core-properti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803A0CDC-C784-412C-965F-5B95A8D2B3A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Pri-EM.dotx</Template>
  <TotalTime>24</TotalTime>
  <Pages>8</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Exposure explanatory materials - producer tax offset</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explanatory materials - producer tax offset</dc:title>
  <dc:subject/>
  <dc:creator>Treasury</dc:creator>
  <cp:keywords/>
  <dc:description/>
  <cp:lastModifiedBy>Pazios, Georgia</cp:lastModifiedBy>
  <cp:revision>37</cp:revision>
  <dcterms:created xsi:type="dcterms:W3CDTF">2024-02-01T03:15:00Z</dcterms:created>
  <dcterms:modified xsi:type="dcterms:W3CDTF">2024-02-05T03:55:00Z</dcterms:modified>
</cp:coreProperties>
</file>