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0C1AA" w14:textId="6202CF50" w:rsidR="00A97160" w:rsidRPr="00F66052" w:rsidRDefault="00EC3BF6" w:rsidP="009344CA">
      <w:pPr>
        <w:pStyle w:val="Title"/>
        <w:spacing w:before="1680"/>
      </w:pPr>
      <w:r>
        <w:t>Advice on</w:t>
      </w:r>
      <w:r w:rsidR="00631F4C" w:rsidRPr="00F66052">
        <w:t xml:space="preserve"> </w:t>
      </w:r>
      <w:r>
        <w:t>a</w:t>
      </w:r>
      <w:r w:rsidRPr="00F66052">
        <w:t xml:space="preserve">mending </w:t>
      </w:r>
      <w:r w:rsidR="003D66F6" w:rsidRPr="00F66052">
        <w:t xml:space="preserve">tax cuts </w:t>
      </w:r>
      <w:r w:rsidR="00341498" w:rsidRPr="00F66052">
        <w:t xml:space="preserve">to </w:t>
      </w:r>
      <w:r w:rsidR="00341498" w:rsidRPr="001451A4">
        <w:t>deliver</w:t>
      </w:r>
      <w:r w:rsidR="00341498" w:rsidRPr="00F66052">
        <w:t xml:space="preserve"> </w:t>
      </w:r>
      <w:r w:rsidR="00E302CA" w:rsidRPr="00F66052">
        <w:t>broader</w:t>
      </w:r>
      <w:r w:rsidR="00631F4C" w:rsidRPr="00F66052">
        <w:t xml:space="preserve"> cost</w:t>
      </w:r>
      <w:r w:rsidR="00402B27" w:rsidRPr="00F66052">
        <w:noBreakHyphen/>
      </w:r>
      <w:r w:rsidR="00631F4C" w:rsidRPr="00F66052">
        <w:t>of</w:t>
      </w:r>
      <w:r w:rsidR="00402B27" w:rsidRPr="00F66052">
        <w:noBreakHyphen/>
      </w:r>
      <w:r w:rsidR="00631F4C" w:rsidRPr="00F66052">
        <w:t xml:space="preserve">living </w:t>
      </w:r>
      <w:r w:rsidR="00341498" w:rsidRPr="00F66052">
        <w:t>relief</w:t>
      </w:r>
    </w:p>
    <w:p w14:paraId="540EC2B4" w14:textId="0C797CA2" w:rsidR="0026024B" w:rsidRPr="00ED3368" w:rsidRDefault="0026024B" w:rsidP="003828F3">
      <w:pPr>
        <w:pStyle w:val="Heading1"/>
      </w:pPr>
      <w:r w:rsidRPr="003828F3">
        <w:t>Overview</w:t>
      </w:r>
    </w:p>
    <w:p w14:paraId="48E80E48" w14:textId="686721C7" w:rsidR="00631F4C" w:rsidRDefault="00631F4C" w:rsidP="003828F3">
      <w:pPr>
        <w:rPr>
          <w:rFonts w:ascii="Calibri" w:eastAsia="Calibri" w:hAnsi="Calibri" w:cs="Calibri"/>
          <w:color w:val="5F5F5F" w:themeColor="text2"/>
        </w:rPr>
      </w:pPr>
      <w:r>
        <w:t>The upcoming</w:t>
      </w:r>
      <w:r w:rsidDel="002E0605">
        <w:t xml:space="preserve"> </w:t>
      </w:r>
      <w:r w:rsidR="002E0605">
        <w:t>Stage</w:t>
      </w:r>
      <w:r>
        <w:t xml:space="preserve"> 3 tax cuts were designed </w:t>
      </w:r>
      <w:r w:rsidR="0009140E">
        <w:t xml:space="preserve">and legislated </w:t>
      </w:r>
      <w:r>
        <w:t xml:space="preserve">when dramatically different circumstances were expected to unfold. </w:t>
      </w:r>
      <w:r w:rsidR="004A21B7">
        <w:t>Since the</w:t>
      </w:r>
      <w:r w:rsidR="002D52ED">
        <w:t>y were legislated</w:t>
      </w:r>
      <w:r w:rsidR="005C5B2F">
        <w:t>,</w:t>
      </w:r>
      <w:r w:rsidR="004A21B7">
        <w:t xml:space="preserve"> the </w:t>
      </w:r>
      <w:r w:rsidR="00ED3369">
        <w:t xml:space="preserve">global </w:t>
      </w:r>
      <w:r w:rsidR="000509BD">
        <w:t xml:space="preserve">economy has </w:t>
      </w:r>
      <w:r w:rsidR="655615CD">
        <w:rPr>
          <w:rFonts w:eastAsia="Calibri"/>
        </w:rPr>
        <w:t>b</w:t>
      </w:r>
      <w:r w:rsidR="00F47F76">
        <w:rPr>
          <w:rFonts w:eastAsia="Calibri"/>
        </w:rPr>
        <w:t>een</w:t>
      </w:r>
      <w:r w:rsidR="655615CD">
        <w:rPr>
          <w:rFonts w:eastAsia="Calibri"/>
        </w:rPr>
        <w:t xml:space="preserve"> </w:t>
      </w:r>
      <w:r w:rsidR="00B94F42">
        <w:t>impa</w:t>
      </w:r>
      <w:r w:rsidR="00375628">
        <w:t xml:space="preserve">cted </w:t>
      </w:r>
      <w:r w:rsidR="004805F1">
        <w:t xml:space="preserve">by </w:t>
      </w:r>
      <w:r w:rsidR="0014144B">
        <w:t>several</w:t>
      </w:r>
      <w:r w:rsidR="004805F1">
        <w:t xml:space="preserve"> </w:t>
      </w:r>
      <w:r w:rsidR="655615CD">
        <w:rPr>
          <w:rFonts w:eastAsia="Calibri"/>
        </w:rPr>
        <w:t>significant</w:t>
      </w:r>
      <w:r w:rsidR="004E14F9">
        <w:t>,</w:t>
      </w:r>
      <w:r w:rsidR="655615CD">
        <w:rPr>
          <w:rFonts w:eastAsia="Calibri"/>
        </w:rPr>
        <w:t xml:space="preserve"> unanticipated </w:t>
      </w:r>
      <w:r w:rsidR="003A0C96">
        <w:t>shocks</w:t>
      </w:r>
      <w:r w:rsidR="00375628">
        <w:t xml:space="preserve">. </w:t>
      </w:r>
      <w:r w:rsidR="003D7114">
        <w:t>The</w:t>
      </w:r>
      <w:r w:rsidR="00375628">
        <w:t xml:space="preserve"> COVID</w:t>
      </w:r>
      <w:r w:rsidR="00402B27">
        <w:noBreakHyphen/>
      </w:r>
      <w:r w:rsidR="00375628">
        <w:t>19</w:t>
      </w:r>
      <w:r w:rsidR="00ED3369">
        <w:t xml:space="preserve"> </w:t>
      </w:r>
      <w:r w:rsidR="003D7114">
        <w:t xml:space="preserve">pandemic </w:t>
      </w:r>
      <w:r w:rsidR="00ED3369">
        <w:t xml:space="preserve">disrupted supply chains and saw the rollout of unprecedented government support. </w:t>
      </w:r>
      <w:r w:rsidR="001C65AE" w:rsidRPr="002C706F">
        <w:t>M</w:t>
      </w:r>
      <w:r w:rsidR="005D3A1C" w:rsidRPr="002C706F">
        <w:t>ore recently</w:t>
      </w:r>
      <w:r w:rsidR="00213307" w:rsidRPr="002C706F">
        <w:t>,</w:t>
      </w:r>
      <w:r w:rsidR="005D3A1C" w:rsidRPr="002C706F">
        <w:t xml:space="preserve"> </w:t>
      </w:r>
      <w:r w:rsidR="00213307" w:rsidRPr="002C706F">
        <w:t>ongoing</w:t>
      </w:r>
      <w:r w:rsidR="00ED3369" w:rsidRPr="002C706F">
        <w:t xml:space="preserve"> global conflict</w:t>
      </w:r>
      <w:r w:rsidR="00213307" w:rsidRPr="002C706F">
        <w:t>s</w:t>
      </w:r>
      <w:r w:rsidR="00ED3369" w:rsidRPr="002C706F">
        <w:t xml:space="preserve"> ha</w:t>
      </w:r>
      <w:r w:rsidR="00213307" w:rsidRPr="002C706F">
        <w:t>ve</w:t>
      </w:r>
      <w:r w:rsidR="00ED3369" w:rsidRPr="002C706F">
        <w:t xml:space="preserve"> led to rapid </w:t>
      </w:r>
      <w:r w:rsidR="655615CD" w:rsidRPr="002C706F">
        <w:rPr>
          <w:rFonts w:eastAsia="Calibri"/>
        </w:rPr>
        <w:t xml:space="preserve">increases in </w:t>
      </w:r>
      <w:r w:rsidR="00ED3369" w:rsidRPr="002C706F">
        <w:t xml:space="preserve">energy and food </w:t>
      </w:r>
      <w:r w:rsidR="655615CD" w:rsidRPr="002C706F">
        <w:rPr>
          <w:rFonts w:eastAsia="Calibri"/>
        </w:rPr>
        <w:t>prices</w:t>
      </w:r>
      <w:r w:rsidR="00790E50" w:rsidRPr="002C706F">
        <w:t>,</w:t>
      </w:r>
      <w:r w:rsidR="003406CD" w:rsidRPr="002C706F">
        <w:t xml:space="preserve"> </w:t>
      </w:r>
      <w:r w:rsidR="007810FC" w:rsidRPr="002C706F">
        <w:t xml:space="preserve">which </w:t>
      </w:r>
      <w:r w:rsidR="00790E50" w:rsidRPr="002C706F">
        <w:t>are rippling through</w:t>
      </w:r>
      <w:r w:rsidR="00E04D91" w:rsidRPr="002C706F">
        <w:t xml:space="preserve"> </w:t>
      </w:r>
      <w:r w:rsidR="00D662E5" w:rsidRPr="002C706F">
        <w:t xml:space="preserve">domestic prices </w:t>
      </w:r>
      <w:r w:rsidR="00913341" w:rsidRPr="002C706F">
        <w:t>and</w:t>
      </w:r>
      <w:r w:rsidR="007810FC" w:rsidRPr="002C706F">
        <w:t xml:space="preserve"> </w:t>
      </w:r>
      <w:r w:rsidR="00790E50" w:rsidRPr="002C706F">
        <w:t>have contributed to</w:t>
      </w:r>
      <w:r w:rsidR="655615CD" w:rsidRPr="002C706F">
        <w:rPr>
          <w:rFonts w:eastAsia="Calibri"/>
        </w:rPr>
        <w:t xml:space="preserve"> inflation </w:t>
      </w:r>
      <w:r w:rsidR="00790E50" w:rsidRPr="002C706F">
        <w:rPr>
          <w:rFonts w:eastAsia="Calibri"/>
        </w:rPr>
        <w:t>reaching</w:t>
      </w:r>
      <w:r w:rsidR="655615CD" w:rsidRPr="002C706F">
        <w:rPr>
          <w:rFonts w:eastAsia="Calibri"/>
        </w:rPr>
        <w:t xml:space="preserve"> 30</w:t>
      </w:r>
      <w:r w:rsidR="00402B27">
        <w:rPr>
          <w:rFonts w:eastAsia="Calibri"/>
        </w:rPr>
        <w:noBreakHyphen/>
      </w:r>
      <w:r w:rsidR="655615CD" w:rsidRPr="002C706F">
        <w:rPr>
          <w:rFonts w:eastAsia="Calibri"/>
        </w:rPr>
        <w:t>year highs.</w:t>
      </w:r>
    </w:p>
    <w:p w14:paraId="06B4CC8C" w14:textId="1F5768F4" w:rsidR="00631F4C" w:rsidRDefault="00631F4C" w:rsidP="003828F3">
      <w:r>
        <w:t>L</w:t>
      </w:r>
      <w:r w:rsidRPr="00C31047">
        <w:t>ow</w:t>
      </w:r>
      <w:r w:rsidR="00402B27">
        <w:noBreakHyphen/>
      </w:r>
      <w:r w:rsidRPr="00C31047">
        <w:t xml:space="preserve"> and middle</w:t>
      </w:r>
      <w:r w:rsidR="00402B27">
        <w:noBreakHyphen/>
      </w:r>
      <w:r w:rsidRPr="00C31047">
        <w:t>income households have been under significant pressure from unanticipated cost</w:t>
      </w:r>
      <w:r w:rsidR="00402B27">
        <w:noBreakHyphen/>
      </w:r>
      <w:r w:rsidRPr="00C31047">
        <w:t>of</w:t>
      </w:r>
      <w:r w:rsidR="00402B27">
        <w:noBreakHyphen/>
      </w:r>
      <w:r w:rsidRPr="00C31047">
        <w:t xml:space="preserve">living increases </w:t>
      </w:r>
      <w:r w:rsidR="194C3891">
        <w:t>associated with the lift in prices</w:t>
      </w:r>
      <w:r w:rsidRPr="00C31047">
        <w:t xml:space="preserve">. </w:t>
      </w:r>
      <w:r w:rsidR="74130245">
        <w:t>I</w:t>
      </w:r>
      <w:r>
        <w:t>t</w:t>
      </w:r>
      <w:r w:rsidRPr="00C31047">
        <w:t xml:space="preserve"> is challenging to </w:t>
      </w:r>
      <w:r w:rsidR="375FD970">
        <w:t xml:space="preserve">provide support to these households </w:t>
      </w:r>
      <w:r>
        <w:t>without</w:t>
      </w:r>
      <w:r w:rsidRPr="00C31047">
        <w:t xml:space="preserve"> unduly adding to inflationary pressures and perpetuating cost</w:t>
      </w:r>
      <w:r w:rsidR="00402B27">
        <w:noBreakHyphen/>
      </w:r>
      <w:r w:rsidRPr="00C31047">
        <w:t>of</w:t>
      </w:r>
      <w:r w:rsidR="00402B27">
        <w:noBreakHyphen/>
      </w:r>
      <w:r w:rsidRPr="00C31047">
        <w:t>living challenges.</w:t>
      </w:r>
    </w:p>
    <w:p w14:paraId="6117D2CD" w14:textId="51F7A183" w:rsidR="00631F4C" w:rsidRDefault="001E74CA" w:rsidP="003828F3">
      <w:r>
        <w:t>Treasury expects i</w:t>
      </w:r>
      <w:r w:rsidRPr="00C31047">
        <w:t xml:space="preserve">nflation </w:t>
      </w:r>
      <w:r w:rsidR="00631F4C" w:rsidRPr="00C31047">
        <w:t xml:space="preserve">to return to the target band over the coming 18 months and built into this profile are the </w:t>
      </w:r>
      <w:r w:rsidR="00087B6A">
        <w:t>S</w:t>
      </w:r>
      <w:r w:rsidR="00234C6B">
        <w:t>tage</w:t>
      </w:r>
      <w:r w:rsidR="00631F4C" w:rsidRPr="00C31047">
        <w:t xml:space="preserve"> 3 tax cuts. One way to provide further relief to those households most affected by </w:t>
      </w:r>
      <w:r w:rsidR="00580B5C" w:rsidRPr="00C31047">
        <w:t>cost</w:t>
      </w:r>
      <w:r w:rsidR="00402B27">
        <w:noBreakHyphen/>
      </w:r>
      <w:r w:rsidR="00580B5C">
        <w:t>of</w:t>
      </w:r>
      <w:r w:rsidR="00402B27">
        <w:noBreakHyphen/>
      </w:r>
      <w:r w:rsidR="00580B5C">
        <w:t>living</w:t>
      </w:r>
      <w:r w:rsidR="00631F4C" w:rsidRPr="00C31047">
        <w:t xml:space="preserve"> increases and not impact inflation is to redesign the </w:t>
      </w:r>
      <w:r w:rsidR="00234C6B">
        <w:t>Stage</w:t>
      </w:r>
      <w:r w:rsidR="00631F4C" w:rsidRPr="00C31047">
        <w:t xml:space="preserve"> 3 tax cuts.</w:t>
      </w:r>
    </w:p>
    <w:p w14:paraId="69FEE84C" w14:textId="2ED266EE" w:rsidR="00631F4C" w:rsidRPr="00C31047" w:rsidRDefault="00631F4C" w:rsidP="003828F3">
      <w:r w:rsidRPr="00C31047">
        <w:t xml:space="preserve">It remains important to deliver an overall tax cut around the size of the </w:t>
      </w:r>
      <w:r w:rsidR="00234C6B">
        <w:t>Stage</w:t>
      </w:r>
      <w:r w:rsidRPr="00C31047">
        <w:t xml:space="preserve"> 3 tax cuts to unwind </w:t>
      </w:r>
      <w:r w:rsidR="001749A8">
        <w:t>bracket creep</w:t>
      </w:r>
      <w:r w:rsidRPr="00C31047">
        <w:t xml:space="preserve"> and lower average income tax rates. This case is supported by the ongoing improvement in the budget position and adverse impacts of rising average income tax rates.</w:t>
      </w:r>
    </w:p>
    <w:p w14:paraId="391C69B0" w14:textId="21C004B2" w:rsidR="00631F4C" w:rsidRPr="00C31047" w:rsidRDefault="00631F4C" w:rsidP="003828F3">
      <w:r w:rsidRPr="00C31047">
        <w:t xml:space="preserve">A redesign of the </w:t>
      </w:r>
      <w:r w:rsidR="00234C6B">
        <w:t>Stage</w:t>
      </w:r>
      <w:r w:rsidRPr="00C31047">
        <w:t xml:space="preserve"> 3 tax cuts presents other opportunities, including enhancing the participation benefits of the tax cuts, especially for women, and distributing the future impact of </w:t>
      </w:r>
      <w:r w:rsidR="005D2B5A">
        <w:t xml:space="preserve">bracket creep </w:t>
      </w:r>
      <w:r w:rsidRPr="00C31047">
        <w:t xml:space="preserve">more evenly. This can be achieved </w:t>
      </w:r>
      <w:r w:rsidR="004C184C">
        <w:t>with the same budgetary cost as</w:t>
      </w:r>
      <w:r w:rsidRPr="00C31047">
        <w:t xml:space="preserve"> the </w:t>
      </w:r>
      <w:r w:rsidR="00234C6B">
        <w:t>Stage</w:t>
      </w:r>
      <w:r w:rsidRPr="00C31047">
        <w:t xml:space="preserve"> 3 </w:t>
      </w:r>
      <w:r w:rsidR="004C184C">
        <w:t>tax cuts.</w:t>
      </w:r>
    </w:p>
    <w:p w14:paraId="43DAAF53" w14:textId="00BB1CFE" w:rsidR="00FC7560" w:rsidRDefault="009679EC" w:rsidP="003828F3">
      <w:r>
        <w:t xml:space="preserve">The </w:t>
      </w:r>
      <w:r w:rsidR="000F1495">
        <w:t xml:space="preserve">redesign of the Stage 3 tax cuts outlined in this </w:t>
      </w:r>
      <w:r>
        <w:t>document is estimated to provide cost</w:t>
      </w:r>
      <w:r w:rsidR="00402B27">
        <w:noBreakHyphen/>
      </w:r>
      <w:r>
        <w:t>of</w:t>
      </w:r>
      <w:r w:rsidR="00402B27">
        <w:noBreakHyphen/>
      </w:r>
      <w:r>
        <w:t>living relief to 13.6 million taxpayers. This option is broadly revenue neutral</w:t>
      </w:r>
      <w:r w:rsidR="000F1495">
        <w:t xml:space="preserve">, will </w:t>
      </w:r>
      <w:r>
        <w:t xml:space="preserve">not </w:t>
      </w:r>
      <w:r w:rsidR="4253E26C">
        <w:t>add to inflationary pressures</w:t>
      </w:r>
      <w:r w:rsidR="00F07643">
        <w:t xml:space="preserve"> and</w:t>
      </w:r>
      <w:r w:rsidR="00A13EA5">
        <w:t xml:space="preserve"> will support labour supply</w:t>
      </w:r>
      <w:r>
        <w:t>.</w:t>
      </w:r>
    </w:p>
    <w:p w14:paraId="0776F69F" w14:textId="77777777" w:rsidR="00283A9F" w:rsidRDefault="00283A9F" w:rsidP="003828F3"/>
    <w:p w14:paraId="4AEE4AC4" w14:textId="603FE368" w:rsidR="00631F4C" w:rsidRPr="00631F4C" w:rsidRDefault="00631F4C" w:rsidP="00631F4C">
      <w:pPr>
        <w:sectPr w:rsidR="00631F4C" w:rsidRPr="00631F4C" w:rsidSect="0019477C">
          <w:headerReference w:type="even" r:id="rId8"/>
          <w:footerReference w:type="even" r:id="rId9"/>
          <w:headerReference w:type="first" r:id="rId10"/>
          <w:footerReference w:type="first" r:id="rId11"/>
          <w:pgSz w:w="11906" w:h="16838" w:code="9"/>
          <w:pgMar w:top="1843" w:right="1418" w:bottom="1418" w:left="1418" w:header="709" w:footer="709" w:gutter="0"/>
          <w:pgNumType w:start="1"/>
          <w:cols w:space="708"/>
          <w:titlePg/>
          <w:docGrid w:linePitch="360"/>
        </w:sectPr>
      </w:pPr>
    </w:p>
    <w:p w14:paraId="6BE48107" w14:textId="7AAE6536" w:rsidR="00631F4C" w:rsidRPr="006732D0" w:rsidRDefault="00292E70" w:rsidP="006B0635">
      <w:pPr>
        <w:pStyle w:val="Heading1"/>
      </w:pPr>
      <w:bookmarkStart w:id="0" w:name="_Toc155963870"/>
      <w:r w:rsidRPr="006732D0">
        <w:lastRenderedPageBreak/>
        <w:t>R</w:t>
      </w:r>
      <w:r w:rsidR="00631F4C" w:rsidRPr="006732D0">
        <w:t xml:space="preserve">ising </w:t>
      </w:r>
      <w:r w:rsidR="00631F4C" w:rsidRPr="006B0635">
        <w:t>cost</w:t>
      </w:r>
      <w:r w:rsidR="00402B27" w:rsidRPr="006732D0">
        <w:noBreakHyphen/>
      </w:r>
      <w:r w:rsidR="00631F4C" w:rsidRPr="006732D0">
        <w:t>of</w:t>
      </w:r>
      <w:r w:rsidR="00402B27" w:rsidRPr="006732D0">
        <w:noBreakHyphen/>
      </w:r>
      <w:r w:rsidR="00631F4C" w:rsidRPr="00A87318">
        <w:t>living</w:t>
      </w:r>
      <w:bookmarkEnd w:id="0"/>
      <w:r w:rsidR="00615A1B" w:rsidRPr="006732D0">
        <w:t xml:space="preserve"> </w:t>
      </w:r>
      <w:r w:rsidR="008E7ADB" w:rsidRPr="006732D0">
        <w:t xml:space="preserve">pressures </w:t>
      </w:r>
      <w:r w:rsidR="00615A1B" w:rsidRPr="006732D0">
        <w:t>ha</w:t>
      </w:r>
      <w:r w:rsidR="008E7ADB" w:rsidRPr="006732D0">
        <w:t>ve</w:t>
      </w:r>
      <w:r w:rsidR="00615A1B" w:rsidRPr="006732D0">
        <w:t xml:space="preserve"> ch</w:t>
      </w:r>
      <w:r w:rsidR="00A95CE9" w:rsidRPr="006732D0">
        <w:t xml:space="preserve">anged </w:t>
      </w:r>
      <w:r w:rsidR="004911B8" w:rsidRPr="006732D0">
        <w:t xml:space="preserve">the </w:t>
      </w:r>
      <w:r w:rsidR="002C2F27" w:rsidRPr="006732D0">
        <w:t xml:space="preserve">focus </w:t>
      </w:r>
      <w:r w:rsidR="00151968" w:rsidRPr="006732D0">
        <w:t>of</w:t>
      </w:r>
      <w:r w:rsidR="002C2F27" w:rsidRPr="006732D0">
        <w:t xml:space="preserve"> tax </w:t>
      </w:r>
      <w:r w:rsidR="00B072DC" w:rsidRPr="006732D0">
        <w:t>relief</w:t>
      </w:r>
      <w:r w:rsidR="004911B8" w:rsidRPr="006732D0">
        <w:t xml:space="preserve"> </w:t>
      </w:r>
    </w:p>
    <w:p w14:paraId="4BAD0351" w14:textId="2F38BC67" w:rsidR="00642CD3" w:rsidRPr="0010507E" w:rsidRDefault="00901F58" w:rsidP="003828F3">
      <w:r w:rsidRPr="00D3159A">
        <w:rPr>
          <w:rStyle w:val="normaltextrun"/>
        </w:rPr>
        <w:t xml:space="preserve">The Stage 3 tax cuts were </w:t>
      </w:r>
      <w:r w:rsidR="27D25A8C" w:rsidRPr="7EA07F89">
        <w:rPr>
          <w:rStyle w:val="normaltextrun"/>
        </w:rPr>
        <w:t xml:space="preserve">first </w:t>
      </w:r>
      <w:r w:rsidR="00E809A2" w:rsidRPr="00447477">
        <w:rPr>
          <w:rStyle w:val="normaltextrun"/>
        </w:rPr>
        <w:t xml:space="preserve">legislated </w:t>
      </w:r>
      <w:r w:rsidR="00791CD0" w:rsidRPr="00447477">
        <w:rPr>
          <w:rStyle w:val="normaltextrun"/>
        </w:rPr>
        <w:t xml:space="preserve">in </w:t>
      </w:r>
      <w:r w:rsidR="00791CD0" w:rsidRPr="4528B717">
        <w:rPr>
          <w:rStyle w:val="normaltextrun"/>
        </w:rPr>
        <w:t>2018</w:t>
      </w:r>
      <w:r w:rsidR="00791CD0" w:rsidRPr="00D3159A">
        <w:rPr>
          <w:rStyle w:val="normaltextrun"/>
        </w:rPr>
        <w:t xml:space="preserve"> under </w:t>
      </w:r>
      <w:r w:rsidR="00791CD0">
        <w:rPr>
          <w:rStyle w:val="normaltextrun"/>
        </w:rPr>
        <w:t>dramatically different economic circumstances.</w:t>
      </w:r>
      <w:r w:rsidR="00271609">
        <w:rPr>
          <w:rStyle w:val="normaltextrun"/>
        </w:rPr>
        <w:t xml:space="preserve"> </w:t>
      </w:r>
      <w:r w:rsidR="00642CD3">
        <w:t>First announced in the 2018</w:t>
      </w:r>
      <w:r w:rsidR="00402B27">
        <w:t>–</w:t>
      </w:r>
      <w:r w:rsidR="00642CD3">
        <w:t xml:space="preserve">19 </w:t>
      </w:r>
      <w:r w:rsidR="00642CD3" w:rsidRPr="007E05F6">
        <w:t xml:space="preserve">Budget, the Stage 3 tax cuts are </w:t>
      </w:r>
      <w:r w:rsidR="00802433" w:rsidRPr="007E05F6">
        <w:t xml:space="preserve">now </w:t>
      </w:r>
      <w:r w:rsidR="00642CD3" w:rsidRPr="007E05F6">
        <w:t>estimated to cost $</w:t>
      </w:r>
      <w:r w:rsidR="00A34922" w:rsidRPr="007E05F6">
        <w:t>105.7</w:t>
      </w:r>
      <w:r w:rsidR="00552219" w:rsidRPr="007E05F6">
        <w:t> </w:t>
      </w:r>
      <w:r w:rsidR="00642CD3" w:rsidRPr="007E05F6">
        <w:t>billion over the current forward estimates period</w:t>
      </w:r>
      <w:r w:rsidR="00F37B83" w:rsidRPr="007E05F6">
        <w:t xml:space="preserve"> from 2023</w:t>
      </w:r>
      <w:r w:rsidR="00402B27">
        <w:t>–</w:t>
      </w:r>
      <w:r w:rsidR="00F37B83" w:rsidRPr="007E05F6">
        <w:t>24</w:t>
      </w:r>
      <w:r w:rsidR="00642CD3" w:rsidRPr="007E05F6">
        <w:t xml:space="preserve"> </w:t>
      </w:r>
      <w:r w:rsidR="00642CD3" w:rsidRPr="00447477">
        <w:t xml:space="preserve">to </w:t>
      </w:r>
      <w:r w:rsidR="00724ADB" w:rsidRPr="00447477">
        <w:t>2027</w:t>
      </w:r>
      <w:r w:rsidR="00402B27">
        <w:t>–</w:t>
      </w:r>
      <w:r w:rsidR="00724ADB" w:rsidRPr="00447477">
        <w:t>28</w:t>
      </w:r>
      <w:r w:rsidR="00642CD3" w:rsidRPr="004B3135">
        <w:t xml:space="preserve">. </w:t>
      </w:r>
      <w:r w:rsidR="00642CD3">
        <w:t>The Australian economy was expected to be supported by a positive global outlook, with strong, broad</w:t>
      </w:r>
      <w:r w:rsidR="00402B27">
        <w:noBreakHyphen/>
      </w:r>
      <w:r w:rsidR="00642CD3">
        <w:t>based global growth. Inflation, and therefore interest rates, were expected to remain low.</w:t>
      </w:r>
    </w:p>
    <w:p w14:paraId="3D3054AB" w14:textId="1F9EFA2E" w:rsidR="00631F4C" w:rsidRPr="0075223B" w:rsidRDefault="03828E13" w:rsidP="003828F3">
      <w:pPr>
        <w:rPr>
          <w:rFonts w:asciiTheme="majorHAnsi" w:hAnsiTheme="majorHAnsi"/>
        </w:rPr>
      </w:pPr>
      <w:r>
        <w:t xml:space="preserve">However, unanticipated global events meant that these projections have not come to pass. </w:t>
      </w:r>
      <w:r w:rsidR="3FEB3290">
        <w:t>The COVID</w:t>
      </w:r>
      <w:r w:rsidR="00402B27">
        <w:noBreakHyphen/>
      </w:r>
      <w:r w:rsidR="3FEB3290">
        <w:t xml:space="preserve">19 pandemic suppressed economic growth globally, disrupted supply chains and saw the rollout of unprecedented government support. </w:t>
      </w:r>
      <w:r w:rsidR="48FE719A">
        <w:t>Ongoing global conflict has led to</w:t>
      </w:r>
      <w:r w:rsidR="3FEB3290">
        <w:t xml:space="preserve"> rapid increases in energy </w:t>
      </w:r>
      <w:r w:rsidR="7990C062">
        <w:t xml:space="preserve">and food </w:t>
      </w:r>
      <w:r w:rsidR="3FEB3290">
        <w:t>prices.</w:t>
      </w:r>
    </w:p>
    <w:p w14:paraId="29FE96BF" w14:textId="5A69DC6B" w:rsidR="007E5756" w:rsidRPr="006732D0" w:rsidRDefault="007E5756" w:rsidP="00ED3368">
      <w:pPr>
        <w:pStyle w:val="Heading2"/>
      </w:pPr>
      <w:r w:rsidRPr="006732D0">
        <w:t>Rising cost</w:t>
      </w:r>
      <w:r w:rsidR="00402B27" w:rsidRPr="006732D0">
        <w:noBreakHyphen/>
      </w:r>
      <w:r w:rsidRPr="006732D0">
        <w:t>of</w:t>
      </w:r>
      <w:r w:rsidR="00402B27" w:rsidRPr="006732D0">
        <w:noBreakHyphen/>
      </w:r>
      <w:r w:rsidRPr="00A87318">
        <w:t>living</w:t>
      </w:r>
      <w:r w:rsidRPr="006732D0">
        <w:t xml:space="preserve"> </w:t>
      </w:r>
      <w:r w:rsidR="00875566" w:rsidRPr="006732D0">
        <w:t>pressures have been broad</w:t>
      </w:r>
      <w:r w:rsidR="0006307A" w:rsidRPr="006732D0">
        <w:t xml:space="preserve"> </w:t>
      </w:r>
      <w:r w:rsidR="00875566" w:rsidRPr="006732D0">
        <w:t>based</w:t>
      </w:r>
    </w:p>
    <w:p w14:paraId="3836CF5F" w14:textId="11257E3B" w:rsidR="00631F4C" w:rsidRPr="0075223B" w:rsidRDefault="3FEB3290" w:rsidP="006732D0">
      <w:pPr>
        <w:rPr>
          <w:rStyle w:val="normaltextrun"/>
        </w:rPr>
      </w:pPr>
      <w:r>
        <w:t>Th</w:t>
      </w:r>
      <w:r w:rsidR="1E58E377">
        <w:t>ese shocks</w:t>
      </w:r>
      <w:r>
        <w:t xml:space="preserve"> ha</w:t>
      </w:r>
      <w:r w:rsidR="103451DE">
        <w:t>ve</w:t>
      </w:r>
      <w:r>
        <w:t xml:space="preserve"> contributed to </w:t>
      </w:r>
      <w:r w:rsidR="001D4895">
        <w:t xml:space="preserve">a </w:t>
      </w:r>
      <w:r>
        <w:t xml:space="preserve">rapid </w:t>
      </w:r>
      <w:r w:rsidR="00B1005C">
        <w:t xml:space="preserve">rise in </w:t>
      </w:r>
      <w:r>
        <w:t>inflation and associated cost</w:t>
      </w:r>
      <w:r w:rsidR="00402B27">
        <w:noBreakHyphen/>
      </w:r>
      <w:r>
        <w:t>of</w:t>
      </w:r>
      <w:r w:rsidR="00402B27">
        <w:noBreakHyphen/>
      </w:r>
      <w:r>
        <w:t xml:space="preserve">living increases. </w:t>
      </w:r>
      <w:r w:rsidR="4DE31E8F" w:rsidRPr="1ECB733D">
        <w:rPr>
          <w:rStyle w:val="normaltextrun"/>
        </w:rPr>
        <w:t>I</w:t>
      </w:r>
      <w:r w:rsidR="00631F4C" w:rsidRPr="1ECB733D">
        <w:rPr>
          <w:rStyle w:val="normaltextrun"/>
        </w:rPr>
        <w:t xml:space="preserve">nflation has been </w:t>
      </w:r>
      <w:r w:rsidR="00A11610" w:rsidRPr="1ECB733D">
        <w:rPr>
          <w:rStyle w:val="normaltextrun"/>
        </w:rPr>
        <w:t>high and broad</w:t>
      </w:r>
      <w:r w:rsidR="00402B27">
        <w:rPr>
          <w:rStyle w:val="normaltextrun"/>
        </w:rPr>
        <w:noBreakHyphen/>
      </w:r>
      <w:r w:rsidR="00A11610" w:rsidRPr="1ECB733D">
        <w:rPr>
          <w:rStyle w:val="normaltextrun"/>
        </w:rPr>
        <w:t>based</w:t>
      </w:r>
      <w:r w:rsidR="00631F4C" w:rsidRPr="1ECB733D">
        <w:rPr>
          <w:rStyle w:val="normaltextrun"/>
        </w:rPr>
        <w:t xml:space="preserve">, with annual CPI growth rising to a peak of 7.8 per cent in </w:t>
      </w:r>
      <w:r w:rsidR="006866BE" w:rsidRPr="1ECB733D">
        <w:rPr>
          <w:rStyle w:val="normaltextrun"/>
        </w:rPr>
        <w:t xml:space="preserve">the </w:t>
      </w:r>
      <w:r w:rsidR="00631F4C" w:rsidRPr="1ECB733D">
        <w:rPr>
          <w:rStyle w:val="normaltextrun"/>
        </w:rPr>
        <w:t xml:space="preserve">December 2022 </w:t>
      </w:r>
      <w:r w:rsidR="006866BE" w:rsidRPr="1ECB733D">
        <w:rPr>
          <w:rStyle w:val="normaltextrun"/>
        </w:rPr>
        <w:t>quarter</w:t>
      </w:r>
      <w:r w:rsidR="00631F4C" w:rsidRPr="1ECB733D">
        <w:rPr>
          <w:rStyle w:val="normaltextrun"/>
        </w:rPr>
        <w:t xml:space="preserve"> and </w:t>
      </w:r>
      <w:r w:rsidR="00454C58" w:rsidRPr="1ECB733D">
        <w:rPr>
          <w:rStyle w:val="normaltextrun"/>
        </w:rPr>
        <w:t>remaining high through 2023</w:t>
      </w:r>
      <w:r w:rsidR="001109CE" w:rsidRPr="1ECB733D">
        <w:rPr>
          <w:rStyle w:val="normaltextrun"/>
        </w:rPr>
        <w:t>. Interest</w:t>
      </w:r>
      <w:r w:rsidR="00631F4C" w:rsidRPr="1ECB733D">
        <w:rPr>
          <w:rStyle w:val="normaltextrun"/>
        </w:rPr>
        <w:t xml:space="preserve"> rates</w:t>
      </w:r>
      <w:r w:rsidR="001109CE" w:rsidRPr="1ECB733D">
        <w:rPr>
          <w:rStyle w:val="normaltextrun"/>
        </w:rPr>
        <w:t xml:space="preserve"> </w:t>
      </w:r>
      <w:r w:rsidR="00C86D7B" w:rsidRPr="1ECB733D">
        <w:rPr>
          <w:rStyle w:val="normaltextrun"/>
        </w:rPr>
        <w:t xml:space="preserve">have </w:t>
      </w:r>
      <w:r w:rsidR="008933FF" w:rsidRPr="1ECB733D">
        <w:rPr>
          <w:rStyle w:val="normaltextrun"/>
        </w:rPr>
        <w:t>also</w:t>
      </w:r>
      <w:r w:rsidR="00C86D7B" w:rsidRPr="1ECB733D">
        <w:rPr>
          <w:rStyle w:val="normaltextrun"/>
        </w:rPr>
        <w:t xml:space="preserve"> risen</w:t>
      </w:r>
      <w:r w:rsidR="00631F4C" w:rsidRPr="1ECB733D">
        <w:rPr>
          <w:rStyle w:val="normaltextrun"/>
        </w:rPr>
        <w:t>, with the cash rate increasing by 4.25 percentage points starting in May 2022.</w:t>
      </w:r>
    </w:p>
    <w:p w14:paraId="03365D33" w14:textId="71ECD765" w:rsidR="00631F4C" w:rsidRDefault="00631F4C" w:rsidP="006732D0">
      <w:r>
        <w:t>Price rises reflected in the CPI have been broad</w:t>
      </w:r>
      <w:r w:rsidR="00402B27">
        <w:noBreakHyphen/>
      </w:r>
      <w:r>
        <w:t>based and</w:t>
      </w:r>
      <w:r w:rsidR="00572FA0">
        <w:t>,</w:t>
      </w:r>
      <w:r>
        <w:t xml:space="preserve"> as such, effective rates of inflation </w:t>
      </w:r>
      <w:r w:rsidR="0081415B">
        <w:t xml:space="preserve">are estimated to </w:t>
      </w:r>
      <w:r>
        <w:t xml:space="preserve">have been similar across </w:t>
      </w:r>
      <w:r w:rsidR="00470779">
        <w:t>income quintiles</w:t>
      </w:r>
      <w:r>
        <w:t xml:space="preserve"> (Chart 1).</w:t>
      </w:r>
      <w:r w:rsidR="00F162BA">
        <w:t xml:space="preserve"> </w:t>
      </w:r>
      <w:r w:rsidR="004E6F15">
        <w:t>At the same time, i</w:t>
      </w:r>
      <w:r w:rsidR="00F162BA">
        <w:t xml:space="preserve">ncome </w:t>
      </w:r>
      <w:r w:rsidR="009D4500">
        <w:t xml:space="preserve">has </w:t>
      </w:r>
      <w:r w:rsidR="00EF6A3B">
        <w:t>risen through a combination of increased wages and additional hours being worked, particularly for lower</w:t>
      </w:r>
      <w:r w:rsidR="00402B27">
        <w:noBreakHyphen/>
      </w:r>
      <w:r w:rsidR="00EF6A3B">
        <w:t>income groups.</w:t>
      </w:r>
    </w:p>
    <w:p w14:paraId="04468757" w14:textId="3643EAF7" w:rsidR="00DF772F" w:rsidRPr="00DF772F" w:rsidRDefault="00DF772F" w:rsidP="006732D0">
      <w:pPr>
        <w:rPr>
          <w:rFonts w:asciiTheme="majorHAnsi" w:hAnsiTheme="majorHAnsi"/>
        </w:rPr>
      </w:pPr>
      <w:r>
        <w:t xml:space="preserve">Broader measures of cost of living, which include mortgage interest costs, have been rising faster than CPI and have affected mortgagors more acutely. </w:t>
      </w:r>
    </w:p>
    <w:p w14:paraId="6C7F71C8" w14:textId="61F6A660" w:rsidR="006732D0" w:rsidRPr="006B0635" w:rsidRDefault="006732D0" w:rsidP="006B0635">
      <w:pPr>
        <w:pStyle w:val="ChartMainHeading"/>
      </w:pPr>
      <w:r w:rsidRPr="006B0635">
        <w:t>Chart 1: Inflation by income quintile, through the year to June 2023</w:t>
      </w:r>
    </w:p>
    <w:p w14:paraId="57146B6E" w14:textId="77777777" w:rsidR="00D96B26" w:rsidRPr="00025CB8" w:rsidRDefault="00D96B26" w:rsidP="006038A1">
      <w:pPr>
        <w:pStyle w:val="ChartGraphic"/>
        <w:rPr>
          <w:rStyle w:val="normaltextrun"/>
        </w:rPr>
      </w:pPr>
      <w:r>
        <w:rPr>
          <w:rStyle w:val="normaltextrun"/>
          <w:noProof/>
        </w:rPr>
        <w:drawing>
          <wp:inline distT="0" distB="0" distL="0" distR="0" wp14:anchorId="19ABA94A" wp14:editId="698A3DAB">
            <wp:extent cx="4925695" cy="2932430"/>
            <wp:effectExtent l="0" t="0" r="8255" b="1270"/>
            <wp:docPr id="11" name="Picture 11" descr="A bar chart showing inflation on the vertical axis by income quintile on the horizontal axis. Inflation is about 6 per cent for each of the income quint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ar chart showing inflation on the vertical axis by income quintile on the horizontal axis. Inflation is about 6 per cent for each of the income quintil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25695" cy="2932430"/>
                    </a:xfrm>
                    <a:prstGeom prst="rect">
                      <a:avLst/>
                    </a:prstGeom>
                    <a:noFill/>
                  </pic:spPr>
                </pic:pic>
              </a:graphicData>
            </a:graphic>
          </wp:inline>
        </w:drawing>
      </w:r>
    </w:p>
    <w:p w14:paraId="05318052" w14:textId="456A4A28" w:rsidR="00D96B26" w:rsidRPr="00ED3368" w:rsidRDefault="00D96B26" w:rsidP="00ED3368">
      <w:pPr>
        <w:pStyle w:val="ChartorTableNote"/>
      </w:pPr>
      <w:r w:rsidRPr="00ED3368">
        <w:rPr>
          <w:rStyle w:val="normaltextrun"/>
        </w:rPr>
        <w:t xml:space="preserve">Source: RBA </w:t>
      </w:r>
      <w:r w:rsidRPr="00ED3368">
        <w:rPr>
          <w:rStyle w:val="DashChar"/>
          <w:rFonts w:ascii="Calibri" w:eastAsiaTheme="minorHAnsi" w:hAnsi="Calibri"/>
        </w:rPr>
        <w:t>November</w:t>
      </w:r>
      <w:r w:rsidRPr="00ED3368">
        <w:rPr>
          <w:rStyle w:val="normaltextrun"/>
        </w:rPr>
        <w:t xml:space="preserve"> Statement on Monetary Policy.</w:t>
      </w:r>
    </w:p>
    <w:p w14:paraId="6AB3CA48" w14:textId="083B1A9B" w:rsidR="00631F4C" w:rsidRPr="00D96B26" w:rsidRDefault="00631F4C" w:rsidP="00A87318">
      <w:pPr>
        <w:pStyle w:val="Heading2"/>
      </w:pPr>
      <w:bookmarkStart w:id="1" w:name="_Toc155963872"/>
      <w:r w:rsidRPr="00D96B26">
        <w:lastRenderedPageBreak/>
        <w:t>The ability to deal with rising cost</w:t>
      </w:r>
      <w:r w:rsidR="00402B27" w:rsidRPr="00D96B26">
        <w:noBreakHyphen/>
      </w:r>
      <w:r w:rsidRPr="00D96B26">
        <w:t>of</w:t>
      </w:r>
      <w:r w:rsidR="00402B27" w:rsidRPr="00D96B26">
        <w:noBreakHyphen/>
      </w:r>
      <w:r w:rsidRPr="00D96B26">
        <w:t>living pressures is unevenly distributed</w:t>
      </w:r>
      <w:bookmarkEnd w:id="1"/>
    </w:p>
    <w:p w14:paraId="0E642C10" w14:textId="13853504" w:rsidR="00631F4C" w:rsidRPr="007C3AEA" w:rsidRDefault="00631F4C" w:rsidP="007C3AEA">
      <w:r w:rsidRPr="007C3AEA">
        <w:t>Cost</w:t>
      </w:r>
      <w:r w:rsidR="00402B27" w:rsidRPr="007C3AEA">
        <w:noBreakHyphen/>
      </w:r>
      <w:r w:rsidRPr="007C3AEA">
        <w:t>of</w:t>
      </w:r>
      <w:r w:rsidR="00402B27" w:rsidRPr="007C3AEA">
        <w:noBreakHyphen/>
      </w:r>
      <w:r w:rsidRPr="007C3AEA">
        <w:t>living pressures have disproportionately impacted low</w:t>
      </w:r>
      <w:r w:rsidR="00402B27" w:rsidRPr="007C3AEA">
        <w:noBreakHyphen/>
      </w:r>
      <w:r w:rsidRPr="007C3AEA">
        <w:t xml:space="preserve"> and middle</w:t>
      </w:r>
      <w:r w:rsidR="00402B27" w:rsidRPr="007C3AEA">
        <w:noBreakHyphen/>
      </w:r>
      <w:r w:rsidRPr="007C3AEA">
        <w:t xml:space="preserve"> income households</w:t>
      </w:r>
      <w:r w:rsidR="007F59E7" w:rsidRPr="007C3AEA">
        <w:t xml:space="preserve"> because </w:t>
      </w:r>
      <w:r w:rsidR="00045382" w:rsidRPr="007C3AEA">
        <w:t xml:space="preserve">these households have less capacity to </w:t>
      </w:r>
      <w:r w:rsidR="00ED5168" w:rsidRPr="007C3AEA">
        <w:t xml:space="preserve">absorb </w:t>
      </w:r>
      <w:r w:rsidRPr="007C3AEA">
        <w:t xml:space="preserve">rising prices for essential spending (such as food, healthcare, rent or mortgage repayments) by reducing discretionary spending </w:t>
      </w:r>
      <w:r w:rsidR="00814D7E" w:rsidRPr="007C3AEA">
        <w:t xml:space="preserve">or </w:t>
      </w:r>
      <w:r w:rsidRPr="007C3AEA">
        <w:t>drawing down</w:t>
      </w:r>
      <w:r w:rsidR="00491662" w:rsidRPr="007C3AEA">
        <w:t> </w:t>
      </w:r>
      <w:r w:rsidRPr="007C3AEA">
        <w:t>savings</w:t>
      </w:r>
      <w:r w:rsidR="00402B27" w:rsidRPr="007C3AEA">
        <w:t xml:space="preserve">. </w:t>
      </w:r>
    </w:p>
    <w:p w14:paraId="42C5A58C" w14:textId="20BB334A" w:rsidR="00631F4C" w:rsidRDefault="00631F4C" w:rsidP="007C3AEA">
      <w:r w:rsidRPr="007C3AEA">
        <w:t xml:space="preserve">Chart </w:t>
      </w:r>
      <w:r w:rsidR="00520569" w:rsidRPr="007C3AEA">
        <w:t>2</w:t>
      </w:r>
      <w:r w:rsidRPr="007C3AEA">
        <w:t xml:space="preserve"> </w:t>
      </w:r>
      <w:r w:rsidR="00520569" w:rsidRPr="007C3AEA">
        <w:t xml:space="preserve">shows </w:t>
      </w:r>
      <w:r w:rsidRPr="007C3AEA">
        <w:t>saving</w:t>
      </w:r>
      <w:r w:rsidR="00520569" w:rsidRPr="007C3AEA">
        <w:t xml:space="preserve">s </w:t>
      </w:r>
      <w:r w:rsidRPr="007C3AEA">
        <w:t>a</w:t>
      </w:r>
      <w:r w:rsidR="00613839" w:rsidRPr="007C3AEA">
        <w:t>s</w:t>
      </w:r>
      <w:r w:rsidRPr="007C3AEA">
        <w:t xml:space="preserve"> </w:t>
      </w:r>
      <w:r w:rsidR="00D71BED" w:rsidRPr="007C3AEA">
        <w:t xml:space="preserve">a </w:t>
      </w:r>
      <w:r w:rsidRPr="007C3AEA">
        <w:t xml:space="preserve">share of disposable income to illustrate </w:t>
      </w:r>
      <w:r w:rsidR="00746854" w:rsidRPr="007C3AEA">
        <w:t xml:space="preserve">the extent to which </w:t>
      </w:r>
      <w:r w:rsidRPr="007C3AEA">
        <w:t xml:space="preserve">households </w:t>
      </w:r>
      <w:r w:rsidR="0026139B" w:rsidRPr="007C3AEA">
        <w:t xml:space="preserve">at different points in the income distribution </w:t>
      </w:r>
      <w:r w:rsidRPr="007C3AEA">
        <w:t xml:space="preserve">can </w:t>
      </w:r>
      <w:r w:rsidR="00244534" w:rsidRPr="007C3AEA">
        <w:t>change their saving behaviou</w:t>
      </w:r>
      <w:r w:rsidR="009C778A" w:rsidRPr="007C3AEA">
        <w:t xml:space="preserve">r to </w:t>
      </w:r>
      <w:r w:rsidRPr="007C3AEA">
        <w:t>respond to the cost</w:t>
      </w:r>
      <w:r w:rsidR="00402B27" w:rsidRPr="007C3AEA">
        <w:noBreakHyphen/>
      </w:r>
      <w:r w:rsidRPr="007C3AEA">
        <w:t>of</w:t>
      </w:r>
      <w:r w:rsidR="00402B27" w:rsidRPr="007C3AEA">
        <w:noBreakHyphen/>
      </w:r>
      <w:r w:rsidRPr="007C3AEA">
        <w:t>living increases.</w:t>
      </w:r>
      <w:r w:rsidR="004655A8" w:rsidRPr="007C3AEA">
        <w:t xml:space="preserve"> </w:t>
      </w:r>
    </w:p>
    <w:p w14:paraId="727F0402" w14:textId="77777777" w:rsidR="00DF4FE9" w:rsidRPr="007C3AEA" w:rsidRDefault="00DF4FE9" w:rsidP="00DF4FE9">
      <w:pPr>
        <w:pStyle w:val="NoSpacing"/>
      </w:pPr>
    </w:p>
    <w:tbl>
      <w:tblPr>
        <w:tblStyle w:val="TableGrid"/>
        <w:tblW w:w="5000" w:type="pct"/>
        <w:shd w:val="clear" w:color="auto" w:fill="FFFFFF" w:themeFill="background1"/>
        <w:tblCellMar>
          <w:bottom w:w="108" w:type="dxa"/>
        </w:tblCellMar>
        <w:tblLook w:val="04A0" w:firstRow="1" w:lastRow="0" w:firstColumn="1" w:lastColumn="0" w:noHBand="0" w:noVBand="1"/>
      </w:tblPr>
      <w:tblGrid>
        <w:gridCol w:w="4251"/>
        <w:gridCol w:w="4819"/>
      </w:tblGrid>
      <w:tr w:rsidR="007C3AEA" w14:paraId="2E2DCFA0" w14:textId="77777777" w:rsidTr="00E61525">
        <w:trPr>
          <w:cnfStyle w:val="100000000000" w:firstRow="1" w:lastRow="0" w:firstColumn="0" w:lastColumn="0" w:oddVBand="0" w:evenVBand="0" w:oddHBand="0" w:evenHBand="0" w:firstRowFirstColumn="0" w:firstRowLastColumn="0" w:lastRowFirstColumn="0" w:lastRowLastColumn="0"/>
        </w:trPr>
        <w:tc>
          <w:tcPr>
            <w:tcW w:w="4508" w:type="dxa"/>
            <w:shd w:val="clear" w:color="auto" w:fill="FFFFFF" w:themeFill="background1"/>
          </w:tcPr>
          <w:p w14:paraId="312B86CE" w14:textId="5649528C" w:rsidR="007C3AEA" w:rsidRPr="00E61525" w:rsidRDefault="007C3AEA" w:rsidP="00E61525">
            <w:pPr>
              <w:pStyle w:val="ChartMainHeading"/>
              <w:rPr>
                <w:b w:val="0"/>
                <w:bCs/>
              </w:rPr>
            </w:pPr>
            <w:r w:rsidRPr="00E61525">
              <w:rPr>
                <w:b w:val="0"/>
                <w:bCs/>
              </w:rPr>
              <w:t>Chart 2: Saving as a share of disposable</w:t>
            </w:r>
            <w:r w:rsidR="006A09B2" w:rsidRPr="00E61525">
              <w:rPr>
                <w:b w:val="0"/>
                <w:bCs/>
              </w:rPr>
              <w:t> </w:t>
            </w:r>
            <w:r w:rsidRPr="00E61525">
              <w:rPr>
                <w:b w:val="0"/>
                <w:bCs/>
              </w:rPr>
              <w:t>income, 2021–22</w:t>
            </w:r>
          </w:p>
        </w:tc>
        <w:tc>
          <w:tcPr>
            <w:tcW w:w="4508" w:type="dxa"/>
            <w:shd w:val="clear" w:color="auto" w:fill="FFFFFF" w:themeFill="background1"/>
          </w:tcPr>
          <w:p w14:paraId="6DDF64E0" w14:textId="21442A0B" w:rsidR="007C3AEA" w:rsidRPr="00E61525" w:rsidRDefault="007C3AEA" w:rsidP="00E61525">
            <w:pPr>
              <w:pStyle w:val="ChartMainHeading"/>
              <w:rPr>
                <w:b w:val="0"/>
                <w:bCs/>
              </w:rPr>
            </w:pPr>
            <w:r w:rsidRPr="00E61525">
              <w:rPr>
                <w:b w:val="0"/>
                <w:bCs/>
              </w:rPr>
              <w:t>Chart 3: Household savings ratio</w:t>
            </w:r>
          </w:p>
        </w:tc>
      </w:tr>
      <w:tr w:rsidR="008738B9" w14:paraId="4D600890" w14:textId="77777777" w:rsidTr="00E61525">
        <w:tc>
          <w:tcPr>
            <w:tcW w:w="4508" w:type="dxa"/>
            <w:shd w:val="clear" w:color="auto" w:fill="FFFFFF" w:themeFill="background1"/>
          </w:tcPr>
          <w:p w14:paraId="6EAED2ED" w14:textId="5C119496" w:rsidR="005242B1" w:rsidRPr="00CF04E0" w:rsidRDefault="005242B1" w:rsidP="00CF04E0">
            <w:pPr>
              <w:pStyle w:val="ChartMainHeading"/>
              <w:rPr>
                <w:rFonts w:asciiTheme="majorHAnsi" w:hAnsiTheme="majorHAnsi"/>
              </w:rPr>
            </w:pPr>
            <w:r w:rsidRPr="00421713">
              <w:rPr>
                <w:noProof/>
              </w:rPr>
              <w:drawing>
                <wp:inline distT="0" distB="0" distL="0" distR="0" wp14:anchorId="17D19E99" wp14:editId="079102C3">
                  <wp:extent cx="2645466" cy="2724150"/>
                  <wp:effectExtent l="0" t="0" r="2540" b="0"/>
                  <wp:docPr id="56" name="Picture 56" descr="A bar chart showing saving as a share of disposable income on the vertical axis and equivalised household income quintile on the horizontal axis. The lowest income quintile has the lowest savings (about -10 per cent), and this increases along the income quintiles to the highest income quintile with about a 40 per cent savings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bar chart showing saving as a share of disposable income on the vertical axis and equivalised household income quintile on the horizontal axis. The lowest income quintile has the lowest savings (about -10 per cent), and this increases along the income quintiles to the highest income quintile with about a 40 per cent savings ra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7104" cy="2725837"/>
                          </a:xfrm>
                          <a:prstGeom prst="rect">
                            <a:avLst/>
                          </a:prstGeom>
                          <a:noFill/>
                          <a:ln>
                            <a:noFill/>
                          </a:ln>
                        </pic:spPr>
                      </pic:pic>
                    </a:graphicData>
                  </a:graphic>
                </wp:inline>
              </w:drawing>
            </w:r>
          </w:p>
        </w:tc>
        <w:tc>
          <w:tcPr>
            <w:tcW w:w="4508" w:type="dxa"/>
            <w:shd w:val="clear" w:color="auto" w:fill="FFFFFF" w:themeFill="background1"/>
          </w:tcPr>
          <w:p w14:paraId="208FF2BD" w14:textId="27F01942" w:rsidR="005242B1" w:rsidRPr="007C3AEA" w:rsidRDefault="00360DB3" w:rsidP="007C3AEA">
            <w:pPr>
              <w:pStyle w:val="ChartGraphic"/>
              <w:jc w:val="right"/>
            </w:pPr>
            <w:r w:rsidRPr="007C3AEA">
              <w:rPr>
                <w:noProof/>
              </w:rPr>
              <w:drawing>
                <wp:inline distT="0" distB="0" distL="0" distR="0" wp14:anchorId="2CBC4631" wp14:editId="0EB40759">
                  <wp:extent cx="3021496" cy="2611170"/>
                  <wp:effectExtent l="0" t="0" r="0" b="0"/>
                  <wp:docPr id="22" name="Picture 22" descr="A line chart showing the household savings ratio between the first quarter 2017 and the third quarter 2023. The savings ratio was between 5-7 per cent until increasing rapidly in 2020, staying high until the end of 2021, before falling between 2022 and 2023 to about 1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line chart showing the household savings ratio between the first quarter 2017 and the third quarter 2023. The savings ratio was between 5-7 per cent until increasing rapidly in 2020, staying high until the end of 2021, before falling between 2022 and 2023 to about 1 per c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31183" cy="2619541"/>
                          </a:xfrm>
                          <a:prstGeom prst="rect">
                            <a:avLst/>
                          </a:prstGeom>
                          <a:noFill/>
                        </pic:spPr>
                      </pic:pic>
                    </a:graphicData>
                  </a:graphic>
                </wp:inline>
              </w:drawing>
            </w:r>
          </w:p>
        </w:tc>
      </w:tr>
      <w:tr w:rsidR="00CF04E0" w14:paraId="0A13D076" w14:textId="77777777" w:rsidTr="00E61525">
        <w:tc>
          <w:tcPr>
            <w:tcW w:w="4508" w:type="dxa"/>
            <w:shd w:val="clear" w:color="auto" w:fill="FFFFFF" w:themeFill="background1"/>
          </w:tcPr>
          <w:p w14:paraId="67C71388" w14:textId="578C0C6D" w:rsidR="00CF04E0" w:rsidRPr="00CF04E0" w:rsidRDefault="00CF04E0" w:rsidP="00260B2B">
            <w:pPr>
              <w:pStyle w:val="ChartorTableNote"/>
            </w:pPr>
            <w:r w:rsidRPr="00CF04E0">
              <w:rPr>
                <w:rStyle w:val="DashChar"/>
                <w:rFonts w:asciiTheme="minorHAnsi" w:eastAsiaTheme="minorHAnsi" w:hAnsiTheme="minorHAnsi" w:cstheme="minorHAnsi"/>
                <w:bCs/>
                <w:szCs w:val="18"/>
                <w:lang w:eastAsia="en-US"/>
              </w:rPr>
              <w:t xml:space="preserve">Source: </w:t>
            </w:r>
            <w:r w:rsidRPr="00CF04E0">
              <w:t>ABS National Accounts: Distribution of Household Income, Consumption and Wealth.</w:t>
            </w:r>
          </w:p>
        </w:tc>
        <w:tc>
          <w:tcPr>
            <w:tcW w:w="4508" w:type="dxa"/>
            <w:shd w:val="clear" w:color="auto" w:fill="FFFFFF" w:themeFill="background1"/>
          </w:tcPr>
          <w:p w14:paraId="5B453BCB" w14:textId="46B0C571" w:rsidR="00CF04E0" w:rsidRPr="006038A1" w:rsidRDefault="00CF04E0" w:rsidP="00260B2B">
            <w:pPr>
              <w:pStyle w:val="ChartorTableNote"/>
            </w:pPr>
            <w:r w:rsidRPr="00CF04E0">
              <w:t xml:space="preserve">Note: Seasonally adjusted. </w:t>
            </w:r>
            <w:r w:rsidRPr="00CF04E0">
              <w:br/>
              <w:t>Source: ABS National Accounts: National Income, Expenditure and Product.</w:t>
            </w:r>
          </w:p>
        </w:tc>
      </w:tr>
    </w:tbl>
    <w:p w14:paraId="12BE23EB" w14:textId="77777777" w:rsidR="00CF04E0" w:rsidRDefault="00CF04E0" w:rsidP="00CF04E0">
      <w:pPr>
        <w:pStyle w:val="NoSpacing"/>
      </w:pPr>
    </w:p>
    <w:p w14:paraId="336CB896" w14:textId="503C7EBC" w:rsidR="00631F4C" w:rsidRDefault="005B43D5" w:rsidP="006038A1">
      <w:r>
        <w:t>In 2021</w:t>
      </w:r>
      <w:r w:rsidR="00402B27">
        <w:t>–</w:t>
      </w:r>
      <w:r>
        <w:t>22, h</w:t>
      </w:r>
      <w:r w:rsidR="004655A8">
        <w:t>ousehold</w:t>
      </w:r>
      <w:r w:rsidR="00B70F30">
        <w:t>s</w:t>
      </w:r>
      <w:r w:rsidR="004655A8">
        <w:t xml:space="preserve"> in the lowest income quintile spen</w:t>
      </w:r>
      <w:r>
        <w:t>t</w:t>
      </w:r>
      <w:r w:rsidR="004655A8">
        <w:t xml:space="preserve"> more than their disposable income on average. </w:t>
      </w:r>
      <w:r w:rsidR="00631F4C">
        <w:t>This group is largely made up of benefit</w:t>
      </w:r>
      <w:r w:rsidR="00402B27">
        <w:noBreakHyphen/>
      </w:r>
      <w:r w:rsidR="00631F4C">
        <w:t>receiving households, who have received targeted cost</w:t>
      </w:r>
      <w:r w:rsidR="00402B27">
        <w:noBreakHyphen/>
      </w:r>
      <w:r w:rsidR="00631F4C">
        <w:t>of</w:t>
      </w:r>
      <w:r w:rsidR="00402B27">
        <w:noBreakHyphen/>
      </w:r>
      <w:r w:rsidR="00631F4C">
        <w:t xml:space="preserve">living support including </w:t>
      </w:r>
      <w:r w:rsidR="00631F4C" w:rsidRPr="001F41FF">
        <w:t>increas</w:t>
      </w:r>
      <w:r w:rsidR="00631F4C">
        <w:t>ed</w:t>
      </w:r>
      <w:r w:rsidR="00631F4C" w:rsidRPr="001F41FF">
        <w:t xml:space="preserve"> income support</w:t>
      </w:r>
      <w:r w:rsidR="00631F4C">
        <w:t xml:space="preserve"> payments and energy bill relief. Their benefits have also been indexed to inflation, mostly maintaining their spending power.</w:t>
      </w:r>
    </w:p>
    <w:p w14:paraId="3DC948DB" w14:textId="24B7BD4B" w:rsidR="00BD4BE6" w:rsidRPr="00095689" w:rsidRDefault="00D80F62" w:rsidP="00CF04E0">
      <w:pPr>
        <w:rPr>
          <w:spacing w:val="-2"/>
        </w:rPr>
      </w:pPr>
      <w:r w:rsidRPr="00095689">
        <w:rPr>
          <w:spacing w:val="-2"/>
        </w:rPr>
        <w:t xml:space="preserve">Households </w:t>
      </w:r>
      <w:r w:rsidR="00631F4C" w:rsidRPr="00095689">
        <w:rPr>
          <w:spacing w:val="-2"/>
        </w:rPr>
        <w:t>in the second and third quintile</w:t>
      </w:r>
      <w:r w:rsidR="006B3CE8" w:rsidRPr="00095689">
        <w:rPr>
          <w:spacing w:val="-2"/>
        </w:rPr>
        <w:t>s</w:t>
      </w:r>
      <w:r w:rsidR="00631F4C" w:rsidRPr="00095689">
        <w:rPr>
          <w:spacing w:val="-2"/>
        </w:rPr>
        <w:t xml:space="preserve"> </w:t>
      </w:r>
      <w:r w:rsidR="00D82342" w:rsidRPr="00095689">
        <w:rPr>
          <w:spacing w:val="-2"/>
        </w:rPr>
        <w:t xml:space="preserve">saved less than </w:t>
      </w:r>
      <w:r w:rsidR="00631F4C" w:rsidRPr="00095689">
        <w:rPr>
          <w:spacing w:val="-2"/>
        </w:rPr>
        <w:t>20 per cent</w:t>
      </w:r>
      <w:r w:rsidR="002A18F7" w:rsidRPr="00095689">
        <w:rPr>
          <w:spacing w:val="-2"/>
        </w:rPr>
        <w:t xml:space="preserve"> of their income</w:t>
      </w:r>
      <w:r w:rsidR="00631F4C" w:rsidRPr="00095689">
        <w:rPr>
          <w:spacing w:val="-2"/>
        </w:rPr>
        <w:t xml:space="preserve">, compared to 40 per cent for the highest income households, which </w:t>
      </w:r>
      <w:r w:rsidR="00171E55" w:rsidRPr="00095689">
        <w:rPr>
          <w:spacing w:val="-2"/>
        </w:rPr>
        <w:t xml:space="preserve">has </w:t>
      </w:r>
      <w:r w:rsidR="00631F4C" w:rsidRPr="00095689">
        <w:rPr>
          <w:spacing w:val="-2"/>
        </w:rPr>
        <w:t>limit</w:t>
      </w:r>
      <w:r w:rsidR="00171E55" w:rsidRPr="00095689">
        <w:rPr>
          <w:spacing w:val="-2"/>
        </w:rPr>
        <w:t>ed</w:t>
      </w:r>
      <w:r w:rsidR="00631F4C" w:rsidRPr="00095689">
        <w:rPr>
          <w:spacing w:val="-2"/>
        </w:rPr>
        <w:t xml:space="preserve"> their ability to absorb rising prices</w:t>
      </w:r>
      <w:r w:rsidR="00C63764" w:rsidRPr="00095689">
        <w:rPr>
          <w:spacing w:val="-2"/>
        </w:rPr>
        <w:t xml:space="preserve"> (Chart 2)</w:t>
      </w:r>
      <w:r w:rsidR="00631F4C" w:rsidRPr="00095689">
        <w:rPr>
          <w:spacing w:val="-2"/>
        </w:rPr>
        <w:t>.</w:t>
      </w:r>
      <w:r w:rsidR="00764325" w:rsidRPr="00095689">
        <w:rPr>
          <w:spacing w:val="-2"/>
        </w:rPr>
        <w:t xml:space="preserve"> As this </w:t>
      </w:r>
      <w:r w:rsidR="000729FC" w:rsidRPr="00095689">
        <w:rPr>
          <w:spacing w:val="-2"/>
        </w:rPr>
        <w:t xml:space="preserve">distributional </w:t>
      </w:r>
      <w:r w:rsidR="00764325" w:rsidRPr="00095689">
        <w:rPr>
          <w:spacing w:val="-2"/>
        </w:rPr>
        <w:t>data is from 2021</w:t>
      </w:r>
      <w:r w:rsidR="00402B27" w:rsidRPr="00095689">
        <w:rPr>
          <w:spacing w:val="-2"/>
        </w:rPr>
        <w:t>–</w:t>
      </w:r>
      <w:r w:rsidR="00764325" w:rsidRPr="00095689">
        <w:rPr>
          <w:spacing w:val="-2"/>
        </w:rPr>
        <w:t>22</w:t>
      </w:r>
      <w:r w:rsidR="000729FC" w:rsidRPr="00095689">
        <w:rPr>
          <w:spacing w:val="-2"/>
        </w:rPr>
        <w:t xml:space="preserve"> </w:t>
      </w:r>
      <w:r w:rsidR="00764325" w:rsidRPr="00095689">
        <w:rPr>
          <w:spacing w:val="-2"/>
        </w:rPr>
        <w:t xml:space="preserve">when </w:t>
      </w:r>
      <w:r w:rsidR="00D96E15" w:rsidRPr="00095689">
        <w:rPr>
          <w:spacing w:val="-2"/>
        </w:rPr>
        <w:t xml:space="preserve">aggregate </w:t>
      </w:r>
      <w:r w:rsidR="00764325" w:rsidRPr="00095689">
        <w:rPr>
          <w:spacing w:val="-2"/>
        </w:rPr>
        <w:t xml:space="preserve">savings </w:t>
      </w:r>
      <w:r w:rsidR="001648D5" w:rsidRPr="00095689">
        <w:rPr>
          <w:spacing w:val="-2"/>
        </w:rPr>
        <w:t xml:space="preserve">rates were </w:t>
      </w:r>
      <w:r w:rsidR="00D96E15" w:rsidRPr="00095689">
        <w:rPr>
          <w:spacing w:val="-2"/>
        </w:rPr>
        <w:t>over 10</w:t>
      </w:r>
      <w:r w:rsidR="00CF04E0" w:rsidRPr="00095689">
        <w:rPr>
          <w:spacing w:val="-2"/>
        </w:rPr>
        <w:t> </w:t>
      </w:r>
      <w:r w:rsidR="00D96E15" w:rsidRPr="00095689">
        <w:rPr>
          <w:spacing w:val="-2"/>
        </w:rPr>
        <w:t>per</w:t>
      </w:r>
      <w:r w:rsidR="00CF04E0" w:rsidRPr="00095689">
        <w:rPr>
          <w:spacing w:val="-2"/>
        </w:rPr>
        <w:t> </w:t>
      </w:r>
      <w:r w:rsidR="00D96E15" w:rsidRPr="00095689">
        <w:rPr>
          <w:spacing w:val="-2"/>
        </w:rPr>
        <w:t xml:space="preserve">cent </w:t>
      </w:r>
      <w:r w:rsidR="00D1201B" w:rsidRPr="00095689">
        <w:rPr>
          <w:spacing w:val="-2"/>
        </w:rPr>
        <w:t xml:space="preserve">during </w:t>
      </w:r>
      <w:r w:rsidR="001828DC" w:rsidRPr="00095689">
        <w:rPr>
          <w:spacing w:val="-2"/>
        </w:rPr>
        <w:t xml:space="preserve">the </w:t>
      </w:r>
      <w:r w:rsidR="00F10BA9" w:rsidRPr="00095689">
        <w:rPr>
          <w:spacing w:val="-2"/>
        </w:rPr>
        <w:t>COVID</w:t>
      </w:r>
      <w:r w:rsidR="00402B27" w:rsidRPr="00095689">
        <w:rPr>
          <w:spacing w:val="-2"/>
        </w:rPr>
        <w:noBreakHyphen/>
      </w:r>
      <w:r w:rsidR="00F10BA9" w:rsidRPr="00095689">
        <w:rPr>
          <w:spacing w:val="-2"/>
        </w:rPr>
        <w:t xml:space="preserve">19 </w:t>
      </w:r>
      <w:r w:rsidR="0037425B" w:rsidRPr="00095689">
        <w:rPr>
          <w:spacing w:val="-2"/>
        </w:rPr>
        <w:t>lock</w:t>
      </w:r>
      <w:r w:rsidR="00C73EBF" w:rsidRPr="00095689">
        <w:rPr>
          <w:spacing w:val="-2"/>
        </w:rPr>
        <w:t>down periods</w:t>
      </w:r>
      <w:r w:rsidR="00D61438" w:rsidRPr="00095689">
        <w:rPr>
          <w:spacing w:val="-2"/>
        </w:rPr>
        <w:t xml:space="preserve"> </w:t>
      </w:r>
      <w:r w:rsidR="000729FC" w:rsidRPr="00095689">
        <w:rPr>
          <w:spacing w:val="-2"/>
        </w:rPr>
        <w:t>(Chart 3),</w:t>
      </w:r>
      <w:r w:rsidR="00E24C89" w:rsidRPr="00095689">
        <w:rPr>
          <w:spacing w:val="-2"/>
        </w:rPr>
        <w:t xml:space="preserve"> it is expected that </w:t>
      </w:r>
      <w:r w:rsidR="00FD2692" w:rsidRPr="00095689">
        <w:rPr>
          <w:spacing w:val="-2"/>
        </w:rPr>
        <w:t xml:space="preserve">savings rates </w:t>
      </w:r>
      <w:r w:rsidR="00661797" w:rsidRPr="00095689">
        <w:rPr>
          <w:spacing w:val="-2"/>
        </w:rPr>
        <w:t>have</w:t>
      </w:r>
      <w:r w:rsidR="001725DB" w:rsidRPr="00095689">
        <w:rPr>
          <w:spacing w:val="-2"/>
        </w:rPr>
        <w:t xml:space="preserve"> fallen </w:t>
      </w:r>
      <w:r w:rsidR="006441C8" w:rsidRPr="00095689">
        <w:rPr>
          <w:spacing w:val="-2"/>
        </w:rPr>
        <w:t>across</w:t>
      </w:r>
      <w:r w:rsidR="00183C15" w:rsidRPr="00095689">
        <w:rPr>
          <w:spacing w:val="-2"/>
        </w:rPr>
        <w:t xml:space="preserve"> the</w:t>
      </w:r>
      <w:r w:rsidR="006441C8" w:rsidRPr="00095689">
        <w:rPr>
          <w:spacing w:val="-2"/>
        </w:rPr>
        <w:t xml:space="preserve"> </w:t>
      </w:r>
      <w:r w:rsidR="00D96E15" w:rsidRPr="00095689">
        <w:rPr>
          <w:spacing w:val="-2"/>
        </w:rPr>
        <w:t>income distribution</w:t>
      </w:r>
      <w:r w:rsidR="00662682" w:rsidRPr="00095689">
        <w:rPr>
          <w:spacing w:val="-2"/>
        </w:rPr>
        <w:t>, with the</w:t>
      </w:r>
      <w:r w:rsidR="00D96E15" w:rsidRPr="00095689" w:rsidDel="00662682">
        <w:rPr>
          <w:spacing w:val="-2"/>
        </w:rPr>
        <w:t xml:space="preserve"> </w:t>
      </w:r>
      <w:r w:rsidR="00A73603" w:rsidRPr="00095689">
        <w:rPr>
          <w:spacing w:val="-2"/>
        </w:rPr>
        <w:t xml:space="preserve">average </w:t>
      </w:r>
      <w:r w:rsidR="00662682" w:rsidRPr="00095689">
        <w:rPr>
          <w:spacing w:val="-2"/>
        </w:rPr>
        <w:t>now</w:t>
      </w:r>
      <w:r w:rsidR="00A73603" w:rsidRPr="00095689">
        <w:rPr>
          <w:spacing w:val="-2"/>
        </w:rPr>
        <w:t xml:space="preserve"> 1.1 per cent</w:t>
      </w:r>
      <w:r w:rsidR="00D96E15" w:rsidRPr="00095689">
        <w:rPr>
          <w:spacing w:val="-2"/>
        </w:rPr>
        <w:t xml:space="preserve"> in </w:t>
      </w:r>
      <w:r w:rsidR="006830C5" w:rsidRPr="00095689">
        <w:rPr>
          <w:spacing w:val="-2"/>
        </w:rPr>
        <w:t xml:space="preserve">the </w:t>
      </w:r>
      <w:r w:rsidR="00D96E15" w:rsidRPr="00095689">
        <w:rPr>
          <w:spacing w:val="-2"/>
        </w:rPr>
        <w:t>September 2023</w:t>
      </w:r>
      <w:r w:rsidR="006830C5" w:rsidRPr="00095689">
        <w:rPr>
          <w:spacing w:val="-2"/>
        </w:rPr>
        <w:t xml:space="preserve"> quarter</w:t>
      </w:r>
      <w:r w:rsidR="00A73603" w:rsidRPr="00095689">
        <w:rPr>
          <w:spacing w:val="-2"/>
        </w:rPr>
        <w:t>.</w:t>
      </w:r>
      <w:r w:rsidR="00B13277" w:rsidRPr="00095689">
        <w:rPr>
          <w:spacing w:val="-2"/>
        </w:rPr>
        <w:t xml:space="preserve"> </w:t>
      </w:r>
    </w:p>
    <w:p w14:paraId="671F1CC3" w14:textId="50C1D887" w:rsidR="00631F4C" w:rsidRPr="00CF04E0" w:rsidRDefault="00631F4C" w:rsidP="00A07439">
      <w:pPr>
        <w:keepLines/>
      </w:pPr>
      <w:r w:rsidRPr="00CF04E0">
        <w:lastRenderedPageBreak/>
        <w:t>Further, households in the 3 lowest quintiles consume a higher proportion of their total spending on essential goods and services</w:t>
      </w:r>
      <w:r w:rsidR="00B13277" w:rsidRPr="00CF04E0">
        <w:t>.</w:t>
      </w:r>
      <w:r w:rsidR="00BD4BE6" w:rsidRPr="00CF04E0">
        <w:t xml:space="preserve"> </w:t>
      </w:r>
      <w:r w:rsidRPr="00CF04E0">
        <w:t>These lower</w:t>
      </w:r>
      <w:r w:rsidR="00402B27" w:rsidRPr="00CF04E0">
        <w:noBreakHyphen/>
      </w:r>
      <w:r w:rsidRPr="00CF04E0">
        <w:t>income households also tend to consume lower</w:t>
      </w:r>
      <w:r w:rsidR="00402B27" w:rsidRPr="00CF04E0">
        <w:noBreakHyphen/>
      </w:r>
      <w:r w:rsidRPr="00CF04E0">
        <w:t>cost versions of goods. As a result, they have less scope to reduce spending when faced with higher prices through reducing saving or changing their expenditure patterns.</w:t>
      </w:r>
    </w:p>
    <w:p w14:paraId="7A2C7028" w14:textId="0E64EE4A" w:rsidR="00514BEC" w:rsidRPr="00CF04E0" w:rsidRDefault="007C01BA" w:rsidP="00CF04E0">
      <w:r w:rsidRPr="00CF04E0">
        <w:t>T</w:t>
      </w:r>
      <w:r w:rsidR="00631F4C" w:rsidRPr="00CF04E0">
        <w:t xml:space="preserve">he household savings </w:t>
      </w:r>
      <w:r w:rsidR="00D648D2" w:rsidRPr="00CF04E0">
        <w:t xml:space="preserve">ratio </w:t>
      </w:r>
      <w:r w:rsidR="00631F4C" w:rsidRPr="00CF04E0">
        <w:t xml:space="preserve">has declined over the past 18 months to the lowest level since 2007 (Chart </w:t>
      </w:r>
      <w:r w:rsidR="004655A8" w:rsidRPr="00CF04E0">
        <w:t>3</w:t>
      </w:r>
      <w:r w:rsidR="00631F4C" w:rsidRPr="00CF04E0">
        <w:t>)</w:t>
      </w:r>
      <w:r w:rsidR="00B92EEF" w:rsidRPr="00CF04E0">
        <w:t xml:space="preserve"> and </w:t>
      </w:r>
      <w:r w:rsidR="00550128" w:rsidRPr="00CF04E0">
        <w:t>inflationary pressures have been broadly based</w:t>
      </w:r>
      <w:r w:rsidR="004655A8" w:rsidRPr="00CF04E0">
        <w:t>,</w:t>
      </w:r>
      <w:r w:rsidR="603528BD" w:rsidRPr="00CF04E0">
        <w:rPr>
          <w:rFonts w:eastAsia="Calibri"/>
        </w:rPr>
        <w:t xml:space="preserve"> both illustrating the pressure some households are under and a run down in the accumulated savings experienced by higher income households over the COVID</w:t>
      </w:r>
      <w:r w:rsidR="00402B27" w:rsidRPr="00CF04E0">
        <w:rPr>
          <w:rFonts w:eastAsia="Calibri"/>
        </w:rPr>
        <w:noBreakHyphen/>
      </w:r>
      <w:r w:rsidR="001B1731" w:rsidRPr="00CF04E0">
        <w:rPr>
          <w:rFonts w:eastAsia="Calibri"/>
        </w:rPr>
        <w:t>19</w:t>
      </w:r>
      <w:r w:rsidR="603528BD" w:rsidRPr="00CF04E0">
        <w:rPr>
          <w:rFonts w:eastAsia="Calibri"/>
        </w:rPr>
        <w:t xml:space="preserve"> period</w:t>
      </w:r>
      <w:r w:rsidR="664282B2" w:rsidRPr="00CF04E0" w:rsidDel="664282B2">
        <w:t>.</w:t>
      </w:r>
      <w:r w:rsidR="003231FD" w:rsidRPr="00CF04E0">
        <w:t xml:space="preserve"> </w:t>
      </w:r>
    </w:p>
    <w:p w14:paraId="5DC89131" w14:textId="51FD4019" w:rsidR="00631F4C" w:rsidRPr="00A67251" w:rsidRDefault="00631F4C" w:rsidP="00ED3368">
      <w:pPr>
        <w:pStyle w:val="Heading2"/>
      </w:pPr>
      <w:bookmarkStart w:id="2" w:name="_Toc155963873"/>
      <w:r w:rsidRPr="0011079A">
        <w:t>Working households have experienced the fastest rise in their cost</w:t>
      </w:r>
      <w:r w:rsidR="004D265E">
        <w:t xml:space="preserve"> </w:t>
      </w:r>
      <w:r w:rsidRPr="0011079A">
        <w:t>of</w:t>
      </w:r>
      <w:r w:rsidR="004D265E">
        <w:t xml:space="preserve"> </w:t>
      </w:r>
      <w:r w:rsidRPr="0011079A">
        <w:t>living</w:t>
      </w:r>
      <w:bookmarkEnd w:id="2"/>
    </w:p>
    <w:p w14:paraId="7276DE30" w14:textId="6BA31C24" w:rsidR="00631F4C" w:rsidRDefault="00631F4C" w:rsidP="006038A1">
      <w:r w:rsidRPr="00066403">
        <w:t xml:space="preserve">Working households have experienced the fastest rise in their cost of living, with prices rising 9 per cent </w:t>
      </w:r>
      <w:r>
        <w:t xml:space="preserve">through </w:t>
      </w:r>
      <w:r w:rsidRPr="00066403">
        <w:t xml:space="preserve">the year to </w:t>
      </w:r>
      <w:r w:rsidR="00936387">
        <w:t xml:space="preserve">the </w:t>
      </w:r>
      <w:r w:rsidRPr="00066403">
        <w:t xml:space="preserve">September 2023 </w:t>
      </w:r>
      <w:r w:rsidR="00936387">
        <w:t>quarter</w:t>
      </w:r>
      <w:r w:rsidRPr="00066403">
        <w:t xml:space="preserve"> (Chart </w:t>
      </w:r>
      <w:r w:rsidR="00CD7D51">
        <w:t>4</w:t>
      </w:r>
      <w:r w:rsidRPr="00066403">
        <w:t xml:space="preserve">). The </w:t>
      </w:r>
      <w:r w:rsidR="001635AF">
        <w:t xml:space="preserve">relatively </w:t>
      </w:r>
      <w:r>
        <w:t xml:space="preserve">large </w:t>
      </w:r>
      <w:r w:rsidRPr="00066403">
        <w:t xml:space="preserve">rise </w:t>
      </w:r>
      <w:r>
        <w:t xml:space="preserve">in cost of living </w:t>
      </w:r>
      <w:r w:rsidRPr="00066403">
        <w:t xml:space="preserve">for </w:t>
      </w:r>
      <w:r w:rsidR="005F5A8D">
        <w:t xml:space="preserve">these </w:t>
      </w:r>
      <w:r w:rsidRPr="00066403">
        <w:t>households reflects rising mortgage interest costs</w:t>
      </w:r>
      <w:r w:rsidR="00851214">
        <w:t>,</w:t>
      </w:r>
      <w:r w:rsidRPr="00066403">
        <w:t xml:space="preserve"> </w:t>
      </w:r>
      <w:r>
        <w:t xml:space="preserve">which </w:t>
      </w:r>
      <w:r w:rsidR="00891956">
        <w:t>almost doubled through</w:t>
      </w:r>
      <w:r w:rsidRPr="00066403">
        <w:t xml:space="preserve"> the year to June 2023.</w:t>
      </w:r>
      <w:r w:rsidR="00712D9C" w:rsidRPr="00712D9C">
        <w:t xml:space="preserve"> </w:t>
      </w:r>
      <w:r w:rsidR="009B79D1">
        <w:t xml:space="preserve">The RBA </w:t>
      </w:r>
      <w:r w:rsidR="007B2385">
        <w:t xml:space="preserve">has found that </w:t>
      </w:r>
      <w:r w:rsidR="003033E9">
        <w:t xml:space="preserve">rising mortgage interest costs have led to </w:t>
      </w:r>
      <w:r w:rsidR="5EC2D3EE">
        <w:t xml:space="preserve">total </w:t>
      </w:r>
      <w:r w:rsidR="003033E9">
        <w:t>mortgage re</w:t>
      </w:r>
      <w:r w:rsidR="00712D9C">
        <w:t xml:space="preserve">payments </w:t>
      </w:r>
      <w:r w:rsidR="419579D1">
        <w:t>(principal and interest)</w:t>
      </w:r>
      <w:r w:rsidR="00712D9C">
        <w:t xml:space="preserve"> </w:t>
      </w:r>
      <w:r w:rsidR="003033E9">
        <w:t xml:space="preserve">increasing </w:t>
      </w:r>
      <w:r w:rsidR="00712D9C">
        <w:t>by between 30 and 50 per cent since May</w:t>
      </w:r>
      <w:r w:rsidR="005335F2">
        <w:t> </w:t>
      </w:r>
      <w:r w:rsidR="00712D9C">
        <w:t>2022</w:t>
      </w:r>
      <w:r w:rsidR="003033E9">
        <w:t xml:space="preserve"> for most variable</w:t>
      </w:r>
      <w:r w:rsidR="00402B27">
        <w:noBreakHyphen/>
      </w:r>
      <w:r w:rsidR="003033E9">
        <w:t>rate borrowers</w:t>
      </w:r>
      <w:r w:rsidR="00712D9C">
        <w:t>.</w:t>
      </w:r>
      <w:r w:rsidR="005F2126">
        <w:t xml:space="preserve"> </w:t>
      </w:r>
      <w:r w:rsidR="00547693">
        <w:t xml:space="preserve">The RBA has also found </w:t>
      </w:r>
      <w:r w:rsidR="00372EE9">
        <w:t>that lower</w:t>
      </w:r>
      <w:r w:rsidR="00402B27">
        <w:noBreakHyphen/>
      </w:r>
      <w:r w:rsidR="00372EE9">
        <w:t xml:space="preserve">income mortgage holders were </w:t>
      </w:r>
      <w:r w:rsidR="00025362">
        <w:t>significantly more likely to be experiencing financial stress than those on higher incomes.</w:t>
      </w:r>
      <w:r w:rsidR="00372EE9">
        <w:t xml:space="preserve"> </w:t>
      </w:r>
    </w:p>
    <w:p w14:paraId="2A9A5FCF" w14:textId="76C6982B" w:rsidR="007753E6" w:rsidRPr="006038A1" w:rsidRDefault="007753E6" w:rsidP="00260B2B">
      <w:pPr>
        <w:pStyle w:val="ChartMainHeading"/>
      </w:pPr>
      <w:r w:rsidRPr="006038A1">
        <w:t xml:space="preserve">Chart 4: Selected cost of living indexes by household type, </w:t>
      </w:r>
      <w:r w:rsidR="002B32C3" w:rsidRPr="006038A1">
        <w:t xml:space="preserve">change </w:t>
      </w:r>
      <w:r w:rsidR="00194934" w:rsidRPr="006038A1">
        <w:t>through</w:t>
      </w:r>
      <w:r w:rsidR="002B32C3" w:rsidRPr="006038A1">
        <w:t xml:space="preserve"> the year to </w:t>
      </w:r>
      <w:r w:rsidRPr="006038A1">
        <w:t>September 2023</w:t>
      </w:r>
    </w:p>
    <w:p w14:paraId="7F5A6299" w14:textId="1C484C3B" w:rsidR="007753E6" w:rsidRPr="00631F4C" w:rsidRDefault="00DB45EE" w:rsidP="00112C9B">
      <w:pPr>
        <w:pStyle w:val="ChartGraphic"/>
      </w:pPr>
      <w:r>
        <w:rPr>
          <w:noProof/>
        </w:rPr>
        <w:drawing>
          <wp:inline distT="0" distB="0" distL="0" distR="0" wp14:anchorId="0D70CD7E" wp14:editId="5B4ECE35">
            <wp:extent cx="5780493" cy="2263579"/>
            <wp:effectExtent l="0" t="0" r="0" b="3810"/>
            <wp:docPr id="73" name="Picture 73" descr="A bar chat with household type on the vertical axis and the change in cost of living through the year to September 2023 on the horizontal axis. Employee households had the highest cost of living change (about 9 per cent). Other Transfer Recipients, Self Funded Retirees, Pensioners, and Age Penioners had cost of living chnages of 5-7 per cent, closer to C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A bar chat with household type on the vertical axis and the change in cost of living through the year to September 2023 on the horizontal axis. Employee households had the highest cost of living change (about 9 per cent). Other Transfer Recipients, Self Funded Retirees, Pensioners, and Age Penioners had cost of living chnages of 5-7 per cent, closer to CP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98794" cy="2270745"/>
                    </a:xfrm>
                    <a:prstGeom prst="rect">
                      <a:avLst/>
                    </a:prstGeom>
                    <a:noFill/>
                  </pic:spPr>
                </pic:pic>
              </a:graphicData>
            </a:graphic>
          </wp:inline>
        </w:drawing>
      </w:r>
    </w:p>
    <w:p w14:paraId="69305043" w14:textId="7273E07D" w:rsidR="007753E6" w:rsidRDefault="007753E6" w:rsidP="006038A1">
      <w:pPr>
        <w:pStyle w:val="ChartorTableNote"/>
      </w:pPr>
      <w:r w:rsidRPr="00CD7D51">
        <w:t>Source: ABS Select Cost of Living Indexes.</w:t>
      </w:r>
    </w:p>
    <w:p w14:paraId="2727157A" w14:textId="77777777" w:rsidR="00CF04E0" w:rsidRPr="00CF04E0" w:rsidRDefault="00CF04E0" w:rsidP="00CF04E0">
      <w:pPr>
        <w:pStyle w:val="NoSpacing"/>
      </w:pPr>
    </w:p>
    <w:p w14:paraId="6C4CBE47" w14:textId="072C6ECE" w:rsidR="00631F4C" w:rsidRDefault="00631F4C" w:rsidP="00631F4C">
      <w:r>
        <w:t xml:space="preserve">Renters typically have lower incomes and substantially lower savings than </w:t>
      </w:r>
      <w:r w:rsidR="00411379">
        <w:t>ho</w:t>
      </w:r>
      <w:r w:rsidR="00674C5D">
        <w:t>meowners</w:t>
      </w:r>
      <w:r>
        <w:t xml:space="preserve">, regardless of age. Across the income distribution, renters are far more likely than homeowners to experience financial stress, including being unable to pay bills, missing meals, or reaching out to community or family for financial help (Chart </w:t>
      </w:r>
      <w:r w:rsidR="00995B17">
        <w:t>5</w:t>
      </w:r>
      <w:r>
        <w:t xml:space="preserve">). </w:t>
      </w:r>
    </w:p>
    <w:p w14:paraId="572C9876" w14:textId="2D840EBD" w:rsidR="00631F4C" w:rsidRDefault="00631F4C" w:rsidP="00ED3368">
      <w:pPr>
        <w:pStyle w:val="ChartMainHeading"/>
      </w:pPr>
      <w:r>
        <w:t xml:space="preserve">Chart </w:t>
      </w:r>
      <w:r w:rsidR="00995B17">
        <w:t>5</w:t>
      </w:r>
      <w:r>
        <w:t xml:space="preserve">: </w:t>
      </w:r>
      <w:r w:rsidRPr="00544E81">
        <w:t>Individuals experiencing financial stress, by housing tenure and income quintile</w:t>
      </w:r>
      <w:r>
        <w:t>, 2022</w:t>
      </w:r>
      <w:r w:rsidR="00402B27">
        <w:t>–</w:t>
      </w:r>
      <w:r>
        <w:t>23</w:t>
      </w:r>
    </w:p>
    <w:p w14:paraId="64E1CBA5" w14:textId="21469F58" w:rsidR="00631F4C" w:rsidRDefault="00452001" w:rsidP="00431A1D">
      <w:pPr>
        <w:pStyle w:val="ChartGraphic"/>
      </w:pPr>
      <w:r>
        <w:rPr>
          <w:noProof/>
        </w:rPr>
        <w:drawing>
          <wp:inline distT="0" distB="0" distL="0" distR="0" wp14:anchorId="7B648CB1" wp14:editId="49253DFF">
            <wp:extent cx="5825206" cy="2533650"/>
            <wp:effectExtent l="0" t="0" r="4445" b="0"/>
            <wp:docPr id="3" name="Picture 3" descr="A line chart showing the share of individuals experiencing household stress on the vertical axis by income quintile on the horizontal axis. The first line shows renters, who had higher rates of financial stress for all income levels. Homeowners with a mortgage were lower, and homeowners without a mortgage were lower still. Rates of financial stress declined for all groups with higher in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ine chart showing the share of individuals experiencing household stress on the vertical axis by income quintile on the horizontal axis. The first line shows renters, who had higher rates of financial stress for all income levels. Homeowners with a mortgage were lower, and homeowners without a mortgage were lower still. Rates of financial stress declined for all groups with higher incom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6053" cy="2542717"/>
                    </a:xfrm>
                    <a:prstGeom prst="rect">
                      <a:avLst/>
                    </a:prstGeom>
                    <a:noFill/>
                  </pic:spPr>
                </pic:pic>
              </a:graphicData>
            </a:graphic>
          </wp:inline>
        </w:drawing>
      </w:r>
    </w:p>
    <w:p w14:paraId="6A8DE006" w14:textId="1B63BA65" w:rsidR="00631F4C" w:rsidRDefault="00B34E2C" w:rsidP="00C521BA">
      <w:pPr>
        <w:pStyle w:val="ChartorTableNote"/>
      </w:pPr>
      <w:r>
        <w:t>Notes:</w:t>
      </w:r>
      <w:r w:rsidR="00EB2453">
        <w:t xml:space="preserve"> Individuals aged 18</w:t>
      </w:r>
      <w:r w:rsidR="009443C3">
        <w:t xml:space="preserve"> years and over</w:t>
      </w:r>
      <w:r w:rsidR="00EB2453">
        <w:t>.</w:t>
      </w:r>
      <w:r w:rsidR="0009427A">
        <w:t xml:space="preserve"> Income is</w:t>
      </w:r>
      <w:r w:rsidR="001D06D3">
        <w:t xml:space="preserve"> financial year disposable</w:t>
      </w:r>
      <w:r w:rsidR="0009427A">
        <w:t xml:space="preserve"> income.</w:t>
      </w:r>
      <w:r w:rsidR="00EB2453">
        <w:t xml:space="preserve"> </w:t>
      </w:r>
      <w:r>
        <w:br/>
      </w:r>
      <w:r w:rsidR="00631F4C">
        <w:t>Source: Treasury analysis of HILDA (Wave 22).</w:t>
      </w:r>
    </w:p>
    <w:p w14:paraId="67FB385B" w14:textId="77777777" w:rsidR="00ED3368" w:rsidRPr="00ED3368" w:rsidRDefault="00ED3368" w:rsidP="00ED3368">
      <w:pPr>
        <w:pStyle w:val="NoSpacing"/>
      </w:pPr>
    </w:p>
    <w:p w14:paraId="02064958" w14:textId="42008E09" w:rsidR="00631F4C" w:rsidRPr="00D10177" w:rsidRDefault="00631F4C" w:rsidP="00ED3368">
      <w:r w:rsidRPr="0075223B">
        <w:t>Lower</w:t>
      </w:r>
      <w:r w:rsidR="00402B27">
        <w:noBreakHyphen/>
      </w:r>
      <w:r w:rsidRPr="0075223B">
        <w:t xml:space="preserve">income workers have experienced </w:t>
      </w:r>
      <w:r>
        <w:t xml:space="preserve">relatively </w:t>
      </w:r>
      <w:r w:rsidRPr="0075223B">
        <w:t>strong</w:t>
      </w:r>
      <w:r>
        <w:t xml:space="preserve"> </w:t>
      </w:r>
      <w:r w:rsidRPr="0075223B">
        <w:t xml:space="preserve">earnings growth. This </w:t>
      </w:r>
      <w:r>
        <w:t>partly</w:t>
      </w:r>
      <w:r w:rsidRPr="0075223B">
        <w:t xml:space="preserve"> reflects the increase in the minimum wage arising from the Fair Work Commission</w:t>
      </w:r>
      <w:r w:rsidR="00402B27">
        <w:t>’</w:t>
      </w:r>
      <w:r w:rsidRPr="0075223B">
        <w:t xml:space="preserve">s award wage decision, and </w:t>
      </w:r>
      <w:r>
        <w:t>that some low</w:t>
      </w:r>
      <w:r w:rsidR="00402B27">
        <w:noBreakHyphen/>
      </w:r>
      <w:r>
        <w:t>income earners are working more, including in response to cost</w:t>
      </w:r>
      <w:r w:rsidR="00402B27">
        <w:noBreakHyphen/>
      </w:r>
      <w:r>
        <w:t>of</w:t>
      </w:r>
      <w:r w:rsidR="00402B27">
        <w:noBreakHyphen/>
      </w:r>
      <w:r>
        <w:t>living pressures</w:t>
      </w:r>
      <w:r w:rsidR="006D66F7">
        <w:t>.</w:t>
      </w:r>
      <w:r w:rsidRPr="0075223B">
        <w:t xml:space="preserve"> </w:t>
      </w:r>
      <w:r w:rsidR="003275FD">
        <w:t>However</w:t>
      </w:r>
      <w:r w:rsidRPr="0085347E">
        <w:t>, lower</w:t>
      </w:r>
      <w:r w:rsidR="00402B27">
        <w:noBreakHyphen/>
      </w:r>
      <w:r w:rsidRPr="0085347E">
        <w:t>income households are more likely to experience financial distress.</w:t>
      </w:r>
    </w:p>
    <w:p w14:paraId="715D8D07" w14:textId="5648BF60" w:rsidR="00631F4C" w:rsidRPr="00E06D88" w:rsidRDefault="0010507E" w:rsidP="0042502E">
      <w:pPr>
        <w:pStyle w:val="Heading2"/>
      </w:pPr>
      <w:bookmarkStart w:id="3" w:name="_Toc155963875"/>
      <w:r w:rsidRPr="0010507E">
        <w:t>Broad</w:t>
      </w:r>
      <w:r w:rsidR="00402B27">
        <w:noBreakHyphen/>
      </w:r>
      <w:r w:rsidRPr="0010507E">
        <w:t>based tax cuts could ease cost</w:t>
      </w:r>
      <w:r w:rsidR="00402B27">
        <w:noBreakHyphen/>
      </w:r>
      <w:r w:rsidRPr="0010507E">
        <w:t>of</w:t>
      </w:r>
      <w:r w:rsidR="00402B27">
        <w:noBreakHyphen/>
      </w:r>
      <w:r w:rsidRPr="0010507E">
        <w:t>living pressure for more people in need</w:t>
      </w:r>
      <w:bookmarkEnd w:id="3"/>
    </w:p>
    <w:p w14:paraId="7E46A4EA" w14:textId="24A0C153" w:rsidR="00631F4C" w:rsidRDefault="00631F4C" w:rsidP="00ED3368">
      <w:r w:rsidRPr="00A87B00">
        <w:t xml:space="preserve">The legislated </w:t>
      </w:r>
      <w:r w:rsidR="00234C6B">
        <w:t>Stage 3</w:t>
      </w:r>
      <w:r w:rsidRPr="00A87B00">
        <w:t xml:space="preserve"> tax cuts are targeted at higher</w:t>
      </w:r>
      <w:r w:rsidR="00402B27">
        <w:noBreakHyphen/>
      </w:r>
      <w:r w:rsidRPr="00A87B00">
        <w:t>income earners,</w:t>
      </w:r>
      <w:r w:rsidRPr="00A87B00" w:rsidDel="00D72C7E">
        <w:t xml:space="preserve"> </w:t>
      </w:r>
      <w:r w:rsidR="00D72C7E">
        <w:t>following</w:t>
      </w:r>
      <w:r w:rsidRPr="00A87B00">
        <w:t xml:space="preserve"> two earlier stages of tax </w:t>
      </w:r>
      <w:r w:rsidRPr="00A764BC">
        <w:t xml:space="preserve">cuts </w:t>
      </w:r>
      <w:r w:rsidRPr="009216D8">
        <w:t>targeted to low</w:t>
      </w:r>
      <w:r w:rsidR="00402B27">
        <w:noBreakHyphen/>
      </w:r>
      <w:r w:rsidRPr="009216D8">
        <w:t xml:space="preserve"> and</w:t>
      </w:r>
      <w:r w:rsidRPr="00A764BC">
        <w:t xml:space="preserve"> middle</w:t>
      </w:r>
      <w:r w:rsidR="00402B27">
        <w:noBreakHyphen/>
      </w:r>
      <w:r w:rsidRPr="00A87B00">
        <w:t xml:space="preserve">income earners. However, the </w:t>
      </w:r>
      <w:r w:rsidR="00234C6B">
        <w:t>Stage 3</w:t>
      </w:r>
      <w:r w:rsidRPr="00A87B00">
        <w:t xml:space="preserve"> tax cuts were designed and legislated before the </w:t>
      </w:r>
      <w:r>
        <w:t>increase in cost</w:t>
      </w:r>
      <w:r w:rsidR="00402B27">
        <w:noBreakHyphen/>
      </w:r>
      <w:r>
        <w:t>of</w:t>
      </w:r>
      <w:r w:rsidR="00402B27">
        <w:noBreakHyphen/>
      </w:r>
      <w:r>
        <w:t>living pressures faced by Australian households emerged</w:t>
      </w:r>
      <w:r w:rsidRPr="00A87B00">
        <w:t xml:space="preserve">. The </w:t>
      </w:r>
      <w:r w:rsidR="00234C6B">
        <w:t>Stage</w:t>
      </w:r>
      <w:r w:rsidRPr="00A87B00">
        <w:t xml:space="preserve"> 3 tax cuts could be redesigned to provide </w:t>
      </w:r>
      <w:r w:rsidRPr="00A87B00" w:rsidDel="00B7035A">
        <w:t xml:space="preserve">broader </w:t>
      </w:r>
      <w:r w:rsidRPr="00A87B00">
        <w:t>cost</w:t>
      </w:r>
      <w:r w:rsidR="00402B27">
        <w:noBreakHyphen/>
      </w:r>
      <w:r w:rsidRPr="00A87B00">
        <w:t>of</w:t>
      </w:r>
      <w:r w:rsidR="00402B27">
        <w:noBreakHyphen/>
      </w:r>
      <w:r w:rsidRPr="00A87B00">
        <w:t xml:space="preserve">living relief to Australian </w:t>
      </w:r>
      <w:r w:rsidR="002B22CC">
        <w:t>taxpayers</w:t>
      </w:r>
      <w:r w:rsidRPr="00A87B00">
        <w:t>, including low</w:t>
      </w:r>
      <w:r w:rsidR="00402B27">
        <w:noBreakHyphen/>
      </w:r>
      <w:r w:rsidRPr="00A87B00">
        <w:t xml:space="preserve"> and middle</w:t>
      </w:r>
      <w:r w:rsidR="00402B27">
        <w:noBreakHyphen/>
      </w:r>
      <w:r w:rsidRPr="00A87B00">
        <w:t>income earners</w:t>
      </w:r>
      <w:r>
        <w:t xml:space="preserve"> who </w:t>
      </w:r>
      <w:r w:rsidR="00D8667D">
        <w:t xml:space="preserve">are more vulnerable to </w:t>
      </w:r>
      <w:r w:rsidR="00496CB8">
        <w:t>these pressures</w:t>
      </w:r>
      <w:r>
        <w:t xml:space="preserve">. </w:t>
      </w:r>
    </w:p>
    <w:p w14:paraId="71EBB04B" w14:textId="00CEF0F1" w:rsidR="00267B73" w:rsidRDefault="00BC3512" w:rsidP="00ED3368">
      <w:r w:rsidRPr="00C31047">
        <w:t xml:space="preserve">It remains important to deliver an overall tax cut around the size of the </w:t>
      </w:r>
      <w:r w:rsidR="00234C6B">
        <w:t>Stage 3</w:t>
      </w:r>
      <w:r w:rsidRPr="00C31047">
        <w:t xml:space="preserve"> tax cuts to unwind </w:t>
      </w:r>
      <w:r w:rsidR="006620D1">
        <w:t>bracket creep</w:t>
      </w:r>
      <w:r w:rsidRPr="00C31047">
        <w:t xml:space="preserve"> and lower average income tax rates. This case is supported by the ongoing improvement in the budget position and adverse impacts of rising average income tax rates.</w:t>
      </w:r>
      <w:r>
        <w:t xml:space="preserve"> </w:t>
      </w:r>
    </w:p>
    <w:p w14:paraId="77319CF7" w14:textId="3EF32497" w:rsidR="00631F4C" w:rsidRDefault="00BC3512" w:rsidP="00ED3368">
      <w:r>
        <w:t xml:space="preserve">Maintaining </w:t>
      </w:r>
      <w:r w:rsidR="009F14D3">
        <w:t xml:space="preserve">the overall </w:t>
      </w:r>
      <w:r w:rsidR="002A6326">
        <w:t xml:space="preserve">magnitude </w:t>
      </w:r>
      <w:r w:rsidR="009F14D3">
        <w:t xml:space="preserve">of the </w:t>
      </w:r>
      <w:r w:rsidR="0081343D">
        <w:t xml:space="preserve">cut </w:t>
      </w:r>
      <w:r w:rsidR="002A6326">
        <w:t>(</w:t>
      </w:r>
      <w:r w:rsidR="00D47B68">
        <w:t xml:space="preserve">and </w:t>
      </w:r>
      <w:r w:rsidR="006B3A6A">
        <w:t xml:space="preserve">thus </w:t>
      </w:r>
      <w:r w:rsidR="00D47B68">
        <w:t xml:space="preserve">the broad budget impact of </w:t>
      </w:r>
      <w:r w:rsidR="00234C6B">
        <w:t>Stage 3</w:t>
      </w:r>
      <w:r w:rsidR="00D47B68">
        <w:t xml:space="preserve">) </w:t>
      </w:r>
      <w:r w:rsidR="0081343D">
        <w:t>also ensure</w:t>
      </w:r>
      <w:r w:rsidR="00267B73">
        <w:t>s</w:t>
      </w:r>
      <w:r w:rsidR="0081343D">
        <w:t xml:space="preserve"> that any </w:t>
      </w:r>
      <w:r w:rsidR="00267B73">
        <w:t>redesign</w:t>
      </w:r>
      <w:r w:rsidR="0081343D">
        <w:t xml:space="preserve"> </w:t>
      </w:r>
      <w:r w:rsidR="00631F4C">
        <w:t>does not add to inflationary pressures.</w:t>
      </w:r>
      <w:r w:rsidR="00631F4C" w:rsidRPr="00463285">
        <w:t xml:space="preserve"> </w:t>
      </w:r>
      <w:r w:rsidR="00631F4C" w:rsidRPr="194C9E17">
        <w:t>The legislated cuts are factored into Treasury</w:t>
      </w:r>
      <w:r w:rsidR="00402B27">
        <w:t>’</w:t>
      </w:r>
      <w:r w:rsidR="00631F4C" w:rsidRPr="194C9E17">
        <w:t>s economic forecasts, which project inflation to decline to 2¾ per cent by 2024</w:t>
      </w:r>
      <w:r w:rsidR="00402B27">
        <w:t>–</w:t>
      </w:r>
      <w:r w:rsidR="00631F4C" w:rsidRPr="194C9E17">
        <w:t xml:space="preserve">25. </w:t>
      </w:r>
    </w:p>
    <w:p w14:paraId="01D38240" w14:textId="06EEF030" w:rsidR="00631F4C" w:rsidRDefault="00631F4C" w:rsidP="00ED3368">
      <w:r>
        <w:t xml:space="preserve">Redesigning the </w:t>
      </w:r>
      <w:r w:rsidR="00234C6B">
        <w:t>Stage 3</w:t>
      </w:r>
      <w:r>
        <w:t xml:space="preserve"> tax cuts presents an opportunity to</w:t>
      </w:r>
      <w:r w:rsidR="0062728C">
        <w:t xml:space="preserve"> reduce the</w:t>
      </w:r>
      <w:r>
        <w:t xml:space="preserve"> </w:t>
      </w:r>
      <w:r w:rsidR="0062728C">
        <w:t xml:space="preserve">future incidence of </w:t>
      </w:r>
      <w:r>
        <w:t>bracket creep</w:t>
      </w:r>
      <w:r w:rsidR="000E0F0F">
        <w:t xml:space="preserve"> </w:t>
      </w:r>
      <w:r w:rsidR="00686BAC">
        <w:t xml:space="preserve">at </w:t>
      </w:r>
      <w:r w:rsidR="002069A9">
        <w:t xml:space="preserve">lower </w:t>
      </w:r>
      <w:r w:rsidR="00686BAC">
        <w:t>income levels</w:t>
      </w:r>
      <w:r w:rsidR="7972ADC5">
        <w:t>, while also supporting progressivity</w:t>
      </w:r>
      <w:r w:rsidR="5278317B">
        <w:t>.</w:t>
      </w:r>
      <w:r w:rsidR="00686BAC">
        <w:t xml:space="preserve"> </w:t>
      </w:r>
      <w:r w:rsidR="644E9F25">
        <w:t>The</w:t>
      </w:r>
      <w:r w:rsidR="0068026D">
        <w:t xml:space="preserve"> average tax increases from </w:t>
      </w:r>
      <w:r w:rsidR="00583253">
        <w:t xml:space="preserve">bracket creep </w:t>
      </w:r>
      <w:r w:rsidR="0068026D">
        <w:t>are</w:t>
      </w:r>
      <w:r w:rsidR="00583253">
        <w:t xml:space="preserve"> </w:t>
      </w:r>
      <w:r w:rsidR="00984F61">
        <w:t>largest and</w:t>
      </w:r>
      <w:r w:rsidR="00DC6120">
        <w:t xml:space="preserve"> </w:t>
      </w:r>
      <w:r w:rsidR="53B9A231">
        <w:t xml:space="preserve">the </w:t>
      </w:r>
      <w:r>
        <w:t>disincentives to participate in the work force are greatest</w:t>
      </w:r>
      <w:r w:rsidR="346C4B51">
        <w:t xml:space="preserve"> at lower income levels</w:t>
      </w:r>
      <w:r w:rsidR="35D2348B">
        <w:t>.</w:t>
      </w:r>
      <w:r w:rsidDel="002137A2">
        <w:t xml:space="preserve"> </w:t>
      </w:r>
      <w:r w:rsidR="63DB7BC4" w:rsidRPr="7EA34215">
        <w:t>As a result, a</w:t>
      </w:r>
      <w:r w:rsidR="002137A2">
        <w:t xml:space="preserve"> </w:t>
      </w:r>
      <w:r>
        <w:t xml:space="preserve">redesign provides an opportunity to further boost incentives to participate in the </w:t>
      </w:r>
      <w:r w:rsidRPr="00A87B00">
        <w:t xml:space="preserve">labour </w:t>
      </w:r>
      <w:r>
        <w:t xml:space="preserve">market, especially for women, beyond the boost provided by </w:t>
      </w:r>
      <w:r w:rsidR="00234C6B">
        <w:t>Stage 3</w:t>
      </w:r>
      <w:r w:rsidRPr="00A87B00">
        <w:t>.</w:t>
      </w:r>
    </w:p>
    <w:p w14:paraId="5867ABD9" w14:textId="34F75F1D" w:rsidR="3A7A12A7" w:rsidRPr="00CF04E0" w:rsidRDefault="003C50E6" w:rsidP="00CF04E0">
      <w:r w:rsidRPr="00CF04E0">
        <w:t>E</w:t>
      </w:r>
      <w:r w:rsidR="00FA54D3" w:rsidRPr="00CF04E0">
        <w:t xml:space="preserve">nsuring average tax rates for </w:t>
      </w:r>
      <w:r w:rsidR="00F65757" w:rsidRPr="00CF04E0">
        <w:t>high</w:t>
      </w:r>
      <w:r w:rsidR="00402B27" w:rsidRPr="00CF04E0">
        <w:noBreakHyphen/>
      </w:r>
      <w:r w:rsidR="00F65757" w:rsidRPr="00CF04E0">
        <w:t>income earners</w:t>
      </w:r>
      <w:r w:rsidR="00FA54D3" w:rsidRPr="00CF04E0">
        <w:t xml:space="preserve"> do not rise too </w:t>
      </w:r>
      <w:r w:rsidR="008D4B57" w:rsidRPr="00CF04E0">
        <w:t>high</w:t>
      </w:r>
      <w:r w:rsidR="00FA54D3" w:rsidRPr="00CF04E0">
        <w:t xml:space="preserve"> and </w:t>
      </w:r>
      <w:r w:rsidR="008B5A6A" w:rsidRPr="00CF04E0">
        <w:t xml:space="preserve">that </w:t>
      </w:r>
      <w:r w:rsidR="00C34F5D" w:rsidRPr="00CF04E0">
        <w:t>the top marginal tax rate is only paid by a small share of taxpayers</w:t>
      </w:r>
      <w:r w:rsidR="00FA54D3" w:rsidRPr="00CF04E0">
        <w:t xml:space="preserve"> </w:t>
      </w:r>
      <w:r w:rsidR="00425525" w:rsidRPr="00CF04E0">
        <w:t xml:space="preserve">also </w:t>
      </w:r>
      <w:r w:rsidR="00FA54D3" w:rsidRPr="00CF04E0">
        <w:t xml:space="preserve">remain </w:t>
      </w:r>
      <w:r w:rsidR="00936E82" w:rsidRPr="00CF04E0">
        <w:t xml:space="preserve">relevant </w:t>
      </w:r>
      <w:r w:rsidR="008F3B39" w:rsidRPr="00CF04E0">
        <w:t>objectives.</w:t>
      </w:r>
    </w:p>
    <w:p w14:paraId="2A38791D" w14:textId="4422DF9E" w:rsidR="00631F4C" w:rsidRPr="00CF04E0" w:rsidRDefault="00631F4C" w:rsidP="00CF04E0">
      <w:r w:rsidRPr="00CF04E0" w:rsidDel="009346EC">
        <w:t xml:space="preserve">To </w:t>
      </w:r>
      <w:r w:rsidR="009D4B00" w:rsidRPr="00CF04E0">
        <w:t xml:space="preserve">balance these considerations </w:t>
      </w:r>
      <w:r w:rsidRPr="00CF04E0">
        <w:t xml:space="preserve">Treasury recommends a redesign </w:t>
      </w:r>
      <w:r w:rsidR="006B3A6A" w:rsidRPr="00CF04E0">
        <w:t>that</w:t>
      </w:r>
      <w:r w:rsidRPr="00CF04E0">
        <w:t>:</w:t>
      </w:r>
    </w:p>
    <w:p w14:paraId="538B194A" w14:textId="77777777" w:rsidR="00631F4C" w:rsidRPr="00594725" w:rsidRDefault="00631F4C" w:rsidP="00594725">
      <w:pPr>
        <w:pStyle w:val="Bullet"/>
      </w:pPr>
      <w:r w:rsidRPr="00594725">
        <w:t>reduces the 19 per cent tax rate to 16 per cent</w:t>
      </w:r>
    </w:p>
    <w:p w14:paraId="3230F8F8" w14:textId="047B68E6" w:rsidR="007C1629" w:rsidRPr="00594725" w:rsidRDefault="007C05EA" w:rsidP="00594725">
      <w:pPr>
        <w:pStyle w:val="Bullet"/>
      </w:pPr>
      <w:r w:rsidRPr="00594725">
        <w:t>proceeds with</w:t>
      </w:r>
      <w:r w:rsidR="007C1629" w:rsidRPr="00594725">
        <w:t xml:space="preserve"> the legislated </w:t>
      </w:r>
      <w:r w:rsidR="00207EF4" w:rsidRPr="00594725">
        <w:t>reduction in the 32.5 per cent rate to 30 per cent</w:t>
      </w:r>
    </w:p>
    <w:p w14:paraId="1A560EDE" w14:textId="2DD3A8BC" w:rsidR="00631F4C" w:rsidRPr="00594725" w:rsidRDefault="00631F4C" w:rsidP="00594725">
      <w:pPr>
        <w:pStyle w:val="Bullet"/>
      </w:pPr>
      <w:r w:rsidRPr="00594725">
        <w:t xml:space="preserve">retains the 37 per cent tax rate (which would otherwise be removed under </w:t>
      </w:r>
      <w:r w:rsidR="00234C6B" w:rsidRPr="00594725">
        <w:t>Stage 3</w:t>
      </w:r>
      <w:r w:rsidRPr="00594725">
        <w:t>)</w:t>
      </w:r>
    </w:p>
    <w:p w14:paraId="72850C19" w14:textId="1F04CDDF" w:rsidR="00631F4C" w:rsidRPr="00594725" w:rsidRDefault="00631F4C" w:rsidP="00594725">
      <w:pPr>
        <w:pStyle w:val="Bullet"/>
      </w:pPr>
      <w:r w:rsidRPr="00594725">
        <w:t>increases the threshold for the 37 per cent tax rate from $120,000 to $13</w:t>
      </w:r>
      <w:r w:rsidR="00981B6A" w:rsidRPr="00594725">
        <w:t>5</w:t>
      </w:r>
      <w:r w:rsidRPr="00594725">
        <w:t>,000</w:t>
      </w:r>
    </w:p>
    <w:p w14:paraId="2E07FE29" w14:textId="152AA44F" w:rsidR="00E21992" w:rsidRPr="00594725" w:rsidRDefault="002869DF" w:rsidP="00594725">
      <w:pPr>
        <w:pStyle w:val="Bullet"/>
      </w:pPr>
      <w:r w:rsidRPr="00594725">
        <w:t>increase</w:t>
      </w:r>
      <w:r w:rsidR="00014591" w:rsidRPr="00594725">
        <w:t>s</w:t>
      </w:r>
      <w:r w:rsidRPr="00594725">
        <w:t xml:space="preserve"> the </w:t>
      </w:r>
      <w:r w:rsidR="002449F9" w:rsidRPr="00594725">
        <w:t xml:space="preserve">threshold for the </w:t>
      </w:r>
      <w:r w:rsidRPr="00594725">
        <w:t>45 per cent</w:t>
      </w:r>
      <w:r w:rsidR="002449F9" w:rsidRPr="00594725">
        <w:t xml:space="preserve"> tax rate </w:t>
      </w:r>
      <w:r w:rsidR="00003FDC" w:rsidRPr="00594725">
        <w:t>from $180,000 to $</w:t>
      </w:r>
      <w:r w:rsidR="00981B6A" w:rsidRPr="00594725">
        <w:t>190</w:t>
      </w:r>
      <w:r w:rsidR="00003FDC" w:rsidRPr="00594725">
        <w:t>,000.</w:t>
      </w:r>
    </w:p>
    <w:p w14:paraId="39C1B7B5" w14:textId="62C7E41A" w:rsidR="00185F77" w:rsidRDefault="00185F77" w:rsidP="00E06D88">
      <w:pPr>
        <w:pStyle w:val="Heading2"/>
      </w:pPr>
      <w:r w:rsidRPr="000708C2">
        <w:t>Impact</w:t>
      </w:r>
      <w:r w:rsidR="004633BC">
        <w:t>s</w:t>
      </w:r>
      <w:r>
        <w:t xml:space="preserve"> of the </w:t>
      </w:r>
      <w:r w:rsidR="00867CC5">
        <w:t>recommended re</w:t>
      </w:r>
      <w:r w:rsidR="002D65A4">
        <w:t xml:space="preserve">design of Stage 3 tax </w:t>
      </w:r>
      <w:r w:rsidR="000708C2" w:rsidRPr="000708C2">
        <w:t>cuts</w:t>
      </w:r>
    </w:p>
    <w:p w14:paraId="752E16C9" w14:textId="7930D892" w:rsidR="00631F4C" w:rsidRDefault="007367E4" w:rsidP="00F44B2F">
      <w:r>
        <w:t>The recommended package</w:t>
      </w:r>
      <w:r w:rsidR="00631F4C">
        <w:t xml:space="preserve"> is estimated to provide cost</w:t>
      </w:r>
      <w:r w:rsidR="00402B27">
        <w:noBreakHyphen/>
      </w:r>
      <w:r w:rsidR="00631F4C">
        <w:t>of</w:t>
      </w:r>
      <w:r w:rsidR="00402B27">
        <w:noBreakHyphen/>
      </w:r>
      <w:r w:rsidR="00631F4C">
        <w:t xml:space="preserve">living relief to </w:t>
      </w:r>
      <w:r w:rsidR="00631F4C" w:rsidRPr="005C1E3F">
        <w:t>13.6</w:t>
      </w:r>
      <w:r w:rsidR="00631F4C">
        <w:t xml:space="preserve"> million taxpayers, compared to 10.8 million taxpayers under the current legislated tax cuts</w:t>
      </w:r>
      <w:r w:rsidR="00A1698A">
        <w:t xml:space="preserve"> compared to </w:t>
      </w:r>
      <w:r w:rsidR="00E778C0">
        <w:t>20</w:t>
      </w:r>
      <w:r w:rsidR="00A1698A">
        <w:t>23</w:t>
      </w:r>
      <w:r w:rsidR="00C521BA">
        <w:t>–</w:t>
      </w:r>
      <w:r w:rsidR="00A1698A">
        <w:t>24 settings</w:t>
      </w:r>
      <w:r w:rsidR="00631F4C">
        <w:t xml:space="preserve">. </w:t>
      </w:r>
      <w:bookmarkStart w:id="4" w:name="_Hlk156561539"/>
      <w:r w:rsidR="00631F4C">
        <w:t xml:space="preserve">This option is broadly revenue neutral </w:t>
      </w:r>
      <w:r w:rsidR="00B3749E">
        <w:t xml:space="preserve">and </w:t>
      </w:r>
      <w:r w:rsidR="003A13D1" w:rsidRPr="003A13D1">
        <w:t xml:space="preserve">not expected to </w:t>
      </w:r>
      <w:r w:rsidR="00C65D8F" w:rsidRPr="00024E20">
        <w:t>impact the outlook for inflation</w:t>
      </w:r>
      <w:r w:rsidR="00C65D8F">
        <w:t>.</w:t>
      </w:r>
    </w:p>
    <w:bookmarkEnd w:id="4"/>
    <w:p w14:paraId="042D1908" w14:textId="35FBCFAC" w:rsidR="00631F4C" w:rsidRDefault="00631F4C" w:rsidP="00F44B2F">
      <w:r>
        <w:t xml:space="preserve">Under the recommended package all taxpayers would receive a reduction in their tax liability. </w:t>
      </w:r>
      <w:r w:rsidR="003D3DDD">
        <w:t xml:space="preserve">Across all income deciles, the tax cut is </w:t>
      </w:r>
      <w:r w:rsidR="00F22C65">
        <w:t>between</w:t>
      </w:r>
      <w:r w:rsidR="003D3DDD">
        <w:t xml:space="preserve"> </w:t>
      </w:r>
      <w:r w:rsidR="1B89D53A">
        <w:t>1.5</w:t>
      </w:r>
      <w:r w:rsidR="003D3DDD">
        <w:t xml:space="preserve"> </w:t>
      </w:r>
      <w:r w:rsidR="00F22C65">
        <w:t xml:space="preserve">and </w:t>
      </w:r>
      <w:r w:rsidR="790D946B">
        <w:t>2.5</w:t>
      </w:r>
      <w:r w:rsidR="003D3DDD">
        <w:t xml:space="preserve"> per cent of taxable income on average </w:t>
      </w:r>
      <w:r>
        <w:t>(Chart</w:t>
      </w:r>
      <w:r w:rsidR="00181C27">
        <w:t> </w:t>
      </w:r>
      <w:r w:rsidR="00995B17">
        <w:t>6</w:t>
      </w:r>
      <w:r>
        <w:t>). Some taxpayers in the bottom quintile will</w:t>
      </w:r>
      <w:r w:rsidDel="0064551F">
        <w:t xml:space="preserve"> </w:t>
      </w:r>
      <w:r>
        <w:t xml:space="preserve">have also benefited from increased </w:t>
      </w:r>
      <w:r w:rsidR="002805E8">
        <w:t xml:space="preserve">government </w:t>
      </w:r>
      <w:r>
        <w:t>transfers and other support</w:t>
      </w:r>
      <w:r w:rsidR="0042502E">
        <w:t>.</w:t>
      </w:r>
      <w:r w:rsidR="00360D74" w:rsidRPr="00360D74">
        <w:rPr>
          <w:rStyle w:val="FootnoteReference"/>
          <w:vertAlign w:val="superscript"/>
        </w:rPr>
        <w:footnoteReference w:id="2"/>
      </w:r>
      <w:r w:rsidR="0042502E">
        <w:t xml:space="preserve"> </w:t>
      </w:r>
    </w:p>
    <w:p w14:paraId="5E8AD5BC" w14:textId="369AEA51" w:rsidR="00ED3368" w:rsidRDefault="00631F4C" w:rsidP="00ED3368">
      <w:pPr>
        <w:pStyle w:val="ChartMainHeading"/>
      </w:pPr>
      <w:r w:rsidRPr="00635ACB">
        <w:t xml:space="preserve">Chart </w:t>
      </w:r>
      <w:r w:rsidR="00995B17" w:rsidRPr="00635ACB">
        <w:t>6</w:t>
      </w:r>
      <w:r w:rsidRPr="00635ACB">
        <w:t>: Average tax cuts</w:t>
      </w:r>
      <w:r w:rsidR="00512848">
        <w:t xml:space="preserve"> as a share of </w:t>
      </w:r>
      <w:r w:rsidR="00FB03FD">
        <w:t xml:space="preserve">taxable income, </w:t>
      </w:r>
      <w:r w:rsidRPr="00635ACB">
        <w:t xml:space="preserve">by </w:t>
      </w:r>
      <w:r w:rsidR="00930F6B" w:rsidRPr="00635ACB">
        <w:t xml:space="preserve">taxable </w:t>
      </w:r>
      <w:r w:rsidRPr="00635ACB">
        <w:t>income quintile</w:t>
      </w:r>
      <w:r w:rsidR="002A4DC1" w:rsidRPr="00635ACB">
        <w:t>, 2024</w:t>
      </w:r>
      <w:r w:rsidR="00ED3368">
        <w:t>–</w:t>
      </w:r>
      <w:r w:rsidR="002A4DC1" w:rsidRPr="00635ACB">
        <w:t>25</w:t>
      </w:r>
    </w:p>
    <w:p w14:paraId="36F6499F" w14:textId="749DA333" w:rsidR="00631F4C" w:rsidRDefault="00EB6356" w:rsidP="00431A1D">
      <w:pPr>
        <w:pStyle w:val="ChartGraphic"/>
      </w:pPr>
      <w:r w:rsidRPr="00431A1D">
        <w:rPr>
          <w:noProof/>
        </w:rPr>
        <w:drawing>
          <wp:inline distT="0" distB="0" distL="0" distR="0" wp14:anchorId="06ADC302" wp14:editId="31C7D391">
            <wp:extent cx="5829300" cy="2375286"/>
            <wp:effectExtent l="0" t="0" r="0" b="6350"/>
            <wp:docPr id="5" name="Picture 5" descr="Two bar charts showing the average tax cut as a share of taxable income for taxable income quintiles. The first chart shows that for Stage 3, the first quintile had close to zero average tax cut, increasing to about 2.5 per cent for the highest quintile. The second chart shows that for the Redesign, average tax cuts were flatter, with the lowest income quintile at about 1.5 per cent, increasing to over 2 per cent for the fourth quintile, before decreasing for the final quin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wo bar charts showing the average tax cut as a share of taxable income for taxable income quintiles. The first chart shows that for Stage 3, the first quintile had close to zero average tax cut, increasing to about 2.5 per cent for the highest quintile. The second chart shows that for the Redesign, average tax cuts were flatter, with the lowest income quintile at about 1.5 per cent, increasing to over 2 per cent for the fourth quintile, before decreasing for the final quinti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42066" cy="2380488"/>
                    </a:xfrm>
                    <a:prstGeom prst="rect">
                      <a:avLst/>
                    </a:prstGeom>
                    <a:noFill/>
                  </pic:spPr>
                </pic:pic>
              </a:graphicData>
            </a:graphic>
          </wp:inline>
        </w:drawing>
      </w:r>
    </w:p>
    <w:p w14:paraId="32726D12" w14:textId="3C9DC964" w:rsidR="00631F4C" w:rsidRDefault="00631F4C" w:rsidP="00ED3368">
      <w:pPr>
        <w:pStyle w:val="ChartorTableNote"/>
        <w:rPr>
          <w:rStyle w:val="ChartnotesChar"/>
          <w:rFonts w:ascii="Calibri" w:hAnsi="Calibri" w:cs="Times New Roman"/>
          <w:bCs w:val="0"/>
          <w:i w:val="0"/>
          <w:iCs w:val="0"/>
          <w:color w:val="auto"/>
          <w:sz w:val="18"/>
          <w:szCs w:val="20"/>
        </w:rPr>
      </w:pPr>
      <w:r w:rsidRPr="00ED3368">
        <w:rPr>
          <w:rStyle w:val="ChartnotesChar"/>
          <w:rFonts w:ascii="Calibri" w:hAnsi="Calibri" w:cs="Times New Roman"/>
          <w:bCs w:val="0"/>
          <w:i w:val="0"/>
          <w:iCs w:val="0"/>
          <w:sz w:val="18"/>
          <w:szCs w:val="20"/>
        </w:rPr>
        <w:t xml:space="preserve">Note: Tax cut as a share of taxable income, averaged for each taxable income quintile for taxpayers. </w:t>
      </w:r>
      <w:r w:rsidRPr="00ED3368">
        <w:br/>
      </w:r>
      <w:r w:rsidRPr="00ED3368">
        <w:rPr>
          <w:rStyle w:val="ChartnotesChar"/>
          <w:rFonts w:ascii="Calibri" w:hAnsi="Calibri" w:cs="Times New Roman"/>
          <w:bCs w:val="0"/>
          <w:i w:val="0"/>
          <w:iCs w:val="0"/>
          <w:sz w:val="18"/>
          <w:szCs w:val="20"/>
        </w:rPr>
        <w:t>Source: Treasury analysis.</w:t>
      </w:r>
    </w:p>
    <w:p w14:paraId="750698F2" w14:textId="77777777" w:rsidR="00ED3368" w:rsidRPr="00ED3368" w:rsidRDefault="00ED3368" w:rsidP="00ED3368">
      <w:pPr>
        <w:pStyle w:val="NoSpacing"/>
      </w:pPr>
    </w:p>
    <w:p w14:paraId="6ACF168A" w14:textId="5D17973E" w:rsidR="00631F4C" w:rsidRDefault="00631F4C" w:rsidP="00ED3368">
      <w:r>
        <w:t xml:space="preserve">Under the </w:t>
      </w:r>
      <w:r w:rsidR="00497D88">
        <w:t>recommended redesign</w:t>
      </w:r>
      <w:r>
        <w:t xml:space="preserve">, all </w:t>
      </w:r>
      <w:r w:rsidR="00440C8C">
        <w:t xml:space="preserve">resident </w:t>
      </w:r>
      <w:r>
        <w:t xml:space="preserve">taxpayers </w:t>
      </w:r>
      <w:r w:rsidR="00831898">
        <w:t>with taxable income</w:t>
      </w:r>
      <w:r>
        <w:t xml:space="preserve"> under </w:t>
      </w:r>
      <w:r w:rsidRPr="00D61EF8">
        <w:t>$14</w:t>
      </w:r>
      <w:r w:rsidR="006415F5" w:rsidRPr="004950A5">
        <w:t>6</w:t>
      </w:r>
      <w:r w:rsidRPr="00D61EF8">
        <w:t>,</w:t>
      </w:r>
      <w:r w:rsidR="00773616" w:rsidRPr="004950A5">
        <w:t>486</w:t>
      </w:r>
      <w:r>
        <w:t xml:space="preserve"> will </w:t>
      </w:r>
      <w:r w:rsidR="0008688D">
        <w:t xml:space="preserve">get a larger tax cut </w:t>
      </w:r>
      <w:r>
        <w:t xml:space="preserve">relative to the </w:t>
      </w:r>
      <w:r w:rsidR="00234C6B">
        <w:t>Stage 3</w:t>
      </w:r>
      <w:r>
        <w:t xml:space="preserve"> tax cuts (Chart </w:t>
      </w:r>
      <w:r w:rsidR="00995B17">
        <w:t>7</w:t>
      </w:r>
      <w:r>
        <w:t xml:space="preserve"> and Table A1). An individual </w:t>
      </w:r>
      <w:r w:rsidR="002B0512">
        <w:t xml:space="preserve">with taxable income of </w:t>
      </w:r>
      <w:r>
        <w:t xml:space="preserve">$40,000 would </w:t>
      </w:r>
      <w:r w:rsidR="009D0684">
        <w:t xml:space="preserve">receive a </w:t>
      </w:r>
      <w:r>
        <w:t xml:space="preserve">tax </w:t>
      </w:r>
      <w:r w:rsidR="009D0684">
        <w:t xml:space="preserve">cut of </w:t>
      </w:r>
      <w:r>
        <w:t xml:space="preserve">$654, in contrast to receiving no tax cut under </w:t>
      </w:r>
      <w:r w:rsidR="00234C6B">
        <w:t>Stage 3</w:t>
      </w:r>
      <w:r>
        <w:t xml:space="preserve">. An individual </w:t>
      </w:r>
      <w:r w:rsidR="002B0512">
        <w:t xml:space="preserve">with taxable income of </w:t>
      </w:r>
      <w:r>
        <w:t xml:space="preserve">$100,000 would </w:t>
      </w:r>
      <w:r w:rsidR="00C94885">
        <w:t xml:space="preserve">receive </w:t>
      </w:r>
      <w:r>
        <w:t>a tax cut of $2,1</w:t>
      </w:r>
      <w:r w:rsidR="00834954">
        <w:t>79</w:t>
      </w:r>
      <w:r>
        <w:t>, $80</w:t>
      </w:r>
      <w:r w:rsidR="00834954">
        <w:t>4</w:t>
      </w:r>
      <w:r>
        <w:t xml:space="preserve"> more than under </w:t>
      </w:r>
      <w:r w:rsidR="00234C6B">
        <w:t>Stage 3</w:t>
      </w:r>
      <w:r>
        <w:t xml:space="preserve">. An individual </w:t>
      </w:r>
      <w:r w:rsidR="002B0512">
        <w:t xml:space="preserve">with taxable income of </w:t>
      </w:r>
      <w:r>
        <w:t>$</w:t>
      </w:r>
      <w:r w:rsidR="00FB6750">
        <w:t>19</w:t>
      </w:r>
      <w:r w:rsidR="00DC66D2">
        <w:t>0</w:t>
      </w:r>
      <w:r>
        <w:t xml:space="preserve">,000 would receive a tax cut </w:t>
      </w:r>
      <w:r w:rsidR="00C94885">
        <w:t xml:space="preserve">of </w:t>
      </w:r>
      <w:r w:rsidR="00A05AE6">
        <w:t xml:space="preserve">more than </w:t>
      </w:r>
      <w:r w:rsidR="00C94885" w:rsidRPr="00D61EF8">
        <w:t>$</w:t>
      </w:r>
      <w:r w:rsidR="00A05AE6" w:rsidRPr="004950A5">
        <w:t>4,5</w:t>
      </w:r>
      <w:r w:rsidR="0052082B" w:rsidRPr="00D61EF8">
        <w:t>00</w:t>
      </w:r>
      <w:r w:rsidR="00C94885">
        <w:t xml:space="preserve">, lower </w:t>
      </w:r>
      <w:r>
        <w:t xml:space="preserve">than under the </w:t>
      </w:r>
      <w:r w:rsidR="00234C6B">
        <w:t>Stage 3</w:t>
      </w:r>
      <w:r>
        <w:t xml:space="preserve"> legislated tax cuts, but still a larger absolute tax cut than other taxpayers. </w:t>
      </w:r>
    </w:p>
    <w:p w14:paraId="25A0A585" w14:textId="3E67CC31" w:rsidR="00631F4C" w:rsidRPr="004950A5" w:rsidRDefault="00631F4C" w:rsidP="00ED3368">
      <w:pPr>
        <w:pStyle w:val="ChartMainHeading"/>
        <w:rPr>
          <w:color w:val="FF0000"/>
        </w:rPr>
      </w:pPr>
      <w:r w:rsidRPr="004950A5">
        <w:t xml:space="preserve">Chart </w:t>
      </w:r>
      <w:r w:rsidR="00995B17" w:rsidRPr="004950A5">
        <w:t>7</w:t>
      </w:r>
      <w:r w:rsidRPr="004950A5">
        <w:t xml:space="preserve">: </w:t>
      </w:r>
      <w:r w:rsidR="00323D9C" w:rsidRPr="004950A5">
        <w:t xml:space="preserve">Tax cut from Stage 3 and </w:t>
      </w:r>
      <w:r w:rsidR="00497D88" w:rsidRPr="004950A5">
        <w:t>recommended</w:t>
      </w:r>
      <w:r w:rsidR="00A13D78" w:rsidRPr="004950A5">
        <w:t xml:space="preserve"> option </w:t>
      </w:r>
      <w:r w:rsidRPr="004950A5">
        <w:t>in 2024</w:t>
      </w:r>
      <w:r w:rsidR="00402B27">
        <w:t>–</w:t>
      </w:r>
      <w:r w:rsidRPr="004950A5">
        <w:t>25, compared to 2023</w:t>
      </w:r>
      <w:r w:rsidR="00402B27">
        <w:t>–</w:t>
      </w:r>
      <w:r w:rsidRPr="004950A5">
        <w:t>24</w:t>
      </w:r>
      <w:r w:rsidR="00AC1040" w:rsidRPr="004950A5">
        <w:t xml:space="preserve"> </w:t>
      </w:r>
      <w:r w:rsidR="00323D9C" w:rsidRPr="004950A5">
        <w:t>policy</w:t>
      </w:r>
      <w:r w:rsidR="00D84895" w:rsidRPr="004950A5">
        <w:t xml:space="preserve"> </w:t>
      </w:r>
      <w:r w:rsidR="00AC1040" w:rsidRPr="004950A5">
        <w:t>settings</w:t>
      </w:r>
    </w:p>
    <w:p w14:paraId="1EFA9CAF" w14:textId="6D1218C3" w:rsidR="00631F4C" w:rsidRDefault="00CC25F1" w:rsidP="00ED3368">
      <w:pPr>
        <w:pStyle w:val="ChartGraphic"/>
      </w:pPr>
      <w:r w:rsidRPr="00ED3368">
        <w:rPr>
          <w:noProof/>
        </w:rPr>
        <w:drawing>
          <wp:inline distT="0" distB="0" distL="0" distR="0" wp14:anchorId="11CB169A" wp14:editId="1CCADAAE">
            <wp:extent cx="5510610" cy="2613660"/>
            <wp:effectExtent l="0" t="0" r="0" b="0"/>
            <wp:docPr id="9" name="Picture 9" descr="A line chart showing the tax cut for taxable incomes between 30,000 and 210,000 compared to 2023-24 policy settings for Stage 3 and the Redesign. The redesign line is higher for taxable incomes between 30,000 and about $146,000, then the lines cross over so that Stage 3 is higher for incomes between about $146,000 and $21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ine chart showing the tax cut for taxable incomes between 30,000 and 210,000 compared to 2023-24 policy settings for Stage 3 and the Redesign. The redesign line is higher for taxable incomes between 30,000 and about $146,000, then the lines cross over so that Stage 3 is higher for incomes between about $146,000 and $210,00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3903" cy="2619965"/>
                    </a:xfrm>
                    <a:prstGeom prst="rect">
                      <a:avLst/>
                    </a:prstGeom>
                    <a:noFill/>
                  </pic:spPr>
                </pic:pic>
              </a:graphicData>
            </a:graphic>
          </wp:inline>
        </w:drawing>
      </w:r>
    </w:p>
    <w:p w14:paraId="0F59B65A" w14:textId="5A5301C9" w:rsidR="00631F4C" w:rsidRDefault="00631F4C" w:rsidP="00ED3368">
      <w:pPr>
        <w:pStyle w:val="ChartorTableNote"/>
      </w:pPr>
      <w:r w:rsidRPr="00ED3368">
        <w:t xml:space="preserve">Note: </w:t>
      </w:r>
      <w:r w:rsidR="005C1F74" w:rsidRPr="00ED3368">
        <w:t xml:space="preserve">Calculation for </w:t>
      </w:r>
      <w:r w:rsidR="00683AC7" w:rsidRPr="00ED3368">
        <w:t xml:space="preserve">Australian resident taxpayers. </w:t>
      </w:r>
      <w:r w:rsidR="00D84895" w:rsidRPr="00ED3368">
        <w:t xml:space="preserve">Data available in </w:t>
      </w:r>
      <w:r w:rsidRPr="00ED3368">
        <w:t>Table A1 in the appendix.</w:t>
      </w:r>
      <w:r w:rsidR="003F119F" w:rsidRPr="00ED3368">
        <w:br/>
        <w:t>Source: Treasury analysis.</w:t>
      </w:r>
    </w:p>
    <w:p w14:paraId="686B0C54" w14:textId="7E429E02" w:rsidR="00631F4C" w:rsidRDefault="00631F4C" w:rsidP="00631F4C">
      <w:r>
        <w:t xml:space="preserve">The </w:t>
      </w:r>
      <w:r w:rsidR="00497D88">
        <w:t>recommended redesign</w:t>
      </w:r>
      <w:r>
        <w:t xml:space="preserve"> provides greater benefits to individuals in the low</w:t>
      </w:r>
      <w:r w:rsidR="00402B27">
        <w:noBreakHyphen/>
      </w:r>
      <w:r w:rsidR="0052781A">
        <w:t xml:space="preserve"> to </w:t>
      </w:r>
      <w:r>
        <w:t>middle</w:t>
      </w:r>
      <w:r w:rsidR="00402B27">
        <w:noBreakHyphen/>
      </w:r>
      <w:r>
        <w:t xml:space="preserve">income range, which has disproportionately more women than higher income ranges (Chart </w:t>
      </w:r>
      <w:r w:rsidR="00C77BB3">
        <w:t>8</w:t>
      </w:r>
      <w:r>
        <w:t>).</w:t>
      </w:r>
      <w:r w:rsidR="005556D4">
        <w:t xml:space="preserve"> </w:t>
      </w:r>
      <w:r w:rsidR="00D93BF4">
        <w:t xml:space="preserve">Women make up the majority of individuals </w:t>
      </w:r>
      <w:r w:rsidR="001113B7">
        <w:t xml:space="preserve">in the bottom 5 deciles, while only </w:t>
      </w:r>
      <w:r w:rsidR="005556D4">
        <w:t>30 per cent of</w:t>
      </w:r>
      <w:r w:rsidR="00403158">
        <w:t xml:space="preserve"> individuals in the </w:t>
      </w:r>
      <w:r w:rsidR="00337E6B">
        <w:t xml:space="preserve">top </w:t>
      </w:r>
      <w:r w:rsidR="00403158">
        <w:t>decile are women</w:t>
      </w:r>
      <w:r w:rsidR="00500B6C">
        <w:t>.</w:t>
      </w:r>
      <w:r w:rsidR="00547B2F">
        <w:t xml:space="preserve"> </w:t>
      </w:r>
      <w:r w:rsidR="001410C0">
        <w:t>Under the</w:t>
      </w:r>
      <w:r w:rsidR="00E776A7">
        <w:t xml:space="preserve"> </w:t>
      </w:r>
      <w:r w:rsidR="00497D88">
        <w:t>recommended redesign</w:t>
      </w:r>
      <w:r w:rsidR="001410C0">
        <w:t xml:space="preserve">, </w:t>
      </w:r>
      <w:r w:rsidR="00722754">
        <w:t>female taxpayers</w:t>
      </w:r>
      <w:r w:rsidR="001410C0">
        <w:t xml:space="preserve"> </w:t>
      </w:r>
      <w:r w:rsidR="0008297C">
        <w:t xml:space="preserve">would </w:t>
      </w:r>
      <w:r w:rsidR="001410C0">
        <w:t xml:space="preserve">receive </w:t>
      </w:r>
      <w:r w:rsidR="0008297C">
        <w:t>a</w:t>
      </w:r>
      <w:r w:rsidR="007B0D2D">
        <w:t>n average</w:t>
      </w:r>
      <w:r w:rsidR="001410C0">
        <w:t xml:space="preserve"> </w:t>
      </w:r>
      <w:r w:rsidR="002F43AF">
        <w:t xml:space="preserve">tax cut </w:t>
      </w:r>
      <w:r w:rsidR="0008297C">
        <w:t xml:space="preserve">of </w:t>
      </w:r>
      <w:r w:rsidR="0008297C" w:rsidRPr="004950A5">
        <w:t>$1,6</w:t>
      </w:r>
      <w:r w:rsidR="00BC1BF2">
        <w:t>49</w:t>
      </w:r>
      <w:r w:rsidR="0008297C">
        <w:t xml:space="preserve"> </w:t>
      </w:r>
      <w:r w:rsidR="002F43AF">
        <w:t xml:space="preserve">compared </w:t>
      </w:r>
      <w:r w:rsidR="002B38B1" w:rsidRPr="00927DB4">
        <w:t>with</w:t>
      </w:r>
      <w:r w:rsidR="002F43AF" w:rsidRPr="00927DB4">
        <w:t xml:space="preserve"> </w:t>
      </w:r>
      <w:r w:rsidR="0008297C" w:rsidRPr="00927DB4">
        <w:t>$1,2</w:t>
      </w:r>
      <w:r w:rsidR="00BC1BF2" w:rsidRPr="00927DB4">
        <w:t>78</w:t>
      </w:r>
      <w:r w:rsidR="0008297C" w:rsidRPr="00927DB4">
        <w:t xml:space="preserve"> </w:t>
      </w:r>
      <w:r w:rsidR="002B232A" w:rsidRPr="00927DB4">
        <w:t>under</w:t>
      </w:r>
      <w:r w:rsidR="002B232A">
        <w:t xml:space="preserve"> Stage 3 settings</w:t>
      </w:r>
      <w:r w:rsidR="002F43AF">
        <w:t xml:space="preserve">. </w:t>
      </w:r>
    </w:p>
    <w:p w14:paraId="173312EC" w14:textId="77777777" w:rsidR="00431A1D" w:rsidRDefault="00431A1D" w:rsidP="00431A1D">
      <w:pPr>
        <w:pStyle w:val="NoSpacing"/>
        <w:rPr>
          <w:highlight w:val="yellow"/>
        </w:rPr>
      </w:pPr>
    </w:p>
    <w:p w14:paraId="6DC4E022" w14:textId="71AC96FA" w:rsidR="00631F4C" w:rsidRDefault="00631F4C" w:rsidP="00ED3368">
      <w:pPr>
        <w:pStyle w:val="ChartMainHeading"/>
      </w:pPr>
      <w:r>
        <w:t xml:space="preserve">Chart </w:t>
      </w:r>
      <w:r w:rsidR="00C77BB3">
        <w:t>8</w:t>
      </w:r>
      <w:r>
        <w:t>: Female share</w:t>
      </w:r>
      <w:r w:rsidR="005556D4">
        <w:t xml:space="preserve"> of taxpayers by income decile</w:t>
      </w:r>
      <w:r w:rsidR="008A05E5">
        <w:t>, 2024</w:t>
      </w:r>
      <w:r w:rsidR="009D04A8">
        <w:t>–</w:t>
      </w:r>
      <w:r w:rsidR="008A05E5">
        <w:t>25</w:t>
      </w:r>
    </w:p>
    <w:p w14:paraId="34D76E97" w14:textId="69D79E52" w:rsidR="00631F4C" w:rsidRDefault="003772BD" w:rsidP="00ED3368">
      <w:pPr>
        <w:pStyle w:val="ChartorTableNote"/>
      </w:pPr>
      <w:r>
        <w:rPr>
          <w:noProof/>
        </w:rPr>
        <w:drawing>
          <wp:inline distT="0" distB="0" distL="0" distR="0" wp14:anchorId="4B98470E" wp14:editId="52A56215">
            <wp:extent cx="5716047" cy="2423160"/>
            <wp:effectExtent l="0" t="0" r="0" b="0"/>
            <wp:docPr id="59" name="Picture 59" descr="A bar chart showing the female share of taxpayers by taxable income decline. The bars about 55-60 per cent for income deciles 1-3, before progressively declining to about 30 per cent for the highest dec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A bar chart showing the female share of taxpayers by taxable income decline. The bars about 55-60 per cent for income deciles 1-3, before progressively declining to about 30 per cent for the highest decil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6426" cy="2431799"/>
                    </a:xfrm>
                    <a:prstGeom prst="rect">
                      <a:avLst/>
                    </a:prstGeom>
                    <a:noFill/>
                  </pic:spPr>
                </pic:pic>
              </a:graphicData>
            </a:graphic>
          </wp:inline>
        </w:drawing>
      </w:r>
      <w:r w:rsidR="003F119F">
        <w:br/>
        <w:t>Source: Treasury analysis.</w:t>
      </w:r>
    </w:p>
    <w:p w14:paraId="47BA629C" w14:textId="1E3814DA" w:rsidR="00631F4C" w:rsidRPr="00185F77" w:rsidRDefault="00080BFA" w:rsidP="00CF04E0">
      <w:pPr>
        <w:pStyle w:val="Heading2"/>
      </w:pPr>
      <w:bookmarkStart w:id="5" w:name="_Toc155963877"/>
      <w:r w:rsidRPr="00185F77">
        <w:rPr>
          <w:rStyle w:val="normaltextrun"/>
        </w:rPr>
        <w:t xml:space="preserve">Effect of the </w:t>
      </w:r>
      <w:r w:rsidR="00497D88">
        <w:rPr>
          <w:rStyle w:val="normaltextrun"/>
        </w:rPr>
        <w:t>recommended redesign</w:t>
      </w:r>
      <w:r w:rsidR="00631F4C" w:rsidRPr="00185F77">
        <w:rPr>
          <w:rStyle w:val="normaltextrun"/>
        </w:rPr>
        <w:t xml:space="preserve"> on the inflation outlook</w:t>
      </w:r>
      <w:bookmarkEnd w:id="5"/>
    </w:p>
    <w:p w14:paraId="75800E5F" w14:textId="507DAAAA" w:rsidR="003046A6" w:rsidRDefault="00631F4C" w:rsidP="00A87910">
      <w:r>
        <w:t xml:space="preserve">The legislated cuts are factored into the Budget economic forecasts, which project inflation to </w:t>
      </w:r>
      <w:r w:rsidRPr="5527C5FC">
        <w:t xml:space="preserve">decline </w:t>
      </w:r>
      <w:r w:rsidR="00260698" w:rsidRPr="5527C5FC">
        <w:t>to</w:t>
      </w:r>
      <w:r w:rsidRPr="5527C5FC">
        <w:t xml:space="preserve"> 2</w:t>
      </w:r>
      <w:r>
        <w:t>¾ per cent by 2024</w:t>
      </w:r>
      <w:r w:rsidR="002D2BE4">
        <w:t>–</w:t>
      </w:r>
      <w:r>
        <w:t xml:space="preserve">25. </w:t>
      </w:r>
      <w:r w:rsidR="005F474F">
        <w:t>The redesign</w:t>
      </w:r>
      <w:r w:rsidR="006A60CC">
        <w:t xml:space="preserve"> will not impact the inflation outlook.</w:t>
      </w:r>
    </w:p>
    <w:p w14:paraId="5B1E33B5" w14:textId="385E7A1B" w:rsidR="00631F4C" w:rsidRDefault="00FF361B" w:rsidP="00631F4C">
      <w:r w:rsidRPr="00FB7C82">
        <w:t xml:space="preserve">The </w:t>
      </w:r>
      <w:r w:rsidR="00036EB9" w:rsidRPr="00DC3752">
        <w:t>r</w:t>
      </w:r>
      <w:r w:rsidR="000C64D7" w:rsidRPr="00FB7C82">
        <w:t>edesign</w:t>
      </w:r>
      <w:r w:rsidR="00631F4C" w:rsidRPr="00FB7C82">
        <w:t xml:space="preserve"> </w:t>
      </w:r>
      <w:r w:rsidRPr="00FB7C82">
        <w:t xml:space="preserve">of </w:t>
      </w:r>
      <w:r w:rsidR="00631F4C" w:rsidRPr="00FB7C82">
        <w:t xml:space="preserve">the </w:t>
      </w:r>
      <w:r w:rsidR="00234C6B" w:rsidRPr="00FB7C82">
        <w:t>Stage 3</w:t>
      </w:r>
      <w:r w:rsidR="00631F4C" w:rsidRPr="00FB7C82">
        <w:t xml:space="preserve"> cuts is broadly revenue </w:t>
      </w:r>
      <w:r w:rsidR="00A31862" w:rsidRPr="00DC3752">
        <w:t>neutral</w:t>
      </w:r>
      <w:r w:rsidR="00210E31" w:rsidRPr="00DC3752">
        <w:t xml:space="preserve"> –</w:t>
      </w:r>
      <w:r w:rsidR="001C1F3E">
        <w:t xml:space="preserve"> </w:t>
      </w:r>
      <w:r w:rsidR="00695CD9" w:rsidRPr="00DC3752">
        <w:t>reduc</w:t>
      </w:r>
      <w:r w:rsidR="00C65480">
        <w:t>ing</w:t>
      </w:r>
      <w:r w:rsidR="00695CD9" w:rsidRPr="00DC3752">
        <w:t xml:space="preserve"> tax receipts by </w:t>
      </w:r>
      <w:r w:rsidR="00C85032" w:rsidRPr="00DC3752">
        <w:t>$1.3 billion over the forward estimates period</w:t>
      </w:r>
      <w:r w:rsidR="002E5B61">
        <w:t xml:space="preserve"> </w:t>
      </w:r>
      <w:r w:rsidR="00BE0FF2">
        <w:t>from 2023</w:t>
      </w:r>
      <w:r w:rsidR="002D2BE4">
        <w:t>–</w:t>
      </w:r>
      <w:r w:rsidR="00BE0FF2">
        <w:t>24 to 2027</w:t>
      </w:r>
      <w:r w:rsidR="002D2BE4">
        <w:t>–</w:t>
      </w:r>
      <w:r w:rsidR="00BE0FF2">
        <w:t xml:space="preserve">28 </w:t>
      </w:r>
      <w:r w:rsidR="002E5B61">
        <w:t xml:space="preserve">but </w:t>
      </w:r>
      <w:r w:rsidR="003D7602">
        <w:t xml:space="preserve">will </w:t>
      </w:r>
      <w:r w:rsidR="00704B60">
        <w:t>increase</w:t>
      </w:r>
      <w:r w:rsidR="00D9106A">
        <w:t xml:space="preserve"> </w:t>
      </w:r>
      <w:r w:rsidR="00FB7C82" w:rsidRPr="00DC3752">
        <w:t xml:space="preserve">tax receipts </w:t>
      </w:r>
      <w:r w:rsidR="00D76906">
        <w:t>by around $28</w:t>
      </w:r>
      <w:r w:rsidR="00431A1D">
        <w:t> </w:t>
      </w:r>
      <w:r w:rsidR="00D76906">
        <w:t>billion</w:t>
      </w:r>
      <w:r w:rsidR="00FB7C82" w:rsidRPr="00DC3752">
        <w:t xml:space="preserve"> over the medium term</w:t>
      </w:r>
      <w:r w:rsidR="00BE0FF2">
        <w:t xml:space="preserve"> from 2023</w:t>
      </w:r>
      <w:r w:rsidR="002D2BE4">
        <w:t>–</w:t>
      </w:r>
      <w:r w:rsidR="00BE0FF2">
        <w:t>24 to 2034</w:t>
      </w:r>
      <w:r w:rsidR="002D2BE4">
        <w:t>–</w:t>
      </w:r>
      <w:r w:rsidR="00BE0FF2">
        <w:t>35</w:t>
      </w:r>
      <w:r w:rsidR="00C85032" w:rsidRPr="00DC3752">
        <w:t>.</w:t>
      </w:r>
      <w:r w:rsidR="00840A06" w:rsidRPr="00DC3752">
        <w:t xml:space="preserve"> </w:t>
      </w:r>
      <w:r w:rsidR="00912A5B" w:rsidRPr="00DC3752">
        <w:t>The</w:t>
      </w:r>
      <w:r w:rsidR="00FB7C82" w:rsidRPr="00DC3752">
        <w:t xml:space="preserve"> </w:t>
      </w:r>
      <w:r w:rsidR="00A87910" w:rsidRPr="00DC3752">
        <w:t>redesign</w:t>
      </w:r>
      <w:r w:rsidR="00E90DC1" w:rsidRPr="00FB7C82">
        <w:t xml:space="preserve"> </w:t>
      </w:r>
      <w:r w:rsidR="00A87910" w:rsidRPr="00DC3752">
        <w:t>results</w:t>
      </w:r>
      <w:r w:rsidR="001F06C2" w:rsidRPr="00DC3752">
        <w:t xml:space="preserve"> in </w:t>
      </w:r>
      <w:r w:rsidR="00A87910" w:rsidRPr="00DC3752">
        <w:t>a small</w:t>
      </w:r>
      <w:r w:rsidR="00E90DC1" w:rsidRPr="00DC3752">
        <w:t xml:space="preserve"> save to the </w:t>
      </w:r>
      <w:r w:rsidR="00E90DC1" w:rsidRPr="00FB7C82">
        <w:t>budget in 2024</w:t>
      </w:r>
      <w:r w:rsidR="002D2BE4">
        <w:t>–</w:t>
      </w:r>
      <w:r w:rsidR="00E90DC1" w:rsidRPr="00FB7C82">
        <w:t>25</w:t>
      </w:r>
      <w:r w:rsidR="00A87910" w:rsidRPr="00DC3752">
        <w:t xml:space="preserve"> of around $1.3 billion </w:t>
      </w:r>
      <w:r w:rsidR="00210E31" w:rsidRPr="00DC3752">
        <w:t xml:space="preserve">(Table </w:t>
      </w:r>
      <w:r w:rsidR="003046A6">
        <w:t>1</w:t>
      </w:r>
      <w:r w:rsidR="007E0B35" w:rsidRPr="00DC3752">
        <w:t>)</w:t>
      </w:r>
      <w:r w:rsidR="00E90DC1" w:rsidRPr="00FB7C82">
        <w:t>.</w:t>
      </w:r>
    </w:p>
    <w:p w14:paraId="49F7112B" w14:textId="77777777" w:rsidR="00431A1D" w:rsidRPr="00431A1D" w:rsidRDefault="00431A1D" w:rsidP="00431A1D">
      <w:pPr>
        <w:pStyle w:val="NoSpacing"/>
      </w:pPr>
    </w:p>
    <w:p w14:paraId="71CC65AE" w14:textId="3CE962E6" w:rsidR="00B4493F" w:rsidRDefault="00382CEB" w:rsidP="00431A1D">
      <w:pPr>
        <w:pStyle w:val="TableMainHeading"/>
      </w:pPr>
      <w:r>
        <w:t xml:space="preserve">Table </w:t>
      </w:r>
      <w:r w:rsidR="00ED49EB">
        <w:t>1</w:t>
      </w:r>
      <w:r>
        <w:t xml:space="preserve">: </w:t>
      </w:r>
      <w:r w:rsidR="00C616EE">
        <w:t>Change</w:t>
      </w:r>
      <w:r>
        <w:t xml:space="preserve"> to </w:t>
      </w:r>
      <w:r w:rsidRPr="0010051F">
        <w:t>receipts</w:t>
      </w:r>
      <w:r>
        <w:t xml:space="preserve"> of redesign option (</w:t>
      </w:r>
      <w:r w:rsidR="00554AC9">
        <w:t>$ billion)</w:t>
      </w:r>
    </w:p>
    <w:tbl>
      <w:tblPr>
        <w:tblpPr w:leftFromText="180" w:rightFromText="180" w:vertAnchor="text" w:tblpY="1"/>
        <w:tblOverlap w:val="never"/>
        <w:tblW w:w="5000" w:type="pct"/>
        <w:tblBorders>
          <w:top w:val="single" w:sz="2" w:space="0" w:color="2C384A" w:themeColor="accent1"/>
          <w:left w:val="single" w:sz="2" w:space="0" w:color="2C384A" w:themeColor="accent1"/>
          <w:bottom w:val="single" w:sz="2" w:space="0" w:color="2C384A" w:themeColor="accent1"/>
          <w:right w:val="single" w:sz="2" w:space="0" w:color="2C384A" w:themeColor="accent1"/>
          <w:insideH w:val="single" w:sz="2" w:space="0" w:color="2C384A" w:themeColor="accent1"/>
          <w:insideV w:val="single" w:sz="2" w:space="0" w:color="2C384A" w:themeColor="accent1"/>
        </w:tblBorders>
        <w:tblCellMar>
          <w:left w:w="113" w:type="dxa"/>
          <w:right w:w="28" w:type="dxa"/>
        </w:tblCellMar>
        <w:tblLook w:val="04A0" w:firstRow="1" w:lastRow="0" w:firstColumn="1" w:lastColumn="0" w:noHBand="0" w:noVBand="1"/>
      </w:tblPr>
      <w:tblGrid>
        <w:gridCol w:w="1556"/>
        <w:gridCol w:w="965"/>
        <w:gridCol w:w="964"/>
        <w:gridCol w:w="964"/>
        <w:gridCol w:w="964"/>
        <w:gridCol w:w="964"/>
        <w:gridCol w:w="2687"/>
      </w:tblGrid>
      <w:tr w:rsidR="0010051F" w:rsidRPr="008B0429" w14:paraId="510DBB00" w14:textId="180A66CA" w:rsidTr="00E61525">
        <w:trPr>
          <w:trHeight w:val="475"/>
        </w:trPr>
        <w:tc>
          <w:tcPr>
            <w:tcW w:w="858" w:type="pct"/>
            <w:shd w:val="clear" w:color="000000" w:fill="FFFFFF"/>
            <w:noWrap/>
            <w:vAlign w:val="center"/>
            <w:hideMark/>
          </w:tcPr>
          <w:p w14:paraId="09AE3FAF" w14:textId="77777777" w:rsidR="004A7DBD" w:rsidRPr="00DC3752" w:rsidRDefault="004A7DBD" w:rsidP="0010051F">
            <w:pPr>
              <w:pStyle w:val="TableColumnHeadingLeft"/>
            </w:pPr>
            <w:r w:rsidRPr="00DC3752">
              <w:t>Proposal</w:t>
            </w:r>
          </w:p>
        </w:tc>
        <w:tc>
          <w:tcPr>
            <w:tcW w:w="532" w:type="pct"/>
            <w:shd w:val="clear" w:color="000000" w:fill="FFFFFF"/>
            <w:noWrap/>
            <w:vAlign w:val="center"/>
            <w:hideMark/>
          </w:tcPr>
          <w:p w14:paraId="7CCDC555" w14:textId="0BE8B44B" w:rsidR="004A7DBD" w:rsidRPr="00DC3752" w:rsidRDefault="004A7DBD" w:rsidP="0010051F">
            <w:pPr>
              <w:pStyle w:val="TableColumnHeadingLeft"/>
            </w:pPr>
            <w:r w:rsidRPr="00DC3752">
              <w:t>2023</w:t>
            </w:r>
            <w:r w:rsidR="0010051F">
              <w:t>–</w:t>
            </w:r>
            <w:r w:rsidRPr="00DC3752">
              <w:t>24</w:t>
            </w:r>
          </w:p>
        </w:tc>
        <w:tc>
          <w:tcPr>
            <w:tcW w:w="532" w:type="pct"/>
            <w:shd w:val="clear" w:color="000000" w:fill="FFFFFF"/>
            <w:noWrap/>
            <w:vAlign w:val="center"/>
            <w:hideMark/>
          </w:tcPr>
          <w:p w14:paraId="7D1846E2" w14:textId="0A75BE68" w:rsidR="004A7DBD" w:rsidRPr="00DC3752" w:rsidRDefault="004A7DBD" w:rsidP="0010051F">
            <w:pPr>
              <w:pStyle w:val="TableColumnHeadingLeft"/>
            </w:pPr>
            <w:r w:rsidRPr="00DC3752">
              <w:t>2024</w:t>
            </w:r>
            <w:r w:rsidR="0010051F">
              <w:t>–</w:t>
            </w:r>
            <w:r w:rsidRPr="00DC3752">
              <w:t>25</w:t>
            </w:r>
          </w:p>
        </w:tc>
        <w:tc>
          <w:tcPr>
            <w:tcW w:w="532" w:type="pct"/>
            <w:shd w:val="clear" w:color="000000" w:fill="FFFFFF"/>
            <w:noWrap/>
            <w:vAlign w:val="center"/>
            <w:hideMark/>
          </w:tcPr>
          <w:p w14:paraId="276459CB" w14:textId="23D5C7D5" w:rsidR="004A7DBD" w:rsidRPr="00DC3752" w:rsidRDefault="004A7DBD" w:rsidP="0010051F">
            <w:pPr>
              <w:pStyle w:val="TableColumnHeadingLeft"/>
            </w:pPr>
            <w:r w:rsidRPr="00DC3752">
              <w:t>2025</w:t>
            </w:r>
            <w:r w:rsidR="0010051F">
              <w:t>–</w:t>
            </w:r>
            <w:r w:rsidRPr="00DC3752">
              <w:t>26</w:t>
            </w:r>
          </w:p>
        </w:tc>
        <w:tc>
          <w:tcPr>
            <w:tcW w:w="532" w:type="pct"/>
            <w:shd w:val="clear" w:color="000000" w:fill="FFFFFF"/>
            <w:noWrap/>
            <w:vAlign w:val="center"/>
            <w:hideMark/>
          </w:tcPr>
          <w:p w14:paraId="4FD586CE" w14:textId="2B8A7305" w:rsidR="004A7DBD" w:rsidRPr="00DC3752" w:rsidRDefault="004A7DBD" w:rsidP="0010051F">
            <w:pPr>
              <w:pStyle w:val="TableColumnHeadingLeft"/>
            </w:pPr>
            <w:r w:rsidRPr="00DC3752">
              <w:t>2026</w:t>
            </w:r>
            <w:r w:rsidR="0010051F">
              <w:t>–</w:t>
            </w:r>
            <w:r w:rsidRPr="00DC3752">
              <w:t>27</w:t>
            </w:r>
          </w:p>
        </w:tc>
        <w:tc>
          <w:tcPr>
            <w:tcW w:w="532" w:type="pct"/>
            <w:shd w:val="clear" w:color="000000" w:fill="FFFFFF"/>
            <w:noWrap/>
            <w:vAlign w:val="center"/>
            <w:hideMark/>
          </w:tcPr>
          <w:p w14:paraId="4DA1604E" w14:textId="4E82D134" w:rsidR="004A7DBD" w:rsidRPr="00DC3752" w:rsidRDefault="004A7DBD" w:rsidP="0010051F">
            <w:pPr>
              <w:pStyle w:val="TableColumnHeadingLeft"/>
            </w:pPr>
            <w:r w:rsidRPr="00DC3752">
              <w:t>2027</w:t>
            </w:r>
            <w:r w:rsidR="0010051F">
              <w:t>–</w:t>
            </w:r>
            <w:r w:rsidRPr="00DC3752">
              <w:t>28</w:t>
            </w:r>
          </w:p>
        </w:tc>
        <w:tc>
          <w:tcPr>
            <w:tcW w:w="1482" w:type="pct"/>
            <w:shd w:val="clear" w:color="000000" w:fill="FFFFFF"/>
            <w:noWrap/>
            <w:vAlign w:val="center"/>
            <w:hideMark/>
          </w:tcPr>
          <w:p w14:paraId="42F87783" w14:textId="3CF48B71" w:rsidR="004A7DBD" w:rsidRPr="00DC3752" w:rsidRDefault="00C45B85" w:rsidP="0010051F">
            <w:pPr>
              <w:pStyle w:val="TableColumnHeadingLeft"/>
            </w:pPr>
            <w:r w:rsidRPr="00DC3752">
              <w:t xml:space="preserve">Total over forward estimates </w:t>
            </w:r>
          </w:p>
        </w:tc>
      </w:tr>
      <w:tr w:rsidR="00244ADF" w:rsidRPr="00594CFB" w14:paraId="60D47575" w14:textId="6434B251" w:rsidTr="00E61525">
        <w:trPr>
          <w:trHeight w:val="475"/>
        </w:trPr>
        <w:tc>
          <w:tcPr>
            <w:tcW w:w="858" w:type="pct"/>
            <w:shd w:val="clear" w:color="000000" w:fill="FFFFFF"/>
            <w:noWrap/>
            <w:vAlign w:val="center"/>
          </w:tcPr>
          <w:p w14:paraId="4B56A90A" w14:textId="017BA7A7" w:rsidR="004A7DBD" w:rsidRPr="007542A8" w:rsidRDefault="00521BAB" w:rsidP="0010051F">
            <w:pPr>
              <w:pStyle w:val="TableTextLeft"/>
            </w:pPr>
            <w:r w:rsidRPr="007542A8">
              <w:t>Redesign</w:t>
            </w:r>
            <w:r w:rsidR="00EB65C1" w:rsidRPr="007542A8">
              <w:t xml:space="preserve"> option</w:t>
            </w:r>
          </w:p>
        </w:tc>
        <w:tc>
          <w:tcPr>
            <w:tcW w:w="532" w:type="pct"/>
            <w:shd w:val="clear" w:color="000000" w:fill="FFFFFF"/>
            <w:noWrap/>
            <w:vAlign w:val="center"/>
          </w:tcPr>
          <w:p w14:paraId="569FC01F" w14:textId="64A39BCB" w:rsidR="004A7DBD" w:rsidRPr="00DC3752" w:rsidRDefault="00402B27" w:rsidP="0010051F">
            <w:pPr>
              <w:pStyle w:val="TableTextLeft"/>
            </w:pPr>
            <w:r>
              <w:noBreakHyphen/>
            </w:r>
          </w:p>
        </w:tc>
        <w:tc>
          <w:tcPr>
            <w:tcW w:w="532" w:type="pct"/>
            <w:shd w:val="clear" w:color="000000" w:fill="FFFFFF"/>
            <w:noWrap/>
            <w:vAlign w:val="center"/>
          </w:tcPr>
          <w:p w14:paraId="499A36C9" w14:textId="77777777" w:rsidR="004A7DBD" w:rsidRPr="00DC3752" w:rsidRDefault="004A7DBD" w:rsidP="0010051F">
            <w:pPr>
              <w:pStyle w:val="TableTextLeft"/>
            </w:pPr>
            <w:r w:rsidRPr="00DC3752">
              <w:t>1.3</w:t>
            </w:r>
          </w:p>
        </w:tc>
        <w:tc>
          <w:tcPr>
            <w:tcW w:w="532" w:type="pct"/>
            <w:shd w:val="clear" w:color="000000" w:fill="FFFFFF"/>
            <w:noWrap/>
            <w:vAlign w:val="center"/>
          </w:tcPr>
          <w:p w14:paraId="3C348879" w14:textId="59EBA56E" w:rsidR="004A7DBD" w:rsidRPr="00DC3752" w:rsidRDefault="00402B27" w:rsidP="0010051F">
            <w:pPr>
              <w:pStyle w:val="TableTextLeft"/>
            </w:pPr>
            <w:r>
              <w:noBreakHyphen/>
            </w:r>
            <w:r w:rsidR="004A7DBD" w:rsidRPr="00DC3752">
              <w:t>1.6</w:t>
            </w:r>
          </w:p>
        </w:tc>
        <w:tc>
          <w:tcPr>
            <w:tcW w:w="532" w:type="pct"/>
            <w:shd w:val="clear" w:color="000000" w:fill="FFFFFF"/>
            <w:noWrap/>
            <w:vAlign w:val="center"/>
          </w:tcPr>
          <w:p w14:paraId="4664606D" w14:textId="7DB4333A" w:rsidR="004A7DBD" w:rsidRPr="00DC3752" w:rsidRDefault="00402B27" w:rsidP="0010051F">
            <w:pPr>
              <w:pStyle w:val="TableTextLeft"/>
            </w:pPr>
            <w:r>
              <w:noBreakHyphen/>
            </w:r>
            <w:r w:rsidR="004A7DBD" w:rsidRPr="00DC3752">
              <w:t>0.9</w:t>
            </w:r>
          </w:p>
        </w:tc>
        <w:tc>
          <w:tcPr>
            <w:tcW w:w="532" w:type="pct"/>
            <w:shd w:val="clear" w:color="000000" w:fill="FFFFFF"/>
            <w:noWrap/>
            <w:vAlign w:val="center"/>
          </w:tcPr>
          <w:p w14:paraId="13D4009B" w14:textId="77777777" w:rsidR="004A7DBD" w:rsidRPr="00DC3752" w:rsidRDefault="004A7DBD" w:rsidP="0010051F">
            <w:pPr>
              <w:pStyle w:val="TableTextLeft"/>
            </w:pPr>
            <w:r w:rsidRPr="00DC3752">
              <w:t>0.0</w:t>
            </w:r>
          </w:p>
        </w:tc>
        <w:tc>
          <w:tcPr>
            <w:tcW w:w="1482" w:type="pct"/>
            <w:shd w:val="clear" w:color="000000" w:fill="FFFFFF"/>
            <w:noWrap/>
            <w:vAlign w:val="center"/>
          </w:tcPr>
          <w:p w14:paraId="4727E6F7" w14:textId="72D7AD62" w:rsidR="004A7DBD" w:rsidRPr="00DC3752" w:rsidRDefault="00402B27" w:rsidP="0010051F">
            <w:pPr>
              <w:pStyle w:val="TableTextLeft"/>
            </w:pPr>
            <w:r>
              <w:noBreakHyphen/>
            </w:r>
            <w:r w:rsidR="004A7DBD" w:rsidRPr="00DC3752">
              <w:t>1.3</w:t>
            </w:r>
          </w:p>
        </w:tc>
      </w:tr>
    </w:tbl>
    <w:p w14:paraId="1927B318" w14:textId="05646547" w:rsidR="00E44C0B" w:rsidRPr="00F409AF" w:rsidRDefault="00E44C0B" w:rsidP="00E44C0B">
      <w:r>
        <w:t>The recommended redesign shifts some of the tax cuts to those on lower incomes, who tend to spend more of their additional income than high</w:t>
      </w:r>
      <w:r w:rsidR="00402B27">
        <w:noBreakHyphen/>
      </w:r>
      <w:r>
        <w:t>income households; that is, they have higher marginal propensities to consume</w:t>
      </w:r>
      <w:r w:rsidR="00247036">
        <w:t xml:space="preserve">. </w:t>
      </w:r>
      <w:r w:rsidDel="00E44C0B">
        <w:t xml:space="preserve">However, </w:t>
      </w:r>
      <w:r w:rsidR="004648FF">
        <w:t>e</w:t>
      </w:r>
      <w:r w:rsidR="004C65F2">
        <w:t xml:space="preserve">ven after factoring in this </w:t>
      </w:r>
      <w:r w:rsidR="00200837">
        <w:t>effect</w:t>
      </w:r>
      <w:r w:rsidR="004C65F2">
        <w:t>, the redesign will not add to inflationary pressures</w:t>
      </w:r>
      <w:r w:rsidR="00B9219A">
        <w:t>.</w:t>
      </w:r>
      <w:r w:rsidR="00247036">
        <w:t xml:space="preserve"> </w:t>
      </w:r>
    </w:p>
    <w:p w14:paraId="338798F5" w14:textId="2BF9D110" w:rsidR="00631F4C" w:rsidRPr="00431A1D" w:rsidRDefault="00497D88" w:rsidP="00431A1D">
      <w:pPr>
        <w:pStyle w:val="Heading2"/>
      </w:pPr>
      <w:bookmarkStart w:id="6" w:name="_Toc155963878"/>
      <w:r w:rsidRPr="00431A1D">
        <w:rPr>
          <w:rStyle w:val="normaltextrun"/>
        </w:rPr>
        <w:t>Effect of the recommended redesign on b</w:t>
      </w:r>
      <w:r w:rsidR="00631F4C" w:rsidRPr="00431A1D">
        <w:t xml:space="preserve">racket creep </w:t>
      </w:r>
      <w:bookmarkEnd w:id="6"/>
    </w:p>
    <w:p w14:paraId="7403C4A5" w14:textId="045EF9C1" w:rsidR="00631F4C" w:rsidRDefault="00631F4C" w:rsidP="00631F4C">
      <w:r w:rsidRPr="194C9E17">
        <w:t>By reducing the first tax rate from 19 to 16 per cent,</w:t>
      </w:r>
      <w:r>
        <w:t xml:space="preserve"> the </w:t>
      </w:r>
      <w:r w:rsidR="00973425">
        <w:t>redesign</w:t>
      </w:r>
      <w:r w:rsidR="002B3787">
        <w:t xml:space="preserve"> </w:t>
      </w:r>
      <w:r w:rsidRPr="194C9E17">
        <w:t xml:space="preserve">produces </w:t>
      </w:r>
      <w:r>
        <w:t>a smaller</w:t>
      </w:r>
      <w:r w:rsidRPr="194C9E17">
        <w:t xml:space="preserve"> in</w:t>
      </w:r>
      <w:r>
        <w:t>crease</w:t>
      </w:r>
      <w:r w:rsidRPr="194C9E17">
        <w:t xml:space="preserve"> </w:t>
      </w:r>
      <w:r w:rsidR="00737E7A">
        <w:t xml:space="preserve">in </w:t>
      </w:r>
      <w:r w:rsidRPr="194C9E17">
        <w:t xml:space="preserve">average tax rates (Chart </w:t>
      </w:r>
      <w:r w:rsidR="00583355">
        <w:t>9</w:t>
      </w:r>
      <w:r w:rsidRPr="194C9E17">
        <w:t>)</w:t>
      </w:r>
      <w:r>
        <w:t xml:space="preserve"> for the first </w:t>
      </w:r>
      <w:r w:rsidR="009155C8">
        <w:t xml:space="preserve">seven </w:t>
      </w:r>
      <w:r>
        <w:t>income deciles over the next 10 years</w:t>
      </w:r>
      <w:r w:rsidRPr="194C9E17">
        <w:t xml:space="preserve">. </w:t>
      </w:r>
      <w:r>
        <w:t xml:space="preserve">In other words, it reduces bracket creep </w:t>
      </w:r>
      <w:r w:rsidR="531AEA51">
        <w:t xml:space="preserve">more </w:t>
      </w:r>
      <w:r>
        <w:t xml:space="preserve">for these groups compared </w:t>
      </w:r>
      <w:r w:rsidR="00131DE7">
        <w:t>with</w:t>
      </w:r>
      <w:r>
        <w:t xml:space="preserve"> both </w:t>
      </w:r>
      <w:r w:rsidR="00234C6B">
        <w:t>Stage 3</w:t>
      </w:r>
      <w:r>
        <w:t xml:space="preserve"> and a no change scenario.</w:t>
      </w:r>
    </w:p>
    <w:p w14:paraId="4F9BDF62" w14:textId="0EE9B98A" w:rsidR="00631F4C" w:rsidRDefault="00631F4C" w:rsidP="00631F4C">
      <w:r>
        <w:t>U</w:t>
      </w:r>
      <w:r w:rsidRPr="194C9E17">
        <w:t xml:space="preserve">nder the </w:t>
      </w:r>
      <w:r w:rsidR="00EE2000">
        <w:t>r</w:t>
      </w:r>
      <w:r w:rsidR="00EE2000" w:rsidRPr="00EE2000">
        <w:t>ecommended redesign</w:t>
      </w:r>
      <w:r w:rsidR="00B711A1">
        <w:t>,</w:t>
      </w:r>
      <w:r w:rsidRPr="194C9E17">
        <w:t xml:space="preserve"> </w:t>
      </w:r>
      <w:r>
        <w:t xml:space="preserve">average tax rates </w:t>
      </w:r>
      <w:r w:rsidRPr="194C9E17">
        <w:t xml:space="preserve">for higher income earners </w:t>
      </w:r>
      <w:r>
        <w:t xml:space="preserve">are still significantly reduced </w:t>
      </w:r>
      <w:r w:rsidRPr="194C9E17">
        <w:t xml:space="preserve">compared </w:t>
      </w:r>
      <w:r w:rsidR="40F57647">
        <w:t xml:space="preserve">to </w:t>
      </w:r>
      <w:r>
        <w:t xml:space="preserve">a no change in taxes scenario but by less than under </w:t>
      </w:r>
      <w:r w:rsidR="00234C6B">
        <w:t>Stage 3</w:t>
      </w:r>
      <w:r>
        <w:t xml:space="preserve">. </w:t>
      </w:r>
    </w:p>
    <w:p w14:paraId="29D58CBE" w14:textId="6EA27BB7" w:rsidR="00631F4C" w:rsidRDefault="00631F4C" w:rsidP="00CF04E0">
      <w:pPr>
        <w:pStyle w:val="ChartMainHeading"/>
      </w:pPr>
      <w:r w:rsidRPr="007A7573">
        <w:t xml:space="preserve">Chart </w:t>
      </w:r>
      <w:r w:rsidR="004F7C3E" w:rsidRPr="007A7573">
        <w:t>9</w:t>
      </w:r>
      <w:r w:rsidRPr="007A7573">
        <w:t xml:space="preserve">: Increase in </w:t>
      </w:r>
      <w:r w:rsidR="009E7F75" w:rsidRPr="007A7573">
        <w:t>average tax rates (</w:t>
      </w:r>
      <w:r w:rsidRPr="007A7573">
        <w:t>ATRs</w:t>
      </w:r>
      <w:r w:rsidR="009E7F75" w:rsidRPr="007A7573">
        <w:t>)</w:t>
      </w:r>
      <w:r w:rsidRPr="007A7573">
        <w:t xml:space="preserve"> from 2023</w:t>
      </w:r>
      <w:r w:rsidR="003E05D8">
        <w:t>–</w:t>
      </w:r>
      <w:r w:rsidRPr="007A7573">
        <w:t>24 to 203</w:t>
      </w:r>
      <w:r w:rsidR="00FA77CC" w:rsidRPr="007A7573">
        <w:t>4</w:t>
      </w:r>
      <w:r w:rsidR="003E05D8">
        <w:t>–</w:t>
      </w:r>
      <w:r w:rsidR="00FA77CC" w:rsidRPr="007A7573">
        <w:t>35</w:t>
      </w:r>
      <w:r w:rsidR="00646A92" w:rsidRPr="007A7573">
        <w:t xml:space="preserve"> </w:t>
      </w:r>
      <w:r w:rsidRPr="007A7573">
        <w:t>under tax scenarios by decile</w:t>
      </w:r>
    </w:p>
    <w:p w14:paraId="00851C36" w14:textId="23D8A6A5" w:rsidR="00631F4C" w:rsidRDefault="00224EED" w:rsidP="00CF04E0">
      <w:pPr>
        <w:pStyle w:val="ChartGraphic"/>
      </w:pPr>
      <w:r>
        <w:t xml:space="preserve"> </w:t>
      </w:r>
      <w:r w:rsidRPr="00224EED">
        <w:rPr>
          <w:noProof/>
        </w:rPr>
        <w:drawing>
          <wp:inline distT="0" distB="0" distL="0" distR="0" wp14:anchorId="6A1F3D38" wp14:editId="2916609C">
            <wp:extent cx="5592445" cy="2519680"/>
            <wp:effectExtent l="0" t="0" r="8255" b="0"/>
            <wp:docPr id="6" name="Picture 6" descr="A bar chart showing the change in average tax cut by income decile under Stage 3, the Redesign, and 2023-24 settings. It shows that the 2023-24 has the highest increase in the average tax rate for all income deciles. The Redesign being the lowest for the first 7 deciles, while Stage 3 is the lowest for the top 3 dec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ar chart showing the change in average tax cut by income decile under Stage 3, the Redesign, and 2023-24 settings. It shows that the 2023-24 has the highest increase in the average tax rate for all income deciles. The Redesign being the lowest for the first 7 deciles, while Stage 3 is the lowest for the top 3 decile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92445" cy="2519680"/>
                    </a:xfrm>
                    <a:prstGeom prst="rect">
                      <a:avLst/>
                    </a:prstGeom>
                    <a:noFill/>
                    <a:ln>
                      <a:noFill/>
                    </a:ln>
                  </pic:spPr>
                </pic:pic>
              </a:graphicData>
            </a:graphic>
          </wp:inline>
        </w:drawing>
      </w:r>
    </w:p>
    <w:p w14:paraId="3D4748F4" w14:textId="4EB6C36C" w:rsidR="00A73FED" w:rsidRPr="00F44B2F" w:rsidRDefault="00200A6E" w:rsidP="00F44B2F">
      <w:pPr>
        <w:pStyle w:val="ChartorTableNote"/>
      </w:pPr>
      <w:r w:rsidRPr="00F44B2F">
        <w:rPr>
          <w:rStyle w:val="ChartnotesChar"/>
          <w:rFonts w:ascii="Calibri" w:hAnsi="Calibri" w:cs="Times New Roman"/>
          <w:bCs w:val="0"/>
          <w:i w:val="0"/>
          <w:iCs w:val="0"/>
          <w:sz w:val="18"/>
          <w:szCs w:val="20"/>
        </w:rPr>
        <w:t>Note: Taxable income deciles calculated for taxpayers.</w:t>
      </w:r>
      <w:r w:rsidR="00F44B2F">
        <w:rPr>
          <w:rStyle w:val="ChartnotesChar"/>
          <w:rFonts w:ascii="Calibri" w:hAnsi="Calibri" w:cs="Times New Roman"/>
          <w:bCs w:val="0"/>
          <w:i w:val="0"/>
          <w:iCs w:val="0"/>
          <w:sz w:val="18"/>
          <w:szCs w:val="20"/>
        </w:rPr>
        <w:br/>
      </w:r>
      <w:r w:rsidR="00A73FED" w:rsidRPr="00F44B2F">
        <w:rPr>
          <w:rStyle w:val="ChartnotesChar"/>
          <w:rFonts w:ascii="Calibri" w:hAnsi="Calibri" w:cs="Times New Roman"/>
          <w:bCs w:val="0"/>
          <w:i w:val="0"/>
          <w:iCs w:val="0"/>
          <w:sz w:val="18"/>
          <w:szCs w:val="20"/>
        </w:rPr>
        <w:t>Source: Treasury analysis.</w:t>
      </w:r>
    </w:p>
    <w:p w14:paraId="1765829F" w14:textId="705BB44C" w:rsidR="00631F4C" w:rsidRPr="00431A1D" w:rsidRDefault="00497D88" w:rsidP="00431A1D">
      <w:pPr>
        <w:pStyle w:val="Heading2"/>
      </w:pPr>
      <w:r w:rsidRPr="00431A1D">
        <w:rPr>
          <w:rStyle w:val="normaltextrun"/>
        </w:rPr>
        <w:t xml:space="preserve">Effect of the recommended redesign on </w:t>
      </w:r>
      <w:r w:rsidRPr="00431A1D">
        <w:t>l</w:t>
      </w:r>
      <w:r w:rsidR="00617C66" w:rsidRPr="00431A1D">
        <w:t xml:space="preserve">abour </w:t>
      </w:r>
      <w:r w:rsidR="00F85F4B" w:rsidRPr="00431A1D">
        <w:t>supply</w:t>
      </w:r>
    </w:p>
    <w:p w14:paraId="520A0E1D" w14:textId="7902A435" w:rsidR="00631F4C" w:rsidRDefault="00631F4C" w:rsidP="00F44B2F">
      <w:r>
        <w:rPr>
          <w:rStyle w:val="normaltextrun"/>
        </w:rPr>
        <w:t xml:space="preserve">The </w:t>
      </w:r>
      <w:r w:rsidR="002D20BF">
        <w:rPr>
          <w:rStyle w:val="normaltextrun"/>
        </w:rPr>
        <w:t>redesign</w:t>
      </w:r>
      <w:r>
        <w:rPr>
          <w:rStyle w:val="normaltextrun"/>
        </w:rPr>
        <w:t xml:space="preserve"> will </w:t>
      </w:r>
      <w:r w:rsidR="0070279B">
        <w:rPr>
          <w:rStyle w:val="normaltextrun"/>
        </w:rPr>
        <w:t xml:space="preserve">raise </w:t>
      </w:r>
      <w:r>
        <w:rPr>
          <w:rStyle w:val="normaltextrun"/>
        </w:rPr>
        <w:t xml:space="preserve">labour supply – particularly of women. </w:t>
      </w:r>
      <w:r>
        <w:t xml:space="preserve">Household composition and lifecycle factors influence labour force participation decisions in response to financial incentives. </w:t>
      </w:r>
      <w:r w:rsidR="008C1113">
        <w:t>Women have lower labour force participation rates and, when employed, are more likely to work part</w:t>
      </w:r>
      <w:r w:rsidR="00402B27">
        <w:noBreakHyphen/>
      </w:r>
      <w:r w:rsidR="008C1113">
        <w:t>time (Charts</w:t>
      </w:r>
      <w:r w:rsidR="007C3AEA">
        <w:t> </w:t>
      </w:r>
      <w:r w:rsidR="008C1113">
        <w:t>A2 and A3 in the appendix).</w:t>
      </w:r>
      <w:r>
        <w:t xml:space="preserve"> </w:t>
      </w:r>
      <w:r w:rsidR="003357B2">
        <w:t>W</w:t>
      </w:r>
      <w:r>
        <w:t>hen faced with the same percentage change to after</w:t>
      </w:r>
      <w:r w:rsidR="00402B27">
        <w:noBreakHyphen/>
      </w:r>
      <w:r>
        <w:t xml:space="preserve">tax wages, women – particularly women with children – are more responsive </w:t>
      </w:r>
      <w:r w:rsidR="0085635A">
        <w:t xml:space="preserve">in the amount they work compared to </w:t>
      </w:r>
      <w:r>
        <w:t>men. In addition, people</w:t>
      </w:r>
      <w:r w:rsidDel="002B7990">
        <w:t xml:space="preserve"> </w:t>
      </w:r>
      <w:r>
        <w:t>with less formal education and those with lower wage potential are more responsive to changes in after</w:t>
      </w:r>
      <w:r w:rsidR="00402B27">
        <w:noBreakHyphen/>
      </w:r>
      <w:r>
        <w:t>tax income than other individuals.</w:t>
      </w:r>
    </w:p>
    <w:p w14:paraId="490529C9" w14:textId="0986CCDB" w:rsidR="00631F4C" w:rsidRDefault="00631F4C" w:rsidP="00F44B2F">
      <w:r>
        <w:t xml:space="preserve">These </w:t>
      </w:r>
      <w:r w:rsidR="00BB5622">
        <w:t xml:space="preserve">different </w:t>
      </w:r>
      <w:r>
        <w:t xml:space="preserve">labour supply responses mean that the distribution of tax cuts matters both for </w:t>
      </w:r>
      <w:r w:rsidRPr="00462B87">
        <w:t>who</w:t>
      </w:r>
      <w:r>
        <w:rPr>
          <w:i/>
          <w:iCs/>
        </w:rPr>
        <w:t xml:space="preserve"> </w:t>
      </w:r>
      <w:r>
        <w:t xml:space="preserve">it encourages to work, and for its </w:t>
      </w:r>
      <w:r w:rsidRPr="004827C6">
        <w:t>overall</w:t>
      </w:r>
      <w:r>
        <w:t xml:space="preserve"> effect on labour force participation. Delivering a tax cut to high</w:t>
      </w:r>
      <w:r w:rsidR="00402B27">
        <w:noBreakHyphen/>
      </w:r>
      <w:r>
        <w:t>income individuals is expected to increase overall participation by less than a tax cut that delivers an increase in after</w:t>
      </w:r>
      <w:r w:rsidR="00402B27">
        <w:noBreakHyphen/>
      </w:r>
      <w:r>
        <w:t xml:space="preserve">tax wages for those on lower incomes. </w:t>
      </w:r>
    </w:p>
    <w:p w14:paraId="0AD23694" w14:textId="2761D85B" w:rsidR="00631F4C" w:rsidRDefault="00631F4C" w:rsidP="00F44B2F">
      <w:r>
        <w:t xml:space="preserve">The </w:t>
      </w:r>
      <w:r w:rsidR="00D11195">
        <w:t>redesign</w:t>
      </w:r>
      <w:r>
        <w:t xml:space="preserve"> </w:t>
      </w:r>
      <w:r w:rsidR="00BE6657">
        <w:t>is expected to</w:t>
      </w:r>
      <w:r w:rsidR="007F0D06">
        <w:t xml:space="preserve"> </w:t>
      </w:r>
      <w:r>
        <w:t>produce a larger increase in labour supply</w:t>
      </w:r>
      <w:r w:rsidR="00A40325">
        <w:t>,</w:t>
      </w:r>
      <w:r>
        <w:t xml:space="preserve"> driven by increases in hours worked and participation of women with taxable income between $20,000 and $75,000</w:t>
      </w:r>
      <w:r w:rsidR="00380D32">
        <w:t xml:space="preserve"> (Chart 10)</w:t>
      </w:r>
      <w:r>
        <w:t xml:space="preserve">. </w:t>
      </w:r>
      <w:r w:rsidR="00AA5F08">
        <w:t>Overall, the</w:t>
      </w:r>
      <w:r>
        <w:t xml:space="preserve"> </w:t>
      </w:r>
      <w:r w:rsidR="00A70F65">
        <w:t>recommended</w:t>
      </w:r>
      <w:r w:rsidR="00497D88">
        <w:t xml:space="preserve"> redesign</w:t>
      </w:r>
      <w:r w:rsidR="00AA5F08">
        <w:t xml:space="preserve"> </w:t>
      </w:r>
      <w:r>
        <w:t xml:space="preserve">sees an increase in labour supply of </w:t>
      </w:r>
      <w:r w:rsidR="00A623C4">
        <w:t xml:space="preserve">about </w:t>
      </w:r>
      <w:r w:rsidR="004C6F9C">
        <w:t>93</w:t>
      </w:r>
      <w:r w:rsidR="004C6F9C" w:rsidRPr="00E06169">
        <w:t>0</w:t>
      </w:r>
      <w:r w:rsidRPr="00E06169">
        <w:t>,000</w:t>
      </w:r>
      <w:r>
        <w:t xml:space="preserve"> hours per week (</w:t>
      </w:r>
      <w:r w:rsidRPr="00E06169">
        <w:t>0.</w:t>
      </w:r>
      <w:r w:rsidR="004C6F9C" w:rsidRPr="00E06169">
        <w:t>2</w:t>
      </w:r>
      <w:r w:rsidR="004C6F9C">
        <w:t xml:space="preserve">5 </w:t>
      </w:r>
      <w:r>
        <w:t xml:space="preserve">per cent), more than </w:t>
      </w:r>
      <w:r w:rsidR="009859D2">
        <w:t>double</w:t>
      </w:r>
      <w:r>
        <w:t xml:space="preserve"> </w:t>
      </w:r>
      <w:r w:rsidR="00234C6B">
        <w:t>Stage 3</w:t>
      </w:r>
      <w:r>
        <w:t xml:space="preserve">. Female labour supply is expected to increase by </w:t>
      </w:r>
      <w:r w:rsidRPr="00E06169">
        <w:t>0.</w:t>
      </w:r>
      <w:r w:rsidR="004C6F9C" w:rsidRPr="00E06169">
        <w:t>3</w:t>
      </w:r>
      <w:r w:rsidR="004C6F9C">
        <w:t>7</w:t>
      </w:r>
      <w:r w:rsidR="00CF04E0">
        <w:t> </w:t>
      </w:r>
      <w:r>
        <w:t>per</w:t>
      </w:r>
      <w:r w:rsidR="00CF04E0">
        <w:t> </w:t>
      </w:r>
      <w:r>
        <w:t>cent</w:t>
      </w:r>
      <w:r w:rsidR="00402B27">
        <w:t xml:space="preserve">. </w:t>
      </w:r>
    </w:p>
    <w:p w14:paraId="56A240D1" w14:textId="2C08D8BE" w:rsidR="006118B7" w:rsidRDefault="006118B7" w:rsidP="00CF04E0">
      <w:pPr>
        <w:pStyle w:val="ChartMainHeading"/>
      </w:pPr>
      <w:r w:rsidRPr="007A7573">
        <w:t xml:space="preserve">Chart </w:t>
      </w:r>
      <w:r>
        <w:t>10</w:t>
      </w:r>
      <w:r w:rsidRPr="007A7573">
        <w:t xml:space="preserve">: </w:t>
      </w:r>
      <w:r w:rsidR="00130F4F">
        <w:t xml:space="preserve">Expected change in weekly hours worked </w:t>
      </w:r>
      <w:r w:rsidR="00EA4DAD">
        <w:t>under Stage 3 and the</w:t>
      </w:r>
      <w:r w:rsidR="00CF04E0">
        <w:t> </w:t>
      </w:r>
      <w:r w:rsidR="00EA4DAD">
        <w:t>redesign</w:t>
      </w:r>
    </w:p>
    <w:p w14:paraId="0B0626EB" w14:textId="7084BD00" w:rsidR="00903E46" w:rsidRDefault="00F44F3F" w:rsidP="00CF04E0">
      <w:pPr>
        <w:pStyle w:val="ChartGraphic"/>
        <w:rPr>
          <w:rStyle w:val="ChartnotesChar"/>
          <w:i w:val="0"/>
        </w:rPr>
      </w:pPr>
      <w:r>
        <w:rPr>
          <w:noProof/>
        </w:rPr>
        <w:drawing>
          <wp:inline distT="0" distB="0" distL="0" distR="0" wp14:anchorId="503D8FD3" wp14:editId="0223E08E">
            <wp:extent cx="5783038" cy="4881490"/>
            <wp:effectExtent l="0" t="0" r="8255" b="0"/>
            <wp:docPr id="8" name="Picture 8" descr="A two panel area chart showing the change in hours of labour supplied by taxable income and sex. The stage 3 line is flat between 0 and 45,000, then increases to peak at about 65,000 before declining slowly to the end of the series at about $240,000. In the second panel for the Redesign, the line is higher, starting at about $20,000, rising rapidly to peak between $30,000 and $55,000, before declining to the end of the ser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two panel area chart showing the change in hours of labour supplied by taxable income and sex. The stage 3 line is flat between 0 and 45,000, then increases to peak at about 65,000 before declining slowly to the end of the series at about $240,000. In the second panel for the Redesign, the line is higher, starting at about $20,000, rising rapidly to peak between $30,000 and $55,000, before declining to the end of the series.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96288" cy="4892675"/>
                    </a:xfrm>
                    <a:prstGeom prst="rect">
                      <a:avLst/>
                    </a:prstGeom>
                    <a:noFill/>
                  </pic:spPr>
                </pic:pic>
              </a:graphicData>
            </a:graphic>
          </wp:inline>
        </w:drawing>
      </w:r>
      <w:r w:rsidR="00A64459" w:rsidRPr="00A64459">
        <w:rPr>
          <w:rStyle w:val="ChartnotesChar"/>
        </w:rPr>
        <w:t xml:space="preserve"> </w:t>
      </w:r>
    </w:p>
    <w:p w14:paraId="2F8507CE" w14:textId="77777777" w:rsidR="00A64459" w:rsidRDefault="00A64459" w:rsidP="00C521BA">
      <w:pPr>
        <w:pStyle w:val="ChartorTableNote"/>
      </w:pPr>
      <w:r w:rsidRPr="00C521BA">
        <w:t>Source: Treasury analysis.</w:t>
      </w:r>
    </w:p>
    <w:p w14:paraId="3D8481A4" w14:textId="507B3726" w:rsidR="00631F4C" w:rsidRPr="001D67C3" w:rsidRDefault="00631F4C" w:rsidP="00CF04E0">
      <w:r w:rsidRPr="00CF75AB">
        <w:t>The design of the tax cut also affect</w:t>
      </w:r>
      <w:r>
        <w:t>s</w:t>
      </w:r>
      <w:r w:rsidRPr="00CF75AB">
        <w:t xml:space="preserve"> labour supply </w:t>
      </w:r>
      <w:r>
        <w:t xml:space="preserve">decisions </w:t>
      </w:r>
      <w:r w:rsidRPr="00CF75AB">
        <w:t>for particular occupations</w:t>
      </w:r>
      <w:r>
        <w:t xml:space="preserve">. Compared </w:t>
      </w:r>
      <w:r w:rsidR="002579D6">
        <w:t>with</w:t>
      </w:r>
      <w:r>
        <w:t xml:space="preserve"> </w:t>
      </w:r>
      <w:r w:rsidR="00234C6B">
        <w:t>Stage 3</w:t>
      </w:r>
      <w:r>
        <w:t xml:space="preserve">, the </w:t>
      </w:r>
      <w:r w:rsidR="005426AE">
        <w:t>redesign</w:t>
      </w:r>
      <w:r>
        <w:t xml:space="preserve"> delivers </w:t>
      </w:r>
      <w:r w:rsidR="003E55F2">
        <w:t xml:space="preserve">a larger tax cut to more than 90 per cent of </w:t>
      </w:r>
      <w:r w:rsidR="00DA0859">
        <w:t>taxpayers in in</w:t>
      </w:r>
      <w:r w:rsidR="00402B27">
        <w:noBreakHyphen/>
      </w:r>
      <w:r w:rsidR="00DA0859">
        <w:t xml:space="preserve">demand occupations, including </w:t>
      </w:r>
      <w:r w:rsidR="003E55F2">
        <w:t>teachers</w:t>
      </w:r>
      <w:r w:rsidR="006951A1">
        <w:t>,</w:t>
      </w:r>
      <w:r w:rsidR="00006BFC">
        <w:t xml:space="preserve"> </w:t>
      </w:r>
      <w:r w:rsidR="002F0012">
        <w:t>nurses</w:t>
      </w:r>
      <w:r w:rsidR="00430C58">
        <w:t xml:space="preserve">, </w:t>
      </w:r>
      <w:r w:rsidR="00DA0859">
        <w:t xml:space="preserve">aged </w:t>
      </w:r>
      <w:r w:rsidR="00C757F3">
        <w:t xml:space="preserve">carers </w:t>
      </w:r>
      <w:r w:rsidR="00DA0859">
        <w:t xml:space="preserve">and disability </w:t>
      </w:r>
      <w:r w:rsidR="00C757F3">
        <w:t xml:space="preserve">support workers, </w:t>
      </w:r>
      <w:r w:rsidR="00DA0859">
        <w:t>and childcare workers</w:t>
      </w:r>
      <w:r w:rsidR="006951A1">
        <w:t xml:space="preserve"> </w:t>
      </w:r>
      <w:r>
        <w:t xml:space="preserve">(Chart </w:t>
      </w:r>
      <w:r w:rsidR="00380D32">
        <w:t>11</w:t>
      </w:r>
      <w:r>
        <w:t xml:space="preserve">). </w:t>
      </w:r>
    </w:p>
    <w:p w14:paraId="1F6E3B0F" w14:textId="76E4E3DE" w:rsidR="00631F4C" w:rsidRPr="00431A1D" w:rsidRDefault="00631F4C" w:rsidP="00431A1D">
      <w:pPr>
        <w:pStyle w:val="ChartMainHeading"/>
      </w:pPr>
      <w:r w:rsidRPr="00431A1D">
        <w:t xml:space="preserve">Chart </w:t>
      </w:r>
      <w:r w:rsidR="00222831" w:rsidRPr="00431A1D">
        <w:t>1</w:t>
      </w:r>
      <w:r w:rsidR="00380D32" w:rsidRPr="00431A1D">
        <w:t>1</w:t>
      </w:r>
      <w:r w:rsidRPr="00431A1D">
        <w:t xml:space="preserve">: </w:t>
      </w:r>
      <w:r w:rsidR="000975CF" w:rsidRPr="00431A1D">
        <w:t xml:space="preserve">Share of </w:t>
      </w:r>
      <w:r w:rsidR="004F34FE" w:rsidRPr="00431A1D">
        <w:t>taxpayers</w:t>
      </w:r>
      <w:r w:rsidR="000975CF" w:rsidRPr="00431A1D">
        <w:t xml:space="preserve"> getting </w:t>
      </w:r>
      <w:r w:rsidR="00994D8B" w:rsidRPr="00431A1D">
        <w:t xml:space="preserve">a </w:t>
      </w:r>
      <w:r w:rsidR="000975CF" w:rsidRPr="00431A1D">
        <w:t>larger tax cut</w:t>
      </w:r>
      <w:r w:rsidR="004F34FE" w:rsidRPr="00431A1D">
        <w:t xml:space="preserve"> by occupation</w:t>
      </w:r>
      <w:r w:rsidR="000975CF" w:rsidRPr="00431A1D">
        <w:t xml:space="preserve">, </w:t>
      </w:r>
      <w:r w:rsidR="00A70F65" w:rsidRPr="00431A1D">
        <w:t>recommended re</w:t>
      </w:r>
      <w:r w:rsidR="0090038D" w:rsidRPr="00431A1D">
        <w:t>design</w:t>
      </w:r>
      <w:r w:rsidR="000A6F17" w:rsidRPr="00431A1D">
        <w:t xml:space="preserve"> compared to </w:t>
      </w:r>
      <w:r w:rsidR="0090038D" w:rsidRPr="00431A1D">
        <w:t>S</w:t>
      </w:r>
      <w:r w:rsidR="000A6F17" w:rsidRPr="00431A1D">
        <w:t xml:space="preserve">tage 3 </w:t>
      </w:r>
    </w:p>
    <w:p w14:paraId="62DC770E" w14:textId="4606BE19" w:rsidR="00631F4C" w:rsidRPr="001D67C3" w:rsidRDefault="00607DE2" w:rsidP="00631F4C">
      <w:pPr>
        <w:pStyle w:val="Chart"/>
      </w:pPr>
      <w:r>
        <w:drawing>
          <wp:inline distT="0" distB="0" distL="0" distR="0" wp14:anchorId="35A34BD9" wp14:editId="120EE426">
            <wp:extent cx="5767760" cy="5824025"/>
            <wp:effectExtent l="0" t="0" r="4445" b="5715"/>
            <wp:docPr id="7" name="Picture 7" descr="A bar chart showing occupation on the vertical axis and share of taxpayers getting a larger tax cut on the horizontal axis. Of the 30 occupations, 24 are above 90 per cent, with the highest being Nursing Support and Personal Care Workers at about 97 per cent. Chief Executives is the lowest with about 70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ar chart showing occupation on the vertical axis and share of taxpayers getting a larger tax cut on the horizontal axis. Of the 30 occupations, 24 are above 90 per cent, with the highest being Nursing Support and Personal Care Workers at about 97 per cent. Chief Executives is the lowest with about 70 per cen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74561" cy="5830893"/>
                    </a:xfrm>
                    <a:prstGeom prst="rect">
                      <a:avLst/>
                    </a:prstGeom>
                    <a:noFill/>
                  </pic:spPr>
                </pic:pic>
              </a:graphicData>
            </a:graphic>
          </wp:inline>
        </w:drawing>
      </w:r>
    </w:p>
    <w:p w14:paraId="3ED02E4D" w14:textId="73FC3565" w:rsidR="00631F4C" w:rsidRPr="00CF04E0" w:rsidRDefault="00631F4C" w:rsidP="00CF04E0">
      <w:pPr>
        <w:pStyle w:val="ChartorTableNote"/>
      </w:pPr>
      <w:r w:rsidRPr="00CF04E0">
        <w:t xml:space="preserve">Notes: ANZSCO </w:t>
      </w:r>
      <w:r w:rsidR="00426754" w:rsidRPr="00CF04E0">
        <w:t>unit group</w:t>
      </w:r>
      <w:r w:rsidRPr="00CF04E0">
        <w:t xml:space="preserve"> occupations with more than </w:t>
      </w:r>
      <w:r w:rsidR="00426754" w:rsidRPr="00CF04E0">
        <w:t>100,000</w:t>
      </w:r>
      <w:r w:rsidRPr="00CF04E0">
        <w:t xml:space="preserve"> tax filers.</w:t>
      </w:r>
      <w:r w:rsidR="00532879" w:rsidRPr="00CF04E0">
        <w:t xml:space="preserve"> </w:t>
      </w:r>
      <w:r w:rsidR="000140F6" w:rsidRPr="00CF04E0">
        <w:t xml:space="preserve">Occupation data based on </w:t>
      </w:r>
      <w:r w:rsidR="008018C7" w:rsidRPr="00CF04E0">
        <w:t xml:space="preserve">taxfilers reporting salary and wage income on </w:t>
      </w:r>
      <w:r w:rsidR="000140F6" w:rsidRPr="00CF04E0">
        <w:t>202</w:t>
      </w:r>
      <w:r w:rsidR="00646A92" w:rsidRPr="00CF04E0">
        <w:t>0</w:t>
      </w:r>
      <w:r w:rsidR="000F6E93">
        <w:t>–</w:t>
      </w:r>
      <w:r w:rsidR="00646A92" w:rsidRPr="00CF04E0">
        <w:t>21</w:t>
      </w:r>
      <w:r w:rsidR="000140F6" w:rsidRPr="00CF04E0">
        <w:t xml:space="preserve"> tax returns.</w:t>
      </w:r>
      <w:r w:rsidRPr="00CF04E0">
        <w:br/>
        <w:t xml:space="preserve">Source: Treasury analysis. </w:t>
      </w:r>
    </w:p>
    <w:p w14:paraId="3AF3DA3E" w14:textId="07890B0A" w:rsidR="00631F4C" w:rsidRPr="00622B8B" w:rsidRDefault="00631F4C" w:rsidP="00631F4C">
      <w:r>
        <w:rPr>
          <w:rStyle w:val="normaltextrun"/>
        </w:rPr>
        <w:br w:type="page"/>
      </w:r>
    </w:p>
    <w:p w14:paraId="33E5D3F3" w14:textId="532C838F" w:rsidR="00631F4C" w:rsidRDefault="00F51C45" w:rsidP="00CF04E0">
      <w:pPr>
        <w:pStyle w:val="Heading1"/>
      </w:pPr>
      <w:r>
        <w:t>Appendix</w:t>
      </w:r>
    </w:p>
    <w:p w14:paraId="1300D52A" w14:textId="74D3C8A3" w:rsidR="00631F4C" w:rsidRPr="00C521BA" w:rsidRDefault="00631F4C" w:rsidP="00431A1D">
      <w:pPr>
        <w:pStyle w:val="TableMainHeading"/>
      </w:pPr>
      <w:r w:rsidRPr="00C521BA">
        <w:t xml:space="preserve">Table A1: Change in tax for </w:t>
      </w:r>
      <w:r w:rsidR="00234C6B" w:rsidRPr="00C521BA">
        <w:t>Stage 3</w:t>
      </w:r>
      <w:r w:rsidRPr="00C521BA">
        <w:t xml:space="preserve"> and </w:t>
      </w:r>
      <w:r w:rsidR="004B6058" w:rsidRPr="00C521BA">
        <w:t>recommended</w:t>
      </w:r>
      <w:r w:rsidR="0090038D" w:rsidRPr="00C521BA">
        <w:t xml:space="preserve"> redesign</w:t>
      </w:r>
      <w:r w:rsidRPr="00C521BA">
        <w:t xml:space="preserve"> in 2024</w:t>
      </w:r>
      <w:r w:rsidR="003E05D8" w:rsidRPr="00C521BA">
        <w:t>–</w:t>
      </w:r>
      <w:r w:rsidRPr="00C521BA">
        <w:t>25 compared to 2023</w:t>
      </w:r>
      <w:r w:rsidR="003E05D8" w:rsidRPr="00C521BA">
        <w:t>–</w:t>
      </w:r>
      <w:r w:rsidRPr="00C521BA">
        <w:t>24</w:t>
      </w:r>
      <w:r w:rsidR="00893208" w:rsidRPr="00C521BA">
        <w:t xml:space="preserve"> policy settings</w:t>
      </w:r>
    </w:p>
    <w:tbl>
      <w:tblPr>
        <w:tblStyle w:val="TableGrid1"/>
        <w:tblW w:w="5000" w:type="pct"/>
        <w:jc w:val="center"/>
        <w:tblLook w:val="04A0" w:firstRow="1" w:lastRow="0" w:firstColumn="1" w:lastColumn="0" w:noHBand="0" w:noVBand="1"/>
      </w:tblPr>
      <w:tblGrid>
        <w:gridCol w:w="1792"/>
        <w:gridCol w:w="2353"/>
        <w:gridCol w:w="2353"/>
        <w:gridCol w:w="2566"/>
      </w:tblGrid>
      <w:tr w:rsidR="00090907" w:rsidRPr="00090907" w14:paraId="14D9CDA6" w14:textId="77777777" w:rsidTr="00E61525">
        <w:trPr>
          <w:cnfStyle w:val="100000000000" w:firstRow="1" w:lastRow="0" w:firstColumn="0" w:lastColumn="0" w:oddVBand="0" w:evenVBand="0" w:oddHBand="0" w:evenHBand="0" w:firstRowFirstColumn="0" w:firstRowLastColumn="0" w:lastRowFirstColumn="0" w:lastRowLastColumn="0"/>
          <w:trHeight w:val="377"/>
          <w:jc w:val="center"/>
        </w:trPr>
        <w:tc>
          <w:tcPr>
            <w:tcW w:w="1287" w:type="dxa"/>
            <w:tcBorders>
              <w:top w:val="single" w:sz="2" w:space="0" w:color="2C384A" w:themeColor="accent1"/>
              <w:left w:val="single" w:sz="2" w:space="0" w:color="2C384A" w:themeColor="accent1"/>
              <w:bottom w:val="single" w:sz="2" w:space="0" w:color="2C384A" w:themeColor="accent1"/>
              <w:right w:val="nil"/>
            </w:tcBorders>
            <w:shd w:val="clear" w:color="auto" w:fill="auto"/>
            <w:vAlign w:val="bottom"/>
          </w:tcPr>
          <w:p w14:paraId="7B2A778B" w14:textId="17DC2E6A" w:rsidR="00090907" w:rsidRPr="00431A1D" w:rsidRDefault="00090907" w:rsidP="00431A1D">
            <w:pPr>
              <w:pStyle w:val="TableColumnHeadingRight"/>
              <w:rPr>
                <w:rFonts w:eastAsia="Calibri"/>
                <w:b/>
                <w:bCs/>
              </w:rPr>
            </w:pPr>
            <w:r w:rsidRPr="00431A1D">
              <w:rPr>
                <w:b/>
                <w:bCs/>
              </w:rPr>
              <w:t> </w:t>
            </w:r>
            <w:r w:rsidR="00C43CCF" w:rsidRPr="00431A1D">
              <w:rPr>
                <w:b/>
                <w:bCs/>
              </w:rPr>
              <w:t>($)</w:t>
            </w:r>
          </w:p>
        </w:tc>
        <w:tc>
          <w:tcPr>
            <w:tcW w:w="1690" w:type="dxa"/>
            <w:tcBorders>
              <w:top w:val="single" w:sz="2" w:space="0" w:color="2C384A" w:themeColor="accent1"/>
              <w:left w:val="nil"/>
              <w:bottom w:val="single" w:sz="2" w:space="0" w:color="2C384A" w:themeColor="accent1"/>
              <w:right w:val="nil"/>
            </w:tcBorders>
            <w:shd w:val="clear" w:color="auto" w:fill="auto"/>
            <w:vAlign w:val="bottom"/>
          </w:tcPr>
          <w:p w14:paraId="59785986" w14:textId="3F195D4B" w:rsidR="00122A90" w:rsidRPr="00431A1D" w:rsidRDefault="00122A90" w:rsidP="00431A1D">
            <w:pPr>
              <w:pStyle w:val="TableColumnHeadingRight"/>
              <w:rPr>
                <w:b/>
                <w:bCs/>
              </w:rPr>
            </w:pPr>
            <w:r w:rsidRPr="00431A1D">
              <w:rPr>
                <w:b/>
                <w:bCs/>
              </w:rPr>
              <w:t xml:space="preserve">Recommended </w:t>
            </w:r>
            <w:r w:rsidR="001120EF" w:rsidRPr="00431A1D">
              <w:rPr>
                <w:b/>
                <w:bCs/>
              </w:rPr>
              <w:br/>
            </w:r>
            <w:r w:rsidRPr="00431A1D">
              <w:rPr>
                <w:b/>
                <w:bCs/>
              </w:rPr>
              <w:t>redesign vs 2023</w:t>
            </w:r>
            <w:r w:rsidR="0010051F" w:rsidRPr="00431A1D">
              <w:rPr>
                <w:b/>
                <w:bCs/>
              </w:rPr>
              <w:t>–</w:t>
            </w:r>
            <w:r w:rsidRPr="00431A1D">
              <w:rPr>
                <w:b/>
                <w:bCs/>
              </w:rPr>
              <w:t>24</w:t>
            </w:r>
          </w:p>
        </w:tc>
        <w:tc>
          <w:tcPr>
            <w:tcW w:w="1690" w:type="dxa"/>
            <w:tcBorders>
              <w:top w:val="single" w:sz="2" w:space="0" w:color="2C384A" w:themeColor="accent1"/>
              <w:left w:val="nil"/>
              <w:bottom w:val="single" w:sz="2" w:space="0" w:color="2C384A" w:themeColor="accent1"/>
              <w:right w:val="nil"/>
            </w:tcBorders>
            <w:shd w:val="clear" w:color="auto" w:fill="auto"/>
            <w:vAlign w:val="bottom"/>
          </w:tcPr>
          <w:p w14:paraId="27391C23" w14:textId="72458A43" w:rsidR="00090907" w:rsidRPr="00431A1D" w:rsidRDefault="00090907" w:rsidP="00431A1D">
            <w:pPr>
              <w:pStyle w:val="TableColumnHeadingRight"/>
              <w:rPr>
                <w:rFonts w:eastAsia="Calibri"/>
                <w:b/>
                <w:bCs/>
              </w:rPr>
            </w:pPr>
            <w:r w:rsidRPr="00431A1D">
              <w:rPr>
                <w:b/>
                <w:bCs/>
              </w:rPr>
              <w:t xml:space="preserve">Stage 3 vs </w:t>
            </w:r>
            <w:r w:rsidR="0010051F" w:rsidRPr="00431A1D">
              <w:rPr>
                <w:b/>
                <w:bCs/>
              </w:rPr>
              <w:br/>
            </w:r>
            <w:r w:rsidRPr="00431A1D">
              <w:rPr>
                <w:b/>
                <w:bCs/>
              </w:rPr>
              <w:t>2023</w:t>
            </w:r>
            <w:r w:rsidR="0010051F" w:rsidRPr="00431A1D">
              <w:rPr>
                <w:b/>
                <w:bCs/>
              </w:rPr>
              <w:t>–</w:t>
            </w:r>
            <w:r w:rsidRPr="00431A1D">
              <w:rPr>
                <w:b/>
                <w:bCs/>
              </w:rPr>
              <w:t>24</w:t>
            </w:r>
          </w:p>
        </w:tc>
        <w:tc>
          <w:tcPr>
            <w:tcW w:w="1843" w:type="dxa"/>
            <w:tcBorders>
              <w:top w:val="single" w:sz="2" w:space="0" w:color="2C384A" w:themeColor="accent1"/>
              <w:left w:val="nil"/>
              <w:bottom w:val="single" w:sz="2" w:space="0" w:color="2C384A" w:themeColor="accent1"/>
              <w:right w:val="single" w:sz="2" w:space="0" w:color="2C384A" w:themeColor="accent1"/>
            </w:tcBorders>
            <w:shd w:val="clear" w:color="auto" w:fill="auto"/>
            <w:vAlign w:val="bottom"/>
          </w:tcPr>
          <w:p w14:paraId="54F9424E" w14:textId="2D034A48" w:rsidR="00090907" w:rsidRPr="00431A1D" w:rsidRDefault="0090038D" w:rsidP="00431A1D">
            <w:pPr>
              <w:pStyle w:val="TableColumnHeadingRight"/>
              <w:rPr>
                <w:rFonts w:eastAsia="Calibri"/>
                <w:b/>
                <w:bCs/>
              </w:rPr>
            </w:pPr>
            <w:r w:rsidRPr="00431A1D">
              <w:rPr>
                <w:b/>
                <w:bCs/>
              </w:rPr>
              <w:t xml:space="preserve">Recommended </w:t>
            </w:r>
            <w:r w:rsidR="0010051F" w:rsidRPr="00431A1D">
              <w:rPr>
                <w:b/>
                <w:bCs/>
              </w:rPr>
              <w:br/>
            </w:r>
            <w:r w:rsidRPr="00431A1D">
              <w:rPr>
                <w:b/>
                <w:bCs/>
              </w:rPr>
              <w:t>redesign</w:t>
            </w:r>
            <w:r w:rsidR="00090907" w:rsidRPr="00431A1D">
              <w:rPr>
                <w:b/>
                <w:bCs/>
              </w:rPr>
              <w:t xml:space="preserve"> vs Stage 3</w:t>
            </w:r>
          </w:p>
        </w:tc>
      </w:tr>
      <w:tr w:rsidR="00090907" w:rsidRPr="00090907" w14:paraId="01C7AB08" w14:textId="77777777" w:rsidTr="00E61525">
        <w:trPr>
          <w:trHeight w:val="271"/>
          <w:jc w:val="center"/>
        </w:trPr>
        <w:tc>
          <w:tcPr>
            <w:tcW w:w="1287" w:type="dxa"/>
            <w:tcBorders>
              <w:top w:val="single" w:sz="2" w:space="0" w:color="2C384A" w:themeColor="accent1"/>
              <w:left w:val="single" w:sz="2" w:space="0" w:color="2C384A" w:themeColor="accent1"/>
              <w:bottom w:val="nil"/>
              <w:right w:val="nil"/>
            </w:tcBorders>
          </w:tcPr>
          <w:p w14:paraId="02B31C5F" w14:textId="4C6B854B" w:rsidR="00090907" w:rsidRPr="00CF04E0" w:rsidRDefault="00090907" w:rsidP="00CF04E0">
            <w:pPr>
              <w:pStyle w:val="TableTextRight"/>
              <w:rPr>
                <w:rFonts w:eastAsia="Calibri"/>
              </w:rPr>
            </w:pPr>
            <w:r w:rsidRPr="00CF04E0">
              <w:t>30,000</w:t>
            </w:r>
          </w:p>
        </w:tc>
        <w:tc>
          <w:tcPr>
            <w:tcW w:w="1690" w:type="dxa"/>
            <w:tcBorders>
              <w:top w:val="single" w:sz="2" w:space="0" w:color="2C384A" w:themeColor="accent1"/>
              <w:left w:val="nil"/>
              <w:bottom w:val="nil"/>
              <w:right w:val="nil"/>
            </w:tcBorders>
          </w:tcPr>
          <w:p w14:paraId="418548EC" w14:textId="77B866E5" w:rsidR="00122A90" w:rsidRPr="00CF04E0" w:rsidRDefault="00402B27" w:rsidP="00CF04E0">
            <w:pPr>
              <w:pStyle w:val="TableTextRight"/>
            </w:pPr>
            <w:r w:rsidRPr="00CF04E0">
              <w:noBreakHyphen/>
            </w:r>
            <w:r w:rsidR="00122A90" w:rsidRPr="00CF04E0">
              <w:t xml:space="preserve">354 </w:t>
            </w:r>
          </w:p>
        </w:tc>
        <w:tc>
          <w:tcPr>
            <w:tcW w:w="1690" w:type="dxa"/>
            <w:tcBorders>
              <w:top w:val="single" w:sz="2" w:space="0" w:color="2C384A" w:themeColor="accent1"/>
              <w:left w:val="nil"/>
              <w:bottom w:val="nil"/>
              <w:right w:val="nil"/>
            </w:tcBorders>
          </w:tcPr>
          <w:p w14:paraId="2C540B6E" w14:textId="1BEC9DFA" w:rsidR="00090907" w:rsidRPr="00CF04E0" w:rsidRDefault="00402B27" w:rsidP="00CF04E0">
            <w:pPr>
              <w:pStyle w:val="TableTextRight"/>
              <w:rPr>
                <w:rFonts w:eastAsia="Calibri"/>
              </w:rPr>
            </w:pPr>
            <w:r w:rsidRPr="00CF04E0">
              <w:t xml:space="preserve"> – </w:t>
            </w:r>
            <w:r w:rsidR="00CF5FDF" w:rsidRPr="00CF04E0">
              <w:t xml:space="preserve">  </w:t>
            </w:r>
          </w:p>
        </w:tc>
        <w:tc>
          <w:tcPr>
            <w:tcW w:w="1843" w:type="dxa"/>
            <w:tcBorders>
              <w:top w:val="single" w:sz="2" w:space="0" w:color="2C384A" w:themeColor="accent1"/>
              <w:left w:val="nil"/>
              <w:bottom w:val="nil"/>
              <w:right w:val="single" w:sz="2" w:space="0" w:color="2C384A" w:themeColor="accent1"/>
            </w:tcBorders>
          </w:tcPr>
          <w:p w14:paraId="2F47472B" w14:textId="3E1ADADB" w:rsidR="00090907" w:rsidRPr="00CF04E0" w:rsidRDefault="00402B27" w:rsidP="00CF04E0">
            <w:pPr>
              <w:pStyle w:val="TableTextRight"/>
              <w:rPr>
                <w:rFonts w:eastAsia="Calibri"/>
              </w:rPr>
            </w:pPr>
            <w:r w:rsidRPr="00CF04E0">
              <w:noBreakHyphen/>
            </w:r>
            <w:r w:rsidR="00090907" w:rsidRPr="00CF04E0">
              <w:t>354</w:t>
            </w:r>
            <w:r w:rsidR="00CF5FDF" w:rsidRPr="00CF04E0">
              <w:t xml:space="preserve"> </w:t>
            </w:r>
          </w:p>
        </w:tc>
      </w:tr>
      <w:tr w:rsidR="00090907" w:rsidRPr="00090907" w14:paraId="74A3E111" w14:textId="77777777" w:rsidTr="00E61525">
        <w:trPr>
          <w:trHeight w:val="271"/>
          <w:jc w:val="center"/>
        </w:trPr>
        <w:tc>
          <w:tcPr>
            <w:tcW w:w="1287" w:type="dxa"/>
            <w:tcBorders>
              <w:top w:val="nil"/>
              <w:left w:val="single" w:sz="2" w:space="0" w:color="2C384A" w:themeColor="accent1"/>
              <w:bottom w:val="nil"/>
              <w:right w:val="nil"/>
            </w:tcBorders>
          </w:tcPr>
          <w:p w14:paraId="63F90322" w14:textId="28B456C6" w:rsidR="00090907" w:rsidRPr="00CF04E0" w:rsidRDefault="00090907" w:rsidP="00CF04E0">
            <w:pPr>
              <w:pStyle w:val="TableTextRight"/>
              <w:rPr>
                <w:rFonts w:eastAsia="Calibri"/>
              </w:rPr>
            </w:pPr>
            <w:r w:rsidRPr="00CF04E0">
              <w:t>40,000</w:t>
            </w:r>
          </w:p>
        </w:tc>
        <w:tc>
          <w:tcPr>
            <w:tcW w:w="1690" w:type="dxa"/>
            <w:tcBorders>
              <w:top w:val="nil"/>
              <w:left w:val="nil"/>
              <w:bottom w:val="nil"/>
              <w:right w:val="nil"/>
            </w:tcBorders>
          </w:tcPr>
          <w:p w14:paraId="6816DAC2" w14:textId="7D7B6AF7" w:rsidR="00122A90" w:rsidRPr="00CF04E0" w:rsidRDefault="00402B27" w:rsidP="00CF04E0">
            <w:pPr>
              <w:pStyle w:val="TableTextRight"/>
            </w:pPr>
            <w:r w:rsidRPr="00CF04E0">
              <w:noBreakHyphen/>
            </w:r>
            <w:r w:rsidR="00122A90" w:rsidRPr="00CF04E0">
              <w:t xml:space="preserve">654 </w:t>
            </w:r>
          </w:p>
        </w:tc>
        <w:tc>
          <w:tcPr>
            <w:tcW w:w="1690" w:type="dxa"/>
            <w:tcBorders>
              <w:top w:val="nil"/>
              <w:left w:val="nil"/>
              <w:bottom w:val="nil"/>
              <w:right w:val="nil"/>
            </w:tcBorders>
          </w:tcPr>
          <w:p w14:paraId="62FA1627" w14:textId="2F1272B6" w:rsidR="00090907" w:rsidRPr="00CF04E0" w:rsidRDefault="00402B27" w:rsidP="00CF04E0">
            <w:pPr>
              <w:pStyle w:val="TableTextRight"/>
              <w:rPr>
                <w:rFonts w:eastAsia="Calibri"/>
              </w:rPr>
            </w:pPr>
            <w:r w:rsidRPr="00CF04E0">
              <w:t xml:space="preserve"> – </w:t>
            </w:r>
            <w:r w:rsidR="00CF5FDF" w:rsidRPr="00CF04E0">
              <w:t xml:space="preserve">  </w:t>
            </w:r>
          </w:p>
        </w:tc>
        <w:tc>
          <w:tcPr>
            <w:tcW w:w="1843" w:type="dxa"/>
            <w:tcBorders>
              <w:top w:val="nil"/>
              <w:left w:val="nil"/>
              <w:bottom w:val="nil"/>
              <w:right w:val="single" w:sz="2" w:space="0" w:color="2C384A" w:themeColor="accent1"/>
            </w:tcBorders>
          </w:tcPr>
          <w:p w14:paraId="2F30CF1B" w14:textId="21FBB351" w:rsidR="00090907" w:rsidRPr="00CF04E0" w:rsidRDefault="00402B27" w:rsidP="00CF04E0">
            <w:pPr>
              <w:pStyle w:val="TableTextRight"/>
              <w:rPr>
                <w:rFonts w:eastAsia="Calibri"/>
              </w:rPr>
            </w:pPr>
            <w:r w:rsidRPr="00CF04E0">
              <w:noBreakHyphen/>
            </w:r>
            <w:r w:rsidR="00090907" w:rsidRPr="00CF04E0">
              <w:t>654</w:t>
            </w:r>
            <w:r w:rsidR="00CF5FDF" w:rsidRPr="00CF04E0">
              <w:t xml:space="preserve"> </w:t>
            </w:r>
          </w:p>
        </w:tc>
      </w:tr>
      <w:tr w:rsidR="00090907" w:rsidRPr="00090907" w14:paraId="43F4DEDC" w14:textId="77777777" w:rsidTr="00E61525">
        <w:trPr>
          <w:trHeight w:val="271"/>
          <w:jc w:val="center"/>
        </w:trPr>
        <w:tc>
          <w:tcPr>
            <w:tcW w:w="1287" w:type="dxa"/>
            <w:tcBorders>
              <w:top w:val="nil"/>
              <w:left w:val="single" w:sz="2" w:space="0" w:color="2C384A" w:themeColor="accent1"/>
              <w:bottom w:val="nil"/>
              <w:right w:val="nil"/>
            </w:tcBorders>
          </w:tcPr>
          <w:p w14:paraId="4DFE3FC9" w14:textId="4F57B330" w:rsidR="00090907" w:rsidRPr="00CF04E0" w:rsidRDefault="00090907" w:rsidP="00CF04E0">
            <w:pPr>
              <w:pStyle w:val="TableTextRight"/>
              <w:rPr>
                <w:rFonts w:eastAsia="Calibri"/>
              </w:rPr>
            </w:pPr>
            <w:r w:rsidRPr="00CF04E0">
              <w:t>50,000</w:t>
            </w:r>
          </w:p>
        </w:tc>
        <w:tc>
          <w:tcPr>
            <w:tcW w:w="1690" w:type="dxa"/>
            <w:tcBorders>
              <w:top w:val="nil"/>
              <w:left w:val="nil"/>
              <w:bottom w:val="nil"/>
              <w:right w:val="nil"/>
            </w:tcBorders>
          </w:tcPr>
          <w:p w14:paraId="2541BA27" w14:textId="317DB292" w:rsidR="00122A90" w:rsidRPr="00CF04E0" w:rsidRDefault="00402B27" w:rsidP="00CF04E0">
            <w:pPr>
              <w:pStyle w:val="TableTextRight"/>
            </w:pPr>
            <w:r w:rsidRPr="00CF04E0">
              <w:noBreakHyphen/>
            </w:r>
            <w:r w:rsidR="00122A90" w:rsidRPr="00CF04E0">
              <w:t xml:space="preserve">929 </w:t>
            </w:r>
          </w:p>
        </w:tc>
        <w:tc>
          <w:tcPr>
            <w:tcW w:w="1690" w:type="dxa"/>
            <w:tcBorders>
              <w:top w:val="nil"/>
              <w:left w:val="nil"/>
              <w:bottom w:val="nil"/>
              <w:right w:val="nil"/>
            </w:tcBorders>
          </w:tcPr>
          <w:p w14:paraId="2DE1F08A" w14:textId="100AD0E3" w:rsidR="00090907" w:rsidRPr="00CF04E0" w:rsidRDefault="00402B27" w:rsidP="00CF04E0">
            <w:pPr>
              <w:pStyle w:val="TableTextRight"/>
              <w:rPr>
                <w:rFonts w:eastAsia="Calibri"/>
              </w:rPr>
            </w:pPr>
            <w:r w:rsidRPr="00CF04E0">
              <w:noBreakHyphen/>
            </w:r>
            <w:r w:rsidR="00090907" w:rsidRPr="00CF04E0">
              <w:t>125</w:t>
            </w:r>
            <w:r w:rsidR="00CF5FDF" w:rsidRPr="00CF04E0">
              <w:t xml:space="preserve"> </w:t>
            </w:r>
          </w:p>
        </w:tc>
        <w:tc>
          <w:tcPr>
            <w:tcW w:w="1843" w:type="dxa"/>
            <w:tcBorders>
              <w:top w:val="nil"/>
              <w:left w:val="nil"/>
              <w:bottom w:val="nil"/>
              <w:right w:val="single" w:sz="2" w:space="0" w:color="2C384A" w:themeColor="accent1"/>
            </w:tcBorders>
          </w:tcPr>
          <w:p w14:paraId="4FD5B4E6" w14:textId="2CE54B4C" w:rsidR="00090907" w:rsidRPr="00CF04E0" w:rsidRDefault="00402B27" w:rsidP="00CF04E0">
            <w:pPr>
              <w:pStyle w:val="TableTextRight"/>
              <w:rPr>
                <w:rFonts w:eastAsia="Calibri"/>
              </w:rPr>
            </w:pPr>
            <w:r w:rsidRPr="00CF04E0">
              <w:noBreakHyphen/>
            </w:r>
            <w:r w:rsidR="00090907" w:rsidRPr="00CF04E0">
              <w:t>804</w:t>
            </w:r>
            <w:r w:rsidR="00CF5FDF" w:rsidRPr="00CF04E0">
              <w:t xml:space="preserve"> </w:t>
            </w:r>
          </w:p>
        </w:tc>
      </w:tr>
      <w:tr w:rsidR="00090907" w:rsidRPr="00090907" w14:paraId="323B69FC" w14:textId="77777777" w:rsidTr="00E61525">
        <w:trPr>
          <w:trHeight w:val="256"/>
          <w:jc w:val="center"/>
        </w:trPr>
        <w:tc>
          <w:tcPr>
            <w:tcW w:w="1287" w:type="dxa"/>
            <w:tcBorders>
              <w:top w:val="nil"/>
              <w:left w:val="single" w:sz="2" w:space="0" w:color="2C384A" w:themeColor="accent1"/>
              <w:bottom w:val="nil"/>
              <w:right w:val="nil"/>
            </w:tcBorders>
          </w:tcPr>
          <w:p w14:paraId="24168327" w14:textId="29C5DB18" w:rsidR="00090907" w:rsidRPr="00CF04E0" w:rsidRDefault="00090907" w:rsidP="00CF04E0">
            <w:pPr>
              <w:pStyle w:val="TableTextRight"/>
              <w:rPr>
                <w:rFonts w:eastAsia="Calibri"/>
              </w:rPr>
            </w:pPr>
            <w:r w:rsidRPr="00CF04E0">
              <w:t>60,000</w:t>
            </w:r>
          </w:p>
        </w:tc>
        <w:tc>
          <w:tcPr>
            <w:tcW w:w="1690" w:type="dxa"/>
            <w:tcBorders>
              <w:top w:val="nil"/>
              <w:left w:val="nil"/>
              <w:bottom w:val="nil"/>
              <w:right w:val="nil"/>
            </w:tcBorders>
          </w:tcPr>
          <w:p w14:paraId="6D65A06E" w14:textId="0498908C" w:rsidR="00122A90" w:rsidRPr="00CF04E0" w:rsidRDefault="00402B27" w:rsidP="00CF04E0">
            <w:pPr>
              <w:pStyle w:val="TableTextRight"/>
            </w:pPr>
            <w:r w:rsidRPr="00CF04E0">
              <w:noBreakHyphen/>
            </w:r>
            <w:r w:rsidR="00122A90" w:rsidRPr="00CF04E0">
              <w:t xml:space="preserve">1,179 </w:t>
            </w:r>
          </w:p>
        </w:tc>
        <w:tc>
          <w:tcPr>
            <w:tcW w:w="1690" w:type="dxa"/>
            <w:tcBorders>
              <w:top w:val="nil"/>
              <w:left w:val="nil"/>
              <w:bottom w:val="nil"/>
              <w:right w:val="nil"/>
            </w:tcBorders>
          </w:tcPr>
          <w:p w14:paraId="0EB231DC" w14:textId="22D30B78" w:rsidR="00090907" w:rsidRPr="00CF04E0" w:rsidRDefault="00402B27" w:rsidP="00CF04E0">
            <w:pPr>
              <w:pStyle w:val="TableTextRight"/>
              <w:rPr>
                <w:rFonts w:eastAsia="Calibri"/>
              </w:rPr>
            </w:pPr>
            <w:r w:rsidRPr="00CF04E0">
              <w:noBreakHyphen/>
            </w:r>
            <w:r w:rsidR="00090907" w:rsidRPr="00CF04E0">
              <w:t>375</w:t>
            </w:r>
            <w:r w:rsidR="00CF5FDF" w:rsidRPr="00CF04E0">
              <w:t xml:space="preserve"> </w:t>
            </w:r>
          </w:p>
        </w:tc>
        <w:tc>
          <w:tcPr>
            <w:tcW w:w="1843" w:type="dxa"/>
            <w:tcBorders>
              <w:top w:val="nil"/>
              <w:left w:val="nil"/>
              <w:bottom w:val="nil"/>
              <w:right w:val="single" w:sz="2" w:space="0" w:color="2C384A" w:themeColor="accent1"/>
            </w:tcBorders>
          </w:tcPr>
          <w:p w14:paraId="652F6B5C" w14:textId="63460911" w:rsidR="00090907" w:rsidRPr="00CF04E0" w:rsidRDefault="00402B27" w:rsidP="00CF04E0">
            <w:pPr>
              <w:pStyle w:val="TableTextRight"/>
              <w:rPr>
                <w:rFonts w:eastAsia="Calibri"/>
              </w:rPr>
            </w:pPr>
            <w:r w:rsidRPr="00CF04E0">
              <w:noBreakHyphen/>
            </w:r>
            <w:r w:rsidR="00090907" w:rsidRPr="00CF04E0">
              <w:t>804</w:t>
            </w:r>
            <w:r w:rsidR="00CF5FDF" w:rsidRPr="00CF04E0">
              <w:t xml:space="preserve"> </w:t>
            </w:r>
          </w:p>
        </w:tc>
      </w:tr>
      <w:tr w:rsidR="00090907" w:rsidRPr="00090907" w14:paraId="5154FF3A" w14:textId="77777777" w:rsidTr="00E61525">
        <w:trPr>
          <w:trHeight w:val="271"/>
          <w:jc w:val="center"/>
        </w:trPr>
        <w:tc>
          <w:tcPr>
            <w:tcW w:w="1287" w:type="dxa"/>
            <w:tcBorders>
              <w:top w:val="nil"/>
              <w:left w:val="single" w:sz="2" w:space="0" w:color="2C384A" w:themeColor="accent1"/>
              <w:bottom w:val="nil"/>
              <w:right w:val="nil"/>
            </w:tcBorders>
          </w:tcPr>
          <w:p w14:paraId="2C5DC250" w14:textId="6E7C9FFB" w:rsidR="00090907" w:rsidRPr="00CF04E0" w:rsidRDefault="00090907" w:rsidP="00CF04E0">
            <w:pPr>
              <w:pStyle w:val="TableTextRight"/>
              <w:rPr>
                <w:rFonts w:eastAsia="Calibri"/>
              </w:rPr>
            </w:pPr>
            <w:r w:rsidRPr="00CF04E0">
              <w:t>70,000</w:t>
            </w:r>
          </w:p>
        </w:tc>
        <w:tc>
          <w:tcPr>
            <w:tcW w:w="1690" w:type="dxa"/>
            <w:tcBorders>
              <w:top w:val="nil"/>
              <w:left w:val="nil"/>
              <w:bottom w:val="nil"/>
              <w:right w:val="nil"/>
            </w:tcBorders>
          </w:tcPr>
          <w:p w14:paraId="3A189635" w14:textId="1762BF01" w:rsidR="00122A90" w:rsidRPr="00CF04E0" w:rsidRDefault="00402B27" w:rsidP="00CF04E0">
            <w:pPr>
              <w:pStyle w:val="TableTextRight"/>
            </w:pPr>
            <w:r w:rsidRPr="00CF04E0">
              <w:noBreakHyphen/>
            </w:r>
            <w:r w:rsidR="00122A90" w:rsidRPr="00CF04E0">
              <w:t xml:space="preserve">1,429 </w:t>
            </w:r>
          </w:p>
        </w:tc>
        <w:tc>
          <w:tcPr>
            <w:tcW w:w="1690" w:type="dxa"/>
            <w:tcBorders>
              <w:top w:val="nil"/>
              <w:left w:val="nil"/>
              <w:bottom w:val="nil"/>
              <w:right w:val="nil"/>
            </w:tcBorders>
          </w:tcPr>
          <w:p w14:paraId="23F441C5" w14:textId="1FE8A41E" w:rsidR="00090907" w:rsidRPr="00CF04E0" w:rsidRDefault="00402B27" w:rsidP="00CF04E0">
            <w:pPr>
              <w:pStyle w:val="TableTextRight"/>
              <w:rPr>
                <w:rFonts w:eastAsia="Calibri"/>
              </w:rPr>
            </w:pPr>
            <w:r w:rsidRPr="00CF04E0">
              <w:noBreakHyphen/>
            </w:r>
            <w:r w:rsidR="00090907" w:rsidRPr="00CF04E0">
              <w:t>625</w:t>
            </w:r>
            <w:r w:rsidR="00CF5FDF" w:rsidRPr="00CF04E0">
              <w:t xml:space="preserve"> </w:t>
            </w:r>
          </w:p>
        </w:tc>
        <w:tc>
          <w:tcPr>
            <w:tcW w:w="1843" w:type="dxa"/>
            <w:tcBorders>
              <w:top w:val="nil"/>
              <w:left w:val="nil"/>
              <w:bottom w:val="nil"/>
              <w:right w:val="single" w:sz="2" w:space="0" w:color="2C384A" w:themeColor="accent1"/>
            </w:tcBorders>
          </w:tcPr>
          <w:p w14:paraId="6C8BD9B6" w14:textId="2CC1B1AA" w:rsidR="00090907" w:rsidRPr="00CF04E0" w:rsidRDefault="00402B27" w:rsidP="00CF04E0">
            <w:pPr>
              <w:pStyle w:val="TableTextRight"/>
              <w:rPr>
                <w:rFonts w:eastAsia="Calibri"/>
              </w:rPr>
            </w:pPr>
            <w:r w:rsidRPr="00CF04E0">
              <w:noBreakHyphen/>
            </w:r>
            <w:r w:rsidR="00090907" w:rsidRPr="00CF04E0">
              <w:t>804</w:t>
            </w:r>
            <w:r w:rsidR="00CF5FDF" w:rsidRPr="00CF04E0">
              <w:t xml:space="preserve"> </w:t>
            </w:r>
          </w:p>
        </w:tc>
      </w:tr>
      <w:tr w:rsidR="00090907" w:rsidRPr="00090907" w14:paraId="575C7D72" w14:textId="77777777" w:rsidTr="00E61525">
        <w:trPr>
          <w:trHeight w:val="271"/>
          <w:jc w:val="center"/>
        </w:trPr>
        <w:tc>
          <w:tcPr>
            <w:tcW w:w="1287" w:type="dxa"/>
            <w:tcBorders>
              <w:top w:val="nil"/>
              <w:left w:val="single" w:sz="2" w:space="0" w:color="2C384A" w:themeColor="accent1"/>
              <w:bottom w:val="nil"/>
              <w:right w:val="nil"/>
            </w:tcBorders>
          </w:tcPr>
          <w:p w14:paraId="44D03B9F" w14:textId="1A3A145B" w:rsidR="00090907" w:rsidRPr="00CF04E0" w:rsidRDefault="00090907" w:rsidP="00CF04E0">
            <w:pPr>
              <w:pStyle w:val="TableTextRight"/>
              <w:rPr>
                <w:rFonts w:eastAsia="Calibri"/>
              </w:rPr>
            </w:pPr>
            <w:r w:rsidRPr="00CF04E0">
              <w:t>80,000</w:t>
            </w:r>
          </w:p>
        </w:tc>
        <w:tc>
          <w:tcPr>
            <w:tcW w:w="1690" w:type="dxa"/>
            <w:tcBorders>
              <w:top w:val="nil"/>
              <w:left w:val="nil"/>
              <w:bottom w:val="nil"/>
              <w:right w:val="nil"/>
            </w:tcBorders>
          </w:tcPr>
          <w:p w14:paraId="03DC5DC1" w14:textId="5796881F" w:rsidR="00122A90" w:rsidRPr="00CF04E0" w:rsidRDefault="00402B27" w:rsidP="00CF04E0">
            <w:pPr>
              <w:pStyle w:val="TableTextRight"/>
            </w:pPr>
            <w:r w:rsidRPr="00CF04E0">
              <w:noBreakHyphen/>
            </w:r>
            <w:r w:rsidR="00122A90" w:rsidRPr="00CF04E0">
              <w:t xml:space="preserve">1,679 </w:t>
            </w:r>
          </w:p>
        </w:tc>
        <w:tc>
          <w:tcPr>
            <w:tcW w:w="1690" w:type="dxa"/>
            <w:tcBorders>
              <w:top w:val="nil"/>
              <w:left w:val="nil"/>
              <w:bottom w:val="nil"/>
              <w:right w:val="nil"/>
            </w:tcBorders>
          </w:tcPr>
          <w:p w14:paraId="038C1DA7" w14:textId="687CE683" w:rsidR="00090907" w:rsidRPr="00CF04E0" w:rsidRDefault="00402B27" w:rsidP="00CF04E0">
            <w:pPr>
              <w:pStyle w:val="TableTextRight"/>
              <w:rPr>
                <w:rFonts w:eastAsia="Calibri"/>
              </w:rPr>
            </w:pPr>
            <w:r w:rsidRPr="00CF04E0">
              <w:noBreakHyphen/>
            </w:r>
            <w:r w:rsidR="00090907" w:rsidRPr="00CF04E0">
              <w:t>875</w:t>
            </w:r>
            <w:r w:rsidR="00CF5FDF" w:rsidRPr="00CF04E0">
              <w:t xml:space="preserve"> </w:t>
            </w:r>
          </w:p>
        </w:tc>
        <w:tc>
          <w:tcPr>
            <w:tcW w:w="1843" w:type="dxa"/>
            <w:tcBorders>
              <w:top w:val="nil"/>
              <w:left w:val="nil"/>
              <w:bottom w:val="nil"/>
              <w:right w:val="single" w:sz="2" w:space="0" w:color="2C384A" w:themeColor="accent1"/>
            </w:tcBorders>
          </w:tcPr>
          <w:p w14:paraId="315A4FCF" w14:textId="25B96837" w:rsidR="00090907" w:rsidRPr="00CF04E0" w:rsidRDefault="00402B27" w:rsidP="00CF04E0">
            <w:pPr>
              <w:pStyle w:val="TableTextRight"/>
              <w:rPr>
                <w:rFonts w:eastAsia="Calibri"/>
              </w:rPr>
            </w:pPr>
            <w:r w:rsidRPr="00CF04E0">
              <w:noBreakHyphen/>
            </w:r>
            <w:r w:rsidR="00090907" w:rsidRPr="00CF04E0">
              <w:t>804</w:t>
            </w:r>
            <w:r w:rsidR="00CF5FDF" w:rsidRPr="00CF04E0">
              <w:t xml:space="preserve"> </w:t>
            </w:r>
          </w:p>
        </w:tc>
      </w:tr>
      <w:tr w:rsidR="00090907" w:rsidRPr="00090907" w14:paraId="5B2AF12F" w14:textId="77777777" w:rsidTr="00E61525">
        <w:trPr>
          <w:trHeight w:val="271"/>
          <w:jc w:val="center"/>
        </w:trPr>
        <w:tc>
          <w:tcPr>
            <w:tcW w:w="1287" w:type="dxa"/>
            <w:tcBorders>
              <w:top w:val="nil"/>
              <w:left w:val="single" w:sz="2" w:space="0" w:color="2C384A" w:themeColor="accent1"/>
              <w:bottom w:val="nil"/>
              <w:right w:val="nil"/>
            </w:tcBorders>
          </w:tcPr>
          <w:p w14:paraId="124565BE" w14:textId="18D108A9" w:rsidR="00090907" w:rsidRPr="00CF04E0" w:rsidRDefault="00090907" w:rsidP="00CF04E0">
            <w:pPr>
              <w:pStyle w:val="TableTextRight"/>
              <w:rPr>
                <w:rFonts w:eastAsia="Calibri"/>
              </w:rPr>
            </w:pPr>
            <w:r w:rsidRPr="00CF04E0">
              <w:t>90,000</w:t>
            </w:r>
          </w:p>
        </w:tc>
        <w:tc>
          <w:tcPr>
            <w:tcW w:w="1690" w:type="dxa"/>
            <w:tcBorders>
              <w:top w:val="nil"/>
              <w:left w:val="nil"/>
              <w:bottom w:val="nil"/>
              <w:right w:val="nil"/>
            </w:tcBorders>
          </w:tcPr>
          <w:p w14:paraId="37967A88" w14:textId="2A301D42" w:rsidR="00122A90" w:rsidRPr="00CF04E0" w:rsidRDefault="00402B27" w:rsidP="00CF04E0">
            <w:pPr>
              <w:pStyle w:val="TableTextRight"/>
            </w:pPr>
            <w:r w:rsidRPr="00CF04E0">
              <w:noBreakHyphen/>
            </w:r>
            <w:r w:rsidR="00122A90" w:rsidRPr="00CF04E0">
              <w:t xml:space="preserve">1,929 </w:t>
            </w:r>
          </w:p>
        </w:tc>
        <w:tc>
          <w:tcPr>
            <w:tcW w:w="1690" w:type="dxa"/>
            <w:tcBorders>
              <w:top w:val="nil"/>
              <w:left w:val="nil"/>
              <w:bottom w:val="nil"/>
              <w:right w:val="nil"/>
            </w:tcBorders>
          </w:tcPr>
          <w:p w14:paraId="0B5CF003" w14:textId="17EF3128" w:rsidR="00090907" w:rsidRPr="00CF04E0" w:rsidRDefault="00402B27" w:rsidP="00CF04E0">
            <w:pPr>
              <w:pStyle w:val="TableTextRight"/>
              <w:rPr>
                <w:rFonts w:eastAsia="Calibri"/>
              </w:rPr>
            </w:pPr>
            <w:r w:rsidRPr="00CF04E0">
              <w:noBreakHyphen/>
            </w:r>
            <w:r w:rsidR="00090907" w:rsidRPr="00CF04E0">
              <w:t>1,125</w:t>
            </w:r>
            <w:r w:rsidR="00CF5FDF" w:rsidRPr="00CF04E0">
              <w:t xml:space="preserve"> </w:t>
            </w:r>
          </w:p>
        </w:tc>
        <w:tc>
          <w:tcPr>
            <w:tcW w:w="1843" w:type="dxa"/>
            <w:tcBorders>
              <w:top w:val="nil"/>
              <w:left w:val="nil"/>
              <w:bottom w:val="nil"/>
              <w:right w:val="single" w:sz="2" w:space="0" w:color="2C384A" w:themeColor="accent1"/>
            </w:tcBorders>
          </w:tcPr>
          <w:p w14:paraId="0770493B" w14:textId="29637435" w:rsidR="00090907" w:rsidRPr="00CF04E0" w:rsidRDefault="00402B27" w:rsidP="00CF04E0">
            <w:pPr>
              <w:pStyle w:val="TableTextRight"/>
              <w:rPr>
                <w:rFonts w:eastAsia="Calibri"/>
              </w:rPr>
            </w:pPr>
            <w:r w:rsidRPr="00CF04E0">
              <w:noBreakHyphen/>
            </w:r>
            <w:r w:rsidR="00090907" w:rsidRPr="00CF04E0">
              <w:t>804</w:t>
            </w:r>
            <w:r w:rsidR="00CF5FDF" w:rsidRPr="00CF04E0">
              <w:t xml:space="preserve"> </w:t>
            </w:r>
          </w:p>
        </w:tc>
      </w:tr>
      <w:tr w:rsidR="00090907" w:rsidRPr="00090907" w14:paraId="781B814D" w14:textId="77777777" w:rsidTr="00E61525">
        <w:trPr>
          <w:trHeight w:val="271"/>
          <w:jc w:val="center"/>
        </w:trPr>
        <w:tc>
          <w:tcPr>
            <w:tcW w:w="1287" w:type="dxa"/>
            <w:tcBorders>
              <w:top w:val="nil"/>
              <w:left w:val="single" w:sz="2" w:space="0" w:color="2C384A" w:themeColor="accent1"/>
              <w:bottom w:val="nil"/>
              <w:right w:val="nil"/>
            </w:tcBorders>
          </w:tcPr>
          <w:p w14:paraId="1973706B" w14:textId="4DCD944F" w:rsidR="00090907" w:rsidRPr="00CF04E0" w:rsidRDefault="00090907" w:rsidP="00CF04E0">
            <w:pPr>
              <w:pStyle w:val="TableTextRight"/>
              <w:rPr>
                <w:rFonts w:eastAsia="Calibri"/>
              </w:rPr>
            </w:pPr>
            <w:r w:rsidRPr="00CF04E0">
              <w:t>100,00</w:t>
            </w:r>
            <w:r w:rsidR="0E725052" w:rsidRPr="00CF04E0">
              <w:t>0</w:t>
            </w:r>
          </w:p>
        </w:tc>
        <w:tc>
          <w:tcPr>
            <w:tcW w:w="1690" w:type="dxa"/>
            <w:tcBorders>
              <w:top w:val="nil"/>
              <w:left w:val="nil"/>
              <w:bottom w:val="nil"/>
              <w:right w:val="nil"/>
            </w:tcBorders>
          </w:tcPr>
          <w:p w14:paraId="0E9B922F" w14:textId="7FA83B51" w:rsidR="00122A90" w:rsidRPr="00CF04E0" w:rsidRDefault="00402B27" w:rsidP="00CF04E0">
            <w:pPr>
              <w:pStyle w:val="TableTextRight"/>
            </w:pPr>
            <w:r w:rsidRPr="00CF04E0">
              <w:noBreakHyphen/>
            </w:r>
            <w:r w:rsidR="00122A90" w:rsidRPr="00CF04E0">
              <w:t xml:space="preserve">2,179 </w:t>
            </w:r>
          </w:p>
        </w:tc>
        <w:tc>
          <w:tcPr>
            <w:tcW w:w="1690" w:type="dxa"/>
            <w:tcBorders>
              <w:top w:val="nil"/>
              <w:left w:val="nil"/>
              <w:bottom w:val="nil"/>
              <w:right w:val="nil"/>
            </w:tcBorders>
          </w:tcPr>
          <w:p w14:paraId="7CAC7243" w14:textId="23AAAA64" w:rsidR="00090907" w:rsidRPr="00CF04E0" w:rsidRDefault="00402B27" w:rsidP="00CF04E0">
            <w:pPr>
              <w:pStyle w:val="TableTextRight"/>
              <w:rPr>
                <w:rFonts w:eastAsia="Calibri"/>
              </w:rPr>
            </w:pPr>
            <w:r w:rsidRPr="00CF04E0">
              <w:noBreakHyphen/>
            </w:r>
            <w:r w:rsidR="00090907" w:rsidRPr="00CF04E0">
              <w:t>1,375</w:t>
            </w:r>
            <w:r w:rsidR="00CF5FDF" w:rsidRPr="00CF04E0">
              <w:t xml:space="preserve"> </w:t>
            </w:r>
          </w:p>
        </w:tc>
        <w:tc>
          <w:tcPr>
            <w:tcW w:w="1843" w:type="dxa"/>
            <w:tcBorders>
              <w:top w:val="nil"/>
              <w:left w:val="nil"/>
              <w:bottom w:val="nil"/>
              <w:right w:val="single" w:sz="2" w:space="0" w:color="2C384A" w:themeColor="accent1"/>
            </w:tcBorders>
          </w:tcPr>
          <w:p w14:paraId="7EA879C9" w14:textId="68B5667C" w:rsidR="00090907" w:rsidRPr="00CF04E0" w:rsidRDefault="00402B27" w:rsidP="00CF04E0">
            <w:pPr>
              <w:pStyle w:val="TableTextRight"/>
              <w:rPr>
                <w:rFonts w:eastAsia="Calibri"/>
              </w:rPr>
            </w:pPr>
            <w:r w:rsidRPr="00CF04E0">
              <w:noBreakHyphen/>
            </w:r>
            <w:r w:rsidR="00090907" w:rsidRPr="00CF04E0">
              <w:t>804</w:t>
            </w:r>
            <w:r w:rsidR="00CF5FDF" w:rsidRPr="00CF04E0">
              <w:t xml:space="preserve"> </w:t>
            </w:r>
          </w:p>
        </w:tc>
      </w:tr>
      <w:tr w:rsidR="00090907" w:rsidRPr="00090907" w14:paraId="0C02AD3B" w14:textId="77777777" w:rsidTr="00E61525">
        <w:trPr>
          <w:trHeight w:val="271"/>
          <w:jc w:val="center"/>
        </w:trPr>
        <w:tc>
          <w:tcPr>
            <w:tcW w:w="1287" w:type="dxa"/>
            <w:tcBorders>
              <w:top w:val="nil"/>
              <w:left w:val="single" w:sz="2" w:space="0" w:color="2C384A" w:themeColor="accent1"/>
              <w:bottom w:val="nil"/>
              <w:right w:val="nil"/>
            </w:tcBorders>
          </w:tcPr>
          <w:p w14:paraId="523C5245" w14:textId="45197FE3" w:rsidR="00090907" w:rsidRPr="00CF04E0" w:rsidRDefault="00090907" w:rsidP="00CF04E0">
            <w:pPr>
              <w:pStyle w:val="TableTextRight"/>
              <w:rPr>
                <w:rFonts w:eastAsia="Calibri"/>
              </w:rPr>
            </w:pPr>
            <w:r w:rsidRPr="00CF04E0">
              <w:t>110,000</w:t>
            </w:r>
          </w:p>
        </w:tc>
        <w:tc>
          <w:tcPr>
            <w:tcW w:w="1690" w:type="dxa"/>
            <w:tcBorders>
              <w:top w:val="nil"/>
              <w:left w:val="nil"/>
              <w:bottom w:val="nil"/>
              <w:right w:val="nil"/>
            </w:tcBorders>
          </w:tcPr>
          <w:p w14:paraId="1AEB1776" w14:textId="61A528B7" w:rsidR="00122A90" w:rsidRPr="00CF04E0" w:rsidRDefault="00402B27" w:rsidP="00CF04E0">
            <w:pPr>
              <w:pStyle w:val="TableTextRight"/>
            </w:pPr>
            <w:r w:rsidRPr="00CF04E0">
              <w:noBreakHyphen/>
            </w:r>
            <w:r w:rsidR="00122A90" w:rsidRPr="00CF04E0">
              <w:t xml:space="preserve">2,429 </w:t>
            </w:r>
          </w:p>
        </w:tc>
        <w:tc>
          <w:tcPr>
            <w:tcW w:w="1690" w:type="dxa"/>
            <w:tcBorders>
              <w:top w:val="nil"/>
              <w:left w:val="nil"/>
              <w:bottom w:val="nil"/>
              <w:right w:val="nil"/>
            </w:tcBorders>
          </w:tcPr>
          <w:p w14:paraId="6F2CFF19" w14:textId="66021E0F" w:rsidR="00090907" w:rsidRPr="00CF04E0" w:rsidRDefault="00402B27" w:rsidP="00CF04E0">
            <w:pPr>
              <w:pStyle w:val="TableTextRight"/>
              <w:rPr>
                <w:rFonts w:eastAsia="Calibri"/>
              </w:rPr>
            </w:pPr>
            <w:r w:rsidRPr="00CF04E0">
              <w:noBreakHyphen/>
            </w:r>
            <w:r w:rsidR="00090907" w:rsidRPr="00CF04E0">
              <w:t>1,625</w:t>
            </w:r>
            <w:r w:rsidR="00CF5FDF" w:rsidRPr="00CF04E0">
              <w:t xml:space="preserve"> </w:t>
            </w:r>
          </w:p>
        </w:tc>
        <w:tc>
          <w:tcPr>
            <w:tcW w:w="1843" w:type="dxa"/>
            <w:tcBorders>
              <w:top w:val="nil"/>
              <w:left w:val="nil"/>
              <w:bottom w:val="nil"/>
              <w:right w:val="single" w:sz="2" w:space="0" w:color="2C384A" w:themeColor="accent1"/>
            </w:tcBorders>
          </w:tcPr>
          <w:p w14:paraId="2C4360B6" w14:textId="3C21519E" w:rsidR="00090907" w:rsidRPr="00CF04E0" w:rsidRDefault="00402B27" w:rsidP="00CF04E0">
            <w:pPr>
              <w:pStyle w:val="TableTextRight"/>
              <w:rPr>
                <w:rFonts w:eastAsia="Calibri"/>
              </w:rPr>
            </w:pPr>
            <w:r w:rsidRPr="00CF04E0">
              <w:noBreakHyphen/>
            </w:r>
            <w:r w:rsidR="00090907" w:rsidRPr="00CF04E0">
              <w:t>804</w:t>
            </w:r>
            <w:r w:rsidR="00CF5FDF" w:rsidRPr="00CF04E0">
              <w:t xml:space="preserve"> </w:t>
            </w:r>
          </w:p>
        </w:tc>
      </w:tr>
      <w:tr w:rsidR="00090907" w:rsidRPr="00090907" w14:paraId="6A2C1551" w14:textId="77777777" w:rsidTr="00E61525">
        <w:trPr>
          <w:trHeight w:val="271"/>
          <w:jc w:val="center"/>
        </w:trPr>
        <w:tc>
          <w:tcPr>
            <w:tcW w:w="1287" w:type="dxa"/>
            <w:tcBorders>
              <w:top w:val="nil"/>
              <w:left w:val="single" w:sz="2" w:space="0" w:color="2C384A" w:themeColor="accent1"/>
              <w:bottom w:val="nil"/>
              <w:right w:val="nil"/>
            </w:tcBorders>
          </w:tcPr>
          <w:p w14:paraId="5DBC6E8C" w14:textId="7C647A86" w:rsidR="00090907" w:rsidRPr="00CF04E0" w:rsidRDefault="00090907" w:rsidP="00CF04E0">
            <w:pPr>
              <w:pStyle w:val="TableTextRight"/>
              <w:rPr>
                <w:rFonts w:eastAsia="Calibri"/>
              </w:rPr>
            </w:pPr>
            <w:r w:rsidRPr="00CF04E0">
              <w:t>120,000</w:t>
            </w:r>
          </w:p>
        </w:tc>
        <w:tc>
          <w:tcPr>
            <w:tcW w:w="1690" w:type="dxa"/>
            <w:tcBorders>
              <w:top w:val="nil"/>
              <w:left w:val="nil"/>
              <w:bottom w:val="nil"/>
              <w:right w:val="nil"/>
            </w:tcBorders>
          </w:tcPr>
          <w:p w14:paraId="034375F4" w14:textId="209722A1" w:rsidR="00122A90" w:rsidRPr="00CF04E0" w:rsidRDefault="00402B27" w:rsidP="00CF04E0">
            <w:pPr>
              <w:pStyle w:val="TableTextRight"/>
            </w:pPr>
            <w:r w:rsidRPr="00CF04E0">
              <w:noBreakHyphen/>
            </w:r>
            <w:r w:rsidR="00122A90" w:rsidRPr="00CF04E0">
              <w:t xml:space="preserve">2,679 </w:t>
            </w:r>
          </w:p>
        </w:tc>
        <w:tc>
          <w:tcPr>
            <w:tcW w:w="1690" w:type="dxa"/>
            <w:tcBorders>
              <w:top w:val="nil"/>
              <w:left w:val="nil"/>
              <w:bottom w:val="nil"/>
              <w:right w:val="nil"/>
            </w:tcBorders>
          </w:tcPr>
          <w:p w14:paraId="20E9E0F4" w14:textId="79575B00" w:rsidR="00090907" w:rsidRPr="00CF04E0" w:rsidRDefault="00402B27" w:rsidP="00CF04E0">
            <w:pPr>
              <w:pStyle w:val="TableTextRight"/>
              <w:rPr>
                <w:rFonts w:eastAsia="Calibri"/>
              </w:rPr>
            </w:pPr>
            <w:r w:rsidRPr="00CF04E0">
              <w:noBreakHyphen/>
            </w:r>
            <w:r w:rsidR="00090907" w:rsidRPr="00CF04E0">
              <w:t>1,875</w:t>
            </w:r>
            <w:r w:rsidR="00CF5FDF" w:rsidRPr="00CF04E0">
              <w:t xml:space="preserve"> </w:t>
            </w:r>
          </w:p>
        </w:tc>
        <w:tc>
          <w:tcPr>
            <w:tcW w:w="1843" w:type="dxa"/>
            <w:tcBorders>
              <w:top w:val="nil"/>
              <w:left w:val="nil"/>
              <w:bottom w:val="nil"/>
              <w:right w:val="single" w:sz="2" w:space="0" w:color="2C384A" w:themeColor="accent1"/>
            </w:tcBorders>
          </w:tcPr>
          <w:p w14:paraId="4767C04A" w14:textId="04DB17EB" w:rsidR="00090907" w:rsidRPr="00CF04E0" w:rsidRDefault="00402B27" w:rsidP="00CF04E0">
            <w:pPr>
              <w:pStyle w:val="TableTextRight"/>
              <w:rPr>
                <w:rFonts w:eastAsia="Calibri"/>
              </w:rPr>
            </w:pPr>
            <w:r w:rsidRPr="00CF04E0">
              <w:noBreakHyphen/>
            </w:r>
            <w:r w:rsidR="00090907" w:rsidRPr="00CF04E0">
              <w:t>804</w:t>
            </w:r>
            <w:r w:rsidR="00CF5FDF" w:rsidRPr="00CF04E0">
              <w:t xml:space="preserve"> </w:t>
            </w:r>
          </w:p>
        </w:tc>
      </w:tr>
      <w:tr w:rsidR="00090907" w:rsidRPr="00090907" w14:paraId="53BCB852" w14:textId="77777777" w:rsidTr="00E61525">
        <w:trPr>
          <w:trHeight w:val="271"/>
          <w:jc w:val="center"/>
        </w:trPr>
        <w:tc>
          <w:tcPr>
            <w:tcW w:w="1287" w:type="dxa"/>
            <w:tcBorders>
              <w:top w:val="nil"/>
              <w:left w:val="single" w:sz="2" w:space="0" w:color="2C384A" w:themeColor="accent1"/>
              <w:bottom w:val="nil"/>
              <w:right w:val="nil"/>
            </w:tcBorders>
          </w:tcPr>
          <w:p w14:paraId="383AAC81" w14:textId="2AD2FF2A" w:rsidR="00090907" w:rsidRPr="00CF04E0" w:rsidRDefault="00090907" w:rsidP="00CF04E0">
            <w:pPr>
              <w:pStyle w:val="TableTextRight"/>
              <w:rPr>
                <w:rFonts w:eastAsia="Calibri"/>
              </w:rPr>
            </w:pPr>
            <w:r w:rsidRPr="00CF04E0">
              <w:t>130,000</w:t>
            </w:r>
          </w:p>
        </w:tc>
        <w:tc>
          <w:tcPr>
            <w:tcW w:w="1690" w:type="dxa"/>
            <w:tcBorders>
              <w:top w:val="nil"/>
              <w:left w:val="nil"/>
              <w:bottom w:val="nil"/>
              <w:right w:val="nil"/>
            </w:tcBorders>
          </w:tcPr>
          <w:p w14:paraId="0D9E27C7" w14:textId="51938487" w:rsidR="00122A90" w:rsidRPr="00CF04E0" w:rsidRDefault="00402B27" w:rsidP="00CF04E0">
            <w:pPr>
              <w:pStyle w:val="TableTextRight"/>
            </w:pPr>
            <w:r w:rsidRPr="00CF04E0">
              <w:noBreakHyphen/>
            </w:r>
            <w:r w:rsidR="00122A90" w:rsidRPr="00CF04E0">
              <w:t xml:space="preserve">3,379 </w:t>
            </w:r>
          </w:p>
        </w:tc>
        <w:tc>
          <w:tcPr>
            <w:tcW w:w="1690" w:type="dxa"/>
            <w:tcBorders>
              <w:top w:val="nil"/>
              <w:left w:val="nil"/>
              <w:bottom w:val="nil"/>
              <w:right w:val="nil"/>
            </w:tcBorders>
          </w:tcPr>
          <w:p w14:paraId="3DF88FCE" w14:textId="536B5580" w:rsidR="00090907" w:rsidRPr="00CF04E0" w:rsidRDefault="00402B27" w:rsidP="00CF04E0">
            <w:pPr>
              <w:pStyle w:val="TableTextRight"/>
              <w:rPr>
                <w:rFonts w:eastAsia="Calibri"/>
              </w:rPr>
            </w:pPr>
            <w:r w:rsidRPr="00CF04E0">
              <w:noBreakHyphen/>
            </w:r>
            <w:r w:rsidR="00090907" w:rsidRPr="00CF04E0">
              <w:t>2,575</w:t>
            </w:r>
            <w:r w:rsidR="00CF5FDF" w:rsidRPr="00CF04E0">
              <w:t xml:space="preserve"> </w:t>
            </w:r>
          </w:p>
        </w:tc>
        <w:tc>
          <w:tcPr>
            <w:tcW w:w="1843" w:type="dxa"/>
            <w:tcBorders>
              <w:top w:val="nil"/>
              <w:left w:val="nil"/>
              <w:bottom w:val="nil"/>
              <w:right w:val="single" w:sz="2" w:space="0" w:color="2C384A" w:themeColor="accent1"/>
            </w:tcBorders>
          </w:tcPr>
          <w:p w14:paraId="03B19B7F" w14:textId="61F2FDBF" w:rsidR="00090907" w:rsidRPr="00CF04E0" w:rsidRDefault="00402B27" w:rsidP="00CF04E0">
            <w:pPr>
              <w:pStyle w:val="TableTextRight"/>
              <w:rPr>
                <w:rFonts w:eastAsia="Calibri"/>
              </w:rPr>
            </w:pPr>
            <w:r w:rsidRPr="00CF04E0">
              <w:noBreakHyphen/>
            </w:r>
            <w:r w:rsidR="00090907" w:rsidRPr="00CF04E0">
              <w:t>804</w:t>
            </w:r>
            <w:r w:rsidR="00CF5FDF" w:rsidRPr="00CF04E0">
              <w:t xml:space="preserve"> </w:t>
            </w:r>
          </w:p>
        </w:tc>
      </w:tr>
      <w:tr w:rsidR="00090907" w:rsidRPr="00090907" w14:paraId="31C3BE35" w14:textId="77777777" w:rsidTr="00E61525">
        <w:trPr>
          <w:trHeight w:val="271"/>
          <w:jc w:val="center"/>
        </w:trPr>
        <w:tc>
          <w:tcPr>
            <w:tcW w:w="1287" w:type="dxa"/>
            <w:tcBorders>
              <w:top w:val="nil"/>
              <w:left w:val="single" w:sz="2" w:space="0" w:color="2C384A" w:themeColor="accent1"/>
              <w:bottom w:val="nil"/>
              <w:right w:val="nil"/>
            </w:tcBorders>
          </w:tcPr>
          <w:p w14:paraId="09F8122F" w14:textId="5AB6E520" w:rsidR="00090907" w:rsidRPr="00CF04E0" w:rsidRDefault="00090907" w:rsidP="00CF04E0">
            <w:pPr>
              <w:pStyle w:val="TableTextRight"/>
              <w:rPr>
                <w:rFonts w:eastAsia="Calibri"/>
              </w:rPr>
            </w:pPr>
            <w:r w:rsidRPr="00CF04E0">
              <w:t>140,000</w:t>
            </w:r>
          </w:p>
        </w:tc>
        <w:tc>
          <w:tcPr>
            <w:tcW w:w="1690" w:type="dxa"/>
            <w:tcBorders>
              <w:top w:val="nil"/>
              <w:left w:val="nil"/>
              <w:bottom w:val="nil"/>
              <w:right w:val="nil"/>
            </w:tcBorders>
          </w:tcPr>
          <w:p w14:paraId="7F8CCC1C" w14:textId="32716870" w:rsidR="00122A90" w:rsidRPr="00CF04E0" w:rsidRDefault="00402B27" w:rsidP="00CF04E0">
            <w:pPr>
              <w:pStyle w:val="TableTextRight"/>
            </w:pPr>
            <w:r w:rsidRPr="00CF04E0">
              <w:noBreakHyphen/>
            </w:r>
            <w:r w:rsidR="00122A90" w:rsidRPr="00CF04E0">
              <w:t xml:space="preserve">3,729 </w:t>
            </w:r>
          </w:p>
        </w:tc>
        <w:tc>
          <w:tcPr>
            <w:tcW w:w="1690" w:type="dxa"/>
            <w:tcBorders>
              <w:top w:val="nil"/>
              <w:left w:val="nil"/>
              <w:bottom w:val="nil"/>
              <w:right w:val="nil"/>
            </w:tcBorders>
          </w:tcPr>
          <w:p w14:paraId="0CDE5A3D" w14:textId="4878A691" w:rsidR="00090907" w:rsidRPr="00CF04E0" w:rsidRDefault="00402B27" w:rsidP="00CF04E0">
            <w:pPr>
              <w:pStyle w:val="TableTextRight"/>
              <w:rPr>
                <w:rFonts w:eastAsia="Calibri"/>
              </w:rPr>
            </w:pPr>
            <w:r w:rsidRPr="00CF04E0">
              <w:noBreakHyphen/>
            </w:r>
            <w:r w:rsidR="00090907" w:rsidRPr="00CF04E0">
              <w:t>3,275</w:t>
            </w:r>
            <w:r w:rsidR="00CF5FDF" w:rsidRPr="00CF04E0">
              <w:t xml:space="preserve"> </w:t>
            </w:r>
          </w:p>
        </w:tc>
        <w:tc>
          <w:tcPr>
            <w:tcW w:w="1843" w:type="dxa"/>
            <w:tcBorders>
              <w:top w:val="nil"/>
              <w:left w:val="nil"/>
              <w:bottom w:val="nil"/>
              <w:right w:val="single" w:sz="2" w:space="0" w:color="2C384A" w:themeColor="accent1"/>
            </w:tcBorders>
          </w:tcPr>
          <w:p w14:paraId="49387C60" w14:textId="6D358502" w:rsidR="00090907" w:rsidRPr="00CF04E0" w:rsidRDefault="00402B27" w:rsidP="00CF04E0">
            <w:pPr>
              <w:pStyle w:val="TableTextRight"/>
              <w:rPr>
                <w:rFonts w:eastAsia="Calibri"/>
              </w:rPr>
            </w:pPr>
            <w:r w:rsidRPr="00CF04E0">
              <w:noBreakHyphen/>
            </w:r>
            <w:r w:rsidR="00CF5FDF" w:rsidRPr="00CF04E0">
              <w:t xml:space="preserve">454 </w:t>
            </w:r>
          </w:p>
        </w:tc>
      </w:tr>
      <w:tr w:rsidR="00090907" w:rsidRPr="00090907" w14:paraId="54B63563" w14:textId="77777777" w:rsidTr="00E61525">
        <w:trPr>
          <w:trHeight w:val="271"/>
          <w:jc w:val="center"/>
        </w:trPr>
        <w:tc>
          <w:tcPr>
            <w:tcW w:w="1287" w:type="dxa"/>
            <w:tcBorders>
              <w:top w:val="nil"/>
              <w:left w:val="single" w:sz="2" w:space="0" w:color="2C384A" w:themeColor="accent1"/>
              <w:bottom w:val="nil"/>
              <w:right w:val="nil"/>
            </w:tcBorders>
          </w:tcPr>
          <w:p w14:paraId="3D64CFE5" w14:textId="76A7F8DA" w:rsidR="00090907" w:rsidRPr="00CF04E0" w:rsidRDefault="00090907" w:rsidP="00CF04E0">
            <w:pPr>
              <w:pStyle w:val="TableTextRight"/>
              <w:rPr>
                <w:rFonts w:eastAsia="Calibri"/>
              </w:rPr>
            </w:pPr>
            <w:r w:rsidRPr="00CF04E0">
              <w:t>150,000</w:t>
            </w:r>
          </w:p>
        </w:tc>
        <w:tc>
          <w:tcPr>
            <w:tcW w:w="1690" w:type="dxa"/>
            <w:tcBorders>
              <w:top w:val="nil"/>
              <w:left w:val="nil"/>
              <w:bottom w:val="nil"/>
              <w:right w:val="nil"/>
            </w:tcBorders>
          </w:tcPr>
          <w:p w14:paraId="4E88D594" w14:textId="64A62F3D" w:rsidR="00122A90" w:rsidRPr="00CF04E0" w:rsidRDefault="00402B27" w:rsidP="00CF04E0">
            <w:pPr>
              <w:pStyle w:val="TableTextRight"/>
            </w:pPr>
            <w:r w:rsidRPr="00CF04E0">
              <w:noBreakHyphen/>
            </w:r>
            <w:r w:rsidR="00122A90" w:rsidRPr="00CF04E0">
              <w:t xml:space="preserve">3,729 </w:t>
            </w:r>
          </w:p>
        </w:tc>
        <w:tc>
          <w:tcPr>
            <w:tcW w:w="1690" w:type="dxa"/>
            <w:tcBorders>
              <w:top w:val="nil"/>
              <w:left w:val="nil"/>
              <w:bottom w:val="nil"/>
              <w:right w:val="nil"/>
            </w:tcBorders>
          </w:tcPr>
          <w:p w14:paraId="5F885975" w14:textId="0180F56C" w:rsidR="00090907" w:rsidRPr="00CF04E0" w:rsidRDefault="00402B27" w:rsidP="00CF04E0">
            <w:pPr>
              <w:pStyle w:val="TableTextRight"/>
              <w:rPr>
                <w:rFonts w:eastAsia="Calibri"/>
              </w:rPr>
            </w:pPr>
            <w:r w:rsidRPr="00CF04E0">
              <w:noBreakHyphen/>
            </w:r>
            <w:r w:rsidR="00090907" w:rsidRPr="00CF04E0">
              <w:t>3,975</w:t>
            </w:r>
            <w:r w:rsidR="00CF5FDF" w:rsidRPr="00CF04E0">
              <w:t xml:space="preserve"> </w:t>
            </w:r>
          </w:p>
        </w:tc>
        <w:tc>
          <w:tcPr>
            <w:tcW w:w="1843" w:type="dxa"/>
            <w:tcBorders>
              <w:top w:val="nil"/>
              <w:left w:val="nil"/>
              <w:bottom w:val="nil"/>
              <w:right w:val="single" w:sz="2" w:space="0" w:color="2C384A" w:themeColor="accent1"/>
            </w:tcBorders>
          </w:tcPr>
          <w:p w14:paraId="0CDCD278" w14:textId="764E2EF4" w:rsidR="00090907" w:rsidRPr="00CF04E0" w:rsidRDefault="00CF5FDF" w:rsidP="00CF04E0">
            <w:pPr>
              <w:pStyle w:val="TableTextRight"/>
              <w:rPr>
                <w:rFonts w:eastAsia="Calibri"/>
              </w:rPr>
            </w:pPr>
            <w:r w:rsidRPr="00CF04E0">
              <w:t xml:space="preserve"> 246 </w:t>
            </w:r>
          </w:p>
        </w:tc>
      </w:tr>
      <w:tr w:rsidR="00090907" w:rsidRPr="00090907" w14:paraId="5B104FAD" w14:textId="77777777" w:rsidTr="00E61525">
        <w:trPr>
          <w:trHeight w:val="271"/>
          <w:jc w:val="center"/>
        </w:trPr>
        <w:tc>
          <w:tcPr>
            <w:tcW w:w="1287" w:type="dxa"/>
            <w:tcBorders>
              <w:top w:val="nil"/>
              <w:left w:val="single" w:sz="2" w:space="0" w:color="2C384A" w:themeColor="accent1"/>
              <w:bottom w:val="nil"/>
              <w:right w:val="nil"/>
            </w:tcBorders>
          </w:tcPr>
          <w:p w14:paraId="6D2AF9B8" w14:textId="43CA0AF2" w:rsidR="00090907" w:rsidRPr="00CF04E0" w:rsidRDefault="00090907" w:rsidP="00CF04E0">
            <w:pPr>
              <w:pStyle w:val="TableTextRight"/>
              <w:rPr>
                <w:rFonts w:eastAsia="Calibri"/>
              </w:rPr>
            </w:pPr>
            <w:r w:rsidRPr="00CF04E0">
              <w:t>160,000</w:t>
            </w:r>
          </w:p>
        </w:tc>
        <w:tc>
          <w:tcPr>
            <w:tcW w:w="1690" w:type="dxa"/>
            <w:tcBorders>
              <w:top w:val="nil"/>
              <w:left w:val="nil"/>
              <w:bottom w:val="nil"/>
              <w:right w:val="nil"/>
            </w:tcBorders>
          </w:tcPr>
          <w:p w14:paraId="00BD1D4E" w14:textId="6AB88148" w:rsidR="00122A90" w:rsidRPr="00CF04E0" w:rsidRDefault="00402B27" w:rsidP="00CF04E0">
            <w:pPr>
              <w:pStyle w:val="TableTextRight"/>
            </w:pPr>
            <w:r w:rsidRPr="00CF04E0">
              <w:noBreakHyphen/>
            </w:r>
            <w:r w:rsidR="00122A90" w:rsidRPr="00CF04E0">
              <w:t xml:space="preserve">3,729 </w:t>
            </w:r>
          </w:p>
        </w:tc>
        <w:tc>
          <w:tcPr>
            <w:tcW w:w="1690" w:type="dxa"/>
            <w:tcBorders>
              <w:top w:val="nil"/>
              <w:left w:val="nil"/>
              <w:bottom w:val="nil"/>
              <w:right w:val="nil"/>
            </w:tcBorders>
          </w:tcPr>
          <w:p w14:paraId="24BAF11F" w14:textId="39CFDD60" w:rsidR="00090907" w:rsidRPr="00CF04E0" w:rsidRDefault="00402B27" w:rsidP="00CF04E0">
            <w:pPr>
              <w:pStyle w:val="TableTextRight"/>
              <w:rPr>
                <w:rFonts w:eastAsia="Calibri"/>
              </w:rPr>
            </w:pPr>
            <w:r w:rsidRPr="00CF04E0">
              <w:noBreakHyphen/>
            </w:r>
            <w:r w:rsidR="00090907" w:rsidRPr="00CF04E0">
              <w:t>4,675</w:t>
            </w:r>
            <w:r w:rsidR="00CF5FDF" w:rsidRPr="00CF04E0">
              <w:t xml:space="preserve"> </w:t>
            </w:r>
          </w:p>
        </w:tc>
        <w:tc>
          <w:tcPr>
            <w:tcW w:w="1843" w:type="dxa"/>
            <w:tcBorders>
              <w:top w:val="nil"/>
              <w:left w:val="nil"/>
              <w:bottom w:val="nil"/>
              <w:right w:val="single" w:sz="2" w:space="0" w:color="2C384A" w:themeColor="accent1"/>
            </w:tcBorders>
          </w:tcPr>
          <w:p w14:paraId="32C0EDAE" w14:textId="0F79B722" w:rsidR="00090907" w:rsidRPr="00CF04E0" w:rsidRDefault="00CF5FDF" w:rsidP="00CF04E0">
            <w:pPr>
              <w:pStyle w:val="TableTextRight"/>
              <w:rPr>
                <w:rFonts w:eastAsia="Calibri"/>
              </w:rPr>
            </w:pPr>
            <w:r w:rsidRPr="00CF04E0">
              <w:t xml:space="preserve"> 946 </w:t>
            </w:r>
          </w:p>
        </w:tc>
      </w:tr>
      <w:tr w:rsidR="00090907" w:rsidRPr="00090907" w14:paraId="42A5F2C2" w14:textId="77777777" w:rsidTr="00E61525">
        <w:trPr>
          <w:trHeight w:val="256"/>
          <w:jc w:val="center"/>
        </w:trPr>
        <w:tc>
          <w:tcPr>
            <w:tcW w:w="1287" w:type="dxa"/>
            <w:tcBorders>
              <w:top w:val="nil"/>
              <w:left w:val="single" w:sz="2" w:space="0" w:color="2C384A" w:themeColor="accent1"/>
              <w:bottom w:val="nil"/>
              <w:right w:val="nil"/>
            </w:tcBorders>
          </w:tcPr>
          <w:p w14:paraId="1BCD95CA" w14:textId="02A5C582" w:rsidR="00090907" w:rsidRPr="00CF04E0" w:rsidRDefault="00090907" w:rsidP="00CF04E0">
            <w:pPr>
              <w:pStyle w:val="TableTextRight"/>
              <w:rPr>
                <w:rFonts w:eastAsia="Calibri"/>
              </w:rPr>
            </w:pPr>
            <w:r w:rsidRPr="00CF04E0">
              <w:t>170,000</w:t>
            </w:r>
          </w:p>
        </w:tc>
        <w:tc>
          <w:tcPr>
            <w:tcW w:w="1690" w:type="dxa"/>
            <w:tcBorders>
              <w:top w:val="nil"/>
              <w:left w:val="nil"/>
              <w:bottom w:val="nil"/>
              <w:right w:val="nil"/>
            </w:tcBorders>
          </w:tcPr>
          <w:p w14:paraId="1A07D580" w14:textId="386FFBE6" w:rsidR="00122A90" w:rsidRPr="00CF04E0" w:rsidRDefault="00402B27" w:rsidP="00CF04E0">
            <w:pPr>
              <w:pStyle w:val="TableTextRight"/>
            </w:pPr>
            <w:r w:rsidRPr="00CF04E0">
              <w:noBreakHyphen/>
            </w:r>
            <w:r w:rsidR="00122A90" w:rsidRPr="00CF04E0">
              <w:t xml:space="preserve">3,729 </w:t>
            </w:r>
          </w:p>
        </w:tc>
        <w:tc>
          <w:tcPr>
            <w:tcW w:w="1690" w:type="dxa"/>
            <w:tcBorders>
              <w:top w:val="nil"/>
              <w:left w:val="nil"/>
              <w:bottom w:val="nil"/>
              <w:right w:val="nil"/>
            </w:tcBorders>
          </w:tcPr>
          <w:p w14:paraId="38F8161D" w14:textId="43736A04" w:rsidR="00090907" w:rsidRPr="00CF04E0" w:rsidRDefault="00402B27" w:rsidP="00CF04E0">
            <w:pPr>
              <w:pStyle w:val="TableTextRight"/>
              <w:rPr>
                <w:rFonts w:eastAsia="Calibri"/>
              </w:rPr>
            </w:pPr>
            <w:r w:rsidRPr="00CF04E0">
              <w:noBreakHyphen/>
            </w:r>
            <w:r w:rsidR="00090907" w:rsidRPr="00CF04E0">
              <w:t>5,375</w:t>
            </w:r>
            <w:r w:rsidR="00CF5FDF" w:rsidRPr="00CF04E0">
              <w:t xml:space="preserve"> </w:t>
            </w:r>
          </w:p>
        </w:tc>
        <w:tc>
          <w:tcPr>
            <w:tcW w:w="1843" w:type="dxa"/>
            <w:tcBorders>
              <w:top w:val="nil"/>
              <w:left w:val="nil"/>
              <w:bottom w:val="nil"/>
              <w:right w:val="single" w:sz="2" w:space="0" w:color="2C384A" w:themeColor="accent1"/>
            </w:tcBorders>
          </w:tcPr>
          <w:p w14:paraId="20752510" w14:textId="48E6A9BD" w:rsidR="00090907" w:rsidRPr="00CF04E0" w:rsidRDefault="00CF5FDF" w:rsidP="00CF04E0">
            <w:pPr>
              <w:pStyle w:val="TableTextRight"/>
              <w:rPr>
                <w:rFonts w:eastAsia="Calibri"/>
              </w:rPr>
            </w:pPr>
            <w:r w:rsidRPr="00CF04E0">
              <w:t xml:space="preserve"> </w:t>
            </w:r>
            <w:r w:rsidR="00090907" w:rsidRPr="00CF04E0">
              <w:t>1,</w:t>
            </w:r>
            <w:r w:rsidRPr="00CF04E0">
              <w:t xml:space="preserve">646 </w:t>
            </w:r>
          </w:p>
        </w:tc>
      </w:tr>
      <w:tr w:rsidR="00090907" w:rsidRPr="00090907" w14:paraId="773BC5E4" w14:textId="77777777" w:rsidTr="00E61525">
        <w:trPr>
          <w:trHeight w:val="271"/>
          <w:jc w:val="center"/>
        </w:trPr>
        <w:tc>
          <w:tcPr>
            <w:tcW w:w="1287" w:type="dxa"/>
            <w:tcBorders>
              <w:top w:val="nil"/>
              <w:left w:val="single" w:sz="2" w:space="0" w:color="2C384A" w:themeColor="accent1"/>
              <w:bottom w:val="nil"/>
              <w:right w:val="nil"/>
            </w:tcBorders>
          </w:tcPr>
          <w:p w14:paraId="735EDEDB" w14:textId="4466F6F4" w:rsidR="00090907" w:rsidRPr="00CF04E0" w:rsidRDefault="00090907" w:rsidP="00CF04E0">
            <w:pPr>
              <w:pStyle w:val="TableTextRight"/>
              <w:rPr>
                <w:rFonts w:eastAsia="Calibri"/>
              </w:rPr>
            </w:pPr>
            <w:r w:rsidRPr="00CF04E0">
              <w:t>180,000</w:t>
            </w:r>
          </w:p>
        </w:tc>
        <w:tc>
          <w:tcPr>
            <w:tcW w:w="1690" w:type="dxa"/>
            <w:tcBorders>
              <w:top w:val="nil"/>
              <w:left w:val="nil"/>
              <w:bottom w:val="nil"/>
              <w:right w:val="nil"/>
            </w:tcBorders>
          </w:tcPr>
          <w:p w14:paraId="18263EFC" w14:textId="3131B5CC" w:rsidR="00122A90" w:rsidRPr="00CF04E0" w:rsidRDefault="00402B27" w:rsidP="00CF04E0">
            <w:pPr>
              <w:pStyle w:val="TableTextRight"/>
            </w:pPr>
            <w:r w:rsidRPr="00CF04E0">
              <w:noBreakHyphen/>
            </w:r>
            <w:r w:rsidR="00122A90" w:rsidRPr="00CF04E0">
              <w:t xml:space="preserve">3,729 </w:t>
            </w:r>
          </w:p>
        </w:tc>
        <w:tc>
          <w:tcPr>
            <w:tcW w:w="1690" w:type="dxa"/>
            <w:tcBorders>
              <w:top w:val="nil"/>
              <w:left w:val="nil"/>
              <w:bottom w:val="nil"/>
              <w:right w:val="nil"/>
            </w:tcBorders>
          </w:tcPr>
          <w:p w14:paraId="1998645B" w14:textId="456AE706" w:rsidR="00090907" w:rsidRPr="00CF04E0" w:rsidRDefault="00402B27" w:rsidP="00CF04E0">
            <w:pPr>
              <w:pStyle w:val="TableTextRight"/>
              <w:rPr>
                <w:rFonts w:eastAsia="Calibri"/>
              </w:rPr>
            </w:pPr>
            <w:r w:rsidRPr="00CF04E0">
              <w:noBreakHyphen/>
            </w:r>
            <w:r w:rsidR="00090907" w:rsidRPr="00CF04E0">
              <w:t>6,075</w:t>
            </w:r>
            <w:r w:rsidR="00CF5FDF" w:rsidRPr="00CF04E0">
              <w:t xml:space="preserve"> </w:t>
            </w:r>
          </w:p>
        </w:tc>
        <w:tc>
          <w:tcPr>
            <w:tcW w:w="1843" w:type="dxa"/>
            <w:tcBorders>
              <w:top w:val="nil"/>
              <w:left w:val="nil"/>
              <w:bottom w:val="nil"/>
              <w:right w:val="single" w:sz="2" w:space="0" w:color="2C384A" w:themeColor="accent1"/>
            </w:tcBorders>
          </w:tcPr>
          <w:p w14:paraId="064EC703" w14:textId="10F3C31F" w:rsidR="00090907" w:rsidRPr="00CF04E0" w:rsidRDefault="00CF5FDF" w:rsidP="00CF04E0">
            <w:pPr>
              <w:pStyle w:val="TableTextRight"/>
              <w:rPr>
                <w:rFonts w:eastAsia="Calibri"/>
              </w:rPr>
            </w:pPr>
            <w:r w:rsidRPr="00CF04E0">
              <w:t xml:space="preserve"> </w:t>
            </w:r>
            <w:r w:rsidR="00090907" w:rsidRPr="00CF04E0">
              <w:t>2,</w:t>
            </w:r>
            <w:r w:rsidRPr="00CF04E0">
              <w:t xml:space="preserve">346 </w:t>
            </w:r>
          </w:p>
        </w:tc>
      </w:tr>
      <w:tr w:rsidR="00090907" w:rsidRPr="00090907" w14:paraId="45C9206C" w14:textId="77777777" w:rsidTr="00E61525">
        <w:trPr>
          <w:trHeight w:val="271"/>
          <w:jc w:val="center"/>
        </w:trPr>
        <w:tc>
          <w:tcPr>
            <w:tcW w:w="1287" w:type="dxa"/>
            <w:tcBorders>
              <w:top w:val="nil"/>
              <w:left w:val="single" w:sz="2" w:space="0" w:color="2C384A" w:themeColor="accent1"/>
              <w:bottom w:val="nil"/>
              <w:right w:val="nil"/>
            </w:tcBorders>
          </w:tcPr>
          <w:p w14:paraId="4B23A554" w14:textId="1359E271" w:rsidR="00090907" w:rsidRPr="00CF04E0" w:rsidRDefault="00090907" w:rsidP="00CF04E0">
            <w:pPr>
              <w:pStyle w:val="TableTextRight"/>
              <w:rPr>
                <w:rFonts w:eastAsia="Calibri"/>
              </w:rPr>
            </w:pPr>
            <w:r w:rsidRPr="00CF04E0">
              <w:t>190,000</w:t>
            </w:r>
          </w:p>
        </w:tc>
        <w:tc>
          <w:tcPr>
            <w:tcW w:w="1690" w:type="dxa"/>
            <w:tcBorders>
              <w:top w:val="nil"/>
              <w:left w:val="nil"/>
              <w:bottom w:val="nil"/>
              <w:right w:val="nil"/>
            </w:tcBorders>
          </w:tcPr>
          <w:p w14:paraId="3FF46826" w14:textId="408AEA8A" w:rsidR="00122A90" w:rsidRPr="00CF04E0" w:rsidRDefault="00402B27" w:rsidP="00CF04E0">
            <w:pPr>
              <w:pStyle w:val="TableTextRight"/>
            </w:pPr>
            <w:r w:rsidRPr="00CF04E0">
              <w:noBreakHyphen/>
            </w:r>
            <w:r w:rsidR="00122A90" w:rsidRPr="00CF04E0">
              <w:t xml:space="preserve">4,529 </w:t>
            </w:r>
          </w:p>
        </w:tc>
        <w:tc>
          <w:tcPr>
            <w:tcW w:w="1690" w:type="dxa"/>
            <w:tcBorders>
              <w:top w:val="nil"/>
              <w:left w:val="nil"/>
              <w:bottom w:val="nil"/>
              <w:right w:val="nil"/>
            </w:tcBorders>
          </w:tcPr>
          <w:p w14:paraId="318A57C4" w14:textId="4282E406" w:rsidR="00090907" w:rsidRPr="00CF04E0" w:rsidRDefault="00402B27" w:rsidP="00CF04E0">
            <w:pPr>
              <w:pStyle w:val="TableTextRight"/>
              <w:rPr>
                <w:rFonts w:eastAsia="Calibri"/>
              </w:rPr>
            </w:pPr>
            <w:r w:rsidRPr="00CF04E0">
              <w:noBreakHyphen/>
            </w:r>
            <w:r w:rsidR="00090907" w:rsidRPr="00CF04E0">
              <w:t>7,575</w:t>
            </w:r>
            <w:r w:rsidR="00CF5FDF" w:rsidRPr="00CF04E0">
              <w:t xml:space="preserve"> </w:t>
            </w:r>
          </w:p>
        </w:tc>
        <w:tc>
          <w:tcPr>
            <w:tcW w:w="1843" w:type="dxa"/>
            <w:tcBorders>
              <w:top w:val="nil"/>
              <w:left w:val="nil"/>
              <w:bottom w:val="nil"/>
              <w:right w:val="single" w:sz="2" w:space="0" w:color="2C384A" w:themeColor="accent1"/>
            </w:tcBorders>
          </w:tcPr>
          <w:p w14:paraId="2355C249" w14:textId="171D4B21" w:rsidR="00090907" w:rsidRPr="00CF04E0" w:rsidRDefault="00CF5FDF" w:rsidP="00CF04E0">
            <w:pPr>
              <w:pStyle w:val="TableTextRight"/>
              <w:rPr>
                <w:rFonts w:eastAsia="Calibri"/>
              </w:rPr>
            </w:pPr>
            <w:r w:rsidRPr="00CF04E0">
              <w:t xml:space="preserve"> </w:t>
            </w:r>
            <w:r w:rsidR="00090907" w:rsidRPr="00CF04E0">
              <w:t>3,</w:t>
            </w:r>
            <w:r w:rsidRPr="00CF04E0">
              <w:t xml:space="preserve">046 </w:t>
            </w:r>
          </w:p>
        </w:tc>
      </w:tr>
      <w:tr w:rsidR="00090907" w:rsidRPr="00090907" w14:paraId="0769C07B" w14:textId="77777777" w:rsidTr="00E61525">
        <w:trPr>
          <w:trHeight w:val="315"/>
          <w:jc w:val="center"/>
        </w:trPr>
        <w:tc>
          <w:tcPr>
            <w:tcW w:w="1287" w:type="dxa"/>
            <w:tcBorders>
              <w:top w:val="nil"/>
              <w:left w:val="single" w:sz="2" w:space="0" w:color="2C384A" w:themeColor="accent1"/>
              <w:bottom w:val="single" w:sz="2" w:space="0" w:color="2C384A" w:themeColor="accent1"/>
              <w:right w:val="nil"/>
            </w:tcBorders>
          </w:tcPr>
          <w:p w14:paraId="4FEDB7C2" w14:textId="4F58F9D5" w:rsidR="00090907" w:rsidRPr="00CF04E0" w:rsidRDefault="00090907" w:rsidP="00CF04E0">
            <w:pPr>
              <w:pStyle w:val="TableTextRight"/>
            </w:pPr>
            <w:r w:rsidRPr="00CF04E0">
              <w:t>200,000</w:t>
            </w:r>
          </w:p>
        </w:tc>
        <w:tc>
          <w:tcPr>
            <w:tcW w:w="1690" w:type="dxa"/>
            <w:tcBorders>
              <w:top w:val="nil"/>
              <w:left w:val="nil"/>
              <w:bottom w:val="single" w:sz="2" w:space="0" w:color="2C384A" w:themeColor="accent1"/>
              <w:right w:val="nil"/>
            </w:tcBorders>
          </w:tcPr>
          <w:p w14:paraId="1886C43E" w14:textId="7300FA54" w:rsidR="00122A90" w:rsidRPr="00CF04E0" w:rsidRDefault="00402B27" w:rsidP="00CF04E0">
            <w:pPr>
              <w:pStyle w:val="TableTextRight"/>
            </w:pPr>
            <w:r w:rsidRPr="00CF04E0">
              <w:noBreakHyphen/>
            </w:r>
            <w:r w:rsidR="00122A90" w:rsidRPr="00CF04E0">
              <w:t xml:space="preserve">4,529 </w:t>
            </w:r>
          </w:p>
        </w:tc>
        <w:tc>
          <w:tcPr>
            <w:tcW w:w="1690" w:type="dxa"/>
            <w:tcBorders>
              <w:top w:val="nil"/>
              <w:left w:val="nil"/>
              <w:bottom w:val="single" w:sz="2" w:space="0" w:color="2C384A" w:themeColor="accent1"/>
              <w:right w:val="nil"/>
            </w:tcBorders>
          </w:tcPr>
          <w:p w14:paraId="6DAF7639" w14:textId="46C6D25B" w:rsidR="00090907" w:rsidRPr="00CF04E0" w:rsidRDefault="00402B27" w:rsidP="00CF04E0">
            <w:pPr>
              <w:pStyle w:val="TableTextRight"/>
              <w:rPr>
                <w:rFonts w:eastAsia="Calibri"/>
              </w:rPr>
            </w:pPr>
            <w:r w:rsidRPr="00CF04E0">
              <w:noBreakHyphen/>
            </w:r>
            <w:r w:rsidR="00090907" w:rsidRPr="00CF04E0">
              <w:t>9,075</w:t>
            </w:r>
            <w:r w:rsidR="00CF5FDF" w:rsidRPr="00CF04E0">
              <w:t xml:space="preserve"> </w:t>
            </w:r>
          </w:p>
        </w:tc>
        <w:tc>
          <w:tcPr>
            <w:tcW w:w="1843" w:type="dxa"/>
            <w:tcBorders>
              <w:top w:val="nil"/>
              <w:left w:val="nil"/>
              <w:bottom w:val="single" w:sz="2" w:space="0" w:color="2C384A" w:themeColor="accent1"/>
              <w:right w:val="single" w:sz="2" w:space="0" w:color="2C384A" w:themeColor="accent1"/>
            </w:tcBorders>
          </w:tcPr>
          <w:p w14:paraId="7F57665C" w14:textId="2B7A122E" w:rsidR="00090907" w:rsidRPr="00CF04E0" w:rsidRDefault="00CF5FDF" w:rsidP="00CF04E0">
            <w:pPr>
              <w:pStyle w:val="TableTextRight"/>
              <w:rPr>
                <w:rFonts w:eastAsia="Calibri"/>
              </w:rPr>
            </w:pPr>
            <w:r w:rsidRPr="00CF04E0">
              <w:t xml:space="preserve"> </w:t>
            </w:r>
            <w:r w:rsidR="00090907" w:rsidRPr="00CF04E0">
              <w:t>4,</w:t>
            </w:r>
            <w:r w:rsidRPr="00CF04E0">
              <w:t xml:space="preserve">546 </w:t>
            </w:r>
          </w:p>
        </w:tc>
      </w:tr>
    </w:tbl>
    <w:p w14:paraId="79C6B697" w14:textId="77777777" w:rsidR="00631F4C" w:rsidRDefault="00631F4C" w:rsidP="00C521BA"/>
    <w:tbl>
      <w:tblPr>
        <w:tblStyle w:val="TableGrid"/>
        <w:tblpPr w:leftFromText="180" w:rightFromText="180" w:vertAnchor="text" w:horzAnchor="margin" w:tblpY="-79"/>
        <w:tblW w:w="5000" w:type="pct"/>
        <w:shd w:val="clear" w:color="auto" w:fill="FFFFFF" w:themeFill="background1"/>
        <w:tblLayout w:type="fixed"/>
        <w:tblLook w:val="04A0" w:firstRow="1" w:lastRow="0" w:firstColumn="1" w:lastColumn="0" w:noHBand="0" w:noVBand="1"/>
      </w:tblPr>
      <w:tblGrid>
        <w:gridCol w:w="4558"/>
        <w:gridCol w:w="4512"/>
      </w:tblGrid>
      <w:tr w:rsidR="007542A8" w14:paraId="35418AD2" w14:textId="77777777" w:rsidTr="00E61525">
        <w:trPr>
          <w:cnfStyle w:val="100000000000" w:firstRow="1" w:lastRow="0" w:firstColumn="0" w:lastColumn="0" w:oddVBand="0" w:evenVBand="0" w:oddHBand="0" w:evenHBand="0" w:firstRowFirstColumn="0" w:firstRowLastColumn="0" w:lastRowFirstColumn="0" w:lastRowLastColumn="0"/>
        </w:trPr>
        <w:tc>
          <w:tcPr>
            <w:tcW w:w="4531" w:type="dxa"/>
            <w:shd w:val="clear" w:color="auto" w:fill="FFFFFF" w:themeFill="background1"/>
          </w:tcPr>
          <w:p w14:paraId="47B29D5C" w14:textId="3EE6D533" w:rsidR="007542A8" w:rsidRPr="00431A1D" w:rsidRDefault="007542A8" w:rsidP="00431A1D">
            <w:pPr>
              <w:pStyle w:val="ChartMainHeading"/>
              <w:spacing w:after="120"/>
              <w:rPr>
                <w:b w:val="0"/>
                <w:bCs/>
              </w:rPr>
            </w:pPr>
            <w:r w:rsidRPr="00431A1D">
              <w:rPr>
                <w:b w:val="0"/>
                <w:bCs/>
              </w:rPr>
              <w:t xml:space="preserve">Chart A2: Labour force participation </w:t>
            </w:r>
          </w:p>
        </w:tc>
        <w:tc>
          <w:tcPr>
            <w:tcW w:w="4485" w:type="dxa"/>
            <w:shd w:val="clear" w:color="auto" w:fill="FFFFFF" w:themeFill="background1"/>
          </w:tcPr>
          <w:p w14:paraId="2A4BB3E8" w14:textId="6693D249" w:rsidR="007542A8" w:rsidRPr="00431A1D" w:rsidRDefault="007542A8" w:rsidP="00431A1D">
            <w:pPr>
              <w:pStyle w:val="ChartMainHeading"/>
              <w:rPr>
                <w:b w:val="0"/>
                <w:bCs/>
              </w:rPr>
            </w:pPr>
            <w:r w:rsidRPr="00431A1D">
              <w:rPr>
                <w:b w:val="0"/>
                <w:bCs/>
              </w:rPr>
              <w:t>Chart A3: Average weekly hours worked</w:t>
            </w:r>
          </w:p>
        </w:tc>
      </w:tr>
      <w:tr w:rsidR="00631F4C" w14:paraId="2541343C" w14:textId="77777777" w:rsidTr="00E61525">
        <w:tc>
          <w:tcPr>
            <w:tcW w:w="4531" w:type="dxa"/>
            <w:shd w:val="clear" w:color="auto" w:fill="FFFFFF" w:themeFill="background1"/>
          </w:tcPr>
          <w:p w14:paraId="58D9DBC5" w14:textId="4FE22E01" w:rsidR="00C21B6D" w:rsidRPr="00C21B6D" w:rsidRDefault="00605F4F" w:rsidP="007542A8">
            <w:pPr>
              <w:pStyle w:val="ChartGraphic"/>
            </w:pPr>
            <w:r>
              <w:rPr>
                <w:rStyle w:val="ChartnotesChar"/>
                <w:noProof/>
              </w:rPr>
              <w:drawing>
                <wp:inline distT="0" distB="0" distL="0" distR="0" wp14:anchorId="14F75E4F" wp14:editId="3A53E7C3">
                  <wp:extent cx="2696319" cy="2702257"/>
                  <wp:effectExtent l="0" t="0" r="8890" b="3175"/>
                  <wp:docPr id="61" name="Picture 61" descr="A line chart showing labour force participation rates by age and sex. Men have higher participation rates, with the gap opening up in age 25-29. The gap is about 15 percentage points by age 3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A line chart showing labour force participation rates by age and sex. Men have higher participation rates, with the gap opening up in age 25-29. The gap is about 15 percentage points by age 30-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00371" cy="2706317"/>
                          </a:xfrm>
                          <a:prstGeom prst="rect">
                            <a:avLst/>
                          </a:prstGeom>
                          <a:noFill/>
                        </pic:spPr>
                      </pic:pic>
                    </a:graphicData>
                  </a:graphic>
                </wp:inline>
              </w:drawing>
            </w:r>
          </w:p>
        </w:tc>
        <w:tc>
          <w:tcPr>
            <w:tcW w:w="4485" w:type="dxa"/>
            <w:shd w:val="clear" w:color="auto" w:fill="FFFFFF" w:themeFill="background1"/>
          </w:tcPr>
          <w:p w14:paraId="42933ABD" w14:textId="0AE13C3D" w:rsidR="00C21B6D" w:rsidRPr="007542A8" w:rsidRDefault="00B40D38" w:rsidP="007542A8">
            <w:pPr>
              <w:pStyle w:val="ChartGraphic"/>
              <w:rPr>
                <w:b/>
              </w:rPr>
            </w:pPr>
            <w:r>
              <w:rPr>
                <w:noProof/>
              </w:rPr>
              <w:drawing>
                <wp:inline distT="0" distB="0" distL="0" distR="0" wp14:anchorId="6A004024" wp14:editId="6C5511B1">
                  <wp:extent cx="2778626" cy="2784144"/>
                  <wp:effectExtent l="0" t="0" r="3175" b="0"/>
                  <wp:docPr id="63" name="Picture 63" descr="A line chart showing average weekly hours worked by age, sex and parental status. Female parents work fewer hours compared to men and other females, especially under the age of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A line chart showing average weekly hours worked by age, sex and parental status. Female parents work fewer hours compared to men and other females, especially under the age of 4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82066" cy="2787590"/>
                          </a:xfrm>
                          <a:prstGeom prst="rect">
                            <a:avLst/>
                          </a:prstGeom>
                          <a:noFill/>
                        </pic:spPr>
                      </pic:pic>
                    </a:graphicData>
                  </a:graphic>
                </wp:inline>
              </w:drawing>
            </w:r>
          </w:p>
        </w:tc>
      </w:tr>
      <w:tr w:rsidR="007542A8" w14:paraId="456CDE8B" w14:textId="77777777" w:rsidTr="00E61525">
        <w:tc>
          <w:tcPr>
            <w:tcW w:w="4531" w:type="dxa"/>
            <w:shd w:val="clear" w:color="auto" w:fill="FFFFFF" w:themeFill="background1"/>
          </w:tcPr>
          <w:p w14:paraId="75A5F963" w14:textId="752963AF" w:rsidR="007542A8" w:rsidRPr="00090907" w:rsidRDefault="007542A8" w:rsidP="007542A8">
            <w:pPr>
              <w:pStyle w:val="ChartorTableNote"/>
              <w:spacing w:after="120"/>
            </w:pPr>
            <w:r w:rsidRPr="007542A8">
              <w:t>Source: Treasury; ABS Labour Force Survey. 2022–23.</w:t>
            </w:r>
          </w:p>
        </w:tc>
        <w:tc>
          <w:tcPr>
            <w:tcW w:w="4485" w:type="dxa"/>
            <w:shd w:val="clear" w:color="auto" w:fill="FFFFFF" w:themeFill="background1"/>
          </w:tcPr>
          <w:p w14:paraId="7B5D4D56" w14:textId="121BC98C" w:rsidR="007542A8" w:rsidRPr="00090907" w:rsidRDefault="007542A8" w:rsidP="007542A8">
            <w:pPr>
              <w:pStyle w:val="ChartorTableNote"/>
              <w:spacing w:after="120"/>
            </w:pPr>
            <w:r w:rsidRPr="00CF04E0">
              <w:t>Source: Treasury; ABS Census of Population and Housing. 2021.</w:t>
            </w:r>
          </w:p>
        </w:tc>
      </w:tr>
    </w:tbl>
    <w:p w14:paraId="774229BB" w14:textId="77777777" w:rsidR="00C60B0F" w:rsidRPr="00E7532C" w:rsidRDefault="00C60B0F" w:rsidP="00E7532C">
      <w:pPr>
        <w:rPr>
          <w:sz w:val="2"/>
          <w:szCs w:val="2"/>
        </w:rPr>
      </w:pPr>
    </w:p>
    <w:sectPr w:rsidR="00C60B0F" w:rsidRPr="00E7532C" w:rsidSect="00DD3521">
      <w:headerReference w:type="even" r:id="rId25"/>
      <w:headerReference w:type="default" r:id="rId26"/>
      <w:footerReference w:type="even" r:id="rId27"/>
      <w:footerReference w:type="default" r:id="rId28"/>
      <w:headerReference w:type="first" r:id="rId29"/>
      <w:footerReference w:type="first" r:id="rId30"/>
      <w:pgSz w:w="11906" w:h="16838" w:code="9"/>
      <w:pgMar w:top="1843" w:right="1418" w:bottom="1418" w:left="141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632D2" w14:textId="77777777" w:rsidR="00D3587E" w:rsidRDefault="00D3587E">
      <w:pPr>
        <w:spacing w:before="0" w:after="0"/>
      </w:pPr>
      <w:r>
        <w:separator/>
      </w:r>
    </w:p>
  </w:endnote>
  <w:endnote w:type="continuationSeparator" w:id="0">
    <w:p w14:paraId="61D646C0" w14:textId="77777777" w:rsidR="00D3587E" w:rsidRDefault="00D3587E">
      <w:pPr>
        <w:spacing w:before="0" w:after="0"/>
      </w:pPr>
      <w:r>
        <w:continuationSeparator/>
      </w:r>
    </w:p>
  </w:endnote>
  <w:endnote w:type="continuationNotice" w:id="1">
    <w:p w14:paraId="6816F9DD" w14:textId="77777777" w:rsidR="00D3587E" w:rsidRDefault="00D3587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3FB09" w14:textId="29957787" w:rsidR="00C5192C" w:rsidRDefault="002E5111" w:rsidP="00C5192C">
    <w:pPr>
      <w:pStyle w:val="SecurityClassificationFooter"/>
    </w:pPr>
    <w:r>
      <w:fldChar w:fldCharType="begin"/>
    </w:r>
    <w:r>
      <w:instrText>DOCPROPERTY WorkingDocStatus \* MERGEFORMAT</w:instrText>
    </w:r>
    <w:r>
      <w:fldChar w:fldCharType="separate"/>
    </w:r>
    <w:r w:rsidR="006B05BD">
      <w:t>DRAFT WORKING DOCUMENT</w:t>
    </w:r>
    <w:r>
      <w:fldChar w:fldCharType="end"/>
    </w:r>
  </w:p>
  <w:p w14:paraId="65FA7207" w14:textId="19C41DD9" w:rsidR="003D75C3" w:rsidRDefault="003D75C3" w:rsidP="00D8405C">
    <w:pPr>
      <w:pStyle w:val="SecurityClassification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53428" w14:textId="07FC51E4" w:rsidR="003D75C3" w:rsidRPr="00A07439" w:rsidRDefault="00887EDB" w:rsidP="00A07439">
    <w:pPr>
      <w:pStyle w:val="FooterOdd"/>
      <w:spacing w:before="240"/>
    </w:pPr>
    <w:r w:rsidRPr="00103F3C">
      <w:rPr>
        <w:noProof/>
        <w:position w:val="-8"/>
      </w:rPr>
      <w:drawing>
        <wp:inline distT="0" distB="0" distL="0" distR="0" wp14:anchorId="0445E6D4" wp14:editId="190C30A5">
          <wp:extent cx="1324800" cy="201600"/>
          <wp:effectExtent l="0" t="0" r="0" b="8255"/>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2E5111">
      <w:fldChar w:fldCharType="begin"/>
    </w:r>
    <w:r w:rsidR="002E5111">
      <w:instrText xml:space="preserve"> STYLEREF  "Heading 1"  \* MERGEFORMAT </w:instrText>
    </w:r>
    <w:r w:rsidR="002E5111">
      <w:fldChar w:fldCharType="separate"/>
    </w:r>
    <w:r w:rsidR="002E5111">
      <w:rPr>
        <w:noProof/>
      </w:rPr>
      <w:t>Overview</w:t>
    </w:r>
    <w:r w:rsidR="002E5111">
      <w:rPr>
        <w:noProof/>
      </w:rPr>
      <w:fldChar w:fldCharType="end"/>
    </w:r>
    <w:r w:rsidR="0019477C">
      <w:rPr>
        <w:noProof/>
      </w:rPr>
      <w:t xml:space="preserve"> </w:t>
    </w:r>
    <w:r w:rsidR="0019477C">
      <w:t xml:space="preserve">| </w:t>
    </w:r>
    <w:r w:rsidR="0019477C">
      <w:fldChar w:fldCharType="begin"/>
    </w:r>
    <w:r w:rsidR="0019477C">
      <w:instrText xml:space="preserve"> PAGE   \* MERGEFORMAT </w:instrText>
    </w:r>
    <w:r w:rsidR="0019477C">
      <w:fldChar w:fldCharType="separate"/>
    </w:r>
    <w:r w:rsidR="0019477C">
      <w:t>2</w:t>
    </w:r>
    <w:r w:rsidR="0019477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D4F6A" w14:textId="6AEAAD4B" w:rsidR="00C60B0F" w:rsidRPr="00A07439" w:rsidRDefault="00887EDB" w:rsidP="00A07439">
    <w:pPr>
      <w:pStyle w:val="FooterOdd"/>
      <w:spacing w:before="240"/>
    </w:pPr>
    <w:r w:rsidRPr="00103F3C">
      <w:rPr>
        <w:noProof/>
        <w:position w:val="-8"/>
      </w:rPr>
      <w:drawing>
        <wp:inline distT="0" distB="0" distL="0" distR="0" wp14:anchorId="1DBAE990" wp14:editId="387FC3B1">
          <wp:extent cx="1324800" cy="201600"/>
          <wp:effectExtent l="0" t="0" r="0" b="8255"/>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2E5111">
      <w:fldChar w:fldCharType="begin"/>
    </w:r>
    <w:r w:rsidR="002E5111">
      <w:instrText xml:space="preserve"> STYLEREF  "Heading 1"  \* MERGEFORMAT </w:instrText>
    </w:r>
    <w:r w:rsidR="002E5111">
      <w:fldChar w:fldCharType="separate"/>
    </w:r>
    <w:r w:rsidR="002E5111">
      <w:rPr>
        <w:noProof/>
      </w:rPr>
      <w:t>Rising cost-of-living pressures have changed the focus of tax relief</w:t>
    </w:r>
    <w:r w:rsidR="002E5111">
      <w:rPr>
        <w:noProof/>
      </w:rPr>
      <w:fldChar w:fldCharType="end"/>
    </w:r>
    <w:r>
      <w:rPr>
        <w:noProof/>
      </w:rPr>
      <w:t xml:space="preserve"> </w:t>
    </w:r>
    <w:r>
      <w:t xml:space="preserve">| </w:t>
    </w:r>
    <w:r>
      <w:fldChar w:fldCharType="begin"/>
    </w:r>
    <w:r>
      <w:instrText xml:space="preserve"> PAGE   \* MERGEFORMAT </w:instrText>
    </w:r>
    <w:r>
      <w:fldChar w:fldCharType="separate"/>
    </w:r>
    <w:r>
      <w:t>iii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D6B3" w14:textId="68FD0B4D" w:rsidR="00C60B0F" w:rsidRPr="00A07439" w:rsidRDefault="00887EDB" w:rsidP="00A07439">
    <w:pPr>
      <w:pStyle w:val="FooterOdd"/>
      <w:spacing w:before="240"/>
    </w:pPr>
    <w:r w:rsidRPr="00103F3C">
      <w:rPr>
        <w:noProof/>
        <w:position w:val="-8"/>
      </w:rPr>
      <w:drawing>
        <wp:inline distT="0" distB="0" distL="0" distR="0" wp14:anchorId="2012C92D" wp14:editId="304AAAC6">
          <wp:extent cx="1324800" cy="201600"/>
          <wp:effectExtent l="0" t="0" r="0" b="8255"/>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2E5111">
      <w:fldChar w:fldCharType="begin"/>
    </w:r>
    <w:r w:rsidR="002E5111">
      <w:instrText xml:space="preserve"> STYLEREF  "Heading 1"  \* MERGEFORMAT </w:instrText>
    </w:r>
    <w:r w:rsidR="002E5111">
      <w:fldChar w:fldCharType="separate"/>
    </w:r>
    <w:r w:rsidR="002E5111">
      <w:rPr>
        <w:noProof/>
      </w:rPr>
      <w:t>Appendix</w:t>
    </w:r>
    <w:r w:rsidR="002E5111">
      <w:rPr>
        <w:noProof/>
      </w:rPr>
      <w:fldChar w:fldCharType="end"/>
    </w:r>
    <w:r>
      <w:rPr>
        <w:noProof/>
      </w:rPr>
      <w:t xml:space="preserve"> </w:t>
    </w:r>
    <w:r>
      <w:t xml:space="preserve">| </w:t>
    </w:r>
    <w:r>
      <w:fldChar w:fldCharType="begin"/>
    </w:r>
    <w:r>
      <w:instrText xml:space="preserve"> PAGE   \* MERGEFORMAT </w:instrText>
    </w:r>
    <w:r>
      <w:fldChar w:fldCharType="separate"/>
    </w:r>
    <w:r>
      <w:t>iii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37C1A" w14:textId="01602DEB" w:rsidR="00C5192C" w:rsidRDefault="002E5111" w:rsidP="00C5192C">
    <w:pPr>
      <w:pStyle w:val="SecurityClassificationFooter"/>
    </w:pPr>
    <w:r>
      <w:fldChar w:fldCharType="begin"/>
    </w:r>
    <w:r>
      <w:instrText xml:space="preserve">DOCPROPERTY </w:instrText>
    </w:r>
    <w:r>
      <w:instrText>WorkingDocStatus \* MERGEFORMAT</w:instrText>
    </w:r>
    <w:r>
      <w:fldChar w:fldCharType="separate"/>
    </w:r>
    <w:r w:rsidR="006B05BD">
      <w:t>DRAFT WORKING DOCUMENT</w:t>
    </w:r>
    <w:r>
      <w:fldChar w:fldCharType="end"/>
    </w:r>
  </w:p>
  <w:p w14:paraId="24277D1F" w14:textId="1C2B154E" w:rsidR="00C60B0F" w:rsidRDefault="00C60B0F" w:rsidP="00D8405C">
    <w:pPr>
      <w:pStyle w:val="SecurityClassification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24C17" w14:textId="77777777" w:rsidR="00D3587E" w:rsidRPr="00ED5A20" w:rsidRDefault="00D3587E" w:rsidP="000F6233">
      <w:pPr>
        <w:rPr>
          <w:color w:val="4D7861" w:themeColor="accent2"/>
        </w:rPr>
      </w:pPr>
      <w:r w:rsidRPr="00ED5A20">
        <w:rPr>
          <w:color w:val="4D7861" w:themeColor="accent2"/>
        </w:rPr>
        <w:separator/>
      </w:r>
    </w:p>
  </w:footnote>
  <w:footnote w:type="continuationSeparator" w:id="0">
    <w:p w14:paraId="2A9CE78F" w14:textId="77777777" w:rsidR="00D3587E" w:rsidRPr="00B737EB" w:rsidRDefault="00D3587E">
      <w:pPr>
        <w:spacing w:before="0" w:after="0"/>
        <w:rPr>
          <w:color w:val="2C384A" w:themeColor="accent1"/>
        </w:rPr>
      </w:pPr>
      <w:r w:rsidRPr="00B737EB">
        <w:rPr>
          <w:color w:val="2C384A" w:themeColor="accent1"/>
        </w:rPr>
        <w:continuationSeparator/>
      </w:r>
    </w:p>
  </w:footnote>
  <w:footnote w:type="continuationNotice" w:id="1">
    <w:p w14:paraId="2FC039C2" w14:textId="77777777" w:rsidR="00D3587E" w:rsidRDefault="00D3587E">
      <w:pPr>
        <w:spacing w:before="0" w:after="0"/>
      </w:pPr>
    </w:p>
  </w:footnote>
  <w:footnote w:id="2">
    <w:p w14:paraId="1F8B0CB1" w14:textId="7732AA8D" w:rsidR="00360D74" w:rsidRPr="00ED3368" w:rsidRDefault="00360D74" w:rsidP="00ED3368">
      <w:pPr>
        <w:pStyle w:val="FootnoteText"/>
      </w:pPr>
      <w:r w:rsidRPr="00ED3368">
        <w:rPr>
          <w:rStyle w:val="FootnoteReference"/>
          <w:sz w:val="20"/>
        </w:rPr>
        <w:footnoteRef/>
      </w:r>
      <w:r w:rsidRPr="00ED3368">
        <w:t xml:space="preserve"> </w:t>
      </w:r>
      <w:r w:rsidR="00F40389" w:rsidRPr="00ED3368">
        <w:tab/>
      </w:r>
      <w:r w:rsidRPr="00ED3368">
        <w:t>This includes: support for people on working age and student payments has been increased by $40</w:t>
      </w:r>
      <w:r w:rsidR="00C521BA" w:rsidRPr="00ED3368">
        <w:t> </w:t>
      </w:r>
      <w:r w:rsidRPr="00ED3368">
        <w:t>a</w:t>
      </w:r>
      <w:r w:rsidR="00C521BA" w:rsidRPr="00ED3368">
        <w:t> </w:t>
      </w:r>
      <w:r w:rsidRPr="00ED3368">
        <w:t>fortnight; eligibility for the Parenting Payment (single) has been expanded to include single principal carers whose children are under 14; and the maximum rates of Commonwealth Rent Assistance have been increased by 15 per cent. Further, some support measures are temporary and are due to expire shortly. The Federation Funding Agreements underpinning the Energy Bill Relief Fund, which provides temporary energy rebates to individuals who hold an eligible concession card or receive eligible government payments.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4CE6B" w14:textId="39217E7A" w:rsidR="003D75C3" w:rsidRDefault="00783334" w:rsidP="00D8405C">
    <w:pPr>
      <w:pStyle w:val="SecurityClassificationHeader"/>
    </w:pPr>
    <w:r>
      <w:rPr>
        <w:b w:val="0"/>
        <w:noProof/>
      </w:rPr>
      <mc:AlternateContent>
        <mc:Choice Requires="wps">
          <w:drawing>
            <wp:anchor distT="0" distB="0" distL="114300" distR="114300" simplePos="0" relativeHeight="251658240" behindDoc="1" locked="0" layoutInCell="0" allowOverlap="1" wp14:anchorId="0DEC806F" wp14:editId="298E0B8D">
              <wp:simplePos x="0" y="0"/>
              <wp:positionH relativeFrom="margin">
                <wp:align>center</wp:align>
              </wp:positionH>
              <wp:positionV relativeFrom="margin">
                <wp:align>center</wp:align>
              </wp:positionV>
              <wp:extent cx="5074920" cy="3044825"/>
              <wp:effectExtent l="0" t="0" r="0" b="0"/>
              <wp:wrapNone/>
              <wp:docPr id="2" name="Text Box 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074920" cy="3044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3340E8" w14:textId="77777777" w:rsidR="00783334" w:rsidRDefault="00783334" w:rsidP="00783334">
                          <w:pPr>
                            <w:jc w:val="center"/>
                            <w:rPr>
                              <w:rFonts w:ascii="Calibri" w:hAnsi="Calibri"/>
                              <w:color w:val="C0C0C0"/>
                              <w:sz w:val="16"/>
                              <w:szCs w:val="16"/>
                              <w:lang w:val="en-GB"/>
                              <w14:textFill>
                                <w14:solidFill>
                                  <w14:srgbClr w14:val="C0C0C0">
                                    <w14:alpha w14:val="50000"/>
                                  </w14:srgbClr>
                                </w14:solidFill>
                              </w14:textFill>
                            </w:rPr>
                          </w:pPr>
                          <w:r>
                            <w:rPr>
                              <w:rFonts w:ascii="Calibri" w:hAnsi="Calibri"/>
                              <w:color w:val="C0C0C0"/>
                              <w:sz w:val="16"/>
                              <w:szCs w:val="16"/>
                              <w:lang w:val="en-GB"/>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DEC806F" id="_x0000_t202" coordsize="21600,21600" o:spt="202" path="m,l,21600r21600,l21600,xe">
              <v:stroke joinstyle="miter"/>
              <v:path gradientshapeok="t" o:connecttype="rect"/>
            </v:shapetype>
            <v:shape id="Text Box 2" o:spid="_x0000_s1026" type="#_x0000_t202" style="position:absolute;left:0;text-align:left;margin-left:0;margin-top:0;width:399.6pt;height:239.7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" o:allowincell="f" filled="f" stroked="f">
              <v:stroke joinstyle="round"/>
              <o:lock v:ext="edit" rotation="t" aspectratio="t" verticies="t" adjusthandles="t" grouping="t" shapetype="t"/>
              <v:textbox>
                <w:txbxContent>
                  <w:p w14:paraId="623340E8" w14:textId="77777777" w:rsidR="00783334" w:rsidRDefault="00783334" w:rsidP="00783334">
                    <w:pPr>
                      <w:jc w:val="center"/>
                      <w:rPr>
                        <w:rFonts w:ascii="Calibri" w:hAnsi="Calibri"/>
                        <w:color w:val="C0C0C0"/>
                        <w:sz w:val="16"/>
                        <w:szCs w:val="16"/>
                        <w:lang w:val="en-GB"/>
                        <w14:textFill>
                          <w14:solidFill>
                            <w14:srgbClr w14:val="C0C0C0">
                              <w14:alpha w14:val="50000"/>
                            </w14:srgbClr>
                          </w14:solidFill>
                        </w14:textFill>
                      </w:rPr>
                    </w:pPr>
                    <w:r>
                      <w:rPr>
                        <w:rFonts w:ascii="Calibri" w:hAnsi="Calibri"/>
                        <w:color w:val="C0C0C0"/>
                        <w:sz w:val="16"/>
                        <w:szCs w:val="16"/>
                        <w:lang w:val="en-GB"/>
                        <w14:textFill>
                          <w14:solidFill>
                            <w14:srgbClr w14:val="C0C0C0">
                              <w14:alpha w14:val="50000"/>
                            </w14:srgbClr>
                          </w14:solidFill>
                        </w14:textFill>
                      </w:rPr>
                      <w:t>DRAFT</w:t>
                    </w:r>
                  </w:p>
                </w:txbxContent>
              </v:textbox>
              <w10:wrap anchorx="margin" anchory="margin"/>
            </v:shape>
          </w:pict>
        </mc:Fallback>
      </mc:AlternateContent>
    </w:r>
    <w:r w:rsidR="005209D2" w:rsidDel="005209D2">
      <w:t xml:space="preserve"> </w:t>
    </w:r>
    <w:r w:rsidR="002E5111">
      <w:fldChar w:fldCharType="begin"/>
    </w:r>
    <w:r w:rsidR="002E5111">
      <w:instrText xml:space="preserve">DOCPROPERTY </w:instrText>
    </w:r>
    <w:r w:rsidR="002E5111">
      <w:instrText>WorkingDocStatus \* MERGEFORMAT</w:instrText>
    </w:r>
    <w:r w:rsidR="002E5111">
      <w:fldChar w:fldCharType="separate"/>
    </w:r>
    <w:r w:rsidR="006B05BD">
      <w:t>DRAFT WORKING DOCUMENT</w:t>
    </w:r>
    <w:r w:rsidR="002E511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E5A74" w14:textId="0F7A9E39" w:rsidR="003D75C3" w:rsidRPr="006B601C" w:rsidRDefault="009671EC" w:rsidP="0091170E">
    <w:pPr>
      <w:pStyle w:val="SecurityClassificationHeader"/>
      <w:spacing w:before="0"/>
      <w:rPr>
        <w:strike/>
      </w:rPr>
    </w:pPr>
    <w:r>
      <w:rPr>
        <w:strike/>
        <w:noProof/>
      </w:rPr>
      <w:drawing>
        <wp:anchor distT="0" distB="0" distL="114300" distR="114300" simplePos="0" relativeHeight="251658242" behindDoc="1" locked="0" layoutInCell="1" allowOverlap="1" wp14:anchorId="6A80DAE9" wp14:editId="6F41F885">
          <wp:simplePos x="904875" y="676275"/>
          <wp:positionH relativeFrom="page">
            <wp:align>center</wp:align>
          </wp:positionH>
          <wp:positionV relativeFrom="page">
            <wp:align>top</wp:align>
          </wp:positionV>
          <wp:extent cx="7580230" cy="3502800"/>
          <wp:effectExtent l="0" t="0" r="0" b="0"/>
          <wp:wrapNone/>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0230" cy="3502800"/>
                  </a:xfrm>
                  <a:prstGeom prst="rect">
                    <a:avLst/>
                  </a:prstGeom>
                </pic:spPr>
              </pic:pic>
            </a:graphicData>
          </a:graphic>
          <wp14:sizeRelH relativeFrom="margin">
            <wp14:pctWidth>0</wp14:pctWidth>
          </wp14:sizeRelH>
          <wp14:sizeRelV relativeFrom="margin">
            <wp14:pctHeight>0</wp14:pctHeight>
          </wp14:sizeRelV>
        </wp:anchor>
      </w:drawing>
    </w:r>
    <w:r w:rsidR="005209D2" w:rsidRPr="006B601C" w:rsidDel="005209D2">
      <w:rPr>
        <w:strik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A6983" w14:textId="083ECB6A" w:rsidR="00C60B0F" w:rsidRPr="00D66BB0" w:rsidRDefault="00C60B0F" w:rsidP="00A07439">
    <w:pPr>
      <w:pStyle w:val="SecurityClassificationHeader"/>
      <w:spacing w:before="0"/>
      <w:jc w:val="left"/>
      <w:rPr>
        <w:strik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DE667" w14:textId="346C134E" w:rsidR="00C60B0F" w:rsidRPr="00D66BB0" w:rsidRDefault="00C60B0F" w:rsidP="0091170E">
    <w:pPr>
      <w:pStyle w:val="SecurityClassificationHeader"/>
      <w:spacing w:before="0"/>
      <w:rPr>
        <w:strik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021D" w14:textId="20BEE0F2" w:rsidR="00C60B0F" w:rsidRDefault="00783334" w:rsidP="00D8405C">
    <w:pPr>
      <w:pStyle w:val="SecurityClassificationHeader"/>
    </w:pPr>
    <w:r>
      <w:rPr>
        <w:b w:val="0"/>
        <w:noProof/>
      </w:rPr>
      <mc:AlternateContent>
        <mc:Choice Requires="wps">
          <w:drawing>
            <wp:anchor distT="0" distB="0" distL="114300" distR="114300" simplePos="0" relativeHeight="251658241" behindDoc="1" locked="0" layoutInCell="0" allowOverlap="1" wp14:anchorId="06EB6277" wp14:editId="495DDDF7">
              <wp:simplePos x="0" y="0"/>
              <wp:positionH relativeFrom="margin">
                <wp:align>center</wp:align>
              </wp:positionH>
              <wp:positionV relativeFrom="margin">
                <wp:align>center</wp:align>
              </wp:positionV>
              <wp:extent cx="5074920" cy="3044825"/>
              <wp:effectExtent l="0" t="0" r="0" b="0"/>
              <wp:wrapNone/>
              <wp:docPr id="1" name="Text Box 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074920" cy="3044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514B75" w14:textId="77777777" w:rsidR="00783334" w:rsidRDefault="00783334" w:rsidP="00783334">
                          <w:pPr>
                            <w:jc w:val="center"/>
                            <w:rPr>
                              <w:rFonts w:ascii="Calibri" w:hAnsi="Calibri"/>
                              <w:color w:val="C0C0C0"/>
                              <w:sz w:val="16"/>
                              <w:szCs w:val="16"/>
                              <w:lang w:val="en-GB"/>
                              <w14:textFill>
                                <w14:solidFill>
                                  <w14:srgbClr w14:val="C0C0C0">
                                    <w14:alpha w14:val="50000"/>
                                  </w14:srgbClr>
                                </w14:solidFill>
                              </w14:textFill>
                            </w:rPr>
                          </w:pPr>
                          <w:r>
                            <w:rPr>
                              <w:rFonts w:ascii="Calibri" w:hAnsi="Calibri"/>
                              <w:color w:val="C0C0C0"/>
                              <w:sz w:val="16"/>
                              <w:szCs w:val="16"/>
                              <w:lang w:val="en-GB"/>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6EB6277" id="_x0000_t202" coordsize="21600,21600" o:spt="202" path="m,l,21600r21600,l21600,xe">
              <v:stroke joinstyle="miter"/>
              <v:path gradientshapeok="t" o:connecttype="rect"/>
            </v:shapetype>
            <v:shape id="Text Box 1" o:spid="_x0000_s1027" type="#_x0000_t202" style="position:absolute;left:0;text-align:left;margin-left:0;margin-top:0;width:399.6pt;height:239.7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" o:allowincell="f" filled="f" stroked="f">
              <v:stroke joinstyle="round"/>
              <o:lock v:ext="edit" rotation="t" aspectratio="t" verticies="t" adjusthandles="t" grouping="t" shapetype="t"/>
              <v:textbox>
                <w:txbxContent>
                  <w:p w14:paraId="7E514B75" w14:textId="77777777" w:rsidR="00783334" w:rsidRDefault="00783334" w:rsidP="00783334">
                    <w:pPr>
                      <w:jc w:val="center"/>
                      <w:rPr>
                        <w:rFonts w:ascii="Calibri" w:hAnsi="Calibri"/>
                        <w:color w:val="C0C0C0"/>
                        <w:sz w:val="16"/>
                        <w:szCs w:val="16"/>
                        <w:lang w:val="en-GB"/>
                        <w14:textFill>
                          <w14:solidFill>
                            <w14:srgbClr w14:val="C0C0C0">
                              <w14:alpha w14:val="50000"/>
                            </w14:srgbClr>
                          </w14:solidFill>
                        </w14:textFill>
                      </w:rPr>
                    </w:pPr>
                    <w:r>
                      <w:rPr>
                        <w:rFonts w:ascii="Calibri" w:hAnsi="Calibri"/>
                        <w:color w:val="C0C0C0"/>
                        <w:sz w:val="16"/>
                        <w:szCs w:val="16"/>
                        <w:lang w:val="en-GB"/>
                        <w14:textFill>
                          <w14:solidFill>
                            <w14:srgbClr w14:val="C0C0C0">
                              <w14:alpha w14:val="50000"/>
                            </w14:srgbClr>
                          </w14:solidFill>
                        </w14:textFill>
                      </w:rPr>
                      <w:t>DRAFT</w:t>
                    </w:r>
                  </w:p>
                </w:txbxContent>
              </v:textbox>
              <w10:wrap anchorx="margin" anchory="margin"/>
            </v:shape>
          </w:pict>
        </mc:Fallback>
      </mc:AlternateContent>
    </w:r>
    <w:r w:rsidR="005209D2" w:rsidDel="005209D2">
      <w:t xml:space="preserve"> </w:t>
    </w:r>
    <w:r w:rsidR="002E5111">
      <w:fldChar w:fldCharType="begin"/>
    </w:r>
    <w:r w:rsidR="002E5111">
      <w:instrText>DOCPROPERTY WorkingDocStatus \* MERGEFORMAT</w:instrText>
    </w:r>
    <w:r w:rsidR="002E5111">
      <w:fldChar w:fldCharType="separate"/>
    </w:r>
    <w:r w:rsidR="006B05BD">
      <w:t>DRAFT WORKING DOCUMENT</w:t>
    </w:r>
    <w:r w:rsidR="002E5111">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5" w15:restartNumberingAfterBreak="0">
    <w:nsid w:val="16CC4E5D"/>
    <w:multiLevelType w:val="multilevel"/>
    <w:tmpl w:val="D10E9CF6"/>
    <w:numStyleLink w:val="OneLevelList"/>
  </w:abstractNum>
  <w:abstractNum w:abstractNumId="6"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8" w15:restartNumberingAfterBreak="0">
    <w:nsid w:val="23BD2F7E"/>
    <w:multiLevelType w:val="multilevel"/>
    <w:tmpl w:val="BF5A7F04"/>
    <w:lvl w:ilvl="0">
      <w:start w:val="1"/>
      <w:numFmt w:val="decimal"/>
      <w:pStyle w:val="NumberedList1"/>
      <w:lvlText w:val="%1"/>
      <w:lvlJc w:val="left"/>
      <w:pPr>
        <w:ind w:left="284" w:hanging="284"/>
      </w:pPr>
      <w:rPr>
        <w:rFonts w:hint="default"/>
      </w:rPr>
    </w:lvl>
    <w:lvl w:ilvl="1">
      <w:start w:val="1"/>
      <w:numFmt w:val="decimal"/>
      <w:pStyle w:val="NumberedList11"/>
      <w:lvlText w:val="%1.%2"/>
      <w:lvlJc w:val="left"/>
      <w:pPr>
        <w:ind w:left="568" w:hanging="284"/>
      </w:pPr>
      <w:rPr>
        <w:rFonts w:hint="default"/>
      </w:rPr>
    </w:lvl>
    <w:lvl w:ilvl="2">
      <w:start w:val="1"/>
      <w:numFmt w:val="decimal"/>
      <w:pStyle w:val="NumberedList111"/>
      <w:lvlText w:val="%1.%2.%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0"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6" w15:restartNumberingAfterBreak="0">
    <w:nsid w:val="510D2021"/>
    <w:multiLevelType w:val="multilevel"/>
    <w:tmpl w:val="72F8140E"/>
    <w:numStyleLink w:val="OutlineList"/>
  </w:abstractNum>
  <w:abstractNum w:abstractNumId="17" w15:restartNumberingAfterBreak="0">
    <w:nsid w:val="521F33E9"/>
    <w:multiLevelType w:val="multilevel"/>
    <w:tmpl w:val="C646F9D4"/>
    <w:name w:val="StandardNumberedList"/>
    <w:lvl w:ilvl="0">
      <w:start w:val="1"/>
      <w:numFmt w:val="decimal"/>
      <w:lvlText w:val="%1."/>
      <w:lvlJc w:val="left"/>
      <w:pPr>
        <w:tabs>
          <w:tab w:val="num" w:pos="614"/>
        </w:tabs>
        <w:ind w:left="614" w:hanging="614"/>
      </w:pPr>
    </w:lvl>
    <w:lvl w:ilvl="1">
      <w:start w:val="1"/>
      <w:numFmt w:val="decimal"/>
      <w:lvlText w:val="%1.%2."/>
      <w:lvlJc w:val="left"/>
      <w:pPr>
        <w:tabs>
          <w:tab w:val="num" w:pos="1228"/>
        </w:tabs>
        <w:ind w:left="1228" w:hanging="614"/>
      </w:pPr>
    </w:lvl>
    <w:lvl w:ilvl="2">
      <w:start w:val="1"/>
      <w:numFmt w:val="decimal"/>
      <w:lvlText w:val="%1.%2.%3."/>
      <w:lvlJc w:val="left"/>
      <w:pPr>
        <w:tabs>
          <w:tab w:val="num" w:pos="1842"/>
        </w:tabs>
        <w:ind w:left="1842" w:hanging="61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9BD7DFF"/>
    <w:multiLevelType w:val="multilevel"/>
    <w:tmpl w:val="55D42826"/>
    <w:name w:val="StandardBulletedList2"/>
    <w:lvl w:ilvl="0">
      <w:start w:val="1"/>
      <w:numFmt w:val="bullet"/>
      <w:lvlText w:val="•"/>
      <w:lvlJc w:val="left"/>
      <w:pPr>
        <w:ind w:left="284" w:hanging="284"/>
      </w:pPr>
      <w:rPr>
        <w:rFonts w:ascii="Times New Roman" w:hAnsi="Times New Roman" w:cs="Times New Roman" w:hint="default"/>
        <w:color w:val="auto"/>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20"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2"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6"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747112092">
    <w:abstractNumId w:val="11"/>
  </w:num>
  <w:num w:numId="2" w16cid:durableId="125392115">
    <w:abstractNumId w:val="0"/>
  </w:num>
  <w:num w:numId="3" w16cid:durableId="1138493796">
    <w:abstractNumId w:val="14"/>
  </w:num>
  <w:num w:numId="4" w16cid:durableId="697198535">
    <w:abstractNumId w:val="3"/>
  </w:num>
  <w:num w:numId="5" w16cid:durableId="1530605932">
    <w:abstractNumId w:val="16"/>
  </w:num>
  <w:num w:numId="6" w16cid:durableId="1334606905">
    <w:abstractNumId w:val="6"/>
  </w:num>
  <w:num w:numId="7" w16cid:durableId="732696603">
    <w:abstractNumId w:val="10"/>
  </w:num>
  <w:num w:numId="8" w16cid:durableId="157624863">
    <w:abstractNumId w:val="13"/>
  </w:num>
  <w:num w:numId="9" w16cid:durableId="1517306357">
    <w:abstractNumId w:val="2"/>
  </w:num>
  <w:num w:numId="10" w16cid:durableId="247812166">
    <w:abstractNumId w:val="22"/>
  </w:num>
  <w:num w:numId="11" w16cid:durableId="797070088">
    <w:abstractNumId w:val="13"/>
    <w:lvlOverride w:ilvl="0">
      <w:startOverride w:val="1"/>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Override>
    <w:lvlOverride w:ilvl="1">
      <w:startOverride w:val="1"/>
      <w:lvl w:ilvl="1">
        <w:start w:val="1"/>
        <w:numFmt w:val="lowerLetter"/>
        <w:lvlText w:val="%2)"/>
        <w:lvlJc w:val="left"/>
        <w:pPr>
          <w:ind w:left="720" w:hanging="360"/>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2" w16cid:durableId="1988821076">
    <w:abstractNumId w:val="8"/>
  </w:num>
  <w:num w:numId="13" w16cid:durableId="638614991">
    <w:abstractNumId w:val="4"/>
  </w:num>
  <w:num w:numId="14" w16cid:durableId="903877273">
    <w:abstractNumId w:val="21"/>
  </w:num>
  <w:num w:numId="15" w16cid:durableId="2040936896">
    <w:abstractNumId w:val="5"/>
  </w:num>
  <w:num w:numId="16" w16cid:durableId="1739129519">
    <w:abstractNumId w:val="13"/>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7" w16cid:durableId="148131892">
    <w:abstractNumId w:val="1"/>
  </w:num>
  <w:num w:numId="18" w16cid:durableId="316693093">
    <w:abstractNumId w:val="25"/>
  </w:num>
  <w:num w:numId="19" w16cid:durableId="722944903">
    <w:abstractNumId w:val="26"/>
  </w:num>
  <w:num w:numId="20" w16cid:durableId="1577477471">
    <w:abstractNumId w:val="15"/>
  </w:num>
  <w:num w:numId="21" w16cid:durableId="1108740103">
    <w:abstractNumId w:val="9"/>
  </w:num>
  <w:num w:numId="22" w16cid:durableId="327176770">
    <w:abstractNumId w:val="20"/>
  </w:num>
  <w:num w:numId="23" w16cid:durableId="10540393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85910852">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3769247">
    <w:abstractNumId w:val="12"/>
  </w:num>
  <w:num w:numId="26" w16cid:durableId="1729110786">
    <w:abstractNumId w:val="18"/>
  </w:num>
  <w:num w:numId="27" w16cid:durableId="17107575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2240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DateAndTime/>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True"/>
    <w:docVar w:name="SecurityClassificationInHeader" w:val="False"/>
  </w:docVars>
  <w:rsids>
    <w:rsidRoot w:val="00631F4C"/>
    <w:rsid w:val="00000F2B"/>
    <w:rsid w:val="0000123A"/>
    <w:rsid w:val="000013B8"/>
    <w:rsid w:val="0000205C"/>
    <w:rsid w:val="000021BC"/>
    <w:rsid w:val="00002326"/>
    <w:rsid w:val="0000259D"/>
    <w:rsid w:val="000025BA"/>
    <w:rsid w:val="000028DA"/>
    <w:rsid w:val="00002C6F"/>
    <w:rsid w:val="00002C7E"/>
    <w:rsid w:val="00002FCB"/>
    <w:rsid w:val="000031E9"/>
    <w:rsid w:val="00003AB5"/>
    <w:rsid w:val="00003FDC"/>
    <w:rsid w:val="00004425"/>
    <w:rsid w:val="00004711"/>
    <w:rsid w:val="00004738"/>
    <w:rsid w:val="00005047"/>
    <w:rsid w:val="0000521A"/>
    <w:rsid w:val="00005E55"/>
    <w:rsid w:val="00006177"/>
    <w:rsid w:val="000063BC"/>
    <w:rsid w:val="000063CD"/>
    <w:rsid w:val="000064D9"/>
    <w:rsid w:val="00006BFC"/>
    <w:rsid w:val="0000722C"/>
    <w:rsid w:val="0000735A"/>
    <w:rsid w:val="0000757C"/>
    <w:rsid w:val="00007DB5"/>
    <w:rsid w:val="00010216"/>
    <w:rsid w:val="00010C77"/>
    <w:rsid w:val="00011064"/>
    <w:rsid w:val="0001133F"/>
    <w:rsid w:val="00011725"/>
    <w:rsid w:val="0001188F"/>
    <w:rsid w:val="00011A73"/>
    <w:rsid w:val="00011ECC"/>
    <w:rsid w:val="00011F5A"/>
    <w:rsid w:val="00012912"/>
    <w:rsid w:val="00012C62"/>
    <w:rsid w:val="00012CB5"/>
    <w:rsid w:val="000132EF"/>
    <w:rsid w:val="0001396A"/>
    <w:rsid w:val="00013AB7"/>
    <w:rsid w:val="00013C0F"/>
    <w:rsid w:val="000140F6"/>
    <w:rsid w:val="00014591"/>
    <w:rsid w:val="000146FA"/>
    <w:rsid w:val="00014AFA"/>
    <w:rsid w:val="00014CE6"/>
    <w:rsid w:val="00014DC5"/>
    <w:rsid w:val="00014E8C"/>
    <w:rsid w:val="00015644"/>
    <w:rsid w:val="00016B84"/>
    <w:rsid w:val="0001747C"/>
    <w:rsid w:val="000174A8"/>
    <w:rsid w:val="00017AFA"/>
    <w:rsid w:val="000201ED"/>
    <w:rsid w:val="00020A77"/>
    <w:rsid w:val="00020AC0"/>
    <w:rsid w:val="000214B4"/>
    <w:rsid w:val="00022AC5"/>
    <w:rsid w:val="00022FB8"/>
    <w:rsid w:val="00023219"/>
    <w:rsid w:val="000233B0"/>
    <w:rsid w:val="00023838"/>
    <w:rsid w:val="00024478"/>
    <w:rsid w:val="00024C3A"/>
    <w:rsid w:val="00024E20"/>
    <w:rsid w:val="00025362"/>
    <w:rsid w:val="0002544D"/>
    <w:rsid w:val="00025B9A"/>
    <w:rsid w:val="00025CB8"/>
    <w:rsid w:val="00026D0E"/>
    <w:rsid w:val="00027BED"/>
    <w:rsid w:val="00027CED"/>
    <w:rsid w:val="00027ED8"/>
    <w:rsid w:val="000304DF"/>
    <w:rsid w:val="00030FF4"/>
    <w:rsid w:val="00031655"/>
    <w:rsid w:val="0003261D"/>
    <w:rsid w:val="000327F8"/>
    <w:rsid w:val="0003348F"/>
    <w:rsid w:val="00033A3D"/>
    <w:rsid w:val="0003431A"/>
    <w:rsid w:val="000344D8"/>
    <w:rsid w:val="000350B2"/>
    <w:rsid w:val="0003540B"/>
    <w:rsid w:val="000356D7"/>
    <w:rsid w:val="00035890"/>
    <w:rsid w:val="00035CC8"/>
    <w:rsid w:val="000361CF"/>
    <w:rsid w:val="0003648A"/>
    <w:rsid w:val="000364F9"/>
    <w:rsid w:val="00036855"/>
    <w:rsid w:val="00036BEC"/>
    <w:rsid w:val="00036EB9"/>
    <w:rsid w:val="00040EF6"/>
    <w:rsid w:val="0004102B"/>
    <w:rsid w:val="00041499"/>
    <w:rsid w:val="000416D8"/>
    <w:rsid w:val="00041A35"/>
    <w:rsid w:val="0004274D"/>
    <w:rsid w:val="00042BB1"/>
    <w:rsid w:val="00043348"/>
    <w:rsid w:val="00043FB8"/>
    <w:rsid w:val="0004483F"/>
    <w:rsid w:val="00044914"/>
    <w:rsid w:val="000450D0"/>
    <w:rsid w:val="00045382"/>
    <w:rsid w:val="000459EF"/>
    <w:rsid w:val="00045A91"/>
    <w:rsid w:val="00045C68"/>
    <w:rsid w:val="00045FE1"/>
    <w:rsid w:val="00046437"/>
    <w:rsid w:val="00046BFC"/>
    <w:rsid w:val="00046CB4"/>
    <w:rsid w:val="0004730F"/>
    <w:rsid w:val="0004781B"/>
    <w:rsid w:val="00047939"/>
    <w:rsid w:val="00047C0D"/>
    <w:rsid w:val="0005030F"/>
    <w:rsid w:val="0005067F"/>
    <w:rsid w:val="000509BD"/>
    <w:rsid w:val="0005138B"/>
    <w:rsid w:val="000522B7"/>
    <w:rsid w:val="0005267A"/>
    <w:rsid w:val="00052835"/>
    <w:rsid w:val="00052AC5"/>
    <w:rsid w:val="00052B1F"/>
    <w:rsid w:val="00052E2A"/>
    <w:rsid w:val="00053581"/>
    <w:rsid w:val="00053717"/>
    <w:rsid w:val="000537D3"/>
    <w:rsid w:val="00053B11"/>
    <w:rsid w:val="00053C6D"/>
    <w:rsid w:val="000546AC"/>
    <w:rsid w:val="00054953"/>
    <w:rsid w:val="00054C96"/>
    <w:rsid w:val="00054DFA"/>
    <w:rsid w:val="00054E56"/>
    <w:rsid w:val="00055559"/>
    <w:rsid w:val="00055C7C"/>
    <w:rsid w:val="00055F1A"/>
    <w:rsid w:val="000566C4"/>
    <w:rsid w:val="000567D4"/>
    <w:rsid w:val="00056880"/>
    <w:rsid w:val="0005691D"/>
    <w:rsid w:val="00056E36"/>
    <w:rsid w:val="000570CF"/>
    <w:rsid w:val="00057482"/>
    <w:rsid w:val="00060A13"/>
    <w:rsid w:val="00061338"/>
    <w:rsid w:val="000613E3"/>
    <w:rsid w:val="0006146B"/>
    <w:rsid w:val="00061B98"/>
    <w:rsid w:val="0006201F"/>
    <w:rsid w:val="00062081"/>
    <w:rsid w:val="000621EF"/>
    <w:rsid w:val="0006235B"/>
    <w:rsid w:val="0006287C"/>
    <w:rsid w:val="00062BBD"/>
    <w:rsid w:val="0006307A"/>
    <w:rsid w:val="000635A6"/>
    <w:rsid w:val="000638C8"/>
    <w:rsid w:val="00063998"/>
    <w:rsid w:val="00063AEB"/>
    <w:rsid w:val="00063C8D"/>
    <w:rsid w:val="00064057"/>
    <w:rsid w:val="00064249"/>
    <w:rsid w:val="00064D78"/>
    <w:rsid w:val="00064EBA"/>
    <w:rsid w:val="00065404"/>
    <w:rsid w:val="00065495"/>
    <w:rsid w:val="00065CCB"/>
    <w:rsid w:val="00065E56"/>
    <w:rsid w:val="00066893"/>
    <w:rsid w:val="00066924"/>
    <w:rsid w:val="00066A24"/>
    <w:rsid w:val="00066A78"/>
    <w:rsid w:val="00067111"/>
    <w:rsid w:val="000675D1"/>
    <w:rsid w:val="00067927"/>
    <w:rsid w:val="0007040C"/>
    <w:rsid w:val="000705D1"/>
    <w:rsid w:val="000708C2"/>
    <w:rsid w:val="000708D5"/>
    <w:rsid w:val="0007258A"/>
    <w:rsid w:val="000729FC"/>
    <w:rsid w:val="00072C7F"/>
    <w:rsid w:val="00072DFD"/>
    <w:rsid w:val="0007337F"/>
    <w:rsid w:val="00073521"/>
    <w:rsid w:val="000739F0"/>
    <w:rsid w:val="00073B57"/>
    <w:rsid w:val="00074051"/>
    <w:rsid w:val="000747CD"/>
    <w:rsid w:val="00074D8E"/>
    <w:rsid w:val="000759C6"/>
    <w:rsid w:val="00075D58"/>
    <w:rsid w:val="00075E30"/>
    <w:rsid w:val="0007671A"/>
    <w:rsid w:val="00076964"/>
    <w:rsid w:val="00076FCF"/>
    <w:rsid w:val="000772D9"/>
    <w:rsid w:val="000773B6"/>
    <w:rsid w:val="000775DE"/>
    <w:rsid w:val="000777E3"/>
    <w:rsid w:val="000778DB"/>
    <w:rsid w:val="00077CB0"/>
    <w:rsid w:val="00077D38"/>
    <w:rsid w:val="00080BFA"/>
    <w:rsid w:val="00080DF1"/>
    <w:rsid w:val="00081374"/>
    <w:rsid w:val="00081438"/>
    <w:rsid w:val="0008148F"/>
    <w:rsid w:val="000816B7"/>
    <w:rsid w:val="000825A4"/>
    <w:rsid w:val="0008297C"/>
    <w:rsid w:val="00082B26"/>
    <w:rsid w:val="000830D2"/>
    <w:rsid w:val="00083447"/>
    <w:rsid w:val="00083674"/>
    <w:rsid w:val="0008427D"/>
    <w:rsid w:val="00084375"/>
    <w:rsid w:val="0008551C"/>
    <w:rsid w:val="00085609"/>
    <w:rsid w:val="000859E5"/>
    <w:rsid w:val="000859F0"/>
    <w:rsid w:val="00085BF1"/>
    <w:rsid w:val="00085DCD"/>
    <w:rsid w:val="00086167"/>
    <w:rsid w:val="0008688D"/>
    <w:rsid w:val="00086A4B"/>
    <w:rsid w:val="00087408"/>
    <w:rsid w:val="0008768D"/>
    <w:rsid w:val="00087B6A"/>
    <w:rsid w:val="00087DA3"/>
    <w:rsid w:val="00087E3D"/>
    <w:rsid w:val="00087F0A"/>
    <w:rsid w:val="00087FAF"/>
    <w:rsid w:val="0009011A"/>
    <w:rsid w:val="00090907"/>
    <w:rsid w:val="00090B48"/>
    <w:rsid w:val="00091284"/>
    <w:rsid w:val="0009140E"/>
    <w:rsid w:val="00091998"/>
    <w:rsid w:val="00091AA3"/>
    <w:rsid w:val="00091AC1"/>
    <w:rsid w:val="00092104"/>
    <w:rsid w:val="000926BA"/>
    <w:rsid w:val="0009273E"/>
    <w:rsid w:val="00092984"/>
    <w:rsid w:val="00092FCA"/>
    <w:rsid w:val="0009335B"/>
    <w:rsid w:val="00093366"/>
    <w:rsid w:val="0009427A"/>
    <w:rsid w:val="000942B4"/>
    <w:rsid w:val="00094BE2"/>
    <w:rsid w:val="00094CCB"/>
    <w:rsid w:val="00094EE0"/>
    <w:rsid w:val="00095689"/>
    <w:rsid w:val="000958E8"/>
    <w:rsid w:val="00095C4F"/>
    <w:rsid w:val="00096393"/>
    <w:rsid w:val="0009656F"/>
    <w:rsid w:val="00096AFC"/>
    <w:rsid w:val="00096AFE"/>
    <w:rsid w:val="00096CB4"/>
    <w:rsid w:val="00097368"/>
    <w:rsid w:val="000975CF"/>
    <w:rsid w:val="00097A12"/>
    <w:rsid w:val="00097D77"/>
    <w:rsid w:val="000A040D"/>
    <w:rsid w:val="000A0794"/>
    <w:rsid w:val="000A0A45"/>
    <w:rsid w:val="000A0E07"/>
    <w:rsid w:val="000A1268"/>
    <w:rsid w:val="000A1AB2"/>
    <w:rsid w:val="000A2578"/>
    <w:rsid w:val="000A2BD7"/>
    <w:rsid w:val="000A3675"/>
    <w:rsid w:val="000A37E9"/>
    <w:rsid w:val="000A3984"/>
    <w:rsid w:val="000A4059"/>
    <w:rsid w:val="000A4ACD"/>
    <w:rsid w:val="000A4EC7"/>
    <w:rsid w:val="000A5C10"/>
    <w:rsid w:val="000A5F56"/>
    <w:rsid w:val="000A63FE"/>
    <w:rsid w:val="000A67B5"/>
    <w:rsid w:val="000A6D42"/>
    <w:rsid w:val="000A6F17"/>
    <w:rsid w:val="000A7B1C"/>
    <w:rsid w:val="000B023D"/>
    <w:rsid w:val="000B0459"/>
    <w:rsid w:val="000B070F"/>
    <w:rsid w:val="000B093F"/>
    <w:rsid w:val="000B13B6"/>
    <w:rsid w:val="000B166A"/>
    <w:rsid w:val="000B16E3"/>
    <w:rsid w:val="000B1BCE"/>
    <w:rsid w:val="000B1C52"/>
    <w:rsid w:val="000B2107"/>
    <w:rsid w:val="000B23E2"/>
    <w:rsid w:val="000B2F37"/>
    <w:rsid w:val="000B302A"/>
    <w:rsid w:val="000B38B2"/>
    <w:rsid w:val="000B39D3"/>
    <w:rsid w:val="000B4ED2"/>
    <w:rsid w:val="000B526B"/>
    <w:rsid w:val="000B572B"/>
    <w:rsid w:val="000B57D9"/>
    <w:rsid w:val="000B5A6C"/>
    <w:rsid w:val="000B5D34"/>
    <w:rsid w:val="000B5DFE"/>
    <w:rsid w:val="000B67F8"/>
    <w:rsid w:val="000B6C93"/>
    <w:rsid w:val="000B6E6D"/>
    <w:rsid w:val="000B7C0F"/>
    <w:rsid w:val="000B7E40"/>
    <w:rsid w:val="000C02B3"/>
    <w:rsid w:val="000C0A6E"/>
    <w:rsid w:val="000C1128"/>
    <w:rsid w:val="000C1478"/>
    <w:rsid w:val="000C1636"/>
    <w:rsid w:val="000C220F"/>
    <w:rsid w:val="000C251B"/>
    <w:rsid w:val="000C2BF4"/>
    <w:rsid w:val="000C2EA3"/>
    <w:rsid w:val="000C3614"/>
    <w:rsid w:val="000C37CE"/>
    <w:rsid w:val="000C3D7D"/>
    <w:rsid w:val="000C418A"/>
    <w:rsid w:val="000C45F6"/>
    <w:rsid w:val="000C46E9"/>
    <w:rsid w:val="000C48F9"/>
    <w:rsid w:val="000C4920"/>
    <w:rsid w:val="000C562E"/>
    <w:rsid w:val="000C571D"/>
    <w:rsid w:val="000C57EA"/>
    <w:rsid w:val="000C597B"/>
    <w:rsid w:val="000C5F40"/>
    <w:rsid w:val="000C5FE0"/>
    <w:rsid w:val="000C616D"/>
    <w:rsid w:val="000C64D7"/>
    <w:rsid w:val="000C6B6F"/>
    <w:rsid w:val="000C6E65"/>
    <w:rsid w:val="000C7025"/>
    <w:rsid w:val="000C7535"/>
    <w:rsid w:val="000C76FE"/>
    <w:rsid w:val="000C7A58"/>
    <w:rsid w:val="000C7C79"/>
    <w:rsid w:val="000C7DBB"/>
    <w:rsid w:val="000D01A2"/>
    <w:rsid w:val="000D0767"/>
    <w:rsid w:val="000D0E27"/>
    <w:rsid w:val="000D140D"/>
    <w:rsid w:val="000D1777"/>
    <w:rsid w:val="000D17AE"/>
    <w:rsid w:val="000D1923"/>
    <w:rsid w:val="000D2BF2"/>
    <w:rsid w:val="000D3074"/>
    <w:rsid w:val="000D3625"/>
    <w:rsid w:val="000D3BF0"/>
    <w:rsid w:val="000D4044"/>
    <w:rsid w:val="000D4325"/>
    <w:rsid w:val="000D457E"/>
    <w:rsid w:val="000D72E4"/>
    <w:rsid w:val="000D75EA"/>
    <w:rsid w:val="000D774B"/>
    <w:rsid w:val="000E00B6"/>
    <w:rsid w:val="000E013A"/>
    <w:rsid w:val="000E0367"/>
    <w:rsid w:val="000E0B74"/>
    <w:rsid w:val="000E0F0F"/>
    <w:rsid w:val="000E11EE"/>
    <w:rsid w:val="000E14F9"/>
    <w:rsid w:val="000E1503"/>
    <w:rsid w:val="000E1550"/>
    <w:rsid w:val="000E1ECB"/>
    <w:rsid w:val="000E2097"/>
    <w:rsid w:val="000E20E2"/>
    <w:rsid w:val="000E35F6"/>
    <w:rsid w:val="000E3E3A"/>
    <w:rsid w:val="000E43C1"/>
    <w:rsid w:val="000E4A91"/>
    <w:rsid w:val="000E4D70"/>
    <w:rsid w:val="000E5252"/>
    <w:rsid w:val="000E5346"/>
    <w:rsid w:val="000E5C2B"/>
    <w:rsid w:val="000E6037"/>
    <w:rsid w:val="000E63C1"/>
    <w:rsid w:val="000E63CE"/>
    <w:rsid w:val="000E655C"/>
    <w:rsid w:val="000E6B0C"/>
    <w:rsid w:val="000E6D14"/>
    <w:rsid w:val="000E6EBF"/>
    <w:rsid w:val="000E727D"/>
    <w:rsid w:val="000E7674"/>
    <w:rsid w:val="000E7786"/>
    <w:rsid w:val="000E7901"/>
    <w:rsid w:val="000E7E31"/>
    <w:rsid w:val="000F043C"/>
    <w:rsid w:val="000F04D2"/>
    <w:rsid w:val="000F12ED"/>
    <w:rsid w:val="000F1495"/>
    <w:rsid w:val="000F149B"/>
    <w:rsid w:val="000F182D"/>
    <w:rsid w:val="000F18BC"/>
    <w:rsid w:val="000F19AB"/>
    <w:rsid w:val="000F28E9"/>
    <w:rsid w:val="000F2CCB"/>
    <w:rsid w:val="000F2FC1"/>
    <w:rsid w:val="000F30B8"/>
    <w:rsid w:val="000F3951"/>
    <w:rsid w:val="000F3987"/>
    <w:rsid w:val="000F3A6C"/>
    <w:rsid w:val="000F468C"/>
    <w:rsid w:val="000F49CB"/>
    <w:rsid w:val="000F4D79"/>
    <w:rsid w:val="000F53A2"/>
    <w:rsid w:val="000F56D1"/>
    <w:rsid w:val="000F57E6"/>
    <w:rsid w:val="000F585B"/>
    <w:rsid w:val="000F588E"/>
    <w:rsid w:val="000F6233"/>
    <w:rsid w:val="000F659E"/>
    <w:rsid w:val="000F692E"/>
    <w:rsid w:val="000F6CFE"/>
    <w:rsid w:val="000F6E93"/>
    <w:rsid w:val="000F7143"/>
    <w:rsid w:val="000F7AFD"/>
    <w:rsid w:val="0010051F"/>
    <w:rsid w:val="001007CA"/>
    <w:rsid w:val="001015FA"/>
    <w:rsid w:val="001016CF"/>
    <w:rsid w:val="00101A06"/>
    <w:rsid w:val="00101E99"/>
    <w:rsid w:val="00101F15"/>
    <w:rsid w:val="0010243E"/>
    <w:rsid w:val="0010263C"/>
    <w:rsid w:val="00102C7D"/>
    <w:rsid w:val="00102D65"/>
    <w:rsid w:val="00102E71"/>
    <w:rsid w:val="00102F6C"/>
    <w:rsid w:val="001037C9"/>
    <w:rsid w:val="00103B77"/>
    <w:rsid w:val="00104BB7"/>
    <w:rsid w:val="00104F36"/>
    <w:rsid w:val="0010507E"/>
    <w:rsid w:val="00105226"/>
    <w:rsid w:val="00105BE5"/>
    <w:rsid w:val="0010662A"/>
    <w:rsid w:val="00107A53"/>
    <w:rsid w:val="00107D49"/>
    <w:rsid w:val="00110423"/>
    <w:rsid w:val="0011079A"/>
    <w:rsid w:val="001107B3"/>
    <w:rsid w:val="0011092E"/>
    <w:rsid w:val="001109CE"/>
    <w:rsid w:val="0011106A"/>
    <w:rsid w:val="0011115C"/>
    <w:rsid w:val="001113B7"/>
    <w:rsid w:val="001116F1"/>
    <w:rsid w:val="00111748"/>
    <w:rsid w:val="00111912"/>
    <w:rsid w:val="00111DDA"/>
    <w:rsid w:val="001120EF"/>
    <w:rsid w:val="00112376"/>
    <w:rsid w:val="001126C8"/>
    <w:rsid w:val="00112C9B"/>
    <w:rsid w:val="00112D94"/>
    <w:rsid w:val="00113139"/>
    <w:rsid w:val="00113633"/>
    <w:rsid w:val="00113C6C"/>
    <w:rsid w:val="00114089"/>
    <w:rsid w:val="001148DA"/>
    <w:rsid w:val="00114CDB"/>
    <w:rsid w:val="00115D29"/>
    <w:rsid w:val="00115F78"/>
    <w:rsid w:val="001163D9"/>
    <w:rsid w:val="00116594"/>
    <w:rsid w:val="0011665C"/>
    <w:rsid w:val="00116DB2"/>
    <w:rsid w:val="00116F70"/>
    <w:rsid w:val="0011757C"/>
    <w:rsid w:val="00117D47"/>
    <w:rsid w:val="00117F3B"/>
    <w:rsid w:val="00121383"/>
    <w:rsid w:val="001214E1"/>
    <w:rsid w:val="00121B4D"/>
    <w:rsid w:val="00121BFD"/>
    <w:rsid w:val="00121CAB"/>
    <w:rsid w:val="00121EB3"/>
    <w:rsid w:val="00122373"/>
    <w:rsid w:val="0012294E"/>
    <w:rsid w:val="00122A90"/>
    <w:rsid w:val="001242A6"/>
    <w:rsid w:val="001242E8"/>
    <w:rsid w:val="0012479B"/>
    <w:rsid w:val="001253EE"/>
    <w:rsid w:val="00126536"/>
    <w:rsid w:val="00126B53"/>
    <w:rsid w:val="00126F38"/>
    <w:rsid w:val="00127680"/>
    <w:rsid w:val="00127774"/>
    <w:rsid w:val="001279D7"/>
    <w:rsid w:val="00127A01"/>
    <w:rsid w:val="00127E1A"/>
    <w:rsid w:val="00127FF4"/>
    <w:rsid w:val="001301D8"/>
    <w:rsid w:val="00130323"/>
    <w:rsid w:val="00130F4F"/>
    <w:rsid w:val="001312C6"/>
    <w:rsid w:val="00131DC3"/>
    <w:rsid w:val="00131DE7"/>
    <w:rsid w:val="00132383"/>
    <w:rsid w:val="0013285B"/>
    <w:rsid w:val="0013307E"/>
    <w:rsid w:val="001333CB"/>
    <w:rsid w:val="00133791"/>
    <w:rsid w:val="00133850"/>
    <w:rsid w:val="00133F90"/>
    <w:rsid w:val="00134007"/>
    <w:rsid w:val="00134D77"/>
    <w:rsid w:val="00135216"/>
    <w:rsid w:val="00135329"/>
    <w:rsid w:val="001356AB"/>
    <w:rsid w:val="001357BC"/>
    <w:rsid w:val="0013586E"/>
    <w:rsid w:val="001359AD"/>
    <w:rsid w:val="00135E4C"/>
    <w:rsid w:val="00135EEA"/>
    <w:rsid w:val="0013642A"/>
    <w:rsid w:val="00136B8F"/>
    <w:rsid w:val="00136E66"/>
    <w:rsid w:val="001373F5"/>
    <w:rsid w:val="00137698"/>
    <w:rsid w:val="00137A66"/>
    <w:rsid w:val="00137BC7"/>
    <w:rsid w:val="00137D97"/>
    <w:rsid w:val="00137DFF"/>
    <w:rsid w:val="0014010D"/>
    <w:rsid w:val="001401E1"/>
    <w:rsid w:val="00140BFB"/>
    <w:rsid w:val="00140C9A"/>
    <w:rsid w:val="001410C0"/>
    <w:rsid w:val="00141334"/>
    <w:rsid w:val="0014144B"/>
    <w:rsid w:val="00141B01"/>
    <w:rsid w:val="001421EF"/>
    <w:rsid w:val="0014269B"/>
    <w:rsid w:val="0014280B"/>
    <w:rsid w:val="00142D74"/>
    <w:rsid w:val="001449BF"/>
    <w:rsid w:val="00144AFD"/>
    <w:rsid w:val="00144E10"/>
    <w:rsid w:val="001451A4"/>
    <w:rsid w:val="00145211"/>
    <w:rsid w:val="00145719"/>
    <w:rsid w:val="0014596A"/>
    <w:rsid w:val="00145AA0"/>
    <w:rsid w:val="00145E45"/>
    <w:rsid w:val="00145E9A"/>
    <w:rsid w:val="00146198"/>
    <w:rsid w:val="00146A49"/>
    <w:rsid w:val="00146DE7"/>
    <w:rsid w:val="0014727A"/>
    <w:rsid w:val="0014757E"/>
    <w:rsid w:val="0014773A"/>
    <w:rsid w:val="001477F1"/>
    <w:rsid w:val="00147882"/>
    <w:rsid w:val="00147C7D"/>
    <w:rsid w:val="001502AB"/>
    <w:rsid w:val="00150804"/>
    <w:rsid w:val="001508FF"/>
    <w:rsid w:val="00151068"/>
    <w:rsid w:val="001515A2"/>
    <w:rsid w:val="001515FD"/>
    <w:rsid w:val="001518DC"/>
    <w:rsid w:val="00151968"/>
    <w:rsid w:val="001519DA"/>
    <w:rsid w:val="00151BEA"/>
    <w:rsid w:val="00151C9D"/>
    <w:rsid w:val="00151D8E"/>
    <w:rsid w:val="00152E1B"/>
    <w:rsid w:val="001539EA"/>
    <w:rsid w:val="001539F1"/>
    <w:rsid w:val="00154500"/>
    <w:rsid w:val="00154CDC"/>
    <w:rsid w:val="0015526D"/>
    <w:rsid w:val="00155275"/>
    <w:rsid w:val="00155986"/>
    <w:rsid w:val="00155A58"/>
    <w:rsid w:val="00156541"/>
    <w:rsid w:val="00156921"/>
    <w:rsid w:val="00156985"/>
    <w:rsid w:val="00156BCF"/>
    <w:rsid w:val="00157303"/>
    <w:rsid w:val="001574C0"/>
    <w:rsid w:val="001575A2"/>
    <w:rsid w:val="001575D6"/>
    <w:rsid w:val="001578A1"/>
    <w:rsid w:val="00157BEA"/>
    <w:rsid w:val="00157DFD"/>
    <w:rsid w:val="00157EA4"/>
    <w:rsid w:val="001606CF"/>
    <w:rsid w:val="00160C4D"/>
    <w:rsid w:val="00160E4D"/>
    <w:rsid w:val="0016128D"/>
    <w:rsid w:val="00161BEF"/>
    <w:rsid w:val="00161C84"/>
    <w:rsid w:val="00162109"/>
    <w:rsid w:val="0016269D"/>
    <w:rsid w:val="00162757"/>
    <w:rsid w:val="00162EF8"/>
    <w:rsid w:val="00163178"/>
    <w:rsid w:val="001635AF"/>
    <w:rsid w:val="0016378B"/>
    <w:rsid w:val="00164599"/>
    <w:rsid w:val="00164691"/>
    <w:rsid w:val="001648D5"/>
    <w:rsid w:val="00164F73"/>
    <w:rsid w:val="00164F87"/>
    <w:rsid w:val="00165599"/>
    <w:rsid w:val="001655B2"/>
    <w:rsid w:val="001656C7"/>
    <w:rsid w:val="001656D4"/>
    <w:rsid w:val="00165948"/>
    <w:rsid w:val="00165C2A"/>
    <w:rsid w:val="00165F8A"/>
    <w:rsid w:val="00166425"/>
    <w:rsid w:val="0016644A"/>
    <w:rsid w:val="00166545"/>
    <w:rsid w:val="00166B3A"/>
    <w:rsid w:val="00166C28"/>
    <w:rsid w:val="00166E7A"/>
    <w:rsid w:val="00167D93"/>
    <w:rsid w:val="001706F7"/>
    <w:rsid w:val="001707B0"/>
    <w:rsid w:val="0017089D"/>
    <w:rsid w:val="00170A2D"/>
    <w:rsid w:val="00170AF0"/>
    <w:rsid w:val="0017108B"/>
    <w:rsid w:val="001718A8"/>
    <w:rsid w:val="00171E55"/>
    <w:rsid w:val="00172123"/>
    <w:rsid w:val="001725DB"/>
    <w:rsid w:val="00172915"/>
    <w:rsid w:val="00172C40"/>
    <w:rsid w:val="00172D3D"/>
    <w:rsid w:val="00173A81"/>
    <w:rsid w:val="00174558"/>
    <w:rsid w:val="00174721"/>
    <w:rsid w:val="001749A8"/>
    <w:rsid w:val="00174BC7"/>
    <w:rsid w:val="00174CF2"/>
    <w:rsid w:val="00174D61"/>
    <w:rsid w:val="00174FD9"/>
    <w:rsid w:val="0017530D"/>
    <w:rsid w:val="00175850"/>
    <w:rsid w:val="001758EF"/>
    <w:rsid w:val="00175C18"/>
    <w:rsid w:val="001769E6"/>
    <w:rsid w:val="00176D4B"/>
    <w:rsid w:val="00177443"/>
    <w:rsid w:val="00177B42"/>
    <w:rsid w:val="001805A8"/>
    <w:rsid w:val="0018085A"/>
    <w:rsid w:val="00181127"/>
    <w:rsid w:val="00181480"/>
    <w:rsid w:val="00181543"/>
    <w:rsid w:val="001815B3"/>
    <w:rsid w:val="00181C27"/>
    <w:rsid w:val="00181F53"/>
    <w:rsid w:val="0018247E"/>
    <w:rsid w:val="001824A2"/>
    <w:rsid w:val="001827D3"/>
    <w:rsid w:val="001828CA"/>
    <w:rsid w:val="001828DC"/>
    <w:rsid w:val="001834EE"/>
    <w:rsid w:val="00183542"/>
    <w:rsid w:val="0018393D"/>
    <w:rsid w:val="00183C15"/>
    <w:rsid w:val="00184232"/>
    <w:rsid w:val="00184469"/>
    <w:rsid w:val="00184539"/>
    <w:rsid w:val="0018459E"/>
    <w:rsid w:val="00185316"/>
    <w:rsid w:val="001853F6"/>
    <w:rsid w:val="00185612"/>
    <w:rsid w:val="00185B9E"/>
    <w:rsid w:val="00185F77"/>
    <w:rsid w:val="00186049"/>
    <w:rsid w:val="00186432"/>
    <w:rsid w:val="00186535"/>
    <w:rsid w:val="00186BE2"/>
    <w:rsid w:val="00187697"/>
    <w:rsid w:val="0018775E"/>
    <w:rsid w:val="0019000E"/>
    <w:rsid w:val="0019001F"/>
    <w:rsid w:val="00190080"/>
    <w:rsid w:val="0019091D"/>
    <w:rsid w:val="00190A6B"/>
    <w:rsid w:val="0019101A"/>
    <w:rsid w:val="001910EF"/>
    <w:rsid w:val="001912FD"/>
    <w:rsid w:val="0019133A"/>
    <w:rsid w:val="00191B35"/>
    <w:rsid w:val="00191CFE"/>
    <w:rsid w:val="001921E6"/>
    <w:rsid w:val="001923F1"/>
    <w:rsid w:val="00192428"/>
    <w:rsid w:val="00192A47"/>
    <w:rsid w:val="00192BE1"/>
    <w:rsid w:val="00192D26"/>
    <w:rsid w:val="00192E4A"/>
    <w:rsid w:val="001930B9"/>
    <w:rsid w:val="0019336E"/>
    <w:rsid w:val="00193935"/>
    <w:rsid w:val="0019412D"/>
    <w:rsid w:val="0019477C"/>
    <w:rsid w:val="00194934"/>
    <w:rsid w:val="00195102"/>
    <w:rsid w:val="00195284"/>
    <w:rsid w:val="00195634"/>
    <w:rsid w:val="00195670"/>
    <w:rsid w:val="00195970"/>
    <w:rsid w:val="00195C8E"/>
    <w:rsid w:val="00195CBF"/>
    <w:rsid w:val="00195E8E"/>
    <w:rsid w:val="00195F66"/>
    <w:rsid w:val="0019606B"/>
    <w:rsid w:val="00196283"/>
    <w:rsid w:val="001972D2"/>
    <w:rsid w:val="00197827"/>
    <w:rsid w:val="001A0B65"/>
    <w:rsid w:val="001A1015"/>
    <w:rsid w:val="001A1078"/>
    <w:rsid w:val="001A25AD"/>
    <w:rsid w:val="001A311E"/>
    <w:rsid w:val="001A3274"/>
    <w:rsid w:val="001A33F2"/>
    <w:rsid w:val="001A34F7"/>
    <w:rsid w:val="001A39F6"/>
    <w:rsid w:val="001A3BD7"/>
    <w:rsid w:val="001A3D1D"/>
    <w:rsid w:val="001A44F0"/>
    <w:rsid w:val="001A4707"/>
    <w:rsid w:val="001A5995"/>
    <w:rsid w:val="001A607A"/>
    <w:rsid w:val="001A60E8"/>
    <w:rsid w:val="001A617C"/>
    <w:rsid w:val="001A661B"/>
    <w:rsid w:val="001A669A"/>
    <w:rsid w:val="001A67F3"/>
    <w:rsid w:val="001A6A94"/>
    <w:rsid w:val="001A6EBD"/>
    <w:rsid w:val="001B01DF"/>
    <w:rsid w:val="001B0700"/>
    <w:rsid w:val="001B0A09"/>
    <w:rsid w:val="001B0E45"/>
    <w:rsid w:val="001B0EA4"/>
    <w:rsid w:val="001B1731"/>
    <w:rsid w:val="001B18BE"/>
    <w:rsid w:val="001B1D3B"/>
    <w:rsid w:val="001B1DCE"/>
    <w:rsid w:val="001B1F20"/>
    <w:rsid w:val="001B26CF"/>
    <w:rsid w:val="001B30C4"/>
    <w:rsid w:val="001B316A"/>
    <w:rsid w:val="001B3B9E"/>
    <w:rsid w:val="001B473F"/>
    <w:rsid w:val="001B554A"/>
    <w:rsid w:val="001B6091"/>
    <w:rsid w:val="001B6B48"/>
    <w:rsid w:val="001B6B84"/>
    <w:rsid w:val="001B6C92"/>
    <w:rsid w:val="001B7090"/>
    <w:rsid w:val="001B7DAE"/>
    <w:rsid w:val="001C0082"/>
    <w:rsid w:val="001C08B4"/>
    <w:rsid w:val="001C0EF5"/>
    <w:rsid w:val="001C10A6"/>
    <w:rsid w:val="001C1140"/>
    <w:rsid w:val="001C1BCF"/>
    <w:rsid w:val="001C1C6E"/>
    <w:rsid w:val="001C1F3E"/>
    <w:rsid w:val="001C26AF"/>
    <w:rsid w:val="001C27D8"/>
    <w:rsid w:val="001C2BF8"/>
    <w:rsid w:val="001C2D41"/>
    <w:rsid w:val="001C358D"/>
    <w:rsid w:val="001C40A0"/>
    <w:rsid w:val="001C427F"/>
    <w:rsid w:val="001C4C1E"/>
    <w:rsid w:val="001C5330"/>
    <w:rsid w:val="001C5461"/>
    <w:rsid w:val="001C587E"/>
    <w:rsid w:val="001C589C"/>
    <w:rsid w:val="001C5B3C"/>
    <w:rsid w:val="001C631F"/>
    <w:rsid w:val="001C65AE"/>
    <w:rsid w:val="001C6A9D"/>
    <w:rsid w:val="001C6D7F"/>
    <w:rsid w:val="001C6F7C"/>
    <w:rsid w:val="001C7219"/>
    <w:rsid w:val="001C7686"/>
    <w:rsid w:val="001C7B60"/>
    <w:rsid w:val="001D06D3"/>
    <w:rsid w:val="001D0DE7"/>
    <w:rsid w:val="001D1412"/>
    <w:rsid w:val="001D16EC"/>
    <w:rsid w:val="001D1AA6"/>
    <w:rsid w:val="001D1C4E"/>
    <w:rsid w:val="001D1CE0"/>
    <w:rsid w:val="001D2238"/>
    <w:rsid w:val="001D2AEC"/>
    <w:rsid w:val="001D323F"/>
    <w:rsid w:val="001D3259"/>
    <w:rsid w:val="001D3A65"/>
    <w:rsid w:val="001D3AA3"/>
    <w:rsid w:val="001D3AB1"/>
    <w:rsid w:val="001D3F34"/>
    <w:rsid w:val="001D4182"/>
    <w:rsid w:val="001D4725"/>
    <w:rsid w:val="001D4895"/>
    <w:rsid w:val="001D4E73"/>
    <w:rsid w:val="001D554F"/>
    <w:rsid w:val="001D618A"/>
    <w:rsid w:val="001D714E"/>
    <w:rsid w:val="001D749F"/>
    <w:rsid w:val="001D76CA"/>
    <w:rsid w:val="001D776B"/>
    <w:rsid w:val="001D7B7F"/>
    <w:rsid w:val="001E0278"/>
    <w:rsid w:val="001E0A07"/>
    <w:rsid w:val="001E1429"/>
    <w:rsid w:val="001E1C07"/>
    <w:rsid w:val="001E1EBD"/>
    <w:rsid w:val="001E1EEE"/>
    <w:rsid w:val="001E1F34"/>
    <w:rsid w:val="001E2F41"/>
    <w:rsid w:val="001E3161"/>
    <w:rsid w:val="001E3427"/>
    <w:rsid w:val="001E34D3"/>
    <w:rsid w:val="001E3504"/>
    <w:rsid w:val="001E3649"/>
    <w:rsid w:val="001E48B8"/>
    <w:rsid w:val="001E4CBE"/>
    <w:rsid w:val="001E4D5E"/>
    <w:rsid w:val="001E4E6D"/>
    <w:rsid w:val="001E5A11"/>
    <w:rsid w:val="001E62AD"/>
    <w:rsid w:val="001E6AAF"/>
    <w:rsid w:val="001E6D80"/>
    <w:rsid w:val="001E703C"/>
    <w:rsid w:val="001E74CA"/>
    <w:rsid w:val="001E7604"/>
    <w:rsid w:val="001E774C"/>
    <w:rsid w:val="001E7E22"/>
    <w:rsid w:val="001E7E49"/>
    <w:rsid w:val="001F06C2"/>
    <w:rsid w:val="001F09C7"/>
    <w:rsid w:val="001F1043"/>
    <w:rsid w:val="001F10BD"/>
    <w:rsid w:val="001F1988"/>
    <w:rsid w:val="001F1B27"/>
    <w:rsid w:val="001F1FCD"/>
    <w:rsid w:val="001F230F"/>
    <w:rsid w:val="001F234F"/>
    <w:rsid w:val="001F250C"/>
    <w:rsid w:val="001F261F"/>
    <w:rsid w:val="001F267A"/>
    <w:rsid w:val="001F2885"/>
    <w:rsid w:val="001F324E"/>
    <w:rsid w:val="001F3573"/>
    <w:rsid w:val="001F3916"/>
    <w:rsid w:val="001F39D7"/>
    <w:rsid w:val="001F589A"/>
    <w:rsid w:val="001F5D05"/>
    <w:rsid w:val="001F61F4"/>
    <w:rsid w:val="001F69DC"/>
    <w:rsid w:val="001F6B19"/>
    <w:rsid w:val="001F773B"/>
    <w:rsid w:val="001F77FF"/>
    <w:rsid w:val="001F7DB5"/>
    <w:rsid w:val="0020017D"/>
    <w:rsid w:val="00200357"/>
    <w:rsid w:val="002006BA"/>
    <w:rsid w:val="00200837"/>
    <w:rsid w:val="00200A6E"/>
    <w:rsid w:val="00200B3C"/>
    <w:rsid w:val="00200BAC"/>
    <w:rsid w:val="00200C9D"/>
    <w:rsid w:val="0020139A"/>
    <w:rsid w:val="002015E7"/>
    <w:rsid w:val="002020B2"/>
    <w:rsid w:val="002025AB"/>
    <w:rsid w:val="0020288F"/>
    <w:rsid w:val="002029B1"/>
    <w:rsid w:val="002031A7"/>
    <w:rsid w:val="00203A1B"/>
    <w:rsid w:val="00203CA3"/>
    <w:rsid w:val="00203E7C"/>
    <w:rsid w:val="002046C6"/>
    <w:rsid w:val="00204811"/>
    <w:rsid w:val="00204DAA"/>
    <w:rsid w:val="00205128"/>
    <w:rsid w:val="00205136"/>
    <w:rsid w:val="00205712"/>
    <w:rsid w:val="00205A0B"/>
    <w:rsid w:val="00205A2C"/>
    <w:rsid w:val="00205BA9"/>
    <w:rsid w:val="00206043"/>
    <w:rsid w:val="0020658D"/>
    <w:rsid w:val="002069A9"/>
    <w:rsid w:val="00206ABB"/>
    <w:rsid w:val="00207EF4"/>
    <w:rsid w:val="002104D4"/>
    <w:rsid w:val="00210503"/>
    <w:rsid w:val="002105F1"/>
    <w:rsid w:val="0021091F"/>
    <w:rsid w:val="00210C2B"/>
    <w:rsid w:val="00210E31"/>
    <w:rsid w:val="00211560"/>
    <w:rsid w:val="00211DFA"/>
    <w:rsid w:val="0021235E"/>
    <w:rsid w:val="00212558"/>
    <w:rsid w:val="00213307"/>
    <w:rsid w:val="00213483"/>
    <w:rsid w:val="002137A2"/>
    <w:rsid w:val="00213832"/>
    <w:rsid w:val="00213F2D"/>
    <w:rsid w:val="002146F0"/>
    <w:rsid w:val="00214FE9"/>
    <w:rsid w:val="00215276"/>
    <w:rsid w:val="00215AF9"/>
    <w:rsid w:val="00215BA5"/>
    <w:rsid w:val="0021675B"/>
    <w:rsid w:val="002169BD"/>
    <w:rsid w:val="00217209"/>
    <w:rsid w:val="00217951"/>
    <w:rsid w:val="002207D2"/>
    <w:rsid w:val="00220D9E"/>
    <w:rsid w:val="002219A1"/>
    <w:rsid w:val="00221B6D"/>
    <w:rsid w:val="00221EC0"/>
    <w:rsid w:val="00222110"/>
    <w:rsid w:val="00222134"/>
    <w:rsid w:val="00222172"/>
    <w:rsid w:val="0022218D"/>
    <w:rsid w:val="002225E2"/>
    <w:rsid w:val="0022262E"/>
    <w:rsid w:val="00222831"/>
    <w:rsid w:val="002229B4"/>
    <w:rsid w:val="00222BF0"/>
    <w:rsid w:val="00222E5C"/>
    <w:rsid w:val="0022305D"/>
    <w:rsid w:val="002232E9"/>
    <w:rsid w:val="00223655"/>
    <w:rsid w:val="00224792"/>
    <w:rsid w:val="002249F7"/>
    <w:rsid w:val="00224A8E"/>
    <w:rsid w:val="00224B3A"/>
    <w:rsid w:val="00224D07"/>
    <w:rsid w:val="00224EED"/>
    <w:rsid w:val="00225F7A"/>
    <w:rsid w:val="0022634F"/>
    <w:rsid w:val="00226442"/>
    <w:rsid w:val="0022693B"/>
    <w:rsid w:val="00226B7A"/>
    <w:rsid w:val="00226CF5"/>
    <w:rsid w:val="00226D91"/>
    <w:rsid w:val="00226F71"/>
    <w:rsid w:val="00227566"/>
    <w:rsid w:val="00227DC5"/>
    <w:rsid w:val="00230375"/>
    <w:rsid w:val="002303FA"/>
    <w:rsid w:val="00230D11"/>
    <w:rsid w:val="00231049"/>
    <w:rsid w:val="00231134"/>
    <w:rsid w:val="002312D6"/>
    <w:rsid w:val="00231435"/>
    <w:rsid w:val="002314D2"/>
    <w:rsid w:val="00231523"/>
    <w:rsid w:val="0023159A"/>
    <w:rsid w:val="00231A31"/>
    <w:rsid w:val="0023289A"/>
    <w:rsid w:val="00232F8D"/>
    <w:rsid w:val="0023305C"/>
    <w:rsid w:val="0023328D"/>
    <w:rsid w:val="002335FB"/>
    <w:rsid w:val="00233974"/>
    <w:rsid w:val="00233EB8"/>
    <w:rsid w:val="00233F8A"/>
    <w:rsid w:val="002346F6"/>
    <w:rsid w:val="00234C6B"/>
    <w:rsid w:val="002358CF"/>
    <w:rsid w:val="002360D6"/>
    <w:rsid w:val="00236927"/>
    <w:rsid w:val="00236EC1"/>
    <w:rsid w:val="002372B9"/>
    <w:rsid w:val="002375F2"/>
    <w:rsid w:val="00240679"/>
    <w:rsid w:val="00241017"/>
    <w:rsid w:val="002416CC"/>
    <w:rsid w:val="00241881"/>
    <w:rsid w:val="00241DAA"/>
    <w:rsid w:val="00242575"/>
    <w:rsid w:val="002427B4"/>
    <w:rsid w:val="0024294C"/>
    <w:rsid w:val="00243711"/>
    <w:rsid w:val="00243738"/>
    <w:rsid w:val="002437D1"/>
    <w:rsid w:val="00243D33"/>
    <w:rsid w:val="00244224"/>
    <w:rsid w:val="00244470"/>
    <w:rsid w:val="00244534"/>
    <w:rsid w:val="002449F9"/>
    <w:rsid w:val="00244ADF"/>
    <w:rsid w:val="00245103"/>
    <w:rsid w:val="00245D50"/>
    <w:rsid w:val="00245D80"/>
    <w:rsid w:val="002461BA"/>
    <w:rsid w:val="00246310"/>
    <w:rsid w:val="0024639F"/>
    <w:rsid w:val="002467A0"/>
    <w:rsid w:val="00246FC0"/>
    <w:rsid w:val="00247036"/>
    <w:rsid w:val="002477B0"/>
    <w:rsid w:val="00247F39"/>
    <w:rsid w:val="0025033E"/>
    <w:rsid w:val="00250961"/>
    <w:rsid w:val="00250A50"/>
    <w:rsid w:val="00250B72"/>
    <w:rsid w:val="002513D9"/>
    <w:rsid w:val="00251E23"/>
    <w:rsid w:val="002520C1"/>
    <w:rsid w:val="00252444"/>
    <w:rsid w:val="00252B66"/>
    <w:rsid w:val="00252BB0"/>
    <w:rsid w:val="002530E9"/>
    <w:rsid w:val="00253582"/>
    <w:rsid w:val="002536D1"/>
    <w:rsid w:val="00253A30"/>
    <w:rsid w:val="002541D9"/>
    <w:rsid w:val="00254283"/>
    <w:rsid w:val="002543D8"/>
    <w:rsid w:val="00254AE1"/>
    <w:rsid w:val="0025506E"/>
    <w:rsid w:val="002558FF"/>
    <w:rsid w:val="00255E29"/>
    <w:rsid w:val="00255F93"/>
    <w:rsid w:val="00256022"/>
    <w:rsid w:val="00256071"/>
    <w:rsid w:val="00256247"/>
    <w:rsid w:val="0025652F"/>
    <w:rsid w:val="00256DB9"/>
    <w:rsid w:val="00256E5E"/>
    <w:rsid w:val="00256FFF"/>
    <w:rsid w:val="002579D6"/>
    <w:rsid w:val="0026024B"/>
    <w:rsid w:val="002604F3"/>
    <w:rsid w:val="00260698"/>
    <w:rsid w:val="002608F1"/>
    <w:rsid w:val="002609E9"/>
    <w:rsid w:val="00260B2B"/>
    <w:rsid w:val="0026139B"/>
    <w:rsid w:val="00262066"/>
    <w:rsid w:val="0026237B"/>
    <w:rsid w:val="002625EF"/>
    <w:rsid w:val="0026315A"/>
    <w:rsid w:val="00263713"/>
    <w:rsid w:val="00263B6C"/>
    <w:rsid w:val="002640D0"/>
    <w:rsid w:val="00264754"/>
    <w:rsid w:val="00264984"/>
    <w:rsid w:val="0026604C"/>
    <w:rsid w:val="00266523"/>
    <w:rsid w:val="0026668D"/>
    <w:rsid w:val="0026691E"/>
    <w:rsid w:val="002673B2"/>
    <w:rsid w:val="0026757E"/>
    <w:rsid w:val="00267A2E"/>
    <w:rsid w:val="00267B73"/>
    <w:rsid w:val="00267C2E"/>
    <w:rsid w:val="00267D6E"/>
    <w:rsid w:val="00270EEE"/>
    <w:rsid w:val="00271609"/>
    <w:rsid w:val="00271785"/>
    <w:rsid w:val="002717A3"/>
    <w:rsid w:val="00271B6A"/>
    <w:rsid w:val="00271D5C"/>
    <w:rsid w:val="002722FA"/>
    <w:rsid w:val="00272385"/>
    <w:rsid w:val="00272467"/>
    <w:rsid w:val="0027282B"/>
    <w:rsid w:val="00272939"/>
    <w:rsid w:val="00272FED"/>
    <w:rsid w:val="00273064"/>
    <w:rsid w:val="0027389C"/>
    <w:rsid w:val="0027410B"/>
    <w:rsid w:val="00274172"/>
    <w:rsid w:val="00275410"/>
    <w:rsid w:val="00275422"/>
    <w:rsid w:val="002757BF"/>
    <w:rsid w:val="0027580F"/>
    <w:rsid w:val="0027590B"/>
    <w:rsid w:val="00275DF0"/>
    <w:rsid w:val="00275F98"/>
    <w:rsid w:val="00275FDB"/>
    <w:rsid w:val="0027602D"/>
    <w:rsid w:val="0027696E"/>
    <w:rsid w:val="00276EED"/>
    <w:rsid w:val="00277745"/>
    <w:rsid w:val="0027797A"/>
    <w:rsid w:val="00277AB8"/>
    <w:rsid w:val="00277FD9"/>
    <w:rsid w:val="00280469"/>
    <w:rsid w:val="002805E8"/>
    <w:rsid w:val="0028063F"/>
    <w:rsid w:val="002822EE"/>
    <w:rsid w:val="0028238E"/>
    <w:rsid w:val="002823E6"/>
    <w:rsid w:val="002827E6"/>
    <w:rsid w:val="00282997"/>
    <w:rsid w:val="0028316F"/>
    <w:rsid w:val="00283923"/>
    <w:rsid w:val="00283950"/>
    <w:rsid w:val="00283A9F"/>
    <w:rsid w:val="00283B62"/>
    <w:rsid w:val="00283C3A"/>
    <w:rsid w:val="00284344"/>
    <w:rsid w:val="0028436F"/>
    <w:rsid w:val="00284A59"/>
    <w:rsid w:val="00284CE7"/>
    <w:rsid w:val="00285095"/>
    <w:rsid w:val="002851F4"/>
    <w:rsid w:val="00285945"/>
    <w:rsid w:val="00285969"/>
    <w:rsid w:val="00285AB6"/>
    <w:rsid w:val="00285C1C"/>
    <w:rsid w:val="0028662B"/>
    <w:rsid w:val="002867EF"/>
    <w:rsid w:val="002869DF"/>
    <w:rsid w:val="0028738B"/>
    <w:rsid w:val="0028755B"/>
    <w:rsid w:val="00287A7A"/>
    <w:rsid w:val="00290039"/>
    <w:rsid w:val="002900E6"/>
    <w:rsid w:val="002909B0"/>
    <w:rsid w:val="00290BB9"/>
    <w:rsid w:val="00291088"/>
    <w:rsid w:val="002915E9"/>
    <w:rsid w:val="00291735"/>
    <w:rsid w:val="00291826"/>
    <w:rsid w:val="0029226C"/>
    <w:rsid w:val="002922A5"/>
    <w:rsid w:val="00292315"/>
    <w:rsid w:val="00292E70"/>
    <w:rsid w:val="00293669"/>
    <w:rsid w:val="00293E46"/>
    <w:rsid w:val="00293F06"/>
    <w:rsid w:val="00294182"/>
    <w:rsid w:val="0029434A"/>
    <w:rsid w:val="00294995"/>
    <w:rsid w:val="00295735"/>
    <w:rsid w:val="00295B30"/>
    <w:rsid w:val="00295CD3"/>
    <w:rsid w:val="00296131"/>
    <w:rsid w:val="0029625E"/>
    <w:rsid w:val="00296BB1"/>
    <w:rsid w:val="00296D50"/>
    <w:rsid w:val="0029703D"/>
    <w:rsid w:val="0029756A"/>
    <w:rsid w:val="002979D5"/>
    <w:rsid w:val="00297ABE"/>
    <w:rsid w:val="00297AEE"/>
    <w:rsid w:val="00297BF3"/>
    <w:rsid w:val="00297E08"/>
    <w:rsid w:val="002A02A1"/>
    <w:rsid w:val="002A0EF3"/>
    <w:rsid w:val="002A0F96"/>
    <w:rsid w:val="002A147F"/>
    <w:rsid w:val="002A18F7"/>
    <w:rsid w:val="002A1E59"/>
    <w:rsid w:val="002A20D2"/>
    <w:rsid w:val="002A2160"/>
    <w:rsid w:val="002A220C"/>
    <w:rsid w:val="002A25B8"/>
    <w:rsid w:val="002A261C"/>
    <w:rsid w:val="002A2850"/>
    <w:rsid w:val="002A2EFD"/>
    <w:rsid w:val="002A36EB"/>
    <w:rsid w:val="002A3BCA"/>
    <w:rsid w:val="002A3CA6"/>
    <w:rsid w:val="002A42FB"/>
    <w:rsid w:val="002A4527"/>
    <w:rsid w:val="002A499D"/>
    <w:rsid w:val="002A4D34"/>
    <w:rsid w:val="002A4DC1"/>
    <w:rsid w:val="002A51F5"/>
    <w:rsid w:val="002A59E5"/>
    <w:rsid w:val="002A5DBA"/>
    <w:rsid w:val="002A6326"/>
    <w:rsid w:val="002A63B3"/>
    <w:rsid w:val="002A64AB"/>
    <w:rsid w:val="002A6D64"/>
    <w:rsid w:val="002A74EF"/>
    <w:rsid w:val="002A7A31"/>
    <w:rsid w:val="002A7C01"/>
    <w:rsid w:val="002A7C3A"/>
    <w:rsid w:val="002A7FB9"/>
    <w:rsid w:val="002B02BA"/>
    <w:rsid w:val="002B0512"/>
    <w:rsid w:val="002B0536"/>
    <w:rsid w:val="002B0926"/>
    <w:rsid w:val="002B10C9"/>
    <w:rsid w:val="002B12F6"/>
    <w:rsid w:val="002B165E"/>
    <w:rsid w:val="002B18ED"/>
    <w:rsid w:val="002B1CFF"/>
    <w:rsid w:val="002B22CC"/>
    <w:rsid w:val="002B232A"/>
    <w:rsid w:val="002B23FD"/>
    <w:rsid w:val="002B32C3"/>
    <w:rsid w:val="002B35D6"/>
    <w:rsid w:val="002B3787"/>
    <w:rsid w:val="002B3829"/>
    <w:rsid w:val="002B38B1"/>
    <w:rsid w:val="002B39B7"/>
    <w:rsid w:val="002B3A12"/>
    <w:rsid w:val="002B415F"/>
    <w:rsid w:val="002B44F9"/>
    <w:rsid w:val="002B45CF"/>
    <w:rsid w:val="002B469A"/>
    <w:rsid w:val="002B4A2C"/>
    <w:rsid w:val="002B4C31"/>
    <w:rsid w:val="002B4FF7"/>
    <w:rsid w:val="002B5024"/>
    <w:rsid w:val="002B513E"/>
    <w:rsid w:val="002B5362"/>
    <w:rsid w:val="002B57D9"/>
    <w:rsid w:val="002B5BEB"/>
    <w:rsid w:val="002B5F7D"/>
    <w:rsid w:val="002B6016"/>
    <w:rsid w:val="002B61EE"/>
    <w:rsid w:val="002B6A8F"/>
    <w:rsid w:val="002B71BC"/>
    <w:rsid w:val="002B729A"/>
    <w:rsid w:val="002B73ED"/>
    <w:rsid w:val="002B74C1"/>
    <w:rsid w:val="002C0614"/>
    <w:rsid w:val="002C0D33"/>
    <w:rsid w:val="002C1623"/>
    <w:rsid w:val="002C1B5D"/>
    <w:rsid w:val="002C2186"/>
    <w:rsid w:val="002C221A"/>
    <w:rsid w:val="002C22EF"/>
    <w:rsid w:val="002C29EB"/>
    <w:rsid w:val="002C2F27"/>
    <w:rsid w:val="002C317E"/>
    <w:rsid w:val="002C3258"/>
    <w:rsid w:val="002C347F"/>
    <w:rsid w:val="002C3F40"/>
    <w:rsid w:val="002C4B10"/>
    <w:rsid w:val="002C51E3"/>
    <w:rsid w:val="002C53B5"/>
    <w:rsid w:val="002C5716"/>
    <w:rsid w:val="002C5796"/>
    <w:rsid w:val="002C5C42"/>
    <w:rsid w:val="002C6872"/>
    <w:rsid w:val="002C6D23"/>
    <w:rsid w:val="002C706F"/>
    <w:rsid w:val="002C7153"/>
    <w:rsid w:val="002D0208"/>
    <w:rsid w:val="002D0693"/>
    <w:rsid w:val="002D06D7"/>
    <w:rsid w:val="002D1033"/>
    <w:rsid w:val="002D112A"/>
    <w:rsid w:val="002D17A4"/>
    <w:rsid w:val="002D20BF"/>
    <w:rsid w:val="002D2368"/>
    <w:rsid w:val="002D2660"/>
    <w:rsid w:val="002D2BE4"/>
    <w:rsid w:val="002D348E"/>
    <w:rsid w:val="002D3C2B"/>
    <w:rsid w:val="002D3D54"/>
    <w:rsid w:val="002D3EC8"/>
    <w:rsid w:val="002D3EDB"/>
    <w:rsid w:val="002D4575"/>
    <w:rsid w:val="002D4CB6"/>
    <w:rsid w:val="002D503F"/>
    <w:rsid w:val="002D5296"/>
    <w:rsid w:val="002D52ED"/>
    <w:rsid w:val="002D54E6"/>
    <w:rsid w:val="002D65A4"/>
    <w:rsid w:val="002D66A0"/>
    <w:rsid w:val="002D7461"/>
    <w:rsid w:val="002D7B46"/>
    <w:rsid w:val="002D7EEB"/>
    <w:rsid w:val="002E012D"/>
    <w:rsid w:val="002E03CD"/>
    <w:rsid w:val="002E04F2"/>
    <w:rsid w:val="002E0605"/>
    <w:rsid w:val="002E08BB"/>
    <w:rsid w:val="002E1077"/>
    <w:rsid w:val="002E12F8"/>
    <w:rsid w:val="002E13E5"/>
    <w:rsid w:val="002E15E6"/>
    <w:rsid w:val="002E1E7D"/>
    <w:rsid w:val="002E1E84"/>
    <w:rsid w:val="002E1FB6"/>
    <w:rsid w:val="002E2126"/>
    <w:rsid w:val="002E2704"/>
    <w:rsid w:val="002E28E5"/>
    <w:rsid w:val="002E3A36"/>
    <w:rsid w:val="002E454C"/>
    <w:rsid w:val="002E4EEE"/>
    <w:rsid w:val="002E4FAA"/>
    <w:rsid w:val="002E5111"/>
    <w:rsid w:val="002E514C"/>
    <w:rsid w:val="002E520A"/>
    <w:rsid w:val="002E5866"/>
    <w:rsid w:val="002E5B61"/>
    <w:rsid w:val="002E653F"/>
    <w:rsid w:val="002E6613"/>
    <w:rsid w:val="002E6DD9"/>
    <w:rsid w:val="002E6F2C"/>
    <w:rsid w:val="002E6FB5"/>
    <w:rsid w:val="002E7715"/>
    <w:rsid w:val="002E7927"/>
    <w:rsid w:val="002E7A7F"/>
    <w:rsid w:val="002E7CA8"/>
    <w:rsid w:val="002F0012"/>
    <w:rsid w:val="002F0051"/>
    <w:rsid w:val="002F0222"/>
    <w:rsid w:val="002F074F"/>
    <w:rsid w:val="002F0A02"/>
    <w:rsid w:val="002F0F3B"/>
    <w:rsid w:val="002F1448"/>
    <w:rsid w:val="002F1517"/>
    <w:rsid w:val="002F18D5"/>
    <w:rsid w:val="002F1953"/>
    <w:rsid w:val="002F20C8"/>
    <w:rsid w:val="002F26A5"/>
    <w:rsid w:val="002F2872"/>
    <w:rsid w:val="002F2FAE"/>
    <w:rsid w:val="002F319B"/>
    <w:rsid w:val="002F3358"/>
    <w:rsid w:val="002F3570"/>
    <w:rsid w:val="002F4183"/>
    <w:rsid w:val="002F4206"/>
    <w:rsid w:val="002F43AF"/>
    <w:rsid w:val="002F478C"/>
    <w:rsid w:val="002F5184"/>
    <w:rsid w:val="002F550D"/>
    <w:rsid w:val="002F5987"/>
    <w:rsid w:val="002F617F"/>
    <w:rsid w:val="002F6379"/>
    <w:rsid w:val="002F640E"/>
    <w:rsid w:val="002F6508"/>
    <w:rsid w:val="002F6B58"/>
    <w:rsid w:val="002F784C"/>
    <w:rsid w:val="002F7E5F"/>
    <w:rsid w:val="00300109"/>
    <w:rsid w:val="00300469"/>
    <w:rsid w:val="0030081A"/>
    <w:rsid w:val="00300BFC"/>
    <w:rsid w:val="003013A9"/>
    <w:rsid w:val="003014CB"/>
    <w:rsid w:val="00301755"/>
    <w:rsid w:val="003018E2"/>
    <w:rsid w:val="00301DF7"/>
    <w:rsid w:val="00302428"/>
    <w:rsid w:val="00302CFD"/>
    <w:rsid w:val="003033E9"/>
    <w:rsid w:val="003036CF"/>
    <w:rsid w:val="003037B9"/>
    <w:rsid w:val="00304248"/>
    <w:rsid w:val="003044D7"/>
    <w:rsid w:val="003046A6"/>
    <w:rsid w:val="003046BC"/>
    <w:rsid w:val="00304811"/>
    <w:rsid w:val="00304F21"/>
    <w:rsid w:val="00305F3A"/>
    <w:rsid w:val="003060A6"/>
    <w:rsid w:val="003060B9"/>
    <w:rsid w:val="0030665E"/>
    <w:rsid w:val="003067EA"/>
    <w:rsid w:val="00306894"/>
    <w:rsid w:val="0030695B"/>
    <w:rsid w:val="00307041"/>
    <w:rsid w:val="003074FE"/>
    <w:rsid w:val="00307686"/>
    <w:rsid w:val="00307754"/>
    <w:rsid w:val="003077CB"/>
    <w:rsid w:val="00307811"/>
    <w:rsid w:val="003079D6"/>
    <w:rsid w:val="003100EB"/>
    <w:rsid w:val="00310566"/>
    <w:rsid w:val="00310654"/>
    <w:rsid w:val="00310C8E"/>
    <w:rsid w:val="00311011"/>
    <w:rsid w:val="00311406"/>
    <w:rsid w:val="003114BC"/>
    <w:rsid w:val="0031172D"/>
    <w:rsid w:val="00311BD8"/>
    <w:rsid w:val="0031205C"/>
    <w:rsid w:val="003122F4"/>
    <w:rsid w:val="00312B46"/>
    <w:rsid w:val="00312E78"/>
    <w:rsid w:val="0031374A"/>
    <w:rsid w:val="00313D5D"/>
    <w:rsid w:val="003141FC"/>
    <w:rsid w:val="00314386"/>
    <w:rsid w:val="003153DC"/>
    <w:rsid w:val="0031545A"/>
    <w:rsid w:val="00315A5D"/>
    <w:rsid w:val="00315D30"/>
    <w:rsid w:val="00316E3D"/>
    <w:rsid w:val="00316E9C"/>
    <w:rsid w:val="00317052"/>
    <w:rsid w:val="003170C3"/>
    <w:rsid w:val="00317187"/>
    <w:rsid w:val="00317750"/>
    <w:rsid w:val="0031780C"/>
    <w:rsid w:val="00317845"/>
    <w:rsid w:val="00317E88"/>
    <w:rsid w:val="00317F1A"/>
    <w:rsid w:val="00317FD4"/>
    <w:rsid w:val="003203F5"/>
    <w:rsid w:val="00320422"/>
    <w:rsid w:val="003204A9"/>
    <w:rsid w:val="00320842"/>
    <w:rsid w:val="00320A43"/>
    <w:rsid w:val="00320FB8"/>
    <w:rsid w:val="003213EC"/>
    <w:rsid w:val="0032142B"/>
    <w:rsid w:val="003222E7"/>
    <w:rsid w:val="0032298A"/>
    <w:rsid w:val="003231FD"/>
    <w:rsid w:val="00323D9C"/>
    <w:rsid w:val="00323E92"/>
    <w:rsid w:val="00324C96"/>
    <w:rsid w:val="00324D51"/>
    <w:rsid w:val="00325848"/>
    <w:rsid w:val="00325935"/>
    <w:rsid w:val="00325E0A"/>
    <w:rsid w:val="003267D1"/>
    <w:rsid w:val="003268D5"/>
    <w:rsid w:val="0032692A"/>
    <w:rsid w:val="00326BB7"/>
    <w:rsid w:val="00327136"/>
    <w:rsid w:val="003275FD"/>
    <w:rsid w:val="0032799A"/>
    <w:rsid w:val="00327D26"/>
    <w:rsid w:val="003301E9"/>
    <w:rsid w:val="00330675"/>
    <w:rsid w:val="00330F0D"/>
    <w:rsid w:val="003316A0"/>
    <w:rsid w:val="00331CCA"/>
    <w:rsid w:val="003327E3"/>
    <w:rsid w:val="00332F9A"/>
    <w:rsid w:val="00333031"/>
    <w:rsid w:val="0033309F"/>
    <w:rsid w:val="0033354E"/>
    <w:rsid w:val="00333A33"/>
    <w:rsid w:val="00334176"/>
    <w:rsid w:val="0033528C"/>
    <w:rsid w:val="00335559"/>
    <w:rsid w:val="003357A5"/>
    <w:rsid w:val="003357B2"/>
    <w:rsid w:val="00335A09"/>
    <w:rsid w:val="00335E00"/>
    <w:rsid w:val="003365D3"/>
    <w:rsid w:val="00336CCD"/>
    <w:rsid w:val="0033755F"/>
    <w:rsid w:val="00337E6B"/>
    <w:rsid w:val="003406CD"/>
    <w:rsid w:val="00340CFB"/>
    <w:rsid w:val="00341498"/>
    <w:rsid w:val="00341AEE"/>
    <w:rsid w:val="00341C57"/>
    <w:rsid w:val="003424D1"/>
    <w:rsid w:val="00342D67"/>
    <w:rsid w:val="00342FD5"/>
    <w:rsid w:val="00343437"/>
    <w:rsid w:val="00343851"/>
    <w:rsid w:val="00343AE0"/>
    <w:rsid w:val="00343C99"/>
    <w:rsid w:val="00343D1C"/>
    <w:rsid w:val="00343E7B"/>
    <w:rsid w:val="00343ED1"/>
    <w:rsid w:val="003443E0"/>
    <w:rsid w:val="003446CF"/>
    <w:rsid w:val="003446E4"/>
    <w:rsid w:val="003448F6"/>
    <w:rsid w:val="00344D76"/>
    <w:rsid w:val="00345096"/>
    <w:rsid w:val="00345201"/>
    <w:rsid w:val="0034596C"/>
    <w:rsid w:val="003459D8"/>
    <w:rsid w:val="00345D7C"/>
    <w:rsid w:val="00345EE3"/>
    <w:rsid w:val="00345F04"/>
    <w:rsid w:val="00346476"/>
    <w:rsid w:val="00346577"/>
    <w:rsid w:val="00346E86"/>
    <w:rsid w:val="00346FDF"/>
    <w:rsid w:val="00347A13"/>
    <w:rsid w:val="00350388"/>
    <w:rsid w:val="003506C0"/>
    <w:rsid w:val="00350759"/>
    <w:rsid w:val="00350C90"/>
    <w:rsid w:val="00350D28"/>
    <w:rsid w:val="00350D68"/>
    <w:rsid w:val="00351995"/>
    <w:rsid w:val="003522D8"/>
    <w:rsid w:val="00352B4B"/>
    <w:rsid w:val="00352DAA"/>
    <w:rsid w:val="00352FD0"/>
    <w:rsid w:val="00353509"/>
    <w:rsid w:val="003536DF"/>
    <w:rsid w:val="00353849"/>
    <w:rsid w:val="003538D7"/>
    <w:rsid w:val="00354D27"/>
    <w:rsid w:val="003563C1"/>
    <w:rsid w:val="00356738"/>
    <w:rsid w:val="0035738A"/>
    <w:rsid w:val="00357905"/>
    <w:rsid w:val="00357C96"/>
    <w:rsid w:val="00360288"/>
    <w:rsid w:val="003606A9"/>
    <w:rsid w:val="003608B5"/>
    <w:rsid w:val="00360D74"/>
    <w:rsid w:val="00360DB3"/>
    <w:rsid w:val="00360E58"/>
    <w:rsid w:val="00360F79"/>
    <w:rsid w:val="0036123C"/>
    <w:rsid w:val="003617CD"/>
    <w:rsid w:val="00362160"/>
    <w:rsid w:val="0036221E"/>
    <w:rsid w:val="003622DD"/>
    <w:rsid w:val="00362B28"/>
    <w:rsid w:val="003639D7"/>
    <w:rsid w:val="00363F1D"/>
    <w:rsid w:val="00364DB4"/>
    <w:rsid w:val="003654AE"/>
    <w:rsid w:val="00365E44"/>
    <w:rsid w:val="003660E5"/>
    <w:rsid w:val="00366DCD"/>
    <w:rsid w:val="00366E87"/>
    <w:rsid w:val="00367238"/>
    <w:rsid w:val="00367895"/>
    <w:rsid w:val="00367AC2"/>
    <w:rsid w:val="003700DA"/>
    <w:rsid w:val="00370613"/>
    <w:rsid w:val="00370CEB"/>
    <w:rsid w:val="00370F3A"/>
    <w:rsid w:val="00371D0C"/>
    <w:rsid w:val="00371F03"/>
    <w:rsid w:val="00372EE9"/>
    <w:rsid w:val="0037327E"/>
    <w:rsid w:val="0037366A"/>
    <w:rsid w:val="00373B91"/>
    <w:rsid w:val="00373C26"/>
    <w:rsid w:val="00373E17"/>
    <w:rsid w:val="0037425B"/>
    <w:rsid w:val="003742AA"/>
    <w:rsid w:val="003744B0"/>
    <w:rsid w:val="003747FD"/>
    <w:rsid w:val="00374EE7"/>
    <w:rsid w:val="003750DA"/>
    <w:rsid w:val="003751E0"/>
    <w:rsid w:val="00375628"/>
    <w:rsid w:val="00375655"/>
    <w:rsid w:val="003759D3"/>
    <w:rsid w:val="00376731"/>
    <w:rsid w:val="003772BD"/>
    <w:rsid w:val="0037732B"/>
    <w:rsid w:val="00377477"/>
    <w:rsid w:val="00380154"/>
    <w:rsid w:val="003802E6"/>
    <w:rsid w:val="0038047A"/>
    <w:rsid w:val="0038067C"/>
    <w:rsid w:val="00380D32"/>
    <w:rsid w:val="00381190"/>
    <w:rsid w:val="003818C4"/>
    <w:rsid w:val="0038194B"/>
    <w:rsid w:val="00381CE7"/>
    <w:rsid w:val="00381E2C"/>
    <w:rsid w:val="00381E61"/>
    <w:rsid w:val="0038269E"/>
    <w:rsid w:val="003828F3"/>
    <w:rsid w:val="00382CEB"/>
    <w:rsid w:val="003831B5"/>
    <w:rsid w:val="00383DF7"/>
    <w:rsid w:val="00383FBA"/>
    <w:rsid w:val="0038494A"/>
    <w:rsid w:val="00384F6C"/>
    <w:rsid w:val="00384FCB"/>
    <w:rsid w:val="00385024"/>
    <w:rsid w:val="003858A6"/>
    <w:rsid w:val="0038591B"/>
    <w:rsid w:val="00385CC7"/>
    <w:rsid w:val="003864A1"/>
    <w:rsid w:val="0038718F"/>
    <w:rsid w:val="003872AC"/>
    <w:rsid w:val="003878AC"/>
    <w:rsid w:val="00387DF9"/>
    <w:rsid w:val="003903BB"/>
    <w:rsid w:val="003913F9"/>
    <w:rsid w:val="0039142E"/>
    <w:rsid w:val="0039150C"/>
    <w:rsid w:val="0039224A"/>
    <w:rsid w:val="00392682"/>
    <w:rsid w:val="00392707"/>
    <w:rsid w:val="00392A8C"/>
    <w:rsid w:val="00392A9C"/>
    <w:rsid w:val="00392B48"/>
    <w:rsid w:val="00392C1A"/>
    <w:rsid w:val="00392D5E"/>
    <w:rsid w:val="00392DCC"/>
    <w:rsid w:val="00393590"/>
    <w:rsid w:val="003936E2"/>
    <w:rsid w:val="00393DA3"/>
    <w:rsid w:val="00393F7C"/>
    <w:rsid w:val="00394109"/>
    <w:rsid w:val="00394633"/>
    <w:rsid w:val="0039496C"/>
    <w:rsid w:val="00394F0C"/>
    <w:rsid w:val="003959B6"/>
    <w:rsid w:val="00395A82"/>
    <w:rsid w:val="00395B11"/>
    <w:rsid w:val="00395C62"/>
    <w:rsid w:val="00395FBE"/>
    <w:rsid w:val="003964C9"/>
    <w:rsid w:val="00396783"/>
    <w:rsid w:val="00396B8D"/>
    <w:rsid w:val="00396F8D"/>
    <w:rsid w:val="00397581"/>
    <w:rsid w:val="0039765D"/>
    <w:rsid w:val="00397BB5"/>
    <w:rsid w:val="00397F91"/>
    <w:rsid w:val="003A062A"/>
    <w:rsid w:val="003A0C96"/>
    <w:rsid w:val="003A13D1"/>
    <w:rsid w:val="003A20ED"/>
    <w:rsid w:val="003A247B"/>
    <w:rsid w:val="003A29D5"/>
    <w:rsid w:val="003A2FCF"/>
    <w:rsid w:val="003A320B"/>
    <w:rsid w:val="003A3DA0"/>
    <w:rsid w:val="003A4718"/>
    <w:rsid w:val="003A4C6D"/>
    <w:rsid w:val="003A4FEB"/>
    <w:rsid w:val="003A54FE"/>
    <w:rsid w:val="003A57B0"/>
    <w:rsid w:val="003A592A"/>
    <w:rsid w:val="003A5AAA"/>
    <w:rsid w:val="003A5B36"/>
    <w:rsid w:val="003A6788"/>
    <w:rsid w:val="003A6D60"/>
    <w:rsid w:val="003A7982"/>
    <w:rsid w:val="003A7C2C"/>
    <w:rsid w:val="003A7E94"/>
    <w:rsid w:val="003B017C"/>
    <w:rsid w:val="003B019B"/>
    <w:rsid w:val="003B05AB"/>
    <w:rsid w:val="003B09E0"/>
    <w:rsid w:val="003B0B18"/>
    <w:rsid w:val="003B12C7"/>
    <w:rsid w:val="003B1517"/>
    <w:rsid w:val="003B1B28"/>
    <w:rsid w:val="003B1BBE"/>
    <w:rsid w:val="003B2864"/>
    <w:rsid w:val="003B2F81"/>
    <w:rsid w:val="003B336D"/>
    <w:rsid w:val="003B3611"/>
    <w:rsid w:val="003B3BA7"/>
    <w:rsid w:val="003B3C86"/>
    <w:rsid w:val="003B3F6E"/>
    <w:rsid w:val="003B4D21"/>
    <w:rsid w:val="003B4E20"/>
    <w:rsid w:val="003B5328"/>
    <w:rsid w:val="003B550F"/>
    <w:rsid w:val="003B558B"/>
    <w:rsid w:val="003B585D"/>
    <w:rsid w:val="003B6DCE"/>
    <w:rsid w:val="003B6F61"/>
    <w:rsid w:val="003B7475"/>
    <w:rsid w:val="003B75CE"/>
    <w:rsid w:val="003B76E6"/>
    <w:rsid w:val="003B7771"/>
    <w:rsid w:val="003B7F29"/>
    <w:rsid w:val="003C0471"/>
    <w:rsid w:val="003C0629"/>
    <w:rsid w:val="003C0E42"/>
    <w:rsid w:val="003C1121"/>
    <w:rsid w:val="003C1AE7"/>
    <w:rsid w:val="003C24B4"/>
    <w:rsid w:val="003C3888"/>
    <w:rsid w:val="003C48F3"/>
    <w:rsid w:val="003C4DBB"/>
    <w:rsid w:val="003C50E6"/>
    <w:rsid w:val="003C519C"/>
    <w:rsid w:val="003C55D2"/>
    <w:rsid w:val="003C5628"/>
    <w:rsid w:val="003C5B55"/>
    <w:rsid w:val="003C603E"/>
    <w:rsid w:val="003C6320"/>
    <w:rsid w:val="003C6534"/>
    <w:rsid w:val="003C6708"/>
    <w:rsid w:val="003C6978"/>
    <w:rsid w:val="003C6B66"/>
    <w:rsid w:val="003C6FBE"/>
    <w:rsid w:val="003C726C"/>
    <w:rsid w:val="003C75EE"/>
    <w:rsid w:val="003C79B7"/>
    <w:rsid w:val="003D0E7E"/>
    <w:rsid w:val="003D0FB6"/>
    <w:rsid w:val="003D21FE"/>
    <w:rsid w:val="003D235A"/>
    <w:rsid w:val="003D2423"/>
    <w:rsid w:val="003D2DBC"/>
    <w:rsid w:val="003D3028"/>
    <w:rsid w:val="003D3476"/>
    <w:rsid w:val="003D3AD0"/>
    <w:rsid w:val="003D3DDD"/>
    <w:rsid w:val="003D3FE9"/>
    <w:rsid w:val="003D452F"/>
    <w:rsid w:val="003D499F"/>
    <w:rsid w:val="003D4E93"/>
    <w:rsid w:val="003D51AB"/>
    <w:rsid w:val="003D51BC"/>
    <w:rsid w:val="003D5A52"/>
    <w:rsid w:val="003D6319"/>
    <w:rsid w:val="003D66F6"/>
    <w:rsid w:val="003D685E"/>
    <w:rsid w:val="003D6B6B"/>
    <w:rsid w:val="003D6C9D"/>
    <w:rsid w:val="003D6DB3"/>
    <w:rsid w:val="003D7057"/>
    <w:rsid w:val="003D7114"/>
    <w:rsid w:val="003D7168"/>
    <w:rsid w:val="003D7409"/>
    <w:rsid w:val="003D75C3"/>
    <w:rsid w:val="003D7602"/>
    <w:rsid w:val="003D76A1"/>
    <w:rsid w:val="003D7B55"/>
    <w:rsid w:val="003D7D20"/>
    <w:rsid w:val="003E05D8"/>
    <w:rsid w:val="003E0C09"/>
    <w:rsid w:val="003E1DFE"/>
    <w:rsid w:val="003E20D6"/>
    <w:rsid w:val="003E21B2"/>
    <w:rsid w:val="003E2462"/>
    <w:rsid w:val="003E280E"/>
    <w:rsid w:val="003E35B5"/>
    <w:rsid w:val="003E35B7"/>
    <w:rsid w:val="003E35EB"/>
    <w:rsid w:val="003E35F6"/>
    <w:rsid w:val="003E378F"/>
    <w:rsid w:val="003E40A4"/>
    <w:rsid w:val="003E4578"/>
    <w:rsid w:val="003E4A96"/>
    <w:rsid w:val="003E4C55"/>
    <w:rsid w:val="003E4D87"/>
    <w:rsid w:val="003E5267"/>
    <w:rsid w:val="003E55F2"/>
    <w:rsid w:val="003E567E"/>
    <w:rsid w:val="003E57B9"/>
    <w:rsid w:val="003E5E28"/>
    <w:rsid w:val="003E67E5"/>
    <w:rsid w:val="003E71BB"/>
    <w:rsid w:val="003E774A"/>
    <w:rsid w:val="003E7C09"/>
    <w:rsid w:val="003E7DAD"/>
    <w:rsid w:val="003E7E48"/>
    <w:rsid w:val="003F0188"/>
    <w:rsid w:val="003F0E69"/>
    <w:rsid w:val="003F119F"/>
    <w:rsid w:val="003F123F"/>
    <w:rsid w:val="003F1282"/>
    <w:rsid w:val="003F12E6"/>
    <w:rsid w:val="003F1384"/>
    <w:rsid w:val="003F14E7"/>
    <w:rsid w:val="003F17F5"/>
    <w:rsid w:val="003F1831"/>
    <w:rsid w:val="003F1837"/>
    <w:rsid w:val="003F206F"/>
    <w:rsid w:val="003F25F8"/>
    <w:rsid w:val="003F29BF"/>
    <w:rsid w:val="003F2B23"/>
    <w:rsid w:val="003F348E"/>
    <w:rsid w:val="003F361B"/>
    <w:rsid w:val="003F3D11"/>
    <w:rsid w:val="003F4785"/>
    <w:rsid w:val="003F5109"/>
    <w:rsid w:val="003F5778"/>
    <w:rsid w:val="003F597C"/>
    <w:rsid w:val="003F64FF"/>
    <w:rsid w:val="003F690C"/>
    <w:rsid w:val="003F6E75"/>
    <w:rsid w:val="003F727A"/>
    <w:rsid w:val="003F73C4"/>
    <w:rsid w:val="003F75BE"/>
    <w:rsid w:val="003F78C5"/>
    <w:rsid w:val="003F79B3"/>
    <w:rsid w:val="003F79FC"/>
    <w:rsid w:val="003F7C71"/>
    <w:rsid w:val="003F7D0A"/>
    <w:rsid w:val="00400155"/>
    <w:rsid w:val="00400292"/>
    <w:rsid w:val="00400319"/>
    <w:rsid w:val="0040057B"/>
    <w:rsid w:val="00400850"/>
    <w:rsid w:val="00400B53"/>
    <w:rsid w:val="00400ED2"/>
    <w:rsid w:val="00401082"/>
    <w:rsid w:val="0040163A"/>
    <w:rsid w:val="00401B1B"/>
    <w:rsid w:val="0040228C"/>
    <w:rsid w:val="00402384"/>
    <w:rsid w:val="0040298D"/>
    <w:rsid w:val="00402B27"/>
    <w:rsid w:val="00402BA4"/>
    <w:rsid w:val="00403158"/>
    <w:rsid w:val="00403E92"/>
    <w:rsid w:val="00404DA9"/>
    <w:rsid w:val="004056E9"/>
    <w:rsid w:val="00405D4A"/>
    <w:rsid w:val="004061A0"/>
    <w:rsid w:val="00406A17"/>
    <w:rsid w:val="00406D14"/>
    <w:rsid w:val="004074EB"/>
    <w:rsid w:val="00410090"/>
    <w:rsid w:val="00410431"/>
    <w:rsid w:val="0041065D"/>
    <w:rsid w:val="0041069E"/>
    <w:rsid w:val="00410819"/>
    <w:rsid w:val="00410944"/>
    <w:rsid w:val="00410D0D"/>
    <w:rsid w:val="00411379"/>
    <w:rsid w:val="0041153C"/>
    <w:rsid w:val="004115BD"/>
    <w:rsid w:val="00411681"/>
    <w:rsid w:val="004117A5"/>
    <w:rsid w:val="00411992"/>
    <w:rsid w:val="00412369"/>
    <w:rsid w:val="00412943"/>
    <w:rsid w:val="00412B69"/>
    <w:rsid w:val="00413CA6"/>
    <w:rsid w:val="00413E70"/>
    <w:rsid w:val="00414A86"/>
    <w:rsid w:val="00414BCC"/>
    <w:rsid w:val="00414EFC"/>
    <w:rsid w:val="00415558"/>
    <w:rsid w:val="00415782"/>
    <w:rsid w:val="00416222"/>
    <w:rsid w:val="00416456"/>
    <w:rsid w:val="00416762"/>
    <w:rsid w:val="00416DF7"/>
    <w:rsid w:val="00416E55"/>
    <w:rsid w:val="00416F19"/>
    <w:rsid w:val="0041736A"/>
    <w:rsid w:val="004178E3"/>
    <w:rsid w:val="00417C55"/>
    <w:rsid w:val="00417F22"/>
    <w:rsid w:val="00420021"/>
    <w:rsid w:val="00420DA3"/>
    <w:rsid w:val="00421955"/>
    <w:rsid w:val="00421A85"/>
    <w:rsid w:val="00421BF0"/>
    <w:rsid w:val="0042236E"/>
    <w:rsid w:val="004233BF"/>
    <w:rsid w:val="004233EB"/>
    <w:rsid w:val="00423714"/>
    <w:rsid w:val="00423CAD"/>
    <w:rsid w:val="00424A5A"/>
    <w:rsid w:val="00424F59"/>
    <w:rsid w:val="00424FA5"/>
    <w:rsid w:val="0042502E"/>
    <w:rsid w:val="0042518A"/>
    <w:rsid w:val="0042525D"/>
    <w:rsid w:val="00425525"/>
    <w:rsid w:val="004259CF"/>
    <w:rsid w:val="004263D3"/>
    <w:rsid w:val="00426507"/>
    <w:rsid w:val="00426754"/>
    <w:rsid w:val="00426E87"/>
    <w:rsid w:val="00427032"/>
    <w:rsid w:val="00427627"/>
    <w:rsid w:val="004276A0"/>
    <w:rsid w:val="00430039"/>
    <w:rsid w:val="0043014F"/>
    <w:rsid w:val="0043059F"/>
    <w:rsid w:val="00430B04"/>
    <w:rsid w:val="00430C58"/>
    <w:rsid w:val="00430D2D"/>
    <w:rsid w:val="00430EB8"/>
    <w:rsid w:val="004313D0"/>
    <w:rsid w:val="00431A1D"/>
    <w:rsid w:val="00431A49"/>
    <w:rsid w:val="00431EE4"/>
    <w:rsid w:val="00432487"/>
    <w:rsid w:val="00432B1B"/>
    <w:rsid w:val="00432B41"/>
    <w:rsid w:val="00432B4A"/>
    <w:rsid w:val="00432BDD"/>
    <w:rsid w:val="0043333C"/>
    <w:rsid w:val="004336DA"/>
    <w:rsid w:val="00433A9B"/>
    <w:rsid w:val="004340D6"/>
    <w:rsid w:val="0043444B"/>
    <w:rsid w:val="00435045"/>
    <w:rsid w:val="00435A98"/>
    <w:rsid w:val="00435D33"/>
    <w:rsid w:val="00436A35"/>
    <w:rsid w:val="00436A81"/>
    <w:rsid w:val="00436BEA"/>
    <w:rsid w:val="004370B0"/>
    <w:rsid w:val="0043712A"/>
    <w:rsid w:val="00437B27"/>
    <w:rsid w:val="00437EE9"/>
    <w:rsid w:val="00440620"/>
    <w:rsid w:val="004407D1"/>
    <w:rsid w:val="00440C8C"/>
    <w:rsid w:val="0044130C"/>
    <w:rsid w:val="00441316"/>
    <w:rsid w:val="00441509"/>
    <w:rsid w:val="004417D0"/>
    <w:rsid w:val="00441F2E"/>
    <w:rsid w:val="00442B21"/>
    <w:rsid w:val="00442BEF"/>
    <w:rsid w:val="00442C2C"/>
    <w:rsid w:val="00442D62"/>
    <w:rsid w:val="00442F61"/>
    <w:rsid w:val="00443245"/>
    <w:rsid w:val="00443306"/>
    <w:rsid w:val="00443BF2"/>
    <w:rsid w:val="00444334"/>
    <w:rsid w:val="00444A63"/>
    <w:rsid w:val="00444E9D"/>
    <w:rsid w:val="00444EAA"/>
    <w:rsid w:val="00444EDA"/>
    <w:rsid w:val="00445265"/>
    <w:rsid w:val="00445393"/>
    <w:rsid w:val="004453AD"/>
    <w:rsid w:val="00445A9B"/>
    <w:rsid w:val="00445C21"/>
    <w:rsid w:val="004462F9"/>
    <w:rsid w:val="00446995"/>
    <w:rsid w:val="00446ACE"/>
    <w:rsid w:val="00446E93"/>
    <w:rsid w:val="004470CD"/>
    <w:rsid w:val="0044733C"/>
    <w:rsid w:val="00447477"/>
    <w:rsid w:val="00447B86"/>
    <w:rsid w:val="00447BFA"/>
    <w:rsid w:val="00447FF5"/>
    <w:rsid w:val="00450431"/>
    <w:rsid w:val="00450D56"/>
    <w:rsid w:val="004515CD"/>
    <w:rsid w:val="0045179F"/>
    <w:rsid w:val="00451B29"/>
    <w:rsid w:val="00451C40"/>
    <w:rsid w:val="00452001"/>
    <w:rsid w:val="00452496"/>
    <w:rsid w:val="00452BD2"/>
    <w:rsid w:val="00452E4C"/>
    <w:rsid w:val="00452E4D"/>
    <w:rsid w:val="00452F28"/>
    <w:rsid w:val="004532AD"/>
    <w:rsid w:val="004536C2"/>
    <w:rsid w:val="00453EAD"/>
    <w:rsid w:val="0045476E"/>
    <w:rsid w:val="00454C58"/>
    <w:rsid w:val="00454E83"/>
    <w:rsid w:val="00455184"/>
    <w:rsid w:val="004556F5"/>
    <w:rsid w:val="004559CE"/>
    <w:rsid w:val="0045663F"/>
    <w:rsid w:val="00456B71"/>
    <w:rsid w:val="00456D93"/>
    <w:rsid w:val="004579DE"/>
    <w:rsid w:val="00457C07"/>
    <w:rsid w:val="00460D02"/>
    <w:rsid w:val="00460D09"/>
    <w:rsid w:val="00460E1A"/>
    <w:rsid w:val="004615FB"/>
    <w:rsid w:val="004616F3"/>
    <w:rsid w:val="00461C05"/>
    <w:rsid w:val="00462174"/>
    <w:rsid w:val="00462307"/>
    <w:rsid w:val="00462555"/>
    <w:rsid w:val="00462825"/>
    <w:rsid w:val="00463169"/>
    <w:rsid w:val="004633BC"/>
    <w:rsid w:val="004636B7"/>
    <w:rsid w:val="0046389E"/>
    <w:rsid w:val="00463DF8"/>
    <w:rsid w:val="0046411B"/>
    <w:rsid w:val="004648C0"/>
    <w:rsid w:val="004648FF"/>
    <w:rsid w:val="00464B41"/>
    <w:rsid w:val="00464C24"/>
    <w:rsid w:val="00465036"/>
    <w:rsid w:val="0046512A"/>
    <w:rsid w:val="004653C9"/>
    <w:rsid w:val="004655A8"/>
    <w:rsid w:val="00465761"/>
    <w:rsid w:val="00466466"/>
    <w:rsid w:val="00466841"/>
    <w:rsid w:val="00466D56"/>
    <w:rsid w:val="00467E00"/>
    <w:rsid w:val="00470520"/>
    <w:rsid w:val="0047062D"/>
    <w:rsid w:val="00470779"/>
    <w:rsid w:val="00470A49"/>
    <w:rsid w:val="00471198"/>
    <w:rsid w:val="004719EA"/>
    <w:rsid w:val="00471F29"/>
    <w:rsid w:val="004724F8"/>
    <w:rsid w:val="00472CFD"/>
    <w:rsid w:val="00472E62"/>
    <w:rsid w:val="004733E4"/>
    <w:rsid w:val="0047343B"/>
    <w:rsid w:val="0047349F"/>
    <w:rsid w:val="0047375E"/>
    <w:rsid w:val="00473936"/>
    <w:rsid w:val="00473A83"/>
    <w:rsid w:val="004740B5"/>
    <w:rsid w:val="0047427B"/>
    <w:rsid w:val="00474680"/>
    <w:rsid w:val="00474B50"/>
    <w:rsid w:val="00474BC4"/>
    <w:rsid w:val="00474EE6"/>
    <w:rsid w:val="00475085"/>
    <w:rsid w:val="004752DF"/>
    <w:rsid w:val="00475939"/>
    <w:rsid w:val="004763CA"/>
    <w:rsid w:val="00476562"/>
    <w:rsid w:val="00476CF6"/>
    <w:rsid w:val="00476D09"/>
    <w:rsid w:val="00476FEB"/>
    <w:rsid w:val="0047768E"/>
    <w:rsid w:val="004776E0"/>
    <w:rsid w:val="00477A31"/>
    <w:rsid w:val="00477AA8"/>
    <w:rsid w:val="00480522"/>
    <w:rsid w:val="004805F1"/>
    <w:rsid w:val="00480BEB"/>
    <w:rsid w:val="004811BA"/>
    <w:rsid w:val="004812F3"/>
    <w:rsid w:val="004817D8"/>
    <w:rsid w:val="004828E3"/>
    <w:rsid w:val="004829F1"/>
    <w:rsid w:val="00482D98"/>
    <w:rsid w:val="004839A9"/>
    <w:rsid w:val="00484179"/>
    <w:rsid w:val="0048453F"/>
    <w:rsid w:val="0048493D"/>
    <w:rsid w:val="00485060"/>
    <w:rsid w:val="00485C02"/>
    <w:rsid w:val="0048608C"/>
    <w:rsid w:val="00486114"/>
    <w:rsid w:val="00486FA1"/>
    <w:rsid w:val="004870A3"/>
    <w:rsid w:val="00487AAF"/>
    <w:rsid w:val="00487F7B"/>
    <w:rsid w:val="00490646"/>
    <w:rsid w:val="004908DD"/>
    <w:rsid w:val="004909FF"/>
    <w:rsid w:val="00490AFC"/>
    <w:rsid w:val="00490D90"/>
    <w:rsid w:val="004911B8"/>
    <w:rsid w:val="004911D6"/>
    <w:rsid w:val="00491662"/>
    <w:rsid w:val="00491A62"/>
    <w:rsid w:val="00491B10"/>
    <w:rsid w:val="00491D9C"/>
    <w:rsid w:val="0049206F"/>
    <w:rsid w:val="004924A4"/>
    <w:rsid w:val="00492526"/>
    <w:rsid w:val="004929CE"/>
    <w:rsid w:val="004929D1"/>
    <w:rsid w:val="00492A8A"/>
    <w:rsid w:val="00492CBD"/>
    <w:rsid w:val="00492DA7"/>
    <w:rsid w:val="00492FCB"/>
    <w:rsid w:val="00493054"/>
    <w:rsid w:val="00493FBD"/>
    <w:rsid w:val="00494005"/>
    <w:rsid w:val="0049416D"/>
    <w:rsid w:val="004942BF"/>
    <w:rsid w:val="0049449C"/>
    <w:rsid w:val="00494B2A"/>
    <w:rsid w:val="004950A5"/>
    <w:rsid w:val="0049586D"/>
    <w:rsid w:val="004960C0"/>
    <w:rsid w:val="00496828"/>
    <w:rsid w:val="00496A83"/>
    <w:rsid w:val="00496CB8"/>
    <w:rsid w:val="00496D94"/>
    <w:rsid w:val="00496EBF"/>
    <w:rsid w:val="00497378"/>
    <w:rsid w:val="00497871"/>
    <w:rsid w:val="00497BCF"/>
    <w:rsid w:val="00497D08"/>
    <w:rsid w:val="00497D88"/>
    <w:rsid w:val="00497E0B"/>
    <w:rsid w:val="00497F86"/>
    <w:rsid w:val="004A0233"/>
    <w:rsid w:val="004A0A6C"/>
    <w:rsid w:val="004A0DC6"/>
    <w:rsid w:val="004A0F11"/>
    <w:rsid w:val="004A0FFA"/>
    <w:rsid w:val="004A12BC"/>
    <w:rsid w:val="004A12EE"/>
    <w:rsid w:val="004A178D"/>
    <w:rsid w:val="004A1A14"/>
    <w:rsid w:val="004A21B7"/>
    <w:rsid w:val="004A30C0"/>
    <w:rsid w:val="004A340F"/>
    <w:rsid w:val="004A3A09"/>
    <w:rsid w:val="004A3B4B"/>
    <w:rsid w:val="004A3EAA"/>
    <w:rsid w:val="004A3F94"/>
    <w:rsid w:val="004A40AC"/>
    <w:rsid w:val="004A4632"/>
    <w:rsid w:val="004A48D9"/>
    <w:rsid w:val="004A5CB4"/>
    <w:rsid w:val="004A68BD"/>
    <w:rsid w:val="004A6A62"/>
    <w:rsid w:val="004A6E87"/>
    <w:rsid w:val="004A6F07"/>
    <w:rsid w:val="004A7028"/>
    <w:rsid w:val="004A7C29"/>
    <w:rsid w:val="004A7D97"/>
    <w:rsid w:val="004A7DAF"/>
    <w:rsid w:val="004A7DBD"/>
    <w:rsid w:val="004B04B9"/>
    <w:rsid w:val="004B11E6"/>
    <w:rsid w:val="004B1515"/>
    <w:rsid w:val="004B16A4"/>
    <w:rsid w:val="004B1A2A"/>
    <w:rsid w:val="004B2209"/>
    <w:rsid w:val="004B2D33"/>
    <w:rsid w:val="004B2EA4"/>
    <w:rsid w:val="004B2EBB"/>
    <w:rsid w:val="004B2F43"/>
    <w:rsid w:val="004B2FA1"/>
    <w:rsid w:val="004B3135"/>
    <w:rsid w:val="004B38E0"/>
    <w:rsid w:val="004B3E29"/>
    <w:rsid w:val="004B414F"/>
    <w:rsid w:val="004B45E9"/>
    <w:rsid w:val="004B462F"/>
    <w:rsid w:val="004B4FC9"/>
    <w:rsid w:val="004B5133"/>
    <w:rsid w:val="004B6058"/>
    <w:rsid w:val="004B6E94"/>
    <w:rsid w:val="004B6F73"/>
    <w:rsid w:val="004B7002"/>
    <w:rsid w:val="004B7077"/>
    <w:rsid w:val="004B714D"/>
    <w:rsid w:val="004B7573"/>
    <w:rsid w:val="004C05EF"/>
    <w:rsid w:val="004C138A"/>
    <w:rsid w:val="004C184C"/>
    <w:rsid w:val="004C1937"/>
    <w:rsid w:val="004C1E45"/>
    <w:rsid w:val="004C2498"/>
    <w:rsid w:val="004C24C6"/>
    <w:rsid w:val="004C28D0"/>
    <w:rsid w:val="004C2902"/>
    <w:rsid w:val="004C2DCF"/>
    <w:rsid w:val="004C31B5"/>
    <w:rsid w:val="004C3421"/>
    <w:rsid w:val="004C3932"/>
    <w:rsid w:val="004C3AA4"/>
    <w:rsid w:val="004C3EAC"/>
    <w:rsid w:val="004C41B6"/>
    <w:rsid w:val="004C4594"/>
    <w:rsid w:val="004C4AC0"/>
    <w:rsid w:val="004C4AE4"/>
    <w:rsid w:val="004C4B20"/>
    <w:rsid w:val="004C4C6F"/>
    <w:rsid w:val="004C5658"/>
    <w:rsid w:val="004C58C7"/>
    <w:rsid w:val="004C59A7"/>
    <w:rsid w:val="004C619C"/>
    <w:rsid w:val="004C65F2"/>
    <w:rsid w:val="004C6F9C"/>
    <w:rsid w:val="004C708E"/>
    <w:rsid w:val="004C7114"/>
    <w:rsid w:val="004C71AD"/>
    <w:rsid w:val="004C7A59"/>
    <w:rsid w:val="004D03C2"/>
    <w:rsid w:val="004D0519"/>
    <w:rsid w:val="004D05A5"/>
    <w:rsid w:val="004D0C40"/>
    <w:rsid w:val="004D0D60"/>
    <w:rsid w:val="004D0F9A"/>
    <w:rsid w:val="004D15C0"/>
    <w:rsid w:val="004D1972"/>
    <w:rsid w:val="004D20CB"/>
    <w:rsid w:val="004D265E"/>
    <w:rsid w:val="004D2A55"/>
    <w:rsid w:val="004D2AF3"/>
    <w:rsid w:val="004D2DD5"/>
    <w:rsid w:val="004D3176"/>
    <w:rsid w:val="004D395E"/>
    <w:rsid w:val="004D39FB"/>
    <w:rsid w:val="004D3D4D"/>
    <w:rsid w:val="004D3F1F"/>
    <w:rsid w:val="004D45C8"/>
    <w:rsid w:val="004D5067"/>
    <w:rsid w:val="004D5098"/>
    <w:rsid w:val="004D527F"/>
    <w:rsid w:val="004D6345"/>
    <w:rsid w:val="004D660A"/>
    <w:rsid w:val="004D676F"/>
    <w:rsid w:val="004D6C73"/>
    <w:rsid w:val="004D6E37"/>
    <w:rsid w:val="004D74C0"/>
    <w:rsid w:val="004D7732"/>
    <w:rsid w:val="004D78FC"/>
    <w:rsid w:val="004D7AE7"/>
    <w:rsid w:val="004D7B55"/>
    <w:rsid w:val="004D7EB3"/>
    <w:rsid w:val="004E00EA"/>
    <w:rsid w:val="004E06B5"/>
    <w:rsid w:val="004E07C1"/>
    <w:rsid w:val="004E0CBE"/>
    <w:rsid w:val="004E0D6B"/>
    <w:rsid w:val="004E134D"/>
    <w:rsid w:val="004E14F9"/>
    <w:rsid w:val="004E1AC8"/>
    <w:rsid w:val="004E1C21"/>
    <w:rsid w:val="004E1C5C"/>
    <w:rsid w:val="004E204E"/>
    <w:rsid w:val="004E2888"/>
    <w:rsid w:val="004E3067"/>
    <w:rsid w:val="004E354D"/>
    <w:rsid w:val="004E3787"/>
    <w:rsid w:val="004E49E8"/>
    <w:rsid w:val="004E4F1B"/>
    <w:rsid w:val="004E4F1F"/>
    <w:rsid w:val="004E5815"/>
    <w:rsid w:val="004E5961"/>
    <w:rsid w:val="004E5B10"/>
    <w:rsid w:val="004E5B7E"/>
    <w:rsid w:val="004E6205"/>
    <w:rsid w:val="004E6B14"/>
    <w:rsid w:val="004E6B56"/>
    <w:rsid w:val="004E6F15"/>
    <w:rsid w:val="004E79F0"/>
    <w:rsid w:val="004E7A6E"/>
    <w:rsid w:val="004F017D"/>
    <w:rsid w:val="004F0265"/>
    <w:rsid w:val="004F0344"/>
    <w:rsid w:val="004F0350"/>
    <w:rsid w:val="004F0431"/>
    <w:rsid w:val="004F0B45"/>
    <w:rsid w:val="004F0CD4"/>
    <w:rsid w:val="004F0E16"/>
    <w:rsid w:val="004F0F84"/>
    <w:rsid w:val="004F1E09"/>
    <w:rsid w:val="004F2C08"/>
    <w:rsid w:val="004F33ED"/>
    <w:rsid w:val="004F34FE"/>
    <w:rsid w:val="004F3607"/>
    <w:rsid w:val="004F3B41"/>
    <w:rsid w:val="004F3B62"/>
    <w:rsid w:val="004F3F77"/>
    <w:rsid w:val="004F3F87"/>
    <w:rsid w:val="004F4B92"/>
    <w:rsid w:val="004F4F04"/>
    <w:rsid w:val="004F5188"/>
    <w:rsid w:val="004F5869"/>
    <w:rsid w:val="004F604C"/>
    <w:rsid w:val="004F6219"/>
    <w:rsid w:val="004F63B2"/>
    <w:rsid w:val="004F6400"/>
    <w:rsid w:val="004F65E5"/>
    <w:rsid w:val="004F665F"/>
    <w:rsid w:val="004F68F5"/>
    <w:rsid w:val="004F76C8"/>
    <w:rsid w:val="004F77D5"/>
    <w:rsid w:val="004F7C3E"/>
    <w:rsid w:val="004F7F5F"/>
    <w:rsid w:val="005000D6"/>
    <w:rsid w:val="00500556"/>
    <w:rsid w:val="00500AB2"/>
    <w:rsid w:val="00500AE3"/>
    <w:rsid w:val="00500B6C"/>
    <w:rsid w:val="00501264"/>
    <w:rsid w:val="00501430"/>
    <w:rsid w:val="00501647"/>
    <w:rsid w:val="00501A7E"/>
    <w:rsid w:val="00501B6C"/>
    <w:rsid w:val="00502193"/>
    <w:rsid w:val="005021A5"/>
    <w:rsid w:val="005022D6"/>
    <w:rsid w:val="00502720"/>
    <w:rsid w:val="00502A9D"/>
    <w:rsid w:val="00503871"/>
    <w:rsid w:val="005038ED"/>
    <w:rsid w:val="00503A88"/>
    <w:rsid w:val="00504486"/>
    <w:rsid w:val="005057D6"/>
    <w:rsid w:val="00506593"/>
    <w:rsid w:val="00506CBE"/>
    <w:rsid w:val="00507B57"/>
    <w:rsid w:val="00507C4A"/>
    <w:rsid w:val="00510035"/>
    <w:rsid w:val="0051078E"/>
    <w:rsid w:val="00510A64"/>
    <w:rsid w:val="0051173F"/>
    <w:rsid w:val="0051271F"/>
    <w:rsid w:val="00512848"/>
    <w:rsid w:val="00513001"/>
    <w:rsid w:val="005132EB"/>
    <w:rsid w:val="00513AAD"/>
    <w:rsid w:val="00514A48"/>
    <w:rsid w:val="00514B7F"/>
    <w:rsid w:val="00514BEC"/>
    <w:rsid w:val="00514C3D"/>
    <w:rsid w:val="00514C98"/>
    <w:rsid w:val="00514E81"/>
    <w:rsid w:val="005154B2"/>
    <w:rsid w:val="00515913"/>
    <w:rsid w:val="005166A4"/>
    <w:rsid w:val="00516785"/>
    <w:rsid w:val="00516D1E"/>
    <w:rsid w:val="00516E41"/>
    <w:rsid w:val="0051726D"/>
    <w:rsid w:val="005179A4"/>
    <w:rsid w:val="00517B0A"/>
    <w:rsid w:val="005200F0"/>
    <w:rsid w:val="00520569"/>
    <w:rsid w:val="0052082B"/>
    <w:rsid w:val="005209D2"/>
    <w:rsid w:val="00520BE7"/>
    <w:rsid w:val="00521061"/>
    <w:rsid w:val="0052113E"/>
    <w:rsid w:val="00521626"/>
    <w:rsid w:val="005217E4"/>
    <w:rsid w:val="00521BAB"/>
    <w:rsid w:val="00521D04"/>
    <w:rsid w:val="00521D10"/>
    <w:rsid w:val="005221BD"/>
    <w:rsid w:val="005227A6"/>
    <w:rsid w:val="00522B35"/>
    <w:rsid w:val="005232FA"/>
    <w:rsid w:val="005235A9"/>
    <w:rsid w:val="00523659"/>
    <w:rsid w:val="00523906"/>
    <w:rsid w:val="005239C4"/>
    <w:rsid w:val="00523E86"/>
    <w:rsid w:val="0052419D"/>
    <w:rsid w:val="005242B1"/>
    <w:rsid w:val="00524D7D"/>
    <w:rsid w:val="00524EF9"/>
    <w:rsid w:val="00525172"/>
    <w:rsid w:val="0052517E"/>
    <w:rsid w:val="00525671"/>
    <w:rsid w:val="00525A11"/>
    <w:rsid w:val="00525CA9"/>
    <w:rsid w:val="00526316"/>
    <w:rsid w:val="0052637A"/>
    <w:rsid w:val="00526684"/>
    <w:rsid w:val="005272E8"/>
    <w:rsid w:val="0052781A"/>
    <w:rsid w:val="005278FC"/>
    <w:rsid w:val="005279CA"/>
    <w:rsid w:val="00527D53"/>
    <w:rsid w:val="005301F8"/>
    <w:rsid w:val="0053051D"/>
    <w:rsid w:val="00530B61"/>
    <w:rsid w:val="005312FC"/>
    <w:rsid w:val="005318BA"/>
    <w:rsid w:val="00531A21"/>
    <w:rsid w:val="0053254C"/>
    <w:rsid w:val="00532879"/>
    <w:rsid w:val="00532C6D"/>
    <w:rsid w:val="005335F2"/>
    <w:rsid w:val="005338B6"/>
    <w:rsid w:val="00533BCF"/>
    <w:rsid w:val="00533ECB"/>
    <w:rsid w:val="00534280"/>
    <w:rsid w:val="00534735"/>
    <w:rsid w:val="00534858"/>
    <w:rsid w:val="00534D4C"/>
    <w:rsid w:val="00534E0B"/>
    <w:rsid w:val="00535629"/>
    <w:rsid w:val="0053569E"/>
    <w:rsid w:val="00535998"/>
    <w:rsid w:val="00535A66"/>
    <w:rsid w:val="00535CE4"/>
    <w:rsid w:val="00535FF3"/>
    <w:rsid w:val="0053603D"/>
    <w:rsid w:val="0053604E"/>
    <w:rsid w:val="00536149"/>
    <w:rsid w:val="0053637F"/>
    <w:rsid w:val="00536E69"/>
    <w:rsid w:val="005370EB"/>
    <w:rsid w:val="00537143"/>
    <w:rsid w:val="00537351"/>
    <w:rsid w:val="00537407"/>
    <w:rsid w:val="0053742A"/>
    <w:rsid w:val="00537B14"/>
    <w:rsid w:val="00537C85"/>
    <w:rsid w:val="0054008E"/>
    <w:rsid w:val="00540153"/>
    <w:rsid w:val="00540303"/>
    <w:rsid w:val="005405BA"/>
    <w:rsid w:val="00541156"/>
    <w:rsid w:val="00541D29"/>
    <w:rsid w:val="00541FBD"/>
    <w:rsid w:val="00542000"/>
    <w:rsid w:val="005426AE"/>
    <w:rsid w:val="00542709"/>
    <w:rsid w:val="00542E70"/>
    <w:rsid w:val="00542E97"/>
    <w:rsid w:val="00542F31"/>
    <w:rsid w:val="0054310A"/>
    <w:rsid w:val="0054397A"/>
    <w:rsid w:val="00543B05"/>
    <w:rsid w:val="00543C11"/>
    <w:rsid w:val="00543EF5"/>
    <w:rsid w:val="00543F23"/>
    <w:rsid w:val="005444D6"/>
    <w:rsid w:val="0054473C"/>
    <w:rsid w:val="00544F4C"/>
    <w:rsid w:val="00545241"/>
    <w:rsid w:val="005454F7"/>
    <w:rsid w:val="00545910"/>
    <w:rsid w:val="00545AEA"/>
    <w:rsid w:val="00545F6C"/>
    <w:rsid w:val="00545FEF"/>
    <w:rsid w:val="00546534"/>
    <w:rsid w:val="00547391"/>
    <w:rsid w:val="005474FD"/>
    <w:rsid w:val="0054754E"/>
    <w:rsid w:val="00547693"/>
    <w:rsid w:val="005477FB"/>
    <w:rsid w:val="005479B2"/>
    <w:rsid w:val="00547B2F"/>
    <w:rsid w:val="00547DA4"/>
    <w:rsid w:val="00550128"/>
    <w:rsid w:val="005502B5"/>
    <w:rsid w:val="005504A6"/>
    <w:rsid w:val="005509F4"/>
    <w:rsid w:val="00551790"/>
    <w:rsid w:val="00551D9C"/>
    <w:rsid w:val="00551DEF"/>
    <w:rsid w:val="00552059"/>
    <w:rsid w:val="00552184"/>
    <w:rsid w:val="00552219"/>
    <w:rsid w:val="00552CBE"/>
    <w:rsid w:val="00552CD2"/>
    <w:rsid w:val="00552DA5"/>
    <w:rsid w:val="00552F23"/>
    <w:rsid w:val="0055337E"/>
    <w:rsid w:val="0055368A"/>
    <w:rsid w:val="0055379E"/>
    <w:rsid w:val="00553DED"/>
    <w:rsid w:val="0055400D"/>
    <w:rsid w:val="0055485A"/>
    <w:rsid w:val="00554AC9"/>
    <w:rsid w:val="00554CA8"/>
    <w:rsid w:val="00555011"/>
    <w:rsid w:val="00555468"/>
    <w:rsid w:val="005556D4"/>
    <w:rsid w:val="0055631F"/>
    <w:rsid w:val="00556676"/>
    <w:rsid w:val="005567E6"/>
    <w:rsid w:val="005572BE"/>
    <w:rsid w:val="00557417"/>
    <w:rsid w:val="00560225"/>
    <w:rsid w:val="00561164"/>
    <w:rsid w:val="005612E9"/>
    <w:rsid w:val="0056201D"/>
    <w:rsid w:val="005624E1"/>
    <w:rsid w:val="00562D7E"/>
    <w:rsid w:val="00562F17"/>
    <w:rsid w:val="00563A7F"/>
    <w:rsid w:val="0056408D"/>
    <w:rsid w:val="005640FA"/>
    <w:rsid w:val="005646C5"/>
    <w:rsid w:val="00565149"/>
    <w:rsid w:val="00565232"/>
    <w:rsid w:val="00565317"/>
    <w:rsid w:val="005656B3"/>
    <w:rsid w:val="00565712"/>
    <w:rsid w:val="0056582C"/>
    <w:rsid w:val="00565E88"/>
    <w:rsid w:val="00566387"/>
    <w:rsid w:val="005667F8"/>
    <w:rsid w:val="00566FF3"/>
    <w:rsid w:val="00567592"/>
    <w:rsid w:val="00567849"/>
    <w:rsid w:val="0057105D"/>
    <w:rsid w:val="00571EA7"/>
    <w:rsid w:val="005728DC"/>
    <w:rsid w:val="00572BB3"/>
    <w:rsid w:val="00572BE6"/>
    <w:rsid w:val="00572DA2"/>
    <w:rsid w:val="00572FA0"/>
    <w:rsid w:val="005730F7"/>
    <w:rsid w:val="0057333D"/>
    <w:rsid w:val="005733DD"/>
    <w:rsid w:val="00573C00"/>
    <w:rsid w:val="00573D1A"/>
    <w:rsid w:val="005740AD"/>
    <w:rsid w:val="00574353"/>
    <w:rsid w:val="00575015"/>
    <w:rsid w:val="005750CF"/>
    <w:rsid w:val="0057661E"/>
    <w:rsid w:val="00576D12"/>
    <w:rsid w:val="00576D4F"/>
    <w:rsid w:val="0057712F"/>
    <w:rsid w:val="00577281"/>
    <w:rsid w:val="0057728C"/>
    <w:rsid w:val="005776B2"/>
    <w:rsid w:val="005778B0"/>
    <w:rsid w:val="00577A3A"/>
    <w:rsid w:val="00580473"/>
    <w:rsid w:val="00580B5C"/>
    <w:rsid w:val="0058117A"/>
    <w:rsid w:val="005811AC"/>
    <w:rsid w:val="00581218"/>
    <w:rsid w:val="00581528"/>
    <w:rsid w:val="005816D6"/>
    <w:rsid w:val="00581778"/>
    <w:rsid w:val="00581C67"/>
    <w:rsid w:val="00581D5D"/>
    <w:rsid w:val="00582621"/>
    <w:rsid w:val="0058306C"/>
    <w:rsid w:val="00583181"/>
    <w:rsid w:val="00583253"/>
    <w:rsid w:val="00583355"/>
    <w:rsid w:val="0058399F"/>
    <w:rsid w:val="00584C03"/>
    <w:rsid w:val="00584C47"/>
    <w:rsid w:val="00585B5D"/>
    <w:rsid w:val="00585F78"/>
    <w:rsid w:val="00586605"/>
    <w:rsid w:val="005868DE"/>
    <w:rsid w:val="00586915"/>
    <w:rsid w:val="00586DBF"/>
    <w:rsid w:val="005872D3"/>
    <w:rsid w:val="005875AC"/>
    <w:rsid w:val="005877AC"/>
    <w:rsid w:val="00587BC7"/>
    <w:rsid w:val="00587E09"/>
    <w:rsid w:val="00590166"/>
    <w:rsid w:val="00590270"/>
    <w:rsid w:val="005908D4"/>
    <w:rsid w:val="00590F20"/>
    <w:rsid w:val="0059142C"/>
    <w:rsid w:val="00592E81"/>
    <w:rsid w:val="00593556"/>
    <w:rsid w:val="00593767"/>
    <w:rsid w:val="00593C57"/>
    <w:rsid w:val="00593FEC"/>
    <w:rsid w:val="005944F3"/>
    <w:rsid w:val="00594725"/>
    <w:rsid w:val="00594B4A"/>
    <w:rsid w:val="00594BB2"/>
    <w:rsid w:val="00594C60"/>
    <w:rsid w:val="005954D8"/>
    <w:rsid w:val="00595687"/>
    <w:rsid w:val="00595897"/>
    <w:rsid w:val="00595A3F"/>
    <w:rsid w:val="00595B69"/>
    <w:rsid w:val="00595BD6"/>
    <w:rsid w:val="005963ED"/>
    <w:rsid w:val="005966B7"/>
    <w:rsid w:val="005972A2"/>
    <w:rsid w:val="005973BB"/>
    <w:rsid w:val="00597E9B"/>
    <w:rsid w:val="005A02C9"/>
    <w:rsid w:val="005A05AD"/>
    <w:rsid w:val="005A0A88"/>
    <w:rsid w:val="005A0F43"/>
    <w:rsid w:val="005A15A9"/>
    <w:rsid w:val="005A181D"/>
    <w:rsid w:val="005A1BAE"/>
    <w:rsid w:val="005A2494"/>
    <w:rsid w:val="005A2D0A"/>
    <w:rsid w:val="005A3198"/>
    <w:rsid w:val="005A3F44"/>
    <w:rsid w:val="005A4133"/>
    <w:rsid w:val="005A427C"/>
    <w:rsid w:val="005A4911"/>
    <w:rsid w:val="005A49A4"/>
    <w:rsid w:val="005A4A13"/>
    <w:rsid w:val="005A5507"/>
    <w:rsid w:val="005A6489"/>
    <w:rsid w:val="005A747D"/>
    <w:rsid w:val="005A763C"/>
    <w:rsid w:val="005A7679"/>
    <w:rsid w:val="005A77EC"/>
    <w:rsid w:val="005A7DC2"/>
    <w:rsid w:val="005B05B5"/>
    <w:rsid w:val="005B0901"/>
    <w:rsid w:val="005B0C32"/>
    <w:rsid w:val="005B0C58"/>
    <w:rsid w:val="005B0E9A"/>
    <w:rsid w:val="005B11AC"/>
    <w:rsid w:val="005B14A4"/>
    <w:rsid w:val="005B167A"/>
    <w:rsid w:val="005B1BED"/>
    <w:rsid w:val="005B1C77"/>
    <w:rsid w:val="005B1CD7"/>
    <w:rsid w:val="005B1DAE"/>
    <w:rsid w:val="005B28A8"/>
    <w:rsid w:val="005B33B2"/>
    <w:rsid w:val="005B3430"/>
    <w:rsid w:val="005B3A22"/>
    <w:rsid w:val="005B43D5"/>
    <w:rsid w:val="005B4541"/>
    <w:rsid w:val="005B4ED1"/>
    <w:rsid w:val="005B5903"/>
    <w:rsid w:val="005B5E2A"/>
    <w:rsid w:val="005B5E5F"/>
    <w:rsid w:val="005B6635"/>
    <w:rsid w:val="005B6AA0"/>
    <w:rsid w:val="005B6C8F"/>
    <w:rsid w:val="005B719C"/>
    <w:rsid w:val="005B74E4"/>
    <w:rsid w:val="005B782B"/>
    <w:rsid w:val="005B79E2"/>
    <w:rsid w:val="005B7D2C"/>
    <w:rsid w:val="005C02A4"/>
    <w:rsid w:val="005C07AF"/>
    <w:rsid w:val="005C0BF0"/>
    <w:rsid w:val="005C0F04"/>
    <w:rsid w:val="005C0FA1"/>
    <w:rsid w:val="005C101B"/>
    <w:rsid w:val="005C10F2"/>
    <w:rsid w:val="005C190B"/>
    <w:rsid w:val="005C1B13"/>
    <w:rsid w:val="005C1DF6"/>
    <w:rsid w:val="005C1E3F"/>
    <w:rsid w:val="005C1F74"/>
    <w:rsid w:val="005C20CC"/>
    <w:rsid w:val="005C20D2"/>
    <w:rsid w:val="005C2668"/>
    <w:rsid w:val="005C2F14"/>
    <w:rsid w:val="005C2FC6"/>
    <w:rsid w:val="005C32FE"/>
    <w:rsid w:val="005C3939"/>
    <w:rsid w:val="005C3BBB"/>
    <w:rsid w:val="005C408F"/>
    <w:rsid w:val="005C409F"/>
    <w:rsid w:val="005C503A"/>
    <w:rsid w:val="005C52B4"/>
    <w:rsid w:val="005C5571"/>
    <w:rsid w:val="005C5638"/>
    <w:rsid w:val="005C568A"/>
    <w:rsid w:val="005C5B2F"/>
    <w:rsid w:val="005C5C9F"/>
    <w:rsid w:val="005C5E7E"/>
    <w:rsid w:val="005C6021"/>
    <w:rsid w:val="005C63A1"/>
    <w:rsid w:val="005C647D"/>
    <w:rsid w:val="005C65FC"/>
    <w:rsid w:val="005C6953"/>
    <w:rsid w:val="005C759F"/>
    <w:rsid w:val="005C77A5"/>
    <w:rsid w:val="005C77F2"/>
    <w:rsid w:val="005C7814"/>
    <w:rsid w:val="005C7CEC"/>
    <w:rsid w:val="005D00B5"/>
    <w:rsid w:val="005D024A"/>
    <w:rsid w:val="005D0400"/>
    <w:rsid w:val="005D0BAD"/>
    <w:rsid w:val="005D0CE2"/>
    <w:rsid w:val="005D1866"/>
    <w:rsid w:val="005D19B4"/>
    <w:rsid w:val="005D19DF"/>
    <w:rsid w:val="005D1BF1"/>
    <w:rsid w:val="005D2712"/>
    <w:rsid w:val="005D27A5"/>
    <w:rsid w:val="005D2B5A"/>
    <w:rsid w:val="005D2DD5"/>
    <w:rsid w:val="005D2E7D"/>
    <w:rsid w:val="005D3066"/>
    <w:rsid w:val="005D33CD"/>
    <w:rsid w:val="005D353A"/>
    <w:rsid w:val="005D3845"/>
    <w:rsid w:val="005D3A1C"/>
    <w:rsid w:val="005D4062"/>
    <w:rsid w:val="005D416C"/>
    <w:rsid w:val="005D4CA1"/>
    <w:rsid w:val="005D4FD4"/>
    <w:rsid w:val="005D5400"/>
    <w:rsid w:val="005D5728"/>
    <w:rsid w:val="005D57E0"/>
    <w:rsid w:val="005D5A65"/>
    <w:rsid w:val="005D61C6"/>
    <w:rsid w:val="005D6D64"/>
    <w:rsid w:val="005D6E5D"/>
    <w:rsid w:val="005D7505"/>
    <w:rsid w:val="005D76B9"/>
    <w:rsid w:val="005E023A"/>
    <w:rsid w:val="005E02C4"/>
    <w:rsid w:val="005E0976"/>
    <w:rsid w:val="005E1048"/>
    <w:rsid w:val="005E13F5"/>
    <w:rsid w:val="005E1A2A"/>
    <w:rsid w:val="005E1C98"/>
    <w:rsid w:val="005E1D57"/>
    <w:rsid w:val="005E2400"/>
    <w:rsid w:val="005E2B2D"/>
    <w:rsid w:val="005E3154"/>
    <w:rsid w:val="005E356C"/>
    <w:rsid w:val="005E3B08"/>
    <w:rsid w:val="005E45CD"/>
    <w:rsid w:val="005E479B"/>
    <w:rsid w:val="005E4BA2"/>
    <w:rsid w:val="005E4F36"/>
    <w:rsid w:val="005E5D00"/>
    <w:rsid w:val="005E61AD"/>
    <w:rsid w:val="005E6CDD"/>
    <w:rsid w:val="005E7E81"/>
    <w:rsid w:val="005E7EDC"/>
    <w:rsid w:val="005E7FFB"/>
    <w:rsid w:val="005F13FE"/>
    <w:rsid w:val="005F16AE"/>
    <w:rsid w:val="005F17EC"/>
    <w:rsid w:val="005F18D2"/>
    <w:rsid w:val="005F2115"/>
    <w:rsid w:val="005F2126"/>
    <w:rsid w:val="005F23AE"/>
    <w:rsid w:val="005F23EC"/>
    <w:rsid w:val="005F2EFF"/>
    <w:rsid w:val="005F2F17"/>
    <w:rsid w:val="005F352A"/>
    <w:rsid w:val="005F35E3"/>
    <w:rsid w:val="005F3948"/>
    <w:rsid w:val="005F413E"/>
    <w:rsid w:val="005F4206"/>
    <w:rsid w:val="005F43D6"/>
    <w:rsid w:val="005F474F"/>
    <w:rsid w:val="005F4E1F"/>
    <w:rsid w:val="005F4E5F"/>
    <w:rsid w:val="005F539A"/>
    <w:rsid w:val="005F5756"/>
    <w:rsid w:val="005F5A8D"/>
    <w:rsid w:val="005F5D30"/>
    <w:rsid w:val="005F5E98"/>
    <w:rsid w:val="005F6BB3"/>
    <w:rsid w:val="005F7257"/>
    <w:rsid w:val="005F7AE7"/>
    <w:rsid w:val="005F7BBF"/>
    <w:rsid w:val="005F7E00"/>
    <w:rsid w:val="005F7EA2"/>
    <w:rsid w:val="00600050"/>
    <w:rsid w:val="0060008B"/>
    <w:rsid w:val="00600A0C"/>
    <w:rsid w:val="00601650"/>
    <w:rsid w:val="0060171F"/>
    <w:rsid w:val="00601A3B"/>
    <w:rsid w:val="00601AB2"/>
    <w:rsid w:val="00601C16"/>
    <w:rsid w:val="0060269A"/>
    <w:rsid w:val="006032E3"/>
    <w:rsid w:val="006038A1"/>
    <w:rsid w:val="00603A75"/>
    <w:rsid w:val="00604938"/>
    <w:rsid w:val="00604A89"/>
    <w:rsid w:val="00604EEF"/>
    <w:rsid w:val="0060505E"/>
    <w:rsid w:val="006051B5"/>
    <w:rsid w:val="00605AFD"/>
    <w:rsid w:val="00605F4F"/>
    <w:rsid w:val="006060C6"/>
    <w:rsid w:val="006060E9"/>
    <w:rsid w:val="00606477"/>
    <w:rsid w:val="0060684A"/>
    <w:rsid w:val="00606CC6"/>
    <w:rsid w:val="00606F5F"/>
    <w:rsid w:val="00607602"/>
    <w:rsid w:val="00607742"/>
    <w:rsid w:val="00607DE2"/>
    <w:rsid w:val="00607F3C"/>
    <w:rsid w:val="0061049D"/>
    <w:rsid w:val="00610670"/>
    <w:rsid w:val="006109B0"/>
    <w:rsid w:val="00611439"/>
    <w:rsid w:val="006118B7"/>
    <w:rsid w:val="006119C7"/>
    <w:rsid w:val="00611C73"/>
    <w:rsid w:val="00611F76"/>
    <w:rsid w:val="00611FA9"/>
    <w:rsid w:val="006123D4"/>
    <w:rsid w:val="00612F54"/>
    <w:rsid w:val="006131E6"/>
    <w:rsid w:val="006133DA"/>
    <w:rsid w:val="006134DA"/>
    <w:rsid w:val="006135AE"/>
    <w:rsid w:val="00613839"/>
    <w:rsid w:val="00613A92"/>
    <w:rsid w:val="00613CD6"/>
    <w:rsid w:val="00613DA9"/>
    <w:rsid w:val="00613E18"/>
    <w:rsid w:val="00613EFA"/>
    <w:rsid w:val="00614276"/>
    <w:rsid w:val="0061445B"/>
    <w:rsid w:val="006144D5"/>
    <w:rsid w:val="00614534"/>
    <w:rsid w:val="00614921"/>
    <w:rsid w:val="00615100"/>
    <w:rsid w:val="00615A1B"/>
    <w:rsid w:val="00615A58"/>
    <w:rsid w:val="00616A99"/>
    <w:rsid w:val="00617280"/>
    <w:rsid w:val="00617C66"/>
    <w:rsid w:val="00617CB5"/>
    <w:rsid w:val="00617FCB"/>
    <w:rsid w:val="006201E2"/>
    <w:rsid w:val="00620668"/>
    <w:rsid w:val="006206AB"/>
    <w:rsid w:val="0062081F"/>
    <w:rsid w:val="00620B7E"/>
    <w:rsid w:val="00620D23"/>
    <w:rsid w:val="006212D1"/>
    <w:rsid w:val="006225FE"/>
    <w:rsid w:val="00622B8B"/>
    <w:rsid w:val="006234DD"/>
    <w:rsid w:val="006235DE"/>
    <w:rsid w:val="006236EC"/>
    <w:rsid w:val="00623A7A"/>
    <w:rsid w:val="00623E3C"/>
    <w:rsid w:val="006242FF"/>
    <w:rsid w:val="006243D1"/>
    <w:rsid w:val="00624928"/>
    <w:rsid w:val="00624C4B"/>
    <w:rsid w:val="00625AE4"/>
    <w:rsid w:val="00625AF9"/>
    <w:rsid w:val="00625BFF"/>
    <w:rsid w:val="00625C8B"/>
    <w:rsid w:val="00625CC5"/>
    <w:rsid w:val="0062636D"/>
    <w:rsid w:val="00626573"/>
    <w:rsid w:val="00626819"/>
    <w:rsid w:val="0062728C"/>
    <w:rsid w:val="00627988"/>
    <w:rsid w:val="00627BC0"/>
    <w:rsid w:val="00627C7C"/>
    <w:rsid w:val="00627C8D"/>
    <w:rsid w:val="00630207"/>
    <w:rsid w:val="006306CE"/>
    <w:rsid w:val="00630B1D"/>
    <w:rsid w:val="006310A5"/>
    <w:rsid w:val="00631D5C"/>
    <w:rsid w:val="00631F4C"/>
    <w:rsid w:val="006320EF"/>
    <w:rsid w:val="006322C0"/>
    <w:rsid w:val="00632700"/>
    <w:rsid w:val="00632CC4"/>
    <w:rsid w:val="00632CD3"/>
    <w:rsid w:val="00632D76"/>
    <w:rsid w:val="00633F58"/>
    <w:rsid w:val="00634096"/>
    <w:rsid w:val="00634630"/>
    <w:rsid w:val="00634BDE"/>
    <w:rsid w:val="006354D6"/>
    <w:rsid w:val="006358BA"/>
    <w:rsid w:val="00635ACB"/>
    <w:rsid w:val="00635CA7"/>
    <w:rsid w:val="00636578"/>
    <w:rsid w:val="00636862"/>
    <w:rsid w:val="00636A7B"/>
    <w:rsid w:val="0063701C"/>
    <w:rsid w:val="006375A8"/>
    <w:rsid w:val="0063799C"/>
    <w:rsid w:val="00640560"/>
    <w:rsid w:val="006405E9"/>
    <w:rsid w:val="00640DF1"/>
    <w:rsid w:val="00641266"/>
    <w:rsid w:val="00641517"/>
    <w:rsid w:val="006415F5"/>
    <w:rsid w:val="006418FC"/>
    <w:rsid w:val="00641C19"/>
    <w:rsid w:val="00641C2E"/>
    <w:rsid w:val="00642097"/>
    <w:rsid w:val="00642624"/>
    <w:rsid w:val="00642BA5"/>
    <w:rsid w:val="00642CD3"/>
    <w:rsid w:val="00643468"/>
    <w:rsid w:val="00643654"/>
    <w:rsid w:val="006441C8"/>
    <w:rsid w:val="00644EDA"/>
    <w:rsid w:val="00646154"/>
    <w:rsid w:val="006469CC"/>
    <w:rsid w:val="00646A92"/>
    <w:rsid w:val="00646E09"/>
    <w:rsid w:val="00646E5D"/>
    <w:rsid w:val="00647606"/>
    <w:rsid w:val="00647692"/>
    <w:rsid w:val="00647D30"/>
    <w:rsid w:val="00650213"/>
    <w:rsid w:val="00650367"/>
    <w:rsid w:val="006505F9"/>
    <w:rsid w:val="0065125A"/>
    <w:rsid w:val="00651B0E"/>
    <w:rsid w:val="006525C8"/>
    <w:rsid w:val="00652DD8"/>
    <w:rsid w:val="00652FFF"/>
    <w:rsid w:val="00653507"/>
    <w:rsid w:val="0065392E"/>
    <w:rsid w:val="00653E47"/>
    <w:rsid w:val="006543AD"/>
    <w:rsid w:val="00654673"/>
    <w:rsid w:val="006546DA"/>
    <w:rsid w:val="00654C84"/>
    <w:rsid w:val="00654D3A"/>
    <w:rsid w:val="00654DAC"/>
    <w:rsid w:val="00655BB3"/>
    <w:rsid w:val="006560AD"/>
    <w:rsid w:val="00656DC7"/>
    <w:rsid w:val="006573FD"/>
    <w:rsid w:val="00657597"/>
    <w:rsid w:val="006579F0"/>
    <w:rsid w:val="00657D53"/>
    <w:rsid w:val="00660203"/>
    <w:rsid w:val="006613C5"/>
    <w:rsid w:val="00661527"/>
    <w:rsid w:val="0066157F"/>
    <w:rsid w:val="00661797"/>
    <w:rsid w:val="00661F7B"/>
    <w:rsid w:val="006620D1"/>
    <w:rsid w:val="00662347"/>
    <w:rsid w:val="00662682"/>
    <w:rsid w:val="00662CDB"/>
    <w:rsid w:val="00663C48"/>
    <w:rsid w:val="00664635"/>
    <w:rsid w:val="00664648"/>
    <w:rsid w:val="00664FE2"/>
    <w:rsid w:val="00664FFE"/>
    <w:rsid w:val="00665388"/>
    <w:rsid w:val="00665D03"/>
    <w:rsid w:val="006661BD"/>
    <w:rsid w:val="0066640E"/>
    <w:rsid w:val="0066698E"/>
    <w:rsid w:val="00666C00"/>
    <w:rsid w:val="006670A7"/>
    <w:rsid w:val="0066747E"/>
    <w:rsid w:val="00667EA5"/>
    <w:rsid w:val="00670802"/>
    <w:rsid w:val="00670DA3"/>
    <w:rsid w:val="00670F0B"/>
    <w:rsid w:val="00671347"/>
    <w:rsid w:val="006718F7"/>
    <w:rsid w:val="00671EF5"/>
    <w:rsid w:val="0067233E"/>
    <w:rsid w:val="00672476"/>
    <w:rsid w:val="00672B5D"/>
    <w:rsid w:val="006732D0"/>
    <w:rsid w:val="006737AD"/>
    <w:rsid w:val="00674C26"/>
    <w:rsid w:val="00674C5D"/>
    <w:rsid w:val="00675171"/>
    <w:rsid w:val="00675A2E"/>
    <w:rsid w:val="00675C74"/>
    <w:rsid w:val="00675EEE"/>
    <w:rsid w:val="00675FE5"/>
    <w:rsid w:val="0067622C"/>
    <w:rsid w:val="00676C25"/>
    <w:rsid w:val="00676E3D"/>
    <w:rsid w:val="00677AE5"/>
    <w:rsid w:val="00677BA2"/>
    <w:rsid w:val="00680249"/>
    <w:rsid w:val="0068026D"/>
    <w:rsid w:val="00680401"/>
    <w:rsid w:val="00680444"/>
    <w:rsid w:val="00680A9E"/>
    <w:rsid w:val="00681683"/>
    <w:rsid w:val="00681693"/>
    <w:rsid w:val="006816CB"/>
    <w:rsid w:val="00681BC0"/>
    <w:rsid w:val="00682249"/>
    <w:rsid w:val="006823C1"/>
    <w:rsid w:val="006823D9"/>
    <w:rsid w:val="006826F0"/>
    <w:rsid w:val="00682D04"/>
    <w:rsid w:val="00682EB1"/>
    <w:rsid w:val="006830C5"/>
    <w:rsid w:val="0068381D"/>
    <w:rsid w:val="00683912"/>
    <w:rsid w:val="006839F7"/>
    <w:rsid w:val="00683AC7"/>
    <w:rsid w:val="00683EE6"/>
    <w:rsid w:val="006840F6"/>
    <w:rsid w:val="00684168"/>
    <w:rsid w:val="006843D8"/>
    <w:rsid w:val="006843F1"/>
    <w:rsid w:val="0068448C"/>
    <w:rsid w:val="00685114"/>
    <w:rsid w:val="00685323"/>
    <w:rsid w:val="00685BBB"/>
    <w:rsid w:val="00685BDE"/>
    <w:rsid w:val="00685C49"/>
    <w:rsid w:val="00685CF7"/>
    <w:rsid w:val="00686165"/>
    <w:rsid w:val="0068634B"/>
    <w:rsid w:val="006866BE"/>
    <w:rsid w:val="00686AB1"/>
    <w:rsid w:val="00686BAC"/>
    <w:rsid w:val="00686C80"/>
    <w:rsid w:val="00686D7C"/>
    <w:rsid w:val="006904A5"/>
    <w:rsid w:val="006907DB"/>
    <w:rsid w:val="00690A5C"/>
    <w:rsid w:val="00691083"/>
    <w:rsid w:val="006914F3"/>
    <w:rsid w:val="006917B0"/>
    <w:rsid w:val="00691844"/>
    <w:rsid w:val="00691C01"/>
    <w:rsid w:val="00691CB5"/>
    <w:rsid w:val="00691D43"/>
    <w:rsid w:val="00692022"/>
    <w:rsid w:val="006923DF"/>
    <w:rsid w:val="00692A43"/>
    <w:rsid w:val="00693B5A"/>
    <w:rsid w:val="00693BAA"/>
    <w:rsid w:val="00693BCD"/>
    <w:rsid w:val="00693DAB"/>
    <w:rsid w:val="006940F9"/>
    <w:rsid w:val="0069411B"/>
    <w:rsid w:val="006944A8"/>
    <w:rsid w:val="00694D4C"/>
    <w:rsid w:val="00694FB7"/>
    <w:rsid w:val="006951A1"/>
    <w:rsid w:val="00695A12"/>
    <w:rsid w:val="00695CD9"/>
    <w:rsid w:val="00695EDF"/>
    <w:rsid w:val="00695F5C"/>
    <w:rsid w:val="006961F1"/>
    <w:rsid w:val="00696272"/>
    <w:rsid w:val="0069649A"/>
    <w:rsid w:val="00696DD9"/>
    <w:rsid w:val="006973EB"/>
    <w:rsid w:val="00697476"/>
    <w:rsid w:val="006978F7"/>
    <w:rsid w:val="00697C23"/>
    <w:rsid w:val="006A09B2"/>
    <w:rsid w:val="006A0DC4"/>
    <w:rsid w:val="006A1004"/>
    <w:rsid w:val="006A2201"/>
    <w:rsid w:val="006A2538"/>
    <w:rsid w:val="006A27BC"/>
    <w:rsid w:val="006A2AC4"/>
    <w:rsid w:val="006A2D93"/>
    <w:rsid w:val="006A30E0"/>
    <w:rsid w:val="006A31DB"/>
    <w:rsid w:val="006A329B"/>
    <w:rsid w:val="006A3673"/>
    <w:rsid w:val="006A36C2"/>
    <w:rsid w:val="006A37F5"/>
    <w:rsid w:val="006A398D"/>
    <w:rsid w:val="006A3BE7"/>
    <w:rsid w:val="006A412C"/>
    <w:rsid w:val="006A44CE"/>
    <w:rsid w:val="006A4630"/>
    <w:rsid w:val="006A492A"/>
    <w:rsid w:val="006A4D07"/>
    <w:rsid w:val="006A4F09"/>
    <w:rsid w:val="006A5317"/>
    <w:rsid w:val="006A54BF"/>
    <w:rsid w:val="006A561B"/>
    <w:rsid w:val="006A5AB5"/>
    <w:rsid w:val="006A5E61"/>
    <w:rsid w:val="006A5F43"/>
    <w:rsid w:val="006A60CC"/>
    <w:rsid w:val="006A64C8"/>
    <w:rsid w:val="006A722F"/>
    <w:rsid w:val="006A7462"/>
    <w:rsid w:val="006A7AF7"/>
    <w:rsid w:val="006B04A3"/>
    <w:rsid w:val="006B0556"/>
    <w:rsid w:val="006B05BD"/>
    <w:rsid w:val="006B0635"/>
    <w:rsid w:val="006B094D"/>
    <w:rsid w:val="006B0D24"/>
    <w:rsid w:val="006B0DAC"/>
    <w:rsid w:val="006B11C5"/>
    <w:rsid w:val="006B1454"/>
    <w:rsid w:val="006B18CE"/>
    <w:rsid w:val="006B273A"/>
    <w:rsid w:val="006B2905"/>
    <w:rsid w:val="006B38FF"/>
    <w:rsid w:val="006B3A6A"/>
    <w:rsid w:val="006B3CE8"/>
    <w:rsid w:val="006B3EF6"/>
    <w:rsid w:val="006B4952"/>
    <w:rsid w:val="006B4DDD"/>
    <w:rsid w:val="006B4DF9"/>
    <w:rsid w:val="006B54E6"/>
    <w:rsid w:val="006B55F6"/>
    <w:rsid w:val="006B601C"/>
    <w:rsid w:val="006B63D7"/>
    <w:rsid w:val="006B6673"/>
    <w:rsid w:val="006B686F"/>
    <w:rsid w:val="006B6A6E"/>
    <w:rsid w:val="006B6E5F"/>
    <w:rsid w:val="006B75FE"/>
    <w:rsid w:val="006B7B14"/>
    <w:rsid w:val="006C143E"/>
    <w:rsid w:val="006C17D4"/>
    <w:rsid w:val="006C1892"/>
    <w:rsid w:val="006C1A02"/>
    <w:rsid w:val="006C1FDD"/>
    <w:rsid w:val="006C2018"/>
    <w:rsid w:val="006C235C"/>
    <w:rsid w:val="006C2C61"/>
    <w:rsid w:val="006C2E7B"/>
    <w:rsid w:val="006C3144"/>
    <w:rsid w:val="006C31EA"/>
    <w:rsid w:val="006C3277"/>
    <w:rsid w:val="006C4AEF"/>
    <w:rsid w:val="006C4B2D"/>
    <w:rsid w:val="006C50F3"/>
    <w:rsid w:val="006C528D"/>
    <w:rsid w:val="006C5432"/>
    <w:rsid w:val="006C54FF"/>
    <w:rsid w:val="006C5AD1"/>
    <w:rsid w:val="006C5B73"/>
    <w:rsid w:val="006C5D62"/>
    <w:rsid w:val="006C5F90"/>
    <w:rsid w:val="006C645D"/>
    <w:rsid w:val="006C69A0"/>
    <w:rsid w:val="006C7337"/>
    <w:rsid w:val="006C7699"/>
    <w:rsid w:val="006C7F6E"/>
    <w:rsid w:val="006D0066"/>
    <w:rsid w:val="006D0219"/>
    <w:rsid w:val="006D060B"/>
    <w:rsid w:val="006D0736"/>
    <w:rsid w:val="006D07A8"/>
    <w:rsid w:val="006D17C0"/>
    <w:rsid w:val="006D1A75"/>
    <w:rsid w:val="006D1AC3"/>
    <w:rsid w:val="006D2085"/>
    <w:rsid w:val="006D23A2"/>
    <w:rsid w:val="006D2804"/>
    <w:rsid w:val="006D2A31"/>
    <w:rsid w:val="006D2DF3"/>
    <w:rsid w:val="006D2E9E"/>
    <w:rsid w:val="006D39BF"/>
    <w:rsid w:val="006D3AE6"/>
    <w:rsid w:val="006D41B8"/>
    <w:rsid w:val="006D4299"/>
    <w:rsid w:val="006D4F06"/>
    <w:rsid w:val="006D5501"/>
    <w:rsid w:val="006D5567"/>
    <w:rsid w:val="006D59AC"/>
    <w:rsid w:val="006D6097"/>
    <w:rsid w:val="006D6504"/>
    <w:rsid w:val="006D66F7"/>
    <w:rsid w:val="006D6A10"/>
    <w:rsid w:val="006D6CFE"/>
    <w:rsid w:val="006D7639"/>
    <w:rsid w:val="006D7669"/>
    <w:rsid w:val="006D784E"/>
    <w:rsid w:val="006D79CB"/>
    <w:rsid w:val="006D7EEA"/>
    <w:rsid w:val="006E0331"/>
    <w:rsid w:val="006E0B3A"/>
    <w:rsid w:val="006E1573"/>
    <w:rsid w:val="006E19F2"/>
    <w:rsid w:val="006E2394"/>
    <w:rsid w:val="006E272F"/>
    <w:rsid w:val="006E2991"/>
    <w:rsid w:val="006E2D2A"/>
    <w:rsid w:val="006E313F"/>
    <w:rsid w:val="006E3BD7"/>
    <w:rsid w:val="006E3CC3"/>
    <w:rsid w:val="006E505F"/>
    <w:rsid w:val="006E540B"/>
    <w:rsid w:val="006E571A"/>
    <w:rsid w:val="006E5BEC"/>
    <w:rsid w:val="006E6097"/>
    <w:rsid w:val="006E6A3C"/>
    <w:rsid w:val="006E6DF1"/>
    <w:rsid w:val="006E6E52"/>
    <w:rsid w:val="006E6ED4"/>
    <w:rsid w:val="006E7B16"/>
    <w:rsid w:val="006E7B30"/>
    <w:rsid w:val="006E7F73"/>
    <w:rsid w:val="006F0330"/>
    <w:rsid w:val="006F03DF"/>
    <w:rsid w:val="006F0BC5"/>
    <w:rsid w:val="006F107E"/>
    <w:rsid w:val="006F1961"/>
    <w:rsid w:val="006F1C59"/>
    <w:rsid w:val="006F258E"/>
    <w:rsid w:val="006F2A91"/>
    <w:rsid w:val="006F2B96"/>
    <w:rsid w:val="006F343B"/>
    <w:rsid w:val="006F3573"/>
    <w:rsid w:val="006F397E"/>
    <w:rsid w:val="006F3A2C"/>
    <w:rsid w:val="006F3BCE"/>
    <w:rsid w:val="006F4055"/>
    <w:rsid w:val="006F40EF"/>
    <w:rsid w:val="006F4259"/>
    <w:rsid w:val="006F4444"/>
    <w:rsid w:val="006F47FF"/>
    <w:rsid w:val="006F4AC7"/>
    <w:rsid w:val="006F510F"/>
    <w:rsid w:val="006F5289"/>
    <w:rsid w:val="006F53C7"/>
    <w:rsid w:val="006F59A8"/>
    <w:rsid w:val="006F601A"/>
    <w:rsid w:val="006F6026"/>
    <w:rsid w:val="006F6ECE"/>
    <w:rsid w:val="006F76CB"/>
    <w:rsid w:val="007000DB"/>
    <w:rsid w:val="007003C4"/>
    <w:rsid w:val="007003D5"/>
    <w:rsid w:val="00700573"/>
    <w:rsid w:val="00700946"/>
    <w:rsid w:val="007009BB"/>
    <w:rsid w:val="00700C17"/>
    <w:rsid w:val="00700F21"/>
    <w:rsid w:val="007021DE"/>
    <w:rsid w:val="0070279B"/>
    <w:rsid w:val="00702801"/>
    <w:rsid w:val="00702944"/>
    <w:rsid w:val="00702C1A"/>
    <w:rsid w:val="00703089"/>
    <w:rsid w:val="00703519"/>
    <w:rsid w:val="0070383F"/>
    <w:rsid w:val="00703881"/>
    <w:rsid w:val="00703D17"/>
    <w:rsid w:val="00704818"/>
    <w:rsid w:val="00704B60"/>
    <w:rsid w:val="00704C56"/>
    <w:rsid w:val="00705517"/>
    <w:rsid w:val="00705614"/>
    <w:rsid w:val="007059DD"/>
    <w:rsid w:val="00705A12"/>
    <w:rsid w:val="00705D00"/>
    <w:rsid w:val="00705EFF"/>
    <w:rsid w:val="00705F5D"/>
    <w:rsid w:val="00706B11"/>
    <w:rsid w:val="00706B9F"/>
    <w:rsid w:val="00706E8E"/>
    <w:rsid w:val="007074AB"/>
    <w:rsid w:val="00707F35"/>
    <w:rsid w:val="007103C7"/>
    <w:rsid w:val="00710480"/>
    <w:rsid w:val="007106C4"/>
    <w:rsid w:val="00711503"/>
    <w:rsid w:val="00711B9A"/>
    <w:rsid w:val="00711C0F"/>
    <w:rsid w:val="00712038"/>
    <w:rsid w:val="00712636"/>
    <w:rsid w:val="0071270F"/>
    <w:rsid w:val="00712822"/>
    <w:rsid w:val="00712A72"/>
    <w:rsid w:val="00712CA7"/>
    <w:rsid w:val="00712D9C"/>
    <w:rsid w:val="00713318"/>
    <w:rsid w:val="00713376"/>
    <w:rsid w:val="00713423"/>
    <w:rsid w:val="007136BC"/>
    <w:rsid w:val="007136D8"/>
    <w:rsid w:val="00713C95"/>
    <w:rsid w:val="00714764"/>
    <w:rsid w:val="0071492D"/>
    <w:rsid w:val="0071553E"/>
    <w:rsid w:val="007160EB"/>
    <w:rsid w:val="00716110"/>
    <w:rsid w:val="007163A8"/>
    <w:rsid w:val="0071645F"/>
    <w:rsid w:val="00716EEF"/>
    <w:rsid w:val="007174D2"/>
    <w:rsid w:val="00720718"/>
    <w:rsid w:val="00721110"/>
    <w:rsid w:val="00721564"/>
    <w:rsid w:val="007218D8"/>
    <w:rsid w:val="00721B31"/>
    <w:rsid w:val="0072214C"/>
    <w:rsid w:val="00722625"/>
    <w:rsid w:val="00722754"/>
    <w:rsid w:val="00722915"/>
    <w:rsid w:val="00722B53"/>
    <w:rsid w:val="00722BEA"/>
    <w:rsid w:val="00723102"/>
    <w:rsid w:val="00723A25"/>
    <w:rsid w:val="00724A8F"/>
    <w:rsid w:val="00724ADB"/>
    <w:rsid w:val="00724BB2"/>
    <w:rsid w:val="00724C8D"/>
    <w:rsid w:val="00724D63"/>
    <w:rsid w:val="007250CD"/>
    <w:rsid w:val="00725973"/>
    <w:rsid w:val="00725A0E"/>
    <w:rsid w:val="00725B3E"/>
    <w:rsid w:val="00725C4B"/>
    <w:rsid w:val="007263A0"/>
    <w:rsid w:val="007267D9"/>
    <w:rsid w:val="00726B91"/>
    <w:rsid w:val="0073045A"/>
    <w:rsid w:val="00730916"/>
    <w:rsid w:val="00731068"/>
    <w:rsid w:val="00731683"/>
    <w:rsid w:val="007316B3"/>
    <w:rsid w:val="00732072"/>
    <w:rsid w:val="00732234"/>
    <w:rsid w:val="007327E3"/>
    <w:rsid w:val="00732AB9"/>
    <w:rsid w:val="0073461F"/>
    <w:rsid w:val="00734702"/>
    <w:rsid w:val="00734BE2"/>
    <w:rsid w:val="007352AC"/>
    <w:rsid w:val="00735436"/>
    <w:rsid w:val="00735FC6"/>
    <w:rsid w:val="00736501"/>
    <w:rsid w:val="007367E4"/>
    <w:rsid w:val="00736AA5"/>
    <w:rsid w:val="007373A2"/>
    <w:rsid w:val="00737526"/>
    <w:rsid w:val="00737BC9"/>
    <w:rsid w:val="00737E7A"/>
    <w:rsid w:val="00737EF6"/>
    <w:rsid w:val="00740293"/>
    <w:rsid w:val="00740935"/>
    <w:rsid w:val="007414D9"/>
    <w:rsid w:val="0074199C"/>
    <w:rsid w:val="007419E2"/>
    <w:rsid w:val="00741ADB"/>
    <w:rsid w:val="00741BAE"/>
    <w:rsid w:val="0074200C"/>
    <w:rsid w:val="007421FB"/>
    <w:rsid w:val="00742366"/>
    <w:rsid w:val="00742A50"/>
    <w:rsid w:val="00742DF9"/>
    <w:rsid w:val="00742EEC"/>
    <w:rsid w:val="00743279"/>
    <w:rsid w:val="00743788"/>
    <w:rsid w:val="00743B55"/>
    <w:rsid w:val="00744484"/>
    <w:rsid w:val="00744DDA"/>
    <w:rsid w:val="00745008"/>
    <w:rsid w:val="00745030"/>
    <w:rsid w:val="00745B35"/>
    <w:rsid w:val="00745D43"/>
    <w:rsid w:val="00746033"/>
    <w:rsid w:val="00746854"/>
    <w:rsid w:val="0074699D"/>
    <w:rsid w:val="00746A5A"/>
    <w:rsid w:val="00746B84"/>
    <w:rsid w:val="00746C75"/>
    <w:rsid w:val="00746FB3"/>
    <w:rsid w:val="00747407"/>
    <w:rsid w:val="00747434"/>
    <w:rsid w:val="007476C2"/>
    <w:rsid w:val="00747B4A"/>
    <w:rsid w:val="00747DEF"/>
    <w:rsid w:val="00747F29"/>
    <w:rsid w:val="007500BB"/>
    <w:rsid w:val="007509DD"/>
    <w:rsid w:val="00750AA9"/>
    <w:rsid w:val="00750ED0"/>
    <w:rsid w:val="00750ED3"/>
    <w:rsid w:val="00751A48"/>
    <w:rsid w:val="00752114"/>
    <w:rsid w:val="007523BF"/>
    <w:rsid w:val="007524DD"/>
    <w:rsid w:val="00752950"/>
    <w:rsid w:val="00752D46"/>
    <w:rsid w:val="00752D65"/>
    <w:rsid w:val="00753342"/>
    <w:rsid w:val="007533F3"/>
    <w:rsid w:val="0075344F"/>
    <w:rsid w:val="00753657"/>
    <w:rsid w:val="007536F4"/>
    <w:rsid w:val="00753BD8"/>
    <w:rsid w:val="00753C05"/>
    <w:rsid w:val="00753FB9"/>
    <w:rsid w:val="007542A8"/>
    <w:rsid w:val="00754C76"/>
    <w:rsid w:val="007556BD"/>
    <w:rsid w:val="007561E6"/>
    <w:rsid w:val="007566E9"/>
    <w:rsid w:val="0075683F"/>
    <w:rsid w:val="00756892"/>
    <w:rsid w:val="00756D73"/>
    <w:rsid w:val="007574C8"/>
    <w:rsid w:val="00757F6D"/>
    <w:rsid w:val="00760480"/>
    <w:rsid w:val="0076067F"/>
    <w:rsid w:val="00760851"/>
    <w:rsid w:val="00760A10"/>
    <w:rsid w:val="00760F71"/>
    <w:rsid w:val="007612BA"/>
    <w:rsid w:val="00762CAB"/>
    <w:rsid w:val="00763474"/>
    <w:rsid w:val="00763699"/>
    <w:rsid w:val="007642BB"/>
    <w:rsid w:val="00764325"/>
    <w:rsid w:val="007652A4"/>
    <w:rsid w:val="00765F38"/>
    <w:rsid w:val="00766184"/>
    <w:rsid w:val="00766883"/>
    <w:rsid w:val="00766BD8"/>
    <w:rsid w:val="0076714B"/>
    <w:rsid w:val="007677CC"/>
    <w:rsid w:val="0076785C"/>
    <w:rsid w:val="0077080E"/>
    <w:rsid w:val="00770C07"/>
    <w:rsid w:val="00771398"/>
    <w:rsid w:val="0077195B"/>
    <w:rsid w:val="00771983"/>
    <w:rsid w:val="007719C3"/>
    <w:rsid w:val="00771AFE"/>
    <w:rsid w:val="00771C55"/>
    <w:rsid w:val="0077297D"/>
    <w:rsid w:val="00772AE5"/>
    <w:rsid w:val="0077337D"/>
    <w:rsid w:val="00773616"/>
    <w:rsid w:val="007740E0"/>
    <w:rsid w:val="0077427D"/>
    <w:rsid w:val="00774AB3"/>
    <w:rsid w:val="00774F5B"/>
    <w:rsid w:val="0077521B"/>
    <w:rsid w:val="007753E6"/>
    <w:rsid w:val="0077549F"/>
    <w:rsid w:val="00775C90"/>
    <w:rsid w:val="007764AF"/>
    <w:rsid w:val="00776C6F"/>
    <w:rsid w:val="00776DBA"/>
    <w:rsid w:val="00777311"/>
    <w:rsid w:val="00777459"/>
    <w:rsid w:val="00777BD2"/>
    <w:rsid w:val="00777CB8"/>
    <w:rsid w:val="00777FBF"/>
    <w:rsid w:val="00780AE2"/>
    <w:rsid w:val="00780BDF"/>
    <w:rsid w:val="00780E25"/>
    <w:rsid w:val="007810FC"/>
    <w:rsid w:val="00781305"/>
    <w:rsid w:val="00781547"/>
    <w:rsid w:val="007821F8"/>
    <w:rsid w:val="007823BE"/>
    <w:rsid w:val="007823FA"/>
    <w:rsid w:val="0078257B"/>
    <w:rsid w:val="00782629"/>
    <w:rsid w:val="00782D35"/>
    <w:rsid w:val="00783334"/>
    <w:rsid w:val="00783D75"/>
    <w:rsid w:val="00783F6A"/>
    <w:rsid w:val="00783FAD"/>
    <w:rsid w:val="00784083"/>
    <w:rsid w:val="00784C0A"/>
    <w:rsid w:val="00784C34"/>
    <w:rsid w:val="00784CF1"/>
    <w:rsid w:val="00785029"/>
    <w:rsid w:val="00785177"/>
    <w:rsid w:val="00786208"/>
    <w:rsid w:val="00786742"/>
    <w:rsid w:val="00786E5F"/>
    <w:rsid w:val="00787CE7"/>
    <w:rsid w:val="00787EC4"/>
    <w:rsid w:val="0079017B"/>
    <w:rsid w:val="00790447"/>
    <w:rsid w:val="0079056F"/>
    <w:rsid w:val="00790D3C"/>
    <w:rsid w:val="00790E50"/>
    <w:rsid w:val="00790EA3"/>
    <w:rsid w:val="00790EAB"/>
    <w:rsid w:val="00790EB2"/>
    <w:rsid w:val="00791247"/>
    <w:rsid w:val="00791CD0"/>
    <w:rsid w:val="00792383"/>
    <w:rsid w:val="0079252D"/>
    <w:rsid w:val="00792688"/>
    <w:rsid w:val="00792E7B"/>
    <w:rsid w:val="0079389E"/>
    <w:rsid w:val="00793A83"/>
    <w:rsid w:val="007941B4"/>
    <w:rsid w:val="0079464A"/>
    <w:rsid w:val="00794B40"/>
    <w:rsid w:val="00794BAC"/>
    <w:rsid w:val="00794BB0"/>
    <w:rsid w:val="00795B42"/>
    <w:rsid w:val="00795CB8"/>
    <w:rsid w:val="00795D58"/>
    <w:rsid w:val="00796E26"/>
    <w:rsid w:val="00797094"/>
    <w:rsid w:val="007972D0"/>
    <w:rsid w:val="00797361"/>
    <w:rsid w:val="007979EC"/>
    <w:rsid w:val="007A0104"/>
    <w:rsid w:val="007A03E2"/>
    <w:rsid w:val="007A05EC"/>
    <w:rsid w:val="007A0B4E"/>
    <w:rsid w:val="007A0BEC"/>
    <w:rsid w:val="007A100E"/>
    <w:rsid w:val="007A1079"/>
    <w:rsid w:val="007A115E"/>
    <w:rsid w:val="007A1200"/>
    <w:rsid w:val="007A14C0"/>
    <w:rsid w:val="007A1B58"/>
    <w:rsid w:val="007A1BF9"/>
    <w:rsid w:val="007A29EE"/>
    <w:rsid w:val="007A2A7B"/>
    <w:rsid w:val="007A31D2"/>
    <w:rsid w:val="007A373B"/>
    <w:rsid w:val="007A3B49"/>
    <w:rsid w:val="007A4080"/>
    <w:rsid w:val="007A452F"/>
    <w:rsid w:val="007A46D3"/>
    <w:rsid w:val="007A4D07"/>
    <w:rsid w:val="007A54A0"/>
    <w:rsid w:val="007A5650"/>
    <w:rsid w:val="007A5EB6"/>
    <w:rsid w:val="007A60A1"/>
    <w:rsid w:val="007A60BD"/>
    <w:rsid w:val="007A60F5"/>
    <w:rsid w:val="007A632A"/>
    <w:rsid w:val="007A647A"/>
    <w:rsid w:val="007A6727"/>
    <w:rsid w:val="007A6804"/>
    <w:rsid w:val="007A6D5C"/>
    <w:rsid w:val="007A6F15"/>
    <w:rsid w:val="007A7204"/>
    <w:rsid w:val="007A738F"/>
    <w:rsid w:val="007A73D8"/>
    <w:rsid w:val="007A7573"/>
    <w:rsid w:val="007A7A3F"/>
    <w:rsid w:val="007A7A56"/>
    <w:rsid w:val="007B03ED"/>
    <w:rsid w:val="007B0D2D"/>
    <w:rsid w:val="007B1618"/>
    <w:rsid w:val="007B17F5"/>
    <w:rsid w:val="007B1B8C"/>
    <w:rsid w:val="007B2385"/>
    <w:rsid w:val="007B2489"/>
    <w:rsid w:val="007B2677"/>
    <w:rsid w:val="007B2682"/>
    <w:rsid w:val="007B280C"/>
    <w:rsid w:val="007B3A40"/>
    <w:rsid w:val="007B472D"/>
    <w:rsid w:val="007B493B"/>
    <w:rsid w:val="007B4B26"/>
    <w:rsid w:val="007B5131"/>
    <w:rsid w:val="007B58D2"/>
    <w:rsid w:val="007B5A5B"/>
    <w:rsid w:val="007B5FB6"/>
    <w:rsid w:val="007B604E"/>
    <w:rsid w:val="007B662B"/>
    <w:rsid w:val="007B6A31"/>
    <w:rsid w:val="007B7338"/>
    <w:rsid w:val="007B76AB"/>
    <w:rsid w:val="007B7746"/>
    <w:rsid w:val="007B7A34"/>
    <w:rsid w:val="007B7B01"/>
    <w:rsid w:val="007B7B9F"/>
    <w:rsid w:val="007B7D15"/>
    <w:rsid w:val="007B7DBD"/>
    <w:rsid w:val="007C01B6"/>
    <w:rsid w:val="007C01BA"/>
    <w:rsid w:val="007C05EA"/>
    <w:rsid w:val="007C09C0"/>
    <w:rsid w:val="007C102B"/>
    <w:rsid w:val="007C1433"/>
    <w:rsid w:val="007C1629"/>
    <w:rsid w:val="007C1869"/>
    <w:rsid w:val="007C1C8E"/>
    <w:rsid w:val="007C21F4"/>
    <w:rsid w:val="007C3499"/>
    <w:rsid w:val="007C393D"/>
    <w:rsid w:val="007C3AEA"/>
    <w:rsid w:val="007C404E"/>
    <w:rsid w:val="007C4187"/>
    <w:rsid w:val="007C423F"/>
    <w:rsid w:val="007C45EC"/>
    <w:rsid w:val="007C4A11"/>
    <w:rsid w:val="007C5639"/>
    <w:rsid w:val="007C5FC7"/>
    <w:rsid w:val="007C643A"/>
    <w:rsid w:val="007C6ACB"/>
    <w:rsid w:val="007C6FAF"/>
    <w:rsid w:val="007C7299"/>
    <w:rsid w:val="007C7BEC"/>
    <w:rsid w:val="007C7C56"/>
    <w:rsid w:val="007C7D55"/>
    <w:rsid w:val="007D01C5"/>
    <w:rsid w:val="007D0313"/>
    <w:rsid w:val="007D061E"/>
    <w:rsid w:val="007D09DE"/>
    <w:rsid w:val="007D0C50"/>
    <w:rsid w:val="007D0D08"/>
    <w:rsid w:val="007D1EBD"/>
    <w:rsid w:val="007D2029"/>
    <w:rsid w:val="007D227A"/>
    <w:rsid w:val="007D24FB"/>
    <w:rsid w:val="007D2E13"/>
    <w:rsid w:val="007D33BB"/>
    <w:rsid w:val="007D358E"/>
    <w:rsid w:val="007D3814"/>
    <w:rsid w:val="007D3CB4"/>
    <w:rsid w:val="007D445A"/>
    <w:rsid w:val="007D4AC8"/>
    <w:rsid w:val="007D4C9F"/>
    <w:rsid w:val="007D569C"/>
    <w:rsid w:val="007D5812"/>
    <w:rsid w:val="007D592B"/>
    <w:rsid w:val="007D5AA6"/>
    <w:rsid w:val="007D5E3E"/>
    <w:rsid w:val="007D68A5"/>
    <w:rsid w:val="007D6DC3"/>
    <w:rsid w:val="007D71E1"/>
    <w:rsid w:val="007D7A91"/>
    <w:rsid w:val="007D7B8F"/>
    <w:rsid w:val="007D7C8A"/>
    <w:rsid w:val="007E05F6"/>
    <w:rsid w:val="007E07B8"/>
    <w:rsid w:val="007E0B35"/>
    <w:rsid w:val="007E1C5E"/>
    <w:rsid w:val="007E27B4"/>
    <w:rsid w:val="007E2B5C"/>
    <w:rsid w:val="007E2ECA"/>
    <w:rsid w:val="007E2F01"/>
    <w:rsid w:val="007E389A"/>
    <w:rsid w:val="007E39EB"/>
    <w:rsid w:val="007E3A80"/>
    <w:rsid w:val="007E3C14"/>
    <w:rsid w:val="007E4313"/>
    <w:rsid w:val="007E4589"/>
    <w:rsid w:val="007E4FBC"/>
    <w:rsid w:val="007E5372"/>
    <w:rsid w:val="007E5505"/>
    <w:rsid w:val="007E5756"/>
    <w:rsid w:val="007E6094"/>
    <w:rsid w:val="007E62BE"/>
    <w:rsid w:val="007E6456"/>
    <w:rsid w:val="007E6C82"/>
    <w:rsid w:val="007E7F83"/>
    <w:rsid w:val="007F0A40"/>
    <w:rsid w:val="007F0D06"/>
    <w:rsid w:val="007F11B3"/>
    <w:rsid w:val="007F1BD0"/>
    <w:rsid w:val="007F1CA7"/>
    <w:rsid w:val="007F1E20"/>
    <w:rsid w:val="007F1FA4"/>
    <w:rsid w:val="007F1FDD"/>
    <w:rsid w:val="007F2642"/>
    <w:rsid w:val="007F27CC"/>
    <w:rsid w:val="007F28C0"/>
    <w:rsid w:val="007F28E6"/>
    <w:rsid w:val="007F2BD8"/>
    <w:rsid w:val="007F2C49"/>
    <w:rsid w:val="007F34F4"/>
    <w:rsid w:val="007F3645"/>
    <w:rsid w:val="007F382B"/>
    <w:rsid w:val="007F3908"/>
    <w:rsid w:val="007F3A99"/>
    <w:rsid w:val="007F4571"/>
    <w:rsid w:val="007F467B"/>
    <w:rsid w:val="007F507B"/>
    <w:rsid w:val="007F5221"/>
    <w:rsid w:val="007F59E7"/>
    <w:rsid w:val="007F5AA5"/>
    <w:rsid w:val="007F5AAE"/>
    <w:rsid w:val="007F5B72"/>
    <w:rsid w:val="007F5C68"/>
    <w:rsid w:val="007F5FEF"/>
    <w:rsid w:val="007F65AD"/>
    <w:rsid w:val="007F6959"/>
    <w:rsid w:val="007F70BF"/>
    <w:rsid w:val="008005E8"/>
    <w:rsid w:val="008010C5"/>
    <w:rsid w:val="0080117A"/>
    <w:rsid w:val="00801884"/>
    <w:rsid w:val="008018C7"/>
    <w:rsid w:val="00801C01"/>
    <w:rsid w:val="00801E08"/>
    <w:rsid w:val="00802433"/>
    <w:rsid w:val="0080247C"/>
    <w:rsid w:val="0080281F"/>
    <w:rsid w:val="008030A3"/>
    <w:rsid w:val="00803427"/>
    <w:rsid w:val="008035CF"/>
    <w:rsid w:val="0080373D"/>
    <w:rsid w:val="00803C99"/>
    <w:rsid w:val="008045F1"/>
    <w:rsid w:val="008047DA"/>
    <w:rsid w:val="0080489E"/>
    <w:rsid w:val="00804B73"/>
    <w:rsid w:val="00805408"/>
    <w:rsid w:val="008058FB"/>
    <w:rsid w:val="00805AA7"/>
    <w:rsid w:val="00805D09"/>
    <w:rsid w:val="00805E96"/>
    <w:rsid w:val="00806D6E"/>
    <w:rsid w:val="0080705C"/>
    <w:rsid w:val="00807163"/>
    <w:rsid w:val="0080746A"/>
    <w:rsid w:val="00807D04"/>
    <w:rsid w:val="0081022B"/>
    <w:rsid w:val="0081038F"/>
    <w:rsid w:val="008105C8"/>
    <w:rsid w:val="00810BBC"/>
    <w:rsid w:val="00810C6E"/>
    <w:rsid w:val="008115F6"/>
    <w:rsid w:val="0081174C"/>
    <w:rsid w:val="00811943"/>
    <w:rsid w:val="0081198A"/>
    <w:rsid w:val="00811E6A"/>
    <w:rsid w:val="00811F23"/>
    <w:rsid w:val="008123EE"/>
    <w:rsid w:val="00812693"/>
    <w:rsid w:val="00812A78"/>
    <w:rsid w:val="00812EC7"/>
    <w:rsid w:val="008131CF"/>
    <w:rsid w:val="0081343D"/>
    <w:rsid w:val="00813CDC"/>
    <w:rsid w:val="00813F46"/>
    <w:rsid w:val="0081415B"/>
    <w:rsid w:val="008147E3"/>
    <w:rsid w:val="00814A1D"/>
    <w:rsid w:val="00814C54"/>
    <w:rsid w:val="00814D7E"/>
    <w:rsid w:val="00815115"/>
    <w:rsid w:val="008154E8"/>
    <w:rsid w:val="0081578C"/>
    <w:rsid w:val="00815C14"/>
    <w:rsid w:val="00815C44"/>
    <w:rsid w:val="00815C81"/>
    <w:rsid w:val="00815D5B"/>
    <w:rsid w:val="00815DB0"/>
    <w:rsid w:val="00815EB2"/>
    <w:rsid w:val="00816849"/>
    <w:rsid w:val="00816908"/>
    <w:rsid w:val="008169CD"/>
    <w:rsid w:val="00816A9C"/>
    <w:rsid w:val="008174FA"/>
    <w:rsid w:val="00817697"/>
    <w:rsid w:val="00820420"/>
    <w:rsid w:val="008208A0"/>
    <w:rsid w:val="00820DE2"/>
    <w:rsid w:val="00821007"/>
    <w:rsid w:val="008215E2"/>
    <w:rsid w:val="008225CA"/>
    <w:rsid w:val="00822D18"/>
    <w:rsid w:val="00822DDC"/>
    <w:rsid w:val="00823042"/>
    <w:rsid w:val="00823125"/>
    <w:rsid w:val="008234D3"/>
    <w:rsid w:val="008244D3"/>
    <w:rsid w:val="00825580"/>
    <w:rsid w:val="00825F09"/>
    <w:rsid w:val="00825FE9"/>
    <w:rsid w:val="00826842"/>
    <w:rsid w:val="00826A47"/>
    <w:rsid w:val="00826D38"/>
    <w:rsid w:val="0082713B"/>
    <w:rsid w:val="0083038F"/>
    <w:rsid w:val="008307D1"/>
    <w:rsid w:val="00830B56"/>
    <w:rsid w:val="00830C98"/>
    <w:rsid w:val="00830DB7"/>
    <w:rsid w:val="008311B8"/>
    <w:rsid w:val="008311CA"/>
    <w:rsid w:val="008313D4"/>
    <w:rsid w:val="00831898"/>
    <w:rsid w:val="00831E6B"/>
    <w:rsid w:val="0083212A"/>
    <w:rsid w:val="0083400D"/>
    <w:rsid w:val="008340BD"/>
    <w:rsid w:val="00834243"/>
    <w:rsid w:val="00834244"/>
    <w:rsid w:val="008344B1"/>
    <w:rsid w:val="0083486F"/>
    <w:rsid w:val="00834954"/>
    <w:rsid w:val="00835F73"/>
    <w:rsid w:val="008365CF"/>
    <w:rsid w:val="00836D00"/>
    <w:rsid w:val="00836DE5"/>
    <w:rsid w:val="008374C4"/>
    <w:rsid w:val="0083754A"/>
    <w:rsid w:val="008376C1"/>
    <w:rsid w:val="00837C29"/>
    <w:rsid w:val="008403E5"/>
    <w:rsid w:val="00840A06"/>
    <w:rsid w:val="00840CDA"/>
    <w:rsid w:val="00840FD3"/>
    <w:rsid w:val="008414E2"/>
    <w:rsid w:val="00841AEA"/>
    <w:rsid w:val="00841D37"/>
    <w:rsid w:val="00841F44"/>
    <w:rsid w:val="008421BF"/>
    <w:rsid w:val="008421F7"/>
    <w:rsid w:val="0084237D"/>
    <w:rsid w:val="00842431"/>
    <w:rsid w:val="00842712"/>
    <w:rsid w:val="00842F3B"/>
    <w:rsid w:val="0084315E"/>
    <w:rsid w:val="008437F0"/>
    <w:rsid w:val="008439B3"/>
    <w:rsid w:val="00843D2C"/>
    <w:rsid w:val="008442FE"/>
    <w:rsid w:val="008448CE"/>
    <w:rsid w:val="00844BA5"/>
    <w:rsid w:val="008456F4"/>
    <w:rsid w:val="008458B6"/>
    <w:rsid w:val="00845B2F"/>
    <w:rsid w:val="00845B9F"/>
    <w:rsid w:val="00846C50"/>
    <w:rsid w:val="00846E0B"/>
    <w:rsid w:val="00847C13"/>
    <w:rsid w:val="00847C73"/>
    <w:rsid w:val="008500AA"/>
    <w:rsid w:val="00850290"/>
    <w:rsid w:val="00850B4C"/>
    <w:rsid w:val="00850EB0"/>
    <w:rsid w:val="00851214"/>
    <w:rsid w:val="00851545"/>
    <w:rsid w:val="00852225"/>
    <w:rsid w:val="00852522"/>
    <w:rsid w:val="00852824"/>
    <w:rsid w:val="00852E28"/>
    <w:rsid w:val="00853048"/>
    <w:rsid w:val="00853427"/>
    <w:rsid w:val="008538DC"/>
    <w:rsid w:val="00853966"/>
    <w:rsid w:val="008539D9"/>
    <w:rsid w:val="00853AEB"/>
    <w:rsid w:val="008544AA"/>
    <w:rsid w:val="008545A7"/>
    <w:rsid w:val="008550D2"/>
    <w:rsid w:val="00855677"/>
    <w:rsid w:val="00855FE6"/>
    <w:rsid w:val="0085635A"/>
    <w:rsid w:val="008563B5"/>
    <w:rsid w:val="008567C4"/>
    <w:rsid w:val="00856FB5"/>
    <w:rsid w:val="00857969"/>
    <w:rsid w:val="00857CEB"/>
    <w:rsid w:val="00857D5C"/>
    <w:rsid w:val="0086023F"/>
    <w:rsid w:val="008611C7"/>
    <w:rsid w:val="0086129C"/>
    <w:rsid w:val="008613F7"/>
    <w:rsid w:val="00861B6C"/>
    <w:rsid w:val="0086292C"/>
    <w:rsid w:val="00862D33"/>
    <w:rsid w:val="00863285"/>
    <w:rsid w:val="00863ABC"/>
    <w:rsid w:val="008640A6"/>
    <w:rsid w:val="00864217"/>
    <w:rsid w:val="008642AC"/>
    <w:rsid w:val="00864AE3"/>
    <w:rsid w:val="00864F8C"/>
    <w:rsid w:val="00865213"/>
    <w:rsid w:val="00865485"/>
    <w:rsid w:val="00865653"/>
    <w:rsid w:val="00865DF4"/>
    <w:rsid w:val="00865F1F"/>
    <w:rsid w:val="00865F79"/>
    <w:rsid w:val="008665B3"/>
    <w:rsid w:val="00866791"/>
    <w:rsid w:val="008667A4"/>
    <w:rsid w:val="00866AF9"/>
    <w:rsid w:val="00867CC5"/>
    <w:rsid w:val="00870118"/>
    <w:rsid w:val="00870420"/>
    <w:rsid w:val="008709FB"/>
    <w:rsid w:val="00870FD0"/>
    <w:rsid w:val="008716DA"/>
    <w:rsid w:val="0087183A"/>
    <w:rsid w:val="0087199E"/>
    <w:rsid w:val="00871A09"/>
    <w:rsid w:val="00871C32"/>
    <w:rsid w:val="00871D01"/>
    <w:rsid w:val="00872023"/>
    <w:rsid w:val="008722F4"/>
    <w:rsid w:val="00872365"/>
    <w:rsid w:val="008723D6"/>
    <w:rsid w:val="00872CA4"/>
    <w:rsid w:val="0087371C"/>
    <w:rsid w:val="008738B9"/>
    <w:rsid w:val="00873E4C"/>
    <w:rsid w:val="00875566"/>
    <w:rsid w:val="008755DA"/>
    <w:rsid w:val="00875D1F"/>
    <w:rsid w:val="00876D1E"/>
    <w:rsid w:val="008774E4"/>
    <w:rsid w:val="00877D94"/>
    <w:rsid w:val="008804A8"/>
    <w:rsid w:val="008814B3"/>
    <w:rsid w:val="0088190D"/>
    <w:rsid w:val="00881951"/>
    <w:rsid w:val="00881FA2"/>
    <w:rsid w:val="00882CC4"/>
    <w:rsid w:val="00883035"/>
    <w:rsid w:val="00883532"/>
    <w:rsid w:val="00883763"/>
    <w:rsid w:val="0088400C"/>
    <w:rsid w:val="008840E2"/>
    <w:rsid w:val="008844AC"/>
    <w:rsid w:val="008848A1"/>
    <w:rsid w:val="00884926"/>
    <w:rsid w:val="00884B7B"/>
    <w:rsid w:val="00885059"/>
    <w:rsid w:val="0088533B"/>
    <w:rsid w:val="0088548C"/>
    <w:rsid w:val="008857BD"/>
    <w:rsid w:val="00886626"/>
    <w:rsid w:val="0088663E"/>
    <w:rsid w:val="0088666B"/>
    <w:rsid w:val="008873EF"/>
    <w:rsid w:val="00887478"/>
    <w:rsid w:val="00887EDB"/>
    <w:rsid w:val="00890735"/>
    <w:rsid w:val="0089162D"/>
    <w:rsid w:val="00891956"/>
    <w:rsid w:val="00891D0E"/>
    <w:rsid w:val="00892D1B"/>
    <w:rsid w:val="00893208"/>
    <w:rsid w:val="00893271"/>
    <w:rsid w:val="008933FF"/>
    <w:rsid w:val="00893F2E"/>
    <w:rsid w:val="0089417A"/>
    <w:rsid w:val="0089433E"/>
    <w:rsid w:val="008947E5"/>
    <w:rsid w:val="00894EDF"/>
    <w:rsid w:val="00895221"/>
    <w:rsid w:val="008955AB"/>
    <w:rsid w:val="00895AB6"/>
    <w:rsid w:val="00895B15"/>
    <w:rsid w:val="00895F99"/>
    <w:rsid w:val="00895F9D"/>
    <w:rsid w:val="00896282"/>
    <w:rsid w:val="00896339"/>
    <w:rsid w:val="008963DF"/>
    <w:rsid w:val="00896796"/>
    <w:rsid w:val="008969EF"/>
    <w:rsid w:val="008975EB"/>
    <w:rsid w:val="008978CD"/>
    <w:rsid w:val="00897C6D"/>
    <w:rsid w:val="00897D8D"/>
    <w:rsid w:val="00897E89"/>
    <w:rsid w:val="00897F46"/>
    <w:rsid w:val="008A038E"/>
    <w:rsid w:val="008A055B"/>
    <w:rsid w:val="008A05A5"/>
    <w:rsid w:val="008A05E5"/>
    <w:rsid w:val="008A067E"/>
    <w:rsid w:val="008A0A8E"/>
    <w:rsid w:val="008A0D2B"/>
    <w:rsid w:val="008A1B2D"/>
    <w:rsid w:val="008A1B35"/>
    <w:rsid w:val="008A1F97"/>
    <w:rsid w:val="008A249B"/>
    <w:rsid w:val="008A3236"/>
    <w:rsid w:val="008A3553"/>
    <w:rsid w:val="008A3571"/>
    <w:rsid w:val="008A3891"/>
    <w:rsid w:val="008A3BFC"/>
    <w:rsid w:val="008A3F45"/>
    <w:rsid w:val="008A42A8"/>
    <w:rsid w:val="008A42B5"/>
    <w:rsid w:val="008A458B"/>
    <w:rsid w:val="008A4734"/>
    <w:rsid w:val="008A4B58"/>
    <w:rsid w:val="008A4EA8"/>
    <w:rsid w:val="008A531B"/>
    <w:rsid w:val="008A5675"/>
    <w:rsid w:val="008A5E58"/>
    <w:rsid w:val="008A63A2"/>
    <w:rsid w:val="008A6BA5"/>
    <w:rsid w:val="008A75A5"/>
    <w:rsid w:val="008A75FA"/>
    <w:rsid w:val="008A7EA3"/>
    <w:rsid w:val="008A7EBF"/>
    <w:rsid w:val="008B0C09"/>
    <w:rsid w:val="008B1427"/>
    <w:rsid w:val="008B2040"/>
    <w:rsid w:val="008B2148"/>
    <w:rsid w:val="008B288F"/>
    <w:rsid w:val="008B2959"/>
    <w:rsid w:val="008B3152"/>
    <w:rsid w:val="008B3A31"/>
    <w:rsid w:val="008B411A"/>
    <w:rsid w:val="008B46E0"/>
    <w:rsid w:val="008B473E"/>
    <w:rsid w:val="008B4FD6"/>
    <w:rsid w:val="008B513C"/>
    <w:rsid w:val="008B5A5F"/>
    <w:rsid w:val="008B5A6A"/>
    <w:rsid w:val="008B5BBE"/>
    <w:rsid w:val="008B69F2"/>
    <w:rsid w:val="008B6C11"/>
    <w:rsid w:val="008B7153"/>
    <w:rsid w:val="008B739A"/>
    <w:rsid w:val="008B739F"/>
    <w:rsid w:val="008B7BE4"/>
    <w:rsid w:val="008C0C88"/>
    <w:rsid w:val="008C108C"/>
    <w:rsid w:val="008C1113"/>
    <w:rsid w:val="008C12C5"/>
    <w:rsid w:val="008C142E"/>
    <w:rsid w:val="008C1443"/>
    <w:rsid w:val="008C1EE9"/>
    <w:rsid w:val="008C1EF6"/>
    <w:rsid w:val="008C26EB"/>
    <w:rsid w:val="008C2751"/>
    <w:rsid w:val="008C2ED5"/>
    <w:rsid w:val="008C30FF"/>
    <w:rsid w:val="008C34D4"/>
    <w:rsid w:val="008C34FC"/>
    <w:rsid w:val="008C41F0"/>
    <w:rsid w:val="008C4AD3"/>
    <w:rsid w:val="008C4B22"/>
    <w:rsid w:val="008C4D30"/>
    <w:rsid w:val="008C502A"/>
    <w:rsid w:val="008C53E1"/>
    <w:rsid w:val="008C54A5"/>
    <w:rsid w:val="008C55AA"/>
    <w:rsid w:val="008C617D"/>
    <w:rsid w:val="008C6547"/>
    <w:rsid w:val="008C6960"/>
    <w:rsid w:val="008C6D97"/>
    <w:rsid w:val="008C70C6"/>
    <w:rsid w:val="008C77BE"/>
    <w:rsid w:val="008C7F71"/>
    <w:rsid w:val="008D0058"/>
    <w:rsid w:val="008D0228"/>
    <w:rsid w:val="008D0A06"/>
    <w:rsid w:val="008D0CFC"/>
    <w:rsid w:val="008D1F21"/>
    <w:rsid w:val="008D2425"/>
    <w:rsid w:val="008D2459"/>
    <w:rsid w:val="008D27F8"/>
    <w:rsid w:val="008D339F"/>
    <w:rsid w:val="008D4262"/>
    <w:rsid w:val="008D437D"/>
    <w:rsid w:val="008D43B4"/>
    <w:rsid w:val="008D447A"/>
    <w:rsid w:val="008D453F"/>
    <w:rsid w:val="008D4743"/>
    <w:rsid w:val="008D4748"/>
    <w:rsid w:val="008D4B57"/>
    <w:rsid w:val="008D4B62"/>
    <w:rsid w:val="008D4C78"/>
    <w:rsid w:val="008D5307"/>
    <w:rsid w:val="008D5749"/>
    <w:rsid w:val="008D613A"/>
    <w:rsid w:val="008D659F"/>
    <w:rsid w:val="008D67CA"/>
    <w:rsid w:val="008D6BF0"/>
    <w:rsid w:val="008D7B6C"/>
    <w:rsid w:val="008D7BEB"/>
    <w:rsid w:val="008D7D3A"/>
    <w:rsid w:val="008D7D57"/>
    <w:rsid w:val="008E0105"/>
    <w:rsid w:val="008E0142"/>
    <w:rsid w:val="008E016C"/>
    <w:rsid w:val="008E0238"/>
    <w:rsid w:val="008E0C64"/>
    <w:rsid w:val="008E0C70"/>
    <w:rsid w:val="008E0E27"/>
    <w:rsid w:val="008E1351"/>
    <w:rsid w:val="008E1648"/>
    <w:rsid w:val="008E188B"/>
    <w:rsid w:val="008E24CD"/>
    <w:rsid w:val="008E2AB3"/>
    <w:rsid w:val="008E2F6E"/>
    <w:rsid w:val="008E3207"/>
    <w:rsid w:val="008E3A1E"/>
    <w:rsid w:val="008E4C90"/>
    <w:rsid w:val="008E5264"/>
    <w:rsid w:val="008E54B2"/>
    <w:rsid w:val="008E54CA"/>
    <w:rsid w:val="008E553D"/>
    <w:rsid w:val="008E5672"/>
    <w:rsid w:val="008E5D7F"/>
    <w:rsid w:val="008E61B0"/>
    <w:rsid w:val="008E6292"/>
    <w:rsid w:val="008E696C"/>
    <w:rsid w:val="008E6C85"/>
    <w:rsid w:val="008E6E52"/>
    <w:rsid w:val="008E77FD"/>
    <w:rsid w:val="008E79D7"/>
    <w:rsid w:val="008E7ACC"/>
    <w:rsid w:val="008E7ADB"/>
    <w:rsid w:val="008F01D3"/>
    <w:rsid w:val="008F02FD"/>
    <w:rsid w:val="008F03BC"/>
    <w:rsid w:val="008F0745"/>
    <w:rsid w:val="008F0775"/>
    <w:rsid w:val="008F0A03"/>
    <w:rsid w:val="008F0CE5"/>
    <w:rsid w:val="008F0F10"/>
    <w:rsid w:val="008F1317"/>
    <w:rsid w:val="008F131A"/>
    <w:rsid w:val="008F1BE0"/>
    <w:rsid w:val="008F20B3"/>
    <w:rsid w:val="008F23A5"/>
    <w:rsid w:val="008F23EB"/>
    <w:rsid w:val="008F291A"/>
    <w:rsid w:val="008F3B39"/>
    <w:rsid w:val="008F4AF8"/>
    <w:rsid w:val="008F4FE9"/>
    <w:rsid w:val="008F5765"/>
    <w:rsid w:val="008F60B0"/>
    <w:rsid w:val="008F6737"/>
    <w:rsid w:val="008F6807"/>
    <w:rsid w:val="008F797B"/>
    <w:rsid w:val="008F7B15"/>
    <w:rsid w:val="0090038D"/>
    <w:rsid w:val="00900755"/>
    <w:rsid w:val="00900E64"/>
    <w:rsid w:val="0090132B"/>
    <w:rsid w:val="009015BC"/>
    <w:rsid w:val="0090166F"/>
    <w:rsid w:val="00901F58"/>
    <w:rsid w:val="0090208E"/>
    <w:rsid w:val="009022A6"/>
    <w:rsid w:val="009022D0"/>
    <w:rsid w:val="009026AA"/>
    <w:rsid w:val="009036B9"/>
    <w:rsid w:val="00903C3B"/>
    <w:rsid w:val="00903DF5"/>
    <w:rsid w:val="00903E46"/>
    <w:rsid w:val="00903FAB"/>
    <w:rsid w:val="00904A83"/>
    <w:rsid w:val="00904B8C"/>
    <w:rsid w:val="00905591"/>
    <w:rsid w:val="00905BBF"/>
    <w:rsid w:val="00905C0B"/>
    <w:rsid w:val="00905E84"/>
    <w:rsid w:val="009060F0"/>
    <w:rsid w:val="00906E61"/>
    <w:rsid w:val="009075F7"/>
    <w:rsid w:val="00907686"/>
    <w:rsid w:val="00907A07"/>
    <w:rsid w:val="00907BEA"/>
    <w:rsid w:val="00907E7D"/>
    <w:rsid w:val="00907EEF"/>
    <w:rsid w:val="009101FA"/>
    <w:rsid w:val="00910C7B"/>
    <w:rsid w:val="00911035"/>
    <w:rsid w:val="0091108D"/>
    <w:rsid w:val="0091122F"/>
    <w:rsid w:val="00911435"/>
    <w:rsid w:val="00911519"/>
    <w:rsid w:val="00911574"/>
    <w:rsid w:val="0091170E"/>
    <w:rsid w:val="00911D47"/>
    <w:rsid w:val="009122BA"/>
    <w:rsid w:val="009123D1"/>
    <w:rsid w:val="009128CA"/>
    <w:rsid w:val="00912A5B"/>
    <w:rsid w:val="00912B5E"/>
    <w:rsid w:val="00912EA7"/>
    <w:rsid w:val="0091309D"/>
    <w:rsid w:val="00913341"/>
    <w:rsid w:val="00913B06"/>
    <w:rsid w:val="0091473D"/>
    <w:rsid w:val="00914783"/>
    <w:rsid w:val="009147E2"/>
    <w:rsid w:val="009148AD"/>
    <w:rsid w:val="00914F97"/>
    <w:rsid w:val="009153A2"/>
    <w:rsid w:val="009155C8"/>
    <w:rsid w:val="0091577E"/>
    <w:rsid w:val="00916526"/>
    <w:rsid w:val="009169E9"/>
    <w:rsid w:val="00916B31"/>
    <w:rsid w:val="00916BBD"/>
    <w:rsid w:val="00917657"/>
    <w:rsid w:val="009178F3"/>
    <w:rsid w:val="00917B37"/>
    <w:rsid w:val="00917E28"/>
    <w:rsid w:val="00920204"/>
    <w:rsid w:val="00920D26"/>
    <w:rsid w:val="009216D8"/>
    <w:rsid w:val="009217B3"/>
    <w:rsid w:val="00921D52"/>
    <w:rsid w:val="00923A96"/>
    <w:rsid w:val="00923EFE"/>
    <w:rsid w:val="00924170"/>
    <w:rsid w:val="0092455A"/>
    <w:rsid w:val="009250E6"/>
    <w:rsid w:val="009251FA"/>
    <w:rsid w:val="0092533E"/>
    <w:rsid w:val="00925469"/>
    <w:rsid w:val="009255E2"/>
    <w:rsid w:val="0092574D"/>
    <w:rsid w:val="00925AA5"/>
    <w:rsid w:val="00926008"/>
    <w:rsid w:val="009260A1"/>
    <w:rsid w:val="009262D4"/>
    <w:rsid w:val="0092668D"/>
    <w:rsid w:val="00926810"/>
    <w:rsid w:val="00926A46"/>
    <w:rsid w:val="00927DB4"/>
    <w:rsid w:val="00930008"/>
    <w:rsid w:val="00930038"/>
    <w:rsid w:val="009303A6"/>
    <w:rsid w:val="009304BA"/>
    <w:rsid w:val="00930933"/>
    <w:rsid w:val="00930EA9"/>
    <w:rsid w:val="00930F6B"/>
    <w:rsid w:val="009316F7"/>
    <w:rsid w:val="0093205E"/>
    <w:rsid w:val="0093235E"/>
    <w:rsid w:val="00932B0B"/>
    <w:rsid w:val="0093328D"/>
    <w:rsid w:val="00933662"/>
    <w:rsid w:val="00933A7D"/>
    <w:rsid w:val="00933BB2"/>
    <w:rsid w:val="00933D0C"/>
    <w:rsid w:val="009344CA"/>
    <w:rsid w:val="0093472C"/>
    <w:rsid w:val="00934772"/>
    <w:rsid w:val="0093540D"/>
    <w:rsid w:val="00935C3F"/>
    <w:rsid w:val="00936084"/>
    <w:rsid w:val="00936387"/>
    <w:rsid w:val="009369E3"/>
    <w:rsid w:val="00936E82"/>
    <w:rsid w:val="00936F9F"/>
    <w:rsid w:val="00937577"/>
    <w:rsid w:val="00937A06"/>
    <w:rsid w:val="00937A96"/>
    <w:rsid w:val="00937CF0"/>
    <w:rsid w:val="00937E17"/>
    <w:rsid w:val="00937EAE"/>
    <w:rsid w:val="0094019D"/>
    <w:rsid w:val="0094065D"/>
    <w:rsid w:val="00940806"/>
    <w:rsid w:val="00940DA2"/>
    <w:rsid w:val="00940E45"/>
    <w:rsid w:val="009414DC"/>
    <w:rsid w:val="0094164D"/>
    <w:rsid w:val="00941716"/>
    <w:rsid w:val="00941947"/>
    <w:rsid w:val="0094284D"/>
    <w:rsid w:val="00942C11"/>
    <w:rsid w:val="00943270"/>
    <w:rsid w:val="009432B1"/>
    <w:rsid w:val="0094351F"/>
    <w:rsid w:val="0094383D"/>
    <w:rsid w:val="00943D2A"/>
    <w:rsid w:val="009443C3"/>
    <w:rsid w:val="00945449"/>
    <w:rsid w:val="00945604"/>
    <w:rsid w:val="00945E0B"/>
    <w:rsid w:val="00945EDC"/>
    <w:rsid w:val="00946106"/>
    <w:rsid w:val="0094610D"/>
    <w:rsid w:val="009461CA"/>
    <w:rsid w:val="00946307"/>
    <w:rsid w:val="0094752F"/>
    <w:rsid w:val="009475CD"/>
    <w:rsid w:val="009477A1"/>
    <w:rsid w:val="00947C35"/>
    <w:rsid w:val="00947D75"/>
    <w:rsid w:val="00950A21"/>
    <w:rsid w:val="009517E0"/>
    <w:rsid w:val="00951931"/>
    <w:rsid w:val="009528DF"/>
    <w:rsid w:val="00952983"/>
    <w:rsid w:val="0095320D"/>
    <w:rsid w:val="00953646"/>
    <w:rsid w:val="00953B2E"/>
    <w:rsid w:val="00953CA1"/>
    <w:rsid w:val="00953D56"/>
    <w:rsid w:val="00953D7E"/>
    <w:rsid w:val="009541D8"/>
    <w:rsid w:val="009546B1"/>
    <w:rsid w:val="009547F8"/>
    <w:rsid w:val="0095488D"/>
    <w:rsid w:val="0095516D"/>
    <w:rsid w:val="00955610"/>
    <w:rsid w:val="00955D08"/>
    <w:rsid w:val="00956534"/>
    <w:rsid w:val="0095686D"/>
    <w:rsid w:val="0095693B"/>
    <w:rsid w:val="00956E46"/>
    <w:rsid w:val="00956ED2"/>
    <w:rsid w:val="009579F4"/>
    <w:rsid w:val="00957A7C"/>
    <w:rsid w:val="00957B78"/>
    <w:rsid w:val="00957FDE"/>
    <w:rsid w:val="0096142E"/>
    <w:rsid w:val="00961C6C"/>
    <w:rsid w:val="00961DFC"/>
    <w:rsid w:val="0096205E"/>
    <w:rsid w:val="009623C8"/>
    <w:rsid w:val="0096256B"/>
    <w:rsid w:val="00962A46"/>
    <w:rsid w:val="00962ACF"/>
    <w:rsid w:val="0096307C"/>
    <w:rsid w:val="00963832"/>
    <w:rsid w:val="00963D5E"/>
    <w:rsid w:val="00965388"/>
    <w:rsid w:val="00966560"/>
    <w:rsid w:val="00966658"/>
    <w:rsid w:val="0096692C"/>
    <w:rsid w:val="00966C32"/>
    <w:rsid w:val="00966ED8"/>
    <w:rsid w:val="00966EF8"/>
    <w:rsid w:val="009671EC"/>
    <w:rsid w:val="009676B4"/>
    <w:rsid w:val="009679EC"/>
    <w:rsid w:val="00967CF8"/>
    <w:rsid w:val="00967EB5"/>
    <w:rsid w:val="00967F9D"/>
    <w:rsid w:val="009704F4"/>
    <w:rsid w:val="0097134A"/>
    <w:rsid w:val="00971F1E"/>
    <w:rsid w:val="009723C5"/>
    <w:rsid w:val="009727A7"/>
    <w:rsid w:val="009729D4"/>
    <w:rsid w:val="009730A7"/>
    <w:rsid w:val="00973425"/>
    <w:rsid w:val="009735EB"/>
    <w:rsid w:val="009740D1"/>
    <w:rsid w:val="00974113"/>
    <w:rsid w:val="0097429A"/>
    <w:rsid w:val="00974362"/>
    <w:rsid w:val="009747CA"/>
    <w:rsid w:val="00974B03"/>
    <w:rsid w:val="00975691"/>
    <w:rsid w:val="00976444"/>
    <w:rsid w:val="009766BE"/>
    <w:rsid w:val="0097672D"/>
    <w:rsid w:val="00976997"/>
    <w:rsid w:val="00977178"/>
    <w:rsid w:val="00977D49"/>
    <w:rsid w:val="009805F5"/>
    <w:rsid w:val="00980759"/>
    <w:rsid w:val="00980AE6"/>
    <w:rsid w:val="00981021"/>
    <w:rsid w:val="009817B0"/>
    <w:rsid w:val="00981B6A"/>
    <w:rsid w:val="00981BC5"/>
    <w:rsid w:val="00981FBB"/>
    <w:rsid w:val="009821CE"/>
    <w:rsid w:val="0098253A"/>
    <w:rsid w:val="00982745"/>
    <w:rsid w:val="00982E0D"/>
    <w:rsid w:val="00984115"/>
    <w:rsid w:val="00984C78"/>
    <w:rsid w:val="00984EBE"/>
    <w:rsid w:val="00984F61"/>
    <w:rsid w:val="009850F7"/>
    <w:rsid w:val="0098582F"/>
    <w:rsid w:val="009859D2"/>
    <w:rsid w:val="00985CF3"/>
    <w:rsid w:val="0098673A"/>
    <w:rsid w:val="00986DCC"/>
    <w:rsid w:val="0098718E"/>
    <w:rsid w:val="009876B1"/>
    <w:rsid w:val="00987AA1"/>
    <w:rsid w:val="0099008E"/>
    <w:rsid w:val="00990121"/>
    <w:rsid w:val="009903D6"/>
    <w:rsid w:val="00990BEE"/>
    <w:rsid w:val="00991001"/>
    <w:rsid w:val="00991283"/>
    <w:rsid w:val="00991AC9"/>
    <w:rsid w:val="00991DF7"/>
    <w:rsid w:val="00991E66"/>
    <w:rsid w:val="009922AF"/>
    <w:rsid w:val="00993394"/>
    <w:rsid w:val="00993457"/>
    <w:rsid w:val="009937C7"/>
    <w:rsid w:val="00994402"/>
    <w:rsid w:val="00994C7C"/>
    <w:rsid w:val="00994D8B"/>
    <w:rsid w:val="009950FD"/>
    <w:rsid w:val="009954E7"/>
    <w:rsid w:val="009958D1"/>
    <w:rsid w:val="00995A3F"/>
    <w:rsid w:val="00995B17"/>
    <w:rsid w:val="00995C28"/>
    <w:rsid w:val="00996C9F"/>
    <w:rsid w:val="00996DD1"/>
    <w:rsid w:val="00997CD1"/>
    <w:rsid w:val="009A04AB"/>
    <w:rsid w:val="009A0FA0"/>
    <w:rsid w:val="009A13B7"/>
    <w:rsid w:val="009A2294"/>
    <w:rsid w:val="009A277C"/>
    <w:rsid w:val="009A302E"/>
    <w:rsid w:val="009A330B"/>
    <w:rsid w:val="009A3898"/>
    <w:rsid w:val="009A3A1D"/>
    <w:rsid w:val="009A423E"/>
    <w:rsid w:val="009A42B1"/>
    <w:rsid w:val="009A4947"/>
    <w:rsid w:val="009A658F"/>
    <w:rsid w:val="009A65CD"/>
    <w:rsid w:val="009A67C5"/>
    <w:rsid w:val="009A6B65"/>
    <w:rsid w:val="009A7042"/>
    <w:rsid w:val="009A7528"/>
    <w:rsid w:val="009A7802"/>
    <w:rsid w:val="009A7DDC"/>
    <w:rsid w:val="009A7F3A"/>
    <w:rsid w:val="009B0251"/>
    <w:rsid w:val="009B02B0"/>
    <w:rsid w:val="009B04CB"/>
    <w:rsid w:val="009B088F"/>
    <w:rsid w:val="009B0B11"/>
    <w:rsid w:val="009B0DF6"/>
    <w:rsid w:val="009B177C"/>
    <w:rsid w:val="009B1BDF"/>
    <w:rsid w:val="009B2249"/>
    <w:rsid w:val="009B22E5"/>
    <w:rsid w:val="009B24CD"/>
    <w:rsid w:val="009B2963"/>
    <w:rsid w:val="009B29C7"/>
    <w:rsid w:val="009B2AE1"/>
    <w:rsid w:val="009B2EF0"/>
    <w:rsid w:val="009B330A"/>
    <w:rsid w:val="009B3321"/>
    <w:rsid w:val="009B3753"/>
    <w:rsid w:val="009B3A80"/>
    <w:rsid w:val="009B3D2F"/>
    <w:rsid w:val="009B469F"/>
    <w:rsid w:val="009B51B9"/>
    <w:rsid w:val="009B533F"/>
    <w:rsid w:val="009B55E3"/>
    <w:rsid w:val="009B5F91"/>
    <w:rsid w:val="009B62BE"/>
    <w:rsid w:val="009B6747"/>
    <w:rsid w:val="009B694A"/>
    <w:rsid w:val="009B6F2D"/>
    <w:rsid w:val="009B71D3"/>
    <w:rsid w:val="009B7840"/>
    <w:rsid w:val="009B79D1"/>
    <w:rsid w:val="009B7CE1"/>
    <w:rsid w:val="009C03C6"/>
    <w:rsid w:val="009C0C82"/>
    <w:rsid w:val="009C14B6"/>
    <w:rsid w:val="009C2122"/>
    <w:rsid w:val="009C24DB"/>
    <w:rsid w:val="009C28E6"/>
    <w:rsid w:val="009C3358"/>
    <w:rsid w:val="009C3C33"/>
    <w:rsid w:val="009C3D26"/>
    <w:rsid w:val="009C3E57"/>
    <w:rsid w:val="009C4167"/>
    <w:rsid w:val="009C43DE"/>
    <w:rsid w:val="009C4692"/>
    <w:rsid w:val="009C4786"/>
    <w:rsid w:val="009C4B5D"/>
    <w:rsid w:val="009C533C"/>
    <w:rsid w:val="009C5407"/>
    <w:rsid w:val="009C5846"/>
    <w:rsid w:val="009C62FA"/>
    <w:rsid w:val="009C778A"/>
    <w:rsid w:val="009C790A"/>
    <w:rsid w:val="009C7CAA"/>
    <w:rsid w:val="009C7CF3"/>
    <w:rsid w:val="009D04A8"/>
    <w:rsid w:val="009D05F7"/>
    <w:rsid w:val="009D060E"/>
    <w:rsid w:val="009D0684"/>
    <w:rsid w:val="009D0E1E"/>
    <w:rsid w:val="009D0E5A"/>
    <w:rsid w:val="009D0F37"/>
    <w:rsid w:val="009D1A09"/>
    <w:rsid w:val="009D2CFF"/>
    <w:rsid w:val="009D2D68"/>
    <w:rsid w:val="009D2EEE"/>
    <w:rsid w:val="009D36AD"/>
    <w:rsid w:val="009D3B94"/>
    <w:rsid w:val="009D3C0E"/>
    <w:rsid w:val="009D3C51"/>
    <w:rsid w:val="009D41B2"/>
    <w:rsid w:val="009D44E2"/>
    <w:rsid w:val="009D4500"/>
    <w:rsid w:val="009D47E2"/>
    <w:rsid w:val="009D4B00"/>
    <w:rsid w:val="009D4D65"/>
    <w:rsid w:val="009D4F00"/>
    <w:rsid w:val="009D4F4C"/>
    <w:rsid w:val="009D52A7"/>
    <w:rsid w:val="009D57D3"/>
    <w:rsid w:val="009D58FE"/>
    <w:rsid w:val="009D62FF"/>
    <w:rsid w:val="009D6D12"/>
    <w:rsid w:val="009D703A"/>
    <w:rsid w:val="009D70A3"/>
    <w:rsid w:val="009D7E40"/>
    <w:rsid w:val="009E0290"/>
    <w:rsid w:val="009E02CF"/>
    <w:rsid w:val="009E04E4"/>
    <w:rsid w:val="009E0CA5"/>
    <w:rsid w:val="009E108C"/>
    <w:rsid w:val="009E1125"/>
    <w:rsid w:val="009E171B"/>
    <w:rsid w:val="009E1987"/>
    <w:rsid w:val="009E1BD7"/>
    <w:rsid w:val="009E1E32"/>
    <w:rsid w:val="009E2457"/>
    <w:rsid w:val="009E2AE9"/>
    <w:rsid w:val="009E38C6"/>
    <w:rsid w:val="009E38F7"/>
    <w:rsid w:val="009E3D4F"/>
    <w:rsid w:val="009E4377"/>
    <w:rsid w:val="009E497F"/>
    <w:rsid w:val="009E5286"/>
    <w:rsid w:val="009E581A"/>
    <w:rsid w:val="009E5B7E"/>
    <w:rsid w:val="009E5E3E"/>
    <w:rsid w:val="009E667D"/>
    <w:rsid w:val="009E7E1B"/>
    <w:rsid w:val="009E7F75"/>
    <w:rsid w:val="009F0B50"/>
    <w:rsid w:val="009F13D5"/>
    <w:rsid w:val="009F14D3"/>
    <w:rsid w:val="009F188E"/>
    <w:rsid w:val="009F1F74"/>
    <w:rsid w:val="009F3385"/>
    <w:rsid w:val="009F34F9"/>
    <w:rsid w:val="009F3734"/>
    <w:rsid w:val="009F3738"/>
    <w:rsid w:val="009F3A4F"/>
    <w:rsid w:val="009F47B4"/>
    <w:rsid w:val="009F4AD7"/>
    <w:rsid w:val="009F4F25"/>
    <w:rsid w:val="009F5A9C"/>
    <w:rsid w:val="009F5C7E"/>
    <w:rsid w:val="009F6049"/>
    <w:rsid w:val="009F6275"/>
    <w:rsid w:val="009F743C"/>
    <w:rsid w:val="009F76B9"/>
    <w:rsid w:val="00A00436"/>
    <w:rsid w:val="00A00F8A"/>
    <w:rsid w:val="00A011D3"/>
    <w:rsid w:val="00A015E8"/>
    <w:rsid w:val="00A01751"/>
    <w:rsid w:val="00A017F1"/>
    <w:rsid w:val="00A019F1"/>
    <w:rsid w:val="00A01CFB"/>
    <w:rsid w:val="00A021C9"/>
    <w:rsid w:val="00A035B2"/>
    <w:rsid w:val="00A03964"/>
    <w:rsid w:val="00A03BD8"/>
    <w:rsid w:val="00A0441F"/>
    <w:rsid w:val="00A0494B"/>
    <w:rsid w:val="00A04DAC"/>
    <w:rsid w:val="00A04EC3"/>
    <w:rsid w:val="00A050F0"/>
    <w:rsid w:val="00A05AE4"/>
    <w:rsid w:val="00A05AE6"/>
    <w:rsid w:val="00A06078"/>
    <w:rsid w:val="00A06F88"/>
    <w:rsid w:val="00A072CF"/>
    <w:rsid w:val="00A073CD"/>
    <w:rsid w:val="00A07439"/>
    <w:rsid w:val="00A077A9"/>
    <w:rsid w:val="00A07D47"/>
    <w:rsid w:val="00A07D84"/>
    <w:rsid w:val="00A101FA"/>
    <w:rsid w:val="00A10593"/>
    <w:rsid w:val="00A106B3"/>
    <w:rsid w:val="00A109D5"/>
    <w:rsid w:val="00A10BD2"/>
    <w:rsid w:val="00A11610"/>
    <w:rsid w:val="00A11EF8"/>
    <w:rsid w:val="00A11F0B"/>
    <w:rsid w:val="00A121FD"/>
    <w:rsid w:val="00A12245"/>
    <w:rsid w:val="00A1246B"/>
    <w:rsid w:val="00A12E25"/>
    <w:rsid w:val="00A12F62"/>
    <w:rsid w:val="00A13851"/>
    <w:rsid w:val="00A138E2"/>
    <w:rsid w:val="00A13D78"/>
    <w:rsid w:val="00A13EA5"/>
    <w:rsid w:val="00A144CD"/>
    <w:rsid w:val="00A1462E"/>
    <w:rsid w:val="00A1490D"/>
    <w:rsid w:val="00A1496C"/>
    <w:rsid w:val="00A14FE9"/>
    <w:rsid w:val="00A1584E"/>
    <w:rsid w:val="00A15C2E"/>
    <w:rsid w:val="00A15FAB"/>
    <w:rsid w:val="00A1698A"/>
    <w:rsid w:val="00A16C21"/>
    <w:rsid w:val="00A1728B"/>
    <w:rsid w:val="00A17859"/>
    <w:rsid w:val="00A20152"/>
    <w:rsid w:val="00A210F9"/>
    <w:rsid w:val="00A21418"/>
    <w:rsid w:val="00A215CC"/>
    <w:rsid w:val="00A215DE"/>
    <w:rsid w:val="00A21857"/>
    <w:rsid w:val="00A218CB"/>
    <w:rsid w:val="00A21C9F"/>
    <w:rsid w:val="00A22C1A"/>
    <w:rsid w:val="00A23072"/>
    <w:rsid w:val="00A23A1C"/>
    <w:rsid w:val="00A23AED"/>
    <w:rsid w:val="00A2401D"/>
    <w:rsid w:val="00A24128"/>
    <w:rsid w:val="00A24911"/>
    <w:rsid w:val="00A24AC2"/>
    <w:rsid w:val="00A24D20"/>
    <w:rsid w:val="00A24FB0"/>
    <w:rsid w:val="00A2505A"/>
    <w:rsid w:val="00A2524A"/>
    <w:rsid w:val="00A2529A"/>
    <w:rsid w:val="00A252F2"/>
    <w:rsid w:val="00A25C01"/>
    <w:rsid w:val="00A260A3"/>
    <w:rsid w:val="00A26282"/>
    <w:rsid w:val="00A266FB"/>
    <w:rsid w:val="00A269C8"/>
    <w:rsid w:val="00A26A32"/>
    <w:rsid w:val="00A26BD8"/>
    <w:rsid w:val="00A2731F"/>
    <w:rsid w:val="00A30188"/>
    <w:rsid w:val="00A305A3"/>
    <w:rsid w:val="00A315DC"/>
    <w:rsid w:val="00A31862"/>
    <w:rsid w:val="00A318AA"/>
    <w:rsid w:val="00A31F66"/>
    <w:rsid w:val="00A325B1"/>
    <w:rsid w:val="00A3267D"/>
    <w:rsid w:val="00A32693"/>
    <w:rsid w:val="00A32E9E"/>
    <w:rsid w:val="00A32EB2"/>
    <w:rsid w:val="00A333B4"/>
    <w:rsid w:val="00A33986"/>
    <w:rsid w:val="00A33BB6"/>
    <w:rsid w:val="00A33F05"/>
    <w:rsid w:val="00A34232"/>
    <w:rsid w:val="00A343AB"/>
    <w:rsid w:val="00A3450A"/>
    <w:rsid w:val="00A34922"/>
    <w:rsid w:val="00A34BE6"/>
    <w:rsid w:val="00A354E8"/>
    <w:rsid w:val="00A3564F"/>
    <w:rsid w:val="00A3638A"/>
    <w:rsid w:val="00A363D6"/>
    <w:rsid w:val="00A3749B"/>
    <w:rsid w:val="00A3789D"/>
    <w:rsid w:val="00A378B1"/>
    <w:rsid w:val="00A37AE8"/>
    <w:rsid w:val="00A37CD2"/>
    <w:rsid w:val="00A37D87"/>
    <w:rsid w:val="00A40245"/>
    <w:rsid w:val="00A40325"/>
    <w:rsid w:val="00A40647"/>
    <w:rsid w:val="00A40DC6"/>
    <w:rsid w:val="00A40F49"/>
    <w:rsid w:val="00A410E4"/>
    <w:rsid w:val="00A41788"/>
    <w:rsid w:val="00A41F96"/>
    <w:rsid w:val="00A4216C"/>
    <w:rsid w:val="00A42AA2"/>
    <w:rsid w:val="00A430C7"/>
    <w:rsid w:val="00A435E9"/>
    <w:rsid w:val="00A43EEF"/>
    <w:rsid w:val="00A44236"/>
    <w:rsid w:val="00A44E76"/>
    <w:rsid w:val="00A451C8"/>
    <w:rsid w:val="00A4562D"/>
    <w:rsid w:val="00A45699"/>
    <w:rsid w:val="00A4642E"/>
    <w:rsid w:val="00A469BC"/>
    <w:rsid w:val="00A474FB"/>
    <w:rsid w:val="00A500BF"/>
    <w:rsid w:val="00A50D88"/>
    <w:rsid w:val="00A51158"/>
    <w:rsid w:val="00A51356"/>
    <w:rsid w:val="00A51441"/>
    <w:rsid w:val="00A5160B"/>
    <w:rsid w:val="00A51AF1"/>
    <w:rsid w:val="00A51FB0"/>
    <w:rsid w:val="00A52446"/>
    <w:rsid w:val="00A52653"/>
    <w:rsid w:val="00A52980"/>
    <w:rsid w:val="00A529F5"/>
    <w:rsid w:val="00A52E17"/>
    <w:rsid w:val="00A52E96"/>
    <w:rsid w:val="00A534E3"/>
    <w:rsid w:val="00A536CE"/>
    <w:rsid w:val="00A54654"/>
    <w:rsid w:val="00A5481C"/>
    <w:rsid w:val="00A54B88"/>
    <w:rsid w:val="00A552F4"/>
    <w:rsid w:val="00A55947"/>
    <w:rsid w:val="00A55A23"/>
    <w:rsid w:val="00A56498"/>
    <w:rsid w:val="00A566A2"/>
    <w:rsid w:val="00A56923"/>
    <w:rsid w:val="00A56C75"/>
    <w:rsid w:val="00A56CFA"/>
    <w:rsid w:val="00A56FA9"/>
    <w:rsid w:val="00A57962"/>
    <w:rsid w:val="00A57AEC"/>
    <w:rsid w:val="00A6024F"/>
    <w:rsid w:val="00A60B46"/>
    <w:rsid w:val="00A60E1D"/>
    <w:rsid w:val="00A6146A"/>
    <w:rsid w:val="00A6181E"/>
    <w:rsid w:val="00A61945"/>
    <w:rsid w:val="00A620C2"/>
    <w:rsid w:val="00A62314"/>
    <w:rsid w:val="00A623C4"/>
    <w:rsid w:val="00A62C3C"/>
    <w:rsid w:val="00A62E42"/>
    <w:rsid w:val="00A6337A"/>
    <w:rsid w:val="00A635ED"/>
    <w:rsid w:val="00A63BE6"/>
    <w:rsid w:val="00A63DA8"/>
    <w:rsid w:val="00A640B6"/>
    <w:rsid w:val="00A6425F"/>
    <w:rsid w:val="00A64459"/>
    <w:rsid w:val="00A64722"/>
    <w:rsid w:val="00A64946"/>
    <w:rsid w:val="00A64A6F"/>
    <w:rsid w:val="00A64A71"/>
    <w:rsid w:val="00A65143"/>
    <w:rsid w:val="00A65CD3"/>
    <w:rsid w:val="00A65ED3"/>
    <w:rsid w:val="00A660F0"/>
    <w:rsid w:val="00A66312"/>
    <w:rsid w:val="00A6652C"/>
    <w:rsid w:val="00A66853"/>
    <w:rsid w:val="00A67007"/>
    <w:rsid w:val="00A67251"/>
    <w:rsid w:val="00A67887"/>
    <w:rsid w:val="00A67B5C"/>
    <w:rsid w:val="00A67BBF"/>
    <w:rsid w:val="00A7014E"/>
    <w:rsid w:val="00A702A2"/>
    <w:rsid w:val="00A70D51"/>
    <w:rsid w:val="00A70F65"/>
    <w:rsid w:val="00A71047"/>
    <w:rsid w:val="00A714F1"/>
    <w:rsid w:val="00A7164A"/>
    <w:rsid w:val="00A717EA"/>
    <w:rsid w:val="00A7236C"/>
    <w:rsid w:val="00A727EF"/>
    <w:rsid w:val="00A72960"/>
    <w:rsid w:val="00A72D8F"/>
    <w:rsid w:val="00A72F4B"/>
    <w:rsid w:val="00A7312D"/>
    <w:rsid w:val="00A73603"/>
    <w:rsid w:val="00A73FED"/>
    <w:rsid w:val="00A742A4"/>
    <w:rsid w:val="00A74815"/>
    <w:rsid w:val="00A74A5A"/>
    <w:rsid w:val="00A74FED"/>
    <w:rsid w:val="00A7509E"/>
    <w:rsid w:val="00A75191"/>
    <w:rsid w:val="00A75256"/>
    <w:rsid w:val="00A7558B"/>
    <w:rsid w:val="00A75684"/>
    <w:rsid w:val="00A75F8D"/>
    <w:rsid w:val="00A764BC"/>
    <w:rsid w:val="00A7666F"/>
    <w:rsid w:val="00A77AD6"/>
    <w:rsid w:val="00A80A18"/>
    <w:rsid w:val="00A8167B"/>
    <w:rsid w:val="00A8192F"/>
    <w:rsid w:val="00A81B6E"/>
    <w:rsid w:val="00A81CAC"/>
    <w:rsid w:val="00A825A4"/>
    <w:rsid w:val="00A83021"/>
    <w:rsid w:val="00A830FF"/>
    <w:rsid w:val="00A8361B"/>
    <w:rsid w:val="00A83640"/>
    <w:rsid w:val="00A8364F"/>
    <w:rsid w:val="00A83683"/>
    <w:rsid w:val="00A8380C"/>
    <w:rsid w:val="00A83D2E"/>
    <w:rsid w:val="00A83E89"/>
    <w:rsid w:val="00A83FA6"/>
    <w:rsid w:val="00A840EC"/>
    <w:rsid w:val="00A843EB"/>
    <w:rsid w:val="00A844C6"/>
    <w:rsid w:val="00A845DE"/>
    <w:rsid w:val="00A84778"/>
    <w:rsid w:val="00A854F0"/>
    <w:rsid w:val="00A85CA5"/>
    <w:rsid w:val="00A8605E"/>
    <w:rsid w:val="00A86303"/>
    <w:rsid w:val="00A866C0"/>
    <w:rsid w:val="00A86B1C"/>
    <w:rsid w:val="00A86B38"/>
    <w:rsid w:val="00A8718D"/>
    <w:rsid w:val="00A87318"/>
    <w:rsid w:val="00A873B2"/>
    <w:rsid w:val="00A87910"/>
    <w:rsid w:val="00A90A19"/>
    <w:rsid w:val="00A90C68"/>
    <w:rsid w:val="00A913B9"/>
    <w:rsid w:val="00A917B5"/>
    <w:rsid w:val="00A91852"/>
    <w:rsid w:val="00A926DA"/>
    <w:rsid w:val="00A92D67"/>
    <w:rsid w:val="00A92FC6"/>
    <w:rsid w:val="00A9315C"/>
    <w:rsid w:val="00A933F1"/>
    <w:rsid w:val="00A93401"/>
    <w:rsid w:val="00A935AD"/>
    <w:rsid w:val="00A93D48"/>
    <w:rsid w:val="00A940DF"/>
    <w:rsid w:val="00A9432B"/>
    <w:rsid w:val="00A94348"/>
    <w:rsid w:val="00A9434C"/>
    <w:rsid w:val="00A94A09"/>
    <w:rsid w:val="00A95131"/>
    <w:rsid w:val="00A951D1"/>
    <w:rsid w:val="00A95721"/>
    <w:rsid w:val="00A95848"/>
    <w:rsid w:val="00A95CE9"/>
    <w:rsid w:val="00A966BC"/>
    <w:rsid w:val="00A96804"/>
    <w:rsid w:val="00A97100"/>
    <w:rsid w:val="00A97160"/>
    <w:rsid w:val="00A971E4"/>
    <w:rsid w:val="00A97298"/>
    <w:rsid w:val="00A977BC"/>
    <w:rsid w:val="00AA05E3"/>
    <w:rsid w:val="00AA0675"/>
    <w:rsid w:val="00AA0742"/>
    <w:rsid w:val="00AA0871"/>
    <w:rsid w:val="00AA0F8D"/>
    <w:rsid w:val="00AA1386"/>
    <w:rsid w:val="00AA1986"/>
    <w:rsid w:val="00AA1DA5"/>
    <w:rsid w:val="00AA1E67"/>
    <w:rsid w:val="00AA2261"/>
    <w:rsid w:val="00AA231B"/>
    <w:rsid w:val="00AA2E1F"/>
    <w:rsid w:val="00AA32B4"/>
    <w:rsid w:val="00AA3598"/>
    <w:rsid w:val="00AA36BC"/>
    <w:rsid w:val="00AA482E"/>
    <w:rsid w:val="00AA4E01"/>
    <w:rsid w:val="00AA4F69"/>
    <w:rsid w:val="00AA5193"/>
    <w:rsid w:val="00AA59B0"/>
    <w:rsid w:val="00AA5D39"/>
    <w:rsid w:val="00AA5F08"/>
    <w:rsid w:val="00AA5FC5"/>
    <w:rsid w:val="00AA70BF"/>
    <w:rsid w:val="00AA7769"/>
    <w:rsid w:val="00AA7A01"/>
    <w:rsid w:val="00AA7E83"/>
    <w:rsid w:val="00AB01CC"/>
    <w:rsid w:val="00AB044B"/>
    <w:rsid w:val="00AB0580"/>
    <w:rsid w:val="00AB089A"/>
    <w:rsid w:val="00AB139B"/>
    <w:rsid w:val="00AB152F"/>
    <w:rsid w:val="00AB1D14"/>
    <w:rsid w:val="00AB2822"/>
    <w:rsid w:val="00AB3E02"/>
    <w:rsid w:val="00AB50E0"/>
    <w:rsid w:val="00AB536B"/>
    <w:rsid w:val="00AB54C1"/>
    <w:rsid w:val="00AB5AA5"/>
    <w:rsid w:val="00AB5C68"/>
    <w:rsid w:val="00AB5E0A"/>
    <w:rsid w:val="00AB5F60"/>
    <w:rsid w:val="00AB6FA7"/>
    <w:rsid w:val="00AB70AD"/>
    <w:rsid w:val="00AB738A"/>
    <w:rsid w:val="00AB74B1"/>
    <w:rsid w:val="00AB74E7"/>
    <w:rsid w:val="00AC0BDC"/>
    <w:rsid w:val="00AC0CEB"/>
    <w:rsid w:val="00AC1040"/>
    <w:rsid w:val="00AC2C60"/>
    <w:rsid w:val="00AC3134"/>
    <w:rsid w:val="00AC317F"/>
    <w:rsid w:val="00AC3196"/>
    <w:rsid w:val="00AC3962"/>
    <w:rsid w:val="00AC3B9C"/>
    <w:rsid w:val="00AC3E59"/>
    <w:rsid w:val="00AC4065"/>
    <w:rsid w:val="00AC4392"/>
    <w:rsid w:val="00AC4C7C"/>
    <w:rsid w:val="00AC4D5B"/>
    <w:rsid w:val="00AC54A4"/>
    <w:rsid w:val="00AC5B15"/>
    <w:rsid w:val="00AC5E1E"/>
    <w:rsid w:val="00AC6729"/>
    <w:rsid w:val="00AC6AA7"/>
    <w:rsid w:val="00AC6D02"/>
    <w:rsid w:val="00AC7835"/>
    <w:rsid w:val="00AD023F"/>
    <w:rsid w:val="00AD14FB"/>
    <w:rsid w:val="00AD1737"/>
    <w:rsid w:val="00AD17B3"/>
    <w:rsid w:val="00AD1DC7"/>
    <w:rsid w:val="00AD222B"/>
    <w:rsid w:val="00AD24DA"/>
    <w:rsid w:val="00AD2C51"/>
    <w:rsid w:val="00AD344E"/>
    <w:rsid w:val="00AD3ABF"/>
    <w:rsid w:val="00AD3FE7"/>
    <w:rsid w:val="00AD41C0"/>
    <w:rsid w:val="00AD451E"/>
    <w:rsid w:val="00AD47DE"/>
    <w:rsid w:val="00AD4A70"/>
    <w:rsid w:val="00AD4ADE"/>
    <w:rsid w:val="00AD50AB"/>
    <w:rsid w:val="00AD590A"/>
    <w:rsid w:val="00AD63FD"/>
    <w:rsid w:val="00AD6E4D"/>
    <w:rsid w:val="00AD6EAC"/>
    <w:rsid w:val="00AD6F50"/>
    <w:rsid w:val="00AD71ED"/>
    <w:rsid w:val="00AD7724"/>
    <w:rsid w:val="00AD7EB0"/>
    <w:rsid w:val="00AE00BD"/>
    <w:rsid w:val="00AE02AD"/>
    <w:rsid w:val="00AE02BE"/>
    <w:rsid w:val="00AE054E"/>
    <w:rsid w:val="00AE05ED"/>
    <w:rsid w:val="00AE062C"/>
    <w:rsid w:val="00AE0A16"/>
    <w:rsid w:val="00AE0B63"/>
    <w:rsid w:val="00AE0F51"/>
    <w:rsid w:val="00AE112C"/>
    <w:rsid w:val="00AE1238"/>
    <w:rsid w:val="00AE139A"/>
    <w:rsid w:val="00AE18C9"/>
    <w:rsid w:val="00AE1B88"/>
    <w:rsid w:val="00AE23F9"/>
    <w:rsid w:val="00AE2942"/>
    <w:rsid w:val="00AE2D54"/>
    <w:rsid w:val="00AE2F90"/>
    <w:rsid w:val="00AE2FDB"/>
    <w:rsid w:val="00AE32DB"/>
    <w:rsid w:val="00AE338E"/>
    <w:rsid w:val="00AE34A7"/>
    <w:rsid w:val="00AE3DA1"/>
    <w:rsid w:val="00AE3EE9"/>
    <w:rsid w:val="00AE4515"/>
    <w:rsid w:val="00AE456A"/>
    <w:rsid w:val="00AE4704"/>
    <w:rsid w:val="00AE4898"/>
    <w:rsid w:val="00AE4CA7"/>
    <w:rsid w:val="00AE5FCA"/>
    <w:rsid w:val="00AE6686"/>
    <w:rsid w:val="00AE6A05"/>
    <w:rsid w:val="00AE6D5B"/>
    <w:rsid w:val="00AE777D"/>
    <w:rsid w:val="00AE7A79"/>
    <w:rsid w:val="00AE7CAF"/>
    <w:rsid w:val="00AE7E2A"/>
    <w:rsid w:val="00AF10B2"/>
    <w:rsid w:val="00AF15B7"/>
    <w:rsid w:val="00AF1BAB"/>
    <w:rsid w:val="00AF209D"/>
    <w:rsid w:val="00AF346E"/>
    <w:rsid w:val="00AF399A"/>
    <w:rsid w:val="00AF42F4"/>
    <w:rsid w:val="00AF46B1"/>
    <w:rsid w:val="00AF4770"/>
    <w:rsid w:val="00AF4AF2"/>
    <w:rsid w:val="00AF4E91"/>
    <w:rsid w:val="00AF6CF2"/>
    <w:rsid w:val="00B007C9"/>
    <w:rsid w:val="00B00E36"/>
    <w:rsid w:val="00B0108F"/>
    <w:rsid w:val="00B0230C"/>
    <w:rsid w:val="00B02AB2"/>
    <w:rsid w:val="00B02B11"/>
    <w:rsid w:val="00B02B6F"/>
    <w:rsid w:val="00B02FD5"/>
    <w:rsid w:val="00B03074"/>
    <w:rsid w:val="00B03185"/>
    <w:rsid w:val="00B037D8"/>
    <w:rsid w:val="00B03967"/>
    <w:rsid w:val="00B03DD6"/>
    <w:rsid w:val="00B04131"/>
    <w:rsid w:val="00B04455"/>
    <w:rsid w:val="00B0454A"/>
    <w:rsid w:val="00B04CE0"/>
    <w:rsid w:val="00B04E7B"/>
    <w:rsid w:val="00B05730"/>
    <w:rsid w:val="00B0578C"/>
    <w:rsid w:val="00B059F3"/>
    <w:rsid w:val="00B05C2F"/>
    <w:rsid w:val="00B063C3"/>
    <w:rsid w:val="00B068B4"/>
    <w:rsid w:val="00B072DC"/>
    <w:rsid w:val="00B07584"/>
    <w:rsid w:val="00B07639"/>
    <w:rsid w:val="00B07658"/>
    <w:rsid w:val="00B07910"/>
    <w:rsid w:val="00B079FB"/>
    <w:rsid w:val="00B07ED0"/>
    <w:rsid w:val="00B1005C"/>
    <w:rsid w:val="00B10717"/>
    <w:rsid w:val="00B1077D"/>
    <w:rsid w:val="00B110DF"/>
    <w:rsid w:val="00B11EA0"/>
    <w:rsid w:val="00B11F5E"/>
    <w:rsid w:val="00B12DDB"/>
    <w:rsid w:val="00B130B4"/>
    <w:rsid w:val="00B13277"/>
    <w:rsid w:val="00B13C8D"/>
    <w:rsid w:val="00B13E6C"/>
    <w:rsid w:val="00B13E9A"/>
    <w:rsid w:val="00B14299"/>
    <w:rsid w:val="00B145DD"/>
    <w:rsid w:val="00B1465C"/>
    <w:rsid w:val="00B1467B"/>
    <w:rsid w:val="00B14779"/>
    <w:rsid w:val="00B147A6"/>
    <w:rsid w:val="00B14B6E"/>
    <w:rsid w:val="00B14F6F"/>
    <w:rsid w:val="00B14F84"/>
    <w:rsid w:val="00B15318"/>
    <w:rsid w:val="00B15E5F"/>
    <w:rsid w:val="00B15E67"/>
    <w:rsid w:val="00B15EFD"/>
    <w:rsid w:val="00B16073"/>
    <w:rsid w:val="00B1678A"/>
    <w:rsid w:val="00B16813"/>
    <w:rsid w:val="00B17923"/>
    <w:rsid w:val="00B17C37"/>
    <w:rsid w:val="00B17CCE"/>
    <w:rsid w:val="00B17D6F"/>
    <w:rsid w:val="00B205B4"/>
    <w:rsid w:val="00B20696"/>
    <w:rsid w:val="00B212EE"/>
    <w:rsid w:val="00B214C6"/>
    <w:rsid w:val="00B2204B"/>
    <w:rsid w:val="00B22076"/>
    <w:rsid w:val="00B224AA"/>
    <w:rsid w:val="00B22558"/>
    <w:rsid w:val="00B23056"/>
    <w:rsid w:val="00B2312D"/>
    <w:rsid w:val="00B234DD"/>
    <w:rsid w:val="00B23875"/>
    <w:rsid w:val="00B2410D"/>
    <w:rsid w:val="00B24182"/>
    <w:rsid w:val="00B24196"/>
    <w:rsid w:val="00B24A9A"/>
    <w:rsid w:val="00B24E97"/>
    <w:rsid w:val="00B25A9D"/>
    <w:rsid w:val="00B2669A"/>
    <w:rsid w:val="00B26703"/>
    <w:rsid w:val="00B2689B"/>
    <w:rsid w:val="00B27533"/>
    <w:rsid w:val="00B27AF1"/>
    <w:rsid w:val="00B27B93"/>
    <w:rsid w:val="00B3003A"/>
    <w:rsid w:val="00B31435"/>
    <w:rsid w:val="00B315C7"/>
    <w:rsid w:val="00B31756"/>
    <w:rsid w:val="00B3198B"/>
    <w:rsid w:val="00B31B09"/>
    <w:rsid w:val="00B31CEC"/>
    <w:rsid w:val="00B326BB"/>
    <w:rsid w:val="00B3299E"/>
    <w:rsid w:val="00B32A86"/>
    <w:rsid w:val="00B32DD4"/>
    <w:rsid w:val="00B32DF1"/>
    <w:rsid w:val="00B343F1"/>
    <w:rsid w:val="00B34411"/>
    <w:rsid w:val="00B34E2C"/>
    <w:rsid w:val="00B35238"/>
    <w:rsid w:val="00B3583B"/>
    <w:rsid w:val="00B36684"/>
    <w:rsid w:val="00B3695D"/>
    <w:rsid w:val="00B36964"/>
    <w:rsid w:val="00B3749E"/>
    <w:rsid w:val="00B3752B"/>
    <w:rsid w:val="00B379D8"/>
    <w:rsid w:val="00B37A8F"/>
    <w:rsid w:val="00B37CFF"/>
    <w:rsid w:val="00B37E7D"/>
    <w:rsid w:val="00B4026D"/>
    <w:rsid w:val="00B40833"/>
    <w:rsid w:val="00B40D38"/>
    <w:rsid w:val="00B40F65"/>
    <w:rsid w:val="00B41BE9"/>
    <w:rsid w:val="00B41F0E"/>
    <w:rsid w:val="00B42232"/>
    <w:rsid w:val="00B42548"/>
    <w:rsid w:val="00B42604"/>
    <w:rsid w:val="00B434AC"/>
    <w:rsid w:val="00B43EB2"/>
    <w:rsid w:val="00B43F06"/>
    <w:rsid w:val="00B444C7"/>
    <w:rsid w:val="00B4493F"/>
    <w:rsid w:val="00B4494E"/>
    <w:rsid w:val="00B4546D"/>
    <w:rsid w:val="00B45665"/>
    <w:rsid w:val="00B4583E"/>
    <w:rsid w:val="00B458F3"/>
    <w:rsid w:val="00B45FDC"/>
    <w:rsid w:val="00B4611E"/>
    <w:rsid w:val="00B468DF"/>
    <w:rsid w:val="00B46D27"/>
    <w:rsid w:val="00B50015"/>
    <w:rsid w:val="00B50019"/>
    <w:rsid w:val="00B50234"/>
    <w:rsid w:val="00B5085B"/>
    <w:rsid w:val="00B51453"/>
    <w:rsid w:val="00B51AF0"/>
    <w:rsid w:val="00B526A8"/>
    <w:rsid w:val="00B5279E"/>
    <w:rsid w:val="00B52C88"/>
    <w:rsid w:val="00B52F6A"/>
    <w:rsid w:val="00B536E9"/>
    <w:rsid w:val="00B5395A"/>
    <w:rsid w:val="00B54263"/>
    <w:rsid w:val="00B5529F"/>
    <w:rsid w:val="00B55409"/>
    <w:rsid w:val="00B55973"/>
    <w:rsid w:val="00B55B04"/>
    <w:rsid w:val="00B55F58"/>
    <w:rsid w:val="00B56EEB"/>
    <w:rsid w:val="00B57A51"/>
    <w:rsid w:val="00B57B46"/>
    <w:rsid w:val="00B57F65"/>
    <w:rsid w:val="00B601B2"/>
    <w:rsid w:val="00B60643"/>
    <w:rsid w:val="00B607BD"/>
    <w:rsid w:val="00B613D0"/>
    <w:rsid w:val="00B62213"/>
    <w:rsid w:val="00B625D8"/>
    <w:rsid w:val="00B62CFC"/>
    <w:rsid w:val="00B62D42"/>
    <w:rsid w:val="00B63630"/>
    <w:rsid w:val="00B63E68"/>
    <w:rsid w:val="00B64502"/>
    <w:rsid w:val="00B64968"/>
    <w:rsid w:val="00B64BFD"/>
    <w:rsid w:val="00B64E45"/>
    <w:rsid w:val="00B65069"/>
    <w:rsid w:val="00B65347"/>
    <w:rsid w:val="00B659E9"/>
    <w:rsid w:val="00B65D7B"/>
    <w:rsid w:val="00B65DE1"/>
    <w:rsid w:val="00B65ED5"/>
    <w:rsid w:val="00B662B7"/>
    <w:rsid w:val="00B66783"/>
    <w:rsid w:val="00B66A18"/>
    <w:rsid w:val="00B66C54"/>
    <w:rsid w:val="00B6776A"/>
    <w:rsid w:val="00B67E57"/>
    <w:rsid w:val="00B67F3C"/>
    <w:rsid w:val="00B7022D"/>
    <w:rsid w:val="00B70326"/>
    <w:rsid w:val="00B7035A"/>
    <w:rsid w:val="00B70616"/>
    <w:rsid w:val="00B70623"/>
    <w:rsid w:val="00B70639"/>
    <w:rsid w:val="00B709D4"/>
    <w:rsid w:val="00B70BED"/>
    <w:rsid w:val="00B70F30"/>
    <w:rsid w:val="00B70FD7"/>
    <w:rsid w:val="00B711A1"/>
    <w:rsid w:val="00B72399"/>
    <w:rsid w:val="00B72AF0"/>
    <w:rsid w:val="00B737EB"/>
    <w:rsid w:val="00B73C6E"/>
    <w:rsid w:val="00B73F6C"/>
    <w:rsid w:val="00B73F8F"/>
    <w:rsid w:val="00B741FC"/>
    <w:rsid w:val="00B74556"/>
    <w:rsid w:val="00B74B5D"/>
    <w:rsid w:val="00B74BFB"/>
    <w:rsid w:val="00B74CC1"/>
    <w:rsid w:val="00B74CD6"/>
    <w:rsid w:val="00B74E3C"/>
    <w:rsid w:val="00B75A0C"/>
    <w:rsid w:val="00B760B0"/>
    <w:rsid w:val="00B7626A"/>
    <w:rsid w:val="00B762AF"/>
    <w:rsid w:val="00B7731B"/>
    <w:rsid w:val="00B773DD"/>
    <w:rsid w:val="00B774B7"/>
    <w:rsid w:val="00B775EE"/>
    <w:rsid w:val="00B77AAB"/>
    <w:rsid w:val="00B77B6C"/>
    <w:rsid w:val="00B77C5E"/>
    <w:rsid w:val="00B77CBE"/>
    <w:rsid w:val="00B77F90"/>
    <w:rsid w:val="00B8000B"/>
    <w:rsid w:val="00B804C6"/>
    <w:rsid w:val="00B80B0F"/>
    <w:rsid w:val="00B80E73"/>
    <w:rsid w:val="00B811C2"/>
    <w:rsid w:val="00B81213"/>
    <w:rsid w:val="00B81412"/>
    <w:rsid w:val="00B8213C"/>
    <w:rsid w:val="00B82416"/>
    <w:rsid w:val="00B824D4"/>
    <w:rsid w:val="00B828BA"/>
    <w:rsid w:val="00B82CD4"/>
    <w:rsid w:val="00B82EBA"/>
    <w:rsid w:val="00B83850"/>
    <w:rsid w:val="00B83A6C"/>
    <w:rsid w:val="00B83D4A"/>
    <w:rsid w:val="00B84465"/>
    <w:rsid w:val="00B8479F"/>
    <w:rsid w:val="00B84A46"/>
    <w:rsid w:val="00B84FA0"/>
    <w:rsid w:val="00B851EE"/>
    <w:rsid w:val="00B85B8E"/>
    <w:rsid w:val="00B861FC"/>
    <w:rsid w:val="00B86277"/>
    <w:rsid w:val="00B86A89"/>
    <w:rsid w:val="00B86FC0"/>
    <w:rsid w:val="00B87154"/>
    <w:rsid w:val="00B87290"/>
    <w:rsid w:val="00B8790E"/>
    <w:rsid w:val="00B87927"/>
    <w:rsid w:val="00B87B90"/>
    <w:rsid w:val="00B87F9A"/>
    <w:rsid w:val="00B90447"/>
    <w:rsid w:val="00B9055E"/>
    <w:rsid w:val="00B908BA"/>
    <w:rsid w:val="00B9210B"/>
    <w:rsid w:val="00B9219A"/>
    <w:rsid w:val="00B92B4C"/>
    <w:rsid w:val="00B92CC2"/>
    <w:rsid w:val="00B92EEF"/>
    <w:rsid w:val="00B92FD7"/>
    <w:rsid w:val="00B94DB0"/>
    <w:rsid w:val="00B94F42"/>
    <w:rsid w:val="00B94FEB"/>
    <w:rsid w:val="00B95001"/>
    <w:rsid w:val="00B9550E"/>
    <w:rsid w:val="00B95DA0"/>
    <w:rsid w:val="00B9681C"/>
    <w:rsid w:val="00B9687C"/>
    <w:rsid w:val="00B96FA0"/>
    <w:rsid w:val="00B97308"/>
    <w:rsid w:val="00B975D4"/>
    <w:rsid w:val="00B97940"/>
    <w:rsid w:val="00B97B0A"/>
    <w:rsid w:val="00B97BDC"/>
    <w:rsid w:val="00BA023A"/>
    <w:rsid w:val="00BA0EB4"/>
    <w:rsid w:val="00BA130E"/>
    <w:rsid w:val="00BA1981"/>
    <w:rsid w:val="00BA1CC2"/>
    <w:rsid w:val="00BA1FE4"/>
    <w:rsid w:val="00BA232E"/>
    <w:rsid w:val="00BA2341"/>
    <w:rsid w:val="00BA2C7D"/>
    <w:rsid w:val="00BA2E04"/>
    <w:rsid w:val="00BA2E05"/>
    <w:rsid w:val="00BA2EF9"/>
    <w:rsid w:val="00BA35B1"/>
    <w:rsid w:val="00BA3B26"/>
    <w:rsid w:val="00BA3CDA"/>
    <w:rsid w:val="00BA3E69"/>
    <w:rsid w:val="00BA3EAE"/>
    <w:rsid w:val="00BA3FC7"/>
    <w:rsid w:val="00BA4609"/>
    <w:rsid w:val="00BA4A60"/>
    <w:rsid w:val="00BA5032"/>
    <w:rsid w:val="00BA57C5"/>
    <w:rsid w:val="00BA5E75"/>
    <w:rsid w:val="00BA6144"/>
    <w:rsid w:val="00BA62AF"/>
    <w:rsid w:val="00BA6E51"/>
    <w:rsid w:val="00BA7582"/>
    <w:rsid w:val="00BA7A5A"/>
    <w:rsid w:val="00BB00F3"/>
    <w:rsid w:val="00BB0737"/>
    <w:rsid w:val="00BB07F0"/>
    <w:rsid w:val="00BB1E71"/>
    <w:rsid w:val="00BB1FC6"/>
    <w:rsid w:val="00BB239F"/>
    <w:rsid w:val="00BB24F6"/>
    <w:rsid w:val="00BB2818"/>
    <w:rsid w:val="00BB2C9C"/>
    <w:rsid w:val="00BB2F60"/>
    <w:rsid w:val="00BB313C"/>
    <w:rsid w:val="00BB3342"/>
    <w:rsid w:val="00BB369C"/>
    <w:rsid w:val="00BB3AD4"/>
    <w:rsid w:val="00BB426E"/>
    <w:rsid w:val="00BB4DC6"/>
    <w:rsid w:val="00BB506B"/>
    <w:rsid w:val="00BB5343"/>
    <w:rsid w:val="00BB5622"/>
    <w:rsid w:val="00BB5C82"/>
    <w:rsid w:val="00BB62B8"/>
    <w:rsid w:val="00BB6BC4"/>
    <w:rsid w:val="00BB6F57"/>
    <w:rsid w:val="00BC0F5A"/>
    <w:rsid w:val="00BC11A2"/>
    <w:rsid w:val="00BC1A3F"/>
    <w:rsid w:val="00BC1BF2"/>
    <w:rsid w:val="00BC1F11"/>
    <w:rsid w:val="00BC23FA"/>
    <w:rsid w:val="00BC24D7"/>
    <w:rsid w:val="00BC28DE"/>
    <w:rsid w:val="00BC2B48"/>
    <w:rsid w:val="00BC3512"/>
    <w:rsid w:val="00BC3C8B"/>
    <w:rsid w:val="00BC422D"/>
    <w:rsid w:val="00BC492E"/>
    <w:rsid w:val="00BC4DBA"/>
    <w:rsid w:val="00BC5A27"/>
    <w:rsid w:val="00BC5A6E"/>
    <w:rsid w:val="00BC5E06"/>
    <w:rsid w:val="00BC6699"/>
    <w:rsid w:val="00BC6E69"/>
    <w:rsid w:val="00BC71E7"/>
    <w:rsid w:val="00BC71E8"/>
    <w:rsid w:val="00BC7453"/>
    <w:rsid w:val="00BC7DEB"/>
    <w:rsid w:val="00BD0746"/>
    <w:rsid w:val="00BD0A49"/>
    <w:rsid w:val="00BD0C11"/>
    <w:rsid w:val="00BD1209"/>
    <w:rsid w:val="00BD1BFA"/>
    <w:rsid w:val="00BD2137"/>
    <w:rsid w:val="00BD2194"/>
    <w:rsid w:val="00BD26AA"/>
    <w:rsid w:val="00BD2B12"/>
    <w:rsid w:val="00BD2CFF"/>
    <w:rsid w:val="00BD2D46"/>
    <w:rsid w:val="00BD2D7E"/>
    <w:rsid w:val="00BD31BF"/>
    <w:rsid w:val="00BD3A70"/>
    <w:rsid w:val="00BD422C"/>
    <w:rsid w:val="00BD454F"/>
    <w:rsid w:val="00BD4898"/>
    <w:rsid w:val="00BD48DF"/>
    <w:rsid w:val="00BD4BCE"/>
    <w:rsid w:val="00BD4BE6"/>
    <w:rsid w:val="00BD52D3"/>
    <w:rsid w:val="00BD5380"/>
    <w:rsid w:val="00BD56A6"/>
    <w:rsid w:val="00BD5EDA"/>
    <w:rsid w:val="00BD5FFE"/>
    <w:rsid w:val="00BD659D"/>
    <w:rsid w:val="00BD6E94"/>
    <w:rsid w:val="00BD71F8"/>
    <w:rsid w:val="00BD7D56"/>
    <w:rsid w:val="00BE0639"/>
    <w:rsid w:val="00BE0949"/>
    <w:rsid w:val="00BE0FF2"/>
    <w:rsid w:val="00BE1B36"/>
    <w:rsid w:val="00BE2196"/>
    <w:rsid w:val="00BE28E6"/>
    <w:rsid w:val="00BE294D"/>
    <w:rsid w:val="00BE3B72"/>
    <w:rsid w:val="00BE3E20"/>
    <w:rsid w:val="00BE427A"/>
    <w:rsid w:val="00BE5B6C"/>
    <w:rsid w:val="00BE5E6B"/>
    <w:rsid w:val="00BE6657"/>
    <w:rsid w:val="00BE67CB"/>
    <w:rsid w:val="00BE6874"/>
    <w:rsid w:val="00BE6C6C"/>
    <w:rsid w:val="00BE75DF"/>
    <w:rsid w:val="00BE7BBF"/>
    <w:rsid w:val="00BE7E80"/>
    <w:rsid w:val="00BE7EA5"/>
    <w:rsid w:val="00BF0396"/>
    <w:rsid w:val="00BF0C8F"/>
    <w:rsid w:val="00BF1657"/>
    <w:rsid w:val="00BF1A79"/>
    <w:rsid w:val="00BF1E81"/>
    <w:rsid w:val="00BF222A"/>
    <w:rsid w:val="00BF25B9"/>
    <w:rsid w:val="00BF28CB"/>
    <w:rsid w:val="00BF2C85"/>
    <w:rsid w:val="00BF3120"/>
    <w:rsid w:val="00BF3287"/>
    <w:rsid w:val="00BF32D9"/>
    <w:rsid w:val="00BF376F"/>
    <w:rsid w:val="00BF393E"/>
    <w:rsid w:val="00BF4205"/>
    <w:rsid w:val="00BF45F5"/>
    <w:rsid w:val="00BF4675"/>
    <w:rsid w:val="00BF472F"/>
    <w:rsid w:val="00BF47CC"/>
    <w:rsid w:val="00BF4B0C"/>
    <w:rsid w:val="00BF50B2"/>
    <w:rsid w:val="00BF5144"/>
    <w:rsid w:val="00BF5646"/>
    <w:rsid w:val="00BF57CF"/>
    <w:rsid w:val="00BF5986"/>
    <w:rsid w:val="00BF6245"/>
    <w:rsid w:val="00BF6A68"/>
    <w:rsid w:val="00BF6DD8"/>
    <w:rsid w:val="00BF6DF8"/>
    <w:rsid w:val="00BF7CAE"/>
    <w:rsid w:val="00C008CE"/>
    <w:rsid w:val="00C00E32"/>
    <w:rsid w:val="00C01972"/>
    <w:rsid w:val="00C01DCC"/>
    <w:rsid w:val="00C01E73"/>
    <w:rsid w:val="00C02632"/>
    <w:rsid w:val="00C02AC7"/>
    <w:rsid w:val="00C02AD4"/>
    <w:rsid w:val="00C02EB3"/>
    <w:rsid w:val="00C035DA"/>
    <w:rsid w:val="00C037C9"/>
    <w:rsid w:val="00C03917"/>
    <w:rsid w:val="00C03DA5"/>
    <w:rsid w:val="00C03FC4"/>
    <w:rsid w:val="00C04072"/>
    <w:rsid w:val="00C04435"/>
    <w:rsid w:val="00C044D1"/>
    <w:rsid w:val="00C04510"/>
    <w:rsid w:val="00C04A83"/>
    <w:rsid w:val="00C04F59"/>
    <w:rsid w:val="00C052E6"/>
    <w:rsid w:val="00C0596A"/>
    <w:rsid w:val="00C059AA"/>
    <w:rsid w:val="00C05F13"/>
    <w:rsid w:val="00C05F14"/>
    <w:rsid w:val="00C05F83"/>
    <w:rsid w:val="00C06770"/>
    <w:rsid w:val="00C067F0"/>
    <w:rsid w:val="00C069A2"/>
    <w:rsid w:val="00C06BDD"/>
    <w:rsid w:val="00C06DD6"/>
    <w:rsid w:val="00C06DEB"/>
    <w:rsid w:val="00C06FD9"/>
    <w:rsid w:val="00C075D6"/>
    <w:rsid w:val="00C07C64"/>
    <w:rsid w:val="00C102A2"/>
    <w:rsid w:val="00C106F1"/>
    <w:rsid w:val="00C1102B"/>
    <w:rsid w:val="00C11486"/>
    <w:rsid w:val="00C11673"/>
    <w:rsid w:val="00C12172"/>
    <w:rsid w:val="00C12237"/>
    <w:rsid w:val="00C12EC2"/>
    <w:rsid w:val="00C130FC"/>
    <w:rsid w:val="00C131C2"/>
    <w:rsid w:val="00C131F5"/>
    <w:rsid w:val="00C13403"/>
    <w:rsid w:val="00C139DA"/>
    <w:rsid w:val="00C13A49"/>
    <w:rsid w:val="00C14040"/>
    <w:rsid w:val="00C1406A"/>
    <w:rsid w:val="00C14097"/>
    <w:rsid w:val="00C1436D"/>
    <w:rsid w:val="00C14929"/>
    <w:rsid w:val="00C14E09"/>
    <w:rsid w:val="00C150B9"/>
    <w:rsid w:val="00C150BD"/>
    <w:rsid w:val="00C15A61"/>
    <w:rsid w:val="00C15D6F"/>
    <w:rsid w:val="00C160FD"/>
    <w:rsid w:val="00C167FE"/>
    <w:rsid w:val="00C17BC3"/>
    <w:rsid w:val="00C17FFB"/>
    <w:rsid w:val="00C202B3"/>
    <w:rsid w:val="00C20F99"/>
    <w:rsid w:val="00C2104B"/>
    <w:rsid w:val="00C217E9"/>
    <w:rsid w:val="00C21B6D"/>
    <w:rsid w:val="00C21EE0"/>
    <w:rsid w:val="00C220CD"/>
    <w:rsid w:val="00C226D6"/>
    <w:rsid w:val="00C22700"/>
    <w:rsid w:val="00C227DA"/>
    <w:rsid w:val="00C22CB0"/>
    <w:rsid w:val="00C22FE3"/>
    <w:rsid w:val="00C235A8"/>
    <w:rsid w:val="00C23874"/>
    <w:rsid w:val="00C24422"/>
    <w:rsid w:val="00C24716"/>
    <w:rsid w:val="00C24AA2"/>
    <w:rsid w:val="00C24E78"/>
    <w:rsid w:val="00C24F23"/>
    <w:rsid w:val="00C25095"/>
    <w:rsid w:val="00C25610"/>
    <w:rsid w:val="00C259B3"/>
    <w:rsid w:val="00C25A9C"/>
    <w:rsid w:val="00C25BA7"/>
    <w:rsid w:val="00C25D41"/>
    <w:rsid w:val="00C2608B"/>
    <w:rsid w:val="00C264E5"/>
    <w:rsid w:val="00C266A5"/>
    <w:rsid w:val="00C26EE8"/>
    <w:rsid w:val="00C2738D"/>
    <w:rsid w:val="00C27A24"/>
    <w:rsid w:val="00C27D3B"/>
    <w:rsid w:val="00C27F11"/>
    <w:rsid w:val="00C30297"/>
    <w:rsid w:val="00C308DF"/>
    <w:rsid w:val="00C30C00"/>
    <w:rsid w:val="00C30CAB"/>
    <w:rsid w:val="00C31342"/>
    <w:rsid w:val="00C31470"/>
    <w:rsid w:val="00C31CD2"/>
    <w:rsid w:val="00C322B1"/>
    <w:rsid w:val="00C32D83"/>
    <w:rsid w:val="00C32E66"/>
    <w:rsid w:val="00C32FD5"/>
    <w:rsid w:val="00C330DD"/>
    <w:rsid w:val="00C337F4"/>
    <w:rsid w:val="00C338D3"/>
    <w:rsid w:val="00C34249"/>
    <w:rsid w:val="00C343B6"/>
    <w:rsid w:val="00C34982"/>
    <w:rsid w:val="00C349A7"/>
    <w:rsid w:val="00C34CD2"/>
    <w:rsid w:val="00C34CDF"/>
    <w:rsid w:val="00C34F5D"/>
    <w:rsid w:val="00C355AA"/>
    <w:rsid w:val="00C35C80"/>
    <w:rsid w:val="00C36470"/>
    <w:rsid w:val="00C36C89"/>
    <w:rsid w:val="00C36D94"/>
    <w:rsid w:val="00C370C0"/>
    <w:rsid w:val="00C37800"/>
    <w:rsid w:val="00C37C04"/>
    <w:rsid w:val="00C37E86"/>
    <w:rsid w:val="00C407B0"/>
    <w:rsid w:val="00C40AB0"/>
    <w:rsid w:val="00C40C1B"/>
    <w:rsid w:val="00C41062"/>
    <w:rsid w:val="00C411AD"/>
    <w:rsid w:val="00C41ABD"/>
    <w:rsid w:val="00C41D6F"/>
    <w:rsid w:val="00C41F39"/>
    <w:rsid w:val="00C42603"/>
    <w:rsid w:val="00C42848"/>
    <w:rsid w:val="00C42A53"/>
    <w:rsid w:val="00C43045"/>
    <w:rsid w:val="00C4317A"/>
    <w:rsid w:val="00C4353E"/>
    <w:rsid w:val="00C438F0"/>
    <w:rsid w:val="00C43A91"/>
    <w:rsid w:val="00C43CCF"/>
    <w:rsid w:val="00C44068"/>
    <w:rsid w:val="00C441A2"/>
    <w:rsid w:val="00C443B3"/>
    <w:rsid w:val="00C4541C"/>
    <w:rsid w:val="00C45B85"/>
    <w:rsid w:val="00C45F7A"/>
    <w:rsid w:val="00C46248"/>
    <w:rsid w:val="00C46557"/>
    <w:rsid w:val="00C4667E"/>
    <w:rsid w:val="00C46CE3"/>
    <w:rsid w:val="00C475AA"/>
    <w:rsid w:val="00C47655"/>
    <w:rsid w:val="00C47A35"/>
    <w:rsid w:val="00C47D51"/>
    <w:rsid w:val="00C50116"/>
    <w:rsid w:val="00C5046D"/>
    <w:rsid w:val="00C50B48"/>
    <w:rsid w:val="00C51423"/>
    <w:rsid w:val="00C518E3"/>
    <w:rsid w:val="00C5192C"/>
    <w:rsid w:val="00C51B20"/>
    <w:rsid w:val="00C51F22"/>
    <w:rsid w:val="00C51FFB"/>
    <w:rsid w:val="00C520F6"/>
    <w:rsid w:val="00C521BA"/>
    <w:rsid w:val="00C52618"/>
    <w:rsid w:val="00C52629"/>
    <w:rsid w:val="00C52DA7"/>
    <w:rsid w:val="00C52EAB"/>
    <w:rsid w:val="00C534D5"/>
    <w:rsid w:val="00C53E3B"/>
    <w:rsid w:val="00C53E48"/>
    <w:rsid w:val="00C541D6"/>
    <w:rsid w:val="00C54243"/>
    <w:rsid w:val="00C544B8"/>
    <w:rsid w:val="00C5499B"/>
    <w:rsid w:val="00C54BC0"/>
    <w:rsid w:val="00C555AC"/>
    <w:rsid w:val="00C55CB6"/>
    <w:rsid w:val="00C55F2E"/>
    <w:rsid w:val="00C563ED"/>
    <w:rsid w:val="00C5669D"/>
    <w:rsid w:val="00C57D82"/>
    <w:rsid w:val="00C57E19"/>
    <w:rsid w:val="00C57ED5"/>
    <w:rsid w:val="00C602D9"/>
    <w:rsid w:val="00C603A7"/>
    <w:rsid w:val="00C60B0F"/>
    <w:rsid w:val="00C616EE"/>
    <w:rsid w:val="00C618F3"/>
    <w:rsid w:val="00C61CFE"/>
    <w:rsid w:val="00C6249B"/>
    <w:rsid w:val="00C62A88"/>
    <w:rsid w:val="00C62BDC"/>
    <w:rsid w:val="00C63204"/>
    <w:rsid w:val="00C6339C"/>
    <w:rsid w:val="00C63764"/>
    <w:rsid w:val="00C6392C"/>
    <w:rsid w:val="00C6399E"/>
    <w:rsid w:val="00C64AE0"/>
    <w:rsid w:val="00C650B9"/>
    <w:rsid w:val="00C65480"/>
    <w:rsid w:val="00C6558E"/>
    <w:rsid w:val="00C65610"/>
    <w:rsid w:val="00C6564D"/>
    <w:rsid w:val="00C65A29"/>
    <w:rsid w:val="00C65D51"/>
    <w:rsid w:val="00C65D8F"/>
    <w:rsid w:val="00C66807"/>
    <w:rsid w:val="00C66EAE"/>
    <w:rsid w:val="00C66EED"/>
    <w:rsid w:val="00C671D2"/>
    <w:rsid w:val="00C67C96"/>
    <w:rsid w:val="00C70205"/>
    <w:rsid w:val="00C70501"/>
    <w:rsid w:val="00C70B61"/>
    <w:rsid w:val="00C71017"/>
    <w:rsid w:val="00C71197"/>
    <w:rsid w:val="00C713ED"/>
    <w:rsid w:val="00C71C9E"/>
    <w:rsid w:val="00C720F1"/>
    <w:rsid w:val="00C72318"/>
    <w:rsid w:val="00C724E6"/>
    <w:rsid w:val="00C729DE"/>
    <w:rsid w:val="00C72A43"/>
    <w:rsid w:val="00C72C70"/>
    <w:rsid w:val="00C72CCE"/>
    <w:rsid w:val="00C72F97"/>
    <w:rsid w:val="00C73A9B"/>
    <w:rsid w:val="00C73EBF"/>
    <w:rsid w:val="00C744C8"/>
    <w:rsid w:val="00C747A5"/>
    <w:rsid w:val="00C74FC2"/>
    <w:rsid w:val="00C753CD"/>
    <w:rsid w:val="00C75448"/>
    <w:rsid w:val="00C757F3"/>
    <w:rsid w:val="00C7585C"/>
    <w:rsid w:val="00C769CF"/>
    <w:rsid w:val="00C76BA7"/>
    <w:rsid w:val="00C76BD8"/>
    <w:rsid w:val="00C76C1E"/>
    <w:rsid w:val="00C76D62"/>
    <w:rsid w:val="00C771A8"/>
    <w:rsid w:val="00C7725F"/>
    <w:rsid w:val="00C77615"/>
    <w:rsid w:val="00C77676"/>
    <w:rsid w:val="00C77A0F"/>
    <w:rsid w:val="00C77BB3"/>
    <w:rsid w:val="00C77E78"/>
    <w:rsid w:val="00C80117"/>
    <w:rsid w:val="00C8071A"/>
    <w:rsid w:val="00C80D5B"/>
    <w:rsid w:val="00C80FB2"/>
    <w:rsid w:val="00C81525"/>
    <w:rsid w:val="00C81558"/>
    <w:rsid w:val="00C81828"/>
    <w:rsid w:val="00C81EAA"/>
    <w:rsid w:val="00C8220E"/>
    <w:rsid w:val="00C826EC"/>
    <w:rsid w:val="00C83A06"/>
    <w:rsid w:val="00C83A2A"/>
    <w:rsid w:val="00C849A7"/>
    <w:rsid w:val="00C84F86"/>
    <w:rsid w:val="00C85032"/>
    <w:rsid w:val="00C85314"/>
    <w:rsid w:val="00C85339"/>
    <w:rsid w:val="00C8535E"/>
    <w:rsid w:val="00C8542E"/>
    <w:rsid w:val="00C85C06"/>
    <w:rsid w:val="00C863DE"/>
    <w:rsid w:val="00C86433"/>
    <w:rsid w:val="00C865C3"/>
    <w:rsid w:val="00C867C0"/>
    <w:rsid w:val="00C86802"/>
    <w:rsid w:val="00C86AC6"/>
    <w:rsid w:val="00C86CDF"/>
    <w:rsid w:val="00C86D7B"/>
    <w:rsid w:val="00C8743E"/>
    <w:rsid w:val="00C87553"/>
    <w:rsid w:val="00C876ED"/>
    <w:rsid w:val="00C87DAD"/>
    <w:rsid w:val="00C87FBE"/>
    <w:rsid w:val="00C90107"/>
    <w:rsid w:val="00C90371"/>
    <w:rsid w:val="00C90A6A"/>
    <w:rsid w:val="00C9105F"/>
    <w:rsid w:val="00C911A1"/>
    <w:rsid w:val="00C9193F"/>
    <w:rsid w:val="00C919E0"/>
    <w:rsid w:val="00C92F4E"/>
    <w:rsid w:val="00C93001"/>
    <w:rsid w:val="00C93020"/>
    <w:rsid w:val="00C93694"/>
    <w:rsid w:val="00C940B6"/>
    <w:rsid w:val="00C942C9"/>
    <w:rsid w:val="00C944B5"/>
    <w:rsid w:val="00C94541"/>
    <w:rsid w:val="00C94885"/>
    <w:rsid w:val="00C94949"/>
    <w:rsid w:val="00C95123"/>
    <w:rsid w:val="00C95A28"/>
    <w:rsid w:val="00C95B75"/>
    <w:rsid w:val="00C9640C"/>
    <w:rsid w:val="00C964E0"/>
    <w:rsid w:val="00C968B5"/>
    <w:rsid w:val="00C97538"/>
    <w:rsid w:val="00CA0116"/>
    <w:rsid w:val="00CA030C"/>
    <w:rsid w:val="00CA0C93"/>
    <w:rsid w:val="00CA0CF1"/>
    <w:rsid w:val="00CA1152"/>
    <w:rsid w:val="00CA1618"/>
    <w:rsid w:val="00CA16F2"/>
    <w:rsid w:val="00CA1751"/>
    <w:rsid w:val="00CA1AE2"/>
    <w:rsid w:val="00CA1CCF"/>
    <w:rsid w:val="00CA2CC9"/>
    <w:rsid w:val="00CA3477"/>
    <w:rsid w:val="00CA3BFC"/>
    <w:rsid w:val="00CA3FA9"/>
    <w:rsid w:val="00CA424A"/>
    <w:rsid w:val="00CA4378"/>
    <w:rsid w:val="00CA45E5"/>
    <w:rsid w:val="00CA4BC0"/>
    <w:rsid w:val="00CA4E7C"/>
    <w:rsid w:val="00CA509E"/>
    <w:rsid w:val="00CA5B50"/>
    <w:rsid w:val="00CA5C3E"/>
    <w:rsid w:val="00CA5CA8"/>
    <w:rsid w:val="00CA69B7"/>
    <w:rsid w:val="00CA6FD3"/>
    <w:rsid w:val="00CA74E7"/>
    <w:rsid w:val="00CA7AD1"/>
    <w:rsid w:val="00CA7BA0"/>
    <w:rsid w:val="00CA7BE2"/>
    <w:rsid w:val="00CB0157"/>
    <w:rsid w:val="00CB03BE"/>
    <w:rsid w:val="00CB04D1"/>
    <w:rsid w:val="00CB077A"/>
    <w:rsid w:val="00CB0900"/>
    <w:rsid w:val="00CB09A1"/>
    <w:rsid w:val="00CB1157"/>
    <w:rsid w:val="00CB168F"/>
    <w:rsid w:val="00CB192B"/>
    <w:rsid w:val="00CB1E25"/>
    <w:rsid w:val="00CB22B7"/>
    <w:rsid w:val="00CB28E9"/>
    <w:rsid w:val="00CB29BA"/>
    <w:rsid w:val="00CB29EB"/>
    <w:rsid w:val="00CB2AC2"/>
    <w:rsid w:val="00CB2AF1"/>
    <w:rsid w:val="00CB2B60"/>
    <w:rsid w:val="00CB2CA1"/>
    <w:rsid w:val="00CB2F48"/>
    <w:rsid w:val="00CB36FE"/>
    <w:rsid w:val="00CB3D36"/>
    <w:rsid w:val="00CB42EA"/>
    <w:rsid w:val="00CB4598"/>
    <w:rsid w:val="00CB4651"/>
    <w:rsid w:val="00CB5205"/>
    <w:rsid w:val="00CB5523"/>
    <w:rsid w:val="00CB5530"/>
    <w:rsid w:val="00CB5AC1"/>
    <w:rsid w:val="00CB5D6D"/>
    <w:rsid w:val="00CB61DC"/>
    <w:rsid w:val="00CB69DA"/>
    <w:rsid w:val="00CB6C12"/>
    <w:rsid w:val="00CB717A"/>
    <w:rsid w:val="00CB71C3"/>
    <w:rsid w:val="00CB736A"/>
    <w:rsid w:val="00CB7401"/>
    <w:rsid w:val="00CB7CA7"/>
    <w:rsid w:val="00CC0144"/>
    <w:rsid w:val="00CC02A8"/>
    <w:rsid w:val="00CC02FD"/>
    <w:rsid w:val="00CC0313"/>
    <w:rsid w:val="00CC03F8"/>
    <w:rsid w:val="00CC044A"/>
    <w:rsid w:val="00CC0824"/>
    <w:rsid w:val="00CC0AB5"/>
    <w:rsid w:val="00CC0B2C"/>
    <w:rsid w:val="00CC0F55"/>
    <w:rsid w:val="00CC1AA1"/>
    <w:rsid w:val="00CC1AEE"/>
    <w:rsid w:val="00CC1BC6"/>
    <w:rsid w:val="00CC1C2D"/>
    <w:rsid w:val="00CC2093"/>
    <w:rsid w:val="00CC2174"/>
    <w:rsid w:val="00CC2201"/>
    <w:rsid w:val="00CC23A7"/>
    <w:rsid w:val="00CC25F1"/>
    <w:rsid w:val="00CC2BD9"/>
    <w:rsid w:val="00CC2D52"/>
    <w:rsid w:val="00CC2F27"/>
    <w:rsid w:val="00CC3057"/>
    <w:rsid w:val="00CC314B"/>
    <w:rsid w:val="00CC3532"/>
    <w:rsid w:val="00CC38AC"/>
    <w:rsid w:val="00CC4075"/>
    <w:rsid w:val="00CC482B"/>
    <w:rsid w:val="00CC485A"/>
    <w:rsid w:val="00CC4C8B"/>
    <w:rsid w:val="00CC53CC"/>
    <w:rsid w:val="00CC5484"/>
    <w:rsid w:val="00CC559D"/>
    <w:rsid w:val="00CC5841"/>
    <w:rsid w:val="00CC5D2B"/>
    <w:rsid w:val="00CC6319"/>
    <w:rsid w:val="00CC71D7"/>
    <w:rsid w:val="00CC7208"/>
    <w:rsid w:val="00CD0084"/>
    <w:rsid w:val="00CD046E"/>
    <w:rsid w:val="00CD0853"/>
    <w:rsid w:val="00CD08DC"/>
    <w:rsid w:val="00CD0BBA"/>
    <w:rsid w:val="00CD0C13"/>
    <w:rsid w:val="00CD0D81"/>
    <w:rsid w:val="00CD13A2"/>
    <w:rsid w:val="00CD13FE"/>
    <w:rsid w:val="00CD181A"/>
    <w:rsid w:val="00CD1E42"/>
    <w:rsid w:val="00CD2470"/>
    <w:rsid w:val="00CD2716"/>
    <w:rsid w:val="00CD27F3"/>
    <w:rsid w:val="00CD2AFD"/>
    <w:rsid w:val="00CD2E43"/>
    <w:rsid w:val="00CD30F2"/>
    <w:rsid w:val="00CD36D8"/>
    <w:rsid w:val="00CD46A4"/>
    <w:rsid w:val="00CD4DB0"/>
    <w:rsid w:val="00CD5BCD"/>
    <w:rsid w:val="00CD654B"/>
    <w:rsid w:val="00CD67C5"/>
    <w:rsid w:val="00CD7158"/>
    <w:rsid w:val="00CD71C1"/>
    <w:rsid w:val="00CD7514"/>
    <w:rsid w:val="00CD755E"/>
    <w:rsid w:val="00CD7D51"/>
    <w:rsid w:val="00CE0844"/>
    <w:rsid w:val="00CE11D7"/>
    <w:rsid w:val="00CE15D3"/>
    <w:rsid w:val="00CE1FCA"/>
    <w:rsid w:val="00CE1FFD"/>
    <w:rsid w:val="00CE223E"/>
    <w:rsid w:val="00CE27A1"/>
    <w:rsid w:val="00CE29EB"/>
    <w:rsid w:val="00CE29FE"/>
    <w:rsid w:val="00CE4C0B"/>
    <w:rsid w:val="00CE59CB"/>
    <w:rsid w:val="00CE5AF8"/>
    <w:rsid w:val="00CE5D29"/>
    <w:rsid w:val="00CE7043"/>
    <w:rsid w:val="00CE7139"/>
    <w:rsid w:val="00CE820D"/>
    <w:rsid w:val="00CF03E6"/>
    <w:rsid w:val="00CF040B"/>
    <w:rsid w:val="00CF04E0"/>
    <w:rsid w:val="00CF0726"/>
    <w:rsid w:val="00CF0A62"/>
    <w:rsid w:val="00CF113A"/>
    <w:rsid w:val="00CF11A4"/>
    <w:rsid w:val="00CF199C"/>
    <w:rsid w:val="00CF1A34"/>
    <w:rsid w:val="00CF2885"/>
    <w:rsid w:val="00CF2B34"/>
    <w:rsid w:val="00CF2BA4"/>
    <w:rsid w:val="00CF3801"/>
    <w:rsid w:val="00CF3EDC"/>
    <w:rsid w:val="00CF3F0D"/>
    <w:rsid w:val="00CF410D"/>
    <w:rsid w:val="00CF42CC"/>
    <w:rsid w:val="00CF473B"/>
    <w:rsid w:val="00CF4ECE"/>
    <w:rsid w:val="00CF4F01"/>
    <w:rsid w:val="00CF4F9A"/>
    <w:rsid w:val="00CF533D"/>
    <w:rsid w:val="00CF578E"/>
    <w:rsid w:val="00CF5D04"/>
    <w:rsid w:val="00CF5DF4"/>
    <w:rsid w:val="00CF5EB1"/>
    <w:rsid w:val="00CF5F81"/>
    <w:rsid w:val="00CF5FDF"/>
    <w:rsid w:val="00CF6129"/>
    <w:rsid w:val="00CF6C60"/>
    <w:rsid w:val="00CF6CF0"/>
    <w:rsid w:val="00CF7593"/>
    <w:rsid w:val="00CF764A"/>
    <w:rsid w:val="00CF7653"/>
    <w:rsid w:val="00CF7794"/>
    <w:rsid w:val="00CF7AEE"/>
    <w:rsid w:val="00CF7F33"/>
    <w:rsid w:val="00D00258"/>
    <w:rsid w:val="00D00D3B"/>
    <w:rsid w:val="00D0165B"/>
    <w:rsid w:val="00D01949"/>
    <w:rsid w:val="00D01E4E"/>
    <w:rsid w:val="00D0274D"/>
    <w:rsid w:val="00D02886"/>
    <w:rsid w:val="00D02C7F"/>
    <w:rsid w:val="00D03239"/>
    <w:rsid w:val="00D03AE7"/>
    <w:rsid w:val="00D0437E"/>
    <w:rsid w:val="00D0497B"/>
    <w:rsid w:val="00D04E3F"/>
    <w:rsid w:val="00D054AB"/>
    <w:rsid w:val="00D0571E"/>
    <w:rsid w:val="00D05AFE"/>
    <w:rsid w:val="00D05F7C"/>
    <w:rsid w:val="00D060F8"/>
    <w:rsid w:val="00D06B26"/>
    <w:rsid w:val="00D0706F"/>
    <w:rsid w:val="00D0720B"/>
    <w:rsid w:val="00D074DA"/>
    <w:rsid w:val="00D07C71"/>
    <w:rsid w:val="00D07CF0"/>
    <w:rsid w:val="00D100D1"/>
    <w:rsid w:val="00D10177"/>
    <w:rsid w:val="00D101F7"/>
    <w:rsid w:val="00D1065F"/>
    <w:rsid w:val="00D10739"/>
    <w:rsid w:val="00D1076D"/>
    <w:rsid w:val="00D10901"/>
    <w:rsid w:val="00D109E1"/>
    <w:rsid w:val="00D10A6D"/>
    <w:rsid w:val="00D10EC7"/>
    <w:rsid w:val="00D11195"/>
    <w:rsid w:val="00D118C2"/>
    <w:rsid w:val="00D11C32"/>
    <w:rsid w:val="00D1201B"/>
    <w:rsid w:val="00D12049"/>
    <w:rsid w:val="00D13140"/>
    <w:rsid w:val="00D137F8"/>
    <w:rsid w:val="00D13B6D"/>
    <w:rsid w:val="00D13DCE"/>
    <w:rsid w:val="00D1402F"/>
    <w:rsid w:val="00D145F5"/>
    <w:rsid w:val="00D149BA"/>
    <w:rsid w:val="00D15590"/>
    <w:rsid w:val="00D1566D"/>
    <w:rsid w:val="00D15BE1"/>
    <w:rsid w:val="00D15D37"/>
    <w:rsid w:val="00D15D9D"/>
    <w:rsid w:val="00D16064"/>
    <w:rsid w:val="00D16443"/>
    <w:rsid w:val="00D1678A"/>
    <w:rsid w:val="00D167A8"/>
    <w:rsid w:val="00D16B54"/>
    <w:rsid w:val="00D16C6E"/>
    <w:rsid w:val="00D16FC6"/>
    <w:rsid w:val="00D170A3"/>
    <w:rsid w:val="00D17BE7"/>
    <w:rsid w:val="00D20258"/>
    <w:rsid w:val="00D20383"/>
    <w:rsid w:val="00D20B20"/>
    <w:rsid w:val="00D21C3E"/>
    <w:rsid w:val="00D21F91"/>
    <w:rsid w:val="00D227BB"/>
    <w:rsid w:val="00D22800"/>
    <w:rsid w:val="00D2304B"/>
    <w:rsid w:val="00D2364E"/>
    <w:rsid w:val="00D23CA8"/>
    <w:rsid w:val="00D23E66"/>
    <w:rsid w:val="00D242AB"/>
    <w:rsid w:val="00D258B5"/>
    <w:rsid w:val="00D25A1D"/>
    <w:rsid w:val="00D25E12"/>
    <w:rsid w:val="00D26190"/>
    <w:rsid w:val="00D26A8B"/>
    <w:rsid w:val="00D26FD8"/>
    <w:rsid w:val="00D2715E"/>
    <w:rsid w:val="00D27820"/>
    <w:rsid w:val="00D278F1"/>
    <w:rsid w:val="00D27A64"/>
    <w:rsid w:val="00D27E1D"/>
    <w:rsid w:val="00D27F28"/>
    <w:rsid w:val="00D306B6"/>
    <w:rsid w:val="00D309E9"/>
    <w:rsid w:val="00D30B2E"/>
    <w:rsid w:val="00D30E38"/>
    <w:rsid w:val="00D3115A"/>
    <w:rsid w:val="00D314EA"/>
    <w:rsid w:val="00D31532"/>
    <w:rsid w:val="00D3159A"/>
    <w:rsid w:val="00D316A1"/>
    <w:rsid w:val="00D31860"/>
    <w:rsid w:val="00D319F2"/>
    <w:rsid w:val="00D31A05"/>
    <w:rsid w:val="00D31D28"/>
    <w:rsid w:val="00D31FEE"/>
    <w:rsid w:val="00D3202B"/>
    <w:rsid w:val="00D3285B"/>
    <w:rsid w:val="00D329F1"/>
    <w:rsid w:val="00D32B1C"/>
    <w:rsid w:val="00D32B4B"/>
    <w:rsid w:val="00D32E17"/>
    <w:rsid w:val="00D32F00"/>
    <w:rsid w:val="00D3328F"/>
    <w:rsid w:val="00D33EF5"/>
    <w:rsid w:val="00D340DD"/>
    <w:rsid w:val="00D34770"/>
    <w:rsid w:val="00D34FFA"/>
    <w:rsid w:val="00D350E5"/>
    <w:rsid w:val="00D3515C"/>
    <w:rsid w:val="00D35547"/>
    <w:rsid w:val="00D355F0"/>
    <w:rsid w:val="00D3587E"/>
    <w:rsid w:val="00D360FD"/>
    <w:rsid w:val="00D36987"/>
    <w:rsid w:val="00D37051"/>
    <w:rsid w:val="00D37899"/>
    <w:rsid w:val="00D37A29"/>
    <w:rsid w:val="00D37D4F"/>
    <w:rsid w:val="00D37F78"/>
    <w:rsid w:val="00D41AFE"/>
    <w:rsid w:val="00D41BF6"/>
    <w:rsid w:val="00D41E2E"/>
    <w:rsid w:val="00D41EA8"/>
    <w:rsid w:val="00D43052"/>
    <w:rsid w:val="00D437B4"/>
    <w:rsid w:val="00D4385E"/>
    <w:rsid w:val="00D43AC8"/>
    <w:rsid w:val="00D43B93"/>
    <w:rsid w:val="00D4424B"/>
    <w:rsid w:val="00D44624"/>
    <w:rsid w:val="00D448D1"/>
    <w:rsid w:val="00D44A19"/>
    <w:rsid w:val="00D452C9"/>
    <w:rsid w:val="00D467B8"/>
    <w:rsid w:val="00D46DA7"/>
    <w:rsid w:val="00D4726A"/>
    <w:rsid w:val="00D47436"/>
    <w:rsid w:val="00D4786E"/>
    <w:rsid w:val="00D47B61"/>
    <w:rsid w:val="00D47B68"/>
    <w:rsid w:val="00D50123"/>
    <w:rsid w:val="00D50879"/>
    <w:rsid w:val="00D50A50"/>
    <w:rsid w:val="00D50D13"/>
    <w:rsid w:val="00D51244"/>
    <w:rsid w:val="00D51610"/>
    <w:rsid w:val="00D51E63"/>
    <w:rsid w:val="00D5207A"/>
    <w:rsid w:val="00D52443"/>
    <w:rsid w:val="00D524E2"/>
    <w:rsid w:val="00D5259B"/>
    <w:rsid w:val="00D52B0A"/>
    <w:rsid w:val="00D52E3A"/>
    <w:rsid w:val="00D53130"/>
    <w:rsid w:val="00D531C1"/>
    <w:rsid w:val="00D53306"/>
    <w:rsid w:val="00D537AD"/>
    <w:rsid w:val="00D53E08"/>
    <w:rsid w:val="00D54098"/>
    <w:rsid w:val="00D542DC"/>
    <w:rsid w:val="00D548BE"/>
    <w:rsid w:val="00D54AAC"/>
    <w:rsid w:val="00D54F46"/>
    <w:rsid w:val="00D54F67"/>
    <w:rsid w:val="00D56113"/>
    <w:rsid w:val="00D56232"/>
    <w:rsid w:val="00D563BA"/>
    <w:rsid w:val="00D56C23"/>
    <w:rsid w:val="00D57754"/>
    <w:rsid w:val="00D578BC"/>
    <w:rsid w:val="00D57912"/>
    <w:rsid w:val="00D6007E"/>
    <w:rsid w:val="00D6008B"/>
    <w:rsid w:val="00D605AE"/>
    <w:rsid w:val="00D60D45"/>
    <w:rsid w:val="00D61438"/>
    <w:rsid w:val="00D61446"/>
    <w:rsid w:val="00D61903"/>
    <w:rsid w:val="00D61C30"/>
    <w:rsid w:val="00D61EF8"/>
    <w:rsid w:val="00D6220D"/>
    <w:rsid w:val="00D628F7"/>
    <w:rsid w:val="00D63CC9"/>
    <w:rsid w:val="00D643AE"/>
    <w:rsid w:val="00D643F4"/>
    <w:rsid w:val="00D648D2"/>
    <w:rsid w:val="00D648DF"/>
    <w:rsid w:val="00D650EB"/>
    <w:rsid w:val="00D651D0"/>
    <w:rsid w:val="00D662E5"/>
    <w:rsid w:val="00D6681B"/>
    <w:rsid w:val="00D6694A"/>
    <w:rsid w:val="00D66997"/>
    <w:rsid w:val="00D66BB0"/>
    <w:rsid w:val="00D671B2"/>
    <w:rsid w:val="00D671C8"/>
    <w:rsid w:val="00D67748"/>
    <w:rsid w:val="00D67967"/>
    <w:rsid w:val="00D67F1F"/>
    <w:rsid w:val="00D700FA"/>
    <w:rsid w:val="00D701A6"/>
    <w:rsid w:val="00D7089A"/>
    <w:rsid w:val="00D709A1"/>
    <w:rsid w:val="00D712DD"/>
    <w:rsid w:val="00D71B9B"/>
    <w:rsid w:val="00D71BED"/>
    <w:rsid w:val="00D71E31"/>
    <w:rsid w:val="00D726E4"/>
    <w:rsid w:val="00D72837"/>
    <w:rsid w:val="00D72C7E"/>
    <w:rsid w:val="00D732FB"/>
    <w:rsid w:val="00D7394A"/>
    <w:rsid w:val="00D73C07"/>
    <w:rsid w:val="00D73E67"/>
    <w:rsid w:val="00D74431"/>
    <w:rsid w:val="00D749AE"/>
    <w:rsid w:val="00D74A9B"/>
    <w:rsid w:val="00D74D55"/>
    <w:rsid w:val="00D74EFF"/>
    <w:rsid w:val="00D751FE"/>
    <w:rsid w:val="00D754C8"/>
    <w:rsid w:val="00D7580B"/>
    <w:rsid w:val="00D75921"/>
    <w:rsid w:val="00D75947"/>
    <w:rsid w:val="00D762C9"/>
    <w:rsid w:val="00D76625"/>
    <w:rsid w:val="00D767B3"/>
    <w:rsid w:val="00D76906"/>
    <w:rsid w:val="00D77166"/>
    <w:rsid w:val="00D7733C"/>
    <w:rsid w:val="00D7749B"/>
    <w:rsid w:val="00D77B67"/>
    <w:rsid w:val="00D77EA3"/>
    <w:rsid w:val="00D77FB3"/>
    <w:rsid w:val="00D8002E"/>
    <w:rsid w:val="00D80086"/>
    <w:rsid w:val="00D80993"/>
    <w:rsid w:val="00D80AF6"/>
    <w:rsid w:val="00D80B7B"/>
    <w:rsid w:val="00D80C41"/>
    <w:rsid w:val="00D80E2C"/>
    <w:rsid w:val="00D80F62"/>
    <w:rsid w:val="00D81052"/>
    <w:rsid w:val="00D81DD7"/>
    <w:rsid w:val="00D82342"/>
    <w:rsid w:val="00D82724"/>
    <w:rsid w:val="00D82928"/>
    <w:rsid w:val="00D830A7"/>
    <w:rsid w:val="00D833D9"/>
    <w:rsid w:val="00D834D5"/>
    <w:rsid w:val="00D8389E"/>
    <w:rsid w:val="00D83BD9"/>
    <w:rsid w:val="00D83C52"/>
    <w:rsid w:val="00D83DC1"/>
    <w:rsid w:val="00D83E89"/>
    <w:rsid w:val="00D83EDC"/>
    <w:rsid w:val="00D8405C"/>
    <w:rsid w:val="00D84561"/>
    <w:rsid w:val="00D84895"/>
    <w:rsid w:val="00D84C0E"/>
    <w:rsid w:val="00D84D69"/>
    <w:rsid w:val="00D85122"/>
    <w:rsid w:val="00D85560"/>
    <w:rsid w:val="00D85CE0"/>
    <w:rsid w:val="00D8626E"/>
    <w:rsid w:val="00D865D8"/>
    <w:rsid w:val="00D86622"/>
    <w:rsid w:val="00D86653"/>
    <w:rsid w:val="00D8667D"/>
    <w:rsid w:val="00D86F00"/>
    <w:rsid w:val="00D871BA"/>
    <w:rsid w:val="00D87379"/>
    <w:rsid w:val="00D8746F"/>
    <w:rsid w:val="00D8774D"/>
    <w:rsid w:val="00D878A8"/>
    <w:rsid w:val="00D87E92"/>
    <w:rsid w:val="00D90473"/>
    <w:rsid w:val="00D90558"/>
    <w:rsid w:val="00D90600"/>
    <w:rsid w:val="00D90867"/>
    <w:rsid w:val="00D90CDB"/>
    <w:rsid w:val="00D9106A"/>
    <w:rsid w:val="00D9159B"/>
    <w:rsid w:val="00D92016"/>
    <w:rsid w:val="00D92926"/>
    <w:rsid w:val="00D92D66"/>
    <w:rsid w:val="00D93181"/>
    <w:rsid w:val="00D93535"/>
    <w:rsid w:val="00D93BF4"/>
    <w:rsid w:val="00D93CAD"/>
    <w:rsid w:val="00D93FE7"/>
    <w:rsid w:val="00D93FF0"/>
    <w:rsid w:val="00D94487"/>
    <w:rsid w:val="00D9461E"/>
    <w:rsid w:val="00D94B58"/>
    <w:rsid w:val="00D94DCF"/>
    <w:rsid w:val="00D94EAE"/>
    <w:rsid w:val="00D95226"/>
    <w:rsid w:val="00D95561"/>
    <w:rsid w:val="00D95710"/>
    <w:rsid w:val="00D958CF"/>
    <w:rsid w:val="00D96224"/>
    <w:rsid w:val="00D96294"/>
    <w:rsid w:val="00D9666B"/>
    <w:rsid w:val="00D96729"/>
    <w:rsid w:val="00D96B26"/>
    <w:rsid w:val="00D96C11"/>
    <w:rsid w:val="00D96D55"/>
    <w:rsid w:val="00D96D58"/>
    <w:rsid w:val="00D96E15"/>
    <w:rsid w:val="00D96FEF"/>
    <w:rsid w:val="00D97EA5"/>
    <w:rsid w:val="00DA0232"/>
    <w:rsid w:val="00DA02B5"/>
    <w:rsid w:val="00DA0859"/>
    <w:rsid w:val="00DA1AC5"/>
    <w:rsid w:val="00DA2373"/>
    <w:rsid w:val="00DA264B"/>
    <w:rsid w:val="00DA3120"/>
    <w:rsid w:val="00DA3307"/>
    <w:rsid w:val="00DA3DB1"/>
    <w:rsid w:val="00DA3FF4"/>
    <w:rsid w:val="00DA40AF"/>
    <w:rsid w:val="00DA4137"/>
    <w:rsid w:val="00DA4243"/>
    <w:rsid w:val="00DA4972"/>
    <w:rsid w:val="00DA4D94"/>
    <w:rsid w:val="00DA5449"/>
    <w:rsid w:val="00DA56D4"/>
    <w:rsid w:val="00DA586F"/>
    <w:rsid w:val="00DA6935"/>
    <w:rsid w:val="00DA7AD9"/>
    <w:rsid w:val="00DA7CC0"/>
    <w:rsid w:val="00DB07F3"/>
    <w:rsid w:val="00DB08DA"/>
    <w:rsid w:val="00DB09BC"/>
    <w:rsid w:val="00DB09E9"/>
    <w:rsid w:val="00DB0A03"/>
    <w:rsid w:val="00DB0B13"/>
    <w:rsid w:val="00DB131A"/>
    <w:rsid w:val="00DB1780"/>
    <w:rsid w:val="00DB19D9"/>
    <w:rsid w:val="00DB1DDC"/>
    <w:rsid w:val="00DB28D8"/>
    <w:rsid w:val="00DB2C25"/>
    <w:rsid w:val="00DB3280"/>
    <w:rsid w:val="00DB3756"/>
    <w:rsid w:val="00DB422B"/>
    <w:rsid w:val="00DB45EE"/>
    <w:rsid w:val="00DB4F79"/>
    <w:rsid w:val="00DB5422"/>
    <w:rsid w:val="00DB56EB"/>
    <w:rsid w:val="00DB5981"/>
    <w:rsid w:val="00DB5C64"/>
    <w:rsid w:val="00DB5E34"/>
    <w:rsid w:val="00DB62F0"/>
    <w:rsid w:val="00DB65AC"/>
    <w:rsid w:val="00DB672C"/>
    <w:rsid w:val="00DB6872"/>
    <w:rsid w:val="00DB6B48"/>
    <w:rsid w:val="00DB6EF2"/>
    <w:rsid w:val="00DB7223"/>
    <w:rsid w:val="00DB77DB"/>
    <w:rsid w:val="00DB7F09"/>
    <w:rsid w:val="00DC00E8"/>
    <w:rsid w:val="00DC06C1"/>
    <w:rsid w:val="00DC1582"/>
    <w:rsid w:val="00DC177A"/>
    <w:rsid w:val="00DC18F2"/>
    <w:rsid w:val="00DC1B0A"/>
    <w:rsid w:val="00DC1C56"/>
    <w:rsid w:val="00DC2004"/>
    <w:rsid w:val="00DC25E5"/>
    <w:rsid w:val="00DC2691"/>
    <w:rsid w:val="00DC2D6F"/>
    <w:rsid w:val="00DC3395"/>
    <w:rsid w:val="00DC34B0"/>
    <w:rsid w:val="00DC3752"/>
    <w:rsid w:val="00DC37A6"/>
    <w:rsid w:val="00DC3981"/>
    <w:rsid w:val="00DC4756"/>
    <w:rsid w:val="00DC47EF"/>
    <w:rsid w:val="00DC4A0B"/>
    <w:rsid w:val="00DC5595"/>
    <w:rsid w:val="00DC594C"/>
    <w:rsid w:val="00DC5A63"/>
    <w:rsid w:val="00DC6012"/>
    <w:rsid w:val="00DC6120"/>
    <w:rsid w:val="00DC6379"/>
    <w:rsid w:val="00DC66D2"/>
    <w:rsid w:val="00DC6AA2"/>
    <w:rsid w:val="00DC6AAD"/>
    <w:rsid w:val="00DC713D"/>
    <w:rsid w:val="00DC716E"/>
    <w:rsid w:val="00DC72E4"/>
    <w:rsid w:val="00DC74E0"/>
    <w:rsid w:val="00DC758E"/>
    <w:rsid w:val="00DC78C5"/>
    <w:rsid w:val="00DC7C86"/>
    <w:rsid w:val="00DC7EA2"/>
    <w:rsid w:val="00DC7ED0"/>
    <w:rsid w:val="00DD0262"/>
    <w:rsid w:val="00DD0F1B"/>
    <w:rsid w:val="00DD0F7C"/>
    <w:rsid w:val="00DD1752"/>
    <w:rsid w:val="00DD1BE0"/>
    <w:rsid w:val="00DD1C94"/>
    <w:rsid w:val="00DD20AE"/>
    <w:rsid w:val="00DD2946"/>
    <w:rsid w:val="00DD2BFC"/>
    <w:rsid w:val="00DD2D0A"/>
    <w:rsid w:val="00DD2EB8"/>
    <w:rsid w:val="00DD30AB"/>
    <w:rsid w:val="00DD3268"/>
    <w:rsid w:val="00DD32AC"/>
    <w:rsid w:val="00DD3521"/>
    <w:rsid w:val="00DD36DD"/>
    <w:rsid w:val="00DD3D64"/>
    <w:rsid w:val="00DD3FAE"/>
    <w:rsid w:val="00DD4953"/>
    <w:rsid w:val="00DD4B43"/>
    <w:rsid w:val="00DD510B"/>
    <w:rsid w:val="00DD550F"/>
    <w:rsid w:val="00DD5A52"/>
    <w:rsid w:val="00DD5B62"/>
    <w:rsid w:val="00DD610F"/>
    <w:rsid w:val="00DD6194"/>
    <w:rsid w:val="00DD628F"/>
    <w:rsid w:val="00DD6DCE"/>
    <w:rsid w:val="00DD7FE4"/>
    <w:rsid w:val="00DE00DF"/>
    <w:rsid w:val="00DE0291"/>
    <w:rsid w:val="00DE0348"/>
    <w:rsid w:val="00DE08EC"/>
    <w:rsid w:val="00DE0C9B"/>
    <w:rsid w:val="00DE10AA"/>
    <w:rsid w:val="00DE17F8"/>
    <w:rsid w:val="00DE1898"/>
    <w:rsid w:val="00DE19C4"/>
    <w:rsid w:val="00DE1B1A"/>
    <w:rsid w:val="00DE1DB0"/>
    <w:rsid w:val="00DE2763"/>
    <w:rsid w:val="00DE345F"/>
    <w:rsid w:val="00DE36EB"/>
    <w:rsid w:val="00DE3A53"/>
    <w:rsid w:val="00DE3C77"/>
    <w:rsid w:val="00DE3DC0"/>
    <w:rsid w:val="00DE3E33"/>
    <w:rsid w:val="00DE445D"/>
    <w:rsid w:val="00DE4EDA"/>
    <w:rsid w:val="00DE582D"/>
    <w:rsid w:val="00DE595C"/>
    <w:rsid w:val="00DE5EED"/>
    <w:rsid w:val="00DE613A"/>
    <w:rsid w:val="00DE625A"/>
    <w:rsid w:val="00DE6524"/>
    <w:rsid w:val="00DE68A1"/>
    <w:rsid w:val="00DE6A00"/>
    <w:rsid w:val="00DE6A43"/>
    <w:rsid w:val="00DE70F1"/>
    <w:rsid w:val="00DF00AA"/>
    <w:rsid w:val="00DF081B"/>
    <w:rsid w:val="00DF1430"/>
    <w:rsid w:val="00DF1776"/>
    <w:rsid w:val="00DF17EF"/>
    <w:rsid w:val="00DF19AD"/>
    <w:rsid w:val="00DF1B47"/>
    <w:rsid w:val="00DF1EEE"/>
    <w:rsid w:val="00DF21C6"/>
    <w:rsid w:val="00DF288E"/>
    <w:rsid w:val="00DF2BD7"/>
    <w:rsid w:val="00DF2CC7"/>
    <w:rsid w:val="00DF2F36"/>
    <w:rsid w:val="00DF32CD"/>
    <w:rsid w:val="00DF3598"/>
    <w:rsid w:val="00DF3A83"/>
    <w:rsid w:val="00DF422D"/>
    <w:rsid w:val="00DF4925"/>
    <w:rsid w:val="00DF4F21"/>
    <w:rsid w:val="00DF4F28"/>
    <w:rsid w:val="00DF4FE9"/>
    <w:rsid w:val="00DF58D5"/>
    <w:rsid w:val="00DF63C0"/>
    <w:rsid w:val="00DF63EA"/>
    <w:rsid w:val="00DF6BD1"/>
    <w:rsid w:val="00DF6D13"/>
    <w:rsid w:val="00DF6F61"/>
    <w:rsid w:val="00DF7513"/>
    <w:rsid w:val="00DF772F"/>
    <w:rsid w:val="00DF7792"/>
    <w:rsid w:val="00DF7C01"/>
    <w:rsid w:val="00DF7F45"/>
    <w:rsid w:val="00E0039D"/>
    <w:rsid w:val="00E0153D"/>
    <w:rsid w:val="00E0180E"/>
    <w:rsid w:val="00E01872"/>
    <w:rsid w:val="00E0259F"/>
    <w:rsid w:val="00E02612"/>
    <w:rsid w:val="00E02F4A"/>
    <w:rsid w:val="00E03934"/>
    <w:rsid w:val="00E03DCC"/>
    <w:rsid w:val="00E03E77"/>
    <w:rsid w:val="00E03FA2"/>
    <w:rsid w:val="00E041CF"/>
    <w:rsid w:val="00E04D91"/>
    <w:rsid w:val="00E0584B"/>
    <w:rsid w:val="00E05FDA"/>
    <w:rsid w:val="00E06169"/>
    <w:rsid w:val="00E061F2"/>
    <w:rsid w:val="00E06286"/>
    <w:rsid w:val="00E06C42"/>
    <w:rsid w:val="00E06D88"/>
    <w:rsid w:val="00E0781F"/>
    <w:rsid w:val="00E07846"/>
    <w:rsid w:val="00E1002C"/>
    <w:rsid w:val="00E101C6"/>
    <w:rsid w:val="00E10CBC"/>
    <w:rsid w:val="00E10DFE"/>
    <w:rsid w:val="00E10EAD"/>
    <w:rsid w:val="00E10FCD"/>
    <w:rsid w:val="00E11100"/>
    <w:rsid w:val="00E11DF6"/>
    <w:rsid w:val="00E121D8"/>
    <w:rsid w:val="00E129D1"/>
    <w:rsid w:val="00E13272"/>
    <w:rsid w:val="00E13828"/>
    <w:rsid w:val="00E1460D"/>
    <w:rsid w:val="00E14825"/>
    <w:rsid w:val="00E1498C"/>
    <w:rsid w:val="00E150E9"/>
    <w:rsid w:val="00E1531B"/>
    <w:rsid w:val="00E153F6"/>
    <w:rsid w:val="00E15939"/>
    <w:rsid w:val="00E15A06"/>
    <w:rsid w:val="00E16E88"/>
    <w:rsid w:val="00E16EF9"/>
    <w:rsid w:val="00E175B4"/>
    <w:rsid w:val="00E17B22"/>
    <w:rsid w:val="00E20044"/>
    <w:rsid w:val="00E2025B"/>
    <w:rsid w:val="00E20681"/>
    <w:rsid w:val="00E206E5"/>
    <w:rsid w:val="00E2131F"/>
    <w:rsid w:val="00E2162B"/>
    <w:rsid w:val="00E21992"/>
    <w:rsid w:val="00E21EC9"/>
    <w:rsid w:val="00E21FBD"/>
    <w:rsid w:val="00E220EC"/>
    <w:rsid w:val="00E22888"/>
    <w:rsid w:val="00E22D51"/>
    <w:rsid w:val="00E23CE8"/>
    <w:rsid w:val="00E23ED4"/>
    <w:rsid w:val="00E24238"/>
    <w:rsid w:val="00E24C89"/>
    <w:rsid w:val="00E25048"/>
    <w:rsid w:val="00E25203"/>
    <w:rsid w:val="00E254FF"/>
    <w:rsid w:val="00E2564D"/>
    <w:rsid w:val="00E2565F"/>
    <w:rsid w:val="00E262BC"/>
    <w:rsid w:val="00E26B5F"/>
    <w:rsid w:val="00E26C62"/>
    <w:rsid w:val="00E2771C"/>
    <w:rsid w:val="00E27B14"/>
    <w:rsid w:val="00E27F85"/>
    <w:rsid w:val="00E302CA"/>
    <w:rsid w:val="00E305E6"/>
    <w:rsid w:val="00E30C34"/>
    <w:rsid w:val="00E30EE8"/>
    <w:rsid w:val="00E3233E"/>
    <w:rsid w:val="00E325B2"/>
    <w:rsid w:val="00E32988"/>
    <w:rsid w:val="00E32AEF"/>
    <w:rsid w:val="00E3315E"/>
    <w:rsid w:val="00E337C0"/>
    <w:rsid w:val="00E338F8"/>
    <w:rsid w:val="00E33E0F"/>
    <w:rsid w:val="00E34345"/>
    <w:rsid w:val="00E349A7"/>
    <w:rsid w:val="00E34C12"/>
    <w:rsid w:val="00E350C7"/>
    <w:rsid w:val="00E35C96"/>
    <w:rsid w:val="00E365E2"/>
    <w:rsid w:val="00E367DC"/>
    <w:rsid w:val="00E3685C"/>
    <w:rsid w:val="00E368E1"/>
    <w:rsid w:val="00E36B31"/>
    <w:rsid w:val="00E36D91"/>
    <w:rsid w:val="00E37432"/>
    <w:rsid w:val="00E37476"/>
    <w:rsid w:val="00E37E1E"/>
    <w:rsid w:val="00E37F11"/>
    <w:rsid w:val="00E4069C"/>
    <w:rsid w:val="00E40E01"/>
    <w:rsid w:val="00E40E0C"/>
    <w:rsid w:val="00E41168"/>
    <w:rsid w:val="00E411DA"/>
    <w:rsid w:val="00E4182A"/>
    <w:rsid w:val="00E427B6"/>
    <w:rsid w:val="00E4297F"/>
    <w:rsid w:val="00E42A4E"/>
    <w:rsid w:val="00E42E99"/>
    <w:rsid w:val="00E43626"/>
    <w:rsid w:val="00E43C91"/>
    <w:rsid w:val="00E44292"/>
    <w:rsid w:val="00E44593"/>
    <w:rsid w:val="00E44C0B"/>
    <w:rsid w:val="00E44EA7"/>
    <w:rsid w:val="00E44EAB"/>
    <w:rsid w:val="00E4528F"/>
    <w:rsid w:val="00E45AE5"/>
    <w:rsid w:val="00E4619B"/>
    <w:rsid w:val="00E4685D"/>
    <w:rsid w:val="00E4698E"/>
    <w:rsid w:val="00E46A1B"/>
    <w:rsid w:val="00E47C68"/>
    <w:rsid w:val="00E5081C"/>
    <w:rsid w:val="00E50BB8"/>
    <w:rsid w:val="00E50E7C"/>
    <w:rsid w:val="00E511BC"/>
    <w:rsid w:val="00E51545"/>
    <w:rsid w:val="00E51D9E"/>
    <w:rsid w:val="00E51E83"/>
    <w:rsid w:val="00E51EEF"/>
    <w:rsid w:val="00E5225D"/>
    <w:rsid w:val="00E523FF"/>
    <w:rsid w:val="00E52439"/>
    <w:rsid w:val="00E52A31"/>
    <w:rsid w:val="00E52A4A"/>
    <w:rsid w:val="00E52D50"/>
    <w:rsid w:val="00E532F2"/>
    <w:rsid w:val="00E536C3"/>
    <w:rsid w:val="00E537D1"/>
    <w:rsid w:val="00E54B38"/>
    <w:rsid w:val="00E54BDB"/>
    <w:rsid w:val="00E54E63"/>
    <w:rsid w:val="00E54EA8"/>
    <w:rsid w:val="00E550EC"/>
    <w:rsid w:val="00E552C2"/>
    <w:rsid w:val="00E55A2A"/>
    <w:rsid w:val="00E567E6"/>
    <w:rsid w:val="00E56971"/>
    <w:rsid w:val="00E571DC"/>
    <w:rsid w:val="00E60942"/>
    <w:rsid w:val="00E60FB4"/>
    <w:rsid w:val="00E61482"/>
    <w:rsid w:val="00E61484"/>
    <w:rsid w:val="00E614FF"/>
    <w:rsid w:val="00E61525"/>
    <w:rsid w:val="00E61603"/>
    <w:rsid w:val="00E61739"/>
    <w:rsid w:val="00E61B45"/>
    <w:rsid w:val="00E61DFD"/>
    <w:rsid w:val="00E61FCA"/>
    <w:rsid w:val="00E62358"/>
    <w:rsid w:val="00E62471"/>
    <w:rsid w:val="00E62827"/>
    <w:rsid w:val="00E630CE"/>
    <w:rsid w:val="00E6323B"/>
    <w:rsid w:val="00E632D3"/>
    <w:rsid w:val="00E634C3"/>
    <w:rsid w:val="00E63650"/>
    <w:rsid w:val="00E6382A"/>
    <w:rsid w:val="00E64319"/>
    <w:rsid w:val="00E64369"/>
    <w:rsid w:val="00E64C6C"/>
    <w:rsid w:val="00E64FEB"/>
    <w:rsid w:val="00E65271"/>
    <w:rsid w:val="00E65546"/>
    <w:rsid w:val="00E658F5"/>
    <w:rsid w:val="00E6617E"/>
    <w:rsid w:val="00E66428"/>
    <w:rsid w:val="00E66614"/>
    <w:rsid w:val="00E669D4"/>
    <w:rsid w:val="00E66BDC"/>
    <w:rsid w:val="00E66D8F"/>
    <w:rsid w:val="00E671B8"/>
    <w:rsid w:val="00E67572"/>
    <w:rsid w:val="00E67730"/>
    <w:rsid w:val="00E67BE1"/>
    <w:rsid w:val="00E7017C"/>
    <w:rsid w:val="00E702FC"/>
    <w:rsid w:val="00E7049E"/>
    <w:rsid w:val="00E704D9"/>
    <w:rsid w:val="00E70A67"/>
    <w:rsid w:val="00E711D7"/>
    <w:rsid w:val="00E713DC"/>
    <w:rsid w:val="00E7172A"/>
    <w:rsid w:val="00E718A3"/>
    <w:rsid w:val="00E71D9F"/>
    <w:rsid w:val="00E721D0"/>
    <w:rsid w:val="00E721D2"/>
    <w:rsid w:val="00E72284"/>
    <w:rsid w:val="00E72B81"/>
    <w:rsid w:val="00E72DDD"/>
    <w:rsid w:val="00E737D5"/>
    <w:rsid w:val="00E738FA"/>
    <w:rsid w:val="00E739E3"/>
    <w:rsid w:val="00E73B26"/>
    <w:rsid w:val="00E73BEF"/>
    <w:rsid w:val="00E74084"/>
    <w:rsid w:val="00E74D27"/>
    <w:rsid w:val="00E7532C"/>
    <w:rsid w:val="00E75518"/>
    <w:rsid w:val="00E756F8"/>
    <w:rsid w:val="00E75888"/>
    <w:rsid w:val="00E75C24"/>
    <w:rsid w:val="00E75CD8"/>
    <w:rsid w:val="00E764A0"/>
    <w:rsid w:val="00E775BB"/>
    <w:rsid w:val="00E776A7"/>
    <w:rsid w:val="00E778C0"/>
    <w:rsid w:val="00E77A55"/>
    <w:rsid w:val="00E77CBB"/>
    <w:rsid w:val="00E80122"/>
    <w:rsid w:val="00E8034F"/>
    <w:rsid w:val="00E80789"/>
    <w:rsid w:val="00E809A2"/>
    <w:rsid w:val="00E80AA9"/>
    <w:rsid w:val="00E80C5F"/>
    <w:rsid w:val="00E80F2D"/>
    <w:rsid w:val="00E815E1"/>
    <w:rsid w:val="00E822A9"/>
    <w:rsid w:val="00E82520"/>
    <w:rsid w:val="00E8256E"/>
    <w:rsid w:val="00E82F1C"/>
    <w:rsid w:val="00E83117"/>
    <w:rsid w:val="00E83299"/>
    <w:rsid w:val="00E841F6"/>
    <w:rsid w:val="00E84923"/>
    <w:rsid w:val="00E85EC5"/>
    <w:rsid w:val="00E8612C"/>
    <w:rsid w:val="00E861EA"/>
    <w:rsid w:val="00E864B4"/>
    <w:rsid w:val="00E86AA4"/>
    <w:rsid w:val="00E86FA1"/>
    <w:rsid w:val="00E876E2"/>
    <w:rsid w:val="00E902B0"/>
    <w:rsid w:val="00E902E8"/>
    <w:rsid w:val="00E90DC1"/>
    <w:rsid w:val="00E91459"/>
    <w:rsid w:val="00E9203C"/>
    <w:rsid w:val="00E9296B"/>
    <w:rsid w:val="00E92BDA"/>
    <w:rsid w:val="00E92D33"/>
    <w:rsid w:val="00E9303E"/>
    <w:rsid w:val="00E94000"/>
    <w:rsid w:val="00E94603"/>
    <w:rsid w:val="00E9475D"/>
    <w:rsid w:val="00E94A7E"/>
    <w:rsid w:val="00E94D67"/>
    <w:rsid w:val="00E960EE"/>
    <w:rsid w:val="00E96728"/>
    <w:rsid w:val="00E96ED1"/>
    <w:rsid w:val="00E97C19"/>
    <w:rsid w:val="00EA009D"/>
    <w:rsid w:val="00EA03B9"/>
    <w:rsid w:val="00EA0450"/>
    <w:rsid w:val="00EA04D8"/>
    <w:rsid w:val="00EA0AE0"/>
    <w:rsid w:val="00EA11C5"/>
    <w:rsid w:val="00EA1511"/>
    <w:rsid w:val="00EA1872"/>
    <w:rsid w:val="00EA19D4"/>
    <w:rsid w:val="00EA1D52"/>
    <w:rsid w:val="00EA2319"/>
    <w:rsid w:val="00EA23AC"/>
    <w:rsid w:val="00EA2D7A"/>
    <w:rsid w:val="00EA2F5D"/>
    <w:rsid w:val="00EA314E"/>
    <w:rsid w:val="00EA326B"/>
    <w:rsid w:val="00EA3386"/>
    <w:rsid w:val="00EA382A"/>
    <w:rsid w:val="00EA398F"/>
    <w:rsid w:val="00EA39CB"/>
    <w:rsid w:val="00EA3A7D"/>
    <w:rsid w:val="00EA3BD2"/>
    <w:rsid w:val="00EA4061"/>
    <w:rsid w:val="00EA4DAD"/>
    <w:rsid w:val="00EA5280"/>
    <w:rsid w:val="00EA533E"/>
    <w:rsid w:val="00EA57D9"/>
    <w:rsid w:val="00EA59B2"/>
    <w:rsid w:val="00EA5CCB"/>
    <w:rsid w:val="00EA6149"/>
    <w:rsid w:val="00EA66F5"/>
    <w:rsid w:val="00EA6734"/>
    <w:rsid w:val="00EA67DA"/>
    <w:rsid w:val="00EA6809"/>
    <w:rsid w:val="00EA6CF8"/>
    <w:rsid w:val="00EA74A3"/>
    <w:rsid w:val="00EA7B82"/>
    <w:rsid w:val="00EA7C3D"/>
    <w:rsid w:val="00EB1334"/>
    <w:rsid w:val="00EB1C5D"/>
    <w:rsid w:val="00EB2453"/>
    <w:rsid w:val="00EB2661"/>
    <w:rsid w:val="00EB2D07"/>
    <w:rsid w:val="00EB36EC"/>
    <w:rsid w:val="00EB3E34"/>
    <w:rsid w:val="00EB414C"/>
    <w:rsid w:val="00EB424A"/>
    <w:rsid w:val="00EB42F9"/>
    <w:rsid w:val="00EB450C"/>
    <w:rsid w:val="00EB4B0B"/>
    <w:rsid w:val="00EB4B14"/>
    <w:rsid w:val="00EB4CE1"/>
    <w:rsid w:val="00EB50EF"/>
    <w:rsid w:val="00EB51B5"/>
    <w:rsid w:val="00EB58A3"/>
    <w:rsid w:val="00EB58C6"/>
    <w:rsid w:val="00EB5A15"/>
    <w:rsid w:val="00EB5A21"/>
    <w:rsid w:val="00EB6022"/>
    <w:rsid w:val="00EB618B"/>
    <w:rsid w:val="00EB61D6"/>
    <w:rsid w:val="00EB6356"/>
    <w:rsid w:val="00EB65C1"/>
    <w:rsid w:val="00EB6878"/>
    <w:rsid w:val="00EB6DC0"/>
    <w:rsid w:val="00EB724D"/>
    <w:rsid w:val="00EB79A7"/>
    <w:rsid w:val="00EB7A65"/>
    <w:rsid w:val="00EC06D1"/>
    <w:rsid w:val="00EC06DB"/>
    <w:rsid w:val="00EC0DFD"/>
    <w:rsid w:val="00EC0FFD"/>
    <w:rsid w:val="00EC119A"/>
    <w:rsid w:val="00EC16E2"/>
    <w:rsid w:val="00EC1A48"/>
    <w:rsid w:val="00EC1E0E"/>
    <w:rsid w:val="00EC1FCC"/>
    <w:rsid w:val="00EC236D"/>
    <w:rsid w:val="00EC28DB"/>
    <w:rsid w:val="00EC2AD3"/>
    <w:rsid w:val="00EC3354"/>
    <w:rsid w:val="00EC3BF6"/>
    <w:rsid w:val="00EC3E65"/>
    <w:rsid w:val="00EC3F6D"/>
    <w:rsid w:val="00EC40D3"/>
    <w:rsid w:val="00EC52D6"/>
    <w:rsid w:val="00EC5982"/>
    <w:rsid w:val="00EC5B6E"/>
    <w:rsid w:val="00EC5D68"/>
    <w:rsid w:val="00EC6279"/>
    <w:rsid w:val="00EC6894"/>
    <w:rsid w:val="00EC6B16"/>
    <w:rsid w:val="00EC6BB0"/>
    <w:rsid w:val="00EC73DA"/>
    <w:rsid w:val="00EC741C"/>
    <w:rsid w:val="00EC7657"/>
    <w:rsid w:val="00EC7F56"/>
    <w:rsid w:val="00EC7F6D"/>
    <w:rsid w:val="00ED067D"/>
    <w:rsid w:val="00ED09C9"/>
    <w:rsid w:val="00ED1523"/>
    <w:rsid w:val="00ED2032"/>
    <w:rsid w:val="00ED29F4"/>
    <w:rsid w:val="00ED2BD7"/>
    <w:rsid w:val="00ED2E6F"/>
    <w:rsid w:val="00ED2E90"/>
    <w:rsid w:val="00ED323E"/>
    <w:rsid w:val="00ED3368"/>
    <w:rsid w:val="00ED3369"/>
    <w:rsid w:val="00ED39E5"/>
    <w:rsid w:val="00ED3B73"/>
    <w:rsid w:val="00ED4106"/>
    <w:rsid w:val="00ED44D1"/>
    <w:rsid w:val="00ED4661"/>
    <w:rsid w:val="00ED49EB"/>
    <w:rsid w:val="00ED5168"/>
    <w:rsid w:val="00ED5291"/>
    <w:rsid w:val="00ED5A20"/>
    <w:rsid w:val="00ED5BB1"/>
    <w:rsid w:val="00ED5FEC"/>
    <w:rsid w:val="00ED782B"/>
    <w:rsid w:val="00ED79E9"/>
    <w:rsid w:val="00EE03FC"/>
    <w:rsid w:val="00EE04D8"/>
    <w:rsid w:val="00EE0A9F"/>
    <w:rsid w:val="00EE0C51"/>
    <w:rsid w:val="00EE1447"/>
    <w:rsid w:val="00EE173F"/>
    <w:rsid w:val="00EE1BF1"/>
    <w:rsid w:val="00EE2000"/>
    <w:rsid w:val="00EE2B97"/>
    <w:rsid w:val="00EE312A"/>
    <w:rsid w:val="00EE3AD4"/>
    <w:rsid w:val="00EE3CCE"/>
    <w:rsid w:val="00EE3DCC"/>
    <w:rsid w:val="00EE44A9"/>
    <w:rsid w:val="00EE475F"/>
    <w:rsid w:val="00EE4864"/>
    <w:rsid w:val="00EE4DB4"/>
    <w:rsid w:val="00EE4E16"/>
    <w:rsid w:val="00EE5032"/>
    <w:rsid w:val="00EE548C"/>
    <w:rsid w:val="00EE6CB1"/>
    <w:rsid w:val="00EE7050"/>
    <w:rsid w:val="00EE7722"/>
    <w:rsid w:val="00EE7744"/>
    <w:rsid w:val="00EE78D2"/>
    <w:rsid w:val="00EF026B"/>
    <w:rsid w:val="00EF03DA"/>
    <w:rsid w:val="00EF03E1"/>
    <w:rsid w:val="00EF06C1"/>
    <w:rsid w:val="00EF0D17"/>
    <w:rsid w:val="00EF145E"/>
    <w:rsid w:val="00EF264D"/>
    <w:rsid w:val="00EF2972"/>
    <w:rsid w:val="00EF2BBB"/>
    <w:rsid w:val="00EF3937"/>
    <w:rsid w:val="00EF3CED"/>
    <w:rsid w:val="00EF4451"/>
    <w:rsid w:val="00EF4530"/>
    <w:rsid w:val="00EF4760"/>
    <w:rsid w:val="00EF4E17"/>
    <w:rsid w:val="00EF4FEB"/>
    <w:rsid w:val="00EF553D"/>
    <w:rsid w:val="00EF5741"/>
    <w:rsid w:val="00EF617E"/>
    <w:rsid w:val="00EF6876"/>
    <w:rsid w:val="00EF6A3B"/>
    <w:rsid w:val="00EF6BC6"/>
    <w:rsid w:val="00EF716D"/>
    <w:rsid w:val="00EF75BF"/>
    <w:rsid w:val="00EF7DE1"/>
    <w:rsid w:val="00F00364"/>
    <w:rsid w:val="00F006C5"/>
    <w:rsid w:val="00F0082D"/>
    <w:rsid w:val="00F00D7D"/>
    <w:rsid w:val="00F0126B"/>
    <w:rsid w:val="00F01341"/>
    <w:rsid w:val="00F014DF"/>
    <w:rsid w:val="00F015AB"/>
    <w:rsid w:val="00F01C52"/>
    <w:rsid w:val="00F01F85"/>
    <w:rsid w:val="00F02130"/>
    <w:rsid w:val="00F02485"/>
    <w:rsid w:val="00F02618"/>
    <w:rsid w:val="00F02AD7"/>
    <w:rsid w:val="00F02B90"/>
    <w:rsid w:val="00F03395"/>
    <w:rsid w:val="00F03DB1"/>
    <w:rsid w:val="00F0412B"/>
    <w:rsid w:val="00F042FB"/>
    <w:rsid w:val="00F045E0"/>
    <w:rsid w:val="00F04DE5"/>
    <w:rsid w:val="00F050A1"/>
    <w:rsid w:val="00F052D4"/>
    <w:rsid w:val="00F05823"/>
    <w:rsid w:val="00F05DD5"/>
    <w:rsid w:val="00F066ED"/>
    <w:rsid w:val="00F070AB"/>
    <w:rsid w:val="00F0719A"/>
    <w:rsid w:val="00F07276"/>
    <w:rsid w:val="00F07643"/>
    <w:rsid w:val="00F07749"/>
    <w:rsid w:val="00F0790C"/>
    <w:rsid w:val="00F0794D"/>
    <w:rsid w:val="00F07C90"/>
    <w:rsid w:val="00F07E32"/>
    <w:rsid w:val="00F1020A"/>
    <w:rsid w:val="00F102CD"/>
    <w:rsid w:val="00F108EF"/>
    <w:rsid w:val="00F10BA9"/>
    <w:rsid w:val="00F110C8"/>
    <w:rsid w:val="00F11369"/>
    <w:rsid w:val="00F11922"/>
    <w:rsid w:val="00F11B19"/>
    <w:rsid w:val="00F12CFB"/>
    <w:rsid w:val="00F12DEA"/>
    <w:rsid w:val="00F135D0"/>
    <w:rsid w:val="00F138E4"/>
    <w:rsid w:val="00F13D7F"/>
    <w:rsid w:val="00F13E8C"/>
    <w:rsid w:val="00F14195"/>
    <w:rsid w:val="00F14291"/>
    <w:rsid w:val="00F14512"/>
    <w:rsid w:val="00F14BB0"/>
    <w:rsid w:val="00F14E2A"/>
    <w:rsid w:val="00F154E3"/>
    <w:rsid w:val="00F1573D"/>
    <w:rsid w:val="00F15D37"/>
    <w:rsid w:val="00F162BA"/>
    <w:rsid w:val="00F17422"/>
    <w:rsid w:val="00F176B2"/>
    <w:rsid w:val="00F17EF8"/>
    <w:rsid w:val="00F20006"/>
    <w:rsid w:val="00F204C4"/>
    <w:rsid w:val="00F20D80"/>
    <w:rsid w:val="00F20F8A"/>
    <w:rsid w:val="00F20FB2"/>
    <w:rsid w:val="00F21926"/>
    <w:rsid w:val="00F219FC"/>
    <w:rsid w:val="00F21A0E"/>
    <w:rsid w:val="00F21AC2"/>
    <w:rsid w:val="00F21D44"/>
    <w:rsid w:val="00F22C65"/>
    <w:rsid w:val="00F22DD1"/>
    <w:rsid w:val="00F23269"/>
    <w:rsid w:val="00F23832"/>
    <w:rsid w:val="00F23ABA"/>
    <w:rsid w:val="00F24141"/>
    <w:rsid w:val="00F24619"/>
    <w:rsid w:val="00F247AF"/>
    <w:rsid w:val="00F2514B"/>
    <w:rsid w:val="00F2561F"/>
    <w:rsid w:val="00F260A9"/>
    <w:rsid w:val="00F2644F"/>
    <w:rsid w:val="00F26455"/>
    <w:rsid w:val="00F271EB"/>
    <w:rsid w:val="00F2729A"/>
    <w:rsid w:val="00F27A0F"/>
    <w:rsid w:val="00F27B7F"/>
    <w:rsid w:val="00F27C9A"/>
    <w:rsid w:val="00F27E43"/>
    <w:rsid w:val="00F27E7D"/>
    <w:rsid w:val="00F304A4"/>
    <w:rsid w:val="00F308A3"/>
    <w:rsid w:val="00F30B1C"/>
    <w:rsid w:val="00F30C56"/>
    <w:rsid w:val="00F31CBB"/>
    <w:rsid w:val="00F31CDF"/>
    <w:rsid w:val="00F31E70"/>
    <w:rsid w:val="00F33B28"/>
    <w:rsid w:val="00F33DB8"/>
    <w:rsid w:val="00F340AA"/>
    <w:rsid w:val="00F3418E"/>
    <w:rsid w:val="00F3430B"/>
    <w:rsid w:val="00F3451F"/>
    <w:rsid w:val="00F345AB"/>
    <w:rsid w:val="00F3476C"/>
    <w:rsid w:val="00F34AC4"/>
    <w:rsid w:val="00F350C2"/>
    <w:rsid w:val="00F36115"/>
    <w:rsid w:val="00F364DA"/>
    <w:rsid w:val="00F367B9"/>
    <w:rsid w:val="00F36A60"/>
    <w:rsid w:val="00F37175"/>
    <w:rsid w:val="00F37852"/>
    <w:rsid w:val="00F37B73"/>
    <w:rsid w:val="00F37B83"/>
    <w:rsid w:val="00F37E57"/>
    <w:rsid w:val="00F37F30"/>
    <w:rsid w:val="00F40389"/>
    <w:rsid w:val="00F4082A"/>
    <w:rsid w:val="00F409E2"/>
    <w:rsid w:val="00F40E49"/>
    <w:rsid w:val="00F412C7"/>
    <w:rsid w:val="00F415BC"/>
    <w:rsid w:val="00F4178A"/>
    <w:rsid w:val="00F418DB"/>
    <w:rsid w:val="00F41D99"/>
    <w:rsid w:val="00F41E74"/>
    <w:rsid w:val="00F42282"/>
    <w:rsid w:val="00F42525"/>
    <w:rsid w:val="00F43338"/>
    <w:rsid w:val="00F4381B"/>
    <w:rsid w:val="00F440D6"/>
    <w:rsid w:val="00F446F3"/>
    <w:rsid w:val="00F44B2F"/>
    <w:rsid w:val="00F44CB2"/>
    <w:rsid w:val="00F44F3F"/>
    <w:rsid w:val="00F44FE2"/>
    <w:rsid w:val="00F45130"/>
    <w:rsid w:val="00F4567E"/>
    <w:rsid w:val="00F456A1"/>
    <w:rsid w:val="00F45BA4"/>
    <w:rsid w:val="00F46046"/>
    <w:rsid w:val="00F4619D"/>
    <w:rsid w:val="00F461F3"/>
    <w:rsid w:val="00F464AE"/>
    <w:rsid w:val="00F4656A"/>
    <w:rsid w:val="00F46C7B"/>
    <w:rsid w:val="00F472A7"/>
    <w:rsid w:val="00F47AC0"/>
    <w:rsid w:val="00F47F76"/>
    <w:rsid w:val="00F50093"/>
    <w:rsid w:val="00F50911"/>
    <w:rsid w:val="00F50D2F"/>
    <w:rsid w:val="00F51C45"/>
    <w:rsid w:val="00F51D7F"/>
    <w:rsid w:val="00F5214B"/>
    <w:rsid w:val="00F52226"/>
    <w:rsid w:val="00F52388"/>
    <w:rsid w:val="00F524DD"/>
    <w:rsid w:val="00F52805"/>
    <w:rsid w:val="00F5294E"/>
    <w:rsid w:val="00F52B34"/>
    <w:rsid w:val="00F52B37"/>
    <w:rsid w:val="00F52EED"/>
    <w:rsid w:val="00F53567"/>
    <w:rsid w:val="00F5401D"/>
    <w:rsid w:val="00F5404F"/>
    <w:rsid w:val="00F55126"/>
    <w:rsid w:val="00F55414"/>
    <w:rsid w:val="00F55949"/>
    <w:rsid w:val="00F55AA0"/>
    <w:rsid w:val="00F56C65"/>
    <w:rsid w:val="00F56CF0"/>
    <w:rsid w:val="00F56EC0"/>
    <w:rsid w:val="00F57025"/>
    <w:rsid w:val="00F570F2"/>
    <w:rsid w:val="00F57338"/>
    <w:rsid w:val="00F57BED"/>
    <w:rsid w:val="00F57FCB"/>
    <w:rsid w:val="00F60198"/>
    <w:rsid w:val="00F603F9"/>
    <w:rsid w:val="00F607DA"/>
    <w:rsid w:val="00F60CC0"/>
    <w:rsid w:val="00F60DD0"/>
    <w:rsid w:val="00F60F5D"/>
    <w:rsid w:val="00F61212"/>
    <w:rsid w:val="00F616A5"/>
    <w:rsid w:val="00F61A68"/>
    <w:rsid w:val="00F61B37"/>
    <w:rsid w:val="00F61DA0"/>
    <w:rsid w:val="00F6227E"/>
    <w:rsid w:val="00F62309"/>
    <w:rsid w:val="00F6240F"/>
    <w:rsid w:val="00F63B44"/>
    <w:rsid w:val="00F63B84"/>
    <w:rsid w:val="00F63BA7"/>
    <w:rsid w:val="00F63C62"/>
    <w:rsid w:val="00F64310"/>
    <w:rsid w:val="00F64BE4"/>
    <w:rsid w:val="00F64D23"/>
    <w:rsid w:val="00F65272"/>
    <w:rsid w:val="00F6537B"/>
    <w:rsid w:val="00F65757"/>
    <w:rsid w:val="00F65A2F"/>
    <w:rsid w:val="00F65F2E"/>
    <w:rsid w:val="00F66052"/>
    <w:rsid w:val="00F6622D"/>
    <w:rsid w:val="00F66764"/>
    <w:rsid w:val="00F669C1"/>
    <w:rsid w:val="00F669CD"/>
    <w:rsid w:val="00F66D6D"/>
    <w:rsid w:val="00F6743F"/>
    <w:rsid w:val="00F67ACE"/>
    <w:rsid w:val="00F67AFB"/>
    <w:rsid w:val="00F70293"/>
    <w:rsid w:val="00F70995"/>
    <w:rsid w:val="00F70D79"/>
    <w:rsid w:val="00F70DA4"/>
    <w:rsid w:val="00F70DC8"/>
    <w:rsid w:val="00F71259"/>
    <w:rsid w:val="00F71800"/>
    <w:rsid w:val="00F7187C"/>
    <w:rsid w:val="00F72E60"/>
    <w:rsid w:val="00F732FC"/>
    <w:rsid w:val="00F737DB"/>
    <w:rsid w:val="00F73A3C"/>
    <w:rsid w:val="00F73BCE"/>
    <w:rsid w:val="00F74077"/>
    <w:rsid w:val="00F7409A"/>
    <w:rsid w:val="00F74C8F"/>
    <w:rsid w:val="00F75854"/>
    <w:rsid w:val="00F75AF8"/>
    <w:rsid w:val="00F75FB8"/>
    <w:rsid w:val="00F7613A"/>
    <w:rsid w:val="00F772EB"/>
    <w:rsid w:val="00F77439"/>
    <w:rsid w:val="00F7761D"/>
    <w:rsid w:val="00F779D3"/>
    <w:rsid w:val="00F779F7"/>
    <w:rsid w:val="00F77C22"/>
    <w:rsid w:val="00F80AEF"/>
    <w:rsid w:val="00F819DB"/>
    <w:rsid w:val="00F822DD"/>
    <w:rsid w:val="00F82650"/>
    <w:rsid w:val="00F82746"/>
    <w:rsid w:val="00F82CDC"/>
    <w:rsid w:val="00F83227"/>
    <w:rsid w:val="00F836F9"/>
    <w:rsid w:val="00F8395C"/>
    <w:rsid w:val="00F83DB1"/>
    <w:rsid w:val="00F83DC9"/>
    <w:rsid w:val="00F841DD"/>
    <w:rsid w:val="00F842D7"/>
    <w:rsid w:val="00F84386"/>
    <w:rsid w:val="00F845D7"/>
    <w:rsid w:val="00F848C0"/>
    <w:rsid w:val="00F84AC4"/>
    <w:rsid w:val="00F84B56"/>
    <w:rsid w:val="00F85AC0"/>
    <w:rsid w:val="00F85F4B"/>
    <w:rsid w:val="00F863E5"/>
    <w:rsid w:val="00F865AF"/>
    <w:rsid w:val="00F867A4"/>
    <w:rsid w:val="00F86FBD"/>
    <w:rsid w:val="00F87482"/>
    <w:rsid w:val="00F8752B"/>
    <w:rsid w:val="00F901BF"/>
    <w:rsid w:val="00F90496"/>
    <w:rsid w:val="00F90575"/>
    <w:rsid w:val="00F91507"/>
    <w:rsid w:val="00F92279"/>
    <w:rsid w:val="00F92CA1"/>
    <w:rsid w:val="00F92F8E"/>
    <w:rsid w:val="00F93266"/>
    <w:rsid w:val="00F9350C"/>
    <w:rsid w:val="00F9362E"/>
    <w:rsid w:val="00F93B0D"/>
    <w:rsid w:val="00F940B9"/>
    <w:rsid w:val="00F943FF"/>
    <w:rsid w:val="00F94AE6"/>
    <w:rsid w:val="00F94FAA"/>
    <w:rsid w:val="00F951F9"/>
    <w:rsid w:val="00F95C02"/>
    <w:rsid w:val="00F962E5"/>
    <w:rsid w:val="00F96448"/>
    <w:rsid w:val="00F96523"/>
    <w:rsid w:val="00F96EC2"/>
    <w:rsid w:val="00F971C4"/>
    <w:rsid w:val="00F97404"/>
    <w:rsid w:val="00F97683"/>
    <w:rsid w:val="00F976C5"/>
    <w:rsid w:val="00F97765"/>
    <w:rsid w:val="00FA075D"/>
    <w:rsid w:val="00FA0870"/>
    <w:rsid w:val="00FA0EE9"/>
    <w:rsid w:val="00FA1242"/>
    <w:rsid w:val="00FA1363"/>
    <w:rsid w:val="00FA1617"/>
    <w:rsid w:val="00FA1C3B"/>
    <w:rsid w:val="00FA2055"/>
    <w:rsid w:val="00FA21ED"/>
    <w:rsid w:val="00FA2278"/>
    <w:rsid w:val="00FA2726"/>
    <w:rsid w:val="00FA28FA"/>
    <w:rsid w:val="00FA2DC7"/>
    <w:rsid w:val="00FA3168"/>
    <w:rsid w:val="00FA3236"/>
    <w:rsid w:val="00FA36F5"/>
    <w:rsid w:val="00FA37E3"/>
    <w:rsid w:val="00FA3C70"/>
    <w:rsid w:val="00FA40ED"/>
    <w:rsid w:val="00FA4771"/>
    <w:rsid w:val="00FA492F"/>
    <w:rsid w:val="00FA4C21"/>
    <w:rsid w:val="00FA54D3"/>
    <w:rsid w:val="00FA554E"/>
    <w:rsid w:val="00FA560F"/>
    <w:rsid w:val="00FA6545"/>
    <w:rsid w:val="00FA658B"/>
    <w:rsid w:val="00FA6C13"/>
    <w:rsid w:val="00FA6F85"/>
    <w:rsid w:val="00FA744F"/>
    <w:rsid w:val="00FA753F"/>
    <w:rsid w:val="00FA75F3"/>
    <w:rsid w:val="00FA77CC"/>
    <w:rsid w:val="00FA7C80"/>
    <w:rsid w:val="00FA7E6B"/>
    <w:rsid w:val="00FB03FD"/>
    <w:rsid w:val="00FB08AB"/>
    <w:rsid w:val="00FB0F3E"/>
    <w:rsid w:val="00FB142C"/>
    <w:rsid w:val="00FB16BF"/>
    <w:rsid w:val="00FB1F3E"/>
    <w:rsid w:val="00FB24A9"/>
    <w:rsid w:val="00FB2776"/>
    <w:rsid w:val="00FB283A"/>
    <w:rsid w:val="00FB362C"/>
    <w:rsid w:val="00FB406D"/>
    <w:rsid w:val="00FB4D21"/>
    <w:rsid w:val="00FB4D7D"/>
    <w:rsid w:val="00FB5143"/>
    <w:rsid w:val="00FB5247"/>
    <w:rsid w:val="00FB54BE"/>
    <w:rsid w:val="00FB5EBD"/>
    <w:rsid w:val="00FB6189"/>
    <w:rsid w:val="00FB629B"/>
    <w:rsid w:val="00FB6335"/>
    <w:rsid w:val="00FB672A"/>
    <w:rsid w:val="00FB6750"/>
    <w:rsid w:val="00FB6B19"/>
    <w:rsid w:val="00FB6F21"/>
    <w:rsid w:val="00FB7537"/>
    <w:rsid w:val="00FB762B"/>
    <w:rsid w:val="00FB7C82"/>
    <w:rsid w:val="00FC0649"/>
    <w:rsid w:val="00FC0DE8"/>
    <w:rsid w:val="00FC0EB1"/>
    <w:rsid w:val="00FC1753"/>
    <w:rsid w:val="00FC19B1"/>
    <w:rsid w:val="00FC1C05"/>
    <w:rsid w:val="00FC2249"/>
    <w:rsid w:val="00FC2D4C"/>
    <w:rsid w:val="00FC32B4"/>
    <w:rsid w:val="00FC37EA"/>
    <w:rsid w:val="00FC3E2E"/>
    <w:rsid w:val="00FC3E70"/>
    <w:rsid w:val="00FC445D"/>
    <w:rsid w:val="00FC45DC"/>
    <w:rsid w:val="00FC4A99"/>
    <w:rsid w:val="00FC4B76"/>
    <w:rsid w:val="00FC5164"/>
    <w:rsid w:val="00FC5B28"/>
    <w:rsid w:val="00FC62C1"/>
    <w:rsid w:val="00FC66B5"/>
    <w:rsid w:val="00FC6ADA"/>
    <w:rsid w:val="00FC7070"/>
    <w:rsid w:val="00FC71DB"/>
    <w:rsid w:val="00FC71FF"/>
    <w:rsid w:val="00FC7560"/>
    <w:rsid w:val="00FC7B63"/>
    <w:rsid w:val="00FD016E"/>
    <w:rsid w:val="00FD0626"/>
    <w:rsid w:val="00FD1444"/>
    <w:rsid w:val="00FD1E25"/>
    <w:rsid w:val="00FD23AF"/>
    <w:rsid w:val="00FD2692"/>
    <w:rsid w:val="00FD2978"/>
    <w:rsid w:val="00FD2D00"/>
    <w:rsid w:val="00FD2ED6"/>
    <w:rsid w:val="00FD320E"/>
    <w:rsid w:val="00FD36CE"/>
    <w:rsid w:val="00FD386A"/>
    <w:rsid w:val="00FD3C9A"/>
    <w:rsid w:val="00FD4275"/>
    <w:rsid w:val="00FD4912"/>
    <w:rsid w:val="00FD4E92"/>
    <w:rsid w:val="00FD4F47"/>
    <w:rsid w:val="00FD5C07"/>
    <w:rsid w:val="00FD5FED"/>
    <w:rsid w:val="00FD614B"/>
    <w:rsid w:val="00FD678A"/>
    <w:rsid w:val="00FD6F07"/>
    <w:rsid w:val="00FD6FC0"/>
    <w:rsid w:val="00FD73DA"/>
    <w:rsid w:val="00FD7505"/>
    <w:rsid w:val="00FD7782"/>
    <w:rsid w:val="00FD7AAF"/>
    <w:rsid w:val="00FE030E"/>
    <w:rsid w:val="00FE0317"/>
    <w:rsid w:val="00FE0503"/>
    <w:rsid w:val="00FE0733"/>
    <w:rsid w:val="00FE1100"/>
    <w:rsid w:val="00FE1EDF"/>
    <w:rsid w:val="00FE20D9"/>
    <w:rsid w:val="00FE277D"/>
    <w:rsid w:val="00FE2ED8"/>
    <w:rsid w:val="00FE3FD0"/>
    <w:rsid w:val="00FE425E"/>
    <w:rsid w:val="00FE43BF"/>
    <w:rsid w:val="00FE487A"/>
    <w:rsid w:val="00FE4998"/>
    <w:rsid w:val="00FE4F5A"/>
    <w:rsid w:val="00FE5190"/>
    <w:rsid w:val="00FE52DD"/>
    <w:rsid w:val="00FE578F"/>
    <w:rsid w:val="00FE596F"/>
    <w:rsid w:val="00FE5D89"/>
    <w:rsid w:val="00FE669F"/>
    <w:rsid w:val="00FE6F62"/>
    <w:rsid w:val="00FE7634"/>
    <w:rsid w:val="00FE77CC"/>
    <w:rsid w:val="00FE7B3F"/>
    <w:rsid w:val="00FF0A47"/>
    <w:rsid w:val="00FF1890"/>
    <w:rsid w:val="00FF1CF8"/>
    <w:rsid w:val="00FF1EEB"/>
    <w:rsid w:val="00FF2110"/>
    <w:rsid w:val="00FF23F6"/>
    <w:rsid w:val="00FF297A"/>
    <w:rsid w:val="00FF361B"/>
    <w:rsid w:val="00FF38AC"/>
    <w:rsid w:val="00FF3910"/>
    <w:rsid w:val="00FF3BA3"/>
    <w:rsid w:val="00FF4203"/>
    <w:rsid w:val="00FF4769"/>
    <w:rsid w:val="00FF5418"/>
    <w:rsid w:val="00FF5920"/>
    <w:rsid w:val="00FF5DB2"/>
    <w:rsid w:val="00FF6880"/>
    <w:rsid w:val="00FF6AA3"/>
    <w:rsid w:val="00FF6D3A"/>
    <w:rsid w:val="00FF7CD2"/>
    <w:rsid w:val="00FF7D0E"/>
    <w:rsid w:val="01049B0A"/>
    <w:rsid w:val="0112AEB3"/>
    <w:rsid w:val="01B2F03D"/>
    <w:rsid w:val="0259E0E5"/>
    <w:rsid w:val="027D16F7"/>
    <w:rsid w:val="028FDA41"/>
    <w:rsid w:val="02F5151C"/>
    <w:rsid w:val="02F6430F"/>
    <w:rsid w:val="03194E70"/>
    <w:rsid w:val="0356A83A"/>
    <w:rsid w:val="0359A14E"/>
    <w:rsid w:val="03828E13"/>
    <w:rsid w:val="039B9F29"/>
    <w:rsid w:val="044CA6DC"/>
    <w:rsid w:val="04ADA6AE"/>
    <w:rsid w:val="04D0AA32"/>
    <w:rsid w:val="050A5599"/>
    <w:rsid w:val="058F9401"/>
    <w:rsid w:val="05941F4B"/>
    <w:rsid w:val="05DC7034"/>
    <w:rsid w:val="05E6926B"/>
    <w:rsid w:val="0633A8B6"/>
    <w:rsid w:val="068E48FC"/>
    <w:rsid w:val="069F1162"/>
    <w:rsid w:val="06D1D060"/>
    <w:rsid w:val="07BB22FC"/>
    <w:rsid w:val="08CB2895"/>
    <w:rsid w:val="090F4848"/>
    <w:rsid w:val="09DB9C64"/>
    <w:rsid w:val="0A8B3FA4"/>
    <w:rsid w:val="0AAD7957"/>
    <w:rsid w:val="0AD7C760"/>
    <w:rsid w:val="0BAD60DF"/>
    <w:rsid w:val="0C07A8A9"/>
    <w:rsid w:val="0C36EA16"/>
    <w:rsid w:val="0C686F6A"/>
    <w:rsid w:val="0CC54910"/>
    <w:rsid w:val="0E26D8C1"/>
    <w:rsid w:val="0E725052"/>
    <w:rsid w:val="0F7D4A7F"/>
    <w:rsid w:val="0F7D9AA0"/>
    <w:rsid w:val="0FE681F6"/>
    <w:rsid w:val="10173ECB"/>
    <w:rsid w:val="103451DE"/>
    <w:rsid w:val="10BD121D"/>
    <w:rsid w:val="117D7E9A"/>
    <w:rsid w:val="11A21B9B"/>
    <w:rsid w:val="123AC2EE"/>
    <w:rsid w:val="12A984E9"/>
    <w:rsid w:val="12DC37A4"/>
    <w:rsid w:val="13B6105F"/>
    <w:rsid w:val="13EE59EB"/>
    <w:rsid w:val="14956B3A"/>
    <w:rsid w:val="150F3F43"/>
    <w:rsid w:val="15267C55"/>
    <w:rsid w:val="15AF6026"/>
    <w:rsid w:val="1618AAB6"/>
    <w:rsid w:val="162A4B2F"/>
    <w:rsid w:val="1674C3D6"/>
    <w:rsid w:val="168C589C"/>
    <w:rsid w:val="1786B7F7"/>
    <w:rsid w:val="17A00EAD"/>
    <w:rsid w:val="18D30AFD"/>
    <w:rsid w:val="194C3891"/>
    <w:rsid w:val="1A0F4941"/>
    <w:rsid w:val="1A3EE467"/>
    <w:rsid w:val="1B037DCE"/>
    <w:rsid w:val="1B89D53A"/>
    <w:rsid w:val="1B8F55A8"/>
    <w:rsid w:val="1CC5B2F9"/>
    <w:rsid w:val="1CCD7AA1"/>
    <w:rsid w:val="1D5E6951"/>
    <w:rsid w:val="1E208FED"/>
    <w:rsid w:val="1E58E377"/>
    <w:rsid w:val="1EC4A7C7"/>
    <w:rsid w:val="1ECB733D"/>
    <w:rsid w:val="1F193585"/>
    <w:rsid w:val="1F50A8E1"/>
    <w:rsid w:val="1FE3E50B"/>
    <w:rsid w:val="2005A5E8"/>
    <w:rsid w:val="2029F989"/>
    <w:rsid w:val="20480C26"/>
    <w:rsid w:val="20D78674"/>
    <w:rsid w:val="20F36036"/>
    <w:rsid w:val="20FE9FD2"/>
    <w:rsid w:val="20FFB448"/>
    <w:rsid w:val="211C0CA1"/>
    <w:rsid w:val="21267350"/>
    <w:rsid w:val="21F91F00"/>
    <w:rsid w:val="223A231A"/>
    <w:rsid w:val="2378FD36"/>
    <w:rsid w:val="23793C62"/>
    <w:rsid w:val="23B83957"/>
    <w:rsid w:val="23C7EB44"/>
    <w:rsid w:val="24064418"/>
    <w:rsid w:val="2419B49B"/>
    <w:rsid w:val="24A692C3"/>
    <w:rsid w:val="24ECEC30"/>
    <w:rsid w:val="2516DD6D"/>
    <w:rsid w:val="2589A43E"/>
    <w:rsid w:val="25E4543C"/>
    <w:rsid w:val="2609BE84"/>
    <w:rsid w:val="264D21D7"/>
    <w:rsid w:val="2750CF06"/>
    <w:rsid w:val="27D25A8C"/>
    <w:rsid w:val="28358296"/>
    <w:rsid w:val="2861F79F"/>
    <w:rsid w:val="28C58511"/>
    <w:rsid w:val="29F49C66"/>
    <w:rsid w:val="2B557D0C"/>
    <w:rsid w:val="2C8D3ACA"/>
    <w:rsid w:val="2CB3C6C6"/>
    <w:rsid w:val="2CEF2D6A"/>
    <w:rsid w:val="2D7F47C0"/>
    <w:rsid w:val="2ECF55E6"/>
    <w:rsid w:val="2EF8867A"/>
    <w:rsid w:val="2EFF76E6"/>
    <w:rsid w:val="2F00F951"/>
    <w:rsid w:val="2F4ADDCD"/>
    <w:rsid w:val="2F5B6B23"/>
    <w:rsid w:val="2F93EAE4"/>
    <w:rsid w:val="316980DA"/>
    <w:rsid w:val="319D42C6"/>
    <w:rsid w:val="31D3AE08"/>
    <w:rsid w:val="327EA365"/>
    <w:rsid w:val="32BD8A17"/>
    <w:rsid w:val="32C13857"/>
    <w:rsid w:val="32D0EFFD"/>
    <w:rsid w:val="3338AD3A"/>
    <w:rsid w:val="33D34647"/>
    <w:rsid w:val="346C4B51"/>
    <w:rsid w:val="34BF7ACC"/>
    <w:rsid w:val="34E1A70E"/>
    <w:rsid w:val="34EBA21B"/>
    <w:rsid w:val="353F3DFB"/>
    <w:rsid w:val="35D2348B"/>
    <w:rsid w:val="3681008F"/>
    <w:rsid w:val="36AC651E"/>
    <w:rsid w:val="375FD970"/>
    <w:rsid w:val="377964F2"/>
    <w:rsid w:val="37D71A2A"/>
    <w:rsid w:val="3801E0D5"/>
    <w:rsid w:val="38ACF239"/>
    <w:rsid w:val="38EF46AA"/>
    <w:rsid w:val="398024F4"/>
    <w:rsid w:val="39B1B0E5"/>
    <w:rsid w:val="39FAE775"/>
    <w:rsid w:val="3A7A12A7"/>
    <w:rsid w:val="3AF090EA"/>
    <w:rsid w:val="3B166B2F"/>
    <w:rsid w:val="3BDFDB54"/>
    <w:rsid w:val="3D1CCD00"/>
    <w:rsid w:val="3E132D97"/>
    <w:rsid w:val="3EC0EF8E"/>
    <w:rsid w:val="3F23A166"/>
    <w:rsid w:val="3F5A2CF8"/>
    <w:rsid w:val="3FEB3290"/>
    <w:rsid w:val="403644EC"/>
    <w:rsid w:val="40391DA7"/>
    <w:rsid w:val="40485620"/>
    <w:rsid w:val="40F57647"/>
    <w:rsid w:val="41645B58"/>
    <w:rsid w:val="4186442B"/>
    <w:rsid w:val="419579D1"/>
    <w:rsid w:val="41974F0C"/>
    <w:rsid w:val="41A4931D"/>
    <w:rsid w:val="41DAD567"/>
    <w:rsid w:val="4225ECBE"/>
    <w:rsid w:val="4236D697"/>
    <w:rsid w:val="425096A4"/>
    <w:rsid w:val="4253E26C"/>
    <w:rsid w:val="42791E14"/>
    <w:rsid w:val="42913642"/>
    <w:rsid w:val="430A1B1F"/>
    <w:rsid w:val="4336D8DD"/>
    <w:rsid w:val="4462EDCA"/>
    <w:rsid w:val="44DAA3B7"/>
    <w:rsid w:val="45279797"/>
    <w:rsid w:val="4528B717"/>
    <w:rsid w:val="458C53E1"/>
    <w:rsid w:val="467DFBFC"/>
    <w:rsid w:val="4791D7B8"/>
    <w:rsid w:val="4795E42D"/>
    <w:rsid w:val="479E524A"/>
    <w:rsid w:val="48330520"/>
    <w:rsid w:val="48D14F35"/>
    <w:rsid w:val="48FE719A"/>
    <w:rsid w:val="49885F78"/>
    <w:rsid w:val="49CC2777"/>
    <w:rsid w:val="49E331B8"/>
    <w:rsid w:val="4B630C39"/>
    <w:rsid w:val="4BBDC7C5"/>
    <w:rsid w:val="4C73A567"/>
    <w:rsid w:val="4C82912F"/>
    <w:rsid w:val="4CFD6F45"/>
    <w:rsid w:val="4D13A24A"/>
    <w:rsid w:val="4D9F7604"/>
    <w:rsid w:val="4DC42159"/>
    <w:rsid w:val="4DE31E8F"/>
    <w:rsid w:val="4E85776F"/>
    <w:rsid w:val="4ED42F9E"/>
    <w:rsid w:val="4FD847D3"/>
    <w:rsid w:val="4FDF50D1"/>
    <w:rsid w:val="50985957"/>
    <w:rsid w:val="5177C24F"/>
    <w:rsid w:val="518409E1"/>
    <w:rsid w:val="51973A44"/>
    <w:rsid w:val="51D341DF"/>
    <w:rsid w:val="51FF0CDA"/>
    <w:rsid w:val="5278317B"/>
    <w:rsid w:val="529E9645"/>
    <w:rsid w:val="531AEA51"/>
    <w:rsid w:val="5383EDDB"/>
    <w:rsid w:val="53B9A231"/>
    <w:rsid w:val="54592B9C"/>
    <w:rsid w:val="5527C5FC"/>
    <w:rsid w:val="55349101"/>
    <w:rsid w:val="55619349"/>
    <w:rsid w:val="557AE830"/>
    <w:rsid w:val="560FA01E"/>
    <w:rsid w:val="562DF956"/>
    <w:rsid w:val="56577B04"/>
    <w:rsid w:val="566E0931"/>
    <w:rsid w:val="56D5E807"/>
    <w:rsid w:val="56FEBF24"/>
    <w:rsid w:val="576CF4E7"/>
    <w:rsid w:val="57A08404"/>
    <w:rsid w:val="580731EB"/>
    <w:rsid w:val="582D7F05"/>
    <w:rsid w:val="58387525"/>
    <w:rsid w:val="584ECD0D"/>
    <w:rsid w:val="588A1DFC"/>
    <w:rsid w:val="58B2D0C0"/>
    <w:rsid w:val="59244A92"/>
    <w:rsid w:val="59E9E113"/>
    <w:rsid w:val="5B010533"/>
    <w:rsid w:val="5B9E59EC"/>
    <w:rsid w:val="5E523695"/>
    <w:rsid w:val="5E76551B"/>
    <w:rsid w:val="5EB59781"/>
    <w:rsid w:val="5EC2D3EE"/>
    <w:rsid w:val="5ED946B7"/>
    <w:rsid w:val="5F416F5B"/>
    <w:rsid w:val="5F664180"/>
    <w:rsid w:val="5F97F07C"/>
    <w:rsid w:val="5FB8F4C1"/>
    <w:rsid w:val="603528BD"/>
    <w:rsid w:val="60474AC8"/>
    <w:rsid w:val="61369747"/>
    <w:rsid w:val="6165439E"/>
    <w:rsid w:val="6181CF97"/>
    <w:rsid w:val="61AE6A1B"/>
    <w:rsid w:val="623068CA"/>
    <w:rsid w:val="6286C06E"/>
    <w:rsid w:val="62F635CC"/>
    <w:rsid w:val="638DC45F"/>
    <w:rsid w:val="63A46128"/>
    <w:rsid w:val="63C5E037"/>
    <w:rsid w:val="63DB7BC4"/>
    <w:rsid w:val="64121F46"/>
    <w:rsid w:val="644E9F25"/>
    <w:rsid w:val="6542C6BF"/>
    <w:rsid w:val="65468DD8"/>
    <w:rsid w:val="654B8B26"/>
    <w:rsid w:val="655615CD"/>
    <w:rsid w:val="6564731F"/>
    <w:rsid w:val="65AAD91C"/>
    <w:rsid w:val="664282B2"/>
    <w:rsid w:val="679A7AAE"/>
    <w:rsid w:val="67A48555"/>
    <w:rsid w:val="67D59C3F"/>
    <w:rsid w:val="6879AD9E"/>
    <w:rsid w:val="68A36E0C"/>
    <w:rsid w:val="68B0738B"/>
    <w:rsid w:val="69208429"/>
    <w:rsid w:val="697172D8"/>
    <w:rsid w:val="69C384FE"/>
    <w:rsid w:val="6A08F29F"/>
    <w:rsid w:val="6A37D231"/>
    <w:rsid w:val="6AE4D723"/>
    <w:rsid w:val="6B1AEFFF"/>
    <w:rsid w:val="6B547EC7"/>
    <w:rsid w:val="6B55CE27"/>
    <w:rsid w:val="6B7D4319"/>
    <w:rsid w:val="6BF796AA"/>
    <w:rsid w:val="6C351D48"/>
    <w:rsid w:val="6C488900"/>
    <w:rsid w:val="6CC3861F"/>
    <w:rsid w:val="6D0861D0"/>
    <w:rsid w:val="6E732F55"/>
    <w:rsid w:val="6F1E39AF"/>
    <w:rsid w:val="6F930061"/>
    <w:rsid w:val="6FB08877"/>
    <w:rsid w:val="715AD4F4"/>
    <w:rsid w:val="73B4BB08"/>
    <w:rsid w:val="73D0E636"/>
    <w:rsid w:val="73F69B6C"/>
    <w:rsid w:val="74130245"/>
    <w:rsid w:val="748A388D"/>
    <w:rsid w:val="74D61FE8"/>
    <w:rsid w:val="751D5CE4"/>
    <w:rsid w:val="7550BE3A"/>
    <w:rsid w:val="7556CA61"/>
    <w:rsid w:val="756EFC9B"/>
    <w:rsid w:val="756F6FD8"/>
    <w:rsid w:val="760112F5"/>
    <w:rsid w:val="763FB0F0"/>
    <w:rsid w:val="76BC68F0"/>
    <w:rsid w:val="770BB838"/>
    <w:rsid w:val="78EBA84C"/>
    <w:rsid w:val="790D946B"/>
    <w:rsid w:val="7972ADC5"/>
    <w:rsid w:val="7990C062"/>
    <w:rsid w:val="79A8621B"/>
    <w:rsid w:val="7A136620"/>
    <w:rsid w:val="7A2E3D12"/>
    <w:rsid w:val="7B1ADCC8"/>
    <w:rsid w:val="7C0DF162"/>
    <w:rsid w:val="7C8401AD"/>
    <w:rsid w:val="7D441676"/>
    <w:rsid w:val="7D8C3CD0"/>
    <w:rsid w:val="7DA1C6C4"/>
    <w:rsid w:val="7E33AFA1"/>
    <w:rsid w:val="7EA07F89"/>
    <w:rsid w:val="7EA34215"/>
    <w:rsid w:val="7FA26CC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78BEC"/>
  <w15:docId w15:val="{EBB26D63-7D2C-4D06-9737-A4D364DD3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1A4"/>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1451A4"/>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1451A4"/>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1451A4"/>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1451A4"/>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1451A4"/>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1451A4"/>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Normal"/>
    <w:next w:val="Normal"/>
    <w:link w:val="Heading7Char"/>
    <w:uiPriority w:val="9"/>
    <w:semiHidden/>
    <w:rsid w:val="00ED3368"/>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semiHidden/>
    <w:rsid w:val="00ED336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rsid w:val="00ED3368"/>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51A4"/>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1451A4"/>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1451A4"/>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1451A4"/>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1451A4"/>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1451A4"/>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1451A4"/>
    <w:pPr>
      <w:keepNext/>
      <w:spacing w:before="0" w:after="0"/>
      <w:jc w:val="center"/>
    </w:pPr>
    <w:rPr>
      <w:color w:val="004A7F"/>
      <w:sz w:val="20"/>
    </w:rPr>
  </w:style>
  <w:style w:type="paragraph" w:customStyle="1" w:styleId="AlphaParagraph">
    <w:name w:val="Alpha Paragraph"/>
    <w:basedOn w:val="Normal"/>
    <w:qFormat/>
    <w:rsid w:val="001451A4"/>
    <w:pPr>
      <w:numPr>
        <w:ilvl w:val="1"/>
        <w:numId w:val="7"/>
      </w:numPr>
      <w:spacing w:before="0"/>
    </w:pPr>
  </w:style>
  <w:style w:type="character" w:customStyle="1" w:styleId="DashChar">
    <w:name w:val="Dash Char"/>
    <w:basedOn w:val="DefaultParagraphFont"/>
    <w:link w:val="Dash"/>
    <w:uiPriority w:val="99"/>
    <w:locked/>
    <w:rsid w:val="001451A4"/>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1451A4"/>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1451A4"/>
    <w:rPr>
      <w:rFonts w:ascii="Calibri Light" w:eastAsia="Times New Roman" w:hAnsi="Calibri Light" w:cs="Times New Roman"/>
      <w:szCs w:val="20"/>
      <w:lang w:eastAsia="en-AU"/>
    </w:rPr>
  </w:style>
  <w:style w:type="paragraph" w:customStyle="1" w:styleId="BoxHeading">
    <w:name w:val="Box Heading"/>
    <w:basedOn w:val="Normal"/>
    <w:next w:val="Normal"/>
    <w:rsid w:val="001451A4"/>
    <w:pPr>
      <w:keepNext/>
      <w:spacing w:before="240"/>
    </w:pPr>
    <w:rPr>
      <w:b/>
      <w:color w:val="2C384A" w:themeColor="accent1"/>
      <w:sz w:val="26"/>
      <w:szCs w:val="26"/>
    </w:rPr>
  </w:style>
  <w:style w:type="paragraph" w:customStyle="1" w:styleId="BoxText">
    <w:name w:val="Box Text"/>
    <w:basedOn w:val="Normal"/>
    <w:link w:val="BoxTextChar"/>
    <w:rsid w:val="001451A4"/>
  </w:style>
  <w:style w:type="paragraph" w:customStyle="1" w:styleId="Bullet">
    <w:name w:val="Bullet"/>
    <w:basedOn w:val="Normal"/>
    <w:link w:val="BulletChar"/>
    <w:qFormat/>
    <w:rsid w:val="005A4911"/>
    <w:pPr>
      <w:numPr>
        <w:numId w:val="14"/>
      </w:numPr>
      <w:tabs>
        <w:tab w:val="left" w:pos="720"/>
      </w:tabs>
      <w:spacing w:before="0" w:line="276" w:lineRule="auto"/>
    </w:pPr>
  </w:style>
  <w:style w:type="paragraph" w:customStyle="1" w:styleId="ChartandTableFootnoteAlpha">
    <w:name w:val="Chart and Table Footnote Alpha"/>
    <w:rsid w:val="005A4911"/>
    <w:pPr>
      <w:numPr>
        <w:numId w:val="8"/>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1451A4"/>
    <w:pPr>
      <w:jc w:val="center"/>
    </w:pPr>
  </w:style>
  <w:style w:type="paragraph" w:customStyle="1" w:styleId="ChartorTableNote">
    <w:name w:val="Chart or Table Note"/>
    <w:next w:val="Normal"/>
    <w:rsid w:val="00260B2B"/>
    <w:pPr>
      <w:spacing w:after="0" w:line="240" w:lineRule="auto"/>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1451A4"/>
    <w:pPr>
      <w:jc w:val="center"/>
    </w:pPr>
    <w:rPr>
      <w:b w:val="0"/>
      <w:bCs/>
    </w:rPr>
  </w:style>
  <w:style w:type="paragraph" w:customStyle="1" w:styleId="ReportDate">
    <w:name w:val="Report Date"/>
    <w:basedOn w:val="Normal"/>
    <w:link w:val="ReportDateChar"/>
    <w:rsid w:val="001451A4"/>
    <w:pPr>
      <w:keepNext/>
      <w:spacing w:before="0" w:after="360"/>
    </w:pPr>
    <w:rPr>
      <w:color w:val="90B6F0"/>
      <w:sz w:val="32"/>
    </w:rPr>
  </w:style>
  <w:style w:type="paragraph" w:customStyle="1" w:styleId="Dash">
    <w:name w:val="Dash"/>
    <w:basedOn w:val="Normal"/>
    <w:link w:val="DashChar"/>
    <w:uiPriority w:val="99"/>
    <w:qFormat/>
    <w:rsid w:val="001451A4"/>
    <w:pPr>
      <w:numPr>
        <w:ilvl w:val="1"/>
        <w:numId w:val="14"/>
      </w:numPr>
      <w:spacing w:before="0"/>
    </w:pPr>
  </w:style>
  <w:style w:type="paragraph" w:customStyle="1" w:styleId="DoubleDot">
    <w:name w:val="Double Dot"/>
    <w:basedOn w:val="Normal"/>
    <w:link w:val="DoubleDotChar"/>
    <w:uiPriority w:val="99"/>
    <w:qFormat/>
    <w:rsid w:val="001451A4"/>
    <w:pPr>
      <w:numPr>
        <w:ilvl w:val="2"/>
        <w:numId w:val="14"/>
      </w:numPr>
      <w:spacing w:before="0"/>
    </w:pPr>
  </w:style>
  <w:style w:type="paragraph" w:customStyle="1" w:styleId="TableMainHeading">
    <w:name w:val="Table Main Heading"/>
    <w:basedOn w:val="Heading3"/>
    <w:next w:val="Normal"/>
    <w:rsid w:val="001451A4"/>
    <w:pPr>
      <w:spacing w:before="120"/>
    </w:pPr>
    <w:rPr>
      <w:b w:val="0"/>
      <w:sz w:val="26"/>
    </w:rPr>
  </w:style>
  <w:style w:type="paragraph" w:customStyle="1" w:styleId="FooterEven">
    <w:name w:val="Footer Even"/>
    <w:basedOn w:val="Footer"/>
    <w:rsid w:val="001451A4"/>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451A4"/>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1451A4"/>
    <w:rPr>
      <w:color w:val="3A6FAF"/>
      <w:u w:val="none"/>
    </w:rPr>
  </w:style>
  <w:style w:type="paragraph" w:customStyle="1" w:styleId="OutlineNumbered1">
    <w:name w:val="Outline Numbered 1"/>
    <w:basedOn w:val="Normal"/>
    <w:link w:val="OutlineNumbered1Char"/>
    <w:rsid w:val="005A4911"/>
    <w:pPr>
      <w:numPr>
        <w:numId w:val="5"/>
      </w:numPr>
      <w:spacing w:before="0"/>
    </w:pPr>
  </w:style>
  <w:style w:type="paragraph" w:customStyle="1" w:styleId="OutlineNumbered2">
    <w:name w:val="Outline Numbered 2"/>
    <w:basedOn w:val="Normal"/>
    <w:rsid w:val="001451A4"/>
    <w:pPr>
      <w:numPr>
        <w:ilvl w:val="1"/>
        <w:numId w:val="5"/>
      </w:numPr>
      <w:spacing w:before="0"/>
    </w:pPr>
  </w:style>
  <w:style w:type="paragraph" w:customStyle="1" w:styleId="OutlineNumbered3">
    <w:name w:val="Outline Numbered 3"/>
    <w:basedOn w:val="Normal"/>
    <w:rsid w:val="001451A4"/>
    <w:pPr>
      <w:numPr>
        <w:ilvl w:val="2"/>
        <w:numId w:val="5"/>
      </w:numPr>
      <w:spacing w:before="0"/>
    </w:pPr>
  </w:style>
  <w:style w:type="paragraph" w:customStyle="1" w:styleId="SingleParagraph">
    <w:name w:val="Single Paragraph"/>
    <w:basedOn w:val="Normal"/>
    <w:next w:val="Normal"/>
    <w:link w:val="SingleParagraphChar"/>
    <w:rsid w:val="001451A4"/>
    <w:pPr>
      <w:spacing w:before="0" w:after="0"/>
    </w:pPr>
  </w:style>
  <w:style w:type="paragraph" w:customStyle="1" w:styleId="TableSecondHeading">
    <w:name w:val="Table Second Heading"/>
    <w:basedOn w:val="Normal"/>
    <w:next w:val="Normal"/>
    <w:rsid w:val="001451A4"/>
    <w:pPr>
      <w:keepNext/>
      <w:spacing w:before="0" w:after="20"/>
    </w:pPr>
    <w:rPr>
      <w:b/>
      <w:color w:val="004A7F"/>
    </w:rPr>
  </w:style>
  <w:style w:type="paragraph" w:customStyle="1" w:styleId="TableColumnHeadingCentred">
    <w:name w:val="Table Column Heading Centred"/>
    <w:basedOn w:val="TableTextLeft"/>
    <w:rsid w:val="001451A4"/>
    <w:pPr>
      <w:jc w:val="center"/>
    </w:pPr>
    <w:rPr>
      <w:b/>
      <w:color w:val="2C384A" w:themeColor="accent1"/>
      <w:sz w:val="20"/>
    </w:rPr>
  </w:style>
  <w:style w:type="paragraph" w:customStyle="1" w:styleId="TableColumnHeadingLeft">
    <w:name w:val="Table Column Heading Left"/>
    <w:basedOn w:val="TableTextLeft"/>
    <w:rsid w:val="001451A4"/>
    <w:rPr>
      <w:b/>
      <w:color w:val="2C384A" w:themeColor="accent1"/>
      <w:sz w:val="20"/>
    </w:rPr>
  </w:style>
  <w:style w:type="paragraph" w:customStyle="1" w:styleId="TableColumnHeadingRight">
    <w:name w:val="Table Column Heading Right"/>
    <w:basedOn w:val="TableTextLeft"/>
    <w:rsid w:val="001451A4"/>
    <w:pPr>
      <w:jc w:val="right"/>
    </w:pPr>
    <w:rPr>
      <w:b/>
      <w:color w:val="2C384A" w:themeColor="accent1"/>
      <w:sz w:val="20"/>
    </w:rPr>
  </w:style>
  <w:style w:type="table" w:styleId="TableGrid">
    <w:name w:val="Table Grid"/>
    <w:basedOn w:val="TableNormal"/>
    <w:rsid w:val="001451A4"/>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451A4"/>
    <w:pPr>
      <w:jc w:val="center"/>
    </w:pPr>
  </w:style>
  <w:style w:type="paragraph" w:customStyle="1" w:styleId="TableTextLeft">
    <w:name w:val="Table Text Left"/>
    <w:basedOn w:val="TableTextRight"/>
    <w:rsid w:val="001451A4"/>
    <w:pPr>
      <w:jc w:val="left"/>
    </w:pPr>
  </w:style>
  <w:style w:type="paragraph" w:customStyle="1" w:styleId="TableTextRight">
    <w:name w:val="Table Text Right"/>
    <w:basedOn w:val="Normal"/>
    <w:rsid w:val="001451A4"/>
    <w:pPr>
      <w:spacing w:before="40" w:after="40"/>
      <w:jc w:val="right"/>
    </w:pPr>
    <w:rPr>
      <w:color w:val="000000"/>
      <w:sz w:val="18"/>
    </w:rPr>
  </w:style>
  <w:style w:type="paragraph" w:styleId="TOC1">
    <w:name w:val="toc 1"/>
    <w:basedOn w:val="Normal"/>
    <w:next w:val="Normal"/>
    <w:uiPriority w:val="39"/>
    <w:rsid w:val="001451A4"/>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1451A4"/>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1451A4"/>
    <w:pPr>
      <w:tabs>
        <w:tab w:val="right" w:leader="dot" w:pos="9072"/>
      </w:tabs>
      <w:spacing w:before="20" w:after="0"/>
      <w:ind w:left="284" w:right="-2"/>
    </w:pPr>
    <w:rPr>
      <w:rFonts w:cs="Calibri"/>
      <w:noProof/>
    </w:rPr>
  </w:style>
  <w:style w:type="numbering" w:customStyle="1" w:styleId="OutlineList">
    <w:name w:val="OutlineList"/>
    <w:uiPriority w:val="99"/>
    <w:rsid w:val="001451A4"/>
    <w:pPr>
      <w:numPr>
        <w:numId w:val="4"/>
      </w:numPr>
    </w:pPr>
  </w:style>
  <w:style w:type="numbering" w:customStyle="1" w:styleId="BulletedList">
    <w:name w:val="Bulleted List"/>
    <w:uiPriority w:val="99"/>
    <w:rsid w:val="001451A4"/>
    <w:pPr>
      <w:numPr>
        <w:numId w:val="1"/>
      </w:numPr>
    </w:pPr>
  </w:style>
  <w:style w:type="numbering" w:customStyle="1" w:styleId="BoxBulletedList">
    <w:name w:val="Box Bulleted List"/>
    <w:uiPriority w:val="99"/>
    <w:rsid w:val="001451A4"/>
    <w:pPr>
      <w:numPr>
        <w:numId w:val="2"/>
      </w:numPr>
    </w:pPr>
  </w:style>
  <w:style w:type="numbering" w:customStyle="1" w:styleId="OneLevelList">
    <w:name w:val="OneLevelList"/>
    <w:uiPriority w:val="99"/>
    <w:rsid w:val="001451A4"/>
    <w:pPr>
      <w:numPr>
        <w:numId w:val="3"/>
      </w:numPr>
    </w:pPr>
  </w:style>
  <w:style w:type="numbering" w:customStyle="1" w:styleId="ChartandTableFootnoteAlphaList">
    <w:name w:val="ChartandTableFootnoteAlphaList"/>
    <w:uiPriority w:val="99"/>
    <w:rsid w:val="001451A4"/>
    <w:pPr>
      <w:numPr>
        <w:numId w:val="8"/>
      </w:numPr>
    </w:pPr>
  </w:style>
  <w:style w:type="paragraph" w:customStyle="1" w:styleId="Heading1Numbered">
    <w:name w:val="Heading 1 Numbered"/>
    <w:basedOn w:val="Heading1"/>
    <w:next w:val="Normal"/>
    <w:rsid w:val="001451A4"/>
    <w:pPr>
      <w:numPr>
        <w:numId w:val="6"/>
      </w:numPr>
    </w:pPr>
  </w:style>
  <w:style w:type="character" w:customStyle="1" w:styleId="SingleParagraphChar">
    <w:name w:val="Single Paragraph Char"/>
    <w:basedOn w:val="DefaultParagraphFont"/>
    <w:link w:val="SingleParagraph"/>
    <w:rsid w:val="001451A4"/>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1451A4"/>
    <w:pPr>
      <w:numPr>
        <w:ilvl w:val="1"/>
        <w:numId w:val="6"/>
      </w:numPr>
      <w:ind w:left="284" w:hanging="284"/>
    </w:pPr>
  </w:style>
  <w:style w:type="paragraph" w:customStyle="1" w:styleId="Heading3Numbered">
    <w:name w:val="Heading 3 Numbered"/>
    <w:basedOn w:val="Heading3"/>
    <w:rsid w:val="001451A4"/>
    <w:pPr>
      <w:numPr>
        <w:ilvl w:val="2"/>
        <w:numId w:val="6"/>
      </w:numPr>
      <w:ind w:left="284" w:hanging="284"/>
    </w:pPr>
  </w:style>
  <w:style w:type="paragraph" w:styleId="Title">
    <w:name w:val="Title"/>
    <w:basedOn w:val="Normal"/>
    <w:next w:val="Normal"/>
    <w:link w:val="TitleChar"/>
    <w:uiPriority w:val="10"/>
    <w:rsid w:val="001451A4"/>
    <w:pPr>
      <w:spacing w:before="0" w:after="30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1451A4"/>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1451A4"/>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1451A4"/>
    <w:rPr>
      <w:rFonts w:ascii="Calibri Light" w:eastAsiaTheme="majorEastAsia" w:hAnsi="Calibri Light" w:cstheme="majorBidi"/>
      <w:iCs/>
      <w:color w:val="EEEEEE"/>
      <w:sz w:val="44"/>
      <w:szCs w:val="44"/>
      <w:lang w:eastAsia="en-AU"/>
    </w:rPr>
  </w:style>
  <w:style w:type="character" w:styleId="SubtleEmphasis">
    <w:name w:val="Subtle Emphasis"/>
    <w:basedOn w:val="DefaultParagraphFont"/>
    <w:uiPriority w:val="19"/>
    <w:rsid w:val="001451A4"/>
    <w:rPr>
      <w:i/>
      <w:iCs/>
      <w:color w:val="808080" w:themeColor="text1" w:themeTint="7F"/>
    </w:rPr>
  </w:style>
  <w:style w:type="paragraph" w:styleId="Footer">
    <w:name w:val="footer"/>
    <w:basedOn w:val="Normal"/>
    <w:link w:val="FooterChar"/>
    <w:unhideWhenUsed/>
    <w:rsid w:val="001451A4"/>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1451A4"/>
    <w:rPr>
      <w:rFonts w:ascii="Calibri Light" w:eastAsia="Times New Roman" w:hAnsi="Calibri Light" w:cs="Times New Roman"/>
      <w:color w:val="002C47"/>
      <w:sz w:val="20"/>
      <w:szCs w:val="20"/>
      <w:lang w:eastAsia="en-AU"/>
    </w:rPr>
  </w:style>
  <w:style w:type="paragraph" w:styleId="Header">
    <w:name w:val="header"/>
    <w:basedOn w:val="Normal"/>
    <w:link w:val="HeaderChar"/>
    <w:uiPriority w:val="99"/>
    <w:unhideWhenUsed/>
    <w:rsid w:val="001451A4"/>
    <w:pPr>
      <w:keepNext/>
      <w:spacing w:before="0" w:after="0"/>
      <w:jc w:val="right"/>
    </w:pPr>
    <w:rPr>
      <w:color w:val="004A7F"/>
      <w:sz w:val="20"/>
    </w:rPr>
  </w:style>
  <w:style w:type="character" w:customStyle="1" w:styleId="HeaderChar">
    <w:name w:val="Header Char"/>
    <w:basedOn w:val="DefaultParagraphFont"/>
    <w:link w:val="Header"/>
    <w:uiPriority w:val="99"/>
    <w:rsid w:val="001451A4"/>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1451A4"/>
    <w:rPr>
      <w:color w:val="808080"/>
    </w:rPr>
  </w:style>
  <w:style w:type="paragraph" w:customStyle="1" w:styleId="AppendixHeading">
    <w:name w:val="Appendix Heading"/>
    <w:basedOn w:val="Heading1"/>
    <w:next w:val="Normal"/>
    <w:rsid w:val="001451A4"/>
  </w:style>
  <w:style w:type="paragraph" w:customStyle="1" w:styleId="HeadingBase">
    <w:name w:val="Heading Base"/>
    <w:rsid w:val="001451A4"/>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1451A4"/>
    <w:rPr>
      <w:rFonts w:ascii="Calibri Light" w:eastAsia="Times New Roman" w:hAnsi="Calibri Light" w:cs="Times New Roman"/>
      <w:color w:val="90B6F0"/>
      <w:sz w:val="32"/>
      <w:szCs w:val="20"/>
      <w:lang w:eastAsia="en-AU"/>
    </w:rPr>
  </w:style>
  <w:style w:type="paragraph" w:customStyle="1" w:styleId="NotesHeading">
    <w:name w:val="Notes Heading"/>
    <w:basedOn w:val="Normal"/>
    <w:rsid w:val="001451A4"/>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link w:val="ListParagraphChar"/>
    <w:uiPriority w:val="34"/>
    <w:rsid w:val="001451A4"/>
    <w:pPr>
      <w:ind w:left="720"/>
      <w:contextualSpacing/>
    </w:pPr>
  </w:style>
  <w:style w:type="paragraph" w:customStyle="1" w:styleId="TableTextIndented">
    <w:name w:val="Table Text Indented"/>
    <w:basedOn w:val="TableTextLeft"/>
    <w:rsid w:val="001451A4"/>
    <w:pPr>
      <w:ind w:left="284"/>
    </w:pPr>
  </w:style>
  <w:style w:type="paragraph" w:customStyle="1" w:styleId="TableHeadingContinued">
    <w:name w:val="Table Heading Continued"/>
    <w:basedOn w:val="TableMainHeading"/>
    <w:next w:val="TableGraphic"/>
    <w:rsid w:val="001451A4"/>
  </w:style>
  <w:style w:type="paragraph" w:customStyle="1" w:styleId="TableGraphic">
    <w:name w:val="Table Graphic"/>
    <w:basedOn w:val="HeadingBase"/>
    <w:next w:val="Normal"/>
    <w:rsid w:val="001451A4"/>
    <w:pPr>
      <w:spacing w:after="0"/>
    </w:pPr>
  </w:style>
  <w:style w:type="paragraph" w:customStyle="1" w:styleId="HeaderEven">
    <w:name w:val="Header Even"/>
    <w:basedOn w:val="Header"/>
    <w:qFormat/>
    <w:rsid w:val="001451A4"/>
    <w:pPr>
      <w:jc w:val="left"/>
    </w:pPr>
    <w:rPr>
      <w:color w:val="002C47"/>
    </w:rPr>
  </w:style>
  <w:style w:type="paragraph" w:customStyle="1" w:styleId="HeaderOdd">
    <w:name w:val="Header Odd"/>
    <w:basedOn w:val="Header"/>
    <w:qFormat/>
    <w:rsid w:val="001451A4"/>
    <w:rPr>
      <w:color w:val="002C47"/>
    </w:rPr>
  </w:style>
  <w:style w:type="paragraph" w:styleId="FootnoteText">
    <w:name w:val="footnote text"/>
    <w:basedOn w:val="Normal"/>
    <w:link w:val="FootnoteTextChar"/>
    <w:uiPriority w:val="99"/>
    <w:rsid w:val="001451A4"/>
    <w:pPr>
      <w:spacing w:before="0" w:after="0"/>
      <w:ind w:left="397" w:hanging="397"/>
    </w:pPr>
    <w:rPr>
      <w:sz w:val="20"/>
    </w:rPr>
  </w:style>
  <w:style w:type="character" w:customStyle="1" w:styleId="FootnoteTextChar">
    <w:name w:val="Footnote Text Char"/>
    <w:basedOn w:val="DefaultParagraphFont"/>
    <w:link w:val="FootnoteText"/>
    <w:uiPriority w:val="99"/>
    <w:rsid w:val="001451A4"/>
    <w:rPr>
      <w:rFonts w:ascii="Calibri Light" w:eastAsia="Times New Roman" w:hAnsi="Calibri Light" w:cs="Times New Roman"/>
      <w:sz w:val="20"/>
      <w:szCs w:val="20"/>
      <w:lang w:eastAsia="en-AU"/>
    </w:rPr>
  </w:style>
  <w:style w:type="character" w:styleId="FootnoteReference">
    <w:name w:val="footnote reference"/>
    <w:basedOn w:val="DefaultParagraphFont"/>
    <w:uiPriority w:val="99"/>
    <w:rsid w:val="001451A4"/>
    <w:rPr>
      <w:sz w:val="18"/>
    </w:rPr>
  </w:style>
  <w:style w:type="paragraph" w:styleId="BalloonText">
    <w:name w:val="Balloon Text"/>
    <w:basedOn w:val="Normal"/>
    <w:link w:val="BalloonTextChar"/>
    <w:uiPriority w:val="99"/>
    <w:semiHidden/>
    <w:unhideWhenUsed/>
    <w:rsid w:val="001451A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1A4"/>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1451A4"/>
    <w:rPr>
      <w:rFonts w:ascii="Calibri Light" w:eastAsia="Times New Roman" w:hAnsi="Calibri Light" w:cs="Times New Roman"/>
      <w:szCs w:val="20"/>
      <w:lang w:eastAsia="en-AU"/>
    </w:rPr>
  </w:style>
  <w:style w:type="paragraph" w:customStyle="1" w:styleId="Boxbullet">
    <w:name w:val="Box bullet"/>
    <w:basedOn w:val="Bullet"/>
    <w:rsid w:val="001451A4"/>
    <w:pPr>
      <w:numPr>
        <w:numId w:val="27"/>
      </w:numPr>
      <w:tabs>
        <w:tab w:val="clear" w:pos="283"/>
        <w:tab w:val="num" w:pos="284"/>
        <w:tab w:val="num" w:pos="520"/>
      </w:tabs>
      <w:spacing w:before="60"/>
    </w:pPr>
    <w:rPr>
      <w:color w:val="0D0D0D" w:themeColor="text1" w:themeTint="F2"/>
    </w:rPr>
  </w:style>
  <w:style w:type="paragraph" w:customStyle="1" w:styleId="Boxdash">
    <w:name w:val="Box dash"/>
    <w:basedOn w:val="Dash"/>
    <w:rsid w:val="001451A4"/>
    <w:pPr>
      <w:numPr>
        <w:numId w:val="27"/>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1451A4"/>
    <w:pPr>
      <w:numPr>
        <w:numId w:val="27"/>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1451A4"/>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1451A4"/>
    <w:rPr>
      <w:sz w:val="16"/>
      <w:szCs w:val="16"/>
    </w:rPr>
  </w:style>
  <w:style w:type="paragraph" w:styleId="CommentText">
    <w:name w:val="annotation text"/>
    <w:basedOn w:val="Normal"/>
    <w:link w:val="CommentTextChar"/>
    <w:uiPriority w:val="99"/>
    <w:unhideWhenUsed/>
    <w:rsid w:val="001451A4"/>
    <w:rPr>
      <w:rFonts w:ascii="Calibri" w:hAnsi="Calibri"/>
      <w:sz w:val="20"/>
    </w:rPr>
  </w:style>
  <w:style w:type="character" w:customStyle="1" w:styleId="CommentTextChar">
    <w:name w:val="Comment Text Char"/>
    <w:basedOn w:val="DefaultParagraphFont"/>
    <w:link w:val="CommentText"/>
    <w:uiPriority w:val="99"/>
    <w:rsid w:val="001451A4"/>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3540B"/>
    <w:rPr>
      <w:rFonts w:asciiTheme="minorHAnsi" w:hAnsiTheme="minorHAnsi"/>
      <w:b/>
      <w:bCs/>
    </w:rPr>
  </w:style>
  <w:style w:type="character" w:customStyle="1" w:styleId="CommentSubjectChar">
    <w:name w:val="Comment Subject Char"/>
    <w:basedOn w:val="CommentTextChar"/>
    <w:link w:val="CommentSubject"/>
    <w:uiPriority w:val="99"/>
    <w:semiHidden/>
    <w:rsid w:val="0003540B"/>
    <w:rPr>
      <w:rFonts w:ascii="Calibri" w:eastAsia="Times New Roman" w:hAnsi="Calibri" w:cs="Times New Roman"/>
      <w:b/>
      <w:bCs/>
      <w:color w:val="000000" w:themeColor="text1"/>
      <w:sz w:val="20"/>
      <w:szCs w:val="20"/>
      <w:lang w:eastAsia="en-AU"/>
    </w:rPr>
  </w:style>
  <w:style w:type="character" w:customStyle="1" w:styleId="normaltextrun">
    <w:name w:val="normaltextrun"/>
    <w:basedOn w:val="DefaultParagraphFont"/>
    <w:rsid w:val="00631F4C"/>
  </w:style>
  <w:style w:type="paragraph" w:customStyle="1" w:styleId="Charttitle">
    <w:name w:val="Chart title"/>
    <w:basedOn w:val="Normal"/>
    <w:link w:val="CharttitleChar"/>
    <w:qFormat/>
    <w:rsid w:val="005242B1"/>
    <w:pPr>
      <w:keepNext/>
      <w:spacing w:before="0" w:after="0" w:line="259" w:lineRule="auto"/>
    </w:pPr>
    <w:rPr>
      <w:rFonts w:asciiTheme="majorHAnsi" w:eastAsiaTheme="minorHAnsi" w:hAnsiTheme="majorHAnsi" w:cstheme="majorHAnsi"/>
      <w:b/>
      <w:bCs/>
      <w:color w:val="000000"/>
      <w:sz w:val="20"/>
      <w:szCs w:val="22"/>
      <w:shd w:val="clear" w:color="auto" w:fill="FFFFFF"/>
      <w:lang w:eastAsia="en-US"/>
    </w:rPr>
  </w:style>
  <w:style w:type="character" w:customStyle="1" w:styleId="CharttitleChar">
    <w:name w:val="Chart title Char"/>
    <w:basedOn w:val="DefaultParagraphFont"/>
    <w:link w:val="Charttitle"/>
    <w:rsid w:val="005242B1"/>
    <w:rPr>
      <w:rFonts w:asciiTheme="majorHAnsi" w:hAnsiTheme="majorHAnsi" w:cstheme="majorHAnsi"/>
      <w:b/>
      <w:bCs/>
      <w:color w:val="000000"/>
      <w:sz w:val="20"/>
    </w:rPr>
  </w:style>
  <w:style w:type="paragraph" w:customStyle="1" w:styleId="Chartnotes">
    <w:name w:val="Chart notes"/>
    <w:basedOn w:val="Charttitle"/>
    <w:link w:val="ChartnotesChar"/>
    <w:qFormat/>
    <w:rsid w:val="00CD7D51"/>
    <w:rPr>
      <w:b w:val="0"/>
      <w:i/>
      <w:iCs/>
      <w:sz w:val="16"/>
      <w:szCs w:val="18"/>
    </w:rPr>
  </w:style>
  <w:style w:type="character" w:customStyle="1" w:styleId="ChartnotesChar">
    <w:name w:val="Chart notes Char"/>
    <w:basedOn w:val="DefaultParagraphFont"/>
    <w:link w:val="Chartnotes"/>
    <w:rsid w:val="00CD7D51"/>
    <w:rPr>
      <w:rFonts w:asciiTheme="majorHAnsi" w:hAnsiTheme="majorHAnsi" w:cstheme="majorHAnsi"/>
      <w:bCs/>
      <w:i/>
      <w:iCs/>
      <w:color w:val="000000"/>
      <w:sz w:val="16"/>
      <w:szCs w:val="18"/>
    </w:rPr>
  </w:style>
  <w:style w:type="character" w:customStyle="1" w:styleId="OutlineNumbered1Char">
    <w:name w:val="Outline Numbered 1 Char"/>
    <w:basedOn w:val="Heading2Char"/>
    <w:link w:val="OutlineNumbered1"/>
    <w:rsid w:val="00631F4C"/>
    <w:rPr>
      <w:rFonts w:ascii="Calibri Light" w:eastAsia="Times New Roman" w:hAnsi="Calibri Light" w:cs="Times New Roman"/>
      <w:iCs w:val="0"/>
      <w:color w:val="2C384A" w:themeColor="accent1"/>
      <w:kern w:val="32"/>
      <w:sz w:val="36"/>
      <w:szCs w:val="20"/>
      <w:lang w:eastAsia="en-AU"/>
    </w:rPr>
  </w:style>
  <w:style w:type="paragraph" w:customStyle="1" w:styleId="Chart">
    <w:name w:val="Chart"/>
    <w:basedOn w:val="Normal"/>
    <w:link w:val="ChartChar"/>
    <w:qFormat/>
    <w:rsid w:val="008738B9"/>
    <w:pPr>
      <w:spacing w:before="0" w:after="0" w:line="216" w:lineRule="auto"/>
    </w:pPr>
    <w:rPr>
      <w:rFonts w:eastAsiaTheme="minorHAnsi" w:cstheme="majorHAnsi"/>
      <w:b/>
      <w:noProof/>
      <w:color w:val="000000"/>
      <w:szCs w:val="22"/>
      <w:shd w:val="clear" w:color="auto" w:fill="FFFFFF"/>
      <w:lang w:eastAsia="en-US"/>
    </w:rPr>
  </w:style>
  <w:style w:type="character" w:customStyle="1" w:styleId="ChartChar">
    <w:name w:val="Chart Char"/>
    <w:basedOn w:val="DefaultParagraphFont"/>
    <w:link w:val="Chart"/>
    <w:rsid w:val="008738B9"/>
    <w:rPr>
      <w:rFonts w:ascii="Calibri Light" w:hAnsi="Calibri Light" w:cstheme="majorHAnsi"/>
      <w:b/>
      <w:noProof/>
      <w:color w:val="000000"/>
    </w:rPr>
  </w:style>
  <w:style w:type="character" w:styleId="Strong">
    <w:name w:val="Strong"/>
    <w:basedOn w:val="DefaultParagraphFont"/>
    <w:qFormat/>
    <w:rsid w:val="00631F4C"/>
    <w:rPr>
      <w:b/>
      <w:bCs/>
    </w:rPr>
  </w:style>
  <w:style w:type="character" w:customStyle="1" w:styleId="ListParagraphChar">
    <w:name w:val="List Paragraph Char"/>
    <w:basedOn w:val="DefaultParagraphFont"/>
    <w:link w:val="ListParagraph"/>
    <w:uiPriority w:val="34"/>
    <w:rsid w:val="00383DF7"/>
    <w:rPr>
      <w:rFonts w:ascii="Calibri Light" w:eastAsia="Times New Roman" w:hAnsi="Calibri Light" w:cs="Times New Roman"/>
      <w:szCs w:val="20"/>
      <w:lang w:eastAsia="en-AU"/>
    </w:rPr>
  </w:style>
  <w:style w:type="table" w:styleId="GridTable1Light">
    <w:name w:val="Grid Table 1 Light"/>
    <w:basedOn w:val="TableNormal"/>
    <w:uiPriority w:val="46"/>
    <w:rsid w:val="00622B8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ED3368"/>
    <w:pPr>
      <w:spacing w:after="0" w:line="240" w:lineRule="auto"/>
    </w:pPr>
    <w:rPr>
      <w:rFonts w:ascii="Calibri" w:hAnsi="Calibri" w:cs="Times New Roman"/>
      <w:sz w:val="20"/>
      <w:szCs w:val="20"/>
    </w:rPr>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styleId="Revision">
    <w:name w:val="Revision"/>
    <w:hidden/>
    <w:uiPriority w:val="99"/>
    <w:semiHidden/>
    <w:rsid w:val="00ED3368"/>
    <w:pPr>
      <w:spacing w:after="0" w:line="240" w:lineRule="auto"/>
    </w:pPr>
    <w:rPr>
      <w:rFonts w:ascii="Calibri Light" w:hAnsi="Calibri Light" w:cs="Times New Roman"/>
      <w:color w:val="0D0D0D" w:themeColor="text1" w:themeTint="F2"/>
      <w:szCs w:val="20"/>
    </w:rPr>
  </w:style>
  <w:style w:type="paragraph" w:customStyle="1" w:styleId="SecurityClassificationHeader">
    <w:name w:val="Security Classification Header"/>
    <w:link w:val="SecurityClassificationHeaderChar"/>
    <w:rsid w:val="001451A4"/>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1451A4"/>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1451A4"/>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1451A4"/>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1451A4"/>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1451A4"/>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1451A4"/>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1451A4"/>
    <w:rPr>
      <w:rFonts w:ascii="Calibri" w:eastAsia="Times New Roman" w:hAnsi="Calibri" w:cs="Calibri"/>
      <w:b/>
      <w:color w:val="FF0000"/>
      <w:sz w:val="24"/>
      <w:szCs w:val="20"/>
      <w:lang w:eastAsia="en-AU"/>
    </w:rPr>
  </w:style>
  <w:style w:type="character" w:styleId="UnresolvedMention">
    <w:name w:val="Unresolved Mention"/>
    <w:basedOn w:val="DefaultParagraphFont"/>
    <w:uiPriority w:val="99"/>
    <w:semiHidden/>
    <w:unhideWhenUsed/>
    <w:rsid w:val="00FD4912"/>
    <w:rPr>
      <w:color w:val="605E5C"/>
      <w:shd w:val="clear" w:color="auto" w:fill="E1DFDD"/>
    </w:rPr>
  </w:style>
  <w:style w:type="character" w:styleId="Mention">
    <w:name w:val="Mention"/>
    <w:basedOn w:val="DefaultParagraphFont"/>
    <w:uiPriority w:val="99"/>
    <w:unhideWhenUsed/>
    <w:rsid w:val="00E764A0"/>
    <w:rPr>
      <w:color w:val="2B579A"/>
      <w:shd w:val="clear" w:color="auto" w:fill="E1DFDD"/>
    </w:rPr>
  </w:style>
  <w:style w:type="character" w:customStyle="1" w:styleId="findhit">
    <w:name w:val="findhit"/>
    <w:basedOn w:val="DefaultParagraphFont"/>
    <w:rsid w:val="00F77C22"/>
  </w:style>
  <w:style w:type="character" w:customStyle="1" w:styleId="eop">
    <w:name w:val="eop"/>
    <w:basedOn w:val="DefaultParagraphFont"/>
    <w:rsid w:val="00F77C22"/>
  </w:style>
  <w:style w:type="paragraph" w:styleId="NormalWeb">
    <w:name w:val="Normal (Web)"/>
    <w:basedOn w:val="Normal"/>
    <w:semiHidden/>
    <w:rsid w:val="00ED3368"/>
    <w:pPr>
      <w:spacing w:before="100" w:beforeAutospacing="1" w:after="100" w:afterAutospacing="1"/>
    </w:pPr>
  </w:style>
  <w:style w:type="paragraph" w:styleId="NoSpacing">
    <w:name w:val="No Spacing"/>
    <w:link w:val="NoSpacingChar"/>
    <w:rsid w:val="00ED3368"/>
    <w:pPr>
      <w:spacing w:after="0" w:line="240" w:lineRule="auto"/>
    </w:pPr>
    <w:rPr>
      <w:rFonts w:eastAsiaTheme="minorEastAsia"/>
      <w:lang w:val="en-US"/>
    </w:rPr>
  </w:style>
  <w:style w:type="character" w:customStyle="1" w:styleId="Heading7Char">
    <w:name w:val="Heading 7 Char"/>
    <w:basedOn w:val="DefaultParagraphFont"/>
    <w:link w:val="Heading7"/>
    <w:uiPriority w:val="9"/>
    <w:semiHidden/>
    <w:rsid w:val="00ED3368"/>
    <w:rPr>
      <w:rFonts w:asciiTheme="majorHAnsi" w:eastAsiaTheme="majorEastAsia" w:hAnsiTheme="majorHAnsi" w:cstheme="majorBidi"/>
      <w:iCs/>
      <w:color w:val="161B24" w:themeColor="accent1" w:themeShade="7F"/>
      <w:szCs w:val="20"/>
      <w:lang w:eastAsia="en-AU"/>
    </w:rPr>
  </w:style>
  <w:style w:type="character" w:customStyle="1" w:styleId="Heading8Char">
    <w:name w:val="Heading 8 Char"/>
    <w:basedOn w:val="DefaultParagraphFont"/>
    <w:link w:val="Heading8"/>
    <w:uiPriority w:val="9"/>
    <w:semiHidden/>
    <w:rsid w:val="00ED3368"/>
    <w:rPr>
      <w:rFonts w:asciiTheme="majorHAnsi" w:eastAsiaTheme="majorEastAsia" w:hAnsiTheme="majorHAnsi" w:cstheme="majorBidi"/>
      <w:color w:val="272727" w:themeColor="text1" w:themeTint="D8"/>
      <w:sz w:val="21"/>
      <w:szCs w:val="21"/>
      <w:lang w:eastAsia="en-AU"/>
    </w:rPr>
  </w:style>
  <w:style w:type="character" w:customStyle="1" w:styleId="Heading9Char">
    <w:name w:val="Heading 9 Char"/>
    <w:basedOn w:val="DefaultParagraphFont"/>
    <w:link w:val="Heading9"/>
    <w:uiPriority w:val="9"/>
    <w:semiHidden/>
    <w:rsid w:val="00ED3368"/>
    <w:rPr>
      <w:rFonts w:asciiTheme="majorHAnsi" w:eastAsiaTheme="majorEastAsia" w:hAnsiTheme="majorHAnsi" w:cstheme="majorBidi"/>
      <w:iCs/>
      <w:color w:val="272727" w:themeColor="text1" w:themeTint="D8"/>
      <w:sz w:val="21"/>
      <w:szCs w:val="21"/>
      <w:lang w:eastAsia="en-AU"/>
    </w:rPr>
  </w:style>
  <w:style w:type="paragraph" w:customStyle="1" w:styleId="FactsheetTitle">
    <w:name w:val="Fact sheet Title"/>
    <w:basedOn w:val="Normal"/>
    <w:next w:val="Subtitle"/>
    <w:uiPriority w:val="2"/>
    <w:qFormat/>
    <w:rsid w:val="00ED3368"/>
    <w:pPr>
      <w:spacing w:before="2400" w:after="600"/>
      <w:contextualSpacing/>
      <w:outlineLvl w:val="0"/>
    </w:pPr>
    <w:rPr>
      <w:rFonts w:ascii="Calibri" w:hAnsi="Calibri"/>
      <w:color w:val="2C384A" w:themeColor="accent1"/>
      <w:spacing w:val="-14"/>
      <w:sz w:val="68"/>
      <w:szCs w:val="68"/>
    </w:rPr>
  </w:style>
  <w:style w:type="paragraph" w:customStyle="1" w:styleId="Introtext">
    <w:name w:val="Intro text"/>
    <w:basedOn w:val="Normal"/>
    <w:qFormat/>
    <w:rsid w:val="00ED3368"/>
    <w:pPr>
      <w:numPr>
        <w:ilvl w:val="1"/>
      </w:numPr>
      <w:pBdr>
        <w:bottom w:val="single" w:sz="4" w:space="12" w:color="auto"/>
      </w:pBdr>
      <w:spacing w:before="0" w:after="240"/>
    </w:pPr>
    <w:rPr>
      <w:rFonts w:ascii="Calibri" w:eastAsiaTheme="minorEastAsia" w:hAnsi="Calibri" w:cstheme="minorBidi"/>
      <w:color w:val="2C384A" w:themeColor="accent1"/>
      <w:sz w:val="28"/>
      <w:szCs w:val="26"/>
      <w:lang w:eastAsia="zh-CN"/>
    </w:rPr>
  </w:style>
  <w:style w:type="character" w:styleId="FollowedHyperlink">
    <w:name w:val="FollowedHyperlink"/>
    <w:basedOn w:val="DefaultParagraphFont"/>
    <w:semiHidden/>
    <w:unhideWhenUsed/>
    <w:rsid w:val="00ED3368"/>
    <w:rPr>
      <w:color w:val="844D9E" w:themeColor="followedHyperlink"/>
      <w:u w:val="single"/>
    </w:rPr>
  </w:style>
  <w:style w:type="paragraph" w:customStyle="1" w:styleId="BoxBullet0">
    <w:name w:val="Box Bullet"/>
    <w:basedOn w:val="Bullet"/>
    <w:uiPriority w:val="1"/>
    <w:rsid w:val="00ED3368"/>
    <w:pPr>
      <w:spacing w:after="60"/>
    </w:pPr>
  </w:style>
  <w:style w:type="paragraph" w:customStyle="1" w:styleId="BoxDash0">
    <w:name w:val="Box Dash"/>
    <w:basedOn w:val="Dash"/>
    <w:uiPriority w:val="1"/>
    <w:rsid w:val="00ED3368"/>
    <w:pPr>
      <w:tabs>
        <w:tab w:val="num" w:pos="1040"/>
      </w:tabs>
      <w:spacing w:after="60" w:line="276" w:lineRule="auto"/>
    </w:pPr>
    <w:rPr>
      <w:rFonts w:eastAsiaTheme="minorHAnsi"/>
    </w:rPr>
  </w:style>
  <w:style w:type="paragraph" w:customStyle="1" w:styleId="BoxDoubleDot0">
    <w:name w:val="Box Double Dot"/>
    <w:basedOn w:val="DoubleDot"/>
    <w:uiPriority w:val="1"/>
    <w:rsid w:val="00ED3368"/>
    <w:pPr>
      <w:tabs>
        <w:tab w:val="num" w:pos="1560"/>
      </w:tabs>
      <w:spacing w:after="60" w:line="276" w:lineRule="auto"/>
    </w:pPr>
    <w:rPr>
      <w:rFonts w:eastAsiaTheme="minorHAnsi"/>
    </w:rPr>
  </w:style>
  <w:style w:type="paragraph" w:customStyle="1" w:styleId="Default">
    <w:name w:val="Default"/>
    <w:semiHidden/>
    <w:rsid w:val="00ED3368"/>
    <w:pPr>
      <w:autoSpaceDE w:val="0"/>
      <w:autoSpaceDN w:val="0"/>
      <w:adjustRightInd w:val="0"/>
      <w:spacing w:after="0" w:line="240" w:lineRule="auto"/>
    </w:pPr>
    <w:rPr>
      <w:rFonts w:ascii="Verdana" w:eastAsia="Times New Roman" w:hAnsi="Verdana" w:cs="Verdana"/>
      <w:color w:val="000000"/>
      <w:sz w:val="24"/>
      <w:szCs w:val="24"/>
      <w:lang w:eastAsia="en-AU"/>
    </w:rPr>
  </w:style>
  <w:style w:type="table" w:customStyle="1" w:styleId="GridTable5Dark-Accent61">
    <w:name w:val="Grid Table 5 Dark - Accent 61"/>
    <w:basedOn w:val="TableNormal"/>
    <w:uiPriority w:val="50"/>
    <w:rsid w:val="00ED3368"/>
    <w:pPr>
      <w:spacing w:before="100" w:after="0" w:line="240" w:lineRule="auto"/>
    </w:pPr>
    <w:rPr>
      <w:rFonts w:eastAsiaTheme="minorEastAsia"/>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ED3368"/>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table" w:customStyle="1" w:styleId="ListTable4-Accent61">
    <w:name w:val="List Table 4 - Accent 61"/>
    <w:basedOn w:val="TableNormal"/>
    <w:uiPriority w:val="49"/>
    <w:rsid w:val="00ED3368"/>
    <w:pPr>
      <w:spacing w:before="100" w:after="0" w:line="240" w:lineRule="auto"/>
    </w:pPr>
    <w:rPr>
      <w:rFonts w:eastAsiaTheme="minorEastAsia"/>
      <w:sz w:val="20"/>
      <w:szCs w:val="20"/>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rsid w:val="00ED3368"/>
    <w:rPr>
      <w:rFonts w:eastAsiaTheme="minorEastAsia"/>
      <w:lang w:val="en-US"/>
    </w:rPr>
  </w:style>
  <w:style w:type="character" w:styleId="PageNumber">
    <w:name w:val="page number"/>
    <w:basedOn w:val="DefaultParagraphFont"/>
    <w:uiPriority w:val="99"/>
    <w:rsid w:val="00ED3368"/>
  </w:style>
  <w:style w:type="numbering" w:customStyle="1" w:styleId="StyleBulletedSymbolsymbol11ptLeft4cmHanging05">
    <w:name w:val="Style Bulleted Symbol (symbol) 11 pt Left:  4 cm Hanging:  0.5 ..."/>
    <w:basedOn w:val="NoList"/>
    <w:rsid w:val="00ED3368"/>
    <w:pPr>
      <w:numPr>
        <w:numId w:val="9"/>
      </w:numPr>
    </w:pPr>
  </w:style>
  <w:style w:type="numbering" w:customStyle="1" w:styleId="StyleBulletedSymbolsymbol11ptLeft4cmHanging051">
    <w:name w:val="Style Bulleted Symbol (symbol) 11 pt Left:  4 cm Hanging:  0.5 ...1"/>
    <w:basedOn w:val="NoList"/>
    <w:rsid w:val="00ED3368"/>
    <w:pPr>
      <w:numPr>
        <w:numId w:val="10"/>
      </w:numPr>
    </w:pPr>
  </w:style>
  <w:style w:type="table" w:styleId="ListTable4-Accent1">
    <w:name w:val="List Table 4 Accent 1"/>
    <w:basedOn w:val="TableNormal"/>
    <w:uiPriority w:val="49"/>
    <w:rsid w:val="00ED3368"/>
    <w:pPr>
      <w:spacing w:after="0" w:line="240" w:lineRule="auto"/>
    </w:pPr>
    <w:rPr>
      <w:rFonts w:ascii="Calibri" w:hAnsi="Calibri" w:cs="Times New Roman"/>
      <w:sz w:val="20"/>
      <w:szCs w:val="20"/>
    </w:rPr>
    <w:tblPr>
      <w:tblStyleRowBandSize w:val="1"/>
      <w:tblStyleColBandSize w:val="1"/>
      <w:tblBorders>
        <w:top w:val="single" w:sz="4" w:space="0" w:color="6B83A7" w:themeColor="accent1" w:themeTint="99"/>
        <w:left w:val="single" w:sz="4" w:space="0" w:color="6B83A7" w:themeColor="accent1" w:themeTint="99"/>
        <w:bottom w:val="single" w:sz="4" w:space="0" w:color="6B83A7" w:themeColor="accent1" w:themeTint="99"/>
        <w:right w:val="single" w:sz="4" w:space="0" w:color="6B83A7" w:themeColor="accent1" w:themeTint="99"/>
        <w:insideH w:val="single" w:sz="4" w:space="0" w:color="6B83A7" w:themeColor="accent1" w:themeTint="99"/>
      </w:tblBorders>
    </w:tblPr>
    <w:tblStylePr w:type="firstRow">
      <w:rPr>
        <w:b/>
        <w:bCs/>
        <w:color w:val="FFFFFF" w:themeColor="background1"/>
      </w:rPr>
      <w:tblPr/>
      <w:tcPr>
        <w:tcBorders>
          <w:top w:val="single" w:sz="4" w:space="0" w:color="2C384A" w:themeColor="accent1"/>
          <w:left w:val="single" w:sz="4" w:space="0" w:color="2C384A" w:themeColor="accent1"/>
          <w:bottom w:val="single" w:sz="4" w:space="0" w:color="2C384A" w:themeColor="accent1"/>
          <w:right w:val="single" w:sz="4" w:space="0" w:color="2C384A" w:themeColor="accent1"/>
          <w:insideH w:val="nil"/>
        </w:tcBorders>
        <w:shd w:val="clear" w:color="auto" w:fill="2C384A" w:themeFill="accent1"/>
      </w:tcPr>
    </w:tblStylePr>
    <w:tblStylePr w:type="lastRow">
      <w:rPr>
        <w:b/>
        <w:bCs/>
      </w:rPr>
      <w:tblPr/>
      <w:tcPr>
        <w:tcBorders>
          <w:top w:val="double" w:sz="4" w:space="0" w:color="6B83A7" w:themeColor="accent1" w:themeTint="99"/>
        </w:tcBorders>
      </w:tcPr>
    </w:tblStylePr>
    <w:tblStylePr w:type="firstCol">
      <w:rPr>
        <w:b/>
        <w:bCs/>
      </w:rPr>
    </w:tblStylePr>
    <w:tblStylePr w:type="lastCol">
      <w:rPr>
        <w:b/>
        <w:bCs/>
      </w:rPr>
    </w:tblStylePr>
    <w:tblStylePr w:type="band1Vert">
      <w:tblPr/>
      <w:tcPr>
        <w:shd w:val="clear" w:color="auto" w:fill="E6EAF0"/>
      </w:tcPr>
    </w:tblStylePr>
    <w:tblStylePr w:type="band1Horz">
      <w:tblPr/>
      <w:tcPr>
        <w:shd w:val="clear" w:color="auto" w:fill="E6EAF0"/>
      </w:tcPr>
    </w:tblStylePr>
  </w:style>
  <w:style w:type="paragraph" w:styleId="Date">
    <w:name w:val="Date"/>
    <w:basedOn w:val="Normal"/>
    <w:next w:val="Normal"/>
    <w:link w:val="DateChar"/>
    <w:uiPriority w:val="2"/>
    <w:rsid w:val="00ED3368"/>
    <w:pPr>
      <w:spacing w:after="360"/>
      <w:contextualSpacing/>
    </w:pPr>
    <w:rPr>
      <w:color w:val="2C384A" w:themeColor="accent1"/>
      <w:sz w:val="32"/>
    </w:rPr>
  </w:style>
  <w:style w:type="character" w:customStyle="1" w:styleId="DateChar">
    <w:name w:val="Date Char"/>
    <w:basedOn w:val="DefaultParagraphFont"/>
    <w:link w:val="Date"/>
    <w:uiPriority w:val="2"/>
    <w:rsid w:val="00ED3368"/>
    <w:rPr>
      <w:rFonts w:ascii="Calibri Light" w:eastAsia="Times New Roman" w:hAnsi="Calibri Light" w:cs="Times New Roman"/>
      <w:color w:val="2C384A" w:themeColor="accent1"/>
      <w:sz w:val="32"/>
      <w:szCs w:val="20"/>
      <w:lang w:eastAsia="en-AU"/>
    </w:rPr>
  </w:style>
  <w:style w:type="paragraph" w:customStyle="1" w:styleId="ChartorTableNoteAlpha">
    <w:name w:val="Chart or Table Note Alpha"/>
    <w:uiPriority w:val="1"/>
    <w:rsid w:val="00ED3368"/>
    <w:pPr>
      <w:tabs>
        <w:tab w:val="num" w:pos="284"/>
      </w:tabs>
      <w:spacing w:before="60" w:after="0" w:line="240" w:lineRule="auto"/>
      <w:ind w:left="284" w:hanging="284"/>
      <w:contextualSpacing/>
      <w:jc w:val="both"/>
    </w:pPr>
    <w:rPr>
      <w:rFonts w:ascii="Calibri" w:eastAsia="Times New Roman" w:hAnsi="Calibri" w:cs="Times New Roman"/>
      <w:sz w:val="18"/>
      <w:szCs w:val="16"/>
      <w:lang w:eastAsia="en-AU"/>
    </w:rPr>
  </w:style>
  <w:style w:type="paragraph" w:customStyle="1" w:styleId="FactsheetSubtitle">
    <w:name w:val="Fact sheet Subtitle"/>
    <w:basedOn w:val="FactsheetTitle"/>
    <w:uiPriority w:val="2"/>
    <w:qFormat/>
    <w:rsid w:val="00ED3368"/>
    <w:pPr>
      <w:spacing w:before="1200"/>
    </w:pPr>
    <w:rPr>
      <w:rFonts w:ascii="Calibri Light" w:hAnsi="Calibri Light"/>
      <w:sz w:val="48"/>
    </w:rPr>
  </w:style>
  <w:style w:type="paragraph" w:styleId="Quote">
    <w:name w:val="Quote"/>
    <w:basedOn w:val="Normal"/>
    <w:next w:val="Normal"/>
    <w:link w:val="QuoteChar"/>
    <w:uiPriority w:val="29"/>
    <w:rsid w:val="00ED3368"/>
    <w:pPr>
      <w:pBdr>
        <w:top w:val="single" w:sz="4" w:space="6" w:color="E6EAF0"/>
        <w:bottom w:val="single" w:sz="4" w:space="6" w:color="E6EAF0"/>
      </w:pBdr>
      <w:spacing w:before="240" w:after="240"/>
      <w:ind w:left="851" w:right="851"/>
      <w:jc w:val="center"/>
    </w:pPr>
    <w:rPr>
      <w:i/>
      <w:iCs/>
      <w:color w:val="2C384A" w:themeColor="accent1"/>
    </w:rPr>
  </w:style>
  <w:style w:type="character" w:customStyle="1" w:styleId="QuoteChar">
    <w:name w:val="Quote Char"/>
    <w:basedOn w:val="DefaultParagraphFont"/>
    <w:link w:val="Quote"/>
    <w:uiPriority w:val="29"/>
    <w:rsid w:val="00ED3368"/>
    <w:rPr>
      <w:rFonts w:ascii="Calibri Light" w:eastAsia="Times New Roman" w:hAnsi="Calibri Light" w:cs="Times New Roman"/>
      <w:i/>
      <w:iCs/>
      <w:color w:val="2C384A" w:themeColor="accent1"/>
      <w:szCs w:val="20"/>
      <w:lang w:eastAsia="en-AU"/>
    </w:rPr>
  </w:style>
  <w:style w:type="paragraph" w:customStyle="1" w:styleId="NumberedList1">
    <w:name w:val="Numbered List 1"/>
    <w:basedOn w:val="Normal"/>
    <w:link w:val="NumberedList1Char"/>
    <w:rsid w:val="00ED3368"/>
    <w:pPr>
      <w:numPr>
        <w:numId w:val="12"/>
      </w:numPr>
    </w:pPr>
  </w:style>
  <w:style w:type="character" w:customStyle="1" w:styleId="NumberedList1Char">
    <w:name w:val="Numbered List 1 Char"/>
    <w:basedOn w:val="DefaultParagraphFont"/>
    <w:link w:val="NumberedList1"/>
    <w:rsid w:val="00ED3368"/>
    <w:rPr>
      <w:rFonts w:ascii="Calibri Light" w:eastAsia="Times New Roman" w:hAnsi="Calibri Light" w:cs="Times New Roman"/>
      <w:szCs w:val="20"/>
      <w:lang w:eastAsia="en-AU"/>
    </w:rPr>
  </w:style>
  <w:style w:type="paragraph" w:customStyle="1" w:styleId="NumberedList11">
    <w:name w:val="Numbered List 1.1"/>
    <w:basedOn w:val="Normal"/>
    <w:link w:val="NumberedList11Char"/>
    <w:rsid w:val="00ED3368"/>
    <w:pPr>
      <w:numPr>
        <w:ilvl w:val="1"/>
        <w:numId w:val="12"/>
      </w:numPr>
    </w:pPr>
  </w:style>
  <w:style w:type="character" w:customStyle="1" w:styleId="NumberedList11Char">
    <w:name w:val="Numbered List 1.1 Char"/>
    <w:basedOn w:val="DefaultParagraphFont"/>
    <w:link w:val="NumberedList11"/>
    <w:rsid w:val="00ED3368"/>
    <w:rPr>
      <w:rFonts w:ascii="Calibri Light" w:eastAsia="Times New Roman" w:hAnsi="Calibri Light" w:cs="Times New Roman"/>
      <w:szCs w:val="20"/>
      <w:lang w:eastAsia="en-AU"/>
    </w:rPr>
  </w:style>
  <w:style w:type="paragraph" w:customStyle="1" w:styleId="NumberedList111">
    <w:name w:val="Numbered List 1.1.1"/>
    <w:basedOn w:val="Normal"/>
    <w:link w:val="NumberedList111Char"/>
    <w:rsid w:val="00ED3368"/>
    <w:pPr>
      <w:numPr>
        <w:ilvl w:val="2"/>
        <w:numId w:val="12"/>
      </w:numPr>
    </w:pPr>
  </w:style>
  <w:style w:type="character" w:customStyle="1" w:styleId="NumberedList111Char">
    <w:name w:val="Numbered List 1.1.1 Char"/>
    <w:basedOn w:val="DefaultParagraphFont"/>
    <w:link w:val="NumberedList111"/>
    <w:rsid w:val="00ED3368"/>
    <w:rPr>
      <w:rFonts w:ascii="Calibri Light" w:eastAsia="Times New Roman" w:hAnsi="Calibri Light"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139755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image" Target="media/image9.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emf"/><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oter" Target="footer3.xml"/><Relationship Id="rId30"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03D6B-C7D5-4BC9-9C35-070D362AC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2646</Words>
  <Characters>15086</Characters>
  <Application>Microsoft Office Word</Application>
  <DocSecurity>2</DocSecurity>
  <Lines>125</Lines>
  <Paragraphs>35</Paragraphs>
  <ScaleCrop>false</ScaleCrop>
  <HeadingPairs>
    <vt:vector size="2" baseType="variant">
      <vt:variant>
        <vt:lpstr>Title</vt:lpstr>
      </vt:variant>
      <vt:variant>
        <vt:i4>1</vt:i4>
      </vt:variant>
    </vt:vector>
  </HeadingPairs>
  <TitlesOfParts>
    <vt:vector size="1" baseType="lpstr">
      <vt:lpstr>Amending tax cuts to deliver broader cost-of-living relief</vt:lpstr>
    </vt:vector>
  </TitlesOfParts>
  <Company/>
  <LinksUpToDate>false</LinksUpToDate>
  <CharactersWithSpaces>17697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Amending tax cuts to deliver broader cost-of-living relief</dc:title>
  <dc:subject/>
  <dc:creator>Australian Government</dc:creator>
  <cp:keywords/>
  <cp:lastModifiedBy>van der Hoeven, Megan</cp:lastModifiedBy>
  <cp:revision>3</cp:revision>
  <dcterms:created xsi:type="dcterms:W3CDTF">2024-01-24T21:55:00Z</dcterms:created>
  <dcterms:modified xsi:type="dcterms:W3CDTF">2024-01-24T21:58:00Z</dcterms:modified>
</cp:coreProperties>
</file>