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32331036" w14:textId="48D957A9" w:rsidR="00A97160" w:rsidRPr="006D0240" w:rsidRDefault="00A97160" w:rsidP="006469CC">
          <w:pPr>
            <w:pStyle w:val="ListParagraph"/>
          </w:pPr>
          <w:r>
            <w:rPr>
              <w:noProof/>
            </w:rPr>
            <w:drawing>
              <wp:anchor distT="0" distB="0" distL="114300" distR="114300" simplePos="0" relativeHeight="251658240" behindDoc="1" locked="0" layoutInCell="1" allowOverlap="1" wp14:anchorId="6C37A3B5" wp14:editId="6A1761C6">
                <wp:simplePos x="0" y="0"/>
                <wp:positionH relativeFrom="margin">
                  <wp:posOffset>-909955</wp:posOffset>
                </wp:positionH>
                <wp:positionV relativeFrom="page">
                  <wp:posOffset>-18560</wp:posOffset>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1AECC" w14:textId="77777777" w:rsidR="00A97160" w:rsidRPr="006D0240" w:rsidRDefault="00A97160" w:rsidP="00301755">
          <w:pPr>
            <w:pStyle w:val="Header"/>
            <w:spacing w:after="1200"/>
          </w:pPr>
        </w:p>
        <w:p w14:paraId="179BC505" w14:textId="4F70E1E4" w:rsidR="00A97160" w:rsidRPr="006923DF" w:rsidRDefault="00C944FA" w:rsidP="002A7A31">
          <w:pPr>
            <w:pStyle w:val="Title"/>
            <w:tabs>
              <w:tab w:val="left" w:pos="6379"/>
            </w:tabs>
            <w:spacing w:after="120" w:line="720" w:lineRule="exact"/>
            <w:ind w:right="1982"/>
          </w:pPr>
          <w:r w:rsidRPr="00C944FA">
            <w:t>Non-compete clauses—</w:t>
          </w:r>
          <w:r w:rsidR="00694073">
            <w:t>p</w:t>
          </w:r>
          <w:r w:rsidRPr="00C944FA">
            <w:t xml:space="preserve">revalence, </w:t>
          </w:r>
          <w:r w:rsidR="00694073">
            <w:t>i</w:t>
          </w:r>
          <w:r w:rsidRPr="00C944FA">
            <w:t xml:space="preserve">mpact and </w:t>
          </w:r>
          <w:r w:rsidR="00694073">
            <w:t>p</w:t>
          </w:r>
          <w:r w:rsidRPr="00C944FA">
            <w:t xml:space="preserve">olicy </w:t>
          </w:r>
          <w:proofErr w:type="gramStart"/>
          <w:r w:rsidR="00694073">
            <w:t>i</w:t>
          </w:r>
          <w:r w:rsidRPr="00C944FA">
            <w:t>mplications</w:t>
          </w:r>
          <w:proofErr w:type="gramEnd"/>
        </w:p>
        <w:p w14:paraId="4DE1FC80" w14:textId="77777777" w:rsidR="00A97160" w:rsidRPr="006923DF" w:rsidRDefault="00A97160" w:rsidP="004C2902">
          <w:pPr>
            <w:pStyle w:val="Subtitle"/>
            <w:spacing w:after="360"/>
          </w:pPr>
          <w:r w:rsidRPr="006923DF">
            <w:fldChar w:fldCharType="begin"/>
          </w:r>
          <w:r w:rsidRPr="006923DF">
            <w:instrText xml:space="preserve"> macrobutton NoMacro [Sub title]</w:instrText>
          </w:r>
          <w:r w:rsidRPr="006923DF">
            <w:fldChar w:fldCharType="end"/>
          </w:r>
        </w:p>
        <w:p w14:paraId="71A0905D" w14:textId="71013560" w:rsidR="00A97160" w:rsidRDefault="00686F20" w:rsidP="006923DF">
          <w:pPr>
            <w:pStyle w:val="ReportDate"/>
          </w:pPr>
          <w:r>
            <w:t>Summary of Treasury-e61 Institute Joint Webinar</w:t>
          </w:r>
        </w:p>
        <w:p w14:paraId="2E5AFE7E" w14:textId="74A162B3" w:rsidR="00686F20" w:rsidRPr="00586605" w:rsidRDefault="00083EC3" w:rsidP="006923DF">
          <w:pPr>
            <w:pStyle w:val="ReportDate"/>
          </w:pPr>
          <w:r>
            <w:t>Presented 18 October 2023</w:t>
          </w:r>
        </w:p>
        <w:p w14:paraId="37CF4622" w14:textId="77777777" w:rsidR="00A97160" w:rsidRDefault="00A97160">
          <w:pPr>
            <w:spacing w:before="0" w:after="160" w:line="259" w:lineRule="auto"/>
            <w:rPr>
              <w:noProof/>
            </w:rPr>
          </w:pPr>
        </w:p>
        <w:p w14:paraId="39FAD522" w14:textId="248AFF4A" w:rsidR="00F836F9" w:rsidRDefault="00684D35" w:rsidP="00793FC3">
          <w:pPr>
            <w:spacing w:before="0" w:after="160" w:line="259" w:lineRule="auto"/>
            <w:sectPr w:rsidR="00F836F9" w:rsidSect="00A97160">
              <w:pgSz w:w="11906" w:h="16838" w:code="9"/>
              <w:pgMar w:top="1843" w:right="1418" w:bottom="1418" w:left="1418" w:header="709" w:footer="709" w:gutter="0"/>
              <w:pgNumType w:fmt="lowerRoman" w:start="0"/>
              <w:cols w:space="708"/>
              <w:titlePg/>
              <w:docGrid w:linePitch="360"/>
            </w:sectPr>
          </w:pPr>
        </w:p>
      </w:sdtContent>
    </w:sdt>
    <w:p w14:paraId="26143BD0" w14:textId="242C4B20" w:rsidR="008775CC" w:rsidRDefault="008775CC" w:rsidP="00AA7DEC">
      <w:pPr>
        <w:pStyle w:val="Heading2"/>
      </w:pPr>
      <w:bookmarkStart w:id="0" w:name="_Toc151106118"/>
      <w:r>
        <w:lastRenderedPageBreak/>
        <w:t>About the webinar</w:t>
      </w:r>
      <w:bookmarkEnd w:id="0"/>
    </w:p>
    <w:p w14:paraId="5DE7D568" w14:textId="44FDED27" w:rsidR="008775CC" w:rsidRDefault="00E55177" w:rsidP="00E55177">
      <w:r>
        <w:t xml:space="preserve">On 18 October 2023, the Competition Review hosted a joint seminar with the e61 Institute, bringing together </w:t>
      </w:r>
      <w:r w:rsidR="0031543A">
        <w:t xml:space="preserve">local </w:t>
      </w:r>
      <w:r>
        <w:t xml:space="preserve">and international policymakers and </w:t>
      </w:r>
      <w:r w:rsidR="007A0A3D">
        <w:t>research</w:t>
      </w:r>
      <w:r w:rsidR="003840B8">
        <w:t>ers</w:t>
      </w:r>
      <w:r w:rsidR="007A0A3D">
        <w:t xml:space="preserve"> </w:t>
      </w:r>
      <w:r w:rsidR="0031543A">
        <w:t xml:space="preserve">to discuss </w:t>
      </w:r>
      <w:r>
        <w:t>non-compete and related clauses.</w:t>
      </w:r>
    </w:p>
    <w:p w14:paraId="71BE1359" w14:textId="7C9C06E4" w:rsidR="00D97058" w:rsidRDefault="00D97058" w:rsidP="00E55177">
      <w:r>
        <w:t xml:space="preserve">The </w:t>
      </w:r>
      <w:r w:rsidR="007E1E5D">
        <w:t>seminar</w:t>
      </w:r>
      <w:r>
        <w:t xml:space="preserve"> was </w:t>
      </w:r>
      <w:hyperlink r:id="rId13" w:history="1">
        <w:r w:rsidRPr="00890D82">
          <w:rPr>
            <w:rStyle w:val="Hyperlink"/>
          </w:rPr>
          <w:t>opened by the Hon Andrew Leigh MP</w:t>
        </w:r>
      </w:hyperlink>
      <w:r>
        <w:t xml:space="preserve">, Professor Evan Starr provided the keynote </w:t>
      </w:r>
      <w:r w:rsidR="00CC7767">
        <w:t>address</w:t>
      </w:r>
      <w:r>
        <w:t xml:space="preserve">, and </w:t>
      </w:r>
      <w:r w:rsidR="0099025B">
        <w:t xml:space="preserve">there were </w:t>
      </w:r>
      <w:r>
        <w:t xml:space="preserve">speakers from the OECD, US Federal Trade Commission, the US Department of Justice and </w:t>
      </w:r>
      <w:r w:rsidR="001C55BA">
        <w:t xml:space="preserve">the Australian </w:t>
      </w:r>
      <w:r>
        <w:t xml:space="preserve">Treasury. </w:t>
      </w:r>
    </w:p>
    <w:p w14:paraId="6AAEA471" w14:textId="3E7D09A5" w:rsidR="007923A3" w:rsidRPr="00AA7DEC" w:rsidRDefault="009F5FA4" w:rsidP="00AA7DEC">
      <w:pPr>
        <w:pStyle w:val="Heading2"/>
      </w:pPr>
      <w:bookmarkStart w:id="1" w:name="_Toc151106119"/>
      <w:r>
        <w:t>What are non-compete clauses?</w:t>
      </w:r>
      <w:bookmarkEnd w:id="1"/>
    </w:p>
    <w:p w14:paraId="780C99BF" w14:textId="77777777" w:rsidR="00995DB4" w:rsidRDefault="00995DB4" w:rsidP="00995DB4">
      <w:r>
        <w:t xml:space="preserve">Non-compete clauses are conditions in employment contracts that restrict an employee from moving to a competitor. They usually define a specific period of time and/or geographic area over which the clause applies after the employee leaves the employer.  </w:t>
      </w:r>
    </w:p>
    <w:p w14:paraId="2D0C317B" w14:textId="77777777" w:rsidR="00E60017" w:rsidRDefault="00E60017" w:rsidP="00CC4581">
      <w:pPr>
        <w:pStyle w:val="Bullet"/>
        <w:numPr>
          <w:ilvl w:val="0"/>
          <w:numId w:val="0"/>
        </w:numPr>
      </w:pPr>
      <w:r>
        <w:t xml:space="preserve">These clauses are traditionally justified to protect an employer’s proprietary knowledge, client relationships and contacts, and to incentivise investments in developing workers’ </w:t>
      </w:r>
      <w:proofErr w:type="gramStart"/>
      <w:r>
        <w:t>skills .</w:t>
      </w:r>
      <w:proofErr w:type="gramEnd"/>
    </w:p>
    <w:p w14:paraId="47D2FFF1" w14:textId="77777777" w:rsidR="00E60017" w:rsidRDefault="00E60017" w:rsidP="00CC4581">
      <w:pPr>
        <w:pStyle w:val="Bullet"/>
        <w:numPr>
          <w:ilvl w:val="0"/>
          <w:numId w:val="0"/>
        </w:numPr>
      </w:pPr>
      <w:r>
        <w:t>Non-compete clauses differ to and exist alongside other clauses that seek to protect an employer’s information and business interests, including:</w:t>
      </w:r>
    </w:p>
    <w:p w14:paraId="472CA7C1" w14:textId="77777777" w:rsidR="001C42BE" w:rsidRDefault="001C42BE" w:rsidP="00B419CF">
      <w:pPr>
        <w:pStyle w:val="Bullet"/>
      </w:pPr>
      <w:r w:rsidRPr="00B419CF">
        <w:rPr>
          <w:rStyle w:val="Strong"/>
        </w:rPr>
        <w:t>Non-disclosure agreements:</w:t>
      </w:r>
      <w:r>
        <w:t xml:space="preserve"> where workers are restricted from sharing certain information.</w:t>
      </w:r>
    </w:p>
    <w:p w14:paraId="172C7D3E" w14:textId="77777777" w:rsidR="001C42BE" w:rsidRDefault="001C42BE" w:rsidP="00B419CF">
      <w:pPr>
        <w:pStyle w:val="Bullet"/>
      </w:pPr>
      <w:r w:rsidRPr="00B419CF">
        <w:rPr>
          <w:rStyle w:val="Strong"/>
        </w:rPr>
        <w:t>Non-solicitation clauses</w:t>
      </w:r>
      <w:r>
        <w:t xml:space="preserve">: that prohibit a former employee from soliciting former clients/co-workers. </w:t>
      </w:r>
    </w:p>
    <w:p w14:paraId="32178156" w14:textId="1D74169C" w:rsidR="009F5FA4" w:rsidRDefault="001C42BE" w:rsidP="00B419CF">
      <w:pPr>
        <w:pStyle w:val="Bullet"/>
      </w:pPr>
      <w:r w:rsidRPr="00B419CF">
        <w:rPr>
          <w:rStyle w:val="Strong"/>
        </w:rPr>
        <w:t>No-poach agreements between employers:</w:t>
      </w:r>
      <w:r>
        <w:t xml:space="preserve"> where businesses agree not to hire the current or former staff of another business.</w:t>
      </w:r>
    </w:p>
    <w:p w14:paraId="6BCE6F2A" w14:textId="5C13179F" w:rsidR="00930535" w:rsidRDefault="006502DE" w:rsidP="00FB69A9">
      <w:pPr>
        <w:pStyle w:val="Heading2"/>
      </w:pPr>
      <w:bookmarkStart w:id="2" w:name="_Toc151106120"/>
      <w:r>
        <w:t>Prev</w:t>
      </w:r>
      <w:r w:rsidR="00387705">
        <w:t>a</w:t>
      </w:r>
      <w:r>
        <w:t>lence of non-compete clauses</w:t>
      </w:r>
      <w:bookmarkEnd w:id="2"/>
      <w:r>
        <w:t xml:space="preserve"> </w:t>
      </w:r>
    </w:p>
    <w:p w14:paraId="7DD0068C" w14:textId="7E76337C" w:rsidR="005F2EE3" w:rsidRDefault="005F2EE3" w:rsidP="00B419CF">
      <w:r>
        <w:t xml:space="preserve">Participants noted that non-compete clauses are rising in prevalence and have become widespread in labour markets – not only in the US and EU </w:t>
      </w:r>
      <w:r w:rsidR="002975B1">
        <w:t>but also Australia</w:t>
      </w:r>
      <w:r>
        <w:t xml:space="preserve">. Traditionally, </w:t>
      </w:r>
      <w:r w:rsidR="004C4DFD">
        <w:t>non-compete clauses</w:t>
      </w:r>
      <w:r>
        <w:t xml:space="preserve"> </w:t>
      </w:r>
      <w:r w:rsidR="00B14556">
        <w:t>tended to be</w:t>
      </w:r>
      <w:r w:rsidR="00E17427">
        <w:t xml:space="preserve"> </w:t>
      </w:r>
      <w:r>
        <w:t xml:space="preserve">included in </w:t>
      </w:r>
      <w:r w:rsidR="009071ED">
        <w:t xml:space="preserve">the </w:t>
      </w:r>
      <w:r>
        <w:t xml:space="preserve">employment contracts </w:t>
      </w:r>
      <w:r w:rsidR="009071ED">
        <w:t xml:space="preserve">of </w:t>
      </w:r>
      <w:r>
        <w:t>higher-</w:t>
      </w:r>
      <w:r w:rsidR="00B50446">
        <w:t xml:space="preserve">wage </w:t>
      </w:r>
      <w:r>
        <w:t xml:space="preserve">and senior roles to protect trade secrets and client relationships but </w:t>
      </w:r>
      <w:r w:rsidR="007D59B3">
        <w:t xml:space="preserve">have </w:t>
      </w:r>
      <w:r>
        <w:t xml:space="preserve">become </w:t>
      </w:r>
      <w:r w:rsidR="007D59B3">
        <w:t xml:space="preserve">increasingly </w:t>
      </w:r>
      <w:r w:rsidR="001D6500">
        <w:t xml:space="preserve">common </w:t>
      </w:r>
      <w:r w:rsidR="00B0708E">
        <w:t>in the contract</w:t>
      </w:r>
      <w:r w:rsidR="001A1319">
        <w:t>s</w:t>
      </w:r>
      <w:r w:rsidR="00B0708E">
        <w:t xml:space="preserve"> of </w:t>
      </w:r>
      <w:r>
        <w:t xml:space="preserve">low-income workers </w:t>
      </w:r>
      <w:r w:rsidR="00B0708E">
        <w:t xml:space="preserve">such as those working </w:t>
      </w:r>
      <w:r>
        <w:t xml:space="preserve">in fast-food chains, childcare </w:t>
      </w:r>
      <w:proofErr w:type="gramStart"/>
      <w:r>
        <w:t>workers</w:t>
      </w:r>
      <w:proofErr w:type="gramEnd"/>
      <w:r>
        <w:t xml:space="preserve"> and security guards.</w:t>
      </w:r>
    </w:p>
    <w:p w14:paraId="67B96C6E" w14:textId="479CF46E" w:rsidR="005F2EE3" w:rsidRDefault="005F2EE3" w:rsidP="00B419CF">
      <w:r>
        <w:t xml:space="preserve">In Australia, a recent e61 Institute survey suggests around </w:t>
      </w:r>
      <w:r w:rsidR="00783455">
        <w:t>1 in 5</w:t>
      </w:r>
      <w:r>
        <w:t xml:space="preserve"> workers have a noncompete clause in their employment agreement. </w:t>
      </w:r>
    </w:p>
    <w:p w14:paraId="2617F669" w14:textId="12E4FCA2" w:rsidR="005F2EE3" w:rsidRDefault="00F678C4" w:rsidP="00B419CF">
      <w:r>
        <w:t>Participants</w:t>
      </w:r>
      <w:r w:rsidR="005F2EE3">
        <w:t xml:space="preserve"> also noted that these clauses are prevalent across a number </w:t>
      </w:r>
      <w:r w:rsidR="005F2EE3" w:rsidRPr="00E53C8C">
        <w:t>of other OECD countries</w:t>
      </w:r>
      <w:r w:rsidR="00913CC1" w:rsidRPr="00E53C8C">
        <w:t xml:space="preserve"> (see </w:t>
      </w:r>
      <w:r w:rsidR="00D6408E" w:rsidRPr="004549BC">
        <w:t xml:space="preserve">attached </w:t>
      </w:r>
      <w:r w:rsidR="00913CC1" w:rsidRPr="00E53C8C">
        <w:t>slides</w:t>
      </w:r>
      <w:r w:rsidR="00E53C8C" w:rsidRPr="00E53C8C">
        <w:t xml:space="preserve"> from </w:t>
      </w:r>
      <w:r w:rsidR="00F518E2">
        <w:t>OECD</w:t>
      </w:r>
      <w:r w:rsidR="00913CC1" w:rsidRPr="00E53C8C">
        <w:t>)</w:t>
      </w:r>
      <w:r w:rsidR="005F2EE3" w:rsidRPr="00E53C8C">
        <w:t>:</w:t>
      </w:r>
      <w:r w:rsidR="005F2EE3">
        <w:t xml:space="preserve"> </w:t>
      </w:r>
    </w:p>
    <w:p w14:paraId="51625AB7" w14:textId="17194D61" w:rsidR="00D75AA6" w:rsidRDefault="00D75AA6" w:rsidP="00D75AA6">
      <w:pPr>
        <w:pStyle w:val="Bullet"/>
        <w:numPr>
          <w:ilvl w:val="0"/>
          <w:numId w:val="26"/>
        </w:numPr>
        <w:tabs>
          <w:tab w:val="clear" w:pos="720"/>
        </w:tabs>
        <w:spacing w:after="160" w:line="259" w:lineRule="auto"/>
      </w:pPr>
      <w:r w:rsidRPr="00884656">
        <w:rPr>
          <w:rStyle w:val="Strong"/>
        </w:rPr>
        <w:t>United States</w:t>
      </w:r>
      <w:r w:rsidR="00CF4AC5">
        <w:rPr>
          <w:rStyle w:val="Strong"/>
        </w:rPr>
        <w:t xml:space="preserve"> (US)</w:t>
      </w:r>
      <w:r w:rsidRPr="00884656">
        <w:rPr>
          <w:rStyle w:val="Strong"/>
        </w:rPr>
        <w:t>:</w:t>
      </w:r>
      <w:r>
        <w:t xml:space="preserve"> Around 18% of workers</w:t>
      </w:r>
      <w:r w:rsidR="00FB5D0F">
        <w:t>.</w:t>
      </w:r>
    </w:p>
    <w:p w14:paraId="453EF266" w14:textId="574E9312" w:rsidR="00D75AA6" w:rsidRDefault="00D75AA6" w:rsidP="00D75AA6">
      <w:pPr>
        <w:pStyle w:val="Bullet"/>
        <w:numPr>
          <w:ilvl w:val="0"/>
          <w:numId w:val="26"/>
        </w:numPr>
        <w:tabs>
          <w:tab w:val="clear" w:pos="720"/>
        </w:tabs>
        <w:spacing w:after="160" w:line="259" w:lineRule="auto"/>
      </w:pPr>
      <w:r w:rsidRPr="00884656">
        <w:rPr>
          <w:rStyle w:val="Strong"/>
        </w:rPr>
        <w:t>Austria:</w:t>
      </w:r>
      <w:r>
        <w:t xml:space="preserve"> Over 35% of private sector workers in 2006</w:t>
      </w:r>
      <w:r w:rsidR="00FB5D0F">
        <w:t>.</w:t>
      </w:r>
    </w:p>
    <w:p w14:paraId="1AE61DAE" w14:textId="1624CC94" w:rsidR="00D75AA6" w:rsidRDefault="00D75AA6" w:rsidP="00D75AA6">
      <w:pPr>
        <w:pStyle w:val="Bullet"/>
        <w:numPr>
          <w:ilvl w:val="0"/>
          <w:numId w:val="26"/>
        </w:numPr>
        <w:tabs>
          <w:tab w:val="clear" w:pos="720"/>
        </w:tabs>
        <w:spacing w:after="160" w:line="259" w:lineRule="auto"/>
      </w:pPr>
      <w:r w:rsidRPr="00884656">
        <w:rPr>
          <w:rStyle w:val="Strong"/>
        </w:rPr>
        <w:t>Italy:</w:t>
      </w:r>
      <w:r>
        <w:t xml:space="preserve"> Around 16% of private sector employees</w:t>
      </w:r>
      <w:r w:rsidR="00FB5D0F">
        <w:t>.</w:t>
      </w:r>
    </w:p>
    <w:p w14:paraId="090D61E6" w14:textId="69009EA7" w:rsidR="00D75AA6" w:rsidRDefault="00D75AA6" w:rsidP="00D75AA6">
      <w:pPr>
        <w:pStyle w:val="Bullet"/>
        <w:numPr>
          <w:ilvl w:val="0"/>
          <w:numId w:val="26"/>
        </w:numPr>
        <w:tabs>
          <w:tab w:val="clear" w:pos="720"/>
        </w:tabs>
        <w:spacing w:after="160" w:line="259" w:lineRule="auto"/>
      </w:pPr>
      <w:r w:rsidRPr="00884656">
        <w:rPr>
          <w:rStyle w:val="Strong"/>
        </w:rPr>
        <w:t>Finland:</w:t>
      </w:r>
      <w:r>
        <w:t xml:space="preserve"> Around 37% of high-skilled workers</w:t>
      </w:r>
      <w:r w:rsidR="00FB5D0F">
        <w:t>.</w:t>
      </w:r>
    </w:p>
    <w:p w14:paraId="6171652E" w14:textId="4295D186" w:rsidR="00D75AA6" w:rsidRDefault="00D75AA6" w:rsidP="00D75AA6">
      <w:pPr>
        <w:pStyle w:val="Bullet"/>
        <w:numPr>
          <w:ilvl w:val="0"/>
          <w:numId w:val="26"/>
        </w:numPr>
        <w:tabs>
          <w:tab w:val="clear" w:pos="720"/>
        </w:tabs>
        <w:spacing w:after="160" w:line="259" w:lineRule="auto"/>
      </w:pPr>
      <w:r w:rsidRPr="00884656">
        <w:rPr>
          <w:rStyle w:val="Strong"/>
        </w:rPr>
        <w:t>The Netherlands:</w:t>
      </w:r>
      <w:r>
        <w:t xml:space="preserve"> around 19% of employee</w:t>
      </w:r>
      <w:r w:rsidR="00FB5D0F">
        <w:t>s.</w:t>
      </w:r>
    </w:p>
    <w:p w14:paraId="5643917E" w14:textId="29D26094" w:rsidR="00D75AA6" w:rsidRDefault="00D75AA6" w:rsidP="00D75AA6">
      <w:pPr>
        <w:pStyle w:val="Bullet"/>
        <w:numPr>
          <w:ilvl w:val="0"/>
          <w:numId w:val="26"/>
        </w:numPr>
        <w:tabs>
          <w:tab w:val="clear" w:pos="720"/>
        </w:tabs>
        <w:spacing w:after="160" w:line="259" w:lineRule="auto"/>
      </w:pPr>
      <w:r w:rsidRPr="00884656">
        <w:rPr>
          <w:rStyle w:val="Strong"/>
        </w:rPr>
        <w:t>Denmark:</w:t>
      </w:r>
      <w:r>
        <w:t xml:space="preserve"> around 20% of sales and marketing workers</w:t>
      </w:r>
      <w:r w:rsidR="00FB5D0F">
        <w:t>.</w:t>
      </w:r>
    </w:p>
    <w:p w14:paraId="79316B4F" w14:textId="19BE8D76" w:rsidR="00D75AA6" w:rsidRDefault="00D75AA6" w:rsidP="00D75AA6">
      <w:pPr>
        <w:pStyle w:val="Bullet"/>
        <w:numPr>
          <w:ilvl w:val="0"/>
          <w:numId w:val="26"/>
        </w:numPr>
        <w:tabs>
          <w:tab w:val="clear" w:pos="720"/>
        </w:tabs>
        <w:spacing w:after="160" w:line="259" w:lineRule="auto"/>
      </w:pPr>
      <w:r w:rsidRPr="2F8D4D09">
        <w:rPr>
          <w:rStyle w:val="Strong"/>
        </w:rPr>
        <w:t>U</w:t>
      </w:r>
      <w:r w:rsidR="00884656" w:rsidRPr="2F8D4D09">
        <w:rPr>
          <w:rStyle w:val="Strong"/>
        </w:rPr>
        <w:t>nited Kingdom</w:t>
      </w:r>
      <w:r w:rsidR="00CF4AC5" w:rsidRPr="2F8D4D09">
        <w:rPr>
          <w:rStyle w:val="Strong"/>
        </w:rPr>
        <w:t xml:space="preserve"> (UK)</w:t>
      </w:r>
      <w:r w:rsidRPr="2F8D4D09">
        <w:rPr>
          <w:rStyle w:val="Strong"/>
        </w:rPr>
        <w:t>:</w:t>
      </w:r>
      <w:r>
        <w:t xml:space="preserve"> around </w:t>
      </w:r>
      <w:r w:rsidR="78124067">
        <w:t>5 million UK</w:t>
      </w:r>
      <w:r w:rsidR="00D31071">
        <w:t xml:space="preserve"> </w:t>
      </w:r>
      <w:r w:rsidR="00D4161C">
        <w:t>employee</w:t>
      </w:r>
      <w:r w:rsidR="00FB5D0F">
        <w:t>s.</w:t>
      </w:r>
    </w:p>
    <w:p w14:paraId="3098282A" w14:textId="48D1723A" w:rsidR="004509C6" w:rsidRDefault="004509C6" w:rsidP="005F2EE3">
      <w:pPr>
        <w:pStyle w:val="Bullet"/>
        <w:numPr>
          <w:ilvl w:val="0"/>
          <w:numId w:val="0"/>
        </w:numPr>
        <w:sectPr w:rsidR="004509C6" w:rsidSect="007A1F25">
          <w:headerReference w:type="default" r:id="rId14"/>
          <w:footerReference w:type="default" r:id="rId15"/>
          <w:pgSz w:w="11906" w:h="16838"/>
          <w:pgMar w:top="567" w:right="1440" w:bottom="567" w:left="1440" w:header="709" w:footer="709" w:gutter="0"/>
          <w:cols w:space="708"/>
          <w:docGrid w:linePitch="360"/>
        </w:sectPr>
      </w:pPr>
    </w:p>
    <w:p w14:paraId="46B3BA92" w14:textId="7F9C52DD" w:rsidR="006B1FFE" w:rsidRDefault="0045095F" w:rsidP="0045095F">
      <w:pPr>
        <w:pStyle w:val="Heading2"/>
      </w:pPr>
      <w:bookmarkStart w:id="3" w:name="_Toc151106121"/>
      <w:r>
        <w:lastRenderedPageBreak/>
        <w:t>Non-compete</w:t>
      </w:r>
      <w:r w:rsidR="00AB2901">
        <w:t xml:space="preserve"> clauses</w:t>
      </w:r>
      <w:r>
        <w:t xml:space="preserve"> in practice</w:t>
      </w:r>
      <w:bookmarkEnd w:id="3"/>
      <w:r w:rsidR="009C13CB">
        <w:t xml:space="preserve"> </w:t>
      </w:r>
      <w:r w:rsidR="00274586">
        <w:t>– evidence from the US</w:t>
      </w:r>
    </w:p>
    <w:p w14:paraId="0F33ED6B" w14:textId="7CF5512F" w:rsidR="004D5806" w:rsidRDefault="00275162" w:rsidP="006E34EC">
      <w:pPr>
        <w:pStyle w:val="DoubleDot"/>
        <w:numPr>
          <w:ilvl w:val="0"/>
          <w:numId w:val="0"/>
        </w:numPr>
      </w:pPr>
      <w:r>
        <w:t xml:space="preserve">While </w:t>
      </w:r>
      <w:r w:rsidR="00652457">
        <w:t>research on non-</w:t>
      </w:r>
      <w:proofErr w:type="gramStart"/>
      <w:r w:rsidR="00652457">
        <w:t>compete</w:t>
      </w:r>
      <w:proofErr w:type="gramEnd"/>
      <w:r w:rsidR="00652457">
        <w:t xml:space="preserve"> clauses</w:t>
      </w:r>
      <w:r w:rsidR="00DF0F6C">
        <w:t xml:space="preserve"> </w:t>
      </w:r>
      <w:r>
        <w:t>is relatively limited i</w:t>
      </w:r>
      <w:r w:rsidRPr="0045095F">
        <w:t>n Australia</w:t>
      </w:r>
      <w:r w:rsidR="001D1D10">
        <w:t xml:space="preserve">, </w:t>
      </w:r>
      <w:r w:rsidR="000D21A8">
        <w:t xml:space="preserve">participants </w:t>
      </w:r>
      <w:r w:rsidR="00150370">
        <w:t>shared</w:t>
      </w:r>
      <w:r w:rsidR="000D21A8">
        <w:t xml:space="preserve"> </w:t>
      </w:r>
      <w:r w:rsidR="0045095F" w:rsidRPr="0045095F">
        <w:t>a growing body of evidence</w:t>
      </w:r>
      <w:r w:rsidR="00A06BAC">
        <w:t xml:space="preserve"> from</w:t>
      </w:r>
      <w:r w:rsidR="0045095F" w:rsidRPr="0045095F">
        <w:t xml:space="preserve"> the U</w:t>
      </w:r>
      <w:r w:rsidR="00955151">
        <w:t>nited States</w:t>
      </w:r>
      <w:r w:rsidR="004D5806">
        <w:t xml:space="preserve"> illustrating how they operate in practice</w:t>
      </w:r>
      <w:r w:rsidR="00445FC4">
        <w:t xml:space="preserve"> and their </w:t>
      </w:r>
      <w:r w:rsidR="00634788">
        <w:t>impact on individuals and the broader economy</w:t>
      </w:r>
      <w:r w:rsidR="0048101C">
        <w:t xml:space="preserve"> (see attached slides from Evan Starr)</w:t>
      </w:r>
      <w:r w:rsidR="00F649FB">
        <w:t>.</w:t>
      </w:r>
    </w:p>
    <w:p w14:paraId="7AAA8934" w14:textId="77777777" w:rsidR="00963EE3" w:rsidRDefault="00963EE3" w:rsidP="006E34EC">
      <w:pPr>
        <w:pStyle w:val="DoubleDot"/>
        <w:numPr>
          <w:ilvl w:val="0"/>
          <w:numId w:val="0"/>
        </w:num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860CB" w14:paraId="503FE41F" w14:textId="77777777" w:rsidTr="00EF0DF0">
        <w:tc>
          <w:tcPr>
            <w:tcW w:w="3020" w:type="dxa"/>
          </w:tcPr>
          <w:p w14:paraId="435948BE" w14:textId="7AF0E7B5" w:rsidR="008860CB" w:rsidRDefault="008860CB" w:rsidP="008860CB">
            <w:pPr>
              <w:pStyle w:val="DoubleDot"/>
              <w:numPr>
                <w:ilvl w:val="0"/>
                <w:numId w:val="0"/>
              </w:numPr>
              <w:jc w:val="center"/>
            </w:pPr>
            <w:r>
              <w:rPr>
                <w:noProof/>
              </w:rPr>
              <w:drawing>
                <wp:inline distT="0" distB="0" distL="0" distR="0" wp14:anchorId="06F5F455" wp14:editId="04645F64">
                  <wp:extent cx="914400" cy="914400"/>
                  <wp:effectExtent l="0" t="0" r="0" b="0"/>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3021" w:type="dxa"/>
          </w:tcPr>
          <w:p w14:paraId="53486F66" w14:textId="19144D7C" w:rsidR="008860CB" w:rsidRDefault="008860CB" w:rsidP="008860CB">
            <w:pPr>
              <w:pStyle w:val="DoubleDot"/>
              <w:numPr>
                <w:ilvl w:val="0"/>
                <w:numId w:val="0"/>
              </w:numPr>
              <w:jc w:val="center"/>
            </w:pPr>
            <w:r>
              <w:rPr>
                <w:noProof/>
              </w:rPr>
              <w:drawing>
                <wp:inline distT="0" distB="0" distL="0" distR="0" wp14:anchorId="3AED53BB" wp14:editId="36904D61">
                  <wp:extent cx="914400" cy="914400"/>
                  <wp:effectExtent l="0" t="0" r="0" b="0"/>
                  <wp:docPr id="10" name="Graphic 10" descr="Construction worker 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onstruction worker mal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c>
          <w:tcPr>
            <w:tcW w:w="3021" w:type="dxa"/>
          </w:tcPr>
          <w:p w14:paraId="1CE675BF" w14:textId="3986EFFE" w:rsidR="008860CB" w:rsidRDefault="009E7BE1" w:rsidP="008860CB">
            <w:pPr>
              <w:pStyle w:val="DoubleDot"/>
              <w:numPr>
                <w:ilvl w:val="0"/>
                <w:numId w:val="0"/>
              </w:numPr>
              <w:jc w:val="center"/>
            </w:pPr>
            <w:r>
              <w:rPr>
                <w:noProof/>
              </w:rPr>
              <w:drawing>
                <wp:inline distT="0" distB="0" distL="0" distR="0" wp14:anchorId="08B1BE77" wp14:editId="76E2B7E8">
                  <wp:extent cx="914400" cy="914400"/>
                  <wp:effectExtent l="0" t="0" r="0" b="0"/>
                  <wp:docPr id="15" name="Graphic 15" descr="Ta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g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r>
      <w:tr w:rsidR="000551C1" w14:paraId="1324C033" w14:textId="77777777" w:rsidTr="00EF0DF0">
        <w:trPr>
          <w:trHeight w:val="498"/>
        </w:trPr>
        <w:tc>
          <w:tcPr>
            <w:tcW w:w="3020" w:type="dxa"/>
          </w:tcPr>
          <w:p w14:paraId="3E1F5AE5" w14:textId="0C76CFB3" w:rsidR="000551C1" w:rsidRPr="00AC50D0" w:rsidRDefault="000551C1" w:rsidP="006E34EC">
            <w:pPr>
              <w:pStyle w:val="DoubleDot"/>
              <w:numPr>
                <w:ilvl w:val="0"/>
                <w:numId w:val="0"/>
              </w:numPr>
              <w:rPr>
                <w:rStyle w:val="Strong"/>
              </w:rPr>
            </w:pPr>
            <w:r w:rsidRPr="00AC50D0">
              <w:rPr>
                <w:rStyle w:val="Strong"/>
              </w:rPr>
              <w:t>Use of non-compete clauses</w:t>
            </w:r>
          </w:p>
        </w:tc>
        <w:tc>
          <w:tcPr>
            <w:tcW w:w="3021" w:type="dxa"/>
          </w:tcPr>
          <w:p w14:paraId="53EED0AB" w14:textId="7B5D0435" w:rsidR="000551C1" w:rsidRPr="00AC50D0" w:rsidRDefault="000551C1" w:rsidP="006E34EC">
            <w:pPr>
              <w:pStyle w:val="DoubleDot"/>
              <w:numPr>
                <w:ilvl w:val="0"/>
                <w:numId w:val="0"/>
              </w:numPr>
              <w:rPr>
                <w:rStyle w:val="Strong"/>
              </w:rPr>
            </w:pPr>
            <w:r w:rsidRPr="00AC50D0">
              <w:rPr>
                <w:rStyle w:val="Strong"/>
              </w:rPr>
              <w:t>Effects on workers</w:t>
            </w:r>
          </w:p>
        </w:tc>
        <w:tc>
          <w:tcPr>
            <w:tcW w:w="3021" w:type="dxa"/>
          </w:tcPr>
          <w:p w14:paraId="0BC802EC" w14:textId="3D838C22" w:rsidR="000551C1" w:rsidRPr="000551C1" w:rsidRDefault="000551C1" w:rsidP="006E34EC">
            <w:pPr>
              <w:pStyle w:val="DoubleDot"/>
              <w:numPr>
                <w:ilvl w:val="0"/>
                <w:numId w:val="0"/>
              </w:numPr>
              <w:rPr>
                <w:b/>
                <w:bCs/>
              </w:rPr>
            </w:pPr>
            <w:r w:rsidRPr="00AC50D0">
              <w:rPr>
                <w:rStyle w:val="Strong"/>
              </w:rPr>
              <w:t>Effects on markets and consumers</w:t>
            </w:r>
          </w:p>
        </w:tc>
      </w:tr>
      <w:tr w:rsidR="000551C1" w14:paraId="3F31806B" w14:textId="77777777" w:rsidTr="00EF0DF0">
        <w:trPr>
          <w:trHeight w:val="653"/>
        </w:trPr>
        <w:tc>
          <w:tcPr>
            <w:tcW w:w="3020" w:type="dxa"/>
          </w:tcPr>
          <w:p w14:paraId="4D6F8C88" w14:textId="237A773B" w:rsidR="005207F8" w:rsidRDefault="00611262" w:rsidP="00611262">
            <w:pPr>
              <w:pStyle w:val="Bullet"/>
              <w:rPr>
                <w:rStyle w:val="Strong"/>
                <w:b w:val="0"/>
                <w:bCs w:val="0"/>
              </w:rPr>
            </w:pPr>
            <w:r w:rsidRPr="00611262">
              <w:rPr>
                <w:rStyle w:val="Strong"/>
                <w:b w:val="0"/>
                <w:bCs w:val="0"/>
              </w:rPr>
              <w:t xml:space="preserve">50% </w:t>
            </w:r>
            <w:r w:rsidRPr="00274586">
              <w:rPr>
                <w:rStyle w:val="Strong"/>
                <w:b w:val="0"/>
                <w:bCs w:val="0"/>
              </w:rPr>
              <w:t>of</w:t>
            </w:r>
            <w:r w:rsidR="00A06BAC" w:rsidRPr="00793FC3">
              <w:rPr>
                <w:rStyle w:val="Strong"/>
                <w:b w:val="0"/>
                <w:bCs w:val="0"/>
              </w:rPr>
              <w:t xml:space="preserve"> </w:t>
            </w:r>
            <w:r w:rsidR="00274586" w:rsidRPr="00274586">
              <w:rPr>
                <w:rStyle w:val="Strong"/>
                <w:b w:val="0"/>
                <w:bCs w:val="0"/>
              </w:rPr>
              <w:t>U</w:t>
            </w:r>
            <w:r w:rsidR="00274586" w:rsidRPr="00793FC3">
              <w:rPr>
                <w:rStyle w:val="Strong"/>
                <w:b w:val="0"/>
                <w:bCs w:val="0"/>
              </w:rPr>
              <w:t>S</w:t>
            </w:r>
            <w:r w:rsidR="00274586">
              <w:rPr>
                <w:rStyle w:val="Strong"/>
              </w:rPr>
              <w:t xml:space="preserve"> </w:t>
            </w:r>
            <w:r w:rsidRPr="00611262">
              <w:rPr>
                <w:rStyle w:val="Strong"/>
                <w:b w:val="0"/>
                <w:bCs w:val="0"/>
              </w:rPr>
              <w:t>firms use them</w:t>
            </w:r>
            <w:r w:rsidR="004D743C">
              <w:rPr>
                <w:rStyle w:val="Strong"/>
                <w:b w:val="0"/>
                <w:bCs w:val="0"/>
              </w:rPr>
              <w:t>.</w:t>
            </w:r>
          </w:p>
          <w:p w14:paraId="5B1BCF73" w14:textId="5498C986" w:rsidR="00611262" w:rsidRPr="00611262" w:rsidRDefault="00611262" w:rsidP="00611262">
            <w:pPr>
              <w:pStyle w:val="Bullet"/>
              <w:rPr>
                <w:rStyle w:val="Strong"/>
                <w:b w:val="0"/>
                <w:bCs w:val="0"/>
              </w:rPr>
            </w:pPr>
            <w:r w:rsidRPr="00611262">
              <w:rPr>
                <w:rStyle w:val="Strong"/>
                <w:b w:val="0"/>
                <w:bCs w:val="0"/>
              </w:rPr>
              <w:t>30</w:t>
            </w:r>
            <w:r w:rsidR="00177B10">
              <w:rPr>
                <w:rStyle w:val="Strong"/>
                <w:b w:val="0"/>
                <w:bCs w:val="0"/>
              </w:rPr>
              <w:t>%</w:t>
            </w:r>
            <w:r w:rsidRPr="00611262">
              <w:rPr>
                <w:rStyle w:val="Strong"/>
                <w:b w:val="0"/>
                <w:bCs w:val="0"/>
              </w:rPr>
              <w:t xml:space="preserve"> of</w:t>
            </w:r>
            <w:r w:rsidR="00274586">
              <w:rPr>
                <w:rStyle w:val="Strong"/>
                <w:b w:val="0"/>
                <w:bCs w:val="0"/>
              </w:rPr>
              <w:t xml:space="preserve"> </w:t>
            </w:r>
            <w:r w:rsidR="00274586" w:rsidRPr="00793FC3">
              <w:rPr>
                <w:rStyle w:val="Strong"/>
                <w:b w:val="0"/>
                <w:bCs w:val="0"/>
              </w:rPr>
              <w:t>US</w:t>
            </w:r>
            <w:r w:rsidR="00A06BAC">
              <w:rPr>
                <w:rStyle w:val="Strong"/>
                <w:b w:val="0"/>
                <w:bCs w:val="0"/>
              </w:rPr>
              <w:t xml:space="preserve"> </w:t>
            </w:r>
            <w:r w:rsidRPr="00611262">
              <w:rPr>
                <w:rStyle w:val="Strong"/>
                <w:b w:val="0"/>
                <w:bCs w:val="0"/>
              </w:rPr>
              <w:t>firms use them for all workers</w:t>
            </w:r>
            <w:r w:rsidR="004D743C">
              <w:rPr>
                <w:rStyle w:val="Strong"/>
                <w:b w:val="0"/>
                <w:bCs w:val="0"/>
              </w:rPr>
              <w:t>.</w:t>
            </w:r>
          </w:p>
          <w:p w14:paraId="54F24791" w14:textId="5BF5AEA8" w:rsidR="00611262" w:rsidRPr="00611262" w:rsidRDefault="00177B10" w:rsidP="00611262">
            <w:pPr>
              <w:pStyle w:val="Bullet"/>
              <w:rPr>
                <w:rStyle w:val="Strong"/>
                <w:b w:val="0"/>
                <w:bCs w:val="0"/>
              </w:rPr>
            </w:pPr>
            <w:r w:rsidRPr="00177B10">
              <w:rPr>
                <w:rStyle w:val="Strong"/>
                <w:b w:val="0"/>
                <w:bCs w:val="0"/>
              </w:rPr>
              <w:t>3</w:t>
            </w:r>
            <w:r w:rsidRPr="004549BC">
              <w:rPr>
                <w:rStyle w:val="Strong"/>
                <w:b w:val="0"/>
                <w:bCs w:val="0"/>
              </w:rPr>
              <w:t>0-50%</w:t>
            </w:r>
            <w:r w:rsidR="00611262" w:rsidRPr="00177B10">
              <w:rPr>
                <w:rStyle w:val="Strong"/>
                <w:b w:val="0"/>
                <w:bCs w:val="0"/>
              </w:rPr>
              <w:t xml:space="preserve"> </w:t>
            </w:r>
            <w:r w:rsidR="00A06BAC" w:rsidRPr="00177B10">
              <w:rPr>
                <w:rStyle w:val="Strong"/>
                <w:b w:val="0"/>
                <w:bCs w:val="0"/>
              </w:rPr>
              <w:t>of</w:t>
            </w:r>
            <w:r w:rsidR="00A06BAC">
              <w:rPr>
                <w:rStyle w:val="Strong"/>
                <w:b w:val="0"/>
                <w:bCs w:val="0"/>
              </w:rPr>
              <w:t xml:space="preserve"> </w:t>
            </w:r>
            <w:r w:rsidR="00611262" w:rsidRPr="00611262">
              <w:rPr>
                <w:rStyle w:val="Strong"/>
                <w:b w:val="0"/>
                <w:bCs w:val="0"/>
              </w:rPr>
              <w:t>employees are asked to agree to a non-compete only after accepting job, without a change in responsibilities</w:t>
            </w:r>
            <w:r w:rsidR="00342348">
              <w:rPr>
                <w:rStyle w:val="Strong"/>
                <w:b w:val="0"/>
                <w:bCs w:val="0"/>
              </w:rPr>
              <w:t>.</w:t>
            </w:r>
          </w:p>
          <w:p w14:paraId="34BC0C3B" w14:textId="24019D9A" w:rsidR="000551C1" w:rsidRPr="00AC50D0" w:rsidRDefault="00611262" w:rsidP="00611262">
            <w:pPr>
              <w:pStyle w:val="Bullet"/>
              <w:rPr>
                <w:rStyle w:val="Strong"/>
              </w:rPr>
            </w:pPr>
            <w:r w:rsidRPr="00611262">
              <w:rPr>
                <w:rStyle w:val="Strong"/>
                <w:b w:val="0"/>
                <w:bCs w:val="0"/>
              </w:rPr>
              <w:t>Only 10%</w:t>
            </w:r>
            <w:r w:rsidR="00274586" w:rsidRPr="00793FC3">
              <w:rPr>
                <w:rStyle w:val="Strong"/>
                <w:b w:val="0"/>
                <w:bCs w:val="0"/>
              </w:rPr>
              <w:t xml:space="preserve"> </w:t>
            </w:r>
            <w:r w:rsidRPr="00274586">
              <w:rPr>
                <w:rStyle w:val="Strong"/>
                <w:b w:val="0"/>
                <w:bCs w:val="0"/>
              </w:rPr>
              <w:t>em</w:t>
            </w:r>
            <w:r w:rsidRPr="00611262">
              <w:rPr>
                <w:rStyle w:val="Strong"/>
                <w:b w:val="0"/>
                <w:bCs w:val="0"/>
              </w:rPr>
              <w:t>ployees report negotiating over non-competes</w:t>
            </w:r>
            <w:r w:rsidR="00CB3A71">
              <w:rPr>
                <w:rStyle w:val="Strong"/>
                <w:b w:val="0"/>
                <w:bCs w:val="0"/>
              </w:rPr>
              <w:t>.</w:t>
            </w:r>
          </w:p>
        </w:tc>
        <w:tc>
          <w:tcPr>
            <w:tcW w:w="3021" w:type="dxa"/>
          </w:tcPr>
          <w:p w14:paraId="10618F8E" w14:textId="396BA3FC" w:rsidR="005207F8" w:rsidRDefault="005207F8" w:rsidP="005207F8">
            <w:pPr>
              <w:pStyle w:val="Bullet"/>
            </w:pPr>
            <w:r>
              <w:t xml:space="preserve">Ban </w:t>
            </w:r>
            <w:r w:rsidR="00E14314">
              <w:t>on</w:t>
            </w:r>
            <w:r>
              <w:t xml:space="preserve"> non-compete</w:t>
            </w:r>
            <w:r w:rsidR="00E14314">
              <w:t xml:space="preserve"> clauses</w:t>
            </w:r>
            <w:r>
              <w:t xml:space="preserve"> for tech workers in Hawaii increased job mobility and new-hire wages </w:t>
            </w:r>
            <w:r w:rsidR="008F057C">
              <w:t>for tech workers</w:t>
            </w:r>
            <w:r w:rsidR="009E4F84">
              <w:t xml:space="preserve"> </w:t>
            </w:r>
            <w:r>
              <w:t>(</w:t>
            </w:r>
            <w:r w:rsidR="009E4F84">
              <w:t xml:space="preserve">see </w:t>
            </w:r>
            <w:r>
              <w:t xml:space="preserve">Balasubramanian et al. 2020). </w:t>
            </w:r>
          </w:p>
          <w:p w14:paraId="2D2E130B" w14:textId="23E2D096" w:rsidR="000551C1" w:rsidRPr="00AC50D0" w:rsidRDefault="005207F8" w:rsidP="005207F8">
            <w:pPr>
              <w:pStyle w:val="Bullet"/>
              <w:rPr>
                <w:rStyle w:val="Strong"/>
              </w:rPr>
            </w:pPr>
            <w:r>
              <w:t>Non-competes are associated with reductions in employee mobility in both states that do and do not enforce non competes. This indicates “in terrorem effects” i.e., beliefs about the likelihood of a lawsuit or legal enforcement</w:t>
            </w:r>
            <w:r w:rsidR="0037478C">
              <w:t xml:space="preserve"> from an employer</w:t>
            </w:r>
            <w:r>
              <w:t xml:space="preserve"> can limit mobility, regardless of actual enforcement</w:t>
            </w:r>
            <w:r w:rsidR="00CB3A71">
              <w:t>.</w:t>
            </w:r>
          </w:p>
        </w:tc>
        <w:tc>
          <w:tcPr>
            <w:tcW w:w="3021" w:type="dxa"/>
          </w:tcPr>
          <w:p w14:paraId="7E8C9B03" w14:textId="25E9B5B7" w:rsidR="000551C1" w:rsidRDefault="00C93215" w:rsidP="00CF292B">
            <w:pPr>
              <w:pStyle w:val="Bullet"/>
            </w:pPr>
            <w:r>
              <w:t xml:space="preserve">Greater non-compete enforcement can contribute to higher prices for goods and services </w:t>
            </w:r>
            <w:r w:rsidR="00546158">
              <w:t>by increasing firm concentration</w:t>
            </w:r>
            <w:r w:rsidR="008A54E8">
              <w:t xml:space="preserve"> </w:t>
            </w:r>
            <w:r>
              <w:t xml:space="preserve">(for example see Hausman and </w:t>
            </w:r>
            <w:proofErr w:type="spellStart"/>
            <w:r>
              <w:t>Lavetti</w:t>
            </w:r>
            <w:proofErr w:type="spellEnd"/>
            <w:r>
              <w:t xml:space="preserve"> 2019).</w:t>
            </w:r>
          </w:p>
          <w:p w14:paraId="234BEEE7" w14:textId="5EEE1B3C" w:rsidR="00414162" w:rsidRPr="00CF292B" w:rsidRDefault="00414162" w:rsidP="00CF292B">
            <w:pPr>
              <w:pStyle w:val="Bullet"/>
              <w:rPr>
                <w:b/>
                <w:bCs/>
              </w:rPr>
            </w:pPr>
            <w:r>
              <w:t xml:space="preserve">Enforceability of non-competes in a state can also reduce job offers, mobility rates and wages for individuals </w:t>
            </w:r>
            <w:r w:rsidRPr="00D65055">
              <w:rPr>
                <w:i/>
                <w:iCs/>
              </w:rPr>
              <w:t>without</w:t>
            </w:r>
            <w:r>
              <w:t xml:space="preserve"> a non-compete provision in their contract</w:t>
            </w:r>
            <w:r w:rsidR="00C061F0">
              <w:t>.</w:t>
            </w:r>
          </w:p>
          <w:p w14:paraId="5B9D5E24" w14:textId="3157A5C4" w:rsidR="00CF292B" w:rsidRPr="00CF292B" w:rsidRDefault="00CF292B" w:rsidP="00CF292B">
            <w:pPr>
              <w:pStyle w:val="Bullet"/>
              <w:rPr>
                <w:rStyle w:val="Strong"/>
                <w:b w:val="0"/>
                <w:bCs w:val="0"/>
              </w:rPr>
            </w:pPr>
            <w:r>
              <w:t>The welfare losses from preventing the reallocation of workers to more productive firms and inhibiting the entry of new firms are up to 2.25%</w:t>
            </w:r>
            <w:r w:rsidR="00CB3A71">
              <w:t>.</w:t>
            </w:r>
          </w:p>
        </w:tc>
      </w:tr>
    </w:tbl>
    <w:p w14:paraId="3F4EA87A" w14:textId="4995909F" w:rsidR="00C51C57" w:rsidRDefault="00E511D9" w:rsidP="00F60188">
      <w:pPr>
        <w:pStyle w:val="Heading2"/>
      </w:pPr>
      <w:bookmarkStart w:id="4" w:name="_Toc151106122"/>
      <w:r>
        <w:t xml:space="preserve">Enforcement of </w:t>
      </w:r>
      <w:r w:rsidR="00C51C57">
        <w:t>non-compete clauses in Australia</w:t>
      </w:r>
      <w:bookmarkEnd w:id="4"/>
    </w:p>
    <w:p w14:paraId="3A8010DF" w14:textId="77777777" w:rsidR="00B014FA" w:rsidRDefault="00C51C57" w:rsidP="00C51C57">
      <w:r>
        <w:t xml:space="preserve">Non-compete clauses in Australia are generally enforced under the common law. </w:t>
      </w:r>
    </w:p>
    <w:p w14:paraId="47A23579" w14:textId="39986CA7" w:rsidR="00C51C57" w:rsidRDefault="00C51C57" w:rsidP="00C51C57">
      <w:r>
        <w:t xml:space="preserve">The presumption at common law </w:t>
      </w:r>
      <w:r w:rsidR="0061393E">
        <w:t>(outside of New South Wales)</w:t>
      </w:r>
      <w:r>
        <w:t xml:space="preserve"> is that post-employment restraints including non-competes are </w:t>
      </w:r>
      <w:r w:rsidR="00EF0C02">
        <w:t>void and</w:t>
      </w:r>
      <w:r>
        <w:t xml:space="preserve"> unenforceable. However, a court may nonetheless find that the clause is valid </w:t>
      </w:r>
      <w:r w:rsidR="0061393E">
        <w:t>and enforceable</w:t>
      </w:r>
      <w:r>
        <w:t xml:space="preserve"> if it determines that the employer has a “legitimate protectable interest”, and the restraint is no more than what is </w:t>
      </w:r>
      <w:r w:rsidR="00B96184">
        <w:t xml:space="preserve">reasonably necessary </w:t>
      </w:r>
      <w:r>
        <w:t>to protect that interest</w:t>
      </w:r>
      <w:r w:rsidR="00AC685C">
        <w:t xml:space="preserve"> (</w:t>
      </w:r>
      <w:proofErr w:type="spellStart"/>
      <w:r w:rsidR="00FC4ACE">
        <w:t>Heydon</w:t>
      </w:r>
      <w:proofErr w:type="spellEnd"/>
      <w:r w:rsidR="00FC4ACE">
        <w:t xml:space="preserve"> </w:t>
      </w:r>
      <w:r w:rsidR="005B0AD0">
        <w:t>2008</w:t>
      </w:r>
      <w:r w:rsidR="00AC685C">
        <w:t>).</w:t>
      </w:r>
    </w:p>
    <w:p w14:paraId="34EA450A" w14:textId="5F5CBAF7" w:rsidR="00C51C57" w:rsidRDefault="00C51C57" w:rsidP="00C51C57">
      <w:r>
        <w:lastRenderedPageBreak/>
        <w:t>Where a court determines the scope of a particular clause is unreasonable, it can “sever” this clause in a way that allows the reasonable aspects of the clause to still be applied. This has contributed to the presence of “cascading clauses” in employment contracts which frames restraints in descending (“cascading”) restraints that apply to different geographical areas or time periods, such as being enforceable for either 12 months, 6 months, or 3 months</w:t>
      </w:r>
      <w:r w:rsidR="00C95BE5">
        <w:t xml:space="preserve"> (</w:t>
      </w:r>
      <w:r w:rsidR="00A80DA2">
        <w:t>Arup et al. 2013)</w:t>
      </w:r>
      <w:r w:rsidR="0031313D">
        <w:t>.</w:t>
      </w:r>
    </w:p>
    <w:p w14:paraId="1A67618F" w14:textId="7E2CA0E1" w:rsidR="00C51C57" w:rsidRDefault="001B001E" w:rsidP="00C51C57">
      <w:r>
        <w:t xml:space="preserve">NSW is the </w:t>
      </w:r>
      <w:r w:rsidR="009A5C6C">
        <w:t>only</w:t>
      </w:r>
      <w:r>
        <w:t xml:space="preserve"> jurisdiction in Australia to legislat</w:t>
      </w:r>
      <w:r w:rsidR="00503A83">
        <w:t>e in this area</w:t>
      </w:r>
      <w:r>
        <w:t>, with restraint of trade clauses subject to the operation of the Restraint of Trade Act 1976 (NSW).</w:t>
      </w:r>
      <w:r w:rsidR="00466F8E">
        <w:t xml:space="preserve"> </w:t>
      </w:r>
      <w:r w:rsidR="00C51C57">
        <w:t>In NSW, th</w:t>
      </w:r>
      <w:r w:rsidR="00E01130">
        <w:t xml:space="preserve">is legislation </w:t>
      </w:r>
      <w:r w:rsidR="00A6657D">
        <w:t xml:space="preserve">provides that all restraints of trade are presumed valid and enforceable </w:t>
      </w:r>
      <w:r w:rsidR="009F42EF">
        <w:t>to the extent not against public policy</w:t>
      </w:r>
      <w:r w:rsidR="00D21887">
        <w:t xml:space="preserve">. If </w:t>
      </w:r>
      <w:r w:rsidR="00182635">
        <w:t xml:space="preserve">there is a manifest failure to make the restraint reasonable, the court </w:t>
      </w:r>
      <w:r w:rsidR="00636B0A">
        <w:t>may</w:t>
      </w:r>
      <w:r w:rsidR="00C51C57">
        <w:t xml:space="preserve"> </w:t>
      </w:r>
      <w:r w:rsidR="00526371">
        <w:t xml:space="preserve">actively </w:t>
      </w:r>
      <w:r w:rsidR="000942EA">
        <w:t>re</w:t>
      </w:r>
      <w:r w:rsidR="00E9292C">
        <w:t>-</w:t>
      </w:r>
      <w:r w:rsidR="000942EA">
        <w:t xml:space="preserve">work </w:t>
      </w:r>
      <w:r w:rsidR="00636B0A">
        <w:t>the</w:t>
      </w:r>
      <w:r w:rsidR="00C51C57">
        <w:t xml:space="preserve"> restraint </w:t>
      </w:r>
      <w:r w:rsidR="00333D42">
        <w:t xml:space="preserve">to render it </w:t>
      </w:r>
      <w:r w:rsidR="00526371">
        <w:t>‘</w:t>
      </w:r>
      <w:r w:rsidR="00C51C57">
        <w:t>reasonable</w:t>
      </w:r>
      <w:r w:rsidR="00526371">
        <w:t>’</w:t>
      </w:r>
      <w:r w:rsidR="00C51C57">
        <w:t xml:space="preserve">. </w:t>
      </w:r>
    </w:p>
    <w:p w14:paraId="5F6836FA" w14:textId="0891D9C3" w:rsidR="00A7332F" w:rsidRDefault="00C51C57" w:rsidP="00C51C57">
      <w:r>
        <w:t xml:space="preserve">Participants discussed how the operation of the law in Australia introduces significant uncertainty for employees as to their </w:t>
      </w:r>
      <w:r w:rsidR="003E5355">
        <w:t xml:space="preserve">legal </w:t>
      </w:r>
      <w:r>
        <w:t xml:space="preserve">rights, particularly when cascading clauses are used, and that the financial costs and uncertainty of a court decision can discourage many employees from challenging a </w:t>
      </w:r>
      <w:r w:rsidR="009B1E71">
        <w:t>non-compete</w:t>
      </w:r>
      <w:r>
        <w:t xml:space="preserve"> clause in courts, even where it may be unreasonable.</w:t>
      </w:r>
    </w:p>
    <w:p w14:paraId="669CA9B3" w14:textId="5498CDA2" w:rsidR="00181DD9" w:rsidRPr="00D6137D" w:rsidRDefault="3316070B" w:rsidP="00D6137D">
      <w:pPr>
        <w:pStyle w:val="Heading2"/>
      </w:pPr>
      <w:bookmarkStart w:id="5" w:name="_Toc151106123"/>
      <w:r>
        <w:t xml:space="preserve">Overseas </w:t>
      </w:r>
      <w:r w:rsidR="495A15E5">
        <w:t>e</w:t>
      </w:r>
      <w:r w:rsidR="00D6137D">
        <w:t xml:space="preserve">xamples of </w:t>
      </w:r>
      <w:r w:rsidR="33D38A09">
        <w:t xml:space="preserve">regulatory reform </w:t>
      </w:r>
      <w:r w:rsidR="5873DACD">
        <w:t xml:space="preserve">relating to </w:t>
      </w:r>
      <w:r w:rsidR="00D6137D">
        <w:t>non-compete clauses</w:t>
      </w:r>
      <w:bookmarkEnd w:id="5"/>
    </w:p>
    <w:p w14:paraId="23272B92" w14:textId="20D08318" w:rsidR="00181DD9" w:rsidRDefault="00D6137D" w:rsidP="00181DD9">
      <w:pPr>
        <w:pStyle w:val="Bullet"/>
        <w:numPr>
          <w:ilvl w:val="0"/>
          <w:numId w:val="0"/>
        </w:numPr>
      </w:pPr>
      <w:r>
        <w:t>Several</w:t>
      </w:r>
      <w:r w:rsidR="00181DD9">
        <w:t xml:space="preserve"> jurisdictions</w:t>
      </w:r>
      <w:r w:rsidR="00D85E14">
        <w:t xml:space="preserve"> overseas</w:t>
      </w:r>
      <w:r w:rsidR="00181DD9">
        <w:t xml:space="preserve"> have taken action to limit</w:t>
      </w:r>
      <w:r w:rsidR="00A65B91">
        <w:t xml:space="preserve"> or regulat</w:t>
      </w:r>
      <w:r w:rsidR="0061666C">
        <w:t>e</w:t>
      </w:r>
      <w:r w:rsidR="00181DD9">
        <w:t xml:space="preserve"> the use of non-compe</w:t>
      </w:r>
      <w:r w:rsidR="002A466C">
        <w:t>t</w:t>
      </w:r>
      <w:r w:rsidR="00181DD9">
        <w:t>e clauses</w:t>
      </w:r>
      <w:r w:rsidR="0061666C">
        <w:t xml:space="preserve">. Other </w:t>
      </w:r>
      <w:r w:rsidR="00971BF4">
        <w:t>jurisdictions</w:t>
      </w:r>
      <w:r w:rsidR="0061666C">
        <w:t xml:space="preserve"> are considering options for doing so. Some of these options include:</w:t>
      </w:r>
    </w:p>
    <w:p w14:paraId="3D41DCF3" w14:textId="686783FF" w:rsidR="00067787" w:rsidRDefault="447361DB" w:rsidP="00067787">
      <w:pPr>
        <w:pStyle w:val="Bullet"/>
        <w:numPr>
          <w:ilvl w:val="0"/>
          <w:numId w:val="26"/>
        </w:numPr>
        <w:tabs>
          <w:tab w:val="clear" w:pos="720"/>
        </w:tabs>
        <w:spacing w:after="160" w:line="259" w:lineRule="auto"/>
      </w:pPr>
      <w:r w:rsidRPr="3E166B1D">
        <w:rPr>
          <w:rStyle w:val="Strong"/>
        </w:rPr>
        <w:t>Banning non-competes:</w:t>
      </w:r>
      <w:r>
        <w:t xml:space="preserve"> </w:t>
      </w:r>
      <w:r w:rsidR="34DFD920">
        <w:t xml:space="preserve">The US Free Trade Commission (FTC) proposed a rule in January 2023 that would ban non-compete </w:t>
      </w:r>
      <w:r w:rsidR="14A1AD7D">
        <w:t xml:space="preserve">clauses in employment </w:t>
      </w:r>
      <w:r w:rsidR="34DFD920">
        <w:t>agreements. The FTC estimates that without a non-compete restriction, American workers could earn nearly $300 billion more in wages.</w:t>
      </w:r>
    </w:p>
    <w:p w14:paraId="30BF36F6" w14:textId="039B3D52" w:rsidR="00181DD9" w:rsidRDefault="34DFD920" w:rsidP="00181DD9">
      <w:pPr>
        <w:pStyle w:val="Bullet"/>
        <w:numPr>
          <w:ilvl w:val="0"/>
          <w:numId w:val="26"/>
        </w:numPr>
        <w:tabs>
          <w:tab w:val="clear" w:pos="720"/>
        </w:tabs>
        <w:spacing w:after="160" w:line="259" w:lineRule="auto"/>
      </w:pPr>
      <w:r w:rsidRPr="3E166B1D">
        <w:rPr>
          <w:rStyle w:val="Strong"/>
        </w:rPr>
        <w:t>Selective or limited bans:</w:t>
      </w:r>
      <w:r w:rsidR="447361DB">
        <w:t xml:space="preserve"> </w:t>
      </w:r>
      <w:r w:rsidR="7A18A82F">
        <w:t xml:space="preserve">A ban </w:t>
      </w:r>
      <w:r w:rsidR="35D36D06">
        <w:t xml:space="preserve">on non-compete clauses in employment agreements </w:t>
      </w:r>
      <w:r w:rsidR="7A18A82F">
        <w:t xml:space="preserve">could be applied to employees below an income threshold (e.g., in Austria and Luxembourg). </w:t>
      </w:r>
      <w:r w:rsidR="447361DB">
        <w:t>A ban could also be applied to specific sectors or occupations</w:t>
      </w:r>
      <w:r w:rsidR="33EC8742">
        <w:t xml:space="preserve"> (</w:t>
      </w:r>
      <w:r w:rsidR="7B9D26FC">
        <w:t>e.g.,</w:t>
      </w:r>
      <w:r w:rsidR="2BDC3A42">
        <w:t xml:space="preserve"> in</w:t>
      </w:r>
      <w:r w:rsidR="7431F8D0">
        <w:t xml:space="preserve"> the US, </w:t>
      </w:r>
      <w:r w:rsidR="35135C74">
        <w:t>Hawaii banned non-competes for technology jobs, and New Mexico banned them for healthcare jobs).</w:t>
      </w:r>
    </w:p>
    <w:p w14:paraId="32AC5AAD" w14:textId="691D7FD7" w:rsidR="00181DD9" w:rsidRDefault="00181DD9" w:rsidP="00181DD9">
      <w:pPr>
        <w:pStyle w:val="Bullet"/>
        <w:numPr>
          <w:ilvl w:val="0"/>
          <w:numId w:val="26"/>
        </w:numPr>
        <w:tabs>
          <w:tab w:val="clear" w:pos="720"/>
        </w:tabs>
        <w:spacing w:after="160" w:line="259" w:lineRule="auto"/>
      </w:pPr>
      <w:r w:rsidRPr="3E166B1D">
        <w:rPr>
          <w:rStyle w:val="Strong"/>
        </w:rPr>
        <w:t>Limiting duration of the non-compete:</w:t>
      </w:r>
      <w:r>
        <w:t xml:space="preserve"> The UK proposed a restriction on the length of a non-compete </w:t>
      </w:r>
      <w:r w:rsidR="6E11BBD3">
        <w:t xml:space="preserve">clauses in employment </w:t>
      </w:r>
      <w:r w:rsidR="005822FC">
        <w:t>agreements</w:t>
      </w:r>
      <w:r>
        <w:t xml:space="preserve"> to 3 months.</w:t>
      </w:r>
    </w:p>
    <w:p w14:paraId="191F7A7D" w14:textId="6E347322" w:rsidR="00181DD9" w:rsidRDefault="00181DD9" w:rsidP="00181DD9">
      <w:pPr>
        <w:pStyle w:val="Bullet"/>
        <w:numPr>
          <w:ilvl w:val="0"/>
          <w:numId w:val="26"/>
        </w:numPr>
        <w:tabs>
          <w:tab w:val="clear" w:pos="720"/>
        </w:tabs>
        <w:spacing w:after="160" w:line="259" w:lineRule="auto"/>
      </w:pPr>
      <w:r w:rsidRPr="3E166B1D">
        <w:rPr>
          <w:rStyle w:val="Strong"/>
        </w:rPr>
        <w:t>Mandatory Compensation:</w:t>
      </w:r>
      <w:r>
        <w:t xml:space="preserve"> Firms wishing to </w:t>
      </w:r>
      <w:r w:rsidR="4D642E6C">
        <w:t>impose</w:t>
      </w:r>
      <w:r>
        <w:t xml:space="preserve"> a non-compete </w:t>
      </w:r>
      <w:r w:rsidR="0B7E5201">
        <w:t xml:space="preserve">clauses in employment agreements </w:t>
      </w:r>
      <w:r>
        <w:t>would need to compensate workers for the duration of the non-compete (e.g., in Finland, Denmark, Portugal, Sweden, France).</w:t>
      </w:r>
    </w:p>
    <w:p w14:paraId="67AAC681" w14:textId="1E1E8DF1" w:rsidR="00181DD9" w:rsidRDefault="00181DD9" w:rsidP="00181DD9">
      <w:pPr>
        <w:pStyle w:val="Bullet"/>
        <w:numPr>
          <w:ilvl w:val="0"/>
          <w:numId w:val="26"/>
        </w:numPr>
        <w:tabs>
          <w:tab w:val="clear" w:pos="720"/>
        </w:tabs>
        <w:spacing w:after="160" w:line="259" w:lineRule="auto"/>
      </w:pPr>
      <w:r w:rsidRPr="3E166B1D">
        <w:rPr>
          <w:rStyle w:val="Strong"/>
        </w:rPr>
        <w:t xml:space="preserve">Enhancing </w:t>
      </w:r>
      <w:r w:rsidR="4E0132F8" w:rsidRPr="3E166B1D">
        <w:rPr>
          <w:rStyle w:val="Strong"/>
        </w:rPr>
        <w:t>t</w:t>
      </w:r>
      <w:r w:rsidRPr="3E166B1D">
        <w:rPr>
          <w:rStyle w:val="Strong"/>
        </w:rPr>
        <w:t>ransparency about non-compete</w:t>
      </w:r>
      <w:r w:rsidR="7D042ABA" w:rsidRPr="3E166B1D">
        <w:rPr>
          <w:rStyle w:val="Strong"/>
        </w:rPr>
        <w:t xml:space="preserve"> clauses in employment agreement</w:t>
      </w:r>
      <w:r w:rsidRPr="3E166B1D">
        <w:rPr>
          <w:rStyle w:val="Strong"/>
        </w:rPr>
        <w:t>s:</w:t>
      </w:r>
      <w:r>
        <w:t xml:space="preserve"> This could be through public awareness campaigns or obligations on employers to improve transparency of the clause for workers (e.g., UK </w:t>
      </w:r>
      <w:r w:rsidR="00E60145">
        <w:t>has</w:t>
      </w:r>
      <w:r w:rsidR="00E048A1">
        <w:t>, in addition to duration limits,</w:t>
      </w:r>
      <w:r w:rsidR="00E60145">
        <w:t xml:space="preserve"> proposed </w:t>
      </w:r>
      <w:r w:rsidR="00612E5A">
        <w:t xml:space="preserve">producing </w:t>
      </w:r>
      <w:r w:rsidR="00E60145">
        <w:t>guidance on non-compete clauses)</w:t>
      </w:r>
      <w:r>
        <w:t>.</w:t>
      </w:r>
    </w:p>
    <w:p w14:paraId="0F581259" w14:textId="1A4D99F4" w:rsidR="00A207B4" w:rsidRDefault="447361DB" w:rsidP="2BD7B2BD">
      <w:pPr>
        <w:pStyle w:val="Bullet"/>
        <w:numPr>
          <w:ilvl w:val="0"/>
          <w:numId w:val="26"/>
        </w:numPr>
        <w:tabs>
          <w:tab w:val="clear" w:pos="720"/>
        </w:tabs>
        <w:spacing w:after="160" w:line="259" w:lineRule="auto"/>
      </w:pPr>
      <w:r w:rsidRPr="2BD7B2BD">
        <w:rPr>
          <w:rStyle w:val="Strong"/>
        </w:rPr>
        <w:t>Controlling and monitoring the use of non-competes:</w:t>
      </w:r>
      <w:r>
        <w:t xml:space="preserve"> This may involve registering the non-compete with the government and monitoring non-compete agreements, although this introduces a regulatory burden on employers and public authorities.</w:t>
      </w:r>
    </w:p>
    <w:p w14:paraId="775E288E" w14:textId="331B3DF9" w:rsidR="004D1389" w:rsidRDefault="36597AFF" w:rsidP="2BD7B2BD">
      <w:pPr>
        <w:pStyle w:val="Heading2"/>
        <w:spacing w:before="0" w:after="160" w:line="259" w:lineRule="auto"/>
      </w:pPr>
      <w:r>
        <w:lastRenderedPageBreak/>
        <w:t>References</w:t>
      </w:r>
      <w:r w:rsidR="7B9D26FC">
        <w:t xml:space="preserve"> </w:t>
      </w:r>
    </w:p>
    <w:p w14:paraId="7C2ECBC0" w14:textId="1B1FF706" w:rsidR="00AB522D" w:rsidRDefault="00AB522D" w:rsidP="006E34EC">
      <w:pPr>
        <w:pStyle w:val="DoubleDot"/>
        <w:numPr>
          <w:ilvl w:val="0"/>
          <w:numId w:val="0"/>
        </w:numPr>
      </w:pPr>
      <w:r>
        <w:t xml:space="preserve">Arup C, Dent C and Howe J (2013), </w:t>
      </w:r>
      <w:hyperlink r:id="rId22" w:history="1">
        <w:r w:rsidRPr="000764A7">
          <w:rPr>
            <w:rStyle w:val="Hyperlink"/>
          </w:rPr>
          <w:t>‘Restraints of Trade: The Legal Practice’</w:t>
        </w:r>
      </w:hyperlink>
      <w:r>
        <w:t xml:space="preserve">, </w:t>
      </w:r>
      <w:r w:rsidRPr="000D75D5">
        <w:rPr>
          <w:i/>
          <w:iCs/>
        </w:rPr>
        <w:t>UNSW Law Journal</w:t>
      </w:r>
      <w:r>
        <w:t xml:space="preserve"> 36(1): 1- 29.</w:t>
      </w:r>
    </w:p>
    <w:p w14:paraId="34545901" w14:textId="0167AB1D" w:rsidR="00B26F1A" w:rsidRPr="00B26F1A" w:rsidRDefault="00B26F1A" w:rsidP="006E34EC">
      <w:pPr>
        <w:pStyle w:val="DoubleDot"/>
        <w:numPr>
          <w:ilvl w:val="0"/>
          <w:numId w:val="0"/>
        </w:numPr>
      </w:pPr>
      <w:proofErr w:type="spellStart"/>
      <w:r>
        <w:t>Heydon</w:t>
      </w:r>
      <w:proofErr w:type="spellEnd"/>
      <w:r>
        <w:t xml:space="preserve"> JD (2008) </w:t>
      </w:r>
      <w:r>
        <w:rPr>
          <w:i/>
          <w:iCs/>
        </w:rPr>
        <w:t xml:space="preserve">The Restraint of Trade Doctrine, </w:t>
      </w:r>
      <w:r w:rsidR="00EE0CA1">
        <w:t>4th</w:t>
      </w:r>
      <w:r>
        <w:t xml:space="preserve"> </w:t>
      </w:r>
      <w:r w:rsidR="00EE0CA1">
        <w:t>ed, LexisNexis Butterworths.</w:t>
      </w:r>
    </w:p>
    <w:p w14:paraId="2A4B85B4" w14:textId="2BABD44A" w:rsidR="00AB522D" w:rsidRDefault="00AB522D" w:rsidP="006E34EC">
      <w:pPr>
        <w:pStyle w:val="DoubleDot"/>
        <w:numPr>
          <w:ilvl w:val="0"/>
          <w:numId w:val="0"/>
        </w:numPr>
      </w:pPr>
      <w:r>
        <w:t xml:space="preserve">Balasubramanian N, Chang J W, </w:t>
      </w:r>
      <w:proofErr w:type="spellStart"/>
      <w:r>
        <w:t>Sakakibara</w:t>
      </w:r>
      <w:proofErr w:type="spellEnd"/>
      <w:r>
        <w:t xml:space="preserve"> M, </w:t>
      </w:r>
      <w:proofErr w:type="spellStart"/>
      <w:r>
        <w:t>Sivadasan</w:t>
      </w:r>
      <w:proofErr w:type="spellEnd"/>
      <w:r>
        <w:t xml:space="preserve"> J and Starr E (2022) ‘Locked In? The Enforceability of Covenants Not to Compete and the Careers of High-Tech Workers’, </w:t>
      </w:r>
      <w:r w:rsidRPr="00793FC3">
        <w:rPr>
          <w:i/>
          <w:iCs/>
        </w:rPr>
        <w:t>Journal of Human Resources</w:t>
      </w:r>
      <w:r>
        <w:t xml:space="preserve">, 57 (S) </w:t>
      </w:r>
      <w:r w:rsidRPr="00C074E0">
        <w:t>S349-S396</w:t>
      </w:r>
      <w:r>
        <w:t xml:space="preserve">, </w:t>
      </w:r>
      <w:proofErr w:type="spellStart"/>
      <w:r>
        <w:t>doi</w:t>
      </w:r>
      <w:proofErr w:type="spellEnd"/>
      <w:r w:rsidRPr="005A3067">
        <w:t xml:space="preserve">: </w:t>
      </w:r>
      <w:hyperlink r:id="rId23" w:history="1">
        <w:r w:rsidRPr="00524AEE">
          <w:rPr>
            <w:rStyle w:val="Hyperlink"/>
          </w:rPr>
          <w:t>https://doi.org/10.3368/jhr.monopsony.1218-9931R1</w:t>
        </w:r>
      </w:hyperlink>
      <w:r>
        <w:t>.</w:t>
      </w:r>
    </w:p>
    <w:p w14:paraId="2760AF55" w14:textId="2B263B3D" w:rsidR="00AB522D" w:rsidRDefault="00AB522D" w:rsidP="006E34EC">
      <w:pPr>
        <w:pStyle w:val="DoubleDot"/>
        <w:numPr>
          <w:ilvl w:val="0"/>
          <w:numId w:val="0"/>
        </w:numPr>
      </w:pPr>
      <w:r>
        <w:t xml:space="preserve">Hausman N and </w:t>
      </w:r>
      <w:proofErr w:type="spellStart"/>
      <w:r>
        <w:t>Lavetti</w:t>
      </w:r>
      <w:proofErr w:type="spellEnd"/>
      <w:r>
        <w:t xml:space="preserve"> K (2021) ‘</w:t>
      </w:r>
      <w:hyperlink r:id="rId24" w:history="1">
        <w:r w:rsidRPr="006F314B">
          <w:rPr>
            <w:rStyle w:val="Hyperlink"/>
          </w:rPr>
          <w:t>Physician practice organization and negotiated prices: evidence from state law changes</w:t>
        </w:r>
      </w:hyperlink>
      <w:r>
        <w:t xml:space="preserve">’ </w:t>
      </w:r>
      <w:r w:rsidRPr="00793FC3">
        <w:rPr>
          <w:i/>
          <w:iCs/>
        </w:rPr>
        <w:t>American Economic Journal: Applied Economics</w:t>
      </w:r>
      <w:r>
        <w:t xml:space="preserve"> 13(2): 258-296.</w:t>
      </w:r>
    </w:p>
    <w:p w14:paraId="74BB56D1" w14:textId="4E8CEB18" w:rsidR="00F54E61" w:rsidRPr="00720B8D" w:rsidRDefault="00F54E61" w:rsidP="006E34EC">
      <w:pPr>
        <w:pStyle w:val="DoubleDot"/>
        <w:numPr>
          <w:ilvl w:val="0"/>
          <w:numId w:val="0"/>
        </w:numPr>
      </w:pPr>
      <w:r>
        <w:t>Andrews D and Jarvis B (2023) ‘</w:t>
      </w:r>
      <w:hyperlink r:id="rId25" w:history="1">
        <w:r w:rsidRPr="00F54E61">
          <w:rPr>
            <w:rStyle w:val="Hyperlink"/>
          </w:rPr>
          <w:t>The Ghost of Employers Past: How Prevalent Are Non-Compete Clauses in Australia?</w:t>
        </w:r>
      </w:hyperlink>
      <w:r>
        <w:t>’</w:t>
      </w:r>
      <w:r w:rsidR="00720B8D">
        <w:t xml:space="preserve"> e61 Institute.</w:t>
      </w:r>
    </w:p>
    <w:p w14:paraId="06AEB06C" w14:textId="29535DC2" w:rsidR="008001E1" w:rsidRPr="00360B81" w:rsidRDefault="008001E1" w:rsidP="006E34EC">
      <w:pPr>
        <w:pStyle w:val="DoubleDot"/>
        <w:numPr>
          <w:ilvl w:val="0"/>
          <w:numId w:val="0"/>
        </w:numPr>
      </w:pPr>
    </w:p>
    <w:sectPr w:rsidR="008001E1" w:rsidRPr="00360B81" w:rsidSect="00295B30">
      <w:headerReference w:type="even" r:id="rId26"/>
      <w:headerReference w:type="default" r:id="rId27"/>
      <w:footerReference w:type="even" r:id="rId28"/>
      <w:footerReference w:type="default" r:id="rId29"/>
      <w:headerReference w:type="first" r:id="rId30"/>
      <w:footerReference w:type="first" r:id="rId31"/>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BBCE" w14:textId="77777777" w:rsidR="001263E4" w:rsidRDefault="001263E4">
      <w:pPr>
        <w:spacing w:before="0" w:after="0"/>
      </w:pPr>
      <w:r>
        <w:separator/>
      </w:r>
    </w:p>
  </w:endnote>
  <w:endnote w:type="continuationSeparator" w:id="0">
    <w:p w14:paraId="174F8143" w14:textId="77777777" w:rsidR="001263E4" w:rsidRDefault="001263E4">
      <w:pPr>
        <w:spacing w:before="0" w:after="0"/>
      </w:pPr>
      <w:r>
        <w:continuationSeparator/>
      </w:r>
    </w:p>
  </w:endnote>
  <w:endnote w:type="continuationNotice" w:id="1">
    <w:p w14:paraId="12CF8276" w14:textId="77777777" w:rsidR="001263E4" w:rsidRDefault="001263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3DF4" w14:textId="25D8A7E4" w:rsidR="00D329F1" w:rsidRDefault="00023B06" w:rsidP="00103F3C">
    <w:pPr>
      <w:pStyle w:val="FooterOdd"/>
    </w:pPr>
    <w:r>
      <w:t>Competition Review</w:t>
    </w:r>
    <w:r w:rsidR="00103F3C">
      <w:tab/>
    </w:r>
    <w:r w:rsidR="00D329F1">
      <w:t xml:space="preserve">| </w:t>
    </w:r>
    <w:r w:rsidR="00D329F1">
      <w:fldChar w:fldCharType="begin"/>
    </w:r>
    <w:r w:rsidR="00D329F1">
      <w:instrText xml:space="preserve"> PAGE   \* MERGEFORMAT </w:instrText>
    </w:r>
    <w:r w:rsidR="00D329F1">
      <w:fldChar w:fldCharType="separate"/>
    </w:r>
    <w:r w:rsidR="00D329F1">
      <w:t>1</w:t>
    </w:r>
    <w:r w:rsidR="00D329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2EB1" w14:textId="386C112D" w:rsidR="003F00AC" w:rsidRPr="00023B06" w:rsidRDefault="003F00AC" w:rsidP="00BC6E69">
    <w:pPr>
      <w:pStyle w:val="FooterEven"/>
      <w:jc w:val="both"/>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w:t>
    </w:r>
    <w:r>
      <w:tab/>
    </w:r>
    <w:r>
      <w:rPr>
        <w:position w:val="-8"/>
      </w:rPr>
      <w:t>Competition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CF7A" w14:textId="1EACCE2A" w:rsidR="003F00AC" w:rsidRDefault="003F00AC" w:rsidP="00103F3C">
    <w:pPr>
      <w:pStyle w:val="FooterOdd"/>
    </w:pPr>
    <w:r>
      <w:t>Competition Review</w:t>
    </w:r>
    <w:r>
      <w:tab/>
      <w:t xml:space="preserve">|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DC6" w14:textId="77777777" w:rsidR="003F00AC" w:rsidRPr="00095D88" w:rsidRDefault="003F00AC"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435A" w14:textId="77777777" w:rsidR="001263E4" w:rsidRPr="00ED5A20" w:rsidRDefault="001263E4" w:rsidP="000F6233">
      <w:pPr>
        <w:rPr>
          <w:color w:val="4D7861" w:themeColor="accent2"/>
        </w:rPr>
      </w:pPr>
      <w:r w:rsidRPr="00ED5A20">
        <w:rPr>
          <w:color w:val="4D7861" w:themeColor="accent2"/>
        </w:rPr>
        <w:separator/>
      </w:r>
    </w:p>
  </w:footnote>
  <w:footnote w:type="continuationSeparator" w:id="0">
    <w:p w14:paraId="7166D528" w14:textId="77777777" w:rsidR="001263E4" w:rsidRPr="00B737EB" w:rsidRDefault="001263E4">
      <w:pPr>
        <w:spacing w:before="0" w:after="0"/>
        <w:rPr>
          <w:color w:val="2C384A" w:themeColor="accent1"/>
        </w:rPr>
      </w:pPr>
      <w:r w:rsidRPr="00B737EB">
        <w:rPr>
          <w:color w:val="2C384A" w:themeColor="accent1"/>
        </w:rPr>
        <w:continuationSeparator/>
      </w:r>
    </w:p>
  </w:footnote>
  <w:footnote w:type="continuationNotice" w:id="1">
    <w:p w14:paraId="1E691305" w14:textId="77777777" w:rsidR="001263E4" w:rsidRDefault="001263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7F2A" w14:textId="304CEE55" w:rsidR="00B55B04" w:rsidRPr="00F60198" w:rsidRDefault="00B55B04" w:rsidP="00A12F62">
    <w:pPr>
      <w:pStyle w:val="HeaderOdd"/>
    </w:pPr>
    <w:r>
      <w:rPr>
        <w:noProof/>
      </w:rPr>
      <w:drawing>
        <wp:anchor distT="0" distB="0" distL="114300" distR="114300" simplePos="0" relativeHeight="251658240" behindDoc="1" locked="1" layoutInCell="1" allowOverlap="1" wp14:anchorId="405640F6" wp14:editId="12B9EAED">
          <wp:simplePos x="0" y="0"/>
          <wp:positionH relativeFrom="page">
            <wp:align>left</wp:align>
          </wp:positionH>
          <wp:positionV relativeFrom="page">
            <wp:align>top</wp:align>
          </wp:positionV>
          <wp:extent cx="7570800" cy="936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D5AA" w14:textId="77777777" w:rsidR="003F00AC" w:rsidRPr="00AC75E2" w:rsidRDefault="003F00AC" w:rsidP="00AC75E2">
    <w:pPr>
      <w:pStyle w:val="HeaderEven"/>
    </w:pPr>
    <w:r>
      <w:rPr>
        <w:noProof/>
      </w:rPr>
      <w:drawing>
        <wp:anchor distT="0" distB="0" distL="114300" distR="114300" simplePos="0" relativeHeight="251658242" behindDoc="1" locked="1" layoutInCell="1" allowOverlap="1" wp14:anchorId="6825BFFC" wp14:editId="0B430F9A">
          <wp:simplePos x="0" y="0"/>
          <wp:positionH relativeFrom="page">
            <wp:align>left</wp:align>
          </wp:positionH>
          <wp:positionV relativeFrom="page">
            <wp:align>top</wp:align>
          </wp:positionV>
          <wp:extent cx="7570800" cy="936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4980" w14:textId="77777777" w:rsidR="003F00AC" w:rsidRPr="00F60198" w:rsidRDefault="003F00AC" w:rsidP="00A12F62">
    <w:pPr>
      <w:pStyle w:val="HeaderOdd"/>
    </w:pPr>
    <w:r>
      <w:rPr>
        <w:noProof/>
      </w:rPr>
      <w:drawing>
        <wp:anchor distT="0" distB="0" distL="114300" distR="114300" simplePos="0" relativeHeight="251658241" behindDoc="1" locked="1" layoutInCell="1" allowOverlap="1" wp14:anchorId="7AAAA89C" wp14:editId="00136535">
          <wp:simplePos x="0" y="0"/>
          <wp:positionH relativeFrom="page">
            <wp:align>left</wp:align>
          </wp:positionH>
          <wp:positionV relativeFrom="page">
            <wp:align>top</wp:align>
          </wp:positionV>
          <wp:extent cx="7570800" cy="936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2D9" w14:textId="77777777" w:rsidR="003F00AC" w:rsidRPr="00095D88" w:rsidRDefault="003F00AC"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C56D48"/>
    <w:multiLevelType w:val="hybridMultilevel"/>
    <w:tmpl w:val="847E47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60745C"/>
    <w:multiLevelType w:val="multilevel"/>
    <w:tmpl w:val="4ED4ADF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3"/>
  </w:num>
  <w:num w:numId="5" w16cid:durableId="709110180">
    <w:abstractNumId w:val="5"/>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2"/>
  </w:num>
  <w:num w:numId="12" w16cid:durableId="2019234066">
    <w:abstractNumId w:val="15"/>
  </w:num>
  <w:num w:numId="13" w16cid:durableId="1757362042">
    <w:abstractNumId w:val="23"/>
  </w:num>
  <w:num w:numId="14" w16cid:durableId="353965158">
    <w:abstractNumId w:val="14"/>
  </w:num>
  <w:num w:numId="15" w16cid:durableId="77220001">
    <w:abstractNumId w:val="8"/>
  </w:num>
  <w:num w:numId="16" w16cid:durableId="626086807">
    <w:abstractNumId w:val="17"/>
  </w:num>
  <w:num w:numId="17" w16cid:durableId="143200778">
    <w:abstractNumId w:val="12"/>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6"/>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8"/>
  </w:num>
  <w:num w:numId="25" w16cid:durableId="1198618205">
    <w:abstractNumId w:val="7"/>
  </w:num>
  <w:num w:numId="26" w16cid:durableId="1997418194">
    <w:abstractNumId w:val="19"/>
  </w:num>
  <w:num w:numId="27" w16cid:durableId="187926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73521"/>
    <w:rsid w:val="00000F47"/>
    <w:rsid w:val="00001B9C"/>
    <w:rsid w:val="00005096"/>
    <w:rsid w:val="00011725"/>
    <w:rsid w:val="00012C62"/>
    <w:rsid w:val="000135E3"/>
    <w:rsid w:val="0001396A"/>
    <w:rsid w:val="00016DDE"/>
    <w:rsid w:val="00017E7B"/>
    <w:rsid w:val="00023B06"/>
    <w:rsid w:val="0002544D"/>
    <w:rsid w:val="00025C43"/>
    <w:rsid w:val="0004176E"/>
    <w:rsid w:val="00042308"/>
    <w:rsid w:val="0004274D"/>
    <w:rsid w:val="00043348"/>
    <w:rsid w:val="0004483F"/>
    <w:rsid w:val="00045074"/>
    <w:rsid w:val="00046CB4"/>
    <w:rsid w:val="0005138B"/>
    <w:rsid w:val="00051577"/>
    <w:rsid w:val="000522B7"/>
    <w:rsid w:val="00053717"/>
    <w:rsid w:val="000551C1"/>
    <w:rsid w:val="00056880"/>
    <w:rsid w:val="00057D79"/>
    <w:rsid w:val="000675D1"/>
    <w:rsid w:val="00067787"/>
    <w:rsid w:val="00070074"/>
    <w:rsid w:val="0007021F"/>
    <w:rsid w:val="00073521"/>
    <w:rsid w:val="00075C7D"/>
    <w:rsid w:val="000764A7"/>
    <w:rsid w:val="000775DE"/>
    <w:rsid w:val="000830FF"/>
    <w:rsid w:val="00083EC3"/>
    <w:rsid w:val="00084629"/>
    <w:rsid w:val="00084698"/>
    <w:rsid w:val="000858F4"/>
    <w:rsid w:val="00086634"/>
    <w:rsid w:val="0008763D"/>
    <w:rsid w:val="00087FAF"/>
    <w:rsid w:val="00092815"/>
    <w:rsid w:val="000942EA"/>
    <w:rsid w:val="00095D88"/>
    <w:rsid w:val="00097146"/>
    <w:rsid w:val="000A3D92"/>
    <w:rsid w:val="000A5F75"/>
    <w:rsid w:val="000B093F"/>
    <w:rsid w:val="000B302A"/>
    <w:rsid w:val="000C1604"/>
    <w:rsid w:val="000C5207"/>
    <w:rsid w:val="000C571D"/>
    <w:rsid w:val="000C5F40"/>
    <w:rsid w:val="000D21A8"/>
    <w:rsid w:val="000D46FD"/>
    <w:rsid w:val="000D55B0"/>
    <w:rsid w:val="000D6572"/>
    <w:rsid w:val="000E01CA"/>
    <w:rsid w:val="000E0B74"/>
    <w:rsid w:val="000E17D0"/>
    <w:rsid w:val="000E1D1F"/>
    <w:rsid w:val="000E2A8B"/>
    <w:rsid w:val="000E397B"/>
    <w:rsid w:val="000E4899"/>
    <w:rsid w:val="000E4937"/>
    <w:rsid w:val="000E76A8"/>
    <w:rsid w:val="000E7901"/>
    <w:rsid w:val="000F553A"/>
    <w:rsid w:val="000F6233"/>
    <w:rsid w:val="001006BC"/>
    <w:rsid w:val="001009B4"/>
    <w:rsid w:val="00103F3C"/>
    <w:rsid w:val="00105219"/>
    <w:rsid w:val="001108D5"/>
    <w:rsid w:val="00110FAD"/>
    <w:rsid w:val="001118CB"/>
    <w:rsid w:val="001120CE"/>
    <w:rsid w:val="00125FCD"/>
    <w:rsid w:val="001263E4"/>
    <w:rsid w:val="00131DC3"/>
    <w:rsid w:val="001320C1"/>
    <w:rsid w:val="00135E4C"/>
    <w:rsid w:val="001373F5"/>
    <w:rsid w:val="00140B2A"/>
    <w:rsid w:val="00140C04"/>
    <w:rsid w:val="00140C5D"/>
    <w:rsid w:val="00143E82"/>
    <w:rsid w:val="00150370"/>
    <w:rsid w:val="00152712"/>
    <w:rsid w:val="001574C0"/>
    <w:rsid w:val="001606CF"/>
    <w:rsid w:val="0016128D"/>
    <w:rsid w:val="00163EF0"/>
    <w:rsid w:val="00164599"/>
    <w:rsid w:val="001678FF"/>
    <w:rsid w:val="0017089D"/>
    <w:rsid w:val="0017128D"/>
    <w:rsid w:val="00176303"/>
    <w:rsid w:val="001770C8"/>
    <w:rsid w:val="00177B10"/>
    <w:rsid w:val="0018054E"/>
    <w:rsid w:val="001805A8"/>
    <w:rsid w:val="00180683"/>
    <w:rsid w:val="00181DD9"/>
    <w:rsid w:val="00182635"/>
    <w:rsid w:val="0018326A"/>
    <w:rsid w:val="0019101A"/>
    <w:rsid w:val="00195C8E"/>
    <w:rsid w:val="001972D2"/>
    <w:rsid w:val="001A1319"/>
    <w:rsid w:val="001A15E6"/>
    <w:rsid w:val="001B001E"/>
    <w:rsid w:val="001B579C"/>
    <w:rsid w:val="001B5D4C"/>
    <w:rsid w:val="001C0E36"/>
    <w:rsid w:val="001C2A4B"/>
    <w:rsid w:val="001C30AF"/>
    <w:rsid w:val="001C358D"/>
    <w:rsid w:val="001C396C"/>
    <w:rsid w:val="001C40A0"/>
    <w:rsid w:val="001C42BE"/>
    <w:rsid w:val="001C4801"/>
    <w:rsid w:val="001C55BA"/>
    <w:rsid w:val="001C674A"/>
    <w:rsid w:val="001C6E8D"/>
    <w:rsid w:val="001D1D10"/>
    <w:rsid w:val="001D6500"/>
    <w:rsid w:val="001E036A"/>
    <w:rsid w:val="001E6BBF"/>
    <w:rsid w:val="001E737A"/>
    <w:rsid w:val="001F1B27"/>
    <w:rsid w:val="001F4D0D"/>
    <w:rsid w:val="001F608E"/>
    <w:rsid w:val="001F7423"/>
    <w:rsid w:val="00204460"/>
    <w:rsid w:val="00204CE1"/>
    <w:rsid w:val="0020603F"/>
    <w:rsid w:val="00210B45"/>
    <w:rsid w:val="00213984"/>
    <w:rsid w:val="00221EC0"/>
    <w:rsid w:val="00223666"/>
    <w:rsid w:val="00230101"/>
    <w:rsid w:val="00231049"/>
    <w:rsid w:val="002314D2"/>
    <w:rsid w:val="0023305C"/>
    <w:rsid w:val="00236A0D"/>
    <w:rsid w:val="00241881"/>
    <w:rsid w:val="0024294C"/>
    <w:rsid w:val="002429CD"/>
    <w:rsid w:val="002461BA"/>
    <w:rsid w:val="00246A22"/>
    <w:rsid w:val="002543D8"/>
    <w:rsid w:val="00254655"/>
    <w:rsid w:val="00255E19"/>
    <w:rsid w:val="0025652F"/>
    <w:rsid w:val="002571BC"/>
    <w:rsid w:val="00263150"/>
    <w:rsid w:val="002638FE"/>
    <w:rsid w:val="00263B6C"/>
    <w:rsid w:val="00264549"/>
    <w:rsid w:val="00272939"/>
    <w:rsid w:val="00274586"/>
    <w:rsid w:val="00275162"/>
    <w:rsid w:val="0027590B"/>
    <w:rsid w:val="00281C72"/>
    <w:rsid w:val="00285969"/>
    <w:rsid w:val="002873D8"/>
    <w:rsid w:val="0029377E"/>
    <w:rsid w:val="00295B30"/>
    <w:rsid w:val="002975B1"/>
    <w:rsid w:val="002A466C"/>
    <w:rsid w:val="002A74EF"/>
    <w:rsid w:val="002A7A31"/>
    <w:rsid w:val="002B101B"/>
    <w:rsid w:val="002B13FD"/>
    <w:rsid w:val="002B2757"/>
    <w:rsid w:val="002B2FE5"/>
    <w:rsid w:val="002B3829"/>
    <w:rsid w:val="002B7484"/>
    <w:rsid w:val="002C22EF"/>
    <w:rsid w:val="002C319C"/>
    <w:rsid w:val="002C3C4D"/>
    <w:rsid w:val="002D02B2"/>
    <w:rsid w:val="002D7330"/>
    <w:rsid w:val="002E1FB6"/>
    <w:rsid w:val="002E1FD6"/>
    <w:rsid w:val="002E2616"/>
    <w:rsid w:val="002E3532"/>
    <w:rsid w:val="002E454C"/>
    <w:rsid w:val="002E62C1"/>
    <w:rsid w:val="002F14B3"/>
    <w:rsid w:val="002F617F"/>
    <w:rsid w:val="002F67EE"/>
    <w:rsid w:val="002F7EB3"/>
    <w:rsid w:val="00300109"/>
    <w:rsid w:val="00301755"/>
    <w:rsid w:val="0030665E"/>
    <w:rsid w:val="00306894"/>
    <w:rsid w:val="003114B0"/>
    <w:rsid w:val="003122DD"/>
    <w:rsid w:val="003122F4"/>
    <w:rsid w:val="0031313D"/>
    <w:rsid w:val="0031543A"/>
    <w:rsid w:val="00317B59"/>
    <w:rsid w:val="00323DBE"/>
    <w:rsid w:val="003246DC"/>
    <w:rsid w:val="003268D5"/>
    <w:rsid w:val="003279EF"/>
    <w:rsid w:val="00333207"/>
    <w:rsid w:val="00333D42"/>
    <w:rsid w:val="00336B31"/>
    <w:rsid w:val="0033755F"/>
    <w:rsid w:val="0034208A"/>
    <w:rsid w:val="00342348"/>
    <w:rsid w:val="00343438"/>
    <w:rsid w:val="00343C96"/>
    <w:rsid w:val="003448F6"/>
    <w:rsid w:val="00350759"/>
    <w:rsid w:val="00353876"/>
    <w:rsid w:val="00354D27"/>
    <w:rsid w:val="003563F7"/>
    <w:rsid w:val="0035738A"/>
    <w:rsid w:val="00360B81"/>
    <w:rsid w:val="003716ED"/>
    <w:rsid w:val="0037221F"/>
    <w:rsid w:val="00372A83"/>
    <w:rsid w:val="0037478C"/>
    <w:rsid w:val="00375655"/>
    <w:rsid w:val="003778D6"/>
    <w:rsid w:val="00380DEF"/>
    <w:rsid w:val="00381867"/>
    <w:rsid w:val="003840B8"/>
    <w:rsid w:val="003858A6"/>
    <w:rsid w:val="00386297"/>
    <w:rsid w:val="00387705"/>
    <w:rsid w:val="00392787"/>
    <w:rsid w:val="00392DCC"/>
    <w:rsid w:val="00396802"/>
    <w:rsid w:val="00397003"/>
    <w:rsid w:val="00397BB5"/>
    <w:rsid w:val="00397C67"/>
    <w:rsid w:val="003A1333"/>
    <w:rsid w:val="003A1CE0"/>
    <w:rsid w:val="003A4079"/>
    <w:rsid w:val="003A4CDC"/>
    <w:rsid w:val="003A5B36"/>
    <w:rsid w:val="003A7DFE"/>
    <w:rsid w:val="003B0B61"/>
    <w:rsid w:val="003B6180"/>
    <w:rsid w:val="003B7755"/>
    <w:rsid w:val="003C001A"/>
    <w:rsid w:val="003C15ED"/>
    <w:rsid w:val="003C24B4"/>
    <w:rsid w:val="003C52D3"/>
    <w:rsid w:val="003C53F7"/>
    <w:rsid w:val="003D16F8"/>
    <w:rsid w:val="003D5699"/>
    <w:rsid w:val="003E00C2"/>
    <w:rsid w:val="003E1BCA"/>
    <w:rsid w:val="003E20D6"/>
    <w:rsid w:val="003E4D87"/>
    <w:rsid w:val="003E5355"/>
    <w:rsid w:val="003E5660"/>
    <w:rsid w:val="003F00AC"/>
    <w:rsid w:val="003F0453"/>
    <w:rsid w:val="003F5F69"/>
    <w:rsid w:val="00401082"/>
    <w:rsid w:val="00402B08"/>
    <w:rsid w:val="00403FB0"/>
    <w:rsid w:val="00404FF9"/>
    <w:rsid w:val="00410819"/>
    <w:rsid w:val="00413730"/>
    <w:rsid w:val="00414162"/>
    <w:rsid w:val="00416762"/>
    <w:rsid w:val="00416E55"/>
    <w:rsid w:val="0041777C"/>
    <w:rsid w:val="00421955"/>
    <w:rsid w:val="00421EB8"/>
    <w:rsid w:val="00422761"/>
    <w:rsid w:val="004244EA"/>
    <w:rsid w:val="0042518A"/>
    <w:rsid w:val="00426631"/>
    <w:rsid w:val="004272E6"/>
    <w:rsid w:val="004276A0"/>
    <w:rsid w:val="00430882"/>
    <w:rsid w:val="00431718"/>
    <w:rsid w:val="00431E9B"/>
    <w:rsid w:val="004327E8"/>
    <w:rsid w:val="00442905"/>
    <w:rsid w:val="00444A63"/>
    <w:rsid w:val="00445265"/>
    <w:rsid w:val="00445FC4"/>
    <w:rsid w:val="0045095F"/>
    <w:rsid w:val="004509C6"/>
    <w:rsid w:val="004535BB"/>
    <w:rsid w:val="004549BC"/>
    <w:rsid w:val="004559CE"/>
    <w:rsid w:val="004573B8"/>
    <w:rsid w:val="00460E1A"/>
    <w:rsid w:val="004620DE"/>
    <w:rsid w:val="00463DF8"/>
    <w:rsid w:val="00466EEB"/>
    <w:rsid w:val="00466F8E"/>
    <w:rsid w:val="0047091D"/>
    <w:rsid w:val="004725F1"/>
    <w:rsid w:val="00475085"/>
    <w:rsid w:val="00476CF6"/>
    <w:rsid w:val="00477AA8"/>
    <w:rsid w:val="00477BF4"/>
    <w:rsid w:val="0048101C"/>
    <w:rsid w:val="004810B1"/>
    <w:rsid w:val="00483484"/>
    <w:rsid w:val="00492FCB"/>
    <w:rsid w:val="00496200"/>
    <w:rsid w:val="004A058A"/>
    <w:rsid w:val="004A0F11"/>
    <w:rsid w:val="004A158A"/>
    <w:rsid w:val="004A3EAA"/>
    <w:rsid w:val="004A4F24"/>
    <w:rsid w:val="004A7D97"/>
    <w:rsid w:val="004B10E7"/>
    <w:rsid w:val="004B17B9"/>
    <w:rsid w:val="004B24A3"/>
    <w:rsid w:val="004B5133"/>
    <w:rsid w:val="004B5641"/>
    <w:rsid w:val="004C1F48"/>
    <w:rsid w:val="004C2902"/>
    <w:rsid w:val="004C41B6"/>
    <w:rsid w:val="004C487B"/>
    <w:rsid w:val="004C4DFD"/>
    <w:rsid w:val="004D1389"/>
    <w:rsid w:val="004D447B"/>
    <w:rsid w:val="004D5806"/>
    <w:rsid w:val="004D6E37"/>
    <w:rsid w:val="004D743C"/>
    <w:rsid w:val="004E00EA"/>
    <w:rsid w:val="004E1226"/>
    <w:rsid w:val="004E6B14"/>
    <w:rsid w:val="004F4810"/>
    <w:rsid w:val="004F4B92"/>
    <w:rsid w:val="00501B6C"/>
    <w:rsid w:val="00502A9D"/>
    <w:rsid w:val="00503A83"/>
    <w:rsid w:val="005048DF"/>
    <w:rsid w:val="005060BE"/>
    <w:rsid w:val="00515393"/>
    <w:rsid w:val="00516785"/>
    <w:rsid w:val="00517672"/>
    <w:rsid w:val="005207F8"/>
    <w:rsid w:val="005235EA"/>
    <w:rsid w:val="00523A2D"/>
    <w:rsid w:val="0052419D"/>
    <w:rsid w:val="005243E7"/>
    <w:rsid w:val="00526371"/>
    <w:rsid w:val="005301F8"/>
    <w:rsid w:val="00530E16"/>
    <w:rsid w:val="00531256"/>
    <w:rsid w:val="005312FC"/>
    <w:rsid w:val="00532A7F"/>
    <w:rsid w:val="00532AB5"/>
    <w:rsid w:val="00532C6D"/>
    <w:rsid w:val="005355B1"/>
    <w:rsid w:val="0053569E"/>
    <w:rsid w:val="0053603D"/>
    <w:rsid w:val="0053742A"/>
    <w:rsid w:val="00537C85"/>
    <w:rsid w:val="00537D8A"/>
    <w:rsid w:val="00541A77"/>
    <w:rsid w:val="00541D29"/>
    <w:rsid w:val="0054379B"/>
    <w:rsid w:val="00543F23"/>
    <w:rsid w:val="00545D42"/>
    <w:rsid w:val="00546158"/>
    <w:rsid w:val="00546488"/>
    <w:rsid w:val="00551711"/>
    <w:rsid w:val="00553FFD"/>
    <w:rsid w:val="005619D9"/>
    <w:rsid w:val="00562F17"/>
    <w:rsid w:val="00564A49"/>
    <w:rsid w:val="00565483"/>
    <w:rsid w:val="0056582C"/>
    <w:rsid w:val="00567373"/>
    <w:rsid w:val="0057099A"/>
    <w:rsid w:val="00571839"/>
    <w:rsid w:val="00575B7F"/>
    <w:rsid w:val="005776B2"/>
    <w:rsid w:val="005778A6"/>
    <w:rsid w:val="005822FC"/>
    <w:rsid w:val="0058251E"/>
    <w:rsid w:val="005845F3"/>
    <w:rsid w:val="00586605"/>
    <w:rsid w:val="005868DE"/>
    <w:rsid w:val="005877AC"/>
    <w:rsid w:val="0059442E"/>
    <w:rsid w:val="005966B7"/>
    <w:rsid w:val="005A3067"/>
    <w:rsid w:val="005A70C4"/>
    <w:rsid w:val="005B02B2"/>
    <w:rsid w:val="005B0AD0"/>
    <w:rsid w:val="005B3C0C"/>
    <w:rsid w:val="005B4156"/>
    <w:rsid w:val="005B5E2A"/>
    <w:rsid w:val="005B629D"/>
    <w:rsid w:val="005C02A4"/>
    <w:rsid w:val="005C20D2"/>
    <w:rsid w:val="005C3223"/>
    <w:rsid w:val="005C32FE"/>
    <w:rsid w:val="005C503A"/>
    <w:rsid w:val="005D024A"/>
    <w:rsid w:val="005D213A"/>
    <w:rsid w:val="005D4FD4"/>
    <w:rsid w:val="005D6D64"/>
    <w:rsid w:val="005E4056"/>
    <w:rsid w:val="005E4AEF"/>
    <w:rsid w:val="005E5EED"/>
    <w:rsid w:val="005F173E"/>
    <w:rsid w:val="005F2EE3"/>
    <w:rsid w:val="005F4871"/>
    <w:rsid w:val="005F4E71"/>
    <w:rsid w:val="00601650"/>
    <w:rsid w:val="00604927"/>
    <w:rsid w:val="00604EEF"/>
    <w:rsid w:val="00605AFD"/>
    <w:rsid w:val="00605F15"/>
    <w:rsid w:val="00607110"/>
    <w:rsid w:val="00607DB7"/>
    <w:rsid w:val="00611262"/>
    <w:rsid w:val="0061230F"/>
    <w:rsid w:val="006123D4"/>
    <w:rsid w:val="00612B7E"/>
    <w:rsid w:val="00612E5A"/>
    <w:rsid w:val="0061393E"/>
    <w:rsid w:val="00614287"/>
    <w:rsid w:val="0061445B"/>
    <w:rsid w:val="0061666C"/>
    <w:rsid w:val="00617543"/>
    <w:rsid w:val="00617658"/>
    <w:rsid w:val="00624C36"/>
    <w:rsid w:val="00624C4B"/>
    <w:rsid w:val="006264F5"/>
    <w:rsid w:val="006266F5"/>
    <w:rsid w:val="006323CF"/>
    <w:rsid w:val="00634788"/>
    <w:rsid w:val="00636B0A"/>
    <w:rsid w:val="00641CAF"/>
    <w:rsid w:val="006469CC"/>
    <w:rsid w:val="00647C7E"/>
    <w:rsid w:val="006502DE"/>
    <w:rsid w:val="00652457"/>
    <w:rsid w:val="00652A5F"/>
    <w:rsid w:val="0065577A"/>
    <w:rsid w:val="006608B9"/>
    <w:rsid w:val="00661109"/>
    <w:rsid w:val="00672B5D"/>
    <w:rsid w:val="00675851"/>
    <w:rsid w:val="0067622C"/>
    <w:rsid w:val="0067637C"/>
    <w:rsid w:val="00682249"/>
    <w:rsid w:val="00684D35"/>
    <w:rsid w:val="00685B65"/>
    <w:rsid w:val="00685CF7"/>
    <w:rsid w:val="00686165"/>
    <w:rsid w:val="00686F20"/>
    <w:rsid w:val="0068747E"/>
    <w:rsid w:val="00691CB5"/>
    <w:rsid w:val="006923DF"/>
    <w:rsid w:val="00692CC6"/>
    <w:rsid w:val="00694073"/>
    <w:rsid w:val="006941EC"/>
    <w:rsid w:val="00695903"/>
    <w:rsid w:val="006A1020"/>
    <w:rsid w:val="006A37F5"/>
    <w:rsid w:val="006A5AAB"/>
    <w:rsid w:val="006B072C"/>
    <w:rsid w:val="006B19B1"/>
    <w:rsid w:val="006B1FFE"/>
    <w:rsid w:val="006B38FF"/>
    <w:rsid w:val="006B3969"/>
    <w:rsid w:val="006B594D"/>
    <w:rsid w:val="006B6600"/>
    <w:rsid w:val="006B7591"/>
    <w:rsid w:val="006C0FB4"/>
    <w:rsid w:val="006C1892"/>
    <w:rsid w:val="006C5B73"/>
    <w:rsid w:val="006C645D"/>
    <w:rsid w:val="006C68E7"/>
    <w:rsid w:val="006D2851"/>
    <w:rsid w:val="006D72DF"/>
    <w:rsid w:val="006E0ECD"/>
    <w:rsid w:val="006E1A81"/>
    <w:rsid w:val="006E2D2A"/>
    <w:rsid w:val="006E34EC"/>
    <w:rsid w:val="006E3CC3"/>
    <w:rsid w:val="006F1B40"/>
    <w:rsid w:val="006F2EF6"/>
    <w:rsid w:val="006F314B"/>
    <w:rsid w:val="00700ADF"/>
    <w:rsid w:val="007010A8"/>
    <w:rsid w:val="00703F4B"/>
    <w:rsid w:val="00706E8E"/>
    <w:rsid w:val="0071070A"/>
    <w:rsid w:val="00712FD2"/>
    <w:rsid w:val="00713091"/>
    <w:rsid w:val="00714666"/>
    <w:rsid w:val="0071750C"/>
    <w:rsid w:val="00720B8D"/>
    <w:rsid w:val="00721BA4"/>
    <w:rsid w:val="00722B53"/>
    <w:rsid w:val="00724C2E"/>
    <w:rsid w:val="0073186D"/>
    <w:rsid w:val="00732D45"/>
    <w:rsid w:val="007344E4"/>
    <w:rsid w:val="00742366"/>
    <w:rsid w:val="00744484"/>
    <w:rsid w:val="007450A4"/>
    <w:rsid w:val="007464E7"/>
    <w:rsid w:val="007509DD"/>
    <w:rsid w:val="00763474"/>
    <w:rsid w:val="00766184"/>
    <w:rsid w:val="00775180"/>
    <w:rsid w:val="00775E02"/>
    <w:rsid w:val="00776337"/>
    <w:rsid w:val="0078191E"/>
    <w:rsid w:val="007822D6"/>
    <w:rsid w:val="0078257B"/>
    <w:rsid w:val="00783455"/>
    <w:rsid w:val="007834F6"/>
    <w:rsid w:val="00783D75"/>
    <w:rsid w:val="00784119"/>
    <w:rsid w:val="00784C0A"/>
    <w:rsid w:val="00785675"/>
    <w:rsid w:val="00785B6D"/>
    <w:rsid w:val="0078766D"/>
    <w:rsid w:val="0079032C"/>
    <w:rsid w:val="00791CE7"/>
    <w:rsid w:val="007923A3"/>
    <w:rsid w:val="0079280C"/>
    <w:rsid w:val="00793FC3"/>
    <w:rsid w:val="0079410D"/>
    <w:rsid w:val="00794ABB"/>
    <w:rsid w:val="00794B40"/>
    <w:rsid w:val="00796E26"/>
    <w:rsid w:val="00797BA1"/>
    <w:rsid w:val="007A0A3D"/>
    <w:rsid w:val="007A1079"/>
    <w:rsid w:val="007A1E98"/>
    <w:rsid w:val="007A1F25"/>
    <w:rsid w:val="007A5A0F"/>
    <w:rsid w:val="007A6681"/>
    <w:rsid w:val="007A673B"/>
    <w:rsid w:val="007A6D55"/>
    <w:rsid w:val="007B2677"/>
    <w:rsid w:val="007B3EC0"/>
    <w:rsid w:val="007B76AB"/>
    <w:rsid w:val="007D1461"/>
    <w:rsid w:val="007D1ADB"/>
    <w:rsid w:val="007D5578"/>
    <w:rsid w:val="007D592B"/>
    <w:rsid w:val="007D59B3"/>
    <w:rsid w:val="007D5AA6"/>
    <w:rsid w:val="007D6ED6"/>
    <w:rsid w:val="007D7A91"/>
    <w:rsid w:val="007E1E5D"/>
    <w:rsid w:val="007E36D0"/>
    <w:rsid w:val="007E4753"/>
    <w:rsid w:val="007E5C13"/>
    <w:rsid w:val="007E6456"/>
    <w:rsid w:val="007E7C64"/>
    <w:rsid w:val="007F4571"/>
    <w:rsid w:val="007F6713"/>
    <w:rsid w:val="007F7670"/>
    <w:rsid w:val="008001E1"/>
    <w:rsid w:val="008002FF"/>
    <w:rsid w:val="0080424C"/>
    <w:rsid w:val="008076F3"/>
    <w:rsid w:val="00807964"/>
    <w:rsid w:val="00811943"/>
    <w:rsid w:val="00811D22"/>
    <w:rsid w:val="00814BCC"/>
    <w:rsid w:val="00815B54"/>
    <w:rsid w:val="00815C81"/>
    <w:rsid w:val="00817137"/>
    <w:rsid w:val="008311B8"/>
    <w:rsid w:val="00833D06"/>
    <w:rsid w:val="00834243"/>
    <w:rsid w:val="0083612A"/>
    <w:rsid w:val="008374C4"/>
    <w:rsid w:val="00837780"/>
    <w:rsid w:val="0084052B"/>
    <w:rsid w:val="00843923"/>
    <w:rsid w:val="0085015E"/>
    <w:rsid w:val="0085394E"/>
    <w:rsid w:val="00855853"/>
    <w:rsid w:val="00857969"/>
    <w:rsid w:val="00857C50"/>
    <w:rsid w:val="00870483"/>
    <w:rsid w:val="008724B0"/>
    <w:rsid w:val="00875B93"/>
    <w:rsid w:val="008772CB"/>
    <w:rsid w:val="008775CC"/>
    <w:rsid w:val="00877C6C"/>
    <w:rsid w:val="0088105C"/>
    <w:rsid w:val="00882CC4"/>
    <w:rsid w:val="008844AC"/>
    <w:rsid w:val="00884656"/>
    <w:rsid w:val="008850EB"/>
    <w:rsid w:val="008860CB"/>
    <w:rsid w:val="00887AC7"/>
    <w:rsid w:val="00890D82"/>
    <w:rsid w:val="00891864"/>
    <w:rsid w:val="008938E0"/>
    <w:rsid w:val="00895B4A"/>
    <w:rsid w:val="00897F46"/>
    <w:rsid w:val="008A54E8"/>
    <w:rsid w:val="008B7123"/>
    <w:rsid w:val="008C5235"/>
    <w:rsid w:val="008C5B3F"/>
    <w:rsid w:val="008C664B"/>
    <w:rsid w:val="008C7F71"/>
    <w:rsid w:val="008D139C"/>
    <w:rsid w:val="008D339F"/>
    <w:rsid w:val="008D4CBB"/>
    <w:rsid w:val="008D57FC"/>
    <w:rsid w:val="008D783C"/>
    <w:rsid w:val="008E2096"/>
    <w:rsid w:val="008E24D2"/>
    <w:rsid w:val="008E4613"/>
    <w:rsid w:val="008E4A50"/>
    <w:rsid w:val="008E6292"/>
    <w:rsid w:val="008F057C"/>
    <w:rsid w:val="008F0BD0"/>
    <w:rsid w:val="008F23EB"/>
    <w:rsid w:val="008F2A86"/>
    <w:rsid w:val="008F2F8D"/>
    <w:rsid w:val="008F4F47"/>
    <w:rsid w:val="008F7F08"/>
    <w:rsid w:val="00905954"/>
    <w:rsid w:val="00906E61"/>
    <w:rsid w:val="009071ED"/>
    <w:rsid w:val="00913CC1"/>
    <w:rsid w:val="00917E28"/>
    <w:rsid w:val="00922760"/>
    <w:rsid w:val="00925AA5"/>
    <w:rsid w:val="00930535"/>
    <w:rsid w:val="00931393"/>
    <w:rsid w:val="0093540D"/>
    <w:rsid w:val="0094019D"/>
    <w:rsid w:val="00941EBA"/>
    <w:rsid w:val="00942C11"/>
    <w:rsid w:val="0094351F"/>
    <w:rsid w:val="00944C24"/>
    <w:rsid w:val="00945161"/>
    <w:rsid w:val="009466F2"/>
    <w:rsid w:val="00946B83"/>
    <w:rsid w:val="00951221"/>
    <w:rsid w:val="00954189"/>
    <w:rsid w:val="009547F8"/>
    <w:rsid w:val="00955151"/>
    <w:rsid w:val="00957062"/>
    <w:rsid w:val="00962ACF"/>
    <w:rsid w:val="00963EE3"/>
    <w:rsid w:val="0096436A"/>
    <w:rsid w:val="00964446"/>
    <w:rsid w:val="00971BF4"/>
    <w:rsid w:val="009729D4"/>
    <w:rsid w:val="00976A57"/>
    <w:rsid w:val="00980759"/>
    <w:rsid w:val="00980D70"/>
    <w:rsid w:val="009812BC"/>
    <w:rsid w:val="009817B0"/>
    <w:rsid w:val="009821CE"/>
    <w:rsid w:val="00984101"/>
    <w:rsid w:val="00984E1C"/>
    <w:rsid w:val="00987D27"/>
    <w:rsid w:val="0099025B"/>
    <w:rsid w:val="00991FC6"/>
    <w:rsid w:val="00995DB4"/>
    <w:rsid w:val="00996C39"/>
    <w:rsid w:val="009970C4"/>
    <w:rsid w:val="009A0226"/>
    <w:rsid w:val="009A276C"/>
    <w:rsid w:val="009A277C"/>
    <w:rsid w:val="009A4097"/>
    <w:rsid w:val="009A4834"/>
    <w:rsid w:val="009A5C6C"/>
    <w:rsid w:val="009A658F"/>
    <w:rsid w:val="009A7AC6"/>
    <w:rsid w:val="009B088F"/>
    <w:rsid w:val="009B0EE8"/>
    <w:rsid w:val="009B1E71"/>
    <w:rsid w:val="009B2249"/>
    <w:rsid w:val="009B3C32"/>
    <w:rsid w:val="009B45E0"/>
    <w:rsid w:val="009C13CB"/>
    <w:rsid w:val="009C62C6"/>
    <w:rsid w:val="009D2CFF"/>
    <w:rsid w:val="009D33B6"/>
    <w:rsid w:val="009D6787"/>
    <w:rsid w:val="009D6B2D"/>
    <w:rsid w:val="009E0427"/>
    <w:rsid w:val="009E0CA5"/>
    <w:rsid w:val="009E171B"/>
    <w:rsid w:val="009E4F84"/>
    <w:rsid w:val="009E7BE1"/>
    <w:rsid w:val="009F42EF"/>
    <w:rsid w:val="009F5FA4"/>
    <w:rsid w:val="00A00794"/>
    <w:rsid w:val="00A015E8"/>
    <w:rsid w:val="00A02395"/>
    <w:rsid w:val="00A03513"/>
    <w:rsid w:val="00A03F06"/>
    <w:rsid w:val="00A06BAC"/>
    <w:rsid w:val="00A07D47"/>
    <w:rsid w:val="00A10593"/>
    <w:rsid w:val="00A12F62"/>
    <w:rsid w:val="00A149A3"/>
    <w:rsid w:val="00A14FE9"/>
    <w:rsid w:val="00A155F0"/>
    <w:rsid w:val="00A1705C"/>
    <w:rsid w:val="00A207B4"/>
    <w:rsid w:val="00A21096"/>
    <w:rsid w:val="00A244E7"/>
    <w:rsid w:val="00A248F8"/>
    <w:rsid w:val="00A27AE2"/>
    <w:rsid w:val="00A33C41"/>
    <w:rsid w:val="00A350E6"/>
    <w:rsid w:val="00A365AA"/>
    <w:rsid w:val="00A3749B"/>
    <w:rsid w:val="00A37D87"/>
    <w:rsid w:val="00A41C10"/>
    <w:rsid w:val="00A447E0"/>
    <w:rsid w:val="00A46CEC"/>
    <w:rsid w:val="00A47633"/>
    <w:rsid w:val="00A507AE"/>
    <w:rsid w:val="00A50D88"/>
    <w:rsid w:val="00A52611"/>
    <w:rsid w:val="00A54654"/>
    <w:rsid w:val="00A548FD"/>
    <w:rsid w:val="00A55E78"/>
    <w:rsid w:val="00A55FBB"/>
    <w:rsid w:val="00A56923"/>
    <w:rsid w:val="00A6237A"/>
    <w:rsid w:val="00A62E42"/>
    <w:rsid w:val="00A63617"/>
    <w:rsid w:val="00A63919"/>
    <w:rsid w:val="00A64A71"/>
    <w:rsid w:val="00A65B91"/>
    <w:rsid w:val="00A65CC7"/>
    <w:rsid w:val="00A6657D"/>
    <w:rsid w:val="00A67B09"/>
    <w:rsid w:val="00A67C91"/>
    <w:rsid w:val="00A7236C"/>
    <w:rsid w:val="00A72960"/>
    <w:rsid w:val="00A72D8F"/>
    <w:rsid w:val="00A72E56"/>
    <w:rsid w:val="00A72F9F"/>
    <w:rsid w:val="00A7332F"/>
    <w:rsid w:val="00A73F87"/>
    <w:rsid w:val="00A74815"/>
    <w:rsid w:val="00A7503A"/>
    <w:rsid w:val="00A77973"/>
    <w:rsid w:val="00A80DA2"/>
    <w:rsid w:val="00A81D7C"/>
    <w:rsid w:val="00A82C41"/>
    <w:rsid w:val="00A84318"/>
    <w:rsid w:val="00A91B02"/>
    <w:rsid w:val="00A93401"/>
    <w:rsid w:val="00A94600"/>
    <w:rsid w:val="00A967D9"/>
    <w:rsid w:val="00A9715F"/>
    <w:rsid w:val="00A97160"/>
    <w:rsid w:val="00AA1DA3"/>
    <w:rsid w:val="00AA7DEC"/>
    <w:rsid w:val="00AB0787"/>
    <w:rsid w:val="00AB2901"/>
    <w:rsid w:val="00AB457A"/>
    <w:rsid w:val="00AB522D"/>
    <w:rsid w:val="00AC3196"/>
    <w:rsid w:val="00AC4065"/>
    <w:rsid w:val="00AC4084"/>
    <w:rsid w:val="00AC50D0"/>
    <w:rsid w:val="00AC5CE9"/>
    <w:rsid w:val="00AC685C"/>
    <w:rsid w:val="00AC75E2"/>
    <w:rsid w:val="00AD17F9"/>
    <w:rsid w:val="00AD1E56"/>
    <w:rsid w:val="00AD5623"/>
    <w:rsid w:val="00AD5814"/>
    <w:rsid w:val="00AE0BF3"/>
    <w:rsid w:val="00AE18FE"/>
    <w:rsid w:val="00AE2A71"/>
    <w:rsid w:val="00AE2F90"/>
    <w:rsid w:val="00AE3C05"/>
    <w:rsid w:val="00AE5D0D"/>
    <w:rsid w:val="00AE6EA8"/>
    <w:rsid w:val="00AF1631"/>
    <w:rsid w:val="00AF1917"/>
    <w:rsid w:val="00AF2263"/>
    <w:rsid w:val="00AF244F"/>
    <w:rsid w:val="00AF248B"/>
    <w:rsid w:val="00B01001"/>
    <w:rsid w:val="00B014FA"/>
    <w:rsid w:val="00B03DD6"/>
    <w:rsid w:val="00B0708E"/>
    <w:rsid w:val="00B124CD"/>
    <w:rsid w:val="00B14397"/>
    <w:rsid w:val="00B14556"/>
    <w:rsid w:val="00B15FE9"/>
    <w:rsid w:val="00B16E63"/>
    <w:rsid w:val="00B17841"/>
    <w:rsid w:val="00B2012D"/>
    <w:rsid w:val="00B214C6"/>
    <w:rsid w:val="00B26997"/>
    <w:rsid w:val="00B26F1A"/>
    <w:rsid w:val="00B302ED"/>
    <w:rsid w:val="00B325A7"/>
    <w:rsid w:val="00B33319"/>
    <w:rsid w:val="00B3583B"/>
    <w:rsid w:val="00B36596"/>
    <w:rsid w:val="00B37A8F"/>
    <w:rsid w:val="00B419CF"/>
    <w:rsid w:val="00B46EDC"/>
    <w:rsid w:val="00B472EC"/>
    <w:rsid w:val="00B47901"/>
    <w:rsid w:val="00B50446"/>
    <w:rsid w:val="00B53168"/>
    <w:rsid w:val="00B55B04"/>
    <w:rsid w:val="00B61343"/>
    <w:rsid w:val="00B62F77"/>
    <w:rsid w:val="00B64F79"/>
    <w:rsid w:val="00B65347"/>
    <w:rsid w:val="00B65C80"/>
    <w:rsid w:val="00B65DE1"/>
    <w:rsid w:val="00B72AF0"/>
    <w:rsid w:val="00B737EB"/>
    <w:rsid w:val="00B775EE"/>
    <w:rsid w:val="00B800D2"/>
    <w:rsid w:val="00B81215"/>
    <w:rsid w:val="00B83DD1"/>
    <w:rsid w:val="00B83E26"/>
    <w:rsid w:val="00B8610D"/>
    <w:rsid w:val="00B87927"/>
    <w:rsid w:val="00B924AD"/>
    <w:rsid w:val="00B96184"/>
    <w:rsid w:val="00BA1AE1"/>
    <w:rsid w:val="00BA1B57"/>
    <w:rsid w:val="00BA1B9D"/>
    <w:rsid w:val="00BA47DA"/>
    <w:rsid w:val="00BA5DA1"/>
    <w:rsid w:val="00BA7F32"/>
    <w:rsid w:val="00BB00F3"/>
    <w:rsid w:val="00BB0DD9"/>
    <w:rsid w:val="00BB0F0D"/>
    <w:rsid w:val="00BB4C35"/>
    <w:rsid w:val="00BB59F3"/>
    <w:rsid w:val="00BC38FD"/>
    <w:rsid w:val="00BC4B15"/>
    <w:rsid w:val="00BC6E69"/>
    <w:rsid w:val="00BD26AA"/>
    <w:rsid w:val="00BD2B12"/>
    <w:rsid w:val="00BD2EBA"/>
    <w:rsid w:val="00BD454F"/>
    <w:rsid w:val="00BD4C2D"/>
    <w:rsid w:val="00BE7EA5"/>
    <w:rsid w:val="00BF32EE"/>
    <w:rsid w:val="00BF6F04"/>
    <w:rsid w:val="00BF7688"/>
    <w:rsid w:val="00C0197D"/>
    <w:rsid w:val="00C01DCC"/>
    <w:rsid w:val="00C02538"/>
    <w:rsid w:val="00C02BA1"/>
    <w:rsid w:val="00C05939"/>
    <w:rsid w:val="00C061F0"/>
    <w:rsid w:val="00C074E0"/>
    <w:rsid w:val="00C10BAB"/>
    <w:rsid w:val="00C10C3C"/>
    <w:rsid w:val="00C136AA"/>
    <w:rsid w:val="00C202B3"/>
    <w:rsid w:val="00C21EE0"/>
    <w:rsid w:val="00C25538"/>
    <w:rsid w:val="00C30297"/>
    <w:rsid w:val="00C347ED"/>
    <w:rsid w:val="00C3531A"/>
    <w:rsid w:val="00C4364C"/>
    <w:rsid w:val="00C43F60"/>
    <w:rsid w:val="00C50B48"/>
    <w:rsid w:val="00C51C57"/>
    <w:rsid w:val="00C54849"/>
    <w:rsid w:val="00C555AC"/>
    <w:rsid w:val="00C61999"/>
    <w:rsid w:val="00C6210D"/>
    <w:rsid w:val="00C713ED"/>
    <w:rsid w:val="00C72318"/>
    <w:rsid w:val="00C724E6"/>
    <w:rsid w:val="00C747A5"/>
    <w:rsid w:val="00C768C1"/>
    <w:rsid w:val="00C82A28"/>
    <w:rsid w:val="00C85314"/>
    <w:rsid w:val="00C8770E"/>
    <w:rsid w:val="00C92F37"/>
    <w:rsid w:val="00C93215"/>
    <w:rsid w:val="00C93B54"/>
    <w:rsid w:val="00C944FA"/>
    <w:rsid w:val="00C95BE5"/>
    <w:rsid w:val="00C964E0"/>
    <w:rsid w:val="00CA0116"/>
    <w:rsid w:val="00CA4140"/>
    <w:rsid w:val="00CA4BC0"/>
    <w:rsid w:val="00CA5CA8"/>
    <w:rsid w:val="00CA7ECB"/>
    <w:rsid w:val="00CB0157"/>
    <w:rsid w:val="00CB07E0"/>
    <w:rsid w:val="00CB28E9"/>
    <w:rsid w:val="00CB3A71"/>
    <w:rsid w:val="00CB5205"/>
    <w:rsid w:val="00CB5872"/>
    <w:rsid w:val="00CB70AA"/>
    <w:rsid w:val="00CC38AC"/>
    <w:rsid w:val="00CC4581"/>
    <w:rsid w:val="00CC559D"/>
    <w:rsid w:val="00CC7767"/>
    <w:rsid w:val="00CD0C13"/>
    <w:rsid w:val="00CD1FE2"/>
    <w:rsid w:val="00CD6006"/>
    <w:rsid w:val="00CD654B"/>
    <w:rsid w:val="00CE223E"/>
    <w:rsid w:val="00CE3836"/>
    <w:rsid w:val="00CE4A91"/>
    <w:rsid w:val="00CE7A49"/>
    <w:rsid w:val="00CF292B"/>
    <w:rsid w:val="00CF3F0D"/>
    <w:rsid w:val="00CF4AC5"/>
    <w:rsid w:val="00D01CA9"/>
    <w:rsid w:val="00D01F2D"/>
    <w:rsid w:val="00D101F7"/>
    <w:rsid w:val="00D145F5"/>
    <w:rsid w:val="00D17D5B"/>
    <w:rsid w:val="00D21887"/>
    <w:rsid w:val="00D23673"/>
    <w:rsid w:val="00D241C3"/>
    <w:rsid w:val="00D25D71"/>
    <w:rsid w:val="00D267DF"/>
    <w:rsid w:val="00D274DA"/>
    <w:rsid w:val="00D31071"/>
    <w:rsid w:val="00D316A1"/>
    <w:rsid w:val="00D31F55"/>
    <w:rsid w:val="00D329F1"/>
    <w:rsid w:val="00D33E8B"/>
    <w:rsid w:val="00D355F0"/>
    <w:rsid w:val="00D4161C"/>
    <w:rsid w:val="00D43635"/>
    <w:rsid w:val="00D43945"/>
    <w:rsid w:val="00D43AC8"/>
    <w:rsid w:val="00D43DDD"/>
    <w:rsid w:val="00D46DD5"/>
    <w:rsid w:val="00D50879"/>
    <w:rsid w:val="00D51610"/>
    <w:rsid w:val="00D52722"/>
    <w:rsid w:val="00D56113"/>
    <w:rsid w:val="00D5615D"/>
    <w:rsid w:val="00D6137D"/>
    <w:rsid w:val="00D62EF8"/>
    <w:rsid w:val="00D6408E"/>
    <w:rsid w:val="00D643F4"/>
    <w:rsid w:val="00D64AF8"/>
    <w:rsid w:val="00D64CEC"/>
    <w:rsid w:val="00D65732"/>
    <w:rsid w:val="00D70384"/>
    <w:rsid w:val="00D75AA6"/>
    <w:rsid w:val="00D7709C"/>
    <w:rsid w:val="00D801DD"/>
    <w:rsid w:val="00D833D9"/>
    <w:rsid w:val="00D83B37"/>
    <w:rsid w:val="00D83BD9"/>
    <w:rsid w:val="00D84037"/>
    <w:rsid w:val="00D84F4F"/>
    <w:rsid w:val="00D85E14"/>
    <w:rsid w:val="00D86C46"/>
    <w:rsid w:val="00D9455D"/>
    <w:rsid w:val="00D94DCF"/>
    <w:rsid w:val="00D94EAE"/>
    <w:rsid w:val="00D97058"/>
    <w:rsid w:val="00DA4325"/>
    <w:rsid w:val="00DA5788"/>
    <w:rsid w:val="00DA586F"/>
    <w:rsid w:val="00DB08DA"/>
    <w:rsid w:val="00DB217D"/>
    <w:rsid w:val="00DB7F09"/>
    <w:rsid w:val="00DC00E8"/>
    <w:rsid w:val="00DC03FD"/>
    <w:rsid w:val="00DC15E2"/>
    <w:rsid w:val="00DC1C56"/>
    <w:rsid w:val="00DC2F79"/>
    <w:rsid w:val="00DC4756"/>
    <w:rsid w:val="00DC6379"/>
    <w:rsid w:val="00DC6AAD"/>
    <w:rsid w:val="00DD41A1"/>
    <w:rsid w:val="00DD60C2"/>
    <w:rsid w:val="00DE2763"/>
    <w:rsid w:val="00DE3A53"/>
    <w:rsid w:val="00DE3C77"/>
    <w:rsid w:val="00DE70F1"/>
    <w:rsid w:val="00DF0CD3"/>
    <w:rsid w:val="00DF0F6C"/>
    <w:rsid w:val="00DF3662"/>
    <w:rsid w:val="00DF6640"/>
    <w:rsid w:val="00DF6F61"/>
    <w:rsid w:val="00E01130"/>
    <w:rsid w:val="00E03497"/>
    <w:rsid w:val="00E048A1"/>
    <w:rsid w:val="00E100F9"/>
    <w:rsid w:val="00E101C6"/>
    <w:rsid w:val="00E10583"/>
    <w:rsid w:val="00E11361"/>
    <w:rsid w:val="00E14314"/>
    <w:rsid w:val="00E151B5"/>
    <w:rsid w:val="00E165BF"/>
    <w:rsid w:val="00E17427"/>
    <w:rsid w:val="00E17B3A"/>
    <w:rsid w:val="00E226A1"/>
    <w:rsid w:val="00E22D51"/>
    <w:rsid w:val="00E310A5"/>
    <w:rsid w:val="00E31B48"/>
    <w:rsid w:val="00E323FF"/>
    <w:rsid w:val="00E349A7"/>
    <w:rsid w:val="00E378D4"/>
    <w:rsid w:val="00E43C16"/>
    <w:rsid w:val="00E50E7C"/>
    <w:rsid w:val="00E511D9"/>
    <w:rsid w:val="00E51545"/>
    <w:rsid w:val="00E51D9E"/>
    <w:rsid w:val="00E537D1"/>
    <w:rsid w:val="00E53C8C"/>
    <w:rsid w:val="00E55177"/>
    <w:rsid w:val="00E567E6"/>
    <w:rsid w:val="00E56971"/>
    <w:rsid w:val="00E56EEA"/>
    <w:rsid w:val="00E570EF"/>
    <w:rsid w:val="00E57739"/>
    <w:rsid w:val="00E60017"/>
    <w:rsid w:val="00E60145"/>
    <w:rsid w:val="00E60D6F"/>
    <w:rsid w:val="00E61484"/>
    <w:rsid w:val="00E63144"/>
    <w:rsid w:val="00E6412D"/>
    <w:rsid w:val="00E7017C"/>
    <w:rsid w:val="00E711D7"/>
    <w:rsid w:val="00E7504F"/>
    <w:rsid w:val="00E750E4"/>
    <w:rsid w:val="00E75429"/>
    <w:rsid w:val="00E76F8A"/>
    <w:rsid w:val="00E7799D"/>
    <w:rsid w:val="00E77B49"/>
    <w:rsid w:val="00E815E1"/>
    <w:rsid w:val="00E849C3"/>
    <w:rsid w:val="00E901A1"/>
    <w:rsid w:val="00E902B0"/>
    <w:rsid w:val="00E902E8"/>
    <w:rsid w:val="00E90F45"/>
    <w:rsid w:val="00E9292C"/>
    <w:rsid w:val="00E9296B"/>
    <w:rsid w:val="00E94199"/>
    <w:rsid w:val="00E94637"/>
    <w:rsid w:val="00E97C19"/>
    <w:rsid w:val="00EA23AC"/>
    <w:rsid w:val="00EA398F"/>
    <w:rsid w:val="00EA56A1"/>
    <w:rsid w:val="00EA7C3D"/>
    <w:rsid w:val="00EB1587"/>
    <w:rsid w:val="00EB20B0"/>
    <w:rsid w:val="00EB4B0B"/>
    <w:rsid w:val="00EB6878"/>
    <w:rsid w:val="00EC0BEC"/>
    <w:rsid w:val="00EC15C7"/>
    <w:rsid w:val="00EC1E0E"/>
    <w:rsid w:val="00EC236D"/>
    <w:rsid w:val="00EC33B5"/>
    <w:rsid w:val="00EC6B16"/>
    <w:rsid w:val="00ED3E1F"/>
    <w:rsid w:val="00ED5A20"/>
    <w:rsid w:val="00ED5E94"/>
    <w:rsid w:val="00EE0CA1"/>
    <w:rsid w:val="00EE0DD4"/>
    <w:rsid w:val="00EE1447"/>
    <w:rsid w:val="00EE1BF1"/>
    <w:rsid w:val="00EE381E"/>
    <w:rsid w:val="00EE4864"/>
    <w:rsid w:val="00EE7744"/>
    <w:rsid w:val="00EF03E1"/>
    <w:rsid w:val="00EF0C02"/>
    <w:rsid w:val="00EF0DF0"/>
    <w:rsid w:val="00EF0E8D"/>
    <w:rsid w:val="00EF145E"/>
    <w:rsid w:val="00EF2026"/>
    <w:rsid w:val="00EF2BBB"/>
    <w:rsid w:val="00EF7400"/>
    <w:rsid w:val="00F0082D"/>
    <w:rsid w:val="00F015AB"/>
    <w:rsid w:val="00F045E0"/>
    <w:rsid w:val="00F04FB5"/>
    <w:rsid w:val="00F07C90"/>
    <w:rsid w:val="00F07F71"/>
    <w:rsid w:val="00F1154C"/>
    <w:rsid w:val="00F13975"/>
    <w:rsid w:val="00F14844"/>
    <w:rsid w:val="00F20F8A"/>
    <w:rsid w:val="00F23DD7"/>
    <w:rsid w:val="00F304A4"/>
    <w:rsid w:val="00F304CC"/>
    <w:rsid w:val="00F3314D"/>
    <w:rsid w:val="00F33DB8"/>
    <w:rsid w:val="00F364C9"/>
    <w:rsid w:val="00F41B7F"/>
    <w:rsid w:val="00F518E2"/>
    <w:rsid w:val="00F51D7F"/>
    <w:rsid w:val="00F51D93"/>
    <w:rsid w:val="00F5365A"/>
    <w:rsid w:val="00F54E61"/>
    <w:rsid w:val="00F556E0"/>
    <w:rsid w:val="00F57BED"/>
    <w:rsid w:val="00F60188"/>
    <w:rsid w:val="00F60198"/>
    <w:rsid w:val="00F60459"/>
    <w:rsid w:val="00F62C75"/>
    <w:rsid w:val="00F649FB"/>
    <w:rsid w:val="00F669CD"/>
    <w:rsid w:val="00F678C4"/>
    <w:rsid w:val="00F724BB"/>
    <w:rsid w:val="00F72768"/>
    <w:rsid w:val="00F72CFB"/>
    <w:rsid w:val="00F737DB"/>
    <w:rsid w:val="00F75CDF"/>
    <w:rsid w:val="00F75E8C"/>
    <w:rsid w:val="00F7613A"/>
    <w:rsid w:val="00F81625"/>
    <w:rsid w:val="00F8232B"/>
    <w:rsid w:val="00F82746"/>
    <w:rsid w:val="00F836F9"/>
    <w:rsid w:val="00F845D7"/>
    <w:rsid w:val="00F87241"/>
    <w:rsid w:val="00F92279"/>
    <w:rsid w:val="00FB30D2"/>
    <w:rsid w:val="00FB4D21"/>
    <w:rsid w:val="00FB5599"/>
    <w:rsid w:val="00FB5D0F"/>
    <w:rsid w:val="00FB69A9"/>
    <w:rsid w:val="00FB711F"/>
    <w:rsid w:val="00FB762B"/>
    <w:rsid w:val="00FC1887"/>
    <w:rsid w:val="00FC4ACE"/>
    <w:rsid w:val="00FC5827"/>
    <w:rsid w:val="00FC6ADA"/>
    <w:rsid w:val="00FD1798"/>
    <w:rsid w:val="00FD2706"/>
    <w:rsid w:val="00FD3C4F"/>
    <w:rsid w:val="00FE0CD5"/>
    <w:rsid w:val="00FE10BF"/>
    <w:rsid w:val="00FF5C43"/>
    <w:rsid w:val="00FF7F8F"/>
    <w:rsid w:val="08E36A30"/>
    <w:rsid w:val="0B7E5201"/>
    <w:rsid w:val="119E7709"/>
    <w:rsid w:val="14A1AD7D"/>
    <w:rsid w:val="1E63D1B4"/>
    <w:rsid w:val="1FF9EB31"/>
    <w:rsid w:val="2705368C"/>
    <w:rsid w:val="2BAF6ECC"/>
    <w:rsid w:val="2BD7B2BD"/>
    <w:rsid w:val="2BDC3A42"/>
    <w:rsid w:val="2F8D4D09"/>
    <w:rsid w:val="3316070B"/>
    <w:rsid w:val="33D38A09"/>
    <w:rsid w:val="33EC8742"/>
    <w:rsid w:val="34DFD920"/>
    <w:rsid w:val="35135C74"/>
    <w:rsid w:val="35D36D06"/>
    <w:rsid w:val="36597AFF"/>
    <w:rsid w:val="3CCA1884"/>
    <w:rsid w:val="3E166B1D"/>
    <w:rsid w:val="3ECB9015"/>
    <w:rsid w:val="447361DB"/>
    <w:rsid w:val="495A15E5"/>
    <w:rsid w:val="4D642E6C"/>
    <w:rsid w:val="4DECF4CD"/>
    <w:rsid w:val="4E0132F8"/>
    <w:rsid w:val="4F88C52E"/>
    <w:rsid w:val="4FC73AF0"/>
    <w:rsid w:val="5873DACD"/>
    <w:rsid w:val="66279042"/>
    <w:rsid w:val="6B1D126C"/>
    <w:rsid w:val="6CC92185"/>
    <w:rsid w:val="6E11BBD3"/>
    <w:rsid w:val="7036B83F"/>
    <w:rsid w:val="7431F8D0"/>
    <w:rsid w:val="78124067"/>
    <w:rsid w:val="7A18A82F"/>
    <w:rsid w:val="7B9D26FC"/>
    <w:rsid w:val="7D042A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15:docId w15:val="{15DEECDF-5C72-498D-82A1-6065D005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5437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884656"/>
    <w:rPr>
      <w:b/>
      <w:bCs/>
    </w:rPr>
  </w:style>
  <w:style w:type="paragraph" w:styleId="CommentSubject">
    <w:name w:val="annotation subject"/>
    <w:basedOn w:val="CommentText"/>
    <w:next w:val="CommentText"/>
    <w:link w:val="CommentSubjectChar"/>
    <w:uiPriority w:val="99"/>
    <w:semiHidden/>
    <w:unhideWhenUsed/>
    <w:rsid w:val="00236A0D"/>
    <w:rPr>
      <w:rFonts w:ascii="Calibri Light" w:hAnsi="Calibri Light"/>
      <w:b/>
      <w:bCs/>
    </w:rPr>
  </w:style>
  <w:style w:type="character" w:customStyle="1" w:styleId="CommentSubjectChar">
    <w:name w:val="Comment Subject Char"/>
    <w:basedOn w:val="CommentTextChar"/>
    <w:link w:val="CommentSubject"/>
    <w:uiPriority w:val="99"/>
    <w:semiHidden/>
    <w:rsid w:val="00236A0D"/>
    <w:rPr>
      <w:rFonts w:ascii="Calibri Light" w:eastAsia="Times New Roman" w:hAnsi="Calibri Light" w:cs="Times New Roman"/>
      <w:b/>
      <w:bCs/>
      <w:sz w:val="20"/>
      <w:szCs w:val="20"/>
      <w:lang w:eastAsia="en-AU"/>
    </w:rPr>
  </w:style>
  <w:style w:type="paragraph" w:styleId="Revision">
    <w:name w:val="Revision"/>
    <w:hidden/>
    <w:uiPriority w:val="99"/>
    <w:semiHidden/>
    <w:rsid w:val="006B072C"/>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C6210D"/>
    <w:rPr>
      <w:color w:val="605E5C"/>
      <w:shd w:val="clear" w:color="auto" w:fill="E1DFDD"/>
    </w:rPr>
  </w:style>
  <w:style w:type="character" w:styleId="Mention">
    <w:name w:val="Mention"/>
    <w:basedOn w:val="DefaultParagraphFont"/>
    <w:uiPriority w:val="99"/>
    <w:unhideWhenUsed/>
    <w:rsid w:val="009B45E0"/>
    <w:rPr>
      <w:color w:val="2B579A"/>
      <w:shd w:val="clear" w:color="auto" w:fill="E1DFDD"/>
    </w:rPr>
  </w:style>
  <w:style w:type="character" w:styleId="FollowedHyperlink">
    <w:name w:val="FollowedHyperlink"/>
    <w:basedOn w:val="DefaultParagraphFont"/>
    <w:uiPriority w:val="99"/>
    <w:semiHidden/>
    <w:unhideWhenUsed/>
    <w:rsid w:val="00343438"/>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9526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isters.dewr.gov.au/leigh/speech-non-compete-clauses-prevalence-impact-and-policy-implications"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svg"/><Relationship Id="rId25" Type="http://schemas.openxmlformats.org/officeDocument/2006/relationships/hyperlink" Target="https://e61.in/the-ghosts-of-employers-past-how-prevalent-are-non-compete-clauses-in-australi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eaweb.org/articles?id=10.1257/app.20180078"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3368/jhr.monopsony.1218-9931R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classic.austlii.edu.au/au/journals/UNSWLawJl/2013/1.html"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170214bd-262c-4d86-8d5d-16f8cd73f78a">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kfc39f3e4e2747ae990d3c8bb74a5a64 xmlns="170214bd-262c-4d86-8d5d-16f8cd73f78a">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82101bac-3c7e-43bb-adfe-0d5346e7ba02</TermId>
        </TermInfo>
      </Terms>
    </kfc39f3e4e2747ae990d3c8bb74a5a64>
    <ge25bdd0d6464e36b066695d9e81d63d xmlns="170214bd-262c-4d86-8d5d-16f8cd73f78a">
      <Terms xmlns="http://schemas.microsoft.com/office/infopath/2007/PartnerControls"/>
    </ge25bdd0d6464e36b066695d9e81d63d>
    <a48f371a4a874164b16a8c4aab488f5c xmlns="170214bd-262c-4d86-8d5d-16f8cd73f78a">
      <Terms xmlns="http://schemas.microsoft.com/office/infopath/2007/PartnerControls">
        <TermInfo xmlns="http://schemas.microsoft.com/office/infopath/2007/PartnerControls">
          <TermName xmlns="http://schemas.microsoft.com/office/infopath/2007/PartnerControls">Reviews and Inquiries</TermName>
          <TermId xmlns="http://schemas.microsoft.com/office/infopath/2007/PartnerControls">44975e42-2e5e-4e74-8e73-7eb62c595faa</TermId>
        </TermInfo>
      </Terms>
    </a48f371a4a874164b16a8c4aab488f5c>
    <gfba5f33532c49208d2320ce38cc3c2b xmlns="170214bd-262c-4d86-8d5d-16f8cd73f78a">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9cdfd731-bdd2-41ed-9e6f-22b4d62725ea</TermId>
        </TermInfo>
      </Terms>
    </gfba5f33532c49208d2320ce38cc3c2b>
    <TaxCatchAll xmlns="50c40a42-92e3-426b-a05c-8a08e1bce506">
      <Value>34</Value>
      <Value>32</Value>
      <Value>85</Value>
      <Value>7</Value>
    </TaxCatchAll>
    <_dlc_DocId xmlns="170214bd-262c-4d86-8d5d-16f8cd73f78a">WQJZ63JT5PSW-1959202944-132</_dlc_DocId>
    <_dlc_DocIdUrl xmlns="170214bd-262c-4d86-8d5d-16f8cd73f78a">
      <Url>https://austreasury.sharepoint.com/sites/000253-admin/_layouts/15/DocIdRedir.aspx?ID=WQJZ63JT5PSW-1959202944-132</Url>
      <Description>WQJZ63JT5PSW-1959202944-132</Description>
    </_dlc_DocIdUrl>
    <lcf76f155ced4ddcb4097134ff3c332f xmlns="2e0a1969-48f8-474d-9471-ea40f4850821">
      <Terms xmlns="http://schemas.microsoft.com/office/infopath/2007/PartnerControls"/>
    </lcf76f155ced4ddcb4097134ff3c332f>
    <_dlc_DocIdPersistId xmlns="170214bd-262c-4d86-8d5d-16f8cd73f78a" xsi:nil="true"/>
    <TaxCatchAllLabel xmlns="50c40a42-92e3-426b-a05c-8a08e1bce50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D65D2CC216B69419094F189E9D98DF8" ma:contentTypeVersion="11" ma:contentTypeDescription="Create a new document." ma:contentTypeScope="" ma:versionID="0aa0aa9c06459859adcaf597e08d13aa">
  <xsd:schema xmlns:xsd="http://www.w3.org/2001/XMLSchema" xmlns:xs="http://www.w3.org/2001/XMLSchema" xmlns:p="http://schemas.microsoft.com/office/2006/metadata/properties" xmlns:ns2="170214bd-262c-4d86-8d5d-16f8cd73f78a" xmlns:ns3="50c40a42-92e3-426b-a05c-8a08e1bce506" xmlns:ns4="2e0a1969-48f8-474d-9471-ea40f4850821" targetNamespace="http://schemas.microsoft.com/office/2006/metadata/properties" ma:root="true" ma:fieldsID="acb8d91232d35edaf7f558a5693e5a17" ns2:_="" ns3:_="" ns4:_="">
    <xsd:import namespace="170214bd-262c-4d86-8d5d-16f8cd73f78a"/>
    <xsd:import namespace="50c40a42-92e3-426b-a05c-8a08e1bce506"/>
    <xsd:import namespace="2e0a1969-48f8-474d-9471-ea40f4850821"/>
    <xsd:element name="properties">
      <xsd:complexType>
        <xsd:sequence>
          <xsd:element name="documentManagement">
            <xsd:complexType>
              <xsd:all>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2:_dlc_DocId"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14bd-262c-4d86-8d5d-16f8cd73f78a"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48f371a4a874164b16a8c4aab488f5c" ma:index="11" ma:taxonomy="true" ma:internalName="a48f371a4a874164b16a8c4aab488f5c" ma:taxonomyFieldName="eTheme" ma:displayName="Theme" ma:readOnly="false" ma:default="-1;#|Strategic Management|a5b154de-fc75-4041-bc0e-ef1714f0fd4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120720ac-5aa3-476b-b73b-37e93c2b28a0"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9fcc409-768f-4bf1-a47b-acec22ba002e"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5185139e-96ee-4b54-b09b-0c239a8d8aad"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dexed="true" ma:internalName="_dlc_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40a42-92e3-426b-a05c-8a08e1bce5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c2619f-13b0-471c-a7b4-c892ac9cbab8}" ma:internalName="TaxCatchAll" ma:readOnly="false" ma:showField="CatchAllData" ma:web="50c40a42-92e3-426b-a05c-8a08e1bce5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c2619f-13b0-471c-a7b4-c892ac9cbab8}" ma:internalName="TaxCatchAllLabel" ma:readOnly="false" ma:showField="CatchAllDataLabel" ma:web="50c40a42-92e3-426b-a05c-8a08e1bce50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a1969-48f8-474d-9471-ea40f485082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E3F2-60D1-4B45-A2E5-827DA93DB705}">
  <ds:schemaRefs>
    <ds:schemaRef ds:uri="http://schemas.microsoft.com/sharepoint/v3/contenttype/forms"/>
  </ds:schemaRefs>
</ds:datastoreItem>
</file>

<file path=customXml/itemProps2.xml><?xml version="1.0" encoding="utf-8"?>
<ds:datastoreItem xmlns:ds="http://schemas.openxmlformats.org/officeDocument/2006/customXml" ds:itemID="{278D769C-9E26-4E80-810E-6EB2482449E9}">
  <ds:schemaRefs>
    <ds:schemaRef ds:uri="http://purl.org/dc/terms/"/>
    <ds:schemaRef ds:uri="http://schemas.openxmlformats.org/package/2006/metadata/core-properties"/>
    <ds:schemaRef ds:uri="170214bd-262c-4d86-8d5d-16f8cd73f78a"/>
    <ds:schemaRef ds:uri="http://purl.org/dc/dcmitype/"/>
    <ds:schemaRef ds:uri="2e0a1969-48f8-474d-9471-ea40f4850821"/>
    <ds:schemaRef ds:uri="http://schemas.microsoft.com/office/infopath/2007/PartnerControls"/>
    <ds:schemaRef ds:uri="http://schemas.microsoft.com/office/2006/documentManagement/types"/>
    <ds:schemaRef ds:uri="http://www.w3.org/XML/1998/namespace"/>
    <ds:schemaRef ds:uri="50c40a42-92e3-426b-a05c-8a08e1bce50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9143F4A-0FB2-4778-A172-C45A67007EDF}">
  <ds:schemaRefs>
    <ds:schemaRef ds:uri="http://schemas.microsoft.com/sharepoint/events"/>
  </ds:schemaRefs>
</ds:datastoreItem>
</file>

<file path=customXml/itemProps4.xml><?xml version="1.0" encoding="utf-8"?>
<ds:datastoreItem xmlns:ds="http://schemas.openxmlformats.org/officeDocument/2006/customXml" ds:itemID="{D0AD060A-E26D-4174-AEC9-EF5C130F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14bd-262c-4d86-8d5d-16f8cd73f78a"/>
    <ds:schemaRef ds:uri="50c40a42-92e3-426b-a05c-8a08e1bce506"/>
    <ds:schemaRef ds:uri="2e0a1969-48f8-474d-9471-ea40f485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Non-compete clauses—prevalence, impact and policy implications  – Summary of Treasury-e61 Institute Joint Webinar</vt:lpstr>
    </vt:vector>
  </TitlesOfParts>
  <Company/>
  <LinksUpToDate>false</LinksUpToDate>
  <CharactersWithSpaces>9091</CharactersWithSpaces>
  <SharedDoc>false</SharedDoc>
  <HLinks>
    <vt:vector size="96" baseType="variant">
      <vt:variant>
        <vt:i4>7405680</vt:i4>
      </vt:variant>
      <vt:variant>
        <vt:i4>41</vt:i4>
      </vt:variant>
      <vt:variant>
        <vt:i4>0</vt:i4>
      </vt:variant>
      <vt:variant>
        <vt:i4>5</vt:i4>
      </vt:variant>
      <vt:variant>
        <vt:lpwstr>http://dx.doi.org/10.2139/ssrn.3811459</vt:lpwstr>
      </vt:variant>
      <vt:variant>
        <vt:lpwstr/>
      </vt:variant>
      <vt:variant>
        <vt:i4>1245247</vt:i4>
      </vt:variant>
      <vt:variant>
        <vt:i4>38</vt:i4>
      </vt:variant>
      <vt:variant>
        <vt:i4>0</vt:i4>
      </vt:variant>
      <vt:variant>
        <vt:i4>5</vt:i4>
      </vt:variant>
      <vt:variant>
        <vt:lpwstr>https://assets.publishing.service.gov.uk/government/uploads/system/uploads/attachment_data/file/1156211/non-compete-government-response.pdf</vt:lpwstr>
      </vt:variant>
      <vt:variant>
        <vt:lpwstr/>
      </vt:variant>
      <vt:variant>
        <vt:i4>8126511</vt:i4>
      </vt:variant>
      <vt:variant>
        <vt:i4>35</vt:i4>
      </vt:variant>
      <vt:variant>
        <vt:i4>0</vt:i4>
      </vt:variant>
      <vt:variant>
        <vt:i4>5</vt:i4>
      </vt:variant>
      <vt:variant>
        <vt:lpwstr>https://repository.law.umich.edu/cgi/viewcontent.cgi?article=3547&amp;context=articles</vt:lpwstr>
      </vt:variant>
      <vt:variant>
        <vt:lpwstr/>
      </vt:variant>
      <vt:variant>
        <vt:i4>2490429</vt:i4>
      </vt:variant>
      <vt:variant>
        <vt:i4>32</vt:i4>
      </vt:variant>
      <vt:variant>
        <vt:i4>0</vt:i4>
      </vt:variant>
      <vt:variant>
        <vt:i4>5</vt:i4>
      </vt:variant>
      <vt:variant>
        <vt:lpwstr>https://repository.law.umich.edu/articles/2263/</vt:lpwstr>
      </vt:variant>
      <vt:variant>
        <vt:lpwstr/>
      </vt:variant>
      <vt:variant>
        <vt:i4>3211336</vt:i4>
      </vt:variant>
      <vt:variant>
        <vt:i4>29</vt:i4>
      </vt:variant>
      <vt:variant>
        <vt:i4>0</vt:i4>
      </vt:variant>
      <vt:variant>
        <vt:i4>5</vt:i4>
      </vt:variant>
      <vt:variant>
        <vt:lpwstr>https://papers.ssrn.com/sol3/papers.cfm?abstract_id=3027715</vt:lpwstr>
      </vt:variant>
      <vt:variant>
        <vt:lpwstr/>
      </vt:variant>
      <vt:variant>
        <vt:i4>1114176</vt:i4>
      </vt:variant>
      <vt:variant>
        <vt:i4>26</vt:i4>
      </vt:variant>
      <vt:variant>
        <vt:i4>0</vt:i4>
      </vt:variant>
      <vt:variant>
        <vt:i4>5</vt:i4>
      </vt:variant>
      <vt:variant>
        <vt:lpwstr>https://doi.org/10.3982/ECTA18128</vt:lpwstr>
      </vt:variant>
      <vt:variant>
        <vt:lpwstr/>
      </vt:variant>
      <vt:variant>
        <vt:i4>7733310</vt:i4>
      </vt:variant>
      <vt:variant>
        <vt:i4>23</vt:i4>
      </vt:variant>
      <vt:variant>
        <vt:i4>0</vt:i4>
      </vt:variant>
      <vt:variant>
        <vt:i4>5</vt:i4>
      </vt:variant>
      <vt:variant>
        <vt:lpwstr>https://www.google.com/url?sa=t&amp;rct=j&amp;q=&amp;esrc=s&amp;source=web&amp;cd=&amp;ved=2ahUKEwiB1teQ3OWCAxWbcvUHHQ65DngQFnoECAoQAQ&amp;url=https%3A%2F%2Fwww.econometricsociety.org%2Fpublications%2Feconometrica%2Fbrowse%2Fsupplemental-materials%2F2023%2F03%2F01%2FOptimal-Regulation-of-Noncompete-Contracts%2Ffile%2Fecta200551.pdf&amp;usg=AOvVaw0Cn-drbOe2svZJkwMIliUA&amp;opi=89978449</vt:lpwstr>
      </vt:variant>
      <vt:variant>
        <vt:lpwstr/>
      </vt:variant>
      <vt:variant>
        <vt:i4>7798907</vt:i4>
      </vt:variant>
      <vt:variant>
        <vt:i4>20</vt:i4>
      </vt:variant>
      <vt:variant>
        <vt:i4>0</vt:i4>
      </vt:variant>
      <vt:variant>
        <vt:i4>5</vt:i4>
      </vt:variant>
      <vt:variant>
        <vt:lpwstr>https://www.aeaweb.org/articles?id=10.1257/app.20180078</vt:lpwstr>
      </vt:variant>
      <vt:variant>
        <vt:lpwstr/>
      </vt:variant>
      <vt:variant>
        <vt:i4>2883693</vt:i4>
      </vt:variant>
      <vt:variant>
        <vt:i4>17</vt:i4>
      </vt:variant>
      <vt:variant>
        <vt:i4>0</vt:i4>
      </vt:variant>
      <vt:variant>
        <vt:i4>5</vt:i4>
      </vt:variant>
      <vt:variant>
        <vt:lpwstr>https://www.epi.org/publication/noncompete-agreements/</vt:lpwstr>
      </vt:variant>
      <vt:variant>
        <vt:lpwstr/>
      </vt:variant>
      <vt:variant>
        <vt:i4>3801164</vt:i4>
      </vt:variant>
      <vt:variant>
        <vt:i4>14</vt:i4>
      </vt:variant>
      <vt:variant>
        <vt:i4>0</vt:i4>
      </vt:variant>
      <vt:variant>
        <vt:i4>5</vt:i4>
      </vt:variant>
      <vt:variant>
        <vt:lpwstr>https://papers.ssrn.com/sol3/papers.cfm?abstract_id=2887821</vt:lpwstr>
      </vt:variant>
      <vt:variant>
        <vt:lpwstr/>
      </vt:variant>
      <vt:variant>
        <vt:i4>6291569</vt:i4>
      </vt:variant>
      <vt:variant>
        <vt:i4>11</vt:i4>
      </vt:variant>
      <vt:variant>
        <vt:i4>0</vt:i4>
      </vt:variant>
      <vt:variant>
        <vt:i4>5</vt:i4>
      </vt:variant>
      <vt:variant>
        <vt:lpwstr>https://www.frdb.org/wp-content/uploads/2022/05/Summary_Garnero_et_al_ENG.pdf</vt:lpwstr>
      </vt:variant>
      <vt:variant>
        <vt:lpwstr/>
      </vt:variant>
      <vt:variant>
        <vt:i4>1048585</vt:i4>
      </vt:variant>
      <vt:variant>
        <vt:i4>8</vt:i4>
      </vt:variant>
      <vt:variant>
        <vt:i4>0</vt:i4>
      </vt:variant>
      <vt:variant>
        <vt:i4>5</vt:i4>
      </vt:variant>
      <vt:variant>
        <vt:lpwstr>https://doi.org/10.3368/jhr.monopsony.1218-9931R1</vt:lpwstr>
      </vt:variant>
      <vt:variant>
        <vt:lpwstr/>
      </vt:variant>
      <vt:variant>
        <vt:i4>3997806</vt:i4>
      </vt:variant>
      <vt:variant>
        <vt:i4>5</vt:i4>
      </vt:variant>
      <vt:variant>
        <vt:i4>0</vt:i4>
      </vt:variant>
      <vt:variant>
        <vt:i4>5</vt:i4>
      </vt:variant>
      <vt:variant>
        <vt:lpwstr>http://classic.austlii.edu.au/au/journals/UNSWLawJl/2013/1.html</vt:lpwstr>
      </vt:variant>
      <vt:variant>
        <vt:lpwstr/>
      </vt:variant>
      <vt:variant>
        <vt:i4>5701713</vt:i4>
      </vt:variant>
      <vt:variant>
        <vt:i4>2</vt:i4>
      </vt:variant>
      <vt:variant>
        <vt:i4>0</vt:i4>
      </vt:variant>
      <vt:variant>
        <vt:i4>5</vt:i4>
      </vt:variant>
      <vt:variant>
        <vt:lpwstr>https://ministers.dewr.gov.au/leigh/speech-non-compete-clauses-prevalence-impact-and-policy-implications</vt:lpwstr>
      </vt:variant>
      <vt:variant>
        <vt:lpwstr/>
      </vt:variant>
      <vt:variant>
        <vt:i4>458840</vt:i4>
      </vt:variant>
      <vt:variant>
        <vt:i4>3</vt:i4>
      </vt:variant>
      <vt:variant>
        <vt:i4>0</vt:i4>
      </vt:variant>
      <vt:variant>
        <vt:i4>5</vt:i4>
      </vt:variant>
      <vt:variant>
        <vt:lpwstr>https://e61.in/wp-content/uploads/2023/06/The-ghosts-of-employers-past-how-prevalent-are-non-compete-clauses-in-Australia.pdf</vt:lpwstr>
      </vt:variant>
      <vt:variant>
        <vt:lpwstr/>
      </vt:variant>
      <vt:variant>
        <vt:i4>6881319</vt:i4>
      </vt:variant>
      <vt:variant>
        <vt:i4>0</vt:i4>
      </vt:variant>
      <vt:variant>
        <vt:i4>0</vt:i4>
      </vt:variant>
      <vt:variant>
        <vt:i4>5</vt:i4>
      </vt:variant>
      <vt:variant>
        <vt:lpwstr>https://www.nytimes.com/2014/06/09/business/noncompete-clauses-increasingly-pop-up-in-array-of-jobs.html</vt:lpwstr>
      </vt:variant>
      <vt:variant>
        <vt:lpwstr>:~:text=From%20event%20planners%20to%20chefs,working%20for%20a%20company%27s%20rivals.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 clauses—prevalence, impact and policy implications  – Summary of Treasury-e61 Institute Joint Webinar</dc:title>
  <dc:subject/>
  <dc:creator>Treasury</dc:creator>
  <cp:keywords/>
  <cp:lastModifiedBy>Kuek, Amanda</cp:lastModifiedBy>
  <cp:revision>4</cp:revision>
  <cp:lastPrinted>2019-05-17T02:37:00Z</cp:lastPrinted>
  <dcterms:created xsi:type="dcterms:W3CDTF">2024-01-10T23:15:00Z</dcterms:created>
  <dcterms:modified xsi:type="dcterms:W3CDTF">2024-01-16T23:15:00Z</dcterms:modified>
</cp:coreProperties>
</file>