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9C6C0"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p>
    <w:p w14:paraId="332AA498" w14:textId="77777777" w:rsidR="00E24AA1" w:rsidRDefault="00E24AA1" w:rsidP="00E24AA1">
      <w:pPr>
        <w:pStyle w:val="Baseparagraphcentred"/>
      </w:pPr>
    </w:p>
    <w:p w14:paraId="05F923FA" w14:textId="77777777" w:rsidR="00E24AA1" w:rsidRDefault="00E24AA1" w:rsidP="00E24AA1">
      <w:pPr>
        <w:pStyle w:val="Baseparagraphcentred"/>
      </w:pPr>
      <w:r>
        <w:t>THE PARLIAMENT OF THE COMMONWEALTH OF AUSTRALIA</w:t>
      </w:r>
    </w:p>
    <w:p w14:paraId="41E5EF9C" w14:textId="77777777" w:rsidR="00E24AA1" w:rsidRDefault="00E24AA1" w:rsidP="00E24AA1">
      <w:pPr>
        <w:pStyle w:val="Baseparagraphcentred"/>
      </w:pPr>
    </w:p>
    <w:p w14:paraId="2D25F995" w14:textId="77777777" w:rsidR="00E24AA1" w:rsidRDefault="00E24AA1" w:rsidP="00E24AA1">
      <w:pPr>
        <w:pStyle w:val="Baseparagraphcentred"/>
      </w:pPr>
    </w:p>
    <w:p w14:paraId="24E48EAA" w14:textId="77777777" w:rsidR="00E24AA1" w:rsidRDefault="00E24AA1" w:rsidP="00E24AA1">
      <w:pPr>
        <w:pStyle w:val="Baseparagraphcentred"/>
      </w:pPr>
    </w:p>
    <w:p w14:paraId="6F41D8CF" w14:textId="4A306ECA" w:rsidR="000A4EB2" w:rsidRDefault="00623E6B" w:rsidP="000A4EB2">
      <w:pPr>
        <w:pStyle w:val="Baseparagraphcentred"/>
      </w:pPr>
      <w:r>
        <w:t>HOUSE OF REPRESENTATIVES</w:t>
      </w:r>
    </w:p>
    <w:p w14:paraId="4C278139" w14:textId="77777777" w:rsidR="00E24AA1" w:rsidRDefault="00E24AA1" w:rsidP="00E24AA1">
      <w:pPr>
        <w:pStyle w:val="Baseparagraphcentred"/>
      </w:pPr>
    </w:p>
    <w:p w14:paraId="229543A5" w14:textId="77777777" w:rsidR="00E24AA1" w:rsidRDefault="00E24AA1" w:rsidP="00E24AA1">
      <w:pPr>
        <w:pStyle w:val="Baseparagraphcentred"/>
      </w:pPr>
    </w:p>
    <w:p w14:paraId="5350E5E9" w14:textId="77777777" w:rsidR="00E24AA1" w:rsidRDefault="00E24AA1" w:rsidP="00E24AA1">
      <w:pPr>
        <w:pStyle w:val="Baseparagraphcentred"/>
        <w:pBdr>
          <w:bottom w:val="single" w:sz="4" w:space="1" w:color="auto"/>
        </w:pBdr>
      </w:pPr>
    </w:p>
    <w:p w14:paraId="6190F4BC" w14:textId="0688B138" w:rsidR="00E24AA1" w:rsidRPr="00E24AA1" w:rsidRDefault="00DA16C4" w:rsidP="00E24AA1">
      <w:pPr>
        <w:pStyle w:val="BillName"/>
      </w:pPr>
      <w:bookmarkStart w:id="6" w:name="BillName"/>
      <w:bookmarkEnd w:id="6"/>
      <w:r>
        <w:t>Treasury Laws Amendment (</w:t>
      </w:r>
      <w:r w:rsidR="00A01E01">
        <w:t>M</w:t>
      </w:r>
      <w:r>
        <w:t xml:space="preserve">easures for </w:t>
      </w:r>
      <w:r w:rsidR="00273DB8">
        <w:t>Consultation</w:t>
      </w:r>
      <w:r>
        <w:t xml:space="preserve">) Bill 2023: Capital </w:t>
      </w:r>
      <w:r w:rsidR="009E5FF8">
        <w:t>allowances for mining, quarrying or prospecting rights and clarifying</w:t>
      </w:r>
      <w:r w:rsidR="00281632">
        <w:t xml:space="preserve"> the meaning of exploration for petroleum</w:t>
      </w:r>
    </w:p>
    <w:p w14:paraId="1109A904" w14:textId="77777777" w:rsidR="00E24AA1" w:rsidRDefault="00E24AA1" w:rsidP="00E24AA1">
      <w:pPr>
        <w:pStyle w:val="Baseparagraphcentred"/>
        <w:pBdr>
          <w:top w:val="single" w:sz="4" w:space="1" w:color="auto"/>
        </w:pBdr>
      </w:pPr>
    </w:p>
    <w:p w14:paraId="3AA5B454" w14:textId="77777777" w:rsidR="00E24AA1" w:rsidRDefault="00E24AA1" w:rsidP="00E24AA1">
      <w:pPr>
        <w:pStyle w:val="Baseparagraphcentred"/>
      </w:pPr>
    </w:p>
    <w:p w14:paraId="0203C500" w14:textId="77777777" w:rsidR="00E24AA1" w:rsidRDefault="00E24AA1" w:rsidP="00E24AA1">
      <w:pPr>
        <w:pStyle w:val="Baseparagraphcentred"/>
      </w:pPr>
    </w:p>
    <w:p w14:paraId="65A9333E" w14:textId="77777777" w:rsidR="00E24AA1" w:rsidRDefault="00E24AA1" w:rsidP="00E24AA1">
      <w:pPr>
        <w:pStyle w:val="Baseparagraphcentred"/>
      </w:pPr>
    </w:p>
    <w:p w14:paraId="036DA303" w14:textId="77777777" w:rsidR="00D57A72" w:rsidRDefault="00D57A72" w:rsidP="00E24AA1">
      <w:pPr>
        <w:pStyle w:val="Baseparagraphcentred"/>
      </w:pPr>
      <w:r>
        <w:t>EXPOSURE DRAFT EXPLANATORY MATERIALS</w:t>
      </w:r>
    </w:p>
    <w:p w14:paraId="050C56D1" w14:textId="49F2D1F6" w:rsidR="00E24AA1" w:rsidRDefault="00E24AA1" w:rsidP="00E24AA1">
      <w:pPr>
        <w:pStyle w:val="Baseparagraphcentred"/>
      </w:pPr>
    </w:p>
    <w:p w14:paraId="456B4BA5" w14:textId="77777777" w:rsidR="00E24AA1" w:rsidRDefault="00E24AA1" w:rsidP="00E24AA1">
      <w:pPr>
        <w:pStyle w:val="Baseparagraphcentred"/>
      </w:pPr>
    </w:p>
    <w:p w14:paraId="4041C9DD" w14:textId="77777777" w:rsidR="00E24AA1" w:rsidRDefault="00E24AA1" w:rsidP="00E24AA1">
      <w:pPr>
        <w:pStyle w:val="ParaCentredNoSpacing"/>
      </w:pPr>
    </w:p>
    <w:p w14:paraId="36EA03B8" w14:textId="77777777" w:rsidR="00E24AA1" w:rsidRPr="00967273" w:rsidRDefault="00E24AA1" w:rsidP="00E24AA1">
      <w:pPr>
        <w:pStyle w:val="Normalparatextnonumbers"/>
        <w:jc w:val="center"/>
        <w:rPr>
          <w:rFonts w:cs="Calibri"/>
          <w:color w:val="000000" w:themeColor="text1"/>
        </w:rPr>
      </w:pPr>
    </w:p>
    <w:p w14:paraId="16815161" w14:textId="77777777" w:rsidR="008A3B5F" w:rsidRPr="00020288" w:rsidRDefault="008A3B5F" w:rsidP="008A3B5F">
      <w:pPr>
        <w:pStyle w:val="Normalparatextnonumbers"/>
      </w:pPr>
    </w:p>
    <w:p w14:paraId="5E2031FB" w14:textId="77777777" w:rsidR="00D57A72" w:rsidRPr="0090171F" w:rsidRDefault="00D57A72" w:rsidP="0090171F">
      <w:pPr>
        <w:pStyle w:val="Normalparatextnonumbers"/>
      </w:pPr>
      <w:bookmarkStart w:id="7" w:name="ConsultPreamble"/>
      <w:bookmarkEnd w:id="7"/>
      <w:r w:rsidRPr="0090171F">
        <w:br w:type="page"/>
      </w:r>
    </w:p>
    <w:p w14:paraId="142A64FE" w14:textId="77777777" w:rsidR="00D57A72" w:rsidRPr="0090171F" w:rsidRDefault="00D57A72" w:rsidP="00D57A72">
      <w:pPr>
        <w:pStyle w:val="Normalparatextnonumbers"/>
        <w:numPr>
          <w:ilvl w:val="4"/>
          <w:numId w:val="2"/>
        </w:numPr>
        <w:rPr>
          <w:b/>
        </w:rPr>
      </w:pPr>
      <w:r w:rsidRPr="0090171F">
        <w:rPr>
          <w:b/>
        </w:rPr>
        <w:lastRenderedPageBreak/>
        <w:t>Consultation preamble</w:t>
      </w:r>
    </w:p>
    <w:p w14:paraId="397132F3" w14:textId="77777777" w:rsidR="00D57A72" w:rsidRPr="0090171F" w:rsidRDefault="00D57A72"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46BC637A" w14:textId="77777777" w:rsidR="00D57A72" w:rsidRPr="0090171F" w:rsidRDefault="00D57A72" w:rsidP="0090171F">
      <w:pPr>
        <w:pStyle w:val="Normalparatextnonumbers"/>
      </w:pPr>
      <w:r w:rsidRPr="0090171F">
        <w:t>•</w:t>
      </w:r>
      <w:r w:rsidRPr="0090171F">
        <w:tab/>
        <w:t>how the new law is intended to operate;</w:t>
      </w:r>
    </w:p>
    <w:p w14:paraId="444118EF" w14:textId="77777777" w:rsidR="00D57A72" w:rsidRPr="0090171F" w:rsidRDefault="00D57A72" w:rsidP="00924E28">
      <w:pPr>
        <w:pStyle w:val="Normalparatextnonumbers"/>
        <w:tabs>
          <w:tab w:val="left" w:pos="709"/>
        </w:tabs>
        <w:ind w:left="709" w:hanging="709"/>
      </w:pPr>
      <w:r w:rsidRPr="0090171F">
        <w:t>•</w:t>
      </w:r>
      <w:r w:rsidRPr="0090171F">
        <w:tab/>
        <w:t>whether the background and policy context is sufficiently comprehensive to support understanding of the policy intent and outcomes of the new law;</w:t>
      </w:r>
    </w:p>
    <w:p w14:paraId="10666BF5" w14:textId="77777777" w:rsidR="00D57A72" w:rsidRPr="0090171F" w:rsidRDefault="00D57A72" w:rsidP="0090171F">
      <w:pPr>
        <w:pStyle w:val="Normalparatextnonumbers"/>
        <w:ind w:left="709" w:hanging="709"/>
      </w:pPr>
      <w:r w:rsidRPr="0090171F">
        <w:t>•</w:t>
      </w:r>
      <w:r w:rsidRPr="0090171F">
        <w:tab/>
        <w:t>the use of relevant examples, illustrations or diagrams as explanatory aids;</w:t>
      </w:r>
      <w:r w:rsidRPr="0090171F">
        <w:br/>
        <w:t>and</w:t>
      </w:r>
    </w:p>
    <w:p w14:paraId="44485565" w14:textId="77777777" w:rsidR="00D57A72" w:rsidRPr="0090171F" w:rsidRDefault="00D57A72" w:rsidP="0090171F">
      <w:pPr>
        <w:pStyle w:val="Normalparatextnonumbers"/>
        <w:ind w:left="709" w:hanging="709"/>
      </w:pPr>
      <w:r w:rsidRPr="0090171F">
        <w:t>•</w:t>
      </w:r>
      <w:r w:rsidRPr="0090171F">
        <w:tab/>
        <w:t>any other matters affecting the readability or presentation of the explanatory material.</w:t>
      </w:r>
    </w:p>
    <w:p w14:paraId="2600D0CB" w14:textId="77777777" w:rsidR="00D57A72" w:rsidRPr="0090171F" w:rsidRDefault="00D57A72"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0856D211" w14:textId="39748A44" w:rsidR="00D57A72" w:rsidRPr="0090171F" w:rsidRDefault="00D57A72" w:rsidP="0090171F">
      <w:pPr>
        <w:pStyle w:val="Normalparatextnonumbers"/>
      </w:pPr>
      <w:r w:rsidRPr="00E43575">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will be shared with the ATO.</w:t>
      </w:r>
    </w:p>
    <w:p w14:paraId="157DDE4C" w14:textId="77777777" w:rsidR="00924E28" w:rsidRPr="00020288" w:rsidRDefault="00924E28" w:rsidP="00873094">
      <w:pPr>
        <w:pStyle w:val="Normalparatextnonumbers"/>
      </w:pPr>
    </w:p>
    <w:p w14:paraId="18C5CB79" w14:textId="77777777" w:rsidR="00873094" w:rsidRPr="00020288" w:rsidRDefault="00873094" w:rsidP="00873094">
      <w:pPr>
        <w:pStyle w:val="TOC1"/>
        <w:sectPr w:rsidR="00873094" w:rsidRPr="00020288" w:rsidSect="00000BFC">
          <w:footerReference w:type="even" r:id="rId12"/>
          <w:footerReference w:type="default" r:id="rId13"/>
          <w:headerReference w:type="first" r:id="rId14"/>
          <w:footerReference w:type="first" r:id="rId15"/>
          <w:type w:val="oddPage"/>
          <w:pgSz w:w="9979" w:h="14175" w:code="138"/>
          <w:pgMar w:top="567" w:right="1134" w:bottom="567" w:left="1134" w:header="709" w:footer="709" w:gutter="0"/>
          <w:cols w:space="708"/>
          <w:titlePg/>
          <w:docGrid w:linePitch="360"/>
        </w:sectPr>
      </w:pPr>
    </w:p>
    <w:p w14:paraId="771BADD5"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51AB5949" w14:textId="7F7B5D82" w:rsidR="00F919A3" w:rsidRDefault="0087309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F919A3">
        <w:rPr>
          <w:noProof/>
        </w:rPr>
        <w:t>Glossary</w:t>
      </w:r>
      <w:r w:rsidR="00F919A3">
        <w:rPr>
          <w:noProof/>
        </w:rPr>
        <w:tab/>
      </w:r>
      <w:r w:rsidR="00F919A3">
        <w:rPr>
          <w:noProof/>
        </w:rPr>
        <w:tab/>
      </w:r>
      <w:r w:rsidR="00F919A3">
        <w:rPr>
          <w:noProof/>
        </w:rPr>
        <w:fldChar w:fldCharType="begin"/>
      </w:r>
      <w:r w:rsidR="00F919A3">
        <w:rPr>
          <w:noProof/>
        </w:rPr>
        <w:instrText xml:space="preserve"> PAGEREF _Toc152938501 \h </w:instrText>
      </w:r>
      <w:r w:rsidR="00F919A3">
        <w:rPr>
          <w:noProof/>
        </w:rPr>
      </w:r>
      <w:r w:rsidR="00F919A3">
        <w:rPr>
          <w:noProof/>
        </w:rPr>
        <w:fldChar w:fldCharType="separate"/>
      </w:r>
      <w:r w:rsidR="00F919A3">
        <w:rPr>
          <w:noProof/>
        </w:rPr>
        <w:t>iii</w:t>
      </w:r>
      <w:r w:rsidR="00F919A3">
        <w:rPr>
          <w:noProof/>
        </w:rPr>
        <w:fldChar w:fldCharType="end"/>
      </w:r>
    </w:p>
    <w:p w14:paraId="358D3610" w14:textId="5EA18611" w:rsidR="00F919A3" w:rsidRDefault="00F919A3">
      <w:pPr>
        <w:pStyle w:val="TOC1"/>
        <w:rPr>
          <w:rFonts w:asciiTheme="minorHAnsi" w:eastAsiaTheme="minorEastAsia" w:hAnsiTheme="minorHAnsi" w:cstheme="minorBidi"/>
          <w:bCs w:val="0"/>
          <w:noProof/>
          <w:sz w:val="22"/>
          <w:szCs w:val="22"/>
          <w:lang w:eastAsia="en-AU"/>
        </w:rPr>
      </w:pPr>
      <w:r w:rsidRPr="00BE55EF">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Clarifying the tax treatment of ‘exploration’ and ‘mining, quarrying and prospecting rights</w:t>
      </w:r>
      <w:r>
        <w:rPr>
          <w:noProof/>
        </w:rPr>
        <w:tab/>
      </w:r>
      <w:r>
        <w:rPr>
          <w:noProof/>
        </w:rPr>
        <w:fldChar w:fldCharType="begin"/>
      </w:r>
      <w:r>
        <w:rPr>
          <w:noProof/>
        </w:rPr>
        <w:instrText xml:space="preserve"> PAGEREF _Toc152938502 \h </w:instrText>
      </w:r>
      <w:r>
        <w:rPr>
          <w:noProof/>
        </w:rPr>
      </w:r>
      <w:r>
        <w:rPr>
          <w:noProof/>
        </w:rPr>
        <w:fldChar w:fldCharType="separate"/>
      </w:r>
      <w:r>
        <w:rPr>
          <w:noProof/>
        </w:rPr>
        <w:t>5</w:t>
      </w:r>
      <w:r>
        <w:rPr>
          <w:noProof/>
        </w:rPr>
        <w:fldChar w:fldCharType="end"/>
      </w:r>
    </w:p>
    <w:p w14:paraId="4E315305" w14:textId="055FD6E9" w:rsidR="00873094" w:rsidRPr="00020288" w:rsidRDefault="00873094" w:rsidP="00BC2E4A">
      <w:pPr>
        <w:pStyle w:val="TOC1"/>
      </w:pPr>
      <w:r w:rsidRPr="00BC2E4A">
        <w:fldChar w:fldCharType="end"/>
      </w:r>
    </w:p>
    <w:p w14:paraId="38EF13F0" w14:textId="77777777" w:rsidR="00873094" w:rsidRPr="00020288" w:rsidRDefault="00873094" w:rsidP="00873094"/>
    <w:p w14:paraId="46DCBBEC" w14:textId="77777777" w:rsidR="00873094" w:rsidRPr="00020288" w:rsidRDefault="00873094" w:rsidP="00873094">
      <w:pPr>
        <w:sectPr w:rsidR="00873094" w:rsidRPr="00020288" w:rsidSect="00000BFC">
          <w:headerReference w:type="even" r:id="rId16"/>
          <w:headerReference w:type="default" r:id="rId17"/>
          <w:headerReference w:type="first" r:id="rId18"/>
          <w:footerReference w:type="first" r:id="rId19"/>
          <w:type w:val="oddPage"/>
          <w:pgSz w:w="9979" w:h="14175" w:code="9"/>
          <w:pgMar w:top="567" w:right="1134" w:bottom="567" w:left="1134" w:header="709" w:footer="709" w:gutter="0"/>
          <w:pgNumType w:start="1"/>
          <w:cols w:space="708"/>
          <w:titlePg/>
          <w:docGrid w:linePitch="360"/>
        </w:sectPr>
      </w:pPr>
    </w:p>
    <w:p w14:paraId="1D222F7E"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52938501"/>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12BAA">
        <w:tab/>
      </w:r>
      <w:r w:rsidR="001F670B">
        <w:t xml:space="preserve"> </w:t>
      </w:r>
    </w:p>
    <w:p w14:paraId="4384B7AF"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1F5F0E9F" w14:textId="77777777" w:rsidTr="002425D9">
        <w:tc>
          <w:tcPr>
            <w:tcW w:w="3776" w:type="dxa"/>
            <w:shd w:val="clear" w:color="auto" w:fill="auto"/>
          </w:tcPr>
          <w:p w14:paraId="55879648"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4D9D1C9A" w14:textId="77777777" w:rsidR="00873094" w:rsidRPr="002E7A73" w:rsidRDefault="00873094" w:rsidP="00B7393A">
            <w:pPr>
              <w:pStyle w:val="Tableheaderrowtext"/>
            </w:pPr>
            <w:r w:rsidRPr="002E7A73">
              <w:t>Definition</w:t>
            </w:r>
          </w:p>
        </w:tc>
      </w:tr>
      <w:tr w:rsidR="00873094" w:rsidRPr="00020288" w14:paraId="006E1651" w14:textId="77777777" w:rsidTr="002425D9">
        <w:tc>
          <w:tcPr>
            <w:tcW w:w="3776" w:type="dxa"/>
          </w:tcPr>
          <w:p w14:paraId="1CC0B8F7" w14:textId="551B0A25" w:rsidR="00873094" w:rsidRPr="00020288" w:rsidRDefault="00AC6095" w:rsidP="002425D9">
            <w:pPr>
              <w:pStyle w:val="Normalparatextnonumbers"/>
            </w:pPr>
            <w:r>
              <w:t>ATO</w:t>
            </w:r>
          </w:p>
        </w:tc>
        <w:tc>
          <w:tcPr>
            <w:tcW w:w="3874" w:type="dxa"/>
          </w:tcPr>
          <w:p w14:paraId="28848EFC" w14:textId="7D4887FB" w:rsidR="00873094" w:rsidRPr="00020288" w:rsidRDefault="00AC6095" w:rsidP="002425D9">
            <w:pPr>
              <w:pStyle w:val="Normalparatextnonumbers"/>
            </w:pPr>
            <w:r>
              <w:t>Australian Taxation Office</w:t>
            </w:r>
          </w:p>
        </w:tc>
      </w:tr>
      <w:tr w:rsidR="006A0DFA" w:rsidRPr="00020288" w14:paraId="09244E68" w14:textId="77777777" w:rsidTr="002425D9">
        <w:tc>
          <w:tcPr>
            <w:tcW w:w="3776" w:type="dxa"/>
          </w:tcPr>
          <w:p w14:paraId="67B3CF30" w14:textId="59DE293B" w:rsidR="006A0DFA" w:rsidRDefault="006A0DFA" w:rsidP="006A0DFA">
            <w:pPr>
              <w:pStyle w:val="Normalparatextnonumbers"/>
            </w:pPr>
            <w:r>
              <w:t>Bill</w:t>
            </w:r>
          </w:p>
        </w:tc>
        <w:tc>
          <w:tcPr>
            <w:tcW w:w="3874" w:type="dxa"/>
          </w:tcPr>
          <w:p w14:paraId="782045D7" w14:textId="48798976" w:rsidR="006A0DFA" w:rsidRDefault="006A0DFA" w:rsidP="006A0DFA">
            <w:pPr>
              <w:pStyle w:val="Normalparatextnonumbers"/>
            </w:pPr>
            <w:r>
              <w:rPr>
                <w:i/>
                <w:iCs/>
              </w:rPr>
              <w:t xml:space="preserve">Treasury Laws Amendment (Measures for </w:t>
            </w:r>
            <w:r w:rsidR="00EB75BD">
              <w:rPr>
                <w:i/>
                <w:iCs/>
              </w:rPr>
              <w:t>Consultation</w:t>
            </w:r>
            <w:r>
              <w:rPr>
                <w:i/>
                <w:iCs/>
              </w:rPr>
              <w:t xml:space="preserve">) Bill 2023: Capital </w:t>
            </w:r>
            <w:r w:rsidR="00C62BB7">
              <w:rPr>
                <w:i/>
                <w:iCs/>
              </w:rPr>
              <w:t>a</w:t>
            </w:r>
            <w:r>
              <w:rPr>
                <w:i/>
                <w:iCs/>
              </w:rPr>
              <w:t xml:space="preserve">llowances </w:t>
            </w:r>
            <w:r w:rsidR="000A317C">
              <w:rPr>
                <w:i/>
                <w:iCs/>
              </w:rPr>
              <w:t xml:space="preserve">for mining, </w:t>
            </w:r>
            <w:proofErr w:type="gramStart"/>
            <w:r w:rsidR="000A317C">
              <w:rPr>
                <w:i/>
                <w:iCs/>
              </w:rPr>
              <w:t>quarrying</w:t>
            </w:r>
            <w:proofErr w:type="gramEnd"/>
            <w:r w:rsidR="000A317C">
              <w:rPr>
                <w:i/>
                <w:iCs/>
              </w:rPr>
              <w:t xml:space="preserve"> or prospecting rights </w:t>
            </w:r>
            <w:r>
              <w:rPr>
                <w:i/>
                <w:iCs/>
              </w:rPr>
              <w:t xml:space="preserve">and </w:t>
            </w:r>
            <w:r w:rsidR="000A317C">
              <w:rPr>
                <w:i/>
                <w:iCs/>
              </w:rPr>
              <w:t xml:space="preserve">clarifying the meaning of </w:t>
            </w:r>
            <w:r>
              <w:rPr>
                <w:i/>
                <w:iCs/>
              </w:rPr>
              <w:t>exploration for petroleum</w:t>
            </w:r>
          </w:p>
        </w:tc>
      </w:tr>
      <w:tr w:rsidR="000A3ED0" w:rsidRPr="00020288" w14:paraId="02D6112C" w14:textId="77777777" w:rsidTr="002425D9">
        <w:tc>
          <w:tcPr>
            <w:tcW w:w="3776" w:type="dxa"/>
          </w:tcPr>
          <w:p w14:paraId="6B2031A6" w14:textId="5ADEC124" w:rsidR="000A3ED0" w:rsidRDefault="000A3ED0" w:rsidP="002425D9">
            <w:pPr>
              <w:pStyle w:val="Normalparatextnonumbers"/>
            </w:pPr>
            <w:r>
              <w:t>Commissioner</w:t>
            </w:r>
          </w:p>
        </w:tc>
        <w:tc>
          <w:tcPr>
            <w:tcW w:w="3874" w:type="dxa"/>
          </w:tcPr>
          <w:p w14:paraId="4D1D947B" w14:textId="4BE98C41" w:rsidR="000A3ED0" w:rsidRDefault="000A3ED0" w:rsidP="002425D9">
            <w:pPr>
              <w:pStyle w:val="Normalparatextnonumbers"/>
            </w:pPr>
            <w:r>
              <w:t>Commission</w:t>
            </w:r>
            <w:r w:rsidR="00B75117">
              <w:t>er</w:t>
            </w:r>
            <w:r>
              <w:t xml:space="preserve"> of Taxation</w:t>
            </w:r>
          </w:p>
        </w:tc>
      </w:tr>
      <w:tr w:rsidR="00AC6095" w:rsidRPr="00020288" w14:paraId="6F69115C" w14:textId="77777777" w:rsidTr="002425D9">
        <w:tc>
          <w:tcPr>
            <w:tcW w:w="3776" w:type="dxa"/>
          </w:tcPr>
          <w:p w14:paraId="1A5AE0D1" w14:textId="4D7960B4" w:rsidR="00AC6095" w:rsidRPr="00020288" w:rsidRDefault="00AC6095" w:rsidP="00AC6095">
            <w:pPr>
              <w:pStyle w:val="Normalparatextnonumbers"/>
            </w:pPr>
            <w:r>
              <w:t>ITAA 1997</w:t>
            </w:r>
          </w:p>
        </w:tc>
        <w:tc>
          <w:tcPr>
            <w:tcW w:w="3874" w:type="dxa"/>
          </w:tcPr>
          <w:p w14:paraId="2B6F7F08" w14:textId="3B8AC92E" w:rsidR="00AC6095" w:rsidRPr="00AC6095" w:rsidRDefault="00AC6095" w:rsidP="00AC6095">
            <w:pPr>
              <w:pStyle w:val="Normalparatextnonumbers"/>
              <w:rPr>
                <w:i/>
                <w:iCs/>
              </w:rPr>
            </w:pPr>
            <w:r w:rsidRPr="00AC6095">
              <w:rPr>
                <w:i/>
                <w:iCs/>
              </w:rPr>
              <w:t>Income Tax Assessment Act 1997</w:t>
            </w:r>
          </w:p>
        </w:tc>
      </w:tr>
      <w:tr w:rsidR="006A0DFA" w:rsidRPr="00020288" w14:paraId="176ED634" w14:textId="77777777" w:rsidTr="002425D9">
        <w:tc>
          <w:tcPr>
            <w:tcW w:w="3776" w:type="dxa"/>
          </w:tcPr>
          <w:p w14:paraId="3E557EE7" w14:textId="49AFA354" w:rsidR="006A0DFA" w:rsidRDefault="006A0DFA" w:rsidP="006A0DFA">
            <w:pPr>
              <w:pStyle w:val="Normalparatextnonumbers"/>
            </w:pPr>
            <w:r w:rsidRPr="007236A2">
              <w:t>MQPR</w:t>
            </w:r>
          </w:p>
        </w:tc>
        <w:tc>
          <w:tcPr>
            <w:tcW w:w="3874" w:type="dxa"/>
          </w:tcPr>
          <w:p w14:paraId="70F23882" w14:textId="44E90604" w:rsidR="006A0DFA" w:rsidRPr="00AC6095" w:rsidRDefault="006A0DFA" w:rsidP="006A0DFA">
            <w:pPr>
              <w:pStyle w:val="Normalparatextnonumbers"/>
              <w:rPr>
                <w:i/>
                <w:iCs/>
              </w:rPr>
            </w:pPr>
            <w:r w:rsidRPr="007236A2">
              <w:t>Mining, quarrying or prospecting right</w:t>
            </w:r>
          </w:p>
        </w:tc>
      </w:tr>
      <w:tr w:rsidR="00AC6095" w:rsidRPr="00020288" w14:paraId="0598A7EB" w14:textId="77777777" w:rsidTr="002425D9">
        <w:tc>
          <w:tcPr>
            <w:tcW w:w="3776" w:type="dxa"/>
          </w:tcPr>
          <w:p w14:paraId="2CCBE880" w14:textId="269AAB80" w:rsidR="00AC6095" w:rsidRPr="00020288" w:rsidRDefault="00AC6095" w:rsidP="00AC6095">
            <w:pPr>
              <w:pStyle w:val="Normalparatextnonumbers"/>
            </w:pPr>
            <w:r>
              <w:t>PRRTAA</w:t>
            </w:r>
          </w:p>
        </w:tc>
        <w:tc>
          <w:tcPr>
            <w:tcW w:w="3874" w:type="dxa"/>
          </w:tcPr>
          <w:p w14:paraId="25A3524A" w14:textId="2D86AC80" w:rsidR="00AC6095" w:rsidRPr="00AC6095" w:rsidRDefault="00AC6095" w:rsidP="00AC6095">
            <w:pPr>
              <w:pStyle w:val="Normalparatextnonumbers"/>
              <w:rPr>
                <w:i/>
                <w:iCs/>
              </w:rPr>
            </w:pPr>
            <w:r>
              <w:rPr>
                <w:i/>
                <w:iCs/>
              </w:rPr>
              <w:t xml:space="preserve">Petroleum Resource Rent Tax Assessment Act </w:t>
            </w:r>
            <w:r w:rsidR="003520B3">
              <w:rPr>
                <w:i/>
                <w:iCs/>
              </w:rPr>
              <w:t>1987</w:t>
            </w:r>
          </w:p>
        </w:tc>
      </w:tr>
      <w:tr w:rsidR="006D118D" w:rsidRPr="00020288" w14:paraId="6CA58EEF" w14:textId="77777777" w:rsidTr="002425D9">
        <w:tc>
          <w:tcPr>
            <w:tcW w:w="3776" w:type="dxa"/>
          </w:tcPr>
          <w:p w14:paraId="40FB5B1B" w14:textId="0C9D923A" w:rsidR="006D118D" w:rsidRDefault="006D118D" w:rsidP="00AC6095">
            <w:pPr>
              <w:pStyle w:val="Normalparatextnonumbers"/>
            </w:pPr>
            <w:r>
              <w:t>PRRT</w:t>
            </w:r>
          </w:p>
        </w:tc>
        <w:tc>
          <w:tcPr>
            <w:tcW w:w="3874" w:type="dxa"/>
          </w:tcPr>
          <w:p w14:paraId="05E2E631" w14:textId="5CBF4066" w:rsidR="006D118D" w:rsidRDefault="006D118D" w:rsidP="00AC6095">
            <w:pPr>
              <w:pStyle w:val="Normalparatextnonumbers"/>
              <w:rPr>
                <w:i/>
                <w:iCs/>
              </w:rPr>
            </w:pPr>
            <w:r>
              <w:rPr>
                <w:i/>
                <w:iCs/>
              </w:rPr>
              <w:t>Petroleum Resource Rent Tax</w:t>
            </w:r>
          </w:p>
        </w:tc>
      </w:tr>
    </w:tbl>
    <w:p w14:paraId="4F05372C" w14:textId="77777777" w:rsidR="00873094" w:rsidRPr="00020288" w:rsidRDefault="00873094" w:rsidP="00873094"/>
    <w:p w14:paraId="36F16C4E" w14:textId="77777777" w:rsidR="00873094" w:rsidRPr="00020288" w:rsidRDefault="00873094" w:rsidP="00873094"/>
    <w:p w14:paraId="66D4C400" w14:textId="77777777" w:rsidR="00873094" w:rsidRPr="00020288" w:rsidRDefault="00873094" w:rsidP="00873094">
      <w:pPr>
        <w:pStyle w:val="Heading1"/>
        <w:sectPr w:rsidR="00873094" w:rsidRPr="00020288" w:rsidSect="00000BFC">
          <w:headerReference w:type="even" r:id="rId20"/>
          <w:headerReference w:type="default" r:id="rId21"/>
          <w:headerReference w:type="first" r:id="rId22"/>
          <w:footerReference w:type="first" r:id="rId23"/>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4CC29C74" w14:textId="28BC67E1" w:rsidR="00873094" w:rsidRPr="0073326A" w:rsidRDefault="00B20901" w:rsidP="00777A92">
      <w:pPr>
        <w:pStyle w:val="Chapterheading"/>
      </w:pPr>
      <w:bookmarkStart w:id="41" w:name="GeneralOutline"/>
      <w:bookmarkStart w:id="42" w:name="_Toc152938502"/>
      <w:bookmarkEnd w:id="27"/>
      <w:bookmarkEnd w:id="28"/>
      <w:bookmarkEnd w:id="29"/>
      <w:bookmarkEnd w:id="31"/>
      <w:bookmarkEnd w:id="32"/>
      <w:bookmarkEnd w:id="33"/>
      <w:bookmarkEnd w:id="34"/>
      <w:bookmarkEnd w:id="35"/>
      <w:bookmarkEnd w:id="36"/>
      <w:bookmarkEnd w:id="37"/>
      <w:bookmarkEnd w:id="38"/>
      <w:bookmarkEnd w:id="39"/>
      <w:bookmarkEnd w:id="40"/>
      <w:bookmarkEnd w:id="41"/>
      <w:r w:rsidRPr="00B20901">
        <w:lastRenderedPageBreak/>
        <w:t>Clarifying the tax treatment of ‘exploration’ and ‘mining, quarrying and prospecting rights</w:t>
      </w:r>
      <w:bookmarkEnd w:id="42"/>
    </w:p>
    <w:p w14:paraId="486F73C7" w14:textId="5A8921F6" w:rsidR="00873094" w:rsidRDefault="00A446D3" w:rsidP="00873094">
      <w:pPr>
        <w:rPr>
          <w:rFonts w:ascii="Helvitica" w:hAnsi="Helvitica"/>
          <w:sz w:val="40"/>
        </w:rPr>
      </w:pPr>
      <w:bookmarkStart w:id="43" w:name="Chapter1"/>
      <w:r>
        <w:rPr>
          <w:rFonts w:ascii="Helvitica" w:hAnsi="Helvitica"/>
          <w:sz w:val="40"/>
        </w:rPr>
        <w:t xml:space="preserve">Table of Contents: </w:t>
      </w:r>
    </w:p>
    <w:p w14:paraId="3BD9D995" w14:textId="5D2A3DB4" w:rsidR="007651EA" w:rsidRDefault="00A446D3">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7651EA">
        <w:t>Outline of chapter</w:t>
      </w:r>
      <w:r w:rsidR="007651EA">
        <w:rPr>
          <w:webHidden/>
        </w:rPr>
        <w:tab/>
      </w:r>
      <w:r w:rsidR="007651EA">
        <w:rPr>
          <w:webHidden/>
        </w:rPr>
        <w:fldChar w:fldCharType="begin"/>
      </w:r>
      <w:r w:rsidR="007651EA">
        <w:rPr>
          <w:webHidden/>
        </w:rPr>
        <w:instrText xml:space="preserve"> PAGEREF _Toc152938594 \h </w:instrText>
      </w:r>
      <w:r w:rsidR="007651EA">
        <w:rPr>
          <w:webHidden/>
        </w:rPr>
      </w:r>
      <w:r w:rsidR="007651EA">
        <w:rPr>
          <w:webHidden/>
        </w:rPr>
        <w:fldChar w:fldCharType="separate"/>
      </w:r>
      <w:r w:rsidR="007651EA">
        <w:rPr>
          <w:webHidden/>
        </w:rPr>
        <w:t>5</w:t>
      </w:r>
      <w:r w:rsidR="007651EA">
        <w:rPr>
          <w:webHidden/>
        </w:rPr>
        <w:fldChar w:fldCharType="end"/>
      </w:r>
    </w:p>
    <w:p w14:paraId="2F7D0ECF" w14:textId="34080DB9" w:rsidR="007651EA" w:rsidRDefault="007651EA">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_Toc152938595 \h </w:instrText>
      </w:r>
      <w:r>
        <w:rPr>
          <w:webHidden/>
        </w:rPr>
      </w:r>
      <w:r>
        <w:rPr>
          <w:webHidden/>
        </w:rPr>
        <w:fldChar w:fldCharType="separate"/>
      </w:r>
      <w:r>
        <w:rPr>
          <w:webHidden/>
        </w:rPr>
        <w:t>5</w:t>
      </w:r>
      <w:r>
        <w:rPr>
          <w:webHidden/>
        </w:rPr>
        <w:fldChar w:fldCharType="end"/>
      </w:r>
    </w:p>
    <w:p w14:paraId="6BADE154" w14:textId="34A5F6D1" w:rsidR="007651EA" w:rsidRDefault="007651EA">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_Toc152938596 \h </w:instrText>
      </w:r>
      <w:r>
        <w:rPr>
          <w:webHidden/>
        </w:rPr>
      </w:r>
      <w:r>
        <w:rPr>
          <w:webHidden/>
        </w:rPr>
        <w:fldChar w:fldCharType="separate"/>
      </w:r>
      <w:r>
        <w:rPr>
          <w:webHidden/>
        </w:rPr>
        <w:t>7</w:t>
      </w:r>
      <w:r>
        <w:rPr>
          <w:webHidden/>
        </w:rPr>
        <w:fldChar w:fldCharType="end"/>
      </w:r>
    </w:p>
    <w:p w14:paraId="08AA5452" w14:textId="25454B41" w:rsidR="007651EA" w:rsidRDefault="007651EA">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_Toc152938597 \h </w:instrText>
      </w:r>
      <w:r>
        <w:rPr>
          <w:webHidden/>
        </w:rPr>
      </w:r>
      <w:r>
        <w:rPr>
          <w:webHidden/>
        </w:rPr>
        <w:fldChar w:fldCharType="separate"/>
      </w:r>
      <w:r>
        <w:rPr>
          <w:webHidden/>
        </w:rPr>
        <w:t>8</w:t>
      </w:r>
      <w:r>
        <w:rPr>
          <w:webHidden/>
        </w:rPr>
        <w:fldChar w:fldCharType="end"/>
      </w:r>
    </w:p>
    <w:p w14:paraId="09718A8F" w14:textId="3DEC944B" w:rsidR="007651EA" w:rsidRDefault="007651EA">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_Toc152938598 \h </w:instrText>
      </w:r>
      <w:r>
        <w:rPr>
          <w:webHidden/>
        </w:rPr>
      </w:r>
      <w:r>
        <w:rPr>
          <w:webHidden/>
        </w:rPr>
        <w:fldChar w:fldCharType="separate"/>
      </w:r>
      <w:r>
        <w:rPr>
          <w:webHidden/>
        </w:rPr>
        <w:t>11</w:t>
      </w:r>
      <w:r>
        <w:rPr>
          <w:webHidden/>
        </w:rPr>
        <w:fldChar w:fldCharType="end"/>
      </w:r>
    </w:p>
    <w:p w14:paraId="50C056A1" w14:textId="63DD4F56" w:rsidR="00A446D3" w:rsidRPr="00020288" w:rsidRDefault="00A446D3" w:rsidP="00A446D3">
      <w:r>
        <w:fldChar w:fldCharType="end"/>
      </w:r>
    </w:p>
    <w:p w14:paraId="79427925" w14:textId="77777777" w:rsidR="00873094" w:rsidRPr="00020288" w:rsidRDefault="00873094" w:rsidP="005D0844">
      <w:pPr>
        <w:pStyle w:val="Heading2"/>
      </w:pPr>
      <w:bookmarkStart w:id="44" w:name="_Toc152938594"/>
      <w:r w:rsidRPr="00020288">
        <w:t xml:space="preserve">Outline </w:t>
      </w:r>
      <w:r w:rsidRPr="005D0844">
        <w:t>of</w:t>
      </w:r>
      <w:r w:rsidRPr="00020288">
        <w:t xml:space="preserve"> chapter</w:t>
      </w:r>
      <w:bookmarkEnd w:id="44"/>
    </w:p>
    <w:p w14:paraId="68498CAB" w14:textId="77777777" w:rsidR="001E3207" w:rsidRDefault="00BC3C6A" w:rsidP="00486CDA">
      <w:pPr>
        <w:pStyle w:val="Normalparatextwithnumbers"/>
      </w:pPr>
      <w:r>
        <w:t>The</w:t>
      </w:r>
      <w:r w:rsidR="00486CDA">
        <w:t xml:space="preserve"> Bill amends the PRRTAA to clarify the meaning of ‘exploration for petroleum’. </w:t>
      </w:r>
    </w:p>
    <w:p w14:paraId="475CDEE0" w14:textId="45E132BF" w:rsidR="00486CDA" w:rsidRDefault="00C17B52" w:rsidP="00486CDA">
      <w:pPr>
        <w:pStyle w:val="Normalparatextwithnumbers"/>
      </w:pPr>
      <w:r>
        <w:t>Additionally,</w:t>
      </w:r>
      <w:r w:rsidR="00486CDA">
        <w:t xml:space="preserve"> amendments to the ITAA 1997 clarify:</w:t>
      </w:r>
    </w:p>
    <w:p w14:paraId="50DF041A" w14:textId="63408D20" w:rsidR="00486CDA" w:rsidRDefault="00C2676E" w:rsidP="00486CDA">
      <w:pPr>
        <w:pStyle w:val="Dotpoint1"/>
      </w:pPr>
      <w:r>
        <w:t xml:space="preserve">that </w:t>
      </w:r>
      <w:r w:rsidR="00486CDA">
        <w:t>MQPRs cannot be depreciated for income tax purposes until they are used, not merely held, and</w:t>
      </w:r>
    </w:p>
    <w:p w14:paraId="11B2731C" w14:textId="7F0A3CD7" w:rsidR="00486CDA" w:rsidRDefault="00486CDA" w:rsidP="00486CDA">
      <w:pPr>
        <w:pStyle w:val="Dotpoint1"/>
      </w:pPr>
      <w:r>
        <w:t>the circumstances in which the issue of new rights over areas covered by existing rights lead to tax adjustments.</w:t>
      </w:r>
    </w:p>
    <w:p w14:paraId="1BFB85CF" w14:textId="5F0D651B" w:rsidR="002B4621" w:rsidRPr="000E521B" w:rsidRDefault="002B4621" w:rsidP="000E521B">
      <w:pPr>
        <w:pStyle w:val="Normalparatextwithnumbers"/>
      </w:pPr>
      <w:r>
        <w:t>All legislative references in this Chapter are to the ITAA 1997 unless otherwise stated.</w:t>
      </w:r>
      <w:r w:rsidR="004A3476">
        <w:t xml:space="preserve"> Further, all references to</w:t>
      </w:r>
      <w:r w:rsidR="00EE5460">
        <w:t xml:space="preserve"> the</w:t>
      </w:r>
      <w:r w:rsidR="004A3476">
        <w:t xml:space="preserve"> ‘</w:t>
      </w:r>
      <w:r w:rsidR="00C96E9E">
        <w:t>decision</w:t>
      </w:r>
      <w:r w:rsidR="00EE5460">
        <w:t>’</w:t>
      </w:r>
      <w:r w:rsidR="004A3476">
        <w:t xml:space="preserve"> are references to the decision of the </w:t>
      </w:r>
      <w:r w:rsidR="004A3476" w:rsidRPr="004A3476">
        <w:t xml:space="preserve">Full Federal Court in </w:t>
      </w:r>
      <w:r w:rsidR="004A3476" w:rsidRPr="004A3476">
        <w:rPr>
          <w:i/>
          <w:iCs/>
        </w:rPr>
        <w:t xml:space="preserve">Commissioner of Taxation v Shell Energy Holdings Australia Limited </w:t>
      </w:r>
      <w:r w:rsidR="004A3476" w:rsidRPr="004A3476">
        <w:t>[2022] FCAFC 2</w:t>
      </w:r>
      <w:r w:rsidR="00862C29">
        <w:t>.</w:t>
      </w:r>
    </w:p>
    <w:p w14:paraId="1593A80F" w14:textId="77777777" w:rsidR="00873094" w:rsidRPr="00020288" w:rsidRDefault="00873094" w:rsidP="005D0844">
      <w:pPr>
        <w:pStyle w:val="Heading2"/>
      </w:pPr>
      <w:bookmarkStart w:id="45" w:name="_Toc152938595"/>
      <w:r w:rsidRPr="00020288">
        <w:t xml:space="preserve">Context of </w:t>
      </w:r>
      <w:r w:rsidRPr="005D0844">
        <w:t>amendments</w:t>
      </w:r>
      <w:bookmarkEnd w:id="45"/>
    </w:p>
    <w:p w14:paraId="71EF4091" w14:textId="6202A23D" w:rsidR="00631EC4" w:rsidRDefault="00F6475A" w:rsidP="00631EC4">
      <w:pPr>
        <w:pStyle w:val="Normalparatextwithnumbers"/>
        <w:numPr>
          <w:ilvl w:val="1"/>
          <w:numId w:val="3"/>
        </w:numPr>
      </w:pPr>
      <w:r>
        <w:t>F</w:t>
      </w:r>
      <w:r w:rsidR="00631EC4">
        <w:t>ollowing the decision</w:t>
      </w:r>
      <w:r>
        <w:t>, clarification was required to the PRRTAA and ITAA 1997</w:t>
      </w:r>
      <w:r w:rsidR="00631EC4">
        <w:t xml:space="preserve">. </w:t>
      </w:r>
      <w:r w:rsidR="00F74A93">
        <w:t xml:space="preserve">The decision </w:t>
      </w:r>
      <w:r w:rsidR="00631EC4">
        <w:t>was</w:t>
      </w:r>
      <w:r w:rsidR="00F74A93">
        <w:t>, amongst other things,</w:t>
      </w:r>
      <w:r w:rsidR="00631EC4">
        <w:t xml:space="preserve"> in relation to whether the taxpayer in that case was entitled to deduct an amount equal to the cost of the asset under subsection 40</w:t>
      </w:r>
      <w:r w:rsidR="008032F8">
        <w:noBreakHyphen/>
      </w:r>
      <w:r w:rsidR="00631EC4">
        <w:t xml:space="preserve">80(1) which provides that the decline in value of a </w:t>
      </w:r>
      <w:r w:rsidR="00631EC4">
        <w:lastRenderedPageBreak/>
        <w:t>depreciating asset that a taxpayer holds is the asset’s cost, provided the taxpayer first uses the asset for ‘exploration’.</w:t>
      </w:r>
    </w:p>
    <w:p w14:paraId="005A07F8" w14:textId="3E312D3B" w:rsidR="00722B5E" w:rsidRDefault="004A3476" w:rsidP="00873094">
      <w:pPr>
        <w:pStyle w:val="Normalparatextwithnumbers"/>
        <w:numPr>
          <w:ilvl w:val="1"/>
          <w:numId w:val="3"/>
        </w:numPr>
      </w:pPr>
      <w:r>
        <w:t xml:space="preserve">The activities in </w:t>
      </w:r>
      <w:r w:rsidR="00BF1804">
        <w:t>question</w:t>
      </w:r>
      <w:r>
        <w:t xml:space="preserve"> in the </w:t>
      </w:r>
      <w:r w:rsidR="00FE673C">
        <w:t>decision</w:t>
      </w:r>
      <w:r w:rsidR="00862C29">
        <w:t xml:space="preserve"> were activities conducted for the purpose of evaluating the feasibility of recovering petroleum on a commercial basis. The outcome of the case raise</w:t>
      </w:r>
      <w:r w:rsidR="00161F1C">
        <w:t>d</w:t>
      </w:r>
      <w:r w:rsidR="00862C29">
        <w:t xml:space="preserve"> three issues:</w:t>
      </w:r>
    </w:p>
    <w:p w14:paraId="2F0FDCF8" w14:textId="0A27B250" w:rsidR="00862C29" w:rsidRDefault="00116B05" w:rsidP="00862C29">
      <w:pPr>
        <w:pStyle w:val="Dotpoint1"/>
      </w:pPr>
      <w:r>
        <w:t xml:space="preserve">Firstly, </w:t>
      </w:r>
      <w:r w:rsidR="00862C29">
        <w:t xml:space="preserve">the ordinary meaning of the term ‘exploration’ </w:t>
      </w:r>
      <w:r w:rsidR="00700530">
        <w:t xml:space="preserve">was determined to </w:t>
      </w:r>
      <w:r w:rsidR="0025469B">
        <w:t xml:space="preserve">not </w:t>
      </w:r>
      <w:r w:rsidR="00700530">
        <w:t>have a precise or rigid meaning</w:t>
      </w:r>
      <w:r w:rsidR="00D85934">
        <w:t>,</w:t>
      </w:r>
      <w:r w:rsidR="00700530">
        <w:t xml:space="preserve"> could be </w:t>
      </w:r>
      <w:r w:rsidR="00862C29">
        <w:t xml:space="preserve">wider than previously understood since 2014 and </w:t>
      </w:r>
      <w:r w:rsidR="00002A82">
        <w:t xml:space="preserve">can be </w:t>
      </w:r>
      <w:r w:rsidR="00862C29">
        <w:t>extend</w:t>
      </w:r>
      <w:r w:rsidR="00766BD1">
        <w:t>ed</w:t>
      </w:r>
      <w:r w:rsidR="00862C29">
        <w:t xml:space="preserve"> beyond searching for petroleum to assessing the commercial viability of a project</w:t>
      </w:r>
      <w:r w:rsidR="008D2C25">
        <w:t xml:space="preserve"> where the context allows.</w:t>
      </w:r>
      <w:r w:rsidR="00862C29">
        <w:t xml:space="preserve"> </w:t>
      </w:r>
      <w:r w:rsidR="0069411B">
        <w:t xml:space="preserve">Although it was also determined that the meaning of the term ‘exploration’ will depend on the relevant statutory context and legislative history, there may have been </w:t>
      </w:r>
      <w:r w:rsidR="00EE5468">
        <w:t>ambiguity</w:t>
      </w:r>
      <w:r w:rsidR="0069411B">
        <w:t xml:space="preserve"> raised by the decision</w:t>
      </w:r>
      <w:r w:rsidR="00EE5468">
        <w:t xml:space="preserve">, which could </w:t>
      </w:r>
      <w:r w:rsidR="00862C29">
        <w:t xml:space="preserve">potentially </w:t>
      </w:r>
      <w:r w:rsidR="00EE5468">
        <w:t xml:space="preserve">make </w:t>
      </w:r>
      <w:r w:rsidR="00862C29">
        <w:t>a greater range of expenses eligible for the concessional treatment afforded to exploration expenditure.</w:t>
      </w:r>
    </w:p>
    <w:p w14:paraId="0E9CF4F5" w14:textId="247E853A" w:rsidR="00862C29" w:rsidRDefault="00116B05" w:rsidP="00862C29">
      <w:pPr>
        <w:pStyle w:val="Dotpoint1"/>
      </w:pPr>
      <w:bookmarkStart w:id="46" w:name="_Hlk148091464"/>
      <w:r>
        <w:t>Secondly, t</w:t>
      </w:r>
      <w:r w:rsidR="00862C29">
        <w:t xml:space="preserve">axpayers may </w:t>
      </w:r>
      <w:r w:rsidR="00CD12EE">
        <w:t>have begun</w:t>
      </w:r>
      <w:r w:rsidR="00862C29">
        <w:t xml:space="preserve"> depreciating intangible assets such as MQPRs from when they acquire</w:t>
      </w:r>
      <w:r w:rsidR="00CD12EE">
        <w:t>d</w:t>
      </w:r>
      <w:r w:rsidR="00862C29">
        <w:t xml:space="preserve"> them, rather than when they </w:t>
      </w:r>
      <w:r w:rsidR="00CD12EE">
        <w:t>began</w:t>
      </w:r>
      <w:r w:rsidR="00862C29">
        <w:t xml:space="preserve"> undertaking activities </w:t>
      </w:r>
      <w:r w:rsidR="00127C5C">
        <w:t>authorised by</w:t>
      </w:r>
      <w:r w:rsidR="00862C29">
        <w:t xml:space="preserve"> the rights, potentially bringing forward the </w:t>
      </w:r>
      <w:r w:rsidR="007963B1">
        <w:t xml:space="preserve">intended </w:t>
      </w:r>
      <w:r w:rsidR="00862C29">
        <w:t xml:space="preserve">start time for </w:t>
      </w:r>
      <w:r w:rsidR="00706523">
        <w:t xml:space="preserve">decline in value </w:t>
      </w:r>
      <w:r w:rsidR="00862C29">
        <w:t>deductions.</w:t>
      </w:r>
    </w:p>
    <w:bookmarkEnd w:id="46"/>
    <w:p w14:paraId="6E3F9678" w14:textId="337D22E7" w:rsidR="00862C29" w:rsidRDefault="00116B05" w:rsidP="00862C29">
      <w:pPr>
        <w:pStyle w:val="Dotpoint1"/>
      </w:pPr>
      <w:r>
        <w:t>Thirdly, t</w:t>
      </w:r>
      <w:r w:rsidR="00862C29">
        <w:t xml:space="preserve">axpayers may </w:t>
      </w:r>
      <w:r w:rsidR="00683CBD">
        <w:t xml:space="preserve">have </w:t>
      </w:r>
      <w:r w:rsidR="00862C29">
        <w:t>be</w:t>
      </w:r>
      <w:r w:rsidR="00683CBD">
        <w:t>en</w:t>
      </w:r>
      <w:r w:rsidR="00862C29">
        <w:t xml:space="preserve"> required to make more frequent balancing adjustments for income tax purposes</w:t>
      </w:r>
      <w:r w:rsidR="0029327D">
        <w:t xml:space="preserve"> due to</w:t>
      </w:r>
      <w:r w:rsidR="00862C29">
        <w:t xml:space="preserve"> routine conversion of MQPRs, increasing administrative burden and </w:t>
      </w:r>
      <w:r w:rsidR="00B46184">
        <w:t xml:space="preserve">prematurely </w:t>
      </w:r>
      <w:r w:rsidR="00862C29">
        <w:t xml:space="preserve">crystalising gains or losses. There may also </w:t>
      </w:r>
      <w:r w:rsidR="005D3DBA">
        <w:t xml:space="preserve">have </w:t>
      </w:r>
      <w:r w:rsidR="00862C29">
        <w:t>be</w:t>
      </w:r>
      <w:r w:rsidR="00440582">
        <w:t>en</w:t>
      </w:r>
      <w:r w:rsidR="00862C29">
        <w:t xml:space="preserve"> inadvertent impacts on the effective life of an MQPR if a balancing adjustment </w:t>
      </w:r>
      <w:r w:rsidR="00834900">
        <w:t>occurred</w:t>
      </w:r>
      <w:r w:rsidR="00862C29">
        <w:t xml:space="preserve"> in such circumstances.</w:t>
      </w:r>
    </w:p>
    <w:p w14:paraId="5CA7CA7C" w14:textId="578F0CD9" w:rsidR="000E2D6B" w:rsidRDefault="007A3987" w:rsidP="000E2D6B">
      <w:pPr>
        <w:pStyle w:val="Heading6"/>
      </w:pPr>
      <w:r>
        <w:t>‘</w:t>
      </w:r>
      <w:r w:rsidR="000E2D6B">
        <w:t>Exploration for petroleum</w:t>
      </w:r>
      <w:r>
        <w:t>’</w:t>
      </w:r>
    </w:p>
    <w:p w14:paraId="4FD2E9FE" w14:textId="5D1CFAC3" w:rsidR="009502F9" w:rsidRDefault="00057041" w:rsidP="009502F9">
      <w:pPr>
        <w:pStyle w:val="Normalparatextwithnumbers"/>
      </w:pPr>
      <w:r>
        <w:t xml:space="preserve">Although </w:t>
      </w:r>
      <w:r w:rsidR="00D44D6E">
        <w:rPr>
          <w:iCs/>
        </w:rPr>
        <w:t>the decision</w:t>
      </w:r>
      <w:r>
        <w:t xml:space="preserve"> was concerned with income tax (including section</w:t>
      </w:r>
      <w:r w:rsidR="00477DF5">
        <w:t> </w:t>
      </w:r>
      <w:r>
        <w:t>40</w:t>
      </w:r>
      <w:r w:rsidR="005753AF">
        <w:noBreakHyphen/>
      </w:r>
      <w:r>
        <w:t>80) and did not consider the meaning of ‘exploration’ in the PRRT</w:t>
      </w:r>
      <w:r w:rsidR="00272F66">
        <w:t>AA</w:t>
      </w:r>
      <w:r>
        <w:t xml:space="preserve">, there </w:t>
      </w:r>
      <w:r w:rsidR="00EA3357">
        <w:t>may have been</w:t>
      </w:r>
      <w:r>
        <w:t xml:space="preserve"> ambiguity</w:t>
      </w:r>
      <w:r w:rsidR="005C69B4">
        <w:t xml:space="preserve"> raised by </w:t>
      </w:r>
      <w:r>
        <w:t xml:space="preserve">the decision </w:t>
      </w:r>
      <w:r w:rsidR="005C69B4">
        <w:t xml:space="preserve">which </w:t>
      </w:r>
      <w:r w:rsidR="00906B1E">
        <w:t xml:space="preserve">could </w:t>
      </w:r>
      <w:r>
        <w:t>have resulted in an expanded meaning of ‘exploration’ in a PRRT context. Th</w:t>
      </w:r>
      <w:r w:rsidR="00C73896">
        <w:t>ese amendments clarify</w:t>
      </w:r>
      <w:r>
        <w:t xml:space="preserve"> the interpretation of ‘exploration</w:t>
      </w:r>
      <w:r w:rsidR="00837531">
        <w:t xml:space="preserve"> for petroleum</w:t>
      </w:r>
      <w:r>
        <w:t>’ in the PRRT</w:t>
      </w:r>
      <w:r w:rsidR="005C69B4">
        <w:t xml:space="preserve">AA </w:t>
      </w:r>
      <w:r>
        <w:t>consistent with established practice and policy intent.</w:t>
      </w:r>
    </w:p>
    <w:p w14:paraId="5841C5F2" w14:textId="73BCC087" w:rsidR="008C10CD" w:rsidRDefault="00582FCD" w:rsidP="00D854FC">
      <w:pPr>
        <w:pStyle w:val="Normalparatextwithnumbers"/>
      </w:pPr>
      <w:r>
        <w:t xml:space="preserve">The </w:t>
      </w:r>
      <w:r w:rsidR="00582F08">
        <w:t>2023</w:t>
      </w:r>
      <w:r w:rsidR="00582F08">
        <w:noBreakHyphen/>
        <w:t xml:space="preserve">24 </w:t>
      </w:r>
      <w:r w:rsidR="008C10CD">
        <w:t xml:space="preserve">Budget announcement </w:t>
      </w:r>
      <w:r w:rsidR="00CD2218">
        <w:t>outlined the Government’s policy</w:t>
      </w:r>
      <w:r w:rsidR="008E5283">
        <w:t xml:space="preserve"> that </w:t>
      </w:r>
      <w:r w:rsidR="00B467AC">
        <w:t xml:space="preserve">PRRT legislation will be amended to clarify that ‘exploration for petroleum’ is limited to the </w:t>
      </w:r>
      <w:r w:rsidR="00053BA2">
        <w:t>'</w:t>
      </w:r>
      <w:r w:rsidR="00B467AC">
        <w:t xml:space="preserve">discovery </w:t>
      </w:r>
      <w:r w:rsidR="00053BA2">
        <w:t>and identification of the existence, extent and nature of the petroleum resource</w:t>
      </w:r>
      <w:r w:rsidR="002562B2">
        <w:t xml:space="preserve">’ and does not extend to ‘activities and feasibility studies directed at </w:t>
      </w:r>
      <w:r w:rsidR="00146D5F">
        <w:t xml:space="preserve">evaluating whether the resource is commercially recoverable’. </w:t>
      </w:r>
      <w:r w:rsidR="00146D5F" w:rsidRPr="00AF1537">
        <w:t>Th</w:t>
      </w:r>
      <w:r w:rsidR="00146D5F">
        <w:t xml:space="preserve">ese amendments </w:t>
      </w:r>
      <w:r w:rsidR="00BD69B7">
        <w:t>give effect to</w:t>
      </w:r>
      <w:r w:rsidR="00146D5F" w:rsidRPr="00AF1537">
        <w:t xml:space="preserve"> </w:t>
      </w:r>
      <w:r w:rsidR="003C3E70">
        <w:t xml:space="preserve">the </w:t>
      </w:r>
      <w:r w:rsidR="00146D5F" w:rsidRPr="00AF1537">
        <w:t>Government’s policy intent and the Commissioner</w:t>
      </w:r>
      <w:r w:rsidR="00146D5F">
        <w:t xml:space="preserve">’s </w:t>
      </w:r>
      <w:r w:rsidR="00146D5F" w:rsidRPr="00AF1537">
        <w:t>administrative treatment and written binding advice as set out in TR 2014/9, which applie</w:t>
      </w:r>
      <w:r w:rsidR="00BB29D8">
        <w:t>d</w:t>
      </w:r>
      <w:r w:rsidR="00146D5F" w:rsidRPr="00AF1537">
        <w:t xml:space="preserve"> from 21 August 2013.</w:t>
      </w:r>
    </w:p>
    <w:p w14:paraId="0C00C353" w14:textId="3EF09268" w:rsidR="00AF1537" w:rsidRDefault="00AF1537" w:rsidP="00AF1537">
      <w:pPr>
        <w:pStyle w:val="Heading6"/>
      </w:pPr>
      <w:r>
        <w:lastRenderedPageBreak/>
        <w:t>MQPRs ‘first use’ and balancing adjustments</w:t>
      </w:r>
    </w:p>
    <w:p w14:paraId="1A293945" w14:textId="730C74F0" w:rsidR="00D86A82" w:rsidRDefault="00D86A82" w:rsidP="00D86A82">
      <w:pPr>
        <w:pStyle w:val="Normalparatextwithnumbers"/>
      </w:pPr>
      <w:r>
        <w:t>Under Subdivision 40</w:t>
      </w:r>
      <w:r w:rsidR="00245EFB">
        <w:t>-</w:t>
      </w:r>
      <w:r>
        <w:t>D</w:t>
      </w:r>
      <w:r w:rsidR="00FA37F7">
        <w:t>;</w:t>
      </w:r>
    </w:p>
    <w:p w14:paraId="3A86C995" w14:textId="06062825" w:rsidR="00D86A82" w:rsidRDefault="00FA37F7" w:rsidP="00D86A82">
      <w:pPr>
        <w:pStyle w:val="Dotpoint1"/>
      </w:pPr>
      <w:r>
        <w:t>a</w:t>
      </w:r>
      <w:r w:rsidR="00D86A82">
        <w:t xml:space="preserve"> </w:t>
      </w:r>
      <w:r w:rsidR="0050476E">
        <w:t xml:space="preserve">taxpayer </w:t>
      </w:r>
      <w:r w:rsidR="00D86A82">
        <w:t>may have to make an adjustment to their taxable income if they stop holding a depreciating asset</w:t>
      </w:r>
      <w:r>
        <w:t>; and</w:t>
      </w:r>
    </w:p>
    <w:p w14:paraId="5FF037D6" w14:textId="1519740D" w:rsidR="00D86A82" w:rsidRDefault="00DE7D3D" w:rsidP="00D86A82">
      <w:pPr>
        <w:pStyle w:val="Dotpoint1"/>
      </w:pPr>
      <w:r>
        <w:t>t</w:t>
      </w:r>
      <w:r w:rsidR="00D86A82">
        <w:t xml:space="preserve">he adjustment is generally based on the difference between the </w:t>
      </w:r>
      <w:r w:rsidR="00164733">
        <w:t>‘</w:t>
      </w:r>
      <w:r w:rsidR="0050476E">
        <w:t xml:space="preserve">termination </w:t>
      </w:r>
      <w:r w:rsidR="00D86A82">
        <w:t>value</w:t>
      </w:r>
      <w:r w:rsidR="00164733">
        <w:t>’</w:t>
      </w:r>
      <w:r w:rsidR="00D86A82">
        <w:t xml:space="preserve"> of the asset when they stop holding it and its </w:t>
      </w:r>
      <w:r w:rsidR="00164733">
        <w:t>‘</w:t>
      </w:r>
      <w:r w:rsidR="00D86A82">
        <w:t>adjustable value</w:t>
      </w:r>
      <w:r w:rsidR="00164733">
        <w:t>’</w:t>
      </w:r>
      <w:r w:rsidR="00D86A82">
        <w:t>.</w:t>
      </w:r>
    </w:p>
    <w:p w14:paraId="7C79CD1B" w14:textId="6CEC709A" w:rsidR="0072214D" w:rsidRDefault="0072214D" w:rsidP="00AD7EF3">
      <w:pPr>
        <w:pStyle w:val="Normalparatextwithnumbers"/>
      </w:pPr>
      <w:r>
        <w:t>The decision</w:t>
      </w:r>
      <w:r w:rsidR="00F3196D">
        <w:t xml:space="preserve"> </w:t>
      </w:r>
      <w:r w:rsidR="00E6684C">
        <w:t xml:space="preserve">meant that </w:t>
      </w:r>
      <w:r w:rsidR="00F3196D">
        <w:t>‘first use’</w:t>
      </w:r>
      <w:r w:rsidR="00604E6E">
        <w:t>, in relation to an MQPR,</w:t>
      </w:r>
      <w:r w:rsidR="00F3196D">
        <w:t xml:space="preserve"> </w:t>
      </w:r>
      <w:r w:rsidR="00F71EF6">
        <w:t xml:space="preserve">may have been interpreted as </w:t>
      </w:r>
      <w:r w:rsidR="00AD7EF3">
        <w:t xml:space="preserve">when </w:t>
      </w:r>
      <w:r w:rsidR="00FF1F67">
        <w:t xml:space="preserve">a </w:t>
      </w:r>
      <w:r w:rsidR="00AD7EF3">
        <w:t xml:space="preserve">taxpayer acquired </w:t>
      </w:r>
      <w:r w:rsidR="00604E6E">
        <w:t xml:space="preserve">the </w:t>
      </w:r>
      <w:r w:rsidR="00AD7EF3">
        <w:t xml:space="preserve">MQPR rather than when they </w:t>
      </w:r>
      <w:r w:rsidR="00F3196D" w:rsidRPr="00F3196D">
        <w:t>began undertaking activities under the right</w:t>
      </w:r>
      <w:r w:rsidR="00AD7EF3">
        <w:t xml:space="preserve">. This </w:t>
      </w:r>
      <w:r w:rsidR="00FD2045">
        <w:t xml:space="preserve">may have resulted in </w:t>
      </w:r>
      <w:r w:rsidR="001B1401">
        <w:t>unintended</w:t>
      </w:r>
      <w:r w:rsidR="00FD2045">
        <w:t xml:space="preserve"> consequences, by</w:t>
      </w:r>
      <w:r w:rsidR="00AD7EF3">
        <w:t xml:space="preserve"> potentially </w:t>
      </w:r>
      <w:r w:rsidR="00FD2045">
        <w:t>bringing</w:t>
      </w:r>
      <w:r w:rsidR="00F3196D" w:rsidRPr="00F3196D">
        <w:t xml:space="preserve"> forward the start time for </w:t>
      </w:r>
      <w:r w:rsidR="00125E61">
        <w:t>decline in value</w:t>
      </w:r>
      <w:r w:rsidR="00125E61" w:rsidRPr="00F3196D">
        <w:t xml:space="preserve"> </w:t>
      </w:r>
      <w:r w:rsidR="00F3196D" w:rsidRPr="00F3196D">
        <w:t>deductions.</w:t>
      </w:r>
    </w:p>
    <w:p w14:paraId="27A95842" w14:textId="6D6F101B" w:rsidR="0072214D" w:rsidRDefault="0072214D" w:rsidP="0072214D">
      <w:pPr>
        <w:pStyle w:val="Normalparatextwithnumbers"/>
      </w:pPr>
      <w:r>
        <w:t>Further, i</w:t>
      </w:r>
      <w:r w:rsidRPr="00E97610">
        <w:t xml:space="preserve">t is common for </w:t>
      </w:r>
      <w:r w:rsidR="00570685">
        <w:t xml:space="preserve">one type of mining right to convert to a different type of mining right or rights, for example a retention lease converts to a production licence or licences. </w:t>
      </w:r>
      <w:r w:rsidRPr="00E97610">
        <w:t xml:space="preserve">As a consequence of </w:t>
      </w:r>
      <w:r>
        <w:t>the decision</w:t>
      </w:r>
      <w:r w:rsidRPr="00E97610">
        <w:t xml:space="preserve">, taxpayers may </w:t>
      </w:r>
      <w:r>
        <w:t xml:space="preserve">have </w:t>
      </w:r>
      <w:r w:rsidRPr="00E97610">
        <w:t>be</w:t>
      </w:r>
      <w:r>
        <w:t>en</w:t>
      </w:r>
      <w:r w:rsidRPr="00E97610">
        <w:t xml:space="preserve"> required to make more frequent balancing adjustments for income tax purposes</w:t>
      </w:r>
      <w:r w:rsidR="009A301F">
        <w:t xml:space="preserve"> where</w:t>
      </w:r>
      <w:r w:rsidR="002E1263">
        <w:t xml:space="preserve"> a</w:t>
      </w:r>
      <w:r w:rsidR="009A301F">
        <w:t xml:space="preserve"> new</w:t>
      </w:r>
      <w:r w:rsidR="002E1263">
        <w:t xml:space="preserve"> right or</w:t>
      </w:r>
      <w:r w:rsidR="009A301F">
        <w:t xml:space="preserve"> rights were issued over</w:t>
      </w:r>
      <w:r w:rsidR="002E1263">
        <w:t xml:space="preserve"> part of the</w:t>
      </w:r>
      <w:r w:rsidR="009A301F">
        <w:t xml:space="preserve"> areas covered by</w:t>
      </w:r>
      <w:r w:rsidR="002E1263">
        <w:t xml:space="preserve"> an</w:t>
      </w:r>
      <w:r w:rsidR="009A301F">
        <w:t xml:space="preserve"> existing</w:t>
      </w:r>
      <w:r w:rsidR="002E1263">
        <w:t xml:space="preserve"> right or</w:t>
      </w:r>
      <w:r w:rsidR="009A301F">
        <w:t xml:space="preserve"> rights.</w:t>
      </w:r>
    </w:p>
    <w:p w14:paraId="78AC717F" w14:textId="1508E901" w:rsidR="00873094" w:rsidRDefault="00883CB3" w:rsidP="00AF50CE">
      <w:pPr>
        <w:pStyle w:val="Heading2"/>
      </w:pPr>
      <w:bookmarkStart w:id="47" w:name="_Toc152938596"/>
      <w:r>
        <w:t>Summary</w:t>
      </w:r>
      <w:r w:rsidR="00873094" w:rsidRPr="00020288">
        <w:t xml:space="preserve"> of new law</w:t>
      </w:r>
      <w:bookmarkEnd w:id="47"/>
      <w:r w:rsidR="00873094" w:rsidRPr="00020288">
        <w:t xml:space="preserve"> </w:t>
      </w:r>
    </w:p>
    <w:p w14:paraId="222934BB" w14:textId="4E220D2C" w:rsidR="00237CB3" w:rsidRDefault="00237CB3" w:rsidP="00237CB3">
      <w:pPr>
        <w:pStyle w:val="Normalparatextwithnumbers"/>
        <w:numPr>
          <w:ilvl w:val="1"/>
          <w:numId w:val="3"/>
        </w:numPr>
      </w:pPr>
      <w:r>
        <w:t>These amendments</w:t>
      </w:r>
      <w:r w:rsidR="00E318D9">
        <w:t xml:space="preserve"> provide for the following</w:t>
      </w:r>
      <w:r>
        <w:t>:</w:t>
      </w:r>
    </w:p>
    <w:p w14:paraId="21D89E63" w14:textId="047890A6" w:rsidR="00237CB3" w:rsidRDefault="00F209CF" w:rsidP="00237CB3">
      <w:pPr>
        <w:pStyle w:val="Dotpoint1"/>
      </w:pPr>
      <w:r>
        <w:t>F</w:t>
      </w:r>
      <w:r w:rsidR="002B045B">
        <w:t xml:space="preserve">or the purposes of </w:t>
      </w:r>
      <w:r>
        <w:t xml:space="preserve">the meaning of the phrase </w:t>
      </w:r>
      <w:r w:rsidR="00AD6123">
        <w:t xml:space="preserve">‘exploration for petroleum’ in the PRRTAA, </w:t>
      </w:r>
      <w:r>
        <w:t>exclude</w:t>
      </w:r>
      <w:r w:rsidR="00265B17">
        <w:t>s</w:t>
      </w:r>
      <w:r>
        <w:t xml:space="preserve"> </w:t>
      </w:r>
      <w:r w:rsidR="004269D0" w:rsidRPr="004269D0">
        <w:t xml:space="preserve">activities engaged in for the purpose of determining </w:t>
      </w:r>
      <w:r w:rsidR="00C56B7B">
        <w:t xml:space="preserve">how to recover petroleum or </w:t>
      </w:r>
      <w:r w:rsidR="004269D0" w:rsidRPr="004269D0">
        <w:t>whether the recovery of petroleum is commercially viable</w:t>
      </w:r>
      <w:r w:rsidR="00561CB5">
        <w:t xml:space="preserve">, economically feasible or technically </w:t>
      </w:r>
      <w:r w:rsidR="00587FBB">
        <w:t>feasible</w:t>
      </w:r>
      <w:r w:rsidR="00237CB3">
        <w:t>.</w:t>
      </w:r>
    </w:p>
    <w:p w14:paraId="0E40F523" w14:textId="4F03B561" w:rsidR="00237CB3" w:rsidRDefault="0066218C" w:rsidP="00237CB3">
      <w:pPr>
        <w:pStyle w:val="Dotpoint1"/>
      </w:pPr>
      <w:r>
        <w:t>Limit</w:t>
      </w:r>
      <w:r w:rsidR="00237CB3">
        <w:t xml:space="preserve"> </w:t>
      </w:r>
      <w:r>
        <w:t xml:space="preserve">when </w:t>
      </w:r>
      <w:r w:rsidR="00F209CF">
        <w:t xml:space="preserve">the </w:t>
      </w:r>
      <w:r w:rsidR="00DA3A8F">
        <w:t>‘</w:t>
      </w:r>
      <w:r w:rsidR="00237CB3">
        <w:t>first use</w:t>
      </w:r>
      <w:r w:rsidR="00DA3A8F">
        <w:t>’</w:t>
      </w:r>
      <w:r w:rsidR="00237CB3">
        <w:t xml:space="preserve"> of</w:t>
      </w:r>
      <w:r w:rsidR="00351571">
        <w:t xml:space="preserve"> an</w:t>
      </w:r>
      <w:r w:rsidR="00237CB3">
        <w:t xml:space="preserve"> </w:t>
      </w:r>
      <w:r w:rsidR="00DA3A8F">
        <w:t>MQPR</w:t>
      </w:r>
      <w:r w:rsidR="00237CB3">
        <w:t xml:space="preserve"> occurs</w:t>
      </w:r>
      <w:r>
        <w:t xml:space="preserve">, by </w:t>
      </w:r>
      <w:r w:rsidR="00F278D7">
        <w:t xml:space="preserve">specifying that ‘first use’ </w:t>
      </w:r>
      <w:r w:rsidR="00FF1FAC">
        <w:t>starts when an</w:t>
      </w:r>
      <w:r w:rsidR="00237CB3">
        <w:t xml:space="preserve"> activity that is authorised by the mining right </w:t>
      </w:r>
      <w:r w:rsidR="00FF1FAC">
        <w:t>is</w:t>
      </w:r>
      <w:r w:rsidR="00237CB3">
        <w:t xml:space="preserve"> undertaken, and not just </w:t>
      </w:r>
      <w:r w:rsidR="00FF1FAC">
        <w:t xml:space="preserve">when </w:t>
      </w:r>
      <w:r w:rsidR="00237CB3">
        <w:t xml:space="preserve">the </w:t>
      </w:r>
      <w:r w:rsidR="00FF1FAC">
        <w:t>MQPR begins to be held</w:t>
      </w:r>
      <w:r w:rsidR="00237CB3">
        <w:t>.</w:t>
      </w:r>
    </w:p>
    <w:p w14:paraId="6D0909E4" w14:textId="62842D16" w:rsidR="00237CB3" w:rsidRDefault="00A65A84" w:rsidP="00237CB3">
      <w:pPr>
        <w:pStyle w:val="Dotpoint1"/>
      </w:pPr>
      <w:r>
        <w:t>Clarif</w:t>
      </w:r>
      <w:r w:rsidR="00BC5F57">
        <w:t>y</w:t>
      </w:r>
      <w:r w:rsidR="005E5751">
        <w:t xml:space="preserve"> that </w:t>
      </w:r>
      <w:r w:rsidR="00BB544C">
        <w:t>an</w:t>
      </w:r>
      <w:r w:rsidR="005E5751">
        <w:t xml:space="preserve"> </w:t>
      </w:r>
      <w:r w:rsidR="00237CB3">
        <w:t xml:space="preserve">income tax balancing adjustment </w:t>
      </w:r>
      <w:r w:rsidR="00DB4DB1">
        <w:t>do</w:t>
      </w:r>
      <w:r w:rsidR="00BB544C">
        <w:t>es</w:t>
      </w:r>
      <w:r w:rsidR="00DB4DB1">
        <w:t xml:space="preserve"> not </w:t>
      </w:r>
      <w:r w:rsidR="00237CB3">
        <w:t xml:space="preserve">occur </w:t>
      </w:r>
      <w:r w:rsidR="0087045C">
        <w:t xml:space="preserve">in relation </w:t>
      </w:r>
      <w:r w:rsidR="00237CB3">
        <w:t xml:space="preserve">to </w:t>
      </w:r>
      <w:r w:rsidR="0087045C">
        <w:t xml:space="preserve">a new </w:t>
      </w:r>
      <w:r w:rsidR="00DB4DB1">
        <w:t xml:space="preserve">MQPR </w:t>
      </w:r>
      <w:r w:rsidR="0060169C" w:rsidRPr="0060169C">
        <w:t>in</w:t>
      </w:r>
      <w:r w:rsidR="009308B3">
        <w:t xml:space="preserve"> </w:t>
      </w:r>
      <w:r w:rsidR="00997304">
        <w:t>circumstances</w:t>
      </w:r>
      <w:r w:rsidR="0060169C" w:rsidRPr="0060169C">
        <w:t xml:space="preserve"> where the new right</w:t>
      </w:r>
      <w:r w:rsidR="00E7506E">
        <w:t xml:space="preserve"> or rights</w:t>
      </w:r>
      <w:r w:rsidR="0060169C" w:rsidRPr="0060169C">
        <w:t xml:space="preserve"> </w:t>
      </w:r>
      <w:r w:rsidR="00E7506E">
        <w:t>are</w:t>
      </w:r>
      <w:r w:rsidR="00E7506E" w:rsidRPr="0060169C">
        <w:t xml:space="preserve"> </w:t>
      </w:r>
      <w:r w:rsidR="0060169C" w:rsidRPr="0060169C">
        <w:t xml:space="preserve">granted over an area that is merely a subset of the area governed by </w:t>
      </w:r>
      <w:r w:rsidR="00587FBB">
        <w:t>an existing</w:t>
      </w:r>
      <w:r w:rsidR="00587FBB" w:rsidRPr="0060169C">
        <w:t xml:space="preserve"> </w:t>
      </w:r>
      <w:r w:rsidR="0060169C" w:rsidRPr="0060169C">
        <w:t>MQPR.</w:t>
      </w:r>
    </w:p>
    <w:p w14:paraId="1D7B2AE5" w14:textId="77777777" w:rsidR="00873094" w:rsidRPr="00020288" w:rsidRDefault="00873094" w:rsidP="00873094">
      <w:pPr>
        <w:pStyle w:val="Heading2"/>
        <w:numPr>
          <w:ilvl w:val="1"/>
          <w:numId w:val="2"/>
        </w:numPr>
        <w:tabs>
          <w:tab w:val="num" w:pos="567"/>
        </w:tabs>
        <w:ind w:left="567" w:hanging="567"/>
      </w:pPr>
      <w:bookmarkStart w:id="48" w:name="_Toc152938597"/>
      <w:r w:rsidRPr="00020288">
        <w:lastRenderedPageBreak/>
        <w:t>Detailed explanation of new law</w:t>
      </w:r>
      <w:bookmarkEnd w:id="48"/>
    </w:p>
    <w:p w14:paraId="28DA2908" w14:textId="6476AE42" w:rsidR="005A73AE" w:rsidRDefault="009D59BB" w:rsidP="009D59BB">
      <w:pPr>
        <w:pStyle w:val="Heading6"/>
      </w:pPr>
      <w:r>
        <w:t>Clarifying ‘exploration for petroleum’ in the PRRTAA legislation</w:t>
      </w:r>
    </w:p>
    <w:p w14:paraId="000A1671" w14:textId="6265A85A" w:rsidR="00444509" w:rsidRDefault="000C1C72" w:rsidP="00873094">
      <w:pPr>
        <w:pStyle w:val="Normalparatextwithnumbers"/>
        <w:numPr>
          <w:ilvl w:val="1"/>
          <w:numId w:val="3"/>
        </w:numPr>
      </w:pPr>
      <w:r>
        <w:t>The amendments in the Bill</w:t>
      </w:r>
      <w:r w:rsidR="009F2DD7">
        <w:t xml:space="preserve"> clarify that </w:t>
      </w:r>
      <w:r w:rsidR="0083620A">
        <w:t xml:space="preserve">the meaning of the phrase </w:t>
      </w:r>
      <w:r w:rsidR="009F2DD7">
        <w:t xml:space="preserve">‘exploration for petroleum’ in paragraph 37(1)(a) of the PRRTAA is limited to the discovery and identification of the existence, </w:t>
      </w:r>
      <w:proofErr w:type="gramStart"/>
      <w:r w:rsidR="009F2DD7">
        <w:t>extent</w:t>
      </w:r>
      <w:proofErr w:type="gramEnd"/>
      <w:r w:rsidR="009F2DD7">
        <w:t xml:space="preserve"> and nature of petroleum</w:t>
      </w:r>
      <w:r w:rsidR="00762F39">
        <w:t>. Generally, this will include</w:t>
      </w:r>
      <w:r w:rsidR="009C671D">
        <w:t xml:space="preserve"> searching to discover </w:t>
      </w:r>
      <w:r w:rsidR="00762F39">
        <w:t>petroleum</w:t>
      </w:r>
      <w:r w:rsidR="009C671D">
        <w:t xml:space="preserve"> </w:t>
      </w:r>
      <w:r w:rsidR="00823659">
        <w:t>and</w:t>
      </w:r>
      <w:r w:rsidR="009C671D">
        <w:t xml:space="preserve"> the process of ascertaining the size of the discovery and appraising its physical characteristics</w:t>
      </w:r>
      <w:r w:rsidR="000D4561">
        <w:t>.</w:t>
      </w:r>
    </w:p>
    <w:p w14:paraId="6C8F456F" w14:textId="618E56FA" w:rsidR="001644E1" w:rsidRDefault="00B33C26" w:rsidP="00873094">
      <w:pPr>
        <w:pStyle w:val="Normalparatextwithnumbers"/>
        <w:numPr>
          <w:ilvl w:val="1"/>
          <w:numId w:val="3"/>
        </w:numPr>
      </w:pPr>
      <w:r>
        <w:t>The clarification does not define what ‘exploration for petroleum’ is</w:t>
      </w:r>
      <w:r w:rsidR="00970F44">
        <w:t>.</w:t>
      </w:r>
      <w:r>
        <w:t xml:space="preserve"> </w:t>
      </w:r>
      <w:r w:rsidR="00970F44">
        <w:t>R</w:t>
      </w:r>
      <w:r>
        <w:t>ather, activities engaged in for the purpose of determining</w:t>
      </w:r>
      <w:r w:rsidR="00A502C4" w:rsidRPr="00A502C4">
        <w:t xml:space="preserve"> </w:t>
      </w:r>
      <w:r w:rsidR="00A502C4">
        <w:t>how to recover petroleum or</w:t>
      </w:r>
      <w:r>
        <w:t xml:space="preserve"> whether the recovery of petroleum is commercially, economically, or technically viable are excluded for the purpose of paragraph 37(1)(a) of the PRRTAA. </w:t>
      </w:r>
    </w:p>
    <w:p w14:paraId="3887F69A" w14:textId="02A59D62" w:rsidR="00A01E59" w:rsidRDefault="00B33C26" w:rsidP="001644E1">
      <w:pPr>
        <w:pStyle w:val="Normalparatextwithnumbers"/>
        <w:numPr>
          <w:ilvl w:val="1"/>
          <w:numId w:val="3"/>
        </w:numPr>
      </w:pPr>
      <w:r>
        <w:t>‘Commercially viable’, ‘economically viable’ and ‘technically viable’ are not defined</w:t>
      </w:r>
      <w:r w:rsidR="001644E1">
        <w:t xml:space="preserve"> terms,</w:t>
      </w:r>
      <w:r>
        <w:t xml:space="preserve"> </w:t>
      </w:r>
      <w:r w:rsidR="001644E1">
        <w:t>t</w:t>
      </w:r>
      <w:r>
        <w:t>hey take on their ordinary meaning within the context of the PRRTAA.</w:t>
      </w:r>
      <w:r w:rsidR="001644E1">
        <w:t xml:space="preserve"> </w:t>
      </w:r>
      <w:r w:rsidR="000963F4">
        <w:t>However</w:t>
      </w:r>
      <w:r w:rsidR="000F6064">
        <w:t xml:space="preserve">, </w:t>
      </w:r>
      <w:r w:rsidR="009015E9">
        <w:t>the policy intention is</w:t>
      </w:r>
      <w:r w:rsidR="000657B5">
        <w:t xml:space="preserve"> to ensure that </w:t>
      </w:r>
      <w:r w:rsidR="00444509">
        <w:t xml:space="preserve">‘exploration for petroleum’ </w:t>
      </w:r>
      <w:r w:rsidR="009F2DD7">
        <w:t>does not extend to activities and feasibility studies directed at evaluating whether the resource is</w:t>
      </w:r>
      <w:r w:rsidR="00825023">
        <w:t xml:space="preserve"> </w:t>
      </w:r>
      <w:r w:rsidR="0024481C">
        <w:t>‘</w:t>
      </w:r>
      <w:r w:rsidR="009F2DD7">
        <w:t>commercially viable</w:t>
      </w:r>
      <w:r w:rsidR="0024481C">
        <w:t>’</w:t>
      </w:r>
      <w:r w:rsidR="00A01E59">
        <w:t>, or</w:t>
      </w:r>
      <w:r w:rsidR="00825023">
        <w:t xml:space="preserve"> </w:t>
      </w:r>
      <w:r w:rsidR="0024481C">
        <w:t>‘</w:t>
      </w:r>
      <w:r w:rsidR="00A01E59">
        <w:t>economically feasible</w:t>
      </w:r>
      <w:r w:rsidR="0024481C">
        <w:t>’</w:t>
      </w:r>
      <w:r w:rsidR="00A01E59">
        <w:t>, o</w:t>
      </w:r>
      <w:r w:rsidR="00825023">
        <w:t xml:space="preserve">r </w:t>
      </w:r>
      <w:r w:rsidR="0024481C">
        <w:t>‘</w:t>
      </w:r>
      <w:r w:rsidR="00A01E59">
        <w:t>technically feasible</w:t>
      </w:r>
      <w:r w:rsidR="001E7968">
        <w:t>’</w:t>
      </w:r>
      <w:r w:rsidR="0071729E">
        <w:t>,</w:t>
      </w:r>
      <w:r w:rsidR="001E7968">
        <w:t xml:space="preserve"> or how to recover petroleum</w:t>
      </w:r>
      <w:r w:rsidR="003354BD">
        <w:t xml:space="preserve">. These activities are not </w:t>
      </w:r>
      <w:r w:rsidR="00044A4A">
        <w:t>part of</w:t>
      </w:r>
      <w:r w:rsidR="00171248">
        <w:t>, or in connection with,</w:t>
      </w:r>
      <w:r w:rsidR="003354BD">
        <w:t xml:space="preserve"> the discovery and identification of the existence, </w:t>
      </w:r>
      <w:r w:rsidR="00D44D9F">
        <w:t>extent,</w:t>
      </w:r>
      <w:r w:rsidR="003354BD">
        <w:t xml:space="preserve"> and nature of petroleum.</w:t>
      </w:r>
    </w:p>
    <w:p w14:paraId="192945FF" w14:textId="39F1BDEB" w:rsidR="00873094" w:rsidRPr="0024481C" w:rsidRDefault="000464D9" w:rsidP="0024481C">
      <w:pPr>
        <w:pStyle w:val="Normalparatextwithnumbers"/>
        <w:rPr>
          <w:rStyle w:val="References"/>
          <w:b w:val="0"/>
          <w:bCs w:val="0"/>
          <w:i w:val="0"/>
          <w:iCs w:val="0"/>
        </w:rPr>
      </w:pPr>
      <w:r>
        <w:t>For the avoidance of doubt</w:t>
      </w:r>
      <w:r w:rsidR="00921263">
        <w:t>, feasibility and environmental studies and other preparatory activities may be ‘in connection with exploration for petroleum’ and therefore fall within paragraph 37(1)(a) of the PRRTAA</w:t>
      </w:r>
      <w:r w:rsidR="00210481">
        <w:t xml:space="preserve"> where there is a reasonably direct relationship between those </w:t>
      </w:r>
      <w:r w:rsidR="00892AE8">
        <w:t>things</w:t>
      </w:r>
      <w:r w:rsidR="00210481">
        <w:t xml:space="preserve"> and ‘exploration for petroleum’.</w:t>
      </w:r>
      <w:r w:rsidR="005C6886">
        <w:br/>
      </w:r>
      <w:r w:rsidR="005C6886" w:rsidRPr="005C6886">
        <w:rPr>
          <w:rStyle w:val="References"/>
        </w:rPr>
        <w:t xml:space="preserve">[Schedule </w:t>
      </w:r>
      <w:r w:rsidR="005C6886">
        <w:rPr>
          <w:rStyle w:val="References"/>
        </w:rPr>
        <w:t>#</w:t>
      </w:r>
      <w:r w:rsidR="005C6886" w:rsidRPr="005C6886">
        <w:rPr>
          <w:rStyle w:val="References"/>
        </w:rPr>
        <w:t xml:space="preserve">, </w:t>
      </w:r>
      <w:r w:rsidR="00C861B1">
        <w:rPr>
          <w:rStyle w:val="References"/>
        </w:rPr>
        <w:t xml:space="preserve">Part 2, </w:t>
      </w:r>
      <w:r w:rsidR="005C6886" w:rsidRPr="005C6886">
        <w:rPr>
          <w:rStyle w:val="References"/>
        </w:rPr>
        <w:t>item</w:t>
      </w:r>
      <w:r w:rsidR="005C6886">
        <w:rPr>
          <w:rStyle w:val="References"/>
        </w:rPr>
        <w:t xml:space="preserve"> </w:t>
      </w:r>
      <w:r w:rsidR="00C861B1">
        <w:rPr>
          <w:rStyle w:val="References"/>
        </w:rPr>
        <w:t>7</w:t>
      </w:r>
      <w:r w:rsidR="005C6886" w:rsidRPr="005C6886">
        <w:rPr>
          <w:rStyle w:val="References"/>
        </w:rPr>
        <w:t xml:space="preserve">, </w:t>
      </w:r>
      <w:r w:rsidR="008C0CC0">
        <w:rPr>
          <w:rStyle w:val="References"/>
        </w:rPr>
        <w:t>sub</w:t>
      </w:r>
      <w:r w:rsidR="005C6886">
        <w:rPr>
          <w:rStyle w:val="References"/>
        </w:rPr>
        <w:t>section</w:t>
      </w:r>
      <w:r w:rsidR="001B762C">
        <w:rPr>
          <w:rStyle w:val="References"/>
        </w:rPr>
        <w:t>s</w:t>
      </w:r>
      <w:r w:rsidR="005C6886">
        <w:rPr>
          <w:rStyle w:val="References"/>
        </w:rPr>
        <w:t xml:space="preserve"> </w:t>
      </w:r>
      <w:r w:rsidR="00B028FF">
        <w:rPr>
          <w:rStyle w:val="References"/>
        </w:rPr>
        <w:t>37</w:t>
      </w:r>
      <w:r w:rsidR="008C0CC0">
        <w:rPr>
          <w:rStyle w:val="References"/>
        </w:rPr>
        <w:t>(4)</w:t>
      </w:r>
      <w:r w:rsidR="001B762C">
        <w:rPr>
          <w:rStyle w:val="References"/>
        </w:rPr>
        <w:t>-(5)</w:t>
      </w:r>
      <w:r w:rsidR="00B028FF">
        <w:rPr>
          <w:rStyle w:val="References"/>
        </w:rPr>
        <w:t xml:space="preserve"> of the PRRTAA</w:t>
      </w:r>
      <w:r w:rsidR="005C6886" w:rsidRPr="005C6886">
        <w:rPr>
          <w:rStyle w:val="References"/>
        </w:rPr>
        <w:t xml:space="preserve">] </w:t>
      </w:r>
    </w:p>
    <w:p w14:paraId="7B0B20EB" w14:textId="0DCB72F1" w:rsidR="00E255C6" w:rsidRPr="00E255C6" w:rsidRDefault="00E255C6" w:rsidP="00E255C6">
      <w:pPr>
        <w:pStyle w:val="Heading6"/>
        <w:rPr>
          <w:rStyle w:val="References"/>
          <w:rFonts w:ascii="Helvetica" w:hAnsi="Helvetica" w:cs="Helvetica"/>
          <w:b w:val="0"/>
          <w:bCs w:val="0"/>
          <w:i/>
          <w:iCs w:val="0"/>
        </w:rPr>
      </w:pPr>
      <w:r>
        <w:rPr>
          <w:rStyle w:val="References"/>
          <w:rFonts w:ascii="Helvetica" w:hAnsi="Helvetica" w:cs="Helvetica"/>
          <w:b w:val="0"/>
          <w:bCs w:val="0"/>
          <w:i/>
          <w:iCs w:val="0"/>
        </w:rPr>
        <w:t xml:space="preserve">Clarifying ‘first use’ of </w:t>
      </w:r>
      <w:r w:rsidR="000D46EE" w:rsidRPr="000D46EE">
        <w:t>‘mining, quarrying and prospecting rights’</w:t>
      </w:r>
    </w:p>
    <w:p w14:paraId="6967E1D5" w14:textId="2FAB7E34" w:rsidR="00C06DAF" w:rsidRDefault="00173CB1" w:rsidP="00956526">
      <w:pPr>
        <w:pStyle w:val="Normalparatextwithnumbers"/>
        <w:numPr>
          <w:ilvl w:val="1"/>
          <w:numId w:val="3"/>
        </w:numPr>
      </w:pPr>
      <w:r>
        <w:rPr>
          <w:rStyle w:val="References"/>
          <w:b w:val="0"/>
          <w:bCs w:val="0"/>
          <w:i w:val="0"/>
          <w:iCs w:val="0"/>
        </w:rPr>
        <w:t xml:space="preserve">The amendments clarify that MQPRs that are depreciating assets start to decline in value from the time when the holder of the right </w:t>
      </w:r>
      <w:r w:rsidR="002E063D">
        <w:rPr>
          <w:rStyle w:val="References"/>
          <w:b w:val="0"/>
          <w:bCs w:val="0"/>
          <w:i w:val="0"/>
          <w:iCs w:val="0"/>
        </w:rPr>
        <w:t>engages in</w:t>
      </w:r>
      <w:r>
        <w:rPr>
          <w:rStyle w:val="References"/>
          <w:b w:val="0"/>
          <w:bCs w:val="0"/>
          <w:i w:val="0"/>
          <w:iCs w:val="0"/>
        </w:rPr>
        <w:t xml:space="preserve"> </w:t>
      </w:r>
      <w:r w:rsidR="002119A1">
        <w:rPr>
          <w:rStyle w:val="References"/>
          <w:b w:val="0"/>
          <w:bCs w:val="0"/>
          <w:i w:val="0"/>
          <w:iCs w:val="0"/>
        </w:rPr>
        <w:t xml:space="preserve">an </w:t>
      </w:r>
      <w:r w:rsidR="002E063D">
        <w:rPr>
          <w:rStyle w:val="References"/>
          <w:b w:val="0"/>
          <w:bCs w:val="0"/>
          <w:i w:val="0"/>
          <w:iCs w:val="0"/>
        </w:rPr>
        <w:t>activity</w:t>
      </w:r>
      <w:r>
        <w:rPr>
          <w:rStyle w:val="References"/>
          <w:b w:val="0"/>
          <w:bCs w:val="0"/>
          <w:i w:val="0"/>
          <w:iCs w:val="0"/>
        </w:rPr>
        <w:t xml:space="preserve"> that</w:t>
      </w:r>
      <w:r w:rsidR="002137F7">
        <w:rPr>
          <w:rStyle w:val="References"/>
          <w:b w:val="0"/>
          <w:bCs w:val="0"/>
          <w:i w:val="0"/>
          <w:iCs w:val="0"/>
        </w:rPr>
        <w:t xml:space="preserve"> involves exercising </w:t>
      </w:r>
      <w:r w:rsidR="006A36B3">
        <w:rPr>
          <w:rStyle w:val="References"/>
          <w:b w:val="0"/>
          <w:bCs w:val="0"/>
          <w:i w:val="0"/>
          <w:iCs w:val="0"/>
        </w:rPr>
        <w:t xml:space="preserve">one or more </w:t>
      </w:r>
      <w:r w:rsidR="002137F7">
        <w:rPr>
          <w:rStyle w:val="References"/>
          <w:b w:val="0"/>
          <w:bCs w:val="0"/>
          <w:i w:val="0"/>
          <w:iCs w:val="0"/>
        </w:rPr>
        <w:t xml:space="preserve">rights </w:t>
      </w:r>
      <w:r w:rsidR="0033352F">
        <w:rPr>
          <w:rStyle w:val="References"/>
          <w:b w:val="0"/>
          <w:bCs w:val="0"/>
          <w:i w:val="0"/>
          <w:iCs w:val="0"/>
        </w:rPr>
        <w:t xml:space="preserve">conferred by the asset. </w:t>
      </w:r>
      <w:r w:rsidR="0051358E">
        <w:rPr>
          <w:rStyle w:val="References"/>
          <w:b w:val="0"/>
          <w:bCs w:val="0"/>
          <w:i w:val="0"/>
          <w:iCs w:val="0"/>
        </w:rPr>
        <w:t>F</w:t>
      </w:r>
      <w:r w:rsidR="0051358E" w:rsidRPr="0051358E">
        <w:rPr>
          <w:rStyle w:val="References"/>
          <w:b w:val="0"/>
          <w:bCs w:val="0"/>
          <w:i w:val="0"/>
          <w:iCs w:val="0"/>
        </w:rPr>
        <w:t>or the purposes of the ‘days held’ requirement in paragraph 40</w:t>
      </w:r>
      <w:r w:rsidR="0051358E">
        <w:rPr>
          <w:rStyle w:val="References"/>
          <w:b w:val="0"/>
          <w:bCs w:val="0"/>
          <w:i w:val="0"/>
          <w:iCs w:val="0"/>
        </w:rPr>
        <w:noBreakHyphen/>
      </w:r>
      <w:r w:rsidR="0051358E" w:rsidRPr="0051358E">
        <w:rPr>
          <w:rStyle w:val="References"/>
          <w:b w:val="0"/>
          <w:bCs w:val="0"/>
          <w:i w:val="0"/>
          <w:iCs w:val="0"/>
        </w:rPr>
        <w:t>70(1)(b), where an MQPR has been first used by the holder exercising the rights conferred by the asset, then the decline in value is not paused merely because authorised activities are not undertaken on a daily basis.</w:t>
      </w:r>
    </w:p>
    <w:p w14:paraId="2C30CBBA" w14:textId="4B1452B3" w:rsidR="001E1B9E" w:rsidRPr="00D76657" w:rsidRDefault="00FD705F" w:rsidP="00956526">
      <w:pPr>
        <w:pStyle w:val="Normalparatextwithnumbers"/>
        <w:numPr>
          <w:ilvl w:val="1"/>
          <w:numId w:val="3"/>
        </w:numPr>
        <w:rPr>
          <w:rStyle w:val="References"/>
          <w:b w:val="0"/>
          <w:bCs w:val="0"/>
          <w:i w:val="0"/>
          <w:iCs w:val="0"/>
        </w:rPr>
      </w:pPr>
      <w:r>
        <w:t>The</w:t>
      </w:r>
      <w:r w:rsidR="001065ED">
        <w:t xml:space="preserve"> amendments </w:t>
      </w:r>
      <w:r w:rsidR="005A1C4D">
        <w:t>achieve</w:t>
      </w:r>
      <w:r w:rsidR="001065ED">
        <w:t xml:space="preserve"> the policy intent</w:t>
      </w:r>
      <w:r w:rsidR="005A1C4D">
        <w:t xml:space="preserve"> by deeming</w:t>
      </w:r>
      <w:r w:rsidR="00956526" w:rsidRPr="00D76657">
        <w:t xml:space="preserve"> all provisions in Division 40 that rely on the concept of “use”, when referring to using an MQPR, are </w:t>
      </w:r>
      <w:r w:rsidR="009D6075" w:rsidRPr="00D76657">
        <w:t xml:space="preserve">a reference to </w:t>
      </w:r>
      <w:r w:rsidR="00DE39D0" w:rsidRPr="00D76657">
        <w:t>engaging in activity that involves exercising rights conferred by the asset.</w:t>
      </w:r>
    </w:p>
    <w:p w14:paraId="322CFB63" w14:textId="1D6C6792" w:rsidR="008A46FD" w:rsidRDefault="001E1B9E" w:rsidP="001E1B9E">
      <w:pPr>
        <w:pStyle w:val="Normalparatextwithnumbers"/>
        <w:numPr>
          <w:ilvl w:val="1"/>
          <w:numId w:val="3"/>
        </w:numPr>
        <w:rPr>
          <w:rStyle w:val="References"/>
          <w:b w:val="0"/>
          <w:bCs w:val="0"/>
          <w:i w:val="0"/>
          <w:iCs w:val="0"/>
        </w:rPr>
      </w:pPr>
      <w:r>
        <w:rPr>
          <w:rStyle w:val="References"/>
          <w:b w:val="0"/>
          <w:bCs w:val="0"/>
          <w:i w:val="0"/>
          <w:iCs w:val="0"/>
        </w:rPr>
        <w:lastRenderedPageBreak/>
        <w:t xml:space="preserve">The policy outcome sought from these amendments is that the mere holding of an </w:t>
      </w:r>
      <w:r w:rsidR="005353A4">
        <w:rPr>
          <w:rStyle w:val="References"/>
          <w:b w:val="0"/>
          <w:bCs w:val="0"/>
          <w:i w:val="0"/>
          <w:iCs w:val="0"/>
        </w:rPr>
        <w:t xml:space="preserve">MQPR </w:t>
      </w:r>
      <w:r>
        <w:rPr>
          <w:rStyle w:val="References"/>
          <w:b w:val="0"/>
          <w:bCs w:val="0"/>
          <w:i w:val="0"/>
          <w:iCs w:val="0"/>
        </w:rPr>
        <w:t xml:space="preserve">without commencing activities authorised by the right (for example, relevant mining, quarrying and prospecting activities that are </w:t>
      </w:r>
      <w:r w:rsidR="00F8300A">
        <w:rPr>
          <w:rStyle w:val="References"/>
          <w:b w:val="0"/>
          <w:bCs w:val="0"/>
          <w:i w:val="0"/>
          <w:iCs w:val="0"/>
        </w:rPr>
        <w:t xml:space="preserve">authorised </w:t>
      </w:r>
      <w:r>
        <w:rPr>
          <w:rStyle w:val="References"/>
          <w:b w:val="0"/>
          <w:bCs w:val="0"/>
          <w:i w:val="0"/>
          <w:iCs w:val="0"/>
        </w:rPr>
        <w:t>by the right) is not enough to constitute ‘first use’ for the purpose of section 40-80.</w:t>
      </w:r>
    </w:p>
    <w:p w14:paraId="13DF686E" w14:textId="111BE1F4" w:rsidR="0033352F" w:rsidRPr="001E1B9E" w:rsidRDefault="00384957" w:rsidP="00DC34B2">
      <w:pPr>
        <w:pStyle w:val="Normalparatextwithnumbers"/>
        <w:rPr>
          <w:rStyle w:val="References"/>
          <w:b w:val="0"/>
          <w:bCs w:val="0"/>
          <w:i w:val="0"/>
          <w:iCs w:val="0"/>
        </w:rPr>
      </w:pPr>
      <w:r>
        <w:t xml:space="preserve">The activity that triggers the start time </w:t>
      </w:r>
      <w:r w:rsidR="004E6DAB">
        <w:t xml:space="preserve">may </w:t>
      </w:r>
      <w:r>
        <w:t xml:space="preserve">not necessarily be </w:t>
      </w:r>
      <w:r w:rsidR="00973DFB">
        <w:t>conducted</w:t>
      </w:r>
      <w:r>
        <w:t xml:space="preserve"> </w:t>
      </w:r>
      <w:r w:rsidR="000A5E56">
        <w:t>in</w:t>
      </w:r>
      <w:r>
        <w:t xml:space="preserve"> the area to which the MQPR relates</w:t>
      </w:r>
      <w:r w:rsidR="00F8300A">
        <w:t xml:space="preserve">, however, </w:t>
      </w:r>
      <w:r w:rsidR="00A26C9C">
        <w:t xml:space="preserve">that will </w:t>
      </w:r>
      <w:r w:rsidR="00F8300A">
        <w:t>often be the case</w:t>
      </w:r>
      <w:r w:rsidR="00DB1D8C">
        <w:t>.</w:t>
      </w:r>
      <w:r w:rsidR="00962CDF">
        <w:t xml:space="preserve"> Whether </w:t>
      </w:r>
      <w:r w:rsidR="00105742">
        <w:t xml:space="preserve">there is </w:t>
      </w:r>
      <w:r w:rsidR="00962CDF">
        <w:t xml:space="preserve">activity </w:t>
      </w:r>
      <w:r w:rsidR="00DB1D8C">
        <w:t xml:space="preserve">that </w:t>
      </w:r>
      <w:r w:rsidR="00A40EFB">
        <w:t xml:space="preserve">involves exercising rights conferred by the asset </w:t>
      </w:r>
      <w:r w:rsidR="00962CDF">
        <w:t>will</w:t>
      </w:r>
      <w:r>
        <w:t xml:space="preserve"> depend on the </w:t>
      </w:r>
      <w:r w:rsidR="00290551">
        <w:t xml:space="preserve">relevant facts and </w:t>
      </w:r>
      <w:r>
        <w:t>circumstances.</w:t>
      </w:r>
      <w:r w:rsidR="00F243AC">
        <w:rPr>
          <w:rStyle w:val="References"/>
          <w:i w:val="0"/>
          <w:iCs w:val="0"/>
        </w:rPr>
        <w:t xml:space="preserve"> </w:t>
      </w:r>
      <w:r w:rsidR="009B0C46">
        <w:rPr>
          <w:rStyle w:val="References"/>
          <w:b w:val="0"/>
          <w:bCs w:val="0"/>
          <w:i w:val="0"/>
          <w:iCs w:val="0"/>
        </w:rPr>
        <w:t>A</w:t>
      </w:r>
      <w:r w:rsidR="009B0C46" w:rsidRPr="009B0C46">
        <w:rPr>
          <w:rStyle w:val="References"/>
          <w:b w:val="0"/>
          <w:bCs w:val="0"/>
          <w:i w:val="0"/>
          <w:iCs w:val="0"/>
        </w:rPr>
        <w:t xml:space="preserve">ctivities that are </w:t>
      </w:r>
      <w:r w:rsidR="009B0C46">
        <w:rPr>
          <w:rStyle w:val="References"/>
          <w:b w:val="0"/>
          <w:bCs w:val="0"/>
          <w:i w:val="0"/>
          <w:iCs w:val="0"/>
        </w:rPr>
        <w:t>not</w:t>
      </w:r>
      <w:r w:rsidR="009B0C46" w:rsidRPr="009B0C46">
        <w:rPr>
          <w:rStyle w:val="References"/>
          <w:b w:val="0"/>
          <w:bCs w:val="0"/>
          <w:i w:val="0"/>
          <w:iCs w:val="0"/>
        </w:rPr>
        <w:t xml:space="preserve"> permitted nor authorised by the MQPR, or that you could </w:t>
      </w:r>
      <w:r w:rsidR="009B0C46">
        <w:rPr>
          <w:rStyle w:val="References"/>
          <w:b w:val="0"/>
          <w:bCs w:val="0"/>
          <w:i w:val="0"/>
          <w:iCs w:val="0"/>
        </w:rPr>
        <w:t xml:space="preserve">legally be </w:t>
      </w:r>
      <w:r w:rsidR="009B0C46" w:rsidRPr="009B0C46">
        <w:rPr>
          <w:rStyle w:val="References"/>
          <w:b w:val="0"/>
          <w:bCs w:val="0"/>
          <w:i w:val="0"/>
          <w:iCs w:val="0"/>
        </w:rPr>
        <w:t>undertake without holding the MQPR, are not a</w:t>
      </w:r>
      <w:r w:rsidR="0057303B">
        <w:rPr>
          <w:rStyle w:val="References"/>
          <w:b w:val="0"/>
          <w:bCs w:val="0"/>
          <w:i w:val="0"/>
          <w:iCs w:val="0"/>
        </w:rPr>
        <w:t>n</w:t>
      </w:r>
      <w:r w:rsidR="009B0C46" w:rsidRPr="009B0C46">
        <w:rPr>
          <w:rStyle w:val="References"/>
          <w:b w:val="0"/>
          <w:bCs w:val="0"/>
          <w:i w:val="0"/>
          <w:iCs w:val="0"/>
        </w:rPr>
        <w:t xml:space="preserve"> </w:t>
      </w:r>
      <w:r w:rsidR="009B0C46">
        <w:rPr>
          <w:rStyle w:val="References"/>
          <w:b w:val="0"/>
          <w:bCs w:val="0"/>
          <w:i w:val="0"/>
          <w:iCs w:val="0"/>
        </w:rPr>
        <w:t xml:space="preserve">intended to be a </w:t>
      </w:r>
      <w:r w:rsidR="009B0C46" w:rsidRPr="009B0C46">
        <w:rPr>
          <w:rStyle w:val="References"/>
          <w:b w:val="0"/>
          <w:bCs w:val="0"/>
          <w:i w:val="0"/>
          <w:iCs w:val="0"/>
        </w:rPr>
        <w:t>use of the MQPR.</w:t>
      </w:r>
      <w:r w:rsidR="009B0C46">
        <w:rPr>
          <w:rStyle w:val="References"/>
          <w:b w:val="0"/>
          <w:bCs w:val="0"/>
          <w:i w:val="0"/>
          <w:iCs w:val="0"/>
        </w:rPr>
        <w:t xml:space="preserve"> </w:t>
      </w:r>
      <w:r w:rsidR="002D2C0F">
        <w:rPr>
          <w:rStyle w:val="References"/>
          <w:b w:val="0"/>
          <w:bCs w:val="0"/>
          <w:i w:val="0"/>
          <w:iCs w:val="0"/>
        </w:rPr>
        <w:t>Additionally</w:t>
      </w:r>
      <w:r w:rsidR="00F243AC">
        <w:rPr>
          <w:rStyle w:val="References"/>
          <w:b w:val="0"/>
          <w:bCs w:val="0"/>
          <w:i w:val="0"/>
          <w:iCs w:val="0"/>
        </w:rPr>
        <w:t xml:space="preserve">, </w:t>
      </w:r>
      <w:r w:rsidR="00007BFC">
        <w:t xml:space="preserve">activities that </w:t>
      </w:r>
      <w:r w:rsidR="002D2C0F">
        <w:t>are merely</w:t>
      </w:r>
      <w:r w:rsidR="00007BFC">
        <w:t xml:space="preserve"> incidental, </w:t>
      </w:r>
      <w:r w:rsidR="006C2CF2">
        <w:t>accidental,</w:t>
      </w:r>
      <w:r w:rsidR="00007BFC">
        <w:t xml:space="preserve"> or irrelevant to other activities </w:t>
      </w:r>
      <w:r w:rsidR="002D2C0F">
        <w:t xml:space="preserve">that are </w:t>
      </w:r>
      <w:r w:rsidR="00007BFC">
        <w:t xml:space="preserve">permitted by the MQPR will ordinarily be </w:t>
      </w:r>
      <w:r w:rsidR="00DC34B2">
        <w:t xml:space="preserve">of a </w:t>
      </w:r>
      <w:r w:rsidR="00007BFC">
        <w:t>de minimis or trivial</w:t>
      </w:r>
      <w:r w:rsidR="00D176DD">
        <w:t xml:space="preserve"> </w:t>
      </w:r>
      <w:r w:rsidR="009202D9">
        <w:t>nature</w:t>
      </w:r>
      <w:r w:rsidR="002D2C0F">
        <w:t xml:space="preserve">, </w:t>
      </w:r>
      <w:r w:rsidR="00D176DD">
        <w:t>and thus not a ‘use’ of the MQPR</w:t>
      </w:r>
      <w:r w:rsidR="00DC34B2">
        <w:t>.</w:t>
      </w:r>
      <w:r w:rsidR="009202D9">
        <w:rPr>
          <w:rStyle w:val="FootnoteReference"/>
        </w:rPr>
        <w:footnoteReference w:id="2"/>
      </w:r>
      <w:r w:rsidR="00854ECD">
        <w:rPr>
          <w:rStyle w:val="References"/>
        </w:rPr>
        <w:br/>
      </w:r>
      <w:r w:rsidR="00A6576D" w:rsidRPr="00F62812">
        <w:rPr>
          <w:rStyle w:val="References"/>
        </w:rPr>
        <w:t xml:space="preserve">[Schedule </w:t>
      </w:r>
      <w:r w:rsidR="00A6576D">
        <w:rPr>
          <w:rStyle w:val="References"/>
        </w:rPr>
        <w:t>#</w:t>
      </w:r>
      <w:r w:rsidR="00A6576D" w:rsidRPr="00F62812">
        <w:rPr>
          <w:rStyle w:val="References"/>
        </w:rPr>
        <w:t>,</w:t>
      </w:r>
      <w:r w:rsidR="001156B5">
        <w:rPr>
          <w:rStyle w:val="References"/>
        </w:rPr>
        <w:t xml:space="preserve"> Part 1,</w:t>
      </w:r>
      <w:r w:rsidR="00A6576D" w:rsidRPr="00F62812">
        <w:rPr>
          <w:rStyle w:val="References"/>
        </w:rPr>
        <w:t xml:space="preserve"> item</w:t>
      </w:r>
      <w:r w:rsidR="00A6576D">
        <w:rPr>
          <w:rStyle w:val="References"/>
        </w:rPr>
        <w:t xml:space="preserve"> </w:t>
      </w:r>
      <w:r w:rsidR="00C861B1">
        <w:rPr>
          <w:rStyle w:val="References"/>
        </w:rPr>
        <w:t>2</w:t>
      </w:r>
      <w:r w:rsidR="00A6576D" w:rsidRPr="00F62812">
        <w:rPr>
          <w:rStyle w:val="References"/>
        </w:rPr>
        <w:t xml:space="preserve">, </w:t>
      </w:r>
      <w:r w:rsidR="004E2FC0">
        <w:rPr>
          <w:rStyle w:val="References"/>
        </w:rPr>
        <w:t>sub</w:t>
      </w:r>
      <w:r w:rsidR="00A6576D">
        <w:rPr>
          <w:rStyle w:val="References"/>
        </w:rPr>
        <w:t>section 40-42</w:t>
      </w:r>
      <w:r w:rsidR="004E2FC0">
        <w:rPr>
          <w:rStyle w:val="References"/>
        </w:rPr>
        <w:t>(1)</w:t>
      </w:r>
      <w:r w:rsidR="00A6576D">
        <w:rPr>
          <w:rStyle w:val="References"/>
        </w:rPr>
        <w:t xml:space="preserve"> of the ITAA 1997</w:t>
      </w:r>
      <w:r w:rsidR="00A6576D" w:rsidRPr="00F62812">
        <w:rPr>
          <w:rStyle w:val="References"/>
        </w:rPr>
        <w:t>]</w:t>
      </w:r>
    </w:p>
    <w:p w14:paraId="4D7D1498" w14:textId="3BFCF7AB" w:rsidR="003920F5" w:rsidRDefault="00192127" w:rsidP="003920F5">
      <w:pPr>
        <w:pStyle w:val="Normalparatextwithnumbers"/>
        <w:numPr>
          <w:ilvl w:val="1"/>
          <w:numId w:val="3"/>
        </w:numPr>
        <w:rPr>
          <w:rStyle w:val="References"/>
          <w:b w:val="0"/>
          <w:bCs w:val="0"/>
          <w:i w:val="0"/>
          <w:iCs w:val="0"/>
        </w:rPr>
      </w:pPr>
      <w:r>
        <w:rPr>
          <w:rStyle w:val="References"/>
          <w:b w:val="0"/>
          <w:bCs w:val="0"/>
          <w:i w:val="0"/>
          <w:iCs w:val="0"/>
        </w:rPr>
        <w:t xml:space="preserve">The </w:t>
      </w:r>
      <w:r w:rsidR="00CB7B6C">
        <w:rPr>
          <w:rStyle w:val="References"/>
          <w:b w:val="0"/>
          <w:bCs w:val="0"/>
          <w:i w:val="0"/>
          <w:iCs w:val="0"/>
        </w:rPr>
        <w:t>amendments</w:t>
      </w:r>
      <w:r w:rsidR="005E388C">
        <w:rPr>
          <w:rStyle w:val="References"/>
          <w:b w:val="0"/>
          <w:bCs w:val="0"/>
          <w:i w:val="0"/>
          <w:iCs w:val="0"/>
        </w:rPr>
        <w:t xml:space="preserve"> in </w:t>
      </w:r>
      <w:r w:rsidR="00AF270F">
        <w:rPr>
          <w:rStyle w:val="References"/>
          <w:b w:val="0"/>
          <w:bCs w:val="0"/>
          <w:i w:val="0"/>
          <w:iCs w:val="0"/>
        </w:rPr>
        <w:t xml:space="preserve">subsection </w:t>
      </w:r>
      <w:r w:rsidR="005E388C">
        <w:rPr>
          <w:rStyle w:val="References"/>
          <w:b w:val="0"/>
          <w:bCs w:val="0"/>
          <w:i w:val="0"/>
          <w:iCs w:val="0"/>
        </w:rPr>
        <w:t>40</w:t>
      </w:r>
      <w:r w:rsidR="005E388C">
        <w:rPr>
          <w:rStyle w:val="References"/>
          <w:b w:val="0"/>
          <w:bCs w:val="0"/>
          <w:i w:val="0"/>
          <w:iCs w:val="0"/>
        </w:rPr>
        <w:noBreakHyphen/>
        <w:t>42</w:t>
      </w:r>
      <w:r w:rsidR="00AF270F">
        <w:rPr>
          <w:rStyle w:val="References"/>
          <w:b w:val="0"/>
          <w:bCs w:val="0"/>
          <w:i w:val="0"/>
          <w:iCs w:val="0"/>
        </w:rPr>
        <w:t>(1)</w:t>
      </w:r>
      <w:r w:rsidR="005E388C">
        <w:rPr>
          <w:rStyle w:val="References"/>
          <w:b w:val="0"/>
          <w:bCs w:val="0"/>
          <w:i w:val="0"/>
          <w:iCs w:val="0"/>
        </w:rPr>
        <w:t xml:space="preserve"> </w:t>
      </w:r>
      <w:r w:rsidR="00191A58">
        <w:rPr>
          <w:rStyle w:val="References"/>
          <w:b w:val="0"/>
          <w:bCs w:val="0"/>
          <w:i w:val="0"/>
          <w:iCs w:val="0"/>
        </w:rPr>
        <w:t xml:space="preserve">relate to assets that </w:t>
      </w:r>
      <w:r>
        <w:rPr>
          <w:rStyle w:val="References"/>
          <w:b w:val="0"/>
          <w:bCs w:val="0"/>
          <w:i w:val="0"/>
          <w:iCs w:val="0"/>
        </w:rPr>
        <w:t>are interest</w:t>
      </w:r>
      <w:r w:rsidR="00715803">
        <w:rPr>
          <w:rStyle w:val="References"/>
          <w:b w:val="0"/>
          <w:bCs w:val="0"/>
          <w:i w:val="0"/>
          <w:iCs w:val="0"/>
        </w:rPr>
        <w:t>s</w:t>
      </w:r>
      <w:r>
        <w:rPr>
          <w:rStyle w:val="References"/>
          <w:b w:val="0"/>
          <w:bCs w:val="0"/>
          <w:i w:val="0"/>
          <w:iCs w:val="0"/>
        </w:rPr>
        <w:t xml:space="preserve"> </w:t>
      </w:r>
      <w:r w:rsidR="000E6B16">
        <w:rPr>
          <w:rStyle w:val="References"/>
          <w:b w:val="0"/>
          <w:bCs w:val="0"/>
          <w:i w:val="0"/>
          <w:iCs w:val="0"/>
        </w:rPr>
        <w:t>described in</w:t>
      </w:r>
      <w:r w:rsidR="00323B1B">
        <w:rPr>
          <w:rStyle w:val="References"/>
          <w:b w:val="0"/>
          <w:bCs w:val="0"/>
          <w:i w:val="0"/>
          <w:iCs w:val="0"/>
        </w:rPr>
        <w:t xml:space="preserve"> </w:t>
      </w:r>
      <w:r w:rsidR="00366509">
        <w:rPr>
          <w:rStyle w:val="References"/>
          <w:b w:val="0"/>
          <w:bCs w:val="0"/>
          <w:i w:val="0"/>
          <w:iCs w:val="0"/>
        </w:rPr>
        <w:t>paragraphs (a),</w:t>
      </w:r>
      <w:r w:rsidR="004662F7">
        <w:rPr>
          <w:rStyle w:val="References"/>
          <w:b w:val="0"/>
          <w:bCs w:val="0"/>
          <w:i w:val="0"/>
          <w:iCs w:val="0"/>
        </w:rPr>
        <w:t xml:space="preserve"> </w:t>
      </w:r>
      <w:r w:rsidR="00366509">
        <w:rPr>
          <w:rStyle w:val="References"/>
          <w:b w:val="0"/>
          <w:bCs w:val="0"/>
          <w:i w:val="0"/>
          <w:iCs w:val="0"/>
        </w:rPr>
        <w:t>(b) or (d) of the definition of MQPR in subsection</w:t>
      </w:r>
      <w:r w:rsidR="009C6132">
        <w:rPr>
          <w:rStyle w:val="References"/>
          <w:b w:val="0"/>
          <w:bCs w:val="0"/>
          <w:i w:val="0"/>
          <w:iCs w:val="0"/>
        </w:rPr>
        <w:t> </w:t>
      </w:r>
      <w:r w:rsidR="00366509">
        <w:rPr>
          <w:rStyle w:val="References"/>
          <w:b w:val="0"/>
          <w:bCs w:val="0"/>
          <w:i w:val="0"/>
          <w:iCs w:val="0"/>
        </w:rPr>
        <w:t>995-1(1).</w:t>
      </w:r>
      <w:r>
        <w:rPr>
          <w:rStyle w:val="References"/>
          <w:b w:val="0"/>
          <w:bCs w:val="0"/>
          <w:i w:val="0"/>
          <w:iCs w:val="0"/>
        </w:rPr>
        <w:t xml:space="preserve"> </w:t>
      </w:r>
      <w:r w:rsidR="00C61B5C">
        <w:rPr>
          <w:rStyle w:val="References"/>
          <w:b w:val="0"/>
          <w:bCs w:val="0"/>
          <w:i w:val="0"/>
          <w:iCs w:val="0"/>
        </w:rPr>
        <w:t xml:space="preserve">If the asset is an interest covered by </w:t>
      </w:r>
      <w:r w:rsidR="00B9242D">
        <w:rPr>
          <w:rStyle w:val="References"/>
          <w:b w:val="0"/>
          <w:bCs w:val="0"/>
          <w:i w:val="0"/>
          <w:iCs w:val="0"/>
        </w:rPr>
        <w:t>paragraph (c)</w:t>
      </w:r>
      <w:r w:rsidR="00ED72C1" w:rsidRPr="00ED72C1">
        <w:rPr>
          <w:rStyle w:val="References"/>
          <w:b w:val="0"/>
          <w:bCs w:val="0"/>
          <w:i w:val="0"/>
          <w:iCs w:val="0"/>
        </w:rPr>
        <w:t xml:space="preserve"> </w:t>
      </w:r>
      <w:r w:rsidR="00ED72C1">
        <w:rPr>
          <w:rStyle w:val="References"/>
          <w:b w:val="0"/>
          <w:bCs w:val="0"/>
          <w:i w:val="0"/>
          <w:iCs w:val="0"/>
        </w:rPr>
        <w:t xml:space="preserve">of </w:t>
      </w:r>
      <w:r w:rsidR="005E388C">
        <w:rPr>
          <w:rStyle w:val="References"/>
          <w:b w:val="0"/>
          <w:bCs w:val="0"/>
          <w:i w:val="0"/>
          <w:iCs w:val="0"/>
        </w:rPr>
        <w:t>that definition</w:t>
      </w:r>
      <w:r w:rsidR="00B9242D">
        <w:rPr>
          <w:rStyle w:val="References"/>
          <w:b w:val="0"/>
          <w:bCs w:val="0"/>
          <w:i w:val="0"/>
          <w:iCs w:val="0"/>
        </w:rPr>
        <w:t>,</w:t>
      </w:r>
      <w:r w:rsidR="007121B8">
        <w:rPr>
          <w:rStyle w:val="References"/>
          <w:b w:val="0"/>
          <w:bCs w:val="0"/>
          <w:i w:val="0"/>
          <w:iCs w:val="0"/>
        </w:rPr>
        <w:t xml:space="preserve"> </w:t>
      </w:r>
      <w:r w:rsidR="00AF270F">
        <w:rPr>
          <w:rStyle w:val="References"/>
          <w:b w:val="0"/>
          <w:bCs w:val="0"/>
          <w:i w:val="0"/>
          <w:iCs w:val="0"/>
        </w:rPr>
        <w:t>then under subsection 40</w:t>
      </w:r>
      <w:r w:rsidR="00AF270F">
        <w:rPr>
          <w:rStyle w:val="References"/>
          <w:b w:val="0"/>
          <w:bCs w:val="0"/>
          <w:i w:val="0"/>
          <w:iCs w:val="0"/>
        </w:rPr>
        <w:noBreakHyphen/>
        <w:t xml:space="preserve">42(1) </w:t>
      </w:r>
      <w:r w:rsidR="00C61B5C">
        <w:rPr>
          <w:rStyle w:val="References"/>
          <w:b w:val="0"/>
          <w:bCs w:val="0"/>
          <w:i w:val="0"/>
          <w:iCs w:val="0"/>
        </w:rPr>
        <w:t xml:space="preserve">the relevant rights conferred by the assets are the </w:t>
      </w:r>
      <w:r w:rsidR="00691CB0">
        <w:rPr>
          <w:rStyle w:val="References"/>
          <w:b w:val="0"/>
          <w:bCs w:val="0"/>
          <w:i w:val="0"/>
          <w:iCs w:val="0"/>
        </w:rPr>
        <w:t>rights conferred by the authority, licence, permit, right or lease referred in paragraph (c) of that definition.</w:t>
      </w:r>
      <w:r w:rsidR="009F5473">
        <w:rPr>
          <w:rStyle w:val="References"/>
          <w:b w:val="0"/>
          <w:bCs w:val="0"/>
          <w:i w:val="0"/>
          <w:iCs w:val="0"/>
        </w:rPr>
        <w:t xml:space="preserve"> </w:t>
      </w:r>
      <w:r w:rsidR="002C3438">
        <w:rPr>
          <w:rStyle w:val="References"/>
          <w:b w:val="0"/>
          <w:bCs w:val="0"/>
          <w:i w:val="0"/>
          <w:iCs w:val="0"/>
        </w:rPr>
        <w:t>Such exercise of rights</w:t>
      </w:r>
      <w:r w:rsidR="009F5473">
        <w:rPr>
          <w:rStyle w:val="References"/>
          <w:b w:val="0"/>
          <w:bCs w:val="0"/>
          <w:i w:val="0"/>
          <w:iCs w:val="0"/>
        </w:rPr>
        <w:t xml:space="preserve"> </w:t>
      </w:r>
      <w:r w:rsidR="002C3438">
        <w:rPr>
          <w:rStyle w:val="References"/>
          <w:b w:val="0"/>
          <w:bCs w:val="0"/>
          <w:i w:val="0"/>
          <w:iCs w:val="0"/>
        </w:rPr>
        <w:t>does not include the exercise of rights under any joint venture agreement in relation to the MQPR</w:t>
      </w:r>
      <w:r w:rsidR="0080178B">
        <w:rPr>
          <w:rStyle w:val="References"/>
          <w:b w:val="0"/>
          <w:bCs w:val="0"/>
          <w:i w:val="0"/>
          <w:iCs w:val="0"/>
        </w:rPr>
        <w:t>.</w:t>
      </w:r>
      <w:r w:rsidR="004E2FC0">
        <w:rPr>
          <w:rStyle w:val="References"/>
          <w:b w:val="0"/>
          <w:bCs w:val="0"/>
          <w:i w:val="0"/>
          <w:iCs w:val="0"/>
        </w:rPr>
        <w:br/>
      </w:r>
      <w:r w:rsidR="004E2FC0" w:rsidRPr="004E2FC0">
        <w:rPr>
          <w:rStyle w:val="References"/>
        </w:rPr>
        <w:t>[</w:t>
      </w:r>
      <w:r w:rsidR="004E2FC0" w:rsidRPr="00F62812">
        <w:rPr>
          <w:rStyle w:val="References"/>
        </w:rPr>
        <w:t xml:space="preserve">Schedule </w:t>
      </w:r>
      <w:r w:rsidR="004E2FC0">
        <w:rPr>
          <w:rStyle w:val="References"/>
        </w:rPr>
        <w:t>#</w:t>
      </w:r>
      <w:r w:rsidR="004E2FC0" w:rsidRPr="00F62812">
        <w:rPr>
          <w:rStyle w:val="References"/>
        </w:rPr>
        <w:t>,</w:t>
      </w:r>
      <w:r w:rsidR="004E2FC0">
        <w:rPr>
          <w:rStyle w:val="References"/>
        </w:rPr>
        <w:t xml:space="preserve"> Part 1,</w:t>
      </w:r>
      <w:r w:rsidR="004E2FC0" w:rsidRPr="00F62812">
        <w:rPr>
          <w:rStyle w:val="References"/>
        </w:rPr>
        <w:t xml:space="preserve"> item</w:t>
      </w:r>
      <w:r w:rsidR="004E2FC0">
        <w:rPr>
          <w:rStyle w:val="References"/>
        </w:rPr>
        <w:t xml:space="preserve"> </w:t>
      </w:r>
      <w:r w:rsidR="009908ED">
        <w:rPr>
          <w:rStyle w:val="References"/>
        </w:rPr>
        <w:t>2</w:t>
      </w:r>
      <w:r w:rsidR="004E2FC0" w:rsidRPr="00F62812">
        <w:rPr>
          <w:rStyle w:val="References"/>
        </w:rPr>
        <w:t xml:space="preserve">, </w:t>
      </w:r>
      <w:r w:rsidR="004E2FC0">
        <w:rPr>
          <w:rStyle w:val="References"/>
        </w:rPr>
        <w:t>subsection 40-42(2) of the ITAA 1997</w:t>
      </w:r>
      <w:r w:rsidR="004E2FC0" w:rsidRPr="004E2FC0">
        <w:rPr>
          <w:rStyle w:val="References"/>
        </w:rPr>
        <w:t xml:space="preserve">] </w:t>
      </w:r>
    </w:p>
    <w:p w14:paraId="44A3D2D2" w14:textId="030C8E57" w:rsidR="00677150" w:rsidRDefault="00D4538D" w:rsidP="003920F5">
      <w:pPr>
        <w:pStyle w:val="Normalparatextwithnumbers"/>
        <w:numPr>
          <w:ilvl w:val="1"/>
          <w:numId w:val="3"/>
        </w:numPr>
      </w:pPr>
      <w:r>
        <w:t>Further, t</w:t>
      </w:r>
      <w:r w:rsidR="00677150">
        <w:t xml:space="preserve">he definition </w:t>
      </w:r>
      <w:r w:rsidR="00381333">
        <w:t xml:space="preserve">of </w:t>
      </w:r>
      <w:r w:rsidR="00AA0719">
        <w:t>‘installed ready for use’</w:t>
      </w:r>
      <w:r w:rsidR="00381333">
        <w:t xml:space="preserve"> in subsection 995</w:t>
      </w:r>
      <w:r w:rsidR="00381333">
        <w:noBreakHyphen/>
        <w:t xml:space="preserve">1(1) is </w:t>
      </w:r>
      <w:r w:rsidR="002B6A6D">
        <w:t>clarified</w:t>
      </w:r>
      <w:r w:rsidR="00AA0719">
        <w:t xml:space="preserve"> as it applies to MQPR</w:t>
      </w:r>
      <w:r w:rsidR="00F56B9C">
        <w:t xml:space="preserve"> and </w:t>
      </w:r>
      <w:r w:rsidR="002B6A6D">
        <w:t>these amendments</w:t>
      </w:r>
      <w:r w:rsidR="00F56B9C">
        <w:t xml:space="preserve"> make </w:t>
      </w:r>
      <w:r w:rsidR="00AA0719">
        <w:t xml:space="preserve">it </w:t>
      </w:r>
      <w:r w:rsidR="00F56B9C">
        <w:t>clear that an MQPR cannot be ‘installed ready for use’.</w:t>
      </w:r>
      <w:r w:rsidR="002B5444">
        <w:br/>
      </w:r>
      <w:r w:rsidR="002B5444" w:rsidRPr="002B5444">
        <w:rPr>
          <w:rStyle w:val="References"/>
        </w:rPr>
        <w:t xml:space="preserve">[Schedule </w:t>
      </w:r>
      <w:r w:rsidR="002B5444">
        <w:rPr>
          <w:rStyle w:val="References"/>
        </w:rPr>
        <w:t>#</w:t>
      </w:r>
      <w:r w:rsidR="002B5444" w:rsidRPr="002B5444">
        <w:rPr>
          <w:rStyle w:val="References"/>
        </w:rPr>
        <w:t>,</w:t>
      </w:r>
      <w:r w:rsidR="002B5444">
        <w:rPr>
          <w:rStyle w:val="References"/>
        </w:rPr>
        <w:t xml:space="preserve"> Part 1,</w:t>
      </w:r>
      <w:r w:rsidR="002B5444" w:rsidRPr="002B5444">
        <w:rPr>
          <w:rStyle w:val="References"/>
        </w:rPr>
        <w:t xml:space="preserve"> item</w:t>
      </w:r>
      <w:r w:rsidR="002B5444">
        <w:rPr>
          <w:rStyle w:val="References"/>
        </w:rPr>
        <w:t xml:space="preserve"> </w:t>
      </w:r>
      <w:r w:rsidR="009908ED">
        <w:rPr>
          <w:rStyle w:val="References"/>
        </w:rPr>
        <w:t>5</w:t>
      </w:r>
      <w:r w:rsidR="002B5444" w:rsidRPr="002B5444">
        <w:rPr>
          <w:rStyle w:val="References"/>
        </w:rPr>
        <w:t xml:space="preserve">, </w:t>
      </w:r>
      <w:r w:rsidR="002B5444">
        <w:rPr>
          <w:rStyle w:val="References"/>
        </w:rPr>
        <w:t>subsection 995-1(1) of the ITAA 1997</w:t>
      </w:r>
      <w:r w:rsidR="002B5444" w:rsidRPr="002B5444">
        <w:rPr>
          <w:rStyle w:val="References"/>
        </w:rPr>
        <w:t xml:space="preserve">] </w:t>
      </w:r>
    </w:p>
    <w:p w14:paraId="3CA6E261" w14:textId="20A4FAD9" w:rsidR="000D46EE" w:rsidRDefault="000D46EE" w:rsidP="000D46EE">
      <w:pPr>
        <w:pStyle w:val="Heading6"/>
      </w:pPr>
      <w:r w:rsidRPr="000D46EE">
        <w:t>Clarify</w:t>
      </w:r>
      <w:r w:rsidR="00815B78">
        <w:t>ing</w:t>
      </w:r>
      <w:r w:rsidRPr="000D46EE">
        <w:t xml:space="preserve"> when income tax balancing adjustments occur to ‘mining, quarrying and prospecting rights’</w:t>
      </w:r>
    </w:p>
    <w:p w14:paraId="7E25A4DD" w14:textId="248F7E39" w:rsidR="000D46EE" w:rsidRDefault="00C423CB" w:rsidP="003920F5">
      <w:pPr>
        <w:pStyle w:val="Normalparatextwithnumbers"/>
        <w:numPr>
          <w:ilvl w:val="1"/>
          <w:numId w:val="3"/>
        </w:numPr>
      </w:pPr>
      <w:r>
        <w:t>The Bill</w:t>
      </w:r>
      <w:r w:rsidR="00F8493A">
        <w:t xml:space="preserve"> amends </w:t>
      </w:r>
      <w:r w:rsidR="0040493A">
        <w:t>sub</w:t>
      </w:r>
      <w:r w:rsidR="00F8493A">
        <w:t>section 40-30</w:t>
      </w:r>
      <w:r w:rsidR="0040493A">
        <w:t>(6)</w:t>
      </w:r>
      <w:r w:rsidR="00F8493A">
        <w:t xml:space="preserve"> so that a balancing adjustment event does not occur in relation to a new MQPR and that the new MQPR is</w:t>
      </w:r>
      <w:r w:rsidR="00076EC1">
        <w:t xml:space="preserve"> treated for the purposes of Division 40 as being a continuation of the old MQPR, in relation to cases where </w:t>
      </w:r>
      <w:r w:rsidR="00B1700A">
        <w:t xml:space="preserve">a </w:t>
      </w:r>
      <w:r w:rsidR="00076EC1">
        <w:t>new right</w:t>
      </w:r>
      <w:r w:rsidR="00B1700A">
        <w:t xml:space="preserve"> or rights</w:t>
      </w:r>
      <w:r w:rsidR="00076EC1">
        <w:t xml:space="preserve"> </w:t>
      </w:r>
      <w:r w:rsidR="00B1700A">
        <w:t xml:space="preserve">are </w:t>
      </w:r>
      <w:r w:rsidR="00076EC1">
        <w:t xml:space="preserve">granted over an area that is merely a subset of the area governed by </w:t>
      </w:r>
      <w:r w:rsidR="00B1700A">
        <w:t xml:space="preserve">an </w:t>
      </w:r>
      <w:r w:rsidR="00CD1688">
        <w:t>old</w:t>
      </w:r>
      <w:r w:rsidR="00076EC1">
        <w:t xml:space="preserve"> MQPR.</w:t>
      </w:r>
    </w:p>
    <w:p w14:paraId="503FDFE0" w14:textId="3AB72CF8" w:rsidR="00DC2D30" w:rsidRDefault="00ED7E2F" w:rsidP="00ED7E2F">
      <w:pPr>
        <w:pStyle w:val="Normalparatextwithnumbers"/>
      </w:pPr>
      <w:r>
        <w:t xml:space="preserve">The purpose of subsection 40-30(6) is to deal with conversion cases, </w:t>
      </w:r>
      <w:r w:rsidR="000F6DC0" w:rsidRPr="000F6DC0">
        <w:t xml:space="preserve">for example, the conversion of an </w:t>
      </w:r>
      <w:r w:rsidR="009C25BB">
        <w:t xml:space="preserve">area covered by an </w:t>
      </w:r>
      <w:r w:rsidR="000F6DC0" w:rsidRPr="000F6DC0">
        <w:t>exploration permit to a Production License</w:t>
      </w:r>
      <w:r w:rsidR="009C25BB">
        <w:t xml:space="preserve">. However, depending on the circumstances, </w:t>
      </w:r>
      <w:r w:rsidR="0017187C">
        <w:t xml:space="preserve">the area </w:t>
      </w:r>
      <w:r w:rsidR="0017187C">
        <w:lastRenderedPageBreak/>
        <w:t xml:space="preserve">covered by </w:t>
      </w:r>
      <w:r w:rsidR="000F6DC0" w:rsidRPr="000F6DC0">
        <w:t>the new right</w:t>
      </w:r>
      <w:r w:rsidR="0017187C">
        <w:t xml:space="preserve"> or rights</w:t>
      </w:r>
      <w:r w:rsidR="000F6DC0" w:rsidRPr="000F6DC0">
        <w:t xml:space="preserve"> </w:t>
      </w:r>
      <w:r w:rsidR="0017187C">
        <w:t>may</w:t>
      </w:r>
      <w:r w:rsidR="0017187C" w:rsidRPr="000F6DC0">
        <w:t xml:space="preserve"> </w:t>
      </w:r>
      <w:r w:rsidR="000F6DC0" w:rsidRPr="000F6DC0">
        <w:t xml:space="preserve">not </w:t>
      </w:r>
      <w:r w:rsidR="0017187C">
        <w:t>necessarily be the same area covered by</w:t>
      </w:r>
      <w:r w:rsidR="000F6DC0" w:rsidRPr="000F6DC0">
        <w:t xml:space="preserve"> the old right </w:t>
      </w:r>
      <w:r w:rsidR="00C80964">
        <w:t xml:space="preserve">and </w:t>
      </w:r>
      <w:r w:rsidR="008D1B41">
        <w:t xml:space="preserve">any </w:t>
      </w:r>
      <w:r w:rsidR="00C80964">
        <w:t>difference in area could be significant</w:t>
      </w:r>
      <w:r w:rsidR="0042716E">
        <w:t>. T</w:t>
      </w:r>
      <w:r w:rsidR="000F6DC0">
        <w:t>hese amendments to</w:t>
      </w:r>
      <w:r w:rsidR="000F6DC0" w:rsidRPr="000F6DC0">
        <w:t xml:space="preserve"> subsection</w:t>
      </w:r>
      <w:r w:rsidR="000F6DC0">
        <w:t xml:space="preserve"> 40-30(6)</w:t>
      </w:r>
      <w:r w:rsidR="000F6DC0" w:rsidRPr="000F6DC0">
        <w:t xml:space="preserve"> </w:t>
      </w:r>
      <w:r w:rsidR="00C21208">
        <w:t xml:space="preserve">ensure </w:t>
      </w:r>
      <w:r w:rsidR="00BD1F35">
        <w:t xml:space="preserve">that the subsection applies to those cases as intended and </w:t>
      </w:r>
      <w:r w:rsidR="003F03B6">
        <w:t>a</w:t>
      </w:r>
      <w:r w:rsidR="000F6DC0" w:rsidRPr="000F6DC0">
        <w:t xml:space="preserve"> balancing adjustment event </w:t>
      </w:r>
      <w:r w:rsidR="003F03B6">
        <w:t xml:space="preserve">does not </w:t>
      </w:r>
      <w:r w:rsidR="000F6DC0" w:rsidRPr="000F6DC0">
        <w:t xml:space="preserve">occur </w:t>
      </w:r>
      <w:r w:rsidR="00BD1F35">
        <w:t>to the old right</w:t>
      </w:r>
      <w:r w:rsidR="0079619E">
        <w:t>,</w:t>
      </w:r>
      <w:r w:rsidR="00BD1F35">
        <w:t xml:space="preserve"> </w:t>
      </w:r>
      <w:r w:rsidR="000F6DC0" w:rsidRPr="000F6DC0">
        <w:t xml:space="preserve">and the </w:t>
      </w:r>
      <w:r w:rsidR="00512C46">
        <w:t xml:space="preserve">new right or rights have the same </w:t>
      </w:r>
      <w:r w:rsidR="000F6DC0" w:rsidRPr="000F6DC0">
        <w:t xml:space="preserve">effective life </w:t>
      </w:r>
      <w:r w:rsidR="00512C46">
        <w:t>of the old right</w:t>
      </w:r>
      <w:r w:rsidR="00A643BB">
        <w:t xml:space="preserve">. </w:t>
      </w:r>
      <w:r w:rsidR="007C1FD8">
        <w:br/>
      </w:r>
      <w:r w:rsidR="007C1FD8" w:rsidRPr="002C538D">
        <w:rPr>
          <w:rStyle w:val="References"/>
        </w:rPr>
        <w:t xml:space="preserve">[Schedule </w:t>
      </w:r>
      <w:r w:rsidR="007C1FD8">
        <w:rPr>
          <w:rStyle w:val="References"/>
        </w:rPr>
        <w:t>#</w:t>
      </w:r>
      <w:r w:rsidR="007C1FD8" w:rsidRPr="002C538D">
        <w:rPr>
          <w:rStyle w:val="References"/>
        </w:rPr>
        <w:t xml:space="preserve">, </w:t>
      </w:r>
      <w:r w:rsidR="007C1FD8">
        <w:rPr>
          <w:rStyle w:val="References"/>
        </w:rPr>
        <w:t>Part 1, item 1</w:t>
      </w:r>
      <w:r w:rsidR="007C1FD8" w:rsidRPr="002C538D">
        <w:rPr>
          <w:rStyle w:val="References"/>
        </w:rPr>
        <w:t xml:space="preserve">, </w:t>
      </w:r>
      <w:r w:rsidR="00B65FB6">
        <w:rPr>
          <w:rStyle w:val="References"/>
        </w:rPr>
        <w:t>paragraph 40-30(6)(b) of the ITAA 1997</w:t>
      </w:r>
      <w:r w:rsidR="007C1FD8" w:rsidRPr="002C538D">
        <w:rPr>
          <w:rStyle w:val="References"/>
        </w:rPr>
        <w:t xml:space="preserve">] </w:t>
      </w:r>
    </w:p>
    <w:p w14:paraId="549D7ED9" w14:textId="5CF65624" w:rsidR="003F47B2" w:rsidRDefault="002D73D4" w:rsidP="003920F5">
      <w:pPr>
        <w:pStyle w:val="Normalparatextwithnumbers"/>
        <w:numPr>
          <w:ilvl w:val="1"/>
          <w:numId w:val="3"/>
        </w:numPr>
        <w:rPr>
          <w:rStyle w:val="References"/>
          <w:b w:val="0"/>
          <w:bCs w:val="0"/>
          <w:i w:val="0"/>
          <w:iCs w:val="0"/>
        </w:rPr>
      </w:pPr>
      <w:r>
        <w:rPr>
          <w:rStyle w:val="References"/>
          <w:b w:val="0"/>
          <w:bCs w:val="0"/>
          <w:i w:val="0"/>
          <w:iCs w:val="0"/>
        </w:rPr>
        <w:t xml:space="preserve">Amendments are also made to </w:t>
      </w:r>
      <w:r w:rsidR="001418C3">
        <w:rPr>
          <w:rStyle w:val="References"/>
          <w:b w:val="0"/>
          <w:bCs w:val="0"/>
          <w:i w:val="0"/>
          <w:iCs w:val="0"/>
        </w:rPr>
        <w:t>make clear the treatment of</w:t>
      </w:r>
      <w:r>
        <w:rPr>
          <w:rStyle w:val="References"/>
          <w:b w:val="0"/>
          <w:bCs w:val="0"/>
          <w:i w:val="0"/>
          <w:iCs w:val="0"/>
        </w:rPr>
        <w:t xml:space="preserve"> partial conversions of MQPRs. </w:t>
      </w:r>
      <w:r w:rsidR="009107F7">
        <w:rPr>
          <w:rStyle w:val="References"/>
          <w:b w:val="0"/>
          <w:bCs w:val="0"/>
          <w:i w:val="0"/>
          <w:iCs w:val="0"/>
        </w:rPr>
        <w:t>If</w:t>
      </w:r>
      <w:r w:rsidR="003F47B2">
        <w:rPr>
          <w:rStyle w:val="References"/>
          <w:b w:val="0"/>
          <w:bCs w:val="0"/>
          <w:i w:val="0"/>
          <w:iCs w:val="0"/>
        </w:rPr>
        <w:t>:</w:t>
      </w:r>
      <w:r w:rsidR="009107F7">
        <w:rPr>
          <w:rStyle w:val="References"/>
          <w:b w:val="0"/>
          <w:bCs w:val="0"/>
          <w:i w:val="0"/>
          <w:iCs w:val="0"/>
        </w:rPr>
        <w:t xml:space="preserve"> </w:t>
      </w:r>
    </w:p>
    <w:p w14:paraId="10FAF92C" w14:textId="77777777" w:rsidR="003F47B2" w:rsidRDefault="009107F7" w:rsidP="002C538D">
      <w:pPr>
        <w:pStyle w:val="Dotpoint1"/>
        <w:rPr>
          <w:rStyle w:val="References"/>
          <w:b w:val="0"/>
          <w:bCs w:val="0"/>
          <w:i w:val="0"/>
          <w:iCs w:val="0"/>
        </w:rPr>
      </w:pPr>
      <w:r>
        <w:rPr>
          <w:rStyle w:val="References"/>
          <w:b w:val="0"/>
          <w:bCs w:val="0"/>
          <w:i w:val="0"/>
          <w:iCs w:val="0"/>
        </w:rPr>
        <w:t xml:space="preserve">an MQPR </w:t>
      </w:r>
      <w:r w:rsidR="002B14FA">
        <w:rPr>
          <w:rStyle w:val="References"/>
          <w:b w:val="0"/>
          <w:bCs w:val="0"/>
          <w:i w:val="0"/>
          <w:iCs w:val="0"/>
        </w:rPr>
        <w:t xml:space="preserve">(the ‘old right') </w:t>
      </w:r>
      <w:r w:rsidR="00A82A04">
        <w:rPr>
          <w:rStyle w:val="References"/>
          <w:b w:val="0"/>
          <w:bCs w:val="0"/>
          <w:i w:val="0"/>
          <w:iCs w:val="0"/>
        </w:rPr>
        <w:t>relates to an area</w:t>
      </w:r>
      <w:r w:rsidR="003F47B2">
        <w:rPr>
          <w:rStyle w:val="References"/>
          <w:b w:val="0"/>
          <w:bCs w:val="0"/>
          <w:i w:val="0"/>
          <w:iCs w:val="0"/>
        </w:rPr>
        <w:t xml:space="preserve">; </w:t>
      </w:r>
      <w:r w:rsidR="00A82A04">
        <w:rPr>
          <w:rStyle w:val="References"/>
          <w:b w:val="0"/>
          <w:bCs w:val="0"/>
          <w:i w:val="0"/>
          <w:iCs w:val="0"/>
        </w:rPr>
        <w:t xml:space="preserve">and </w:t>
      </w:r>
    </w:p>
    <w:p w14:paraId="12556382" w14:textId="77777777" w:rsidR="003F47B2" w:rsidRDefault="00A82A04" w:rsidP="002C538D">
      <w:pPr>
        <w:pStyle w:val="Dotpoint1"/>
        <w:rPr>
          <w:rStyle w:val="References"/>
          <w:b w:val="0"/>
          <w:bCs w:val="0"/>
          <w:i w:val="0"/>
          <w:iCs w:val="0"/>
        </w:rPr>
      </w:pPr>
      <w:r>
        <w:rPr>
          <w:rStyle w:val="References"/>
          <w:b w:val="0"/>
          <w:bCs w:val="0"/>
          <w:i w:val="0"/>
          <w:iCs w:val="0"/>
        </w:rPr>
        <w:t xml:space="preserve">the taxpayer </w:t>
      </w:r>
      <w:r w:rsidR="0094234B">
        <w:rPr>
          <w:rStyle w:val="References"/>
          <w:b w:val="0"/>
          <w:bCs w:val="0"/>
          <w:i w:val="0"/>
          <w:iCs w:val="0"/>
        </w:rPr>
        <w:t xml:space="preserve">begins holds another MQPR </w:t>
      </w:r>
      <w:r w:rsidR="002B14FA">
        <w:rPr>
          <w:rStyle w:val="References"/>
          <w:b w:val="0"/>
          <w:bCs w:val="0"/>
          <w:i w:val="0"/>
          <w:iCs w:val="0"/>
        </w:rPr>
        <w:t xml:space="preserve">(the </w:t>
      </w:r>
      <w:r w:rsidR="00B40E76">
        <w:rPr>
          <w:rStyle w:val="References"/>
          <w:b w:val="0"/>
          <w:bCs w:val="0"/>
          <w:i w:val="0"/>
          <w:iCs w:val="0"/>
        </w:rPr>
        <w:t xml:space="preserve">‘partial new MQPR’) </w:t>
      </w:r>
      <w:r w:rsidR="0094234B">
        <w:rPr>
          <w:rStyle w:val="References"/>
          <w:b w:val="0"/>
          <w:bCs w:val="0"/>
          <w:i w:val="0"/>
          <w:iCs w:val="0"/>
        </w:rPr>
        <w:t xml:space="preserve">that </w:t>
      </w:r>
      <w:r w:rsidR="002B14FA">
        <w:rPr>
          <w:rStyle w:val="References"/>
          <w:b w:val="0"/>
          <w:bCs w:val="0"/>
          <w:i w:val="0"/>
          <w:iCs w:val="0"/>
        </w:rPr>
        <w:t>relates to an area that is part of the</w:t>
      </w:r>
      <w:r w:rsidR="00A44B9B">
        <w:rPr>
          <w:rStyle w:val="References"/>
          <w:b w:val="0"/>
          <w:bCs w:val="0"/>
          <w:i w:val="0"/>
          <w:iCs w:val="0"/>
        </w:rPr>
        <w:t xml:space="preserve"> area that the </w:t>
      </w:r>
      <w:r w:rsidR="00A66354">
        <w:rPr>
          <w:rStyle w:val="References"/>
          <w:b w:val="0"/>
          <w:bCs w:val="0"/>
          <w:i w:val="0"/>
          <w:iCs w:val="0"/>
        </w:rPr>
        <w:t>old right relates to</w:t>
      </w:r>
      <w:r w:rsidR="003F47B2">
        <w:rPr>
          <w:rStyle w:val="References"/>
          <w:b w:val="0"/>
          <w:bCs w:val="0"/>
          <w:i w:val="0"/>
          <w:iCs w:val="0"/>
        </w:rPr>
        <w:t xml:space="preserve">; and </w:t>
      </w:r>
    </w:p>
    <w:p w14:paraId="492E3C7B" w14:textId="05D2BC03" w:rsidR="00EE144F" w:rsidRDefault="003F47B2" w:rsidP="002C538D">
      <w:pPr>
        <w:pStyle w:val="Dotpoint1"/>
        <w:rPr>
          <w:rStyle w:val="References"/>
          <w:b w:val="0"/>
          <w:bCs w:val="0"/>
          <w:i w:val="0"/>
          <w:iCs w:val="0"/>
        </w:rPr>
      </w:pPr>
      <w:r w:rsidRPr="003F47B2">
        <w:rPr>
          <w:rStyle w:val="References"/>
          <w:b w:val="0"/>
          <w:bCs w:val="0"/>
          <w:i w:val="0"/>
          <w:iCs w:val="0"/>
        </w:rPr>
        <w:t>the old right does not end when you begin to hold the partial new right</w:t>
      </w:r>
      <w:r>
        <w:rPr>
          <w:rStyle w:val="References"/>
          <w:b w:val="0"/>
          <w:bCs w:val="0"/>
          <w:i w:val="0"/>
          <w:iCs w:val="0"/>
        </w:rPr>
        <w:t xml:space="preserve">; </w:t>
      </w:r>
      <w:r w:rsidR="00A66354">
        <w:rPr>
          <w:rStyle w:val="References"/>
          <w:b w:val="0"/>
          <w:bCs w:val="0"/>
          <w:i w:val="0"/>
          <w:iCs w:val="0"/>
        </w:rPr>
        <w:t xml:space="preserve"> </w:t>
      </w:r>
      <w:r w:rsidR="002B14FA">
        <w:rPr>
          <w:rStyle w:val="References"/>
          <w:b w:val="0"/>
          <w:bCs w:val="0"/>
          <w:i w:val="0"/>
          <w:iCs w:val="0"/>
        </w:rPr>
        <w:t xml:space="preserve"> </w:t>
      </w:r>
      <w:r w:rsidR="0094234B">
        <w:rPr>
          <w:rStyle w:val="References"/>
          <w:b w:val="0"/>
          <w:bCs w:val="0"/>
          <w:i w:val="0"/>
          <w:iCs w:val="0"/>
        </w:rPr>
        <w:t xml:space="preserve"> </w:t>
      </w:r>
    </w:p>
    <w:p w14:paraId="49DB2D24" w14:textId="53F432AE" w:rsidR="002119F6" w:rsidRDefault="0015792B" w:rsidP="003F47B2">
      <w:pPr>
        <w:pStyle w:val="Normalparatextwithnumbers"/>
        <w:numPr>
          <w:ilvl w:val="0"/>
          <w:numId w:val="0"/>
        </w:numPr>
        <w:ind w:left="709"/>
        <w:rPr>
          <w:rStyle w:val="References"/>
          <w:b w:val="0"/>
          <w:bCs w:val="0"/>
          <w:i w:val="0"/>
          <w:iCs w:val="0"/>
        </w:rPr>
      </w:pPr>
      <w:r>
        <w:rPr>
          <w:rStyle w:val="References"/>
          <w:b w:val="0"/>
          <w:bCs w:val="0"/>
          <w:i w:val="0"/>
          <w:iCs w:val="0"/>
        </w:rPr>
        <w:t xml:space="preserve">then, for the purposes of Division 40, the old right is </w:t>
      </w:r>
      <w:r w:rsidR="00E545CF">
        <w:rPr>
          <w:rStyle w:val="References"/>
          <w:b w:val="0"/>
          <w:bCs w:val="0"/>
          <w:i w:val="0"/>
          <w:iCs w:val="0"/>
        </w:rPr>
        <w:t xml:space="preserve">taken to have split into </w:t>
      </w:r>
      <w:r w:rsidR="00CF3BA3">
        <w:rPr>
          <w:rStyle w:val="References"/>
          <w:b w:val="0"/>
          <w:bCs w:val="0"/>
          <w:i w:val="0"/>
          <w:iCs w:val="0"/>
        </w:rPr>
        <w:t xml:space="preserve">an asset that is the partial new right </w:t>
      </w:r>
      <w:r w:rsidR="006601AE">
        <w:rPr>
          <w:rStyle w:val="References"/>
          <w:b w:val="0"/>
          <w:bCs w:val="0"/>
          <w:i w:val="0"/>
          <w:iCs w:val="0"/>
        </w:rPr>
        <w:t xml:space="preserve">an asset that is the </w:t>
      </w:r>
      <w:r w:rsidR="001D2162">
        <w:rPr>
          <w:rStyle w:val="References"/>
          <w:b w:val="0"/>
          <w:bCs w:val="0"/>
          <w:i w:val="0"/>
          <w:iCs w:val="0"/>
        </w:rPr>
        <w:t>old right.</w:t>
      </w:r>
      <w:r w:rsidR="00690940">
        <w:rPr>
          <w:rStyle w:val="References"/>
          <w:b w:val="0"/>
          <w:bCs w:val="0"/>
          <w:i w:val="0"/>
          <w:iCs w:val="0"/>
        </w:rPr>
        <w:t xml:space="preserve"> The time of the split </w:t>
      </w:r>
      <w:r w:rsidR="00010DBB">
        <w:rPr>
          <w:rStyle w:val="References"/>
          <w:b w:val="0"/>
          <w:bCs w:val="0"/>
          <w:i w:val="0"/>
          <w:iCs w:val="0"/>
        </w:rPr>
        <w:t xml:space="preserve">is just before </w:t>
      </w:r>
      <w:r w:rsidR="00310AD6">
        <w:rPr>
          <w:rStyle w:val="References"/>
          <w:b w:val="0"/>
          <w:bCs w:val="0"/>
          <w:i w:val="0"/>
          <w:iCs w:val="0"/>
        </w:rPr>
        <w:t>the time when the</w:t>
      </w:r>
      <w:r w:rsidR="004F57A0">
        <w:rPr>
          <w:rStyle w:val="References"/>
          <w:b w:val="0"/>
          <w:bCs w:val="0"/>
          <w:i w:val="0"/>
          <w:iCs w:val="0"/>
        </w:rPr>
        <w:t xml:space="preserve"> partial new MQPR begins to be held. </w:t>
      </w:r>
      <w:r w:rsidR="001D2162">
        <w:rPr>
          <w:rStyle w:val="References"/>
          <w:b w:val="0"/>
          <w:bCs w:val="0"/>
          <w:i w:val="0"/>
          <w:iCs w:val="0"/>
        </w:rPr>
        <w:t xml:space="preserve"> </w:t>
      </w:r>
      <w:r w:rsidR="00CF32A8">
        <w:rPr>
          <w:rStyle w:val="References"/>
          <w:b w:val="0"/>
          <w:bCs w:val="0"/>
          <w:i w:val="0"/>
          <w:iCs w:val="0"/>
        </w:rPr>
        <w:br/>
      </w:r>
      <w:r w:rsidR="00F715B3" w:rsidRPr="00F715B3">
        <w:rPr>
          <w:rStyle w:val="References"/>
        </w:rPr>
        <w:t>[Schedule #, Part 1, item 1, note to paragraph 40-30(6)(b) and item 3, section 40</w:t>
      </w:r>
      <w:r w:rsidR="00475B35">
        <w:rPr>
          <w:rStyle w:val="References"/>
        </w:rPr>
        <w:noBreakHyphen/>
      </w:r>
      <w:r w:rsidR="00F715B3" w:rsidRPr="00F715B3">
        <w:rPr>
          <w:rStyle w:val="References"/>
        </w:rPr>
        <w:t xml:space="preserve">122 of the ITAA 1997] </w:t>
      </w:r>
    </w:p>
    <w:p w14:paraId="2D1F02CD" w14:textId="3C0DF149" w:rsidR="003F47B2" w:rsidRDefault="001C0BCC" w:rsidP="00484184">
      <w:pPr>
        <w:pStyle w:val="Normalparatextwithnumbers"/>
        <w:rPr>
          <w:rStyle w:val="References"/>
          <w:b w:val="0"/>
          <w:bCs w:val="0"/>
          <w:i w:val="0"/>
          <w:iCs w:val="0"/>
        </w:rPr>
      </w:pPr>
      <w:r>
        <w:rPr>
          <w:rStyle w:val="References"/>
          <w:b w:val="0"/>
          <w:bCs w:val="0"/>
          <w:i w:val="0"/>
          <w:iCs w:val="0"/>
        </w:rPr>
        <w:t xml:space="preserve">The occurrence of this split allows </w:t>
      </w:r>
      <w:r w:rsidR="008B1BC6">
        <w:rPr>
          <w:rStyle w:val="References"/>
          <w:b w:val="0"/>
          <w:bCs w:val="0"/>
          <w:i w:val="0"/>
          <w:iCs w:val="0"/>
        </w:rPr>
        <w:t xml:space="preserve">section </w:t>
      </w:r>
      <w:r w:rsidR="002629CC">
        <w:rPr>
          <w:rStyle w:val="References"/>
          <w:b w:val="0"/>
          <w:bCs w:val="0"/>
          <w:i w:val="0"/>
          <w:iCs w:val="0"/>
        </w:rPr>
        <w:t xml:space="preserve">40-205 to set the cost of the continuing old right and the new right </w:t>
      </w:r>
      <w:r w:rsidR="00E90B5E">
        <w:rPr>
          <w:rStyle w:val="References"/>
          <w:b w:val="0"/>
          <w:bCs w:val="0"/>
          <w:i w:val="0"/>
          <w:iCs w:val="0"/>
        </w:rPr>
        <w:t xml:space="preserve">based on the </w:t>
      </w:r>
      <w:r w:rsidR="00D21340">
        <w:rPr>
          <w:rStyle w:val="References"/>
          <w:b w:val="0"/>
          <w:bCs w:val="0"/>
          <w:i w:val="0"/>
          <w:iCs w:val="0"/>
        </w:rPr>
        <w:t>adjustable value</w:t>
      </w:r>
      <w:r w:rsidR="00E90B5E">
        <w:rPr>
          <w:rStyle w:val="References"/>
          <w:b w:val="0"/>
          <w:bCs w:val="0"/>
          <w:i w:val="0"/>
          <w:iCs w:val="0"/>
        </w:rPr>
        <w:t xml:space="preserve"> of the old right</w:t>
      </w:r>
      <w:r w:rsidR="00A34860">
        <w:rPr>
          <w:rStyle w:val="References"/>
          <w:b w:val="0"/>
          <w:bCs w:val="0"/>
          <w:i w:val="0"/>
          <w:iCs w:val="0"/>
        </w:rPr>
        <w:t xml:space="preserve"> </w:t>
      </w:r>
      <w:r w:rsidR="007E58A8">
        <w:rPr>
          <w:rStyle w:val="References"/>
          <w:b w:val="0"/>
          <w:bCs w:val="0"/>
          <w:i w:val="0"/>
          <w:iCs w:val="0"/>
        </w:rPr>
        <w:t xml:space="preserve">just before the time of the </w:t>
      </w:r>
      <w:r w:rsidR="00A34860">
        <w:rPr>
          <w:rStyle w:val="References"/>
          <w:b w:val="0"/>
          <w:bCs w:val="0"/>
          <w:i w:val="0"/>
          <w:iCs w:val="0"/>
        </w:rPr>
        <w:t>split</w:t>
      </w:r>
      <w:r w:rsidR="00E90B5E">
        <w:rPr>
          <w:rStyle w:val="References"/>
          <w:b w:val="0"/>
          <w:bCs w:val="0"/>
          <w:i w:val="0"/>
          <w:iCs w:val="0"/>
        </w:rPr>
        <w:t xml:space="preserve">. </w:t>
      </w:r>
      <w:r w:rsidR="003C0C9E">
        <w:rPr>
          <w:rStyle w:val="References"/>
          <w:b w:val="0"/>
          <w:bCs w:val="0"/>
          <w:i w:val="0"/>
          <w:iCs w:val="0"/>
        </w:rPr>
        <w:t xml:space="preserve">A balancing adjustment </w:t>
      </w:r>
      <w:r w:rsidR="002A04DA">
        <w:rPr>
          <w:rStyle w:val="References"/>
          <w:b w:val="0"/>
          <w:bCs w:val="0"/>
          <w:i w:val="0"/>
          <w:iCs w:val="0"/>
        </w:rPr>
        <w:t xml:space="preserve">does not occur for the old right merely because of the split (per subsection </w:t>
      </w:r>
      <w:r w:rsidR="00911105">
        <w:rPr>
          <w:rStyle w:val="References"/>
          <w:b w:val="0"/>
          <w:bCs w:val="0"/>
          <w:i w:val="0"/>
          <w:iCs w:val="0"/>
        </w:rPr>
        <w:t>40-295(</w:t>
      </w:r>
      <w:r w:rsidR="001001DB">
        <w:rPr>
          <w:rStyle w:val="References"/>
          <w:b w:val="0"/>
          <w:bCs w:val="0"/>
          <w:i w:val="0"/>
          <w:iCs w:val="0"/>
        </w:rPr>
        <w:t>3</w:t>
      </w:r>
      <w:r w:rsidR="00911105">
        <w:rPr>
          <w:rStyle w:val="References"/>
          <w:b w:val="0"/>
          <w:bCs w:val="0"/>
          <w:i w:val="0"/>
          <w:iCs w:val="0"/>
        </w:rPr>
        <w:t xml:space="preserve">)). </w:t>
      </w:r>
    </w:p>
    <w:p w14:paraId="00445E6B" w14:textId="48E24BAB" w:rsidR="00F1437C" w:rsidRPr="00EA17BD" w:rsidRDefault="00CA2739" w:rsidP="003920F5">
      <w:pPr>
        <w:pStyle w:val="Normalparatextwithnumbers"/>
        <w:numPr>
          <w:ilvl w:val="1"/>
          <w:numId w:val="3"/>
        </w:numPr>
        <w:rPr>
          <w:rStyle w:val="References"/>
          <w:b w:val="0"/>
          <w:bCs w:val="0"/>
          <w:i w:val="0"/>
          <w:iCs w:val="0"/>
        </w:rPr>
      </w:pPr>
      <w:r>
        <w:rPr>
          <w:rStyle w:val="References"/>
          <w:b w:val="0"/>
          <w:bCs w:val="0"/>
          <w:i w:val="0"/>
          <w:iCs w:val="0"/>
        </w:rPr>
        <w:t xml:space="preserve">Where the new right only relates to part of the area covered by the other right, then, to ensure appropriate outcomes are achieved, there </w:t>
      </w:r>
      <w:r w:rsidR="005704F3">
        <w:rPr>
          <w:rStyle w:val="References"/>
          <w:b w:val="0"/>
          <w:bCs w:val="0"/>
          <w:i w:val="0"/>
          <w:iCs w:val="0"/>
        </w:rPr>
        <w:t>is</w:t>
      </w:r>
      <w:r>
        <w:rPr>
          <w:rStyle w:val="References"/>
          <w:b w:val="0"/>
          <w:bCs w:val="0"/>
          <w:i w:val="0"/>
          <w:iCs w:val="0"/>
        </w:rPr>
        <w:t xml:space="preserve"> a proportionate continuation of the other right.</w:t>
      </w:r>
      <w:r w:rsidR="001E44A3">
        <w:rPr>
          <w:rStyle w:val="References"/>
          <w:b w:val="0"/>
          <w:bCs w:val="0"/>
          <w:i w:val="0"/>
          <w:iCs w:val="0"/>
        </w:rPr>
        <w:t xml:space="preserve"> </w:t>
      </w:r>
      <w:r w:rsidR="00593AD4">
        <w:rPr>
          <w:rStyle w:val="References"/>
          <w:b w:val="0"/>
          <w:bCs w:val="0"/>
          <w:i w:val="0"/>
          <w:iCs w:val="0"/>
        </w:rPr>
        <w:t>W</w:t>
      </w:r>
      <w:r w:rsidR="00593AD4" w:rsidRPr="00593AD4">
        <w:rPr>
          <w:rStyle w:val="References"/>
          <w:b w:val="0"/>
          <w:bCs w:val="0"/>
          <w:i w:val="0"/>
          <w:iCs w:val="0"/>
        </w:rPr>
        <w:t xml:space="preserve">here </w:t>
      </w:r>
      <w:r w:rsidR="00593AD4">
        <w:rPr>
          <w:rStyle w:val="References"/>
          <w:b w:val="0"/>
          <w:bCs w:val="0"/>
          <w:i w:val="0"/>
          <w:iCs w:val="0"/>
        </w:rPr>
        <w:t>sub</w:t>
      </w:r>
      <w:r w:rsidR="00FA6B38">
        <w:rPr>
          <w:rStyle w:val="References"/>
          <w:b w:val="0"/>
          <w:bCs w:val="0"/>
          <w:i w:val="0"/>
          <w:iCs w:val="0"/>
        </w:rPr>
        <w:noBreakHyphen/>
      </w:r>
      <w:r w:rsidR="00593AD4">
        <w:rPr>
          <w:rStyle w:val="References"/>
          <w:b w:val="0"/>
          <w:bCs w:val="0"/>
          <w:i w:val="0"/>
          <w:iCs w:val="0"/>
        </w:rPr>
        <w:t>paragraph </w:t>
      </w:r>
      <w:r w:rsidR="00593AD4" w:rsidRPr="00593AD4">
        <w:rPr>
          <w:rStyle w:val="References"/>
          <w:b w:val="0"/>
          <w:bCs w:val="0"/>
          <w:i w:val="0"/>
          <w:iCs w:val="0"/>
        </w:rPr>
        <w:t>40</w:t>
      </w:r>
      <w:r w:rsidR="00DB1CE5">
        <w:rPr>
          <w:rStyle w:val="References"/>
          <w:b w:val="0"/>
          <w:bCs w:val="0"/>
          <w:i w:val="0"/>
          <w:iCs w:val="0"/>
        </w:rPr>
        <w:noBreakHyphen/>
      </w:r>
      <w:r w:rsidR="00593AD4" w:rsidRPr="00593AD4">
        <w:rPr>
          <w:rStyle w:val="References"/>
          <w:b w:val="0"/>
          <w:bCs w:val="0"/>
          <w:i w:val="0"/>
          <w:iCs w:val="0"/>
        </w:rPr>
        <w:t>30(6)(b)(ii) applies, then the first element of the cost of new right is a reasonable proportion of the adjustable value of the other right just before the other right ended. This ensures that the full cost of the other right is not carried over to each new right, leading to inappropriate outcomes.</w:t>
      </w:r>
      <w:r w:rsidR="00270231">
        <w:rPr>
          <w:rStyle w:val="References"/>
          <w:b w:val="0"/>
          <w:bCs w:val="0"/>
          <w:i w:val="0"/>
          <w:iCs w:val="0"/>
        </w:rPr>
        <w:t xml:space="preserve"> </w:t>
      </w:r>
      <w:r w:rsidR="00BE139E">
        <w:rPr>
          <w:rStyle w:val="References"/>
          <w:b w:val="0"/>
          <w:bCs w:val="0"/>
          <w:i w:val="0"/>
          <w:iCs w:val="0"/>
        </w:rPr>
        <w:t xml:space="preserve">All other things </w:t>
      </w:r>
      <w:r w:rsidR="00AA5445">
        <w:rPr>
          <w:rStyle w:val="References"/>
          <w:b w:val="0"/>
          <w:bCs w:val="0"/>
          <w:i w:val="0"/>
          <w:iCs w:val="0"/>
        </w:rPr>
        <w:t xml:space="preserve">substantially </w:t>
      </w:r>
      <w:r w:rsidR="00BE139E">
        <w:rPr>
          <w:rStyle w:val="References"/>
          <w:b w:val="0"/>
          <w:bCs w:val="0"/>
          <w:i w:val="0"/>
          <w:iCs w:val="0"/>
        </w:rPr>
        <w:t>equal</w:t>
      </w:r>
      <w:r w:rsidR="002E567B">
        <w:rPr>
          <w:rStyle w:val="References"/>
          <w:b w:val="0"/>
          <w:bCs w:val="0"/>
          <w:i w:val="0"/>
          <w:iCs w:val="0"/>
        </w:rPr>
        <w:t>, a r</w:t>
      </w:r>
      <w:r w:rsidR="00270231" w:rsidRPr="00DB1CE5">
        <w:rPr>
          <w:rStyle w:val="References"/>
          <w:b w:val="0"/>
          <w:bCs w:val="0"/>
          <w:i w:val="0"/>
          <w:iCs w:val="0"/>
        </w:rPr>
        <w:t xml:space="preserve">easonable proportion </w:t>
      </w:r>
      <w:r w:rsidR="00290213">
        <w:rPr>
          <w:rStyle w:val="References"/>
          <w:b w:val="0"/>
          <w:bCs w:val="0"/>
          <w:i w:val="0"/>
          <w:iCs w:val="0"/>
        </w:rPr>
        <w:t xml:space="preserve">could be worked out based on the </w:t>
      </w:r>
      <w:r w:rsidR="005C4A61">
        <w:rPr>
          <w:rStyle w:val="References"/>
          <w:b w:val="0"/>
          <w:bCs w:val="0"/>
          <w:i w:val="0"/>
          <w:iCs w:val="0"/>
        </w:rPr>
        <w:t>respective area</w:t>
      </w:r>
      <w:r w:rsidR="00E712C7">
        <w:rPr>
          <w:rStyle w:val="References"/>
          <w:b w:val="0"/>
          <w:bCs w:val="0"/>
          <w:i w:val="0"/>
          <w:iCs w:val="0"/>
        </w:rPr>
        <w:t>s</w:t>
      </w:r>
      <w:r w:rsidR="005C4A61">
        <w:rPr>
          <w:rStyle w:val="References"/>
          <w:b w:val="0"/>
          <w:bCs w:val="0"/>
          <w:i w:val="0"/>
          <w:iCs w:val="0"/>
        </w:rPr>
        <w:t xml:space="preserve"> of the new rights compared to the area of the other right just before the other right ended. The adjustable value of the other right is then zero</w:t>
      </w:r>
      <w:r w:rsidR="00290213">
        <w:rPr>
          <w:rStyle w:val="References"/>
          <w:b w:val="0"/>
          <w:bCs w:val="0"/>
          <w:i w:val="0"/>
          <w:iCs w:val="0"/>
        </w:rPr>
        <w:t>.</w:t>
      </w:r>
      <w:r w:rsidR="00F87FA6">
        <w:rPr>
          <w:rStyle w:val="References"/>
          <w:b w:val="0"/>
          <w:bCs w:val="0"/>
          <w:i w:val="0"/>
          <w:iCs w:val="0"/>
        </w:rPr>
        <w:br/>
      </w:r>
      <w:r w:rsidR="00F87FA6" w:rsidRPr="00F87FA6">
        <w:rPr>
          <w:rStyle w:val="References"/>
        </w:rPr>
        <w:t xml:space="preserve">[Schedule </w:t>
      </w:r>
      <w:r w:rsidR="00F87FA6">
        <w:rPr>
          <w:rStyle w:val="References"/>
        </w:rPr>
        <w:t>#</w:t>
      </w:r>
      <w:r w:rsidR="00F87FA6" w:rsidRPr="00F87FA6">
        <w:rPr>
          <w:rStyle w:val="References"/>
        </w:rPr>
        <w:t>,</w:t>
      </w:r>
      <w:r w:rsidR="00F87FA6">
        <w:rPr>
          <w:rStyle w:val="References"/>
        </w:rPr>
        <w:t xml:space="preserve"> Part 1,</w:t>
      </w:r>
      <w:r w:rsidR="00F87FA6" w:rsidRPr="00F87FA6">
        <w:rPr>
          <w:rStyle w:val="References"/>
        </w:rPr>
        <w:t xml:space="preserve"> item</w:t>
      </w:r>
      <w:r w:rsidR="00F87FA6">
        <w:rPr>
          <w:rStyle w:val="References"/>
        </w:rPr>
        <w:t xml:space="preserve"> </w:t>
      </w:r>
      <w:r w:rsidR="00886AFA">
        <w:rPr>
          <w:rStyle w:val="References"/>
        </w:rPr>
        <w:t>4</w:t>
      </w:r>
      <w:r w:rsidR="00F87FA6" w:rsidRPr="00F87FA6">
        <w:rPr>
          <w:rStyle w:val="References"/>
        </w:rPr>
        <w:t xml:space="preserve">, </w:t>
      </w:r>
      <w:r w:rsidR="00010557">
        <w:rPr>
          <w:rStyle w:val="References"/>
        </w:rPr>
        <w:t>section 40-217 of the ITAA 1997</w:t>
      </w:r>
      <w:r w:rsidR="00F87FA6" w:rsidRPr="00F87FA6">
        <w:rPr>
          <w:rStyle w:val="References"/>
        </w:rPr>
        <w:t xml:space="preserve">] </w:t>
      </w:r>
    </w:p>
    <w:p w14:paraId="5E2125C1" w14:textId="77777777" w:rsidR="00873094" w:rsidRPr="00020288" w:rsidRDefault="00873094" w:rsidP="00AF50CE">
      <w:pPr>
        <w:pStyle w:val="Heading2"/>
      </w:pPr>
      <w:bookmarkStart w:id="49" w:name="_Toc152938598"/>
      <w:bookmarkStart w:id="50" w:name="_Toc78193246"/>
      <w:bookmarkStart w:id="51" w:name="_Toc78193403"/>
      <w:bookmarkStart w:id="52" w:name="_Toc78548476"/>
      <w:bookmarkStart w:id="53" w:name="_Toc78549747"/>
      <w:bookmarkStart w:id="54" w:name="_Toc78549791"/>
      <w:r w:rsidRPr="00020288">
        <w:t xml:space="preserve">Commencement, </w:t>
      </w:r>
      <w:r w:rsidRPr="00AF50CE">
        <w:t>application</w:t>
      </w:r>
      <w:r w:rsidRPr="00020288">
        <w:t>, and transitional provisions</w:t>
      </w:r>
      <w:bookmarkEnd w:id="49"/>
    </w:p>
    <w:p w14:paraId="38B24530" w14:textId="6350EF37" w:rsidR="009A5A85" w:rsidRDefault="009D5509" w:rsidP="00475B35">
      <w:pPr>
        <w:pStyle w:val="Normalparatextwithnumbers"/>
      </w:pPr>
      <w:r>
        <w:t>The</w:t>
      </w:r>
      <w:r w:rsidR="00103D20">
        <w:t xml:space="preserve"> Bill commences on the first 1 January, 1 April, 1 </w:t>
      </w:r>
      <w:proofErr w:type="gramStart"/>
      <w:r w:rsidR="00103D20">
        <w:t>July</w:t>
      </w:r>
      <w:proofErr w:type="gramEnd"/>
      <w:r w:rsidR="00103D20">
        <w:t xml:space="preserve"> or 1 April to occur after the day the Bill receives Royal Assent</w:t>
      </w:r>
      <w:r w:rsidR="009A5A85">
        <w:t>.</w:t>
      </w:r>
      <w:r w:rsidR="00172A99">
        <w:br/>
      </w:r>
      <w:r w:rsidR="00172A99" w:rsidRPr="00172A99">
        <w:rPr>
          <w:rStyle w:val="References"/>
        </w:rPr>
        <w:t>[</w:t>
      </w:r>
      <w:r w:rsidR="00253803">
        <w:rPr>
          <w:rStyle w:val="References"/>
        </w:rPr>
        <w:t>Table item 1</w:t>
      </w:r>
      <w:r w:rsidR="004510F5">
        <w:rPr>
          <w:rStyle w:val="References"/>
        </w:rPr>
        <w:t xml:space="preserve"> in the Commencement information table</w:t>
      </w:r>
      <w:r w:rsidR="00172A99" w:rsidRPr="00172A99">
        <w:rPr>
          <w:rStyle w:val="References"/>
        </w:rPr>
        <w:t xml:space="preserve">] </w:t>
      </w:r>
    </w:p>
    <w:p w14:paraId="44351E7D" w14:textId="695A4391" w:rsidR="00380E65" w:rsidRDefault="001063E3" w:rsidP="009A5A85">
      <w:pPr>
        <w:pStyle w:val="Normalparatextwithnumbers"/>
      </w:pPr>
      <w:r>
        <w:lastRenderedPageBreak/>
        <w:t>As announced in the 2023-24 Budget, t</w:t>
      </w:r>
      <w:r w:rsidR="009D70DE">
        <w:t xml:space="preserve">he amendments </w:t>
      </w:r>
      <w:r w:rsidR="00392A76" w:rsidRPr="00392A76">
        <w:t>relat</w:t>
      </w:r>
      <w:r w:rsidR="00D6064D">
        <w:t>ed</w:t>
      </w:r>
      <w:r w:rsidR="00392A76" w:rsidRPr="00392A76">
        <w:t xml:space="preserve"> to the meaning of ‘exploration for petroleum</w:t>
      </w:r>
      <w:r w:rsidR="00D6064D">
        <w:t>’</w:t>
      </w:r>
      <w:r w:rsidR="00392A76" w:rsidRPr="00392A76">
        <w:t xml:space="preserve"> will apply to all expenditure incurred from 21 August 2013. This impacts PRRT years starting </w:t>
      </w:r>
      <w:r w:rsidR="00AD094D">
        <w:t>on or after</w:t>
      </w:r>
      <w:r w:rsidR="00392A76" w:rsidRPr="00392A76">
        <w:t xml:space="preserve"> 1 July 2013.</w:t>
      </w:r>
    </w:p>
    <w:p w14:paraId="2A1527BE" w14:textId="64EDFB6E" w:rsidR="009A5A85" w:rsidRDefault="00392A76" w:rsidP="009A5A85">
      <w:pPr>
        <w:pStyle w:val="Normalparatextwithnumbers"/>
      </w:pPr>
      <w:r w:rsidRPr="00392A76">
        <w:t xml:space="preserve">Th </w:t>
      </w:r>
      <w:r w:rsidR="009612E2">
        <w:t>retrospective</w:t>
      </w:r>
      <w:r w:rsidRPr="00392A76">
        <w:t xml:space="preserve"> application ensures that ‘exploration expenditure’ within the meaning of the PRRTAA is not affected by the decision and aligns with date of effect of the ATO’s views on the application of the law as set out in taxation ruling TR 2014/9 and administrative treatment set out in the decision impact statement issued by the ATO following the Administrative Appeals Tribunal decision in </w:t>
      </w:r>
      <w:r w:rsidRPr="00D6064D">
        <w:rPr>
          <w:i/>
          <w:iCs/>
        </w:rPr>
        <w:t>ZZGN v Commissioner of Taxation</w:t>
      </w:r>
      <w:r w:rsidRPr="00392A76">
        <w:t xml:space="preserve"> [2013] AATA 351. </w:t>
      </w:r>
      <w:r w:rsidR="0082613C">
        <w:t>This</w:t>
      </w:r>
      <w:r w:rsidR="0082613C" w:rsidRPr="00392A76">
        <w:t xml:space="preserve"> application </w:t>
      </w:r>
      <w:r w:rsidR="00276E3A">
        <w:t>provision</w:t>
      </w:r>
      <w:r w:rsidRPr="00392A76">
        <w:t xml:space="preserve"> </w:t>
      </w:r>
      <w:r w:rsidR="006B62F2">
        <w:t xml:space="preserve">provides certainty for </w:t>
      </w:r>
      <w:r w:rsidRPr="00392A76">
        <w:t xml:space="preserve">taxpayers </w:t>
      </w:r>
      <w:r w:rsidR="006B62F2">
        <w:t>from</w:t>
      </w:r>
      <w:r w:rsidRPr="00392A76">
        <w:t xml:space="preserve"> the ambiguity created by the decision from the 2014 year of tax</w:t>
      </w:r>
      <w:r w:rsidR="009A5A85">
        <w:t>.</w:t>
      </w:r>
      <w:r w:rsidR="00806D26">
        <w:br/>
      </w:r>
      <w:r w:rsidR="00806D26" w:rsidRPr="002A5F07">
        <w:rPr>
          <w:rStyle w:val="References"/>
        </w:rPr>
        <w:t xml:space="preserve">[Schedule </w:t>
      </w:r>
      <w:r w:rsidR="00806D26">
        <w:rPr>
          <w:rStyle w:val="References"/>
        </w:rPr>
        <w:t>#</w:t>
      </w:r>
      <w:r w:rsidR="00806D26" w:rsidRPr="002A5F07">
        <w:rPr>
          <w:rStyle w:val="References"/>
        </w:rPr>
        <w:t>,</w:t>
      </w:r>
      <w:r w:rsidR="005244B3">
        <w:rPr>
          <w:rStyle w:val="References"/>
        </w:rPr>
        <w:t xml:space="preserve"> Part 2</w:t>
      </w:r>
      <w:r w:rsidR="00651529">
        <w:rPr>
          <w:rStyle w:val="References"/>
        </w:rPr>
        <w:t>,</w:t>
      </w:r>
      <w:r w:rsidR="00806D26" w:rsidRPr="002A5F07">
        <w:rPr>
          <w:rStyle w:val="References"/>
        </w:rPr>
        <w:t xml:space="preserve"> item</w:t>
      </w:r>
      <w:r w:rsidR="00806D26">
        <w:rPr>
          <w:rStyle w:val="References"/>
        </w:rPr>
        <w:t xml:space="preserve"> </w:t>
      </w:r>
      <w:r w:rsidR="00027D68">
        <w:rPr>
          <w:rStyle w:val="References"/>
        </w:rPr>
        <w:t>8</w:t>
      </w:r>
      <w:r w:rsidR="00806D26" w:rsidRPr="002A5F07">
        <w:rPr>
          <w:rStyle w:val="References"/>
        </w:rPr>
        <w:t>]</w:t>
      </w:r>
    </w:p>
    <w:p w14:paraId="4471AD1E" w14:textId="1E139E91" w:rsidR="00873094" w:rsidRDefault="0049087F" w:rsidP="006479AC">
      <w:pPr>
        <w:pStyle w:val="Normalparatextwithnumbers"/>
      </w:pPr>
      <w:r w:rsidRPr="0049087F">
        <w:t xml:space="preserve">The amendments relating to </w:t>
      </w:r>
      <w:r w:rsidR="00230DE4">
        <w:t xml:space="preserve">the capital allowance provisions dealing with </w:t>
      </w:r>
      <w:r w:rsidRPr="0049087F">
        <w:t>MQPRs apply in respect of</w:t>
      </w:r>
      <w:r w:rsidR="004A4C71">
        <w:t xml:space="preserve"> an</w:t>
      </w:r>
      <w:r w:rsidRPr="0049087F">
        <w:t xml:space="preserve"> MQPR </w:t>
      </w:r>
      <w:r w:rsidR="00782951">
        <w:t>that an entity started to hold</w:t>
      </w:r>
      <w:r w:rsidRPr="0049087F">
        <w:t xml:space="preserve"> after the date of announcement (7:30PM (AEST) on 9 May 2023 (Budget night)).</w:t>
      </w:r>
      <w:r w:rsidR="002A5F07">
        <w:br/>
      </w:r>
      <w:r w:rsidR="002A5F07" w:rsidRPr="002A5F07">
        <w:rPr>
          <w:rStyle w:val="References"/>
        </w:rPr>
        <w:t xml:space="preserve">[Schedule </w:t>
      </w:r>
      <w:r w:rsidR="002A5F07">
        <w:rPr>
          <w:rStyle w:val="References"/>
        </w:rPr>
        <w:t>#</w:t>
      </w:r>
      <w:r w:rsidR="002A5F07" w:rsidRPr="002A5F07">
        <w:rPr>
          <w:rStyle w:val="References"/>
        </w:rPr>
        <w:t xml:space="preserve">, </w:t>
      </w:r>
      <w:r w:rsidR="00027D68">
        <w:rPr>
          <w:rStyle w:val="References"/>
        </w:rPr>
        <w:t xml:space="preserve">Part 1, </w:t>
      </w:r>
      <w:r w:rsidR="002A5F07" w:rsidRPr="002A5F07">
        <w:rPr>
          <w:rStyle w:val="References"/>
        </w:rPr>
        <w:t>item</w:t>
      </w:r>
      <w:r w:rsidR="002A5F07">
        <w:rPr>
          <w:rStyle w:val="References"/>
        </w:rPr>
        <w:t xml:space="preserve"> </w:t>
      </w:r>
      <w:r w:rsidR="00A84BD0">
        <w:rPr>
          <w:rStyle w:val="References"/>
        </w:rPr>
        <w:t>6</w:t>
      </w:r>
      <w:r w:rsidR="002A5F07" w:rsidRPr="002A5F07">
        <w:rPr>
          <w:rStyle w:val="References"/>
        </w:rPr>
        <w:t xml:space="preserve">] </w:t>
      </w:r>
    </w:p>
    <w:p w14:paraId="580B436B" w14:textId="77777777" w:rsidR="00873094" w:rsidRDefault="00873094" w:rsidP="00873094">
      <w:pPr>
        <w:spacing w:after="0" w:line="360" w:lineRule="auto"/>
        <w:contextualSpacing/>
      </w:pPr>
      <w:bookmarkStart w:id="55" w:name="_Hlk83390738"/>
      <w:bookmarkEnd w:id="43"/>
    </w:p>
    <w:bookmarkEnd w:id="5"/>
    <w:bookmarkEnd w:id="50"/>
    <w:bookmarkEnd w:id="51"/>
    <w:bookmarkEnd w:id="52"/>
    <w:bookmarkEnd w:id="53"/>
    <w:bookmarkEnd w:id="54"/>
    <w:bookmarkEnd w:id="55"/>
    <w:p w14:paraId="43A8F010" w14:textId="77777777" w:rsidR="00B77D03" w:rsidRDefault="00B77D03" w:rsidP="00D57A72">
      <w:pPr>
        <w:pStyle w:val="Normalparatextnonumbers"/>
      </w:pPr>
    </w:p>
    <w:sectPr w:rsidR="00B77D03" w:rsidSect="00000BFC">
      <w:headerReference w:type="first" r:id="rId24"/>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9DB76" w14:textId="77777777" w:rsidR="00BC6FD0" w:rsidRDefault="00BC6FD0">
      <w:pPr>
        <w:spacing w:before="0" w:after="0"/>
      </w:pPr>
      <w:r>
        <w:separator/>
      </w:r>
    </w:p>
  </w:endnote>
  <w:endnote w:type="continuationSeparator" w:id="0">
    <w:p w14:paraId="6D884D58" w14:textId="77777777" w:rsidR="00BC6FD0" w:rsidRDefault="00BC6FD0">
      <w:pPr>
        <w:spacing w:before="0" w:after="0"/>
      </w:pPr>
      <w:r>
        <w:continuationSeparator/>
      </w:r>
    </w:p>
  </w:endnote>
  <w:endnote w:type="continuationNotice" w:id="1">
    <w:p w14:paraId="6A15D46B" w14:textId="77777777" w:rsidR="00BC6FD0" w:rsidRDefault="00BC6F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E81C" w14:textId="392584C8" w:rsidR="00D57A72" w:rsidRDefault="00D57A72" w:rsidP="00D57A72">
    <w:pPr>
      <w:pStyle w:val="leftfoot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476A" w14:textId="303B36F1" w:rsidR="00D57A72" w:rsidRDefault="00D57A72" w:rsidP="00D57A72">
    <w:pPr>
      <w:pStyle w:val="rightfooter"/>
    </w:pPr>
    <w:r>
      <w:fldChar w:fldCharType="begin"/>
    </w:r>
    <w:r>
      <w:instrText xml:space="preserve"> PAGE  \* MERGEFORMAT </w:instrText>
    </w:r>
    <w:r>
      <w:fldChar w:fldCharType="separate"/>
    </w:r>
    <w:r>
      <w:rPr>
        <w:noProof/>
      </w:rPr>
      <w:t>iii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1398"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F4E3"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2D4F" w14:textId="77777777" w:rsidR="007A2DBD" w:rsidRPr="00091474" w:rsidRDefault="007A2DBD" w:rsidP="00D57A72">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C3D2" w14:textId="77777777" w:rsidR="00BC6FD0" w:rsidRDefault="00BC6FD0">
      <w:pPr>
        <w:spacing w:before="0" w:after="0"/>
      </w:pPr>
      <w:r>
        <w:separator/>
      </w:r>
    </w:p>
  </w:footnote>
  <w:footnote w:type="continuationSeparator" w:id="0">
    <w:p w14:paraId="3042168E" w14:textId="77777777" w:rsidR="00BC6FD0" w:rsidRDefault="00BC6FD0">
      <w:pPr>
        <w:spacing w:before="0" w:after="0"/>
      </w:pPr>
      <w:r>
        <w:continuationSeparator/>
      </w:r>
    </w:p>
  </w:footnote>
  <w:footnote w:type="continuationNotice" w:id="1">
    <w:p w14:paraId="1F3FADA2" w14:textId="77777777" w:rsidR="00BC6FD0" w:rsidRDefault="00BC6FD0">
      <w:pPr>
        <w:spacing w:before="0" w:after="0"/>
      </w:pPr>
    </w:p>
  </w:footnote>
  <w:footnote w:id="2">
    <w:p w14:paraId="3477DE26" w14:textId="36DBE22A" w:rsidR="009202D9" w:rsidRDefault="009202D9" w:rsidP="00535E6F">
      <w:pPr>
        <w:pStyle w:val="FootnoteText"/>
      </w:pPr>
      <w:r>
        <w:rPr>
          <w:rStyle w:val="FootnoteReference"/>
        </w:rPr>
        <w:footnoteRef/>
      </w:r>
      <w:r>
        <w:t xml:space="preserve"> </w:t>
      </w:r>
      <w:r w:rsidR="00C169C4">
        <w:t>This is consistent with the established legal principle that, unless the contrary intention appears, the law disregards certain things as de minimis</w:t>
      </w:r>
      <w:r w:rsidR="00535E6F">
        <w:t xml:space="preserve"> (see, for example, </w:t>
      </w:r>
      <w:r w:rsidR="00535E6F" w:rsidRPr="001712A2">
        <w:rPr>
          <w:i/>
          <w:iCs/>
        </w:rPr>
        <w:t>Farnell Electronic Components Pty Ltd v. Collector of Customs</w:t>
      </w:r>
      <w:r w:rsidR="00535E6F">
        <w:t xml:space="preserve"> ((1996) 72 FCR 125; 1996142 ALR 322 per Hill J at 324-327</w:t>
      </w:r>
      <w:r w:rsidR="001712A2">
        <w:t>)</w:t>
      </w:r>
      <w:r w:rsidR="00BD2FC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54A13731" w14:textId="77777777" w:rsidR="007A2DBD" w:rsidRDefault="00E22791">
        <w:pPr>
          <w:pStyle w:val="Header"/>
        </w:pPr>
        <w:r>
          <w:rPr>
            <w:noProof/>
          </w:rPr>
          <w:pict w14:anchorId="52A43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D288"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CE97" w14:textId="77777777"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9F221C">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9374"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3F83" w14:textId="029663BA" w:rsidR="007A2DBD" w:rsidRPr="00D57A72" w:rsidRDefault="00E22791" w:rsidP="00D57A72">
    <w:pPr>
      <w:pStyle w:val="leftheader"/>
    </w:pPr>
    <w:r>
      <w:fldChar w:fldCharType="begin"/>
    </w:r>
    <w:r>
      <w:instrText xml:space="preserve"> STYLEREF "Chapter heading" \* MERGEFORMAT </w:instrText>
    </w:r>
    <w:r>
      <w:fldChar w:fldCharType="separate"/>
    </w:r>
    <w:r>
      <w:rPr>
        <w:noProof/>
      </w:rPr>
      <w:t>Clarifying the tax treatment of ‘exploration’ and ‘mining, quarrying and prospecting rights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2D5A" w14:textId="04C400A9" w:rsidR="007A2DBD" w:rsidRPr="00D57A72" w:rsidRDefault="00E22791" w:rsidP="00D57A72">
    <w:pPr>
      <w:pStyle w:val="rightheader"/>
    </w:pPr>
    <w:r>
      <w:fldChar w:fldCharType="begin"/>
    </w:r>
    <w:r>
      <w:instrText xml:space="preserve"> STYLEREF "Bill Name" \* MERGEFORMAT </w:instrText>
    </w:r>
    <w:r>
      <w:fldChar w:fldCharType="separate"/>
    </w:r>
    <w:r>
      <w:rPr>
        <w:noProof/>
      </w:rPr>
      <w:t>Treasury Laws Amendment (Measures for Consultation) Bill 2023: Capital allowances for mining, quarrying or prospecting rights and clarifying the meaning of exploration for petroleum</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DBF2"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2B3DF" w14:textId="77777777" w:rsidR="00D57A72" w:rsidRDefault="00D57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2835"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5D2CC9"/>
    <w:multiLevelType w:val="multilevel"/>
    <w:tmpl w:val="EB40A84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0"/>
  </w:num>
  <w:num w:numId="2" w16cid:durableId="1948731128">
    <w:abstractNumId w:val="11"/>
  </w:num>
  <w:num w:numId="3" w16cid:durableId="182970768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3"/>
  </w:num>
  <w:num w:numId="7" w16cid:durableId="102290195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4"/>
  </w:num>
  <w:num w:numId="9" w16cid:durableId="911041120">
    <w:abstractNumId w:val="13"/>
  </w:num>
  <w:num w:numId="10" w16cid:durableId="2017876939">
    <w:abstractNumId w:val="7"/>
  </w:num>
  <w:num w:numId="11" w16cid:durableId="679544403">
    <w:abstractNumId w:val="6"/>
  </w:num>
  <w:num w:numId="12" w16cid:durableId="974681568">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11"/>
  </w:num>
  <w:num w:numId="14" w16cid:durableId="1648515472">
    <w:abstractNumId w:val="9"/>
  </w:num>
  <w:num w:numId="15" w16cid:durableId="407070147">
    <w:abstractNumId w:val="10"/>
  </w:num>
  <w:num w:numId="16" w16cid:durableId="1102265301">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4"/>
  </w:num>
  <w:num w:numId="18" w16cid:durableId="680205999">
    <w:abstractNumId w:val="2"/>
  </w:num>
  <w:num w:numId="19" w16cid:durableId="1491290959">
    <w:abstractNumId w:val="8"/>
  </w:num>
  <w:num w:numId="20" w16cid:durableId="1101536722">
    <w:abstractNumId w:val="12"/>
  </w:num>
  <w:num w:numId="21" w16cid:durableId="1399742980">
    <w:abstractNumId w:val="11"/>
  </w:num>
  <w:num w:numId="22" w16cid:durableId="397169042">
    <w:abstractNumId w:val="1"/>
  </w:num>
  <w:num w:numId="23" w16cid:durableId="785856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1C"/>
    <w:rsid w:val="00000BFC"/>
    <w:rsid w:val="00001C5F"/>
    <w:rsid w:val="00002A82"/>
    <w:rsid w:val="00003F3B"/>
    <w:rsid w:val="00007BFC"/>
    <w:rsid w:val="00007E28"/>
    <w:rsid w:val="00010557"/>
    <w:rsid w:val="00010DBB"/>
    <w:rsid w:val="00017B8A"/>
    <w:rsid w:val="000219C5"/>
    <w:rsid w:val="00021DAA"/>
    <w:rsid w:val="00026BB7"/>
    <w:rsid w:val="00027D68"/>
    <w:rsid w:val="00030CBD"/>
    <w:rsid w:val="00030FD5"/>
    <w:rsid w:val="00034A3E"/>
    <w:rsid w:val="0003718E"/>
    <w:rsid w:val="00037CAC"/>
    <w:rsid w:val="00040058"/>
    <w:rsid w:val="00040F97"/>
    <w:rsid w:val="00041348"/>
    <w:rsid w:val="00042089"/>
    <w:rsid w:val="00043E8E"/>
    <w:rsid w:val="000441F6"/>
    <w:rsid w:val="00044A4A"/>
    <w:rsid w:val="000464D9"/>
    <w:rsid w:val="00047FF2"/>
    <w:rsid w:val="00053713"/>
    <w:rsid w:val="00053BA2"/>
    <w:rsid w:val="0005687A"/>
    <w:rsid w:val="00057041"/>
    <w:rsid w:val="00060C34"/>
    <w:rsid w:val="00062E94"/>
    <w:rsid w:val="0006540C"/>
    <w:rsid w:val="000655C8"/>
    <w:rsid w:val="000657B5"/>
    <w:rsid w:val="00076DDE"/>
    <w:rsid w:val="00076EC1"/>
    <w:rsid w:val="00077C18"/>
    <w:rsid w:val="000806A1"/>
    <w:rsid w:val="00082F44"/>
    <w:rsid w:val="00083EE4"/>
    <w:rsid w:val="00087F47"/>
    <w:rsid w:val="00087FE9"/>
    <w:rsid w:val="000903A4"/>
    <w:rsid w:val="00090A2C"/>
    <w:rsid w:val="00091DC8"/>
    <w:rsid w:val="00093F00"/>
    <w:rsid w:val="00094594"/>
    <w:rsid w:val="00094985"/>
    <w:rsid w:val="00095A0C"/>
    <w:rsid w:val="000963F4"/>
    <w:rsid w:val="000969A1"/>
    <w:rsid w:val="000A317C"/>
    <w:rsid w:val="000A3230"/>
    <w:rsid w:val="000A3ED0"/>
    <w:rsid w:val="000A4EB2"/>
    <w:rsid w:val="000A5E56"/>
    <w:rsid w:val="000B221E"/>
    <w:rsid w:val="000B38EF"/>
    <w:rsid w:val="000B5884"/>
    <w:rsid w:val="000B6B3E"/>
    <w:rsid w:val="000B7D6E"/>
    <w:rsid w:val="000C1C72"/>
    <w:rsid w:val="000C29C6"/>
    <w:rsid w:val="000C3AB7"/>
    <w:rsid w:val="000C5E3C"/>
    <w:rsid w:val="000C6583"/>
    <w:rsid w:val="000D2EBA"/>
    <w:rsid w:val="000D3778"/>
    <w:rsid w:val="000D4561"/>
    <w:rsid w:val="000D460F"/>
    <w:rsid w:val="000D46EE"/>
    <w:rsid w:val="000D4C47"/>
    <w:rsid w:val="000D4CC3"/>
    <w:rsid w:val="000E2D6B"/>
    <w:rsid w:val="000E4B96"/>
    <w:rsid w:val="000E4D39"/>
    <w:rsid w:val="000E521B"/>
    <w:rsid w:val="000E6B16"/>
    <w:rsid w:val="000E6DEC"/>
    <w:rsid w:val="000F0368"/>
    <w:rsid w:val="000F1ED1"/>
    <w:rsid w:val="000F5AEE"/>
    <w:rsid w:val="000F6064"/>
    <w:rsid w:val="000F6DC0"/>
    <w:rsid w:val="001001DB"/>
    <w:rsid w:val="00101274"/>
    <w:rsid w:val="00103D20"/>
    <w:rsid w:val="00105742"/>
    <w:rsid w:val="00105E85"/>
    <w:rsid w:val="001063E3"/>
    <w:rsid w:val="001064C7"/>
    <w:rsid w:val="001065ED"/>
    <w:rsid w:val="00106FDC"/>
    <w:rsid w:val="0010779C"/>
    <w:rsid w:val="00110F2A"/>
    <w:rsid w:val="00115509"/>
    <w:rsid w:val="001156B5"/>
    <w:rsid w:val="00116B05"/>
    <w:rsid w:val="001171C8"/>
    <w:rsid w:val="001227A2"/>
    <w:rsid w:val="00125B06"/>
    <w:rsid w:val="00125E61"/>
    <w:rsid w:val="0012672D"/>
    <w:rsid w:val="00127C5C"/>
    <w:rsid w:val="001314ED"/>
    <w:rsid w:val="001331C0"/>
    <w:rsid w:val="001360A7"/>
    <w:rsid w:val="00141701"/>
    <w:rsid w:val="001418C3"/>
    <w:rsid w:val="00142635"/>
    <w:rsid w:val="0014271D"/>
    <w:rsid w:val="0014293A"/>
    <w:rsid w:val="001442FB"/>
    <w:rsid w:val="00144991"/>
    <w:rsid w:val="00146D5F"/>
    <w:rsid w:val="0015094B"/>
    <w:rsid w:val="00156956"/>
    <w:rsid w:val="001573E2"/>
    <w:rsid w:val="0015792B"/>
    <w:rsid w:val="00157FCF"/>
    <w:rsid w:val="00161A5A"/>
    <w:rsid w:val="00161F1C"/>
    <w:rsid w:val="00163457"/>
    <w:rsid w:val="001644E1"/>
    <w:rsid w:val="00164733"/>
    <w:rsid w:val="00170C78"/>
    <w:rsid w:val="00171248"/>
    <w:rsid w:val="001712A2"/>
    <w:rsid w:val="0017187C"/>
    <w:rsid w:val="00171A90"/>
    <w:rsid w:val="00172A99"/>
    <w:rsid w:val="00173CB1"/>
    <w:rsid w:val="001741A2"/>
    <w:rsid w:val="00183D52"/>
    <w:rsid w:val="001873D1"/>
    <w:rsid w:val="00191A58"/>
    <w:rsid w:val="00192127"/>
    <w:rsid w:val="00193E7D"/>
    <w:rsid w:val="001949C8"/>
    <w:rsid w:val="00195D1C"/>
    <w:rsid w:val="001979AD"/>
    <w:rsid w:val="001A4FCF"/>
    <w:rsid w:val="001A5EC6"/>
    <w:rsid w:val="001B07FA"/>
    <w:rsid w:val="001B1306"/>
    <w:rsid w:val="001B1401"/>
    <w:rsid w:val="001B20A6"/>
    <w:rsid w:val="001B762C"/>
    <w:rsid w:val="001C0BCC"/>
    <w:rsid w:val="001C1FCB"/>
    <w:rsid w:val="001C3E64"/>
    <w:rsid w:val="001C5CBF"/>
    <w:rsid w:val="001D0DB6"/>
    <w:rsid w:val="001D2162"/>
    <w:rsid w:val="001D41BA"/>
    <w:rsid w:val="001D5B54"/>
    <w:rsid w:val="001E01BF"/>
    <w:rsid w:val="001E114F"/>
    <w:rsid w:val="001E15AF"/>
    <w:rsid w:val="001E1B9E"/>
    <w:rsid w:val="001E3207"/>
    <w:rsid w:val="001E44A3"/>
    <w:rsid w:val="001E4DB5"/>
    <w:rsid w:val="001E72F8"/>
    <w:rsid w:val="001E7968"/>
    <w:rsid w:val="001F0205"/>
    <w:rsid w:val="001F4FB7"/>
    <w:rsid w:val="001F5DC5"/>
    <w:rsid w:val="001F670B"/>
    <w:rsid w:val="00210481"/>
    <w:rsid w:val="002119A1"/>
    <w:rsid w:val="002119F6"/>
    <w:rsid w:val="002137F7"/>
    <w:rsid w:val="002148A2"/>
    <w:rsid w:val="002161F0"/>
    <w:rsid w:val="002207FB"/>
    <w:rsid w:val="002208C5"/>
    <w:rsid w:val="00220EBB"/>
    <w:rsid w:val="00221D5A"/>
    <w:rsid w:val="00224233"/>
    <w:rsid w:val="002271DC"/>
    <w:rsid w:val="00230C17"/>
    <w:rsid w:val="00230DE4"/>
    <w:rsid w:val="002322BC"/>
    <w:rsid w:val="00232CF3"/>
    <w:rsid w:val="00233C50"/>
    <w:rsid w:val="0023409D"/>
    <w:rsid w:val="00237CB3"/>
    <w:rsid w:val="00241AF6"/>
    <w:rsid w:val="002425D9"/>
    <w:rsid w:val="00242B2A"/>
    <w:rsid w:val="0024481C"/>
    <w:rsid w:val="002453F5"/>
    <w:rsid w:val="00245EFB"/>
    <w:rsid w:val="00245FEC"/>
    <w:rsid w:val="0024784F"/>
    <w:rsid w:val="00250844"/>
    <w:rsid w:val="002517B0"/>
    <w:rsid w:val="00253803"/>
    <w:rsid w:val="0025428D"/>
    <w:rsid w:val="0025469B"/>
    <w:rsid w:val="002562B2"/>
    <w:rsid w:val="0025656C"/>
    <w:rsid w:val="00260B8B"/>
    <w:rsid w:val="002629CC"/>
    <w:rsid w:val="00265B17"/>
    <w:rsid w:val="00265DAB"/>
    <w:rsid w:val="00267C21"/>
    <w:rsid w:val="0027000D"/>
    <w:rsid w:val="00270231"/>
    <w:rsid w:val="002704BC"/>
    <w:rsid w:val="00272F66"/>
    <w:rsid w:val="0027322A"/>
    <w:rsid w:val="00273DB8"/>
    <w:rsid w:val="00274D5C"/>
    <w:rsid w:val="00276753"/>
    <w:rsid w:val="00276E3A"/>
    <w:rsid w:val="00280FA9"/>
    <w:rsid w:val="00281632"/>
    <w:rsid w:val="00284307"/>
    <w:rsid w:val="002850AE"/>
    <w:rsid w:val="002872AB"/>
    <w:rsid w:val="00290213"/>
    <w:rsid w:val="00290551"/>
    <w:rsid w:val="00290779"/>
    <w:rsid w:val="0029327D"/>
    <w:rsid w:val="002935AC"/>
    <w:rsid w:val="00297081"/>
    <w:rsid w:val="002A04DA"/>
    <w:rsid w:val="002A117E"/>
    <w:rsid w:val="002A2137"/>
    <w:rsid w:val="002A2FAD"/>
    <w:rsid w:val="002A52E5"/>
    <w:rsid w:val="002A5F07"/>
    <w:rsid w:val="002A6662"/>
    <w:rsid w:val="002B045B"/>
    <w:rsid w:val="002B0B67"/>
    <w:rsid w:val="002B13DC"/>
    <w:rsid w:val="002B14FA"/>
    <w:rsid w:val="002B1D9E"/>
    <w:rsid w:val="002B4621"/>
    <w:rsid w:val="002B5444"/>
    <w:rsid w:val="002B623C"/>
    <w:rsid w:val="002B6A6D"/>
    <w:rsid w:val="002B6F60"/>
    <w:rsid w:val="002B6F64"/>
    <w:rsid w:val="002C0AB7"/>
    <w:rsid w:val="002C3438"/>
    <w:rsid w:val="002C538D"/>
    <w:rsid w:val="002C56DC"/>
    <w:rsid w:val="002C66DA"/>
    <w:rsid w:val="002C78D6"/>
    <w:rsid w:val="002D080A"/>
    <w:rsid w:val="002D0C02"/>
    <w:rsid w:val="002D2C0F"/>
    <w:rsid w:val="002D663E"/>
    <w:rsid w:val="002D73D4"/>
    <w:rsid w:val="002E01FF"/>
    <w:rsid w:val="002E063D"/>
    <w:rsid w:val="002E1263"/>
    <w:rsid w:val="002E3D84"/>
    <w:rsid w:val="002E567B"/>
    <w:rsid w:val="002E58F7"/>
    <w:rsid w:val="002F04B8"/>
    <w:rsid w:val="002F1A68"/>
    <w:rsid w:val="002F1CB0"/>
    <w:rsid w:val="002F4B60"/>
    <w:rsid w:val="002F4F81"/>
    <w:rsid w:val="002F5302"/>
    <w:rsid w:val="002F6E4B"/>
    <w:rsid w:val="0030379D"/>
    <w:rsid w:val="00310105"/>
    <w:rsid w:val="00310AD6"/>
    <w:rsid w:val="00310D3E"/>
    <w:rsid w:val="00310F1B"/>
    <w:rsid w:val="00311056"/>
    <w:rsid w:val="00311DF0"/>
    <w:rsid w:val="00312A00"/>
    <w:rsid w:val="00315D81"/>
    <w:rsid w:val="00320C94"/>
    <w:rsid w:val="00323B1B"/>
    <w:rsid w:val="00327944"/>
    <w:rsid w:val="0033352F"/>
    <w:rsid w:val="00333E12"/>
    <w:rsid w:val="00334EA3"/>
    <w:rsid w:val="003354BD"/>
    <w:rsid w:val="00336365"/>
    <w:rsid w:val="0033712A"/>
    <w:rsid w:val="0034193A"/>
    <w:rsid w:val="00343A9D"/>
    <w:rsid w:val="0034599D"/>
    <w:rsid w:val="003477BD"/>
    <w:rsid w:val="003510A8"/>
    <w:rsid w:val="00351274"/>
    <w:rsid w:val="00351571"/>
    <w:rsid w:val="00351D4D"/>
    <w:rsid w:val="003520B3"/>
    <w:rsid w:val="00352AEB"/>
    <w:rsid w:val="00353012"/>
    <w:rsid w:val="003556BF"/>
    <w:rsid w:val="00366509"/>
    <w:rsid w:val="003667A0"/>
    <w:rsid w:val="0036790F"/>
    <w:rsid w:val="00372A80"/>
    <w:rsid w:val="00377243"/>
    <w:rsid w:val="00380E65"/>
    <w:rsid w:val="00381333"/>
    <w:rsid w:val="00384957"/>
    <w:rsid w:val="00384EA9"/>
    <w:rsid w:val="00385D63"/>
    <w:rsid w:val="00387402"/>
    <w:rsid w:val="00390557"/>
    <w:rsid w:val="003920F5"/>
    <w:rsid w:val="00392A76"/>
    <w:rsid w:val="00392AD2"/>
    <w:rsid w:val="0039391C"/>
    <w:rsid w:val="00393BF4"/>
    <w:rsid w:val="00393CFA"/>
    <w:rsid w:val="00394215"/>
    <w:rsid w:val="00394723"/>
    <w:rsid w:val="003971ED"/>
    <w:rsid w:val="003A0372"/>
    <w:rsid w:val="003A565F"/>
    <w:rsid w:val="003B1392"/>
    <w:rsid w:val="003B2F9F"/>
    <w:rsid w:val="003B7DE4"/>
    <w:rsid w:val="003C0C9E"/>
    <w:rsid w:val="003C1BA5"/>
    <w:rsid w:val="003C3E70"/>
    <w:rsid w:val="003C5247"/>
    <w:rsid w:val="003C65ED"/>
    <w:rsid w:val="003D62BF"/>
    <w:rsid w:val="003E0A01"/>
    <w:rsid w:val="003E3E7A"/>
    <w:rsid w:val="003E3FA9"/>
    <w:rsid w:val="003F03B6"/>
    <w:rsid w:val="003F1AD7"/>
    <w:rsid w:val="003F2BCA"/>
    <w:rsid w:val="003F47B2"/>
    <w:rsid w:val="00400317"/>
    <w:rsid w:val="0040493A"/>
    <w:rsid w:val="00407997"/>
    <w:rsid w:val="00407D55"/>
    <w:rsid w:val="00414017"/>
    <w:rsid w:val="004176A6"/>
    <w:rsid w:val="00420997"/>
    <w:rsid w:val="004219AC"/>
    <w:rsid w:val="00423911"/>
    <w:rsid w:val="004269D0"/>
    <w:rsid w:val="0042716E"/>
    <w:rsid w:val="00427EDF"/>
    <w:rsid w:val="00430A32"/>
    <w:rsid w:val="00430DAA"/>
    <w:rsid w:val="004311EA"/>
    <w:rsid w:val="00431448"/>
    <w:rsid w:val="00431648"/>
    <w:rsid w:val="00431B9C"/>
    <w:rsid w:val="004322BD"/>
    <w:rsid w:val="0043296E"/>
    <w:rsid w:val="00435034"/>
    <w:rsid w:val="00440582"/>
    <w:rsid w:val="004411F1"/>
    <w:rsid w:val="00441E41"/>
    <w:rsid w:val="00444509"/>
    <w:rsid w:val="004510F5"/>
    <w:rsid w:val="00452B4C"/>
    <w:rsid w:val="004572DE"/>
    <w:rsid w:val="004603EF"/>
    <w:rsid w:val="004633EE"/>
    <w:rsid w:val="004662F7"/>
    <w:rsid w:val="00471EDC"/>
    <w:rsid w:val="0047418F"/>
    <w:rsid w:val="0047593B"/>
    <w:rsid w:val="00475B35"/>
    <w:rsid w:val="00477C04"/>
    <w:rsid w:val="00477DF5"/>
    <w:rsid w:val="00480981"/>
    <w:rsid w:val="00484184"/>
    <w:rsid w:val="00485FD0"/>
    <w:rsid w:val="00486CDA"/>
    <w:rsid w:val="0049087F"/>
    <w:rsid w:val="00492729"/>
    <w:rsid w:val="00496642"/>
    <w:rsid w:val="00496C21"/>
    <w:rsid w:val="004971E2"/>
    <w:rsid w:val="004A0997"/>
    <w:rsid w:val="004A1DA5"/>
    <w:rsid w:val="004A3476"/>
    <w:rsid w:val="004A453D"/>
    <w:rsid w:val="004A4C71"/>
    <w:rsid w:val="004B1C70"/>
    <w:rsid w:val="004B1F33"/>
    <w:rsid w:val="004B307A"/>
    <w:rsid w:val="004B66D7"/>
    <w:rsid w:val="004C1CBE"/>
    <w:rsid w:val="004C1F69"/>
    <w:rsid w:val="004C2047"/>
    <w:rsid w:val="004D12E0"/>
    <w:rsid w:val="004D23EA"/>
    <w:rsid w:val="004D35EE"/>
    <w:rsid w:val="004D3BAB"/>
    <w:rsid w:val="004D717B"/>
    <w:rsid w:val="004E2FC0"/>
    <w:rsid w:val="004E32F6"/>
    <w:rsid w:val="004E4CA4"/>
    <w:rsid w:val="004E6DAB"/>
    <w:rsid w:val="004F09F9"/>
    <w:rsid w:val="004F23C3"/>
    <w:rsid w:val="004F477F"/>
    <w:rsid w:val="004F57A0"/>
    <w:rsid w:val="004F7C15"/>
    <w:rsid w:val="0050476E"/>
    <w:rsid w:val="00505347"/>
    <w:rsid w:val="005066F5"/>
    <w:rsid w:val="00506C8E"/>
    <w:rsid w:val="00512C46"/>
    <w:rsid w:val="0051358E"/>
    <w:rsid w:val="005145BF"/>
    <w:rsid w:val="00515339"/>
    <w:rsid w:val="00517498"/>
    <w:rsid w:val="00517D6E"/>
    <w:rsid w:val="005206B5"/>
    <w:rsid w:val="005244B3"/>
    <w:rsid w:val="00525058"/>
    <w:rsid w:val="00525550"/>
    <w:rsid w:val="00531C67"/>
    <w:rsid w:val="00533B57"/>
    <w:rsid w:val="005353A4"/>
    <w:rsid w:val="005356CB"/>
    <w:rsid w:val="00535E6F"/>
    <w:rsid w:val="00537D31"/>
    <w:rsid w:val="00541098"/>
    <w:rsid w:val="0054127C"/>
    <w:rsid w:val="00542299"/>
    <w:rsid w:val="005445ED"/>
    <w:rsid w:val="0054499D"/>
    <w:rsid w:val="005515C0"/>
    <w:rsid w:val="00551A54"/>
    <w:rsid w:val="00555BDF"/>
    <w:rsid w:val="00561CB5"/>
    <w:rsid w:val="0056249A"/>
    <w:rsid w:val="0056324C"/>
    <w:rsid w:val="00563DF5"/>
    <w:rsid w:val="00563F40"/>
    <w:rsid w:val="0056675C"/>
    <w:rsid w:val="005704F3"/>
    <w:rsid w:val="00570685"/>
    <w:rsid w:val="0057163B"/>
    <w:rsid w:val="005723FC"/>
    <w:rsid w:val="0057303B"/>
    <w:rsid w:val="005750D5"/>
    <w:rsid w:val="005753AF"/>
    <w:rsid w:val="005761E7"/>
    <w:rsid w:val="00577F01"/>
    <w:rsid w:val="00582000"/>
    <w:rsid w:val="00582F08"/>
    <w:rsid w:val="00582FCD"/>
    <w:rsid w:val="00586B83"/>
    <w:rsid w:val="00586D16"/>
    <w:rsid w:val="0058767E"/>
    <w:rsid w:val="00587FBB"/>
    <w:rsid w:val="00590362"/>
    <w:rsid w:val="0059200B"/>
    <w:rsid w:val="00593AD4"/>
    <w:rsid w:val="00594AC6"/>
    <w:rsid w:val="00595EB6"/>
    <w:rsid w:val="005A1C4D"/>
    <w:rsid w:val="005A3AA3"/>
    <w:rsid w:val="005A41B0"/>
    <w:rsid w:val="005A4AC3"/>
    <w:rsid w:val="005A5A9A"/>
    <w:rsid w:val="005A5AD6"/>
    <w:rsid w:val="005A73AE"/>
    <w:rsid w:val="005B38F6"/>
    <w:rsid w:val="005B421F"/>
    <w:rsid w:val="005B7793"/>
    <w:rsid w:val="005C2BD1"/>
    <w:rsid w:val="005C4A61"/>
    <w:rsid w:val="005C6886"/>
    <w:rsid w:val="005C69B4"/>
    <w:rsid w:val="005D0844"/>
    <w:rsid w:val="005D169F"/>
    <w:rsid w:val="005D2E11"/>
    <w:rsid w:val="005D3DBA"/>
    <w:rsid w:val="005D507F"/>
    <w:rsid w:val="005D585D"/>
    <w:rsid w:val="005D5F12"/>
    <w:rsid w:val="005D6891"/>
    <w:rsid w:val="005E0E8E"/>
    <w:rsid w:val="005E1542"/>
    <w:rsid w:val="005E388C"/>
    <w:rsid w:val="005E5751"/>
    <w:rsid w:val="005E651B"/>
    <w:rsid w:val="005F154F"/>
    <w:rsid w:val="005F18C7"/>
    <w:rsid w:val="005F29FF"/>
    <w:rsid w:val="005F535A"/>
    <w:rsid w:val="00600BDB"/>
    <w:rsid w:val="0060169C"/>
    <w:rsid w:val="006020FB"/>
    <w:rsid w:val="006042C2"/>
    <w:rsid w:val="00604E6E"/>
    <w:rsid w:val="006053AA"/>
    <w:rsid w:val="00605A23"/>
    <w:rsid w:val="00612FD6"/>
    <w:rsid w:val="00621FE3"/>
    <w:rsid w:val="00622763"/>
    <w:rsid w:val="006235C8"/>
    <w:rsid w:val="00623B48"/>
    <w:rsid w:val="00623E6B"/>
    <w:rsid w:val="00624905"/>
    <w:rsid w:val="00624F56"/>
    <w:rsid w:val="00630725"/>
    <w:rsid w:val="00631D8A"/>
    <w:rsid w:val="00631EC4"/>
    <w:rsid w:val="00631F20"/>
    <w:rsid w:val="00632290"/>
    <w:rsid w:val="00632AF9"/>
    <w:rsid w:val="00634834"/>
    <w:rsid w:val="006422A5"/>
    <w:rsid w:val="00642420"/>
    <w:rsid w:val="00642CF8"/>
    <w:rsid w:val="006479AC"/>
    <w:rsid w:val="00651529"/>
    <w:rsid w:val="006601AE"/>
    <w:rsid w:val="0066218C"/>
    <w:rsid w:val="00667B2B"/>
    <w:rsid w:val="00673945"/>
    <w:rsid w:val="00677150"/>
    <w:rsid w:val="00683847"/>
    <w:rsid w:val="00683CBD"/>
    <w:rsid w:val="00685582"/>
    <w:rsid w:val="006867C6"/>
    <w:rsid w:val="00686F74"/>
    <w:rsid w:val="00690940"/>
    <w:rsid w:val="00691CB0"/>
    <w:rsid w:val="0069411B"/>
    <w:rsid w:val="00696377"/>
    <w:rsid w:val="006A0DFA"/>
    <w:rsid w:val="006A15C5"/>
    <w:rsid w:val="006A2BC6"/>
    <w:rsid w:val="006A3313"/>
    <w:rsid w:val="006A36B3"/>
    <w:rsid w:val="006A4093"/>
    <w:rsid w:val="006A74F1"/>
    <w:rsid w:val="006A790B"/>
    <w:rsid w:val="006B0D66"/>
    <w:rsid w:val="006B14D1"/>
    <w:rsid w:val="006B62F2"/>
    <w:rsid w:val="006B6930"/>
    <w:rsid w:val="006C192F"/>
    <w:rsid w:val="006C1B32"/>
    <w:rsid w:val="006C2CF2"/>
    <w:rsid w:val="006C40A4"/>
    <w:rsid w:val="006C67F6"/>
    <w:rsid w:val="006D118D"/>
    <w:rsid w:val="006D3C52"/>
    <w:rsid w:val="006D53EE"/>
    <w:rsid w:val="006E0237"/>
    <w:rsid w:val="006E699E"/>
    <w:rsid w:val="006F5B87"/>
    <w:rsid w:val="006F68B9"/>
    <w:rsid w:val="006F7188"/>
    <w:rsid w:val="00700530"/>
    <w:rsid w:val="00700B22"/>
    <w:rsid w:val="00704E75"/>
    <w:rsid w:val="00706523"/>
    <w:rsid w:val="007121B8"/>
    <w:rsid w:val="0071228E"/>
    <w:rsid w:val="00713398"/>
    <w:rsid w:val="007145E8"/>
    <w:rsid w:val="00715803"/>
    <w:rsid w:val="00716733"/>
    <w:rsid w:val="0071729E"/>
    <w:rsid w:val="007201B7"/>
    <w:rsid w:val="0072214D"/>
    <w:rsid w:val="00722B5E"/>
    <w:rsid w:val="00725940"/>
    <w:rsid w:val="0072682D"/>
    <w:rsid w:val="007316F6"/>
    <w:rsid w:val="00731BE4"/>
    <w:rsid w:val="0073326A"/>
    <w:rsid w:val="00734238"/>
    <w:rsid w:val="00741C7F"/>
    <w:rsid w:val="007426A8"/>
    <w:rsid w:val="00742B31"/>
    <w:rsid w:val="007479A1"/>
    <w:rsid w:val="00752137"/>
    <w:rsid w:val="00752190"/>
    <w:rsid w:val="007545FD"/>
    <w:rsid w:val="007608DE"/>
    <w:rsid w:val="00761047"/>
    <w:rsid w:val="0076225D"/>
    <w:rsid w:val="00762F39"/>
    <w:rsid w:val="00763484"/>
    <w:rsid w:val="007651EA"/>
    <w:rsid w:val="00766AE2"/>
    <w:rsid w:val="00766B37"/>
    <w:rsid w:val="00766BD1"/>
    <w:rsid w:val="007679DB"/>
    <w:rsid w:val="00771849"/>
    <w:rsid w:val="0077201A"/>
    <w:rsid w:val="00775B8A"/>
    <w:rsid w:val="007767A7"/>
    <w:rsid w:val="00777A92"/>
    <w:rsid w:val="00781AD2"/>
    <w:rsid w:val="0078204D"/>
    <w:rsid w:val="00782951"/>
    <w:rsid w:val="00783873"/>
    <w:rsid w:val="007850A3"/>
    <w:rsid w:val="00785252"/>
    <w:rsid w:val="00790AB7"/>
    <w:rsid w:val="00791ED3"/>
    <w:rsid w:val="007931B7"/>
    <w:rsid w:val="0079468B"/>
    <w:rsid w:val="0079478D"/>
    <w:rsid w:val="0079619E"/>
    <w:rsid w:val="007963B1"/>
    <w:rsid w:val="00796747"/>
    <w:rsid w:val="007A2DBD"/>
    <w:rsid w:val="007A3987"/>
    <w:rsid w:val="007A4FE8"/>
    <w:rsid w:val="007B07CB"/>
    <w:rsid w:val="007B1509"/>
    <w:rsid w:val="007B2129"/>
    <w:rsid w:val="007B41D7"/>
    <w:rsid w:val="007B4C43"/>
    <w:rsid w:val="007B6304"/>
    <w:rsid w:val="007B6A7A"/>
    <w:rsid w:val="007B7253"/>
    <w:rsid w:val="007C18DC"/>
    <w:rsid w:val="007C1F94"/>
    <w:rsid w:val="007C1FD8"/>
    <w:rsid w:val="007C4163"/>
    <w:rsid w:val="007C6371"/>
    <w:rsid w:val="007D0737"/>
    <w:rsid w:val="007D0C78"/>
    <w:rsid w:val="007D51E6"/>
    <w:rsid w:val="007E1ED8"/>
    <w:rsid w:val="007E4343"/>
    <w:rsid w:val="007E58A8"/>
    <w:rsid w:val="007E62B0"/>
    <w:rsid w:val="007E7CA0"/>
    <w:rsid w:val="007E7FEF"/>
    <w:rsid w:val="007F3B53"/>
    <w:rsid w:val="007F5F7D"/>
    <w:rsid w:val="0080178B"/>
    <w:rsid w:val="00801E6F"/>
    <w:rsid w:val="008032F8"/>
    <w:rsid w:val="00803F88"/>
    <w:rsid w:val="00806D26"/>
    <w:rsid w:val="00806DC6"/>
    <w:rsid w:val="0081116A"/>
    <w:rsid w:val="008111C7"/>
    <w:rsid w:val="008132B7"/>
    <w:rsid w:val="00814E8F"/>
    <w:rsid w:val="00815B78"/>
    <w:rsid w:val="00820175"/>
    <w:rsid w:val="00821BB0"/>
    <w:rsid w:val="0082284C"/>
    <w:rsid w:val="00823659"/>
    <w:rsid w:val="00824BF3"/>
    <w:rsid w:val="00825023"/>
    <w:rsid w:val="00825B5B"/>
    <w:rsid w:val="0082613C"/>
    <w:rsid w:val="0083156A"/>
    <w:rsid w:val="00833ADE"/>
    <w:rsid w:val="00834900"/>
    <w:rsid w:val="0083620A"/>
    <w:rsid w:val="00836AB4"/>
    <w:rsid w:val="00837531"/>
    <w:rsid w:val="00840882"/>
    <w:rsid w:val="008473EF"/>
    <w:rsid w:val="0084777C"/>
    <w:rsid w:val="00850BA7"/>
    <w:rsid w:val="008531E2"/>
    <w:rsid w:val="00854D3C"/>
    <w:rsid w:val="00854ECD"/>
    <w:rsid w:val="00857F3B"/>
    <w:rsid w:val="008624CF"/>
    <w:rsid w:val="00862C29"/>
    <w:rsid w:val="00870071"/>
    <w:rsid w:val="0087045C"/>
    <w:rsid w:val="00870AD7"/>
    <w:rsid w:val="00870CB2"/>
    <w:rsid w:val="00873094"/>
    <w:rsid w:val="00876161"/>
    <w:rsid w:val="0088176D"/>
    <w:rsid w:val="00883A1C"/>
    <w:rsid w:val="00883BEF"/>
    <w:rsid w:val="00883C7D"/>
    <w:rsid w:val="00883CB3"/>
    <w:rsid w:val="00886AFA"/>
    <w:rsid w:val="00891387"/>
    <w:rsid w:val="0089151D"/>
    <w:rsid w:val="00892AE8"/>
    <w:rsid w:val="008A3018"/>
    <w:rsid w:val="008A3B5F"/>
    <w:rsid w:val="008A4656"/>
    <w:rsid w:val="008A46FD"/>
    <w:rsid w:val="008A5A27"/>
    <w:rsid w:val="008A7C0D"/>
    <w:rsid w:val="008B1BC6"/>
    <w:rsid w:val="008C0AC2"/>
    <w:rsid w:val="008C0B07"/>
    <w:rsid w:val="008C0CC0"/>
    <w:rsid w:val="008C10CD"/>
    <w:rsid w:val="008C278D"/>
    <w:rsid w:val="008C5717"/>
    <w:rsid w:val="008C5C98"/>
    <w:rsid w:val="008D1B41"/>
    <w:rsid w:val="008D2C25"/>
    <w:rsid w:val="008D3DCE"/>
    <w:rsid w:val="008D7AF6"/>
    <w:rsid w:val="008E1321"/>
    <w:rsid w:val="008E22D3"/>
    <w:rsid w:val="008E3DC9"/>
    <w:rsid w:val="008E5283"/>
    <w:rsid w:val="008E5E40"/>
    <w:rsid w:val="008E7123"/>
    <w:rsid w:val="008F27E9"/>
    <w:rsid w:val="008F4A14"/>
    <w:rsid w:val="008F730E"/>
    <w:rsid w:val="009015E9"/>
    <w:rsid w:val="0090171F"/>
    <w:rsid w:val="009023D7"/>
    <w:rsid w:val="00906B1E"/>
    <w:rsid w:val="00907706"/>
    <w:rsid w:val="00907EB9"/>
    <w:rsid w:val="009107F7"/>
    <w:rsid w:val="00910F21"/>
    <w:rsid w:val="00911105"/>
    <w:rsid w:val="00912674"/>
    <w:rsid w:val="00913CE3"/>
    <w:rsid w:val="009158F0"/>
    <w:rsid w:val="0092000E"/>
    <w:rsid w:val="009202D9"/>
    <w:rsid w:val="00921263"/>
    <w:rsid w:val="00921FF5"/>
    <w:rsid w:val="00923F12"/>
    <w:rsid w:val="00924E28"/>
    <w:rsid w:val="009275EE"/>
    <w:rsid w:val="009301D0"/>
    <w:rsid w:val="009308B3"/>
    <w:rsid w:val="009321DC"/>
    <w:rsid w:val="00934B21"/>
    <w:rsid w:val="00935C5A"/>
    <w:rsid w:val="00936041"/>
    <w:rsid w:val="009372C6"/>
    <w:rsid w:val="00937D99"/>
    <w:rsid w:val="00941106"/>
    <w:rsid w:val="00941FD0"/>
    <w:rsid w:val="0094232C"/>
    <w:rsid w:val="0094234B"/>
    <w:rsid w:val="00942817"/>
    <w:rsid w:val="00943861"/>
    <w:rsid w:val="00945DEC"/>
    <w:rsid w:val="009502F9"/>
    <w:rsid w:val="009544AB"/>
    <w:rsid w:val="00956526"/>
    <w:rsid w:val="00956B17"/>
    <w:rsid w:val="00957865"/>
    <w:rsid w:val="009612E2"/>
    <w:rsid w:val="00961A86"/>
    <w:rsid w:val="00962CDF"/>
    <w:rsid w:val="00966650"/>
    <w:rsid w:val="009673E0"/>
    <w:rsid w:val="00970F44"/>
    <w:rsid w:val="0097159A"/>
    <w:rsid w:val="009732E4"/>
    <w:rsid w:val="009733DB"/>
    <w:rsid w:val="00973DFB"/>
    <w:rsid w:val="009747C3"/>
    <w:rsid w:val="009857F8"/>
    <w:rsid w:val="00985BB9"/>
    <w:rsid w:val="009908ED"/>
    <w:rsid w:val="00991121"/>
    <w:rsid w:val="009931B4"/>
    <w:rsid w:val="0099381D"/>
    <w:rsid w:val="00997304"/>
    <w:rsid w:val="009A0999"/>
    <w:rsid w:val="009A164E"/>
    <w:rsid w:val="009A1994"/>
    <w:rsid w:val="009A1D02"/>
    <w:rsid w:val="009A301F"/>
    <w:rsid w:val="009A5A85"/>
    <w:rsid w:val="009B0C46"/>
    <w:rsid w:val="009B18E0"/>
    <w:rsid w:val="009B2ACF"/>
    <w:rsid w:val="009B3004"/>
    <w:rsid w:val="009B3B77"/>
    <w:rsid w:val="009C14BB"/>
    <w:rsid w:val="009C25BB"/>
    <w:rsid w:val="009C335C"/>
    <w:rsid w:val="009C3B1D"/>
    <w:rsid w:val="009C4A6D"/>
    <w:rsid w:val="009C4C08"/>
    <w:rsid w:val="009C59D5"/>
    <w:rsid w:val="009C6132"/>
    <w:rsid w:val="009C671D"/>
    <w:rsid w:val="009D095E"/>
    <w:rsid w:val="009D1D51"/>
    <w:rsid w:val="009D4F05"/>
    <w:rsid w:val="009D5509"/>
    <w:rsid w:val="009D59BB"/>
    <w:rsid w:val="009D6075"/>
    <w:rsid w:val="009D70DE"/>
    <w:rsid w:val="009D7BED"/>
    <w:rsid w:val="009E45DB"/>
    <w:rsid w:val="009E5FF8"/>
    <w:rsid w:val="009F0316"/>
    <w:rsid w:val="009F221C"/>
    <w:rsid w:val="009F2DD7"/>
    <w:rsid w:val="009F3FA5"/>
    <w:rsid w:val="009F4E90"/>
    <w:rsid w:val="009F5473"/>
    <w:rsid w:val="009F5D38"/>
    <w:rsid w:val="009F6EA5"/>
    <w:rsid w:val="00A005BB"/>
    <w:rsid w:val="00A01E01"/>
    <w:rsid w:val="00A01E59"/>
    <w:rsid w:val="00A0330D"/>
    <w:rsid w:val="00A04BF2"/>
    <w:rsid w:val="00A07C8D"/>
    <w:rsid w:val="00A12BAA"/>
    <w:rsid w:val="00A13BEA"/>
    <w:rsid w:val="00A14B48"/>
    <w:rsid w:val="00A163A2"/>
    <w:rsid w:val="00A2242B"/>
    <w:rsid w:val="00A23118"/>
    <w:rsid w:val="00A240F8"/>
    <w:rsid w:val="00A24B27"/>
    <w:rsid w:val="00A24F2E"/>
    <w:rsid w:val="00A26C75"/>
    <w:rsid w:val="00A26C9C"/>
    <w:rsid w:val="00A30DF0"/>
    <w:rsid w:val="00A33394"/>
    <w:rsid w:val="00A34860"/>
    <w:rsid w:val="00A358E0"/>
    <w:rsid w:val="00A40EFB"/>
    <w:rsid w:val="00A43CCE"/>
    <w:rsid w:val="00A444AF"/>
    <w:rsid w:val="00A446D3"/>
    <w:rsid w:val="00A44B9B"/>
    <w:rsid w:val="00A50270"/>
    <w:rsid w:val="00A502C4"/>
    <w:rsid w:val="00A51171"/>
    <w:rsid w:val="00A52A9E"/>
    <w:rsid w:val="00A5614F"/>
    <w:rsid w:val="00A57502"/>
    <w:rsid w:val="00A63A51"/>
    <w:rsid w:val="00A63ECE"/>
    <w:rsid w:val="00A63F0F"/>
    <w:rsid w:val="00A643BB"/>
    <w:rsid w:val="00A6576D"/>
    <w:rsid w:val="00A65A84"/>
    <w:rsid w:val="00A66354"/>
    <w:rsid w:val="00A70D3A"/>
    <w:rsid w:val="00A70F09"/>
    <w:rsid w:val="00A7111A"/>
    <w:rsid w:val="00A73FC4"/>
    <w:rsid w:val="00A74B1A"/>
    <w:rsid w:val="00A7601E"/>
    <w:rsid w:val="00A762B1"/>
    <w:rsid w:val="00A76913"/>
    <w:rsid w:val="00A82A04"/>
    <w:rsid w:val="00A84BD0"/>
    <w:rsid w:val="00A855B9"/>
    <w:rsid w:val="00A85CDE"/>
    <w:rsid w:val="00A874D1"/>
    <w:rsid w:val="00A9588A"/>
    <w:rsid w:val="00AA0719"/>
    <w:rsid w:val="00AA2654"/>
    <w:rsid w:val="00AA5445"/>
    <w:rsid w:val="00AB0589"/>
    <w:rsid w:val="00AC0BB5"/>
    <w:rsid w:val="00AC0E6B"/>
    <w:rsid w:val="00AC0E87"/>
    <w:rsid w:val="00AC3AD8"/>
    <w:rsid w:val="00AC6095"/>
    <w:rsid w:val="00AC6AB1"/>
    <w:rsid w:val="00AD012C"/>
    <w:rsid w:val="00AD094D"/>
    <w:rsid w:val="00AD179F"/>
    <w:rsid w:val="00AD6123"/>
    <w:rsid w:val="00AD7EF3"/>
    <w:rsid w:val="00AE3A41"/>
    <w:rsid w:val="00AE4BFB"/>
    <w:rsid w:val="00AE4DF8"/>
    <w:rsid w:val="00AE583C"/>
    <w:rsid w:val="00AE66AC"/>
    <w:rsid w:val="00AE739D"/>
    <w:rsid w:val="00AF0E88"/>
    <w:rsid w:val="00AF1537"/>
    <w:rsid w:val="00AF270F"/>
    <w:rsid w:val="00AF3F2C"/>
    <w:rsid w:val="00AF50CE"/>
    <w:rsid w:val="00AF7CC4"/>
    <w:rsid w:val="00AF7EBB"/>
    <w:rsid w:val="00B028FF"/>
    <w:rsid w:val="00B06C7A"/>
    <w:rsid w:val="00B07271"/>
    <w:rsid w:val="00B10204"/>
    <w:rsid w:val="00B10D37"/>
    <w:rsid w:val="00B1293A"/>
    <w:rsid w:val="00B15209"/>
    <w:rsid w:val="00B1700A"/>
    <w:rsid w:val="00B20901"/>
    <w:rsid w:val="00B255C5"/>
    <w:rsid w:val="00B26B8F"/>
    <w:rsid w:val="00B33C26"/>
    <w:rsid w:val="00B36649"/>
    <w:rsid w:val="00B37264"/>
    <w:rsid w:val="00B40E76"/>
    <w:rsid w:val="00B438F2"/>
    <w:rsid w:val="00B46184"/>
    <w:rsid w:val="00B467AC"/>
    <w:rsid w:val="00B52FBF"/>
    <w:rsid w:val="00B53D29"/>
    <w:rsid w:val="00B55DF9"/>
    <w:rsid w:val="00B61424"/>
    <w:rsid w:val="00B619D5"/>
    <w:rsid w:val="00B61EF2"/>
    <w:rsid w:val="00B6538C"/>
    <w:rsid w:val="00B65CB5"/>
    <w:rsid w:val="00B65CF9"/>
    <w:rsid w:val="00B65FB6"/>
    <w:rsid w:val="00B72941"/>
    <w:rsid w:val="00B7393A"/>
    <w:rsid w:val="00B73F6F"/>
    <w:rsid w:val="00B73FCC"/>
    <w:rsid w:val="00B75117"/>
    <w:rsid w:val="00B751F9"/>
    <w:rsid w:val="00B766CB"/>
    <w:rsid w:val="00B76DA8"/>
    <w:rsid w:val="00B77D03"/>
    <w:rsid w:val="00B816E9"/>
    <w:rsid w:val="00B8187E"/>
    <w:rsid w:val="00B819F6"/>
    <w:rsid w:val="00B9079C"/>
    <w:rsid w:val="00B9242D"/>
    <w:rsid w:val="00B93385"/>
    <w:rsid w:val="00B93C2B"/>
    <w:rsid w:val="00B93C84"/>
    <w:rsid w:val="00B95D11"/>
    <w:rsid w:val="00B96479"/>
    <w:rsid w:val="00B9764E"/>
    <w:rsid w:val="00BA0394"/>
    <w:rsid w:val="00BA54C2"/>
    <w:rsid w:val="00BB29D8"/>
    <w:rsid w:val="00BB4703"/>
    <w:rsid w:val="00BB544C"/>
    <w:rsid w:val="00BB75A9"/>
    <w:rsid w:val="00BC086B"/>
    <w:rsid w:val="00BC2E4A"/>
    <w:rsid w:val="00BC3C6A"/>
    <w:rsid w:val="00BC3F1E"/>
    <w:rsid w:val="00BC4A9E"/>
    <w:rsid w:val="00BC5F57"/>
    <w:rsid w:val="00BC6FD0"/>
    <w:rsid w:val="00BD0751"/>
    <w:rsid w:val="00BD1F35"/>
    <w:rsid w:val="00BD201F"/>
    <w:rsid w:val="00BD2FCD"/>
    <w:rsid w:val="00BD3524"/>
    <w:rsid w:val="00BD38FF"/>
    <w:rsid w:val="00BD69B7"/>
    <w:rsid w:val="00BE139E"/>
    <w:rsid w:val="00BE196D"/>
    <w:rsid w:val="00BE5BC9"/>
    <w:rsid w:val="00BE5C68"/>
    <w:rsid w:val="00BE6382"/>
    <w:rsid w:val="00BF0D9E"/>
    <w:rsid w:val="00BF1804"/>
    <w:rsid w:val="00C0126D"/>
    <w:rsid w:val="00C06DAF"/>
    <w:rsid w:val="00C16329"/>
    <w:rsid w:val="00C169C4"/>
    <w:rsid w:val="00C17B52"/>
    <w:rsid w:val="00C2087B"/>
    <w:rsid w:val="00C21208"/>
    <w:rsid w:val="00C2134F"/>
    <w:rsid w:val="00C21FE5"/>
    <w:rsid w:val="00C2216C"/>
    <w:rsid w:val="00C25550"/>
    <w:rsid w:val="00C2649F"/>
    <w:rsid w:val="00C2676E"/>
    <w:rsid w:val="00C26D54"/>
    <w:rsid w:val="00C3076D"/>
    <w:rsid w:val="00C31A18"/>
    <w:rsid w:val="00C3282C"/>
    <w:rsid w:val="00C32C1D"/>
    <w:rsid w:val="00C35E2A"/>
    <w:rsid w:val="00C37453"/>
    <w:rsid w:val="00C41934"/>
    <w:rsid w:val="00C423CB"/>
    <w:rsid w:val="00C427D6"/>
    <w:rsid w:val="00C46D9E"/>
    <w:rsid w:val="00C56B7B"/>
    <w:rsid w:val="00C57052"/>
    <w:rsid w:val="00C61B5C"/>
    <w:rsid w:val="00C629C8"/>
    <w:rsid w:val="00C62BB7"/>
    <w:rsid w:val="00C64355"/>
    <w:rsid w:val="00C7284F"/>
    <w:rsid w:val="00C73896"/>
    <w:rsid w:val="00C80964"/>
    <w:rsid w:val="00C823E0"/>
    <w:rsid w:val="00C861B1"/>
    <w:rsid w:val="00C87C6A"/>
    <w:rsid w:val="00C91353"/>
    <w:rsid w:val="00C93E28"/>
    <w:rsid w:val="00C94F5E"/>
    <w:rsid w:val="00C96E9E"/>
    <w:rsid w:val="00CA0ACC"/>
    <w:rsid w:val="00CA1F98"/>
    <w:rsid w:val="00CA2739"/>
    <w:rsid w:val="00CA5463"/>
    <w:rsid w:val="00CA71F2"/>
    <w:rsid w:val="00CB0D6A"/>
    <w:rsid w:val="00CB2380"/>
    <w:rsid w:val="00CB3A7E"/>
    <w:rsid w:val="00CB3CB6"/>
    <w:rsid w:val="00CB4F57"/>
    <w:rsid w:val="00CB7B6C"/>
    <w:rsid w:val="00CC0025"/>
    <w:rsid w:val="00CC260F"/>
    <w:rsid w:val="00CC45FB"/>
    <w:rsid w:val="00CC5899"/>
    <w:rsid w:val="00CC5BFA"/>
    <w:rsid w:val="00CD10A4"/>
    <w:rsid w:val="00CD12EE"/>
    <w:rsid w:val="00CD1688"/>
    <w:rsid w:val="00CD2218"/>
    <w:rsid w:val="00CD3358"/>
    <w:rsid w:val="00CD3DE2"/>
    <w:rsid w:val="00CD41D4"/>
    <w:rsid w:val="00CE1F6B"/>
    <w:rsid w:val="00CE2639"/>
    <w:rsid w:val="00CE595B"/>
    <w:rsid w:val="00CE5B6B"/>
    <w:rsid w:val="00CE7B8E"/>
    <w:rsid w:val="00CF04CD"/>
    <w:rsid w:val="00CF1342"/>
    <w:rsid w:val="00CF16E1"/>
    <w:rsid w:val="00CF2559"/>
    <w:rsid w:val="00CF32A8"/>
    <w:rsid w:val="00CF3BA3"/>
    <w:rsid w:val="00CF41CD"/>
    <w:rsid w:val="00CF6524"/>
    <w:rsid w:val="00CF6C75"/>
    <w:rsid w:val="00D02083"/>
    <w:rsid w:val="00D02601"/>
    <w:rsid w:val="00D03B9A"/>
    <w:rsid w:val="00D04320"/>
    <w:rsid w:val="00D04933"/>
    <w:rsid w:val="00D04AD5"/>
    <w:rsid w:val="00D05829"/>
    <w:rsid w:val="00D075DC"/>
    <w:rsid w:val="00D1295B"/>
    <w:rsid w:val="00D13545"/>
    <w:rsid w:val="00D14FD5"/>
    <w:rsid w:val="00D15291"/>
    <w:rsid w:val="00D16997"/>
    <w:rsid w:val="00D176DD"/>
    <w:rsid w:val="00D21340"/>
    <w:rsid w:val="00D21B7A"/>
    <w:rsid w:val="00D237DD"/>
    <w:rsid w:val="00D33AF3"/>
    <w:rsid w:val="00D34E72"/>
    <w:rsid w:val="00D35F4F"/>
    <w:rsid w:val="00D366DF"/>
    <w:rsid w:val="00D367CF"/>
    <w:rsid w:val="00D4083B"/>
    <w:rsid w:val="00D429B3"/>
    <w:rsid w:val="00D44D6E"/>
    <w:rsid w:val="00D44D9F"/>
    <w:rsid w:val="00D4531E"/>
    <w:rsid w:val="00D4538D"/>
    <w:rsid w:val="00D502FC"/>
    <w:rsid w:val="00D52084"/>
    <w:rsid w:val="00D5453D"/>
    <w:rsid w:val="00D554D9"/>
    <w:rsid w:val="00D55F59"/>
    <w:rsid w:val="00D56268"/>
    <w:rsid w:val="00D567A2"/>
    <w:rsid w:val="00D57A72"/>
    <w:rsid w:val="00D6064D"/>
    <w:rsid w:val="00D62D5A"/>
    <w:rsid w:val="00D65043"/>
    <w:rsid w:val="00D67F88"/>
    <w:rsid w:val="00D7166A"/>
    <w:rsid w:val="00D71A86"/>
    <w:rsid w:val="00D74D79"/>
    <w:rsid w:val="00D750C3"/>
    <w:rsid w:val="00D76657"/>
    <w:rsid w:val="00D854FC"/>
    <w:rsid w:val="00D85918"/>
    <w:rsid w:val="00D85934"/>
    <w:rsid w:val="00D85956"/>
    <w:rsid w:val="00D85D04"/>
    <w:rsid w:val="00D86A82"/>
    <w:rsid w:val="00D92D54"/>
    <w:rsid w:val="00D96A8D"/>
    <w:rsid w:val="00D9753A"/>
    <w:rsid w:val="00DA08DD"/>
    <w:rsid w:val="00DA16C4"/>
    <w:rsid w:val="00DA20AA"/>
    <w:rsid w:val="00DA2F72"/>
    <w:rsid w:val="00DA3496"/>
    <w:rsid w:val="00DA3A8F"/>
    <w:rsid w:val="00DA62C3"/>
    <w:rsid w:val="00DB0A95"/>
    <w:rsid w:val="00DB1CE5"/>
    <w:rsid w:val="00DB1D8C"/>
    <w:rsid w:val="00DB2C62"/>
    <w:rsid w:val="00DB4DB1"/>
    <w:rsid w:val="00DC2D30"/>
    <w:rsid w:val="00DC34B2"/>
    <w:rsid w:val="00DC669B"/>
    <w:rsid w:val="00DD408D"/>
    <w:rsid w:val="00DD4FB0"/>
    <w:rsid w:val="00DD6655"/>
    <w:rsid w:val="00DD6CB7"/>
    <w:rsid w:val="00DE39D0"/>
    <w:rsid w:val="00DE6EBD"/>
    <w:rsid w:val="00DE7D3D"/>
    <w:rsid w:val="00DF2AC4"/>
    <w:rsid w:val="00DF4715"/>
    <w:rsid w:val="00DF526C"/>
    <w:rsid w:val="00DF5D0C"/>
    <w:rsid w:val="00DF647C"/>
    <w:rsid w:val="00E01DA9"/>
    <w:rsid w:val="00E020D6"/>
    <w:rsid w:val="00E0433A"/>
    <w:rsid w:val="00E05F35"/>
    <w:rsid w:val="00E108E2"/>
    <w:rsid w:val="00E1142A"/>
    <w:rsid w:val="00E11D25"/>
    <w:rsid w:val="00E11D47"/>
    <w:rsid w:val="00E1250E"/>
    <w:rsid w:val="00E17D90"/>
    <w:rsid w:val="00E202B3"/>
    <w:rsid w:val="00E22791"/>
    <w:rsid w:val="00E2336E"/>
    <w:rsid w:val="00E24AA1"/>
    <w:rsid w:val="00E255C6"/>
    <w:rsid w:val="00E26B56"/>
    <w:rsid w:val="00E275C0"/>
    <w:rsid w:val="00E27D54"/>
    <w:rsid w:val="00E318D9"/>
    <w:rsid w:val="00E326A8"/>
    <w:rsid w:val="00E37CB1"/>
    <w:rsid w:val="00E4061F"/>
    <w:rsid w:val="00E43575"/>
    <w:rsid w:val="00E438EA"/>
    <w:rsid w:val="00E44531"/>
    <w:rsid w:val="00E50554"/>
    <w:rsid w:val="00E545CF"/>
    <w:rsid w:val="00E57971"/>
    <w:rsid w:val="00E57A1A"/>
    <w:rsid w:val="00E64A3B"/>
    <w:rsid w:val="00E64F89"/>
    <w:rsid w:val="00E6684C"/>
    <w:rsid w:val="00E712C7"/>
    <w:rsid w:val="00E72862"/>
    <w:rsid w:val="00E7506E"/>
    <w:rsid w:val="00E75569"/>
    <w:rsid w:val="00E7751B"/>
    <w:rsid w:val="00E779D3"/>
    <w:rsid w:val="00E830B6"/>
    <w:rsid w:val="00E90B5E"/>
    <w:rsid w:val="00E92E7C"/>
    <w:rsid w:val="00E933ED"/>
    <w:rsid w:val="00E93DEB"/>
    <w:rsid w:val="00E9404C"/>
    <w:rsid w:val="00E95EB2"/>
    <w:rsid w:val="00E97610"/>
    <w:rsid w:val="00EA1200"/>
    <w:rsid w:val="00EA17BD"/>
    <w:rsid w:val="00EA3357"/>
    <w:rsid w:val="00EB1779"/>
    <w:rsid w:val="00EB75BD"/>
    <w:rsid w:val="00EB7C37"/>
    <w:rsid w:val="00EC0971"/>
    <w:rsid w:val="00EC20D8"/>
    <w:rsid w:val="00EC4076"/>
    <w:rsid w:val="00ED2FE6"/>
    <w:rsid w:val="00ED3D89"/>
    <w:rsid w:val="00ED5E39"/>
    <w:rsid w:val="00ED72C1"/>
    <w:rsid w:val="00ED7E2F"/>
    <w:rsid w:val="00EE144F"/>
    <w:rsid w:val="00EE15A0"/>
    <w:rsid w:val="00EE25C2"/>
    <w:rsid w:val="00EE5460"/>
    <w:rsid w:val="00EE5468"/>
    <w:rsid w:val="00EE5639"/>
    <w:rsid w:val="00EE56BC"/>
    <w:rsid w:val="00EE5CE5"/>
    <w:rsid w:val="00EE6423"/>
    <w:rsid w:val="00EE6C64"/>
    <w:rsid w:val="00EF0E5B"/>
    <w:rsid w:val="00EF27CD"/>
    <w:rsid w:val="00EF3C49"/>
    <w:rsid w:val="00EF57E4"/>
    <w:rsid w:val="00EF6DB8"/>
    <w:rsid w:val="00F0016F"/>
    <w:rsid w:val="00F0033D"/>
    <w:rsid w:val="00F01188"/>
    <w:rsid w:val="00F0291E"/>
    <w:rsid w:val="00F033B3"/>
    <w:rsid w:val="00F03777"/>
    <w:rsid w:val="00F04C67"/>
    <w:rsid w:val="00F04CC0"/>
    <w:rsid w:val="00F1045A"/>
    <w:rsid w:val="00F12C4A"/>
    <w:rsid w:val="00F1377E"/>
    <w:rsid w:val="00F1437C"/>
    <w:rsid w:val="00F16C15"/>
    <w:rsid w:val="00F17646"/>
    <w:rsid w:val="00F178FF"/>
    <w:rsid w:val="00F209CF"/>
    <w:rsid w:val="00F209F8"/>
    <w:rsid w:val="00F21F1B"/>
    <w:rsid w:val="00F22F58"/>
    <w:rsid w:val="00F23F32"/>
    <w:rsid w:val="00F243AC"/>
    <w:rsid w:val="00F254C2"/>
    <w:rsid w:val="00F278D7"/>
    <w:rsid w:val="00F31491"/>
    <w:rsid w:val="00F3196D"/>
    <w:rsid w:val="00F37B14"/>
    <w:rsid w:val="00F419E7"/>
    <w:rsid w:val="00F426D8"/>
    <w:rsid w:val="00F44F43"/>
    <w:rsid w:val="00F516E5"/>
    <w:rsid w:val="00F521C4"/>
    <w:rsid w:val="00F54D5D"/>
    <w:rsid w:val="00F554CF"/>
    <w:rsid w:val="00F56B9C"/>
    <w:rsid w:val="00F6203D"/>
    <w:rsid w:val="00F62519"/>
    <w:rsid w:val="00F62812"/>
    <w:rsid w:val="00F6475A"/>
    <w:rsid w:val="00F6702B"/>
    <w:rsid w:val="00F6741A"/>
    <w:rsid w:val="00F702B7"/>
    <w:rsid w:val="00F71310"/>
    <w:rsid w:val="00F715B3"/>
    <w:rsid w:val="00F71EF6"/>
    <w:rsid w:val="00F72AEE"/>
    <w:rsid w:val="00F74A93"/>
    <w:rsid w:val="00F76029"/>
    <w:rsid w:val="00F77D2A"/>
    <w:rsid w:val="00F8300A"/>
    <w:rsid w:val="00F84898"/>
    <w:rsid w:val="00F8493A"/>
    <w:rsid w:val="00F87011"/>
    <w:rsid w:val="00F87FA6"/>
    <w:rsid w:val="00F919A3"/>
    <w:rsid w:val="00F9219C"/>
    <w:rsid w:val="00F92D68"/>
    <w:rsid w:val="00F95AC9"/>
    <w:rsid w:val="00FA06D2"/>
    <w:rsid w:val="00FA37F7"/>
    <w:rsid w:val="00FA5EC3"/>
    <w:rsid w:val="00FA6B38"/>
    <w:rsid w:val="00FB3B3C"/>
    <w:rsid w:val="00FB458D"/>
    <w:rsid w:val="00FB4605"/>
    <w:rsid w:val="00FB7683"/>
    <w:rsid w:val="00FC456C"/>
    <w:rsid w:val="00FD032D"/>
    <w:rsid w:val="00FD2045"/>
    <w:rsid w:val="00FD4526"/>
    <w:rsid w:val="00FD705F"/>
    <w:rsid w:val="00FE08AA"/>
    <w:rsid w:val="00FE2322"/>
    <w:rsid w:val="00FE252F"/>
    <w:rsid w:val="00FE673C"/>
    <w:rsid w:val="00FF1F67"/>
    <w:rsid w:val="00FF1FAC"/>
    <w:rsid w:val="00FF60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EA49C"/>
  <w15:chartTrackingRefBased/>
  <w15:docId w15:val="{0B401F74-7721-4822-ABDB-5BE2A0B4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tabs>
        <w:tab w:val="num" w:pos="520"/>
        <w:tab w:val="left" w:pos="720"/>
      </w:tabs>
      <w:ind w:left="520" w:hanging="520"/>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tabs>
        <w:tab w:val="left" w:pos="720"/>
        <w:tab w:val="num" w:pos="1560"/>
      </w:tabs>
      <w:ind w:left="1560" w:hanging="520"/>
    </w:pPr>
    <w:rPr>
      <w:rFonts w:eastAsia="Calibri"/>
      <w:color w:val="2F5496" w:themeColor="accent1" w:themeShade="BF"/>
      <w:lang w:eastAsia="en-GB"/>
    </w:rPr>
  </w:style>
  <w:style w:type="paragraph" w:styleId="TOC4">
    <w:name w:val="toc 4"/>
    <w:basedOn w:val="Normal"/>
    <w:next w:val="Normal"/>
    <w:autoRedefine/>
    <w:uiPriority w:val="39"/>
    <w:semiHidden/>
    <w:unhideWhenUsed/>
    <w:rsid w:val="00A446D3"/>
    <w:pPr>
      <w:spacing w:after="100"/>
      <w:ind w:left="660"/>
    </w:pPr>
  </w:style>
  <w:style w:type="paragraph" w:styleId="TOC5">
    <w:name w:val="toc 5"/>
    <w:basedOn w:val="Normal"/>
    <w:next w:val="Normal"/>
    <w:autoRedefine/>
    <w:uiPriority w:val="39"/>
    <w:semiHidden/>
    <w:unhideWhenUsed/>
    <w:rsid w:val="00A446D3"/>
    <w:pPr>
      <w:spacing w:after="100"/>
      <w:ind w:left="880"/>
    </w:pPr>
  </w:style>
  <w:style w:type="paragraph" w:styleId="TOC6">
    <w:name w:val="toc 6"/>
    <w:basedOn w:val="Normal"/>
    <w:next w:val="Normal"/>
    <w:autoRedefine/>
    <w:uiPriority w:val="39"/>
    <w:semiHidden/>
    <w:unhideWhenUsed/>
    <w:rsid w:val="00A446D3"/>
    <w:pPr>
      <w:spacing w:after="100"/>
      <w:ind w:left="1100"/>
    </w:pPr>
  </w:style>
  <w:style w:type="paragraph" w:styleId="TOC7">
    <w:name w:val="toc 7"/>
    <w:basedOn w:val="Normal"/>
    <w:next w:val="Normal"/>
    <w:autoRedefine/>
    <w:uiPriority w:val="39"/>
    <w:semiHidden/>
    <w:unhideWhenUsed/>
    <w:rsid w:val="00A446D3"/>
    <w:pPr>
      <w:spacing w:after="100"/>
      <w:ind w:left="1320"/>
    </w:pPr>
  </w:style>
  <w:style w:type="paragraph" w:styleId="TOC8">
    <w:name w:val="toc 8"/>
    <w:basedOn w:val="Normal"/>
    <w:next w:val="Normal"/>
    <w:autoRedefine/>
    <w:uiPriority w:val="39"/>
    <w:semiHidden/>
    <w:unhideWhenUsed/>
    <w:rsid w:val="00A446D3"/>
    <w:pPr>
      <w:spacing w:after="100"/>
      <w:ind w:left="1540"/>
    </w:pPr>
  </w:style>
  <w:style w:type="paragraph" w:styleId="TOC9">
    <w:name w:val="toc 9"/>
    <w:basedOn w:val="Normal"/>
    <w:next w:val="Normal"/>
    <w:autoRedefine/>
    <w:uiPriority w:val="39"/>
    <w:semiHidden/>
    <w:unhideWhenUsed/>
    <w:rsid w:val="00A446D3"/>
    <w:pPr>
      <w:spacing w:after="100"/>
      <w:ind w:left="1760"/>
    </w:pPr>
  </w:style>
  <w:style w:type="character" w:styleId="CommentReference">
    <w:name w:val="annotation reference"/>
    <w:basedOn w:val="DefaultParagraphFont"/>
    <w:uiPriority w:val="99"/>
    <w:semiHidden/>
    <w:unhideWhenUsed/>
    <w:rsid w:val="00C0126D"/>
    <w:rPr>
      <w:sz w:val="16"/>
      <w:szCs w:val="16"/>
    </w:rPr>
  </w:style>
  <w:style w:type="paragraph" w:styleId="CommentText">
    <w:name w:val="annotation text"/>
    <w:basedOn w:val="Normal"/>
    <w:link w:val="CommentTextChar"/>
    <w:uiPriority w:val="99"/>
    <w:unhideWhenUsed/>
    <w:rsid w:val="00C0126D"/>
    <w:rPr>
      <w:sz w:val="20"/>
      <w:szCs w:val="20"/>
    </w:rPr>
  </w:style>
  <w:style w:type="character" w:customStyle="1" w:styleId="CommentTextChar">
    <w:name w:val="Comment Text Char"/>
    <w:basedOn w:val="DefaultParagraphFont"/>
    <w:link w:val="CommentText"/>
    <w:uiPriority w:val="99"/>
    <w:rsid w:val="00C0126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126D"/>
    <w:rPr>
      <w:b/>
      <w:bCs/>
    </w:rPr>
  </w:style>
  <w:style w:type="character" w:customStyle="1" w:styleId="CommentSubjectChar">
    <w:name w:val="Comment Subject Char"/>
    <w:basedOn w:val="CommentTextChar"/>
    <w:link w:val="CommentSubject"/>
    <w:uiPriority w:val="99"/>
    <w:semiHidden/>
    <w:rsid w:val="00C0126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AA73F4CAE9B14BAF4AF27B78F1F7EB" ma:contentTypeVersion="23" ma:contentTypeDescription="Create a new document." ma:contentTypeScope="" ma:versionID="afe9a2919517e961b6564f6810ac9e64">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cd7b4617-989f-4312-806f-17d7205174dc" targetNamespace="http://schemas.microsoft.com/office/2006/metadata/properties" ma:root="true" ma:fieldsID="e5592f4387b8393438713fba2810f225" ns1:_="" ns2:_="" ns3:_="" ns4:_="" ns5:_="">
    <xsd:import namespace="http://schemas.microsoft.com/sharepoint/v3"/>
    <xsd:import namespace="ff38c824-6e29-4496-8487-69f397e7ed29"/>
    <xsd:import namespace="fe39d773-a83d-4623-ae74-f25711a76616"/>
    <xsd:import namespace="a289cb20-8bb9-401f-8d7b-706fb1a2988d"/>
    <xsd:import namespace="cd7b4617-989f-4312-806f-17d7205174dc"/>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b4617-989f-4312-806f-17d7205174dc"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name xmlns="a289cb20-8bb9-401f-8d7b-706fb1a2988d">Petroleum Resource Rent Tax - Gas Transfer Pricing Review</Projectname>
    <DocumentSetDescription xmlns="http://schemas.microsoft.com/sharepoint/v3" xsi:nil="true"/>
    <_dlc_DocId xmlns="fe39d773-a83d-4623-ae74-f25711a76616">5D7SUYYWNZQE-304961098-1444</_dlc_DocId>
    <Act_x0028_s_x0029_beingamended xmlns="a289cb20-8bb9-401f-8d7b-706fb1a2988d" xsi:nil="true"/>
    <Measureorigin xmlns="a289cb20-8bb9-401f-8d7b-706fb1a2988d" xsi:nil="true"/>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PT_x002f_Measure_x0020_No. xmlns="ff38c824-6e29-4496-8487-69f397e7ed29">TBC</PT_x002f_Measure_x0020_No.>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_dlc_DocIdUrl xmlns="fe39d773-a83d-4623-ae74-f25711a76616">
      <Url>https://austreasury.sharepoint.com/sites/leg-meas-function/_layouts/15/DocIdRedir.aspx?ID=5D7SUYYWNZQE-304961098-1444</Url>
      <Description>5D7SUYYWNZQE-304961098-1444</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80</Value>
      <Value>28</Value>
      <Value>75</Value>
      <Value>3</Value>
      <Value>1</Value>
      <Value>153</Value>
    </TaxCatchAll>
    <Keydoc xmlns="a289cb20-8bb9-401f-8d7b-706fb1a2988d"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Corporate Tax</TermName>
          <TermId xmlns="http://schemas.microsoft.com/office/infopath/2007/PartnerControls">7143b39c-3152-4f03-9a8b-9f25b68e1ca6</TermId>
        </TermInfo>
        <TermInfo xmlns="http://schemas.microsoft.com/office/infopath/2007/PartnerControls">
          <TermName xmlns="http://schemas.microsoft.com/office/infopath/2007/PartnerControls">Energy</TermName>
          <TermId xmlns="http://schemas.microsoft.com/office/infopath/2007/PartnerControls">697142a4-30e6-4927-b08c-6642f61f6a7d</TermId>
        </TermInfo>
      </Terms>
    </gfba5f33532c49208d2320ce38cc3c2b>
  </documentManagement>
</p:properties>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2.xml><?xml version="1.0" encoding="utf-8"?>
<ds:datastoreItem xmlns:ds="http://schemas.openxmlformats.org/officeDocument/2006/customXml" ds:itemID="{4F9A1AEF-78DF-4EC7-A54B-A79C32370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cd7b4617-989f-4312-806f-17d720517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55437-D062-4672-817B-840E863B5166}">
  <ds:schemaRefs>
    <ds:schemaRef ds:uri="http://schemas.microsoft.com/sharepoint/events"/>
  </ds:schemaRefs>
</ds:datastoreItem>
</file>

<file path=customXml/itemProps4.xml><?xml version="1.0" encoding="utf-8"?>
<ds:datastoreItem xmlns:ds="http://schemas.openxmlformats.org/officeDocument/2006/customXml" ds:itemID="{0B3E7B50-EC69-4EAE-8973-0CDD2ED69BA7}">
  <ds:schemaRefs>
    <ds:schemaRef ds:uri="http://schemas.microsoft.com/sharepoint/v3/contenttype/forms"/>
  </ds:schemaRefs>
</ds:datastoreItem>
</file>

<file path=customXml/itemProps5.xml><?xml version="1.0" encoding="utf-8"?>
<ds:datastoreItem xmlns:ds="http://schemas.openxmlformats.org/officeDocument/2006/customXml" ds:itemID="{64CD5855-BA28-483F-B5A9-C8494D7AFFE7}">
  <ds:schemaRefs>
    <ds:schemaRef ds:uri="http://schemas.microsoft.com/office/2006/documentManagement/types"/>
    <ds:schemaRef ds:uri="http://purl.org/dc/elements/1.1/"/>
    <ds:schemaRef ds:uri="http://schemas.microsoft.com/office/2006/metadata/properties"/>
    <ds:schemaRef ds:uri="a289cb20-8bb9-401f-8d7b-706fb1a2988d"/>
    <ds:schemaRef ds:uri="http://schemas.microsoft.com/office/infopath/2007/PartnerControls"/>
    <ds:schemaRef ds:uri="fe39d773-a83d-4623-ae74-f25711a76616"/>
    <ds:schemaRef ds:uri="http://schemas.openxmlformats.org/package/2006/metadata/core-properties"/>
    <ds:schemaRef ds:uri="ff38c824-6e29-4496-8487-69f397e7ed29"/>
    <ds:schemaRef ds:uri="http://purl.org/dc/dcmitype/"/>
    <ds:schemaRef ds:uri="cd7b4617-989f-4312-806f-17d7205174dc"/>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Pri-EM.dotx</Template>
  <TotalTime>476</TotalTime>
  <Pages>13</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Exposure draft explanatory materials: Treasury Laws Amendment (Measures for Consultation) Bill 2023: Capital allowances for mining, quarrying or prospecting rights and clarifying the meaning of exploration for petroleum</vt:lpstr>
    </vt:vector>
  </TitlesOfParts>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Treasury Laws Amendment (Measures for Consultation) Bill 2023: Capital allowances for mining, quarrying or prospecting rights and clarifying the meaning of exploration for petroleum</dc:title>
  <dc:subject/>
  <dc:creator>Australian Government</dc:creator>
  <cp:keywords/>
  <dc:description/>
  <cp:lastModifiedBy>Kuek, Amanda</cp:lastModifiedBy>
  <cp:revision>218</cp:revision>
  <dcterms:created xsi:type="dcterms:W3CDTF">2023-11-25T12:40:00Z</dcterms:created>
  <dcterms:modified xsi:type="dcterms:W3CDTF">2024-01-08T06:42:00Z</dcterms:modified>
</cp:coreProperties>
</file>