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6172"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58571B9E" w14:textId="77777777" w:rsidR="00E24AA1" w:rsidRDefault="00E24AA1" w:rsidP="00E24AA1">
      <w:pPr>
        <w:pStyle w:val="Baseparagraphcentred"/>
      </w:pPr>
    </w:p>
    <w:p w14:paraId="20CB67FF" w14:textId="77777777" w:rsidR="00E24AA1" w:rsidRDefault="00E24AA1" w:rsidP="00E24AA1">
      <w:pPr>
        <w:pStyle w:val="Baseparagraphcentred"/>
      </w:pPr>
      <w:r>
        <w:t>THE PARLIAMENT OF THE COMMONWEALTH OF AUSTRALIA</w:t>
      </w:r>
    </w:p>
    <w:p w14:paraId="3661752F" w14:textId="77777777" w:rsidR="00E24AA1" w:rsidRDefault="00E24AA1" w:rsidP="00E24AA1">
      <w:pPr>
        <w:pStyle w:val="Baseparagraphcentred"/>
      </w:pPr>
    </w:p>
    <w:p w14:paraId="53D953DB" w14:textId="77777777" w:rsidR="00E24AA1" w:rsidRDefault="00E24AA1" w:rsidP="00E24AA1">
      <w:pPr>
        <w:pStyle w:val="Baseparagraphcentred"/>
      </w:pPr>
    </w:p>
    <w:p w14:paraId="5372D2D9" w14:textId="77777777" w:rsidR="00E24AA1" w:rsidRDefault="00E24AA1" w:rsidP="00E24AA1">
      <w:pPr>
        <w:pStyle w:val="Baseparagraphcentred"/>
      </w:pPr>
    </w:p>
    <w:p w14:paraId="770FA3F3" w14:textId="3653B8F1" w:rsidR="000A4EB2" w:rsidRDefault="009C4530" w:rsidP="000A4EB2">
      <w:pPr>
        <w:pStyle w:val="Baseparagraphcentred"/>
      </w:pPr>
      <w:r>
        <w:t>EXPOSURE DRAFT EXPLANATORY MATERIALS</w:t>
      </w:r>
    </w:p>
    <w:p w14:paraId="2E11884E" w14:textId="77777777" w:rsidR="00E24AA1" w:rsidRDefault="00E24AA1" w:rsidP="00E24AA1">
      <w:pPr>
        <w:pStyle w:val="Baseparagraphcentred"/>
      </w:pPr>
    </w:p>
    <w:p w14:paraId="71A6E8E2" w14:textId="77777777" w:rsidR="00E24AA1" w:rsidRDefault="00E24AA1" w:rsidP="00E24AA1">
      <w:pPr>
        <w:pStyle w:val="Baseparagraphcentred"/>
      </w:pPr>
    </w:p>
    <w:p w14:paraId="2B410A0F" w14:textId="77777777" w:rsidR="00E24AA1" w:rsidRDefault="00E24AA1" w:rsidP="00E24AA1">
      <w:pPr>
        <w:pStyle w:val="Baseparagraphcentred"/>
        <w:pBdr>
          <w:bottom w:val="single" w:sz="4" w:space="1" w:color="auto"/>
        </w:pBdr>
      </w:pPr>
    </w:p>
    <w:p w14:paraId="792BA0E9" w14:textId="194DA85B" w:rsidR="00E24AA1" w:rsidRPr="00E24AA1" w:rsidRDefault="002B5C7A" w:rsidP="00E24AA1">
      <w:pPr>
        <w:pStyle w:val="BillName"/>
      </w:pPr>
      <w:bookmarkStart w:id="6" w:name="BillName"/>
      <w:bookmarkEnd w:id="6"/>
      <w:r w:rsidRPr="002B5C7A">
        <w:t>Treasury Laws Amendment (Measures for Future Bills) Bill 2023: PRRT anti-avoidance rules</w:t>
      </w:r>
    </w:p>
    <w:p w14:paraId="19C90514" w14:textId="77777777" w:rsidR="00E24AA1" w:rsidRDefault="00E24AA1" w:rsidP="00E24AA1">
      <w:pPr>
        <w:pStyle w:val="Baseparagraphcentred"/>
        <w:pBdr>
          <w:top w:val="single" w:sz="4" w:space="1" w:color="auto"/>
        </w:pBdr>
      </w:pPr>
    </w:p>
    <w:p w14:paraId="4FD4A29C" w14:textId="77777777" w:rsidR="00E24AA1" w:rsidRDefault="00E24AA1" w:rsidP="00E24AA1">
      <w:pPr>
        <w:pStyle w:val="Baseparagraphcentred"/>
      </w:pPr>
    </w:p>
    <w:p w14:paraId="2B6F2C6A" w14:textId="77777777" w:rsidR="00E24AA1" w:rsidRDefault="00E24AA1" w:rsidP="00E24AA1">
      <w:pPr>
        <w:pStyle w:val="Baseparagraphcentred"/>
      </w:pPr>
    </w:p>
    <w:p w14:paraId="6307AE01" w14:textId="77777777" w:rsidR="00E24AA1" w:rsidRDefault="00E24AA1" w:rsidP="00E24AA1">
      <w:pPr>
        <w:pStyle w:val="Baseparagraphcentred"/>
      </w:pPr>
    </w:p>
    <w:p w14:paraId="01E1CA6B" w14:textId="77777777" w:rsidR="005D4676" w:rsidRDefault="005D4676" w:rsidP="00E24AA1">
      <w:pPr>
        <w:pStyle w:val="Baseparagraphcentred"/>
      </w:pPr>
      <w:r>
        <w:t>EXPOSURE DRAFT EXPLANATORY MATERIALS</w:t>
      </w:r>
    </w:p>
    <w:p w14:paraId="1F6FEAD8" w14:textId="223FBA7B" w:rsidR="00E24AA1" w:rsidRDefault="00E24AA1" w:rsidP="00E24AA1">
      <w:pPr>
        <w:pStyle w:val="Baseparagraphcentred"/>
      </w:pPr>
    </w:p>
    <w:p w14:paraId="2391215C" w14:textId="77777777" w:rsidR="00E24AA1" w:rsidRDefault="00E24AA1" w:rsidP="00E24AA1">
      <w:pPr>
        <w:pStyle w:val="Baseparagraphcentred"/>
      </w:pPr>
    </w:p>
    <w:p w14:paraId="11B98571" w14:textId="77777777" w:rsidR="00E24AA1" w:rsidRDefault="00E24AA1" w:rsidP="00E24AA1">
      <w:pPr>
        <w:pStyle w:val="ParaCentredNoSpacing"/>
      </w:pPr>
    </w:p>
    <w:p w14:paraId="1540EA50" w14:textId="77777777" w:rsidR="00E24AA1" w:rsidRPr="00967273" w:rsidRDefault="00E24AA1" w:rsidP="00E24AA1">
      <w:pPr>
        <w:pStyle w:val="Normalparatextnonumbers"/>
        <w:jc w:val="center"/>
        <w:rPr>
          <w:rFonts w:cs="Calibri"/>
          <w:color w:val="000000" w:themeColor="text1"/>
        </w:rPr>
      </w:pPr>
    </w:p>
    <w:p w14:paraId="52828C51" w14:textId="77777777" w:rsidR="008A3B5F" w:rsidRPr="00020288" w:rsidRDefault="008A3B5F" w:rsidP="008A3B5F">
      <w:pPr>
        <w:pStyle w:val="Normalparatextnonumbers"/>
      </w:pPr>
    </w:p>
    <w:p w14:paraId="43E4EA41" w14:textId="77777777" w:rsidR="005D4676" w:rsidRPr="0090171F" w:rsidRDefault="005D4676" w:rsidP="0090171F">
      <w:pPr>
        <w:pStyle w:val="Normalparatextnonumbers"/>
      </w:pPr>
      <w:bookmarkStart w:id="7" w:name="ConsultPreamble"/>
      <w:bookmarkEnd w:id="7"/>
      <w:r w:rsidRPr="0090171F">
        <w:br w:type="page"/>
      </w:r>
    </w:p>
    <w:p w14:paraId="3FFB9063" w14:textId="77777777" w:rsidR="005D4676" w:rsidRPr="0090171F" w:rsidRDefault="005D4676" w:rsidP="005D4676">
      <w:pPr>
        <w:pStyle w:val="Normalparatextnonumbers"/>
        <w:numPr>
          <w:ilvl w:val="4"/>
          <w:numId w:val="2"/>
        </w:numPr>
        <w:rPr>
          <w:b/>
        </w:rPr>
      </w:pPr>
      <w:r w:rsidRPr="0090171F">
        <w:rPr>
          <w:b/>
        </w:rPr>
        <w:lastRenderedPageBreak/>
        <w:t>Consultation preamble</w:t>
      </w:r>
    </w:p>
    <w:p w14:paraId="30DEF876" w14:textId="77777777" w:rsidR="005D4676" w:rsidRPr="0090171F" w:rsidRDefault="005D4676"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74EEA02E" w14:textId="77777777" w:rsidR="005D4676" w:rsidRPr="0090171F" w:rsidRDefault="005D4676" w:rsidP="0090171F">
      <w:pPr>
        <w:pStyle w:val="Normalparatextnonumbers"/>
      </w:pPr>
      <w:r w:rsidRPr="0090171F">
        <w:t>•</w:t>
      </w:r>
      <w:r w:rsidRPr="0090171F">
        <w:tab/>
        <w:t>how the new law is intended to operate;</w:t>
      </w:r>
    </w:p>
    <w:p w14:paraId="0183F256" w14:textId="77777777" w:rsidR="005D4676" w:rsidRPr="0090171F" w:rsidRDefault="005D4676" w:rsidP="00924E28">
      <w:pPr>
        <w:pStyle w:val="Normalparatextnonumbers"/>
        <w:tabs>
          <w:tab w:val="left" w:pos="709"/>
        </w:tabs>
        <w:ind w:left="709" w:hanging="709"/>
      </w:pPr>
      <w:r w:rsidRPr="0090171F">
        <w:t>•</w:t>
      </w:r>
      <w:r w:rsidRPr="0090171F">
        <w:tab/>
        <w:t>whether the background and policy context is sufficiently comprehensive to support understanding of the policy intent and outcomes of the new law;</w:t>
      </w:r>
    </w:p>
    <w:p w14:paraId="3DF476D4" w14:textId="77777777" w:rsidR="005D4676" w:rsidRPr="0090171F" w:rsidRDefault="005D4676" w:rsidP="0090171F">
      <w:pPr>
        <w:pStyle w:val="Normalparatextnonumbers"/>
        <w:ind w:left="709" w:hanging="709"/>
      </w:pPr>
      <w:r w:rsidRPr="0090171F">
        <w:t>•</w:t>
      </w:r>
      <w:r w:rsidRPr="0090171F">
        <w:tab/>
        <w:t>the use of relevant examples, illustrations or diagrams as explanatory aids;</w:t>
      </w:r>
      <w:r w:rsidRPr="0090171F">
        <w:br/>
        <w:t>and</w:t>
      </w:r>
    </w:p>
    <w:p w14:paraId="667F7596" w14:textId="77777777" w:rsidR="005D4676" w:rsidRPr="0090171F" w:rsidRDefault="005D4676" w:rsidP="0090171F">
      <w:pPr>
        <w:pStyle w:val="Normalparatextnonumbers"/>
        <w:ind w:left="709" w:hanging="709"/>
      </w:pPr>
      <w:r w:rsidRPr="0090171F">
        <w:t>•</w:t>
      </w:r>
      <w:r w:rsidRPr="0090171F">
        <w:tab/>
        <w:t>any other matters affecting the readability or presentation of the explanatory material.</w:t>
      </w:r>
    </w:p>
    <w:p w14:paraId="42CEE73D" w14:textId="77777777" w:rsidR="005D4676" w:rsidRPr="0090171F" w:rsidRDefault="005D4676"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1689F0A5" w14:textId="3BC6579C" w:rsidR="005D4676" w:rsidRPr="0090171F" w:rsidRDefault="005D4676" w:rsidP="0090171F">
      <w:pPr>
        <w:pStyle w:val="Normalparatextnonumbers"/>
      </w:pPr>
      <w:r w:rsidRPr="005D4676">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will be shared with the ATO.</w:t>
      </w:r>
    </w:p>
    <w:p w14:paraId="4974B644" w14:textId="77777777" w:rsidR="00924E28" w:rsidRPr="00020288" w:rsidRDefault="00924E28" w:rsidP="00873094">
      <w:pPr>
        <w:pStyle w:val="Normalparatextnonumbers"/>
      </w:pPr>
    </w:p>
    <w:p w14:paraId="1D813B6D" w14:textId="77777777" w:rsidR="00873094" w:rsidRPr="00020288" w:rsidRDefault="00873094" w:rsidP="00873094">
      <w:pPr>
        <w:pStyle w:val="TOC1"/>
        <w:sectPr w:rsidR="00873094" w:rsidRPr="00020288" w:rsidSect="00000BFC">
          <w:headerReference w:type="even" r:id="rId11"/>
          <w:headerReference w:type="default" r:id="rId12"/>
          <w:footerReference w:type="even" r:id="rId13"/>
          <w:footerReference w:type="default" r:id="rId14"/>
          <w:headerReference w:type="first" r:id="rId15"/>
          <w:footerReference w:type="first" r:id="rId16"/>
          <w:type w:val="oddPage"/>
          <w:pgSz w:w="9979" w:h="14175" w:code="138"/>
          <w:pgMar w:top="567" w:right="1134" w:bottom="567" w:left="1134" w:header="709" w:footer="709" w:gutter="0"/>
          <w:cols w:space="708"/>
          <w:titlePg/>
          <w:docGrid w:linePitch="360"/>
        </w:sectPr>
      </w:pPr>
    </w:p>
    <w:p w14:paraId="01D18D95"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1252F16C" w14:textId="77A9A3CD" w:rsidR="005D4676" w:rsidRDefault="00873094" w:rsidP="005D4676">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5D4676">
        <w:rPr>
          <w:noProof/>
        </w:rPr>
        <w:t>Glossary</w:t>
      </w:r>
      <w:r w:rsidR="005D4676">
        <w:rPr>
          <w:noProof/>
        </w:rPr>
        <w:tab/>
      </w:r>
      <w:r w:rsidR="005D4676">
        <w:rPr>
          <w:noProof/>
        </w:rPr>
        <w:fldChar w:fldCharType="begin"/>
      </w:r>
      <w:r w:rsidR="005D4676">
        <w:rPr>
          <w:noProof/>
        </w:rPr>
        <w:instrText xml:space="preserve"> PAGEREF _Toc152758500 \h </w:instrText>
      </w:r>
      <w:r w:rsidR="005D4676">
        <w:rPr>
          <w:noProof/>
        </w:rPr>
      </w:r>
      <w:r w:rsidR="005D4676">
        <w:rPr>
          <w:noProof/>
        </w:rPr>
        <w:fldChar w:fldCharType="separate"/>
      </w:r>
      <w:r w:rsidR="00696917">
        <w:rPr>
          <w:noProof/>
        </w:rPr>
        <w:t>iii</w:t>
      </w:r>
      <w:r w:rsidR="005D4676">
        <w:rPr>
          <w:noProof/>
        </w:rPr>
        <w:fldChar w:fldCharType="end"/>
      </w:r>
    </w:p>
    <w:p w14:paraId="13046EE4" w14:textId="45D7F1E8" w:rsidR="005D4676" w:rsidRDefault="005D4676" w:rsidP="005D4676">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D276DD">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PRRT anti-avoidance rules</w:t>
      </w:r>
      <w:r>
        <w:rPr>
          <w:noProof/>
        </w:rPr>
        <w:tab/>
      </w:r>
      <w:r>
        <w:rPr>
          <w:noProof/>
        </w:rPr>
        <w:fldChar w:fldCharType="begin"/>
      </w:r>
      <w:r>
        <w:rPr>
          <w:noProof/>
        </w:rPr>
        <w:instrText xml:space="preserve"> PAGEREF _Toc152758501 \h </w:instrText>
      </w:r>
      <w:r>
        <w:rPr>
          <w:noProof/>
        </w:rPr>
      </w:r>
      <w:r>
        <w:rPr>
          <w:noProof/>
        </w:rPr>
        <w:fldChar w:fldCharType="separate"/>
      </w:r>
      <w:r w:rsidR="00696917">
        <w:rPr>
          <w:noProof/>
        </w:rPr>
        <w:t>5</w:t>
      </w:r>
      <w:r>
        <w:rPr>
          <w:noProof/>
        </w:rPr>
        <w:fldChar w:fldCharType="end"/>
      </w:r>
    </w:p>
    <w:p w14:paraId="5E0AA076" w14:textId="2C1ECC37" w:rsidR="00873094" w:rsidRPr="00020288" w:rsidRDefault="00873094" w:rsidP="00BC2E4A">
      <w:pPr>
        <w:pStyle w:val="TOC1"/>
      </w:pPr>
      <w:r w:rsidRPr="00BC2E4A">
        <w:fldChar w:fldCharType="end"/>
      </w:r>
    </w:p>
    <w:p w14:paraId="781724F9" w14:textId="77777777" w:rsidR="00873094" w:rsidRPr="00020288" w:rsidRDefault="00873094" w:rsidP="00873094"/>
    <w:p w14:paraId="2AF24F9B" w14:textId="77777777" w:rsidR="00873094" w:rsidRPr="00020288" w:rsidRDefault="00873094" w:rsidP="00873094">
      <w:pPr>
        <w:sectPr w:rsidR="00873094" w:rsidRPr="00020288" w:rsidSect="00000BFC">
          <w:headerReference w:type="even" r:id="rId17"/>
          <w:headerReference w:type="default" r:id="rId18"/>
          <w:headerReference w:type="first" r:id="rId19"/>
          <w:footerReference w:type="first" r:id="rId20"/>
          <w:type w:val="oddPage"/>
          <w:pgSz w:w="9979" w:h="14175" w:code="9"/>
          <w:pgMar w:top="567" w:right="1134" w:bottom="567" w:left="1134" w:header="709" w:footer="709" w:gutter="0"/>
          <w:pgNumType w:start="1"/>
          <w:cols w:space="708"/>
          <w:titlePg/>
          <w:docGrid w:linePitch="360"/>
        </w:sectPr>
      </w:pPr>
    </w:p>
    <w:p w14:paraId="2CE4BD8F"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52758500"/>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5E48DF07"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0A8F7F7E" w14:textId="77777777" w:rsidTr="002425D9">
        <w:tc>
          <w:tcPr>
            <w:tcW w:w="3776" w:type="dxa"/>
            <w:shd w:val="clear" w:color="auto" w:fill="auto"/>
          </w:tcPr>
          <w:p w14:paraId="2CA105B5"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3864B564" w14:textId="77777777" w:rsidR="00873094" w:rsidRPr="002E7A73" w:rsidRDefault="00873094" w:rsidP="00B7393A">
            <w:pPr>
              <w:pStyle w:val="Tableheaderrowtext"/>
            </w:pPr>
            <w:r w:rsidRPr="002E7A73">
              <w:t>Definition</w:t>
            </w:r>
          </w:p>
        </w:tc>
      </w:tr>
      <w:tr w:rsidR="00873094" w:rsidRPr="00020288" w14:paraId="4352C75E" w14:textId="77777777" w:rsidTr="002425D9">
        <w:tc>
          <w:tcPr>
            <w:tcW w:w="3776" w:type="dxa"/>
          </w:tcPr>
          <w:p w14:paraId="3E1AC729" w14:textId="4600462C" w:rsidR="00873094" w:rsidRPr="00020288" w:rsidRDefault="002B5C7A" w:rsidP="002425D9">
            <w:pPr>
              <w:pStyle w:val="Normalparatextnonumbers"/>
            </w:pPr>
            <w:r>
              <w:t xml:space="preserve">ATO </w:t>
            </w:r>
          </w:p>
        </w:tc>
        <w:tc>
          <w:tcPr>
            <w:tcW w:w="3874" w:type="dxa"/>
          </w:tcPr>
          <w:p w14:paraId="24574730" w14:textId="531AF1FE" w:rsidR="00873094" w:rsidRPr="00020288" w:rsidRDefault="002B5C7A" w:rsidP="002425D9">
            <w:pPr>
              <w:pStyle w:val="Normalparatextnonumbers"/>
            </w:pPr>
            <w:r>
              <w:t>Australian Taxation Office</w:t>
            </w:r>
          </w:p>
        </w:tc>
      </w:tr>
      <w:tr w:rsidR="00873094" w:rsidRPr="00020288" w14:paraId="3E658AA3" w14:textId="77777777" w:rsidTr="002425D9">
        <w:tc>
          <w:tcPr>
            <w:tcW w:w="3776" w:type="dxa"/>
          </w:tcPr>
          <w:p w14:paraId="59B72D33" w14:textId="689CFD08" w:rsidR="00873094" w:rsidRPr="00020288" w:rsidRDefault="002B5C7A" w:rsidP="002425D9">
            <w:pPr>
              <w:pStyle w:val="Normalparatextnonumbers"/>
            </w:pPr>
            <w:r>
              <w:t>Commissioner</w:t>
            </w:r>
          </w:p>
        </w:tc>
        <w:tc>
          <w:tcPr>
            <w:tcW w:w="3874" w:type="dxa"/>
          </w:tcPr>
          <w:p w14:paraId="634DE560" w14:textId="2E3121AD" w:rsidR="00873094" w:rsidRPr="00020288" w:rsidRDefault="002B5C7A" w:rsidP="002425D9">
            <w:pPr>
              <w:pStyle w:val="Normalparatextnonumbers"/>
            </w:pPr>
            <w:r>
              <w:t xml:space="preserve">The Commissioner of Taxation </w:t>
            </w:r>
          </w:p>
        </w:tc>
      </w:tr>
      <w:tr w:rsidR="00873094" w:rsidRPr="00020288" w14:paraId="46C54671" w14:textId="77777777" w:rsidTr="002425D9">
        <w:tc>
          <w:tcPr>
            <w:tcW w:w="3776" w:type="dxa"/>
          </w:tcPr>
          <w:p w14:paraId="5884653B" w14:textId="0FE7EBBA" w:rsidR="00873094" w:rsidRPr="00020288" w:rsidRDefault="00421AD0" w:rsidP="002425D9">
            <w:pPr>
              <w:pStyle w:val="Normalparatextnonumbers"/>
            </w:pPr>
            <w:r w:rsidRPr="00421AD0">
              <w:t>ITAA 1936</w:t>
            </w:r>
          </w:p>
        </w:tc>
        <w:tc>
          <w:tcPr>
            <w:tcW w:w="3874" w:type="dxa"/>
          </w:tcPr>
          <w:p w14:paraId="6A2C765A" w14:textId="24B712EC" w:rsidR="00873094" w:rsidRPr="00421AD0" w:rsidRDefault="00421AD0" w:rsidP="002425D9">
            <w:pPr>
              <w:pStyle w:val="Normalparatextnonumbers"/>
              <w:rPr>
                <w:i/>
                <w:iCs/>
              </w:rPr>
            </w:pPr>
            <w:r w:rsidRPr="00421AD0">
              <w:rPr>
                <w:i/>
                <w:iCs/>
              </w:rPr>
              <w:t>Income Tax Assessment Act 1936</w:t>
            </w:r>
          </w:p>
        </w:tc>
      </w:tr>
      <w:tr w:rsidR="00873094" w:rsidRPr="00020288" w14:paraId="163C2ABD" w14:textId="77777777" w:rsidTr="002425D9">
        <w:tc>
          <w:tcPr>
            <w:tcW w:w="3776" w:type="dxa"/>
          </w:tcPr>
          <w:p w14:paraId="192C3E89" w14:textId="64E08EA6" w:rsidR="00873094" w:rsidRPr="00020288" w:rsidRDefault="002B5C7A" w:rsidP="002425D9">
            <w:pPr>
              <w:pStyle w:val="Normalparatextnonumbers"/>
            </w:pPr>
            <w:r>
              <w:t xml:space="preserve">PRRT </w:t>
            </w:r>
          </w:p>
        </w:tc>
        <w:tc>
          <w:tcPr>
            <w:tcW w:w="3874" w:type="dxa"/>
          </w:tcPr>
          <w:p w14:paraId="5167CD4F" w14:textId="661CDFA7" w:rsidR="00873094" w:rsidRPr="00020288" w:rsidRDefault="002B5C7A" w:rsidP="002425D9">
            <w:pPr>
              <w:pStyle w:val="Normalparatextnonumbers"/>
            </w:pPr>
            <w:r>
              <w:t>Petroleum Resource Rent Tax</w:t>
            </w:r>
          </w:p>
        </w:tc>
      </w:tr>
      <w:tr w:rsidR="00873094" w:rsidRPr="00020288" w14:paraId="2F50DE8B" w14:textId="77777777" w:rsidTr="002425D9">
        <w:tc>
          <w:tcPr>
            <w:tcW w:w="3776" w:type="dxa"/>
          </w:tcPr>
          <w:p w14:paraId="1D4062BD" w14:textId="01E5F706" w:rsidR="00873094" w:rsidRPr="00020288" w:rsidRDefault="002B5C7A" w:rsidP="002425D9">
            <w:pPr>
              <w:pStyle w:val="Normalparatextnonumbers"/>
            </w:pPr>
            <w:r>
              <w:t>PRRTA Act</w:t>
            </w:r>
          </w:p>
        </w:tc>
        <w:tc>
          <w:tcPr>
            <w:tcW w:w="3874" w:type="dxa"/>
          </w:tcPr>
          <w:p w14:paraId="4A18AA7A" w14:textId="783A6404" w:rsidR="00873094" w:rsidRPr="00421AD0" w:rsidRDefault="002B5C7A" w:rsidP="002425D9">
            <w:pPr>
              <w:pStyle w:val="Normalparatextnonumbers"/>
              <w:rPr>
                <w:i/>
                <w:iCs/>
              </w:rPr>
            </w:pPr>
            <w:r w:rsidRPr="00421AD0">
              <w:rPr>
                <w:i/>
                <w:iCs/>
              </w:rPr>
              <w:t xml:space="preserve">Petroleum Resource Rent Tax Assessment Act </w:t>
            </w:r>
            <w:r w:rsidR="00421AD0" w:rsidRPr="00421AD0">
              <w:rPr>
                <w:i/>
                <w:iCs/>
              </w:rPr>
              <w:t>1987</w:t>
            </w:r>
          </w:p>
        </w:tc>
      </w:tr>
      <w:tr w:rsidR="00C0488D" w:rsidRPr="00020288" w14:paraId="21512255" w14:textId="77777777" w:rsidTr="002425D9">
        <w:tc>
          <w:tcPr>
            <w:tcW w:w="3776" w:type="dxa"/>
          </w:tcPr>
          <w:p w14:paraId="2F6FC27D" w14:textId="22B13E7C" w:rsidR="00C0488D" w:rsidRDefault="00C0488D" w:rsidP="002425D9">
            <w:pPr>
              <w:pStyle w:val="Normalparatextnonumbers"/>
            </w:pPr>
            <w:r>
              <w:t>PRRTA Regulations</w:t>
            </w:r>
          </w:p>
        </w:tc>
        <w:tc>
          <w:tcPr>
            <w:tcW w:w="3874" w:type="dxa"/>
          </w:tcPr>
          <w:p w14:paraId="6D84F8FE" w14:textId="469461AE" w:rsidR="00C0488D" w:rsidRPr="00421AD0" w:rsidRDefault="00C0488D" w:rsidP="002425D9">
            <w:pPr>
              <w:pStyle w:val="Normalparatextnonumbers"/>
              <w:rPr>
                <w:i/>
                <w:iCs/>
              </w:rPr>
            </w:pPr>
            <w:r w:rsidRPr="00C0488D">
              <w:rPr>
                <w:i/>
                <w:iCs/>
              </w:rPr>
              <w:t>Petroleum Resource Rent Tax Assessment Regulation 2015</w:t>
            </w:r>
          </w:p>
        </w:tc>
      </w:tr>
    </w:tbl>
    <w:p w14:paraId="4DABFA92" w14:textId="77777777" w:rsidR="00873094" w:rsidRPr="00020288" w:rsidRDefault="00873094" w:rsidP="00873094"/>
    <w:p w14:paraId="6ECAAF02" w14:textId="77777777" w:rsidR="00873094" w:rsidRPr="00020288" w:rsidRDefault="00873094" w:rsidP="00873094"/>
    <w:p w14:paraId="70A8D849" w14:textId="77777777" w:rsidR="00873094" w:rsidRPr="00020288" w:rsidRDefault="00873094" w:rsidP="00873094">
      <w:pPr>
        <w:pStyle w:val="Heading1"/>
        <w:sectPr w:rsidR="00873094" w:rsidRPr="00020288" w:rsidSect="00000BFC">
          <w:headerReference w:type="even" r:id="rId21"/>
          <w:headerReference w:type="default" r:id="rId22"/>
          <w:headerReference w:type="first" r:id="rId23"/>
          <w:footerReference w:type="first" r:id="rId24"/>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203B5ED6" w14:textId="2F7E075E" w:rsidR="00873094" w:rsidRPr="0073326A" w:rsidRDefault="00421AD0" w:rsidP="00421AD0">
      <w:pPr>
        <w:pStyle w:val="Chapterheading"/>
      </w:pPr>
      <w:bookmarkStart w:id="41" w:name="GeneralOutline"/>
      <w:bookmarkStart w:id="42" w:name="_Toc152758501"/>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PRRT anti-avoidance rules</w:t>
      </w:r>
      <w:bookmarkEnd w:id="42"/>
      <w:r>
        <w:t xml:space="preserve"> </w:t>
      </w:r>
    </w:p>
    <w:p w14:paraId="5EE50E71" w14:textId="77777777" w:rsidR="00873094" w:rsidRPr="00020288" w:rsidRDefault="00873094" w:rsidP="005D0844">
      <w:pPr>
        <w:pStyle w:val="Heading2"/>
      </w:pPr>
      <w:r w:rsidRPr="00020288">
        <w:t xml:space="preserve">Outline </w:t>
      </w:r>
      <w:r w:rsidRPr="005D0844">
        <w:t>of</w:t>
      </w:r>
      <w:r w:rsidRPr="00020288">
        <w:t xml:space="preserve"> chapter</w:t>
      </w:r>
    </w:p>
    <w:p w14:paraId="1467DF58" w14:textId="4C8A63C9" w:rsidR="00873094" w:rsidRPr="000E521B" w:rsidRDefault="00421AD0" w:rsidP="000E521B">
      <w:pPr>
        <w:pStyle w:val="Normalparatextwithnumbers"/>
      </w:pPr>
      <w:r>
        <w:t xml:space="preserve">Schedule # amends the anti-avoidance provisions in the PRRTA Act </w:t>
      </w:r>
      <w:r w:rsidR="00831045">
        <w:t>so that they are</w:t>
      </w:r>
      <w:r>
        <w:t xml:space="preserve"> consistent with the </w:t>
      </w:r>
      <w:r w:rsidR="00324138">
        <w:t>general anti</w:t>
      </w:r>
      <w:r w:rsidR="00324138">
        <w:noBreakHyphen/>
        <w:t>avoidance rules (GAAR) in the ITAA</w:t>
      </w:r>
      <w:r w:rsidR="001C5588">
        <w:t> </w:t>
      </w:r>
      <w:r w:rsidR="00324138">
        <w:t xml:space="preserve">1936. </w:t>
      </w:r>
      <w:r w:rsidR="003C14AC" w:rsidRPr="003C14AC">
        <w:t>The anti-avoidance provisions in the PRRTA Act prevent entities from using contrived and artificial arrangements to minimise or escape paying PRRT.</w:t>
      </w:r>
      <w:r w:rsidR="00A62A46">
        <w:t xml:space="preserve"> </w:t>
      </w:r>
    </w:p>
    <w:p w14:paraId="4BBA4F34" w14:textId="77777777" w:rsidR="00873094" w:rsidRPr="00020288" w:rsidRDefault="00873094" w:rsidP="005D0844">
      <w:pPr>
        <w:pStyle w:val="Heading2"/>
      </w:pPr>
      <w:r w:rsidRPr="00020288">
        <w:t xml:space="preserve">Context of </w:t>
      </w:r>
      <w:r w:rsidRPr="005D0844">
        <w:t>amendments</w:t>
      </w:r>
    </w:p>
    <w:p w14:paraId="59FEA01E" w14:textId="1513BB30" w:rsidR="00126EC2" w:rsidRDefault="004A07A5" w:rsidP="00A250C9">
      <w:pPr>
        <w:pStyle w:val="Normalparatextwithnumbers"/>
        <w:numPr>
          <w:ilvl w:val="1"/>
          <w:numId w:val="3"/>
        </w:numPr>
      </w:pPr>
      <w:r w:rsidRPr="004A07A5">
        <w:t xml:space="preserve">On </w:t>
      </w:r>
      <w:r w:rsidR="00626154">
        <w:t>7 May 2023</w:t>
      </w:r>
      <w:r w:rsidRPr="004A07A5">
        <w:t xml:space="preserve">, the Government announced its final response to </w:t>
      </w:r>
      <w:r w:rsidR="00653B29">
        <w:t xml:space="preserve">the </w:t>
      </w:r>
      <w:r w:rsidR="00626154">
        <w:t>Treasury Gas Transfer Pricing Review</w:t>
      </w:r>
      <w:r w:rsidR="00F260B7">
        <w:t xml:space="preserve">. The reforms will </w:t>
      </w:r>
      <w:r w:rsidR="00923C28">
        <w:t>mean</w:t>
      </w:r>
      <w:r w:rsidR="00F260B7">
        <w:t xml:space="preserve"> that offshore LNG projects pay more tax, sooner</w:t>
      </w:r>
      <w:r w:rsidR="00B20ED5">
        <w:t xml:space="preserve">, while </w:t>
      </w:r>
      <w:r w:rsidR="00923C28">
        <w:t>ensur</w:t>
      </w:r>
      <w:r w:rsidR="00126EC2">
        <w:t>ing Australia remains a reliable international energy supplier and investment partner.</w:t>
      </w:r>
    </w:p>
    <w:p w14:paraId="1FB07D6E" w14:textId="2E834161" w:rsidR="00626154" w:rsidRDefault="002F5592" w:rsidP="00A250C9">
      <w:pPr>
        <w:pStyle w:val="Normalparatextwithnumbers"/>
        <w:numPr>
          <w:ilvl w:val="1"/>
          <w:numId w:val="3"/>
        </w:numPr>
      </w:pPr>
      <w:r>
        <w:t xml:space="preserve">Schedule # implements Recommendation 9 of the </w:t>
      </w:r>
      <w:r w:rsidR="006D76A6">
        <w:t xml:space="preserve">Gas Transfer Pricing Review, which builds on </w:t>
      </w:r>
      <w:r w:rsidR="006D76A6" w:rsidRPr="00063BC9">
        <w:t>Recommendation 12</w:t>
      </w:r>
      <w:r w:rsidR="006D76A6">
        <w:t xml:space="preserve"> of </w:t>
      </w:r>
      <w:r w:rsidR="006D76A6" w:rsidRPr="00063BC9">
        <w:t>the</w:t>
      </w:r>
      <w:r w:rsidR="00A37624">
        <w:t xml:space="preserve"> PRRT Review undertaken by </w:t>
      </w:r>
      <w:r w:rsidR="000969A6" w:rsidRPr="004A07A5">
        <w:t>Michael Callaghan AM PSM</w:t>
      </w:r>
      <w:r w:rsidR="000969A6">
        <w:t xml:space="preserve"> in 2017.</w:t>
      </w:r>
    </w:p>
    <w:p w14:paraId="59C7A0E7" w14:textId="2C7E743A" w:rsidR="009C5053" w:rsidRDefault="009C5053" w:rsidP="00873094">
      <w:pPr>
        <w:pStyle w:val="Normalparatextwithnumbers"/>
        <w:numPr>
          <w:ilvl w:val="1"/>
          <w:numId w:val="3"/>
        </w:numPr>
      </w:pPr>
      <w:r>
        <w:t xml:space="preserve">This recommendation </w:t>
      </w:r>
      <w:r w:rsidR="00B126EA">
        <w:t>updates the PRRT</w:t>
      </w:r>
      <w:r w:rsidR="00A62A46">
        <w:t>A Act</w:t>
      </w:r>
      <w:r w:rsidR="00B126EA">
        <w:t xml:space="preserve"> anti</w:t>
      </w:r>
      <w:r w:rsidR="00B126EA">
        <w:noBreakHyphen/>
        <w:t>avoidance provisions to be consistent with the ITAA 1936 GAAR</w:t>
      </w:r>
      <w:r w:rsidR="00DB3528">
        <w:t>. The GAAR was</w:t>
      </w:r>
      <w:r w:rsidR="00B126EA">
        <w:t xml:space="preserve"> updated in 2013 to address weaknesses that were revealed </w:t>
      </w:r>
      <w:r w:rsidR="001A12A8">
        <w:t>due to a number of unfavourable court cases</w:t>
      </w:r>
      <w:r w:rsidR="00DB3528">
        <w:t xml:space="preserve">, where </w:t>
      </w:r>
      <w:r w:rsidR="001A12A8">
        <w:t xml:space="preserve">taxpayers successfully argued that a ‘tax benefit’ was not obtained on the basis that without the scheme, they would not have entered into an arrangement that attracted tax. </w:t>
      </w:r>
    </w:p>
    <w:p w14:paraId="2925A05B" w14:textId="7281B283" w:rsidR="00A62A46" w:rsidRDefault="00A62A46" w:rsidP="00873094">
      <w:pPr>
        <w:pStyle w:val="Normalparatextwithnumbers"/>
        <w:numPr>
          <w:ilvl w:val="1"/>
          <w:numId w:val="3"/>
        </w:numPr>
      </w:pPr>
      <w:r>
        <w:t xml:space="preserve">Corresponding amendments are made to the PRRTA Act </w:t>
      </w:r>
      <w:r w:rsidR="00764195">
        <w:t xml:space="preserve">to ensure the same argument cannot be used and to ensure consistency between the ITAA 1936 and the PRRTA Act. </w:t>
      </w:r>
    </w:p>
    <w:p w14:paraId="79D3DCE9" w14:textId="77777777" w:rsidR="00D71BF2" w:rsidRPr="00020288" w:rsidRDefault="00D71BF2" w:rsidP="00D71BF2">
      <w:pPr>
        <w:pStyle w:val="Normalparatextwithnumbers"/>
        <w:numPr>
          <w:ilvl w:val="1"/>
          <w:numId w:val="3"/>
        </w:numPr>
      </w:pPr>
      <w:r>
        <w:t>The PRRTA Act anti</w:t>
      </w:r>
      <w:r>
        <w:noBreakHyphen/>
        <w:t>avoidance provisions apply to arrangements which artificially reduce assessable receipts or increase deductible expenditure. Assessable receipts and deductible expenditure are core components in working out a person’s PRRT liability under the PRRTA Act and the PRRTA Regulations. The PRRTA Act anti</w:t>
      </w:r>
      <w:r>
        <w:noBreakHyphen/>
        <w:t>avoidance provisions apply to the PRRTA Act and the PRRTA Regulations.</w:t>
      </w:r>
    </w:p>
    <w:p w14:paraId="12C7D701" w14:textId="77777777" w:rsidR="00D71BF2" w:rsidRPr="00020288" w:rsidRDefault="00D71BF2" w:rsidP="008E361D">
      <w:pPr>
        <w:pStyle w:val="Normalparatextwithnumbers"/>
        <w:numPr>
          <w:ilvl w:val="0"/>
          <w:numId w:val="0"/>
        </w:numPr>
        <w:ind w:left="709"/>
      </w:pPr>
    </w:p>
    <w:p w14:paraId="62B69FCA" w14:textId="77777777" w:rsidR="00873094" w:rsidRPr="00020288" w:rsidRDefault="00873094" w:rsidP="00AF50CE">
      <w:pPr>
        <w:pStyle w:val="Heading2"/>
      </w:pPr>
      <w:r w:rsidRPr="00AF50CE">
        <w:lastRenderedPageBreak/>
        <w:t>Comparison</w:t>
      </w:r>
      <w:r w:rsidRPr="00020288">
        <w:t xml:space="preserve"> of key features of new law and current law</w:t>
      </w:r>
    </w:p>
    <w:p w14:paraId="322ECE5E"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40BADFB6"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48AFAD30"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1693D764"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70398A31" w14:textId="77777777" w:rsidTr="002425D9">
        <w:tc>
          <w:tcPr>
            <w:tcW w:w="3776" w:type="dxa"/>
          </w:tcPr>
          <w:p w14:paraId="5C250E6D" w14:textId="6E3A8AC5" w:rsidR="00873094" w:rsidRPr="00020288" w:rsidRDefault="00884B2E" w:rsidP="00324138">
            <w:pPr>
              <w:pStyle w:val="Tabletext"/>
            </w:pPr>
            <w:r>
              <w:t xml:space="preserve">Provides clarity </w:t>
            </w:r>
            <w:r w:rsidR="00B73203" w:rsidRPr="00B73203">
              <w:t xml:space="preserve">that the ‘would have’ and ‘might reasonably be expected to have’ </w:t>
            </w:r>
            <w:r w:rsidR="004B038F">
              <w:t xml:space="preserve">limbs </w:t>
            </w:r>
            <w:r w:rsidR="00B73203">
              <w:t xml:space="preserve">in the tax benefits definition </w:t>
            </w:r>
            <w:r w:rsidR="00B73203" w:rsidRPr="00B73203">
              <w:t>represent alternative bases upon which the existence of a tax benefit can be demonstrated.</w:t>
            </w:r>
          </w:p>
        </w:tc>
        <w:tc>
          <w:tcPr>
            <w:tcW w:w="3874" w:type="dxa"/>
          </w:tcPr>
          <w:p w14:paraId="14A7461D" w14:textId="76C5BEB3" w:rsidR="00873094" w:rsidRPr="00020288" w:rsidRDefault="00F1541D" w:rsidP="00F1541D">
            <w:pPr>
              <w:pStyle w:val="Tabletext"/>
              <w:ind w:left="0"/>
            </w:pPr>
            <w:r>
              <w:t>T</w:t>
            </w:r>
            <w:r w:rsidR="00B73203" w:rsidRPr="00B73203">
              <w:t xml:space="preserve">he ‘would have’ and ‘might reasonably be expected to have’ </w:t>
            </w:r>
            <w:r w:rsidR="004B038F">
              <w:t>limbs</w:t>
            </w:r>
            <w:r>
              <w:t xml:space="preserve"> may not </w:t>
            </w:r>
            <w:r w:rsidR="00884B2E">
              <w:t xml:space="preserve">clearly </w:t>
            </w:r>
            <w:r>
              <w:t xml:space="preserve">represent </w:t>
            </w:r>
            <w:r w:rsidR="00B73203" w:rsidRPr="00B73203">
              <w:t>separate and distinct bases upon which the existence of a tax benefit can be demonstrated.</w:t>
            </w:r>
          </w:p>
        </w:tc>
      </w:tr>
      <w:tr w:rsidR="00873094" w:rsidRPr="00020288" w14:paraId="6B816132" w14:textId="77777777" w:rsidTr="002425D9">
        <w:tc>
          <w:tcPr>
            <w:tcW w:w="3776" w:type="dxa"/>
          </w:tcPr>
          <w:p w14:paraId="6A777AD3" w14:textId="2996A5F6" w:rsidR="00873094" w:rsidRPr="00020288" w:rsidRDefault="00884B2E" w:rsidP="002425D9">
            <w:pPr>
              <w:pStyle w:val="Tabletext"/>
            </w:pPr>
            <w:r>
              <w:t xml:space="preserve">Clarifies that the </w:t>
            </w:r>
            <w:r w:rsidR="00B73203" w:rsidRPr="00B73203">
              <w:t xml:space="preserve">‘would have’ </w:t>
            </w:r>
            <w:r w:rsidR="004B038F">
              <w:t>limbs</w:t>
            </w:r>
            <w:r w:rsidR="00F1541D">
              <w:t xml:space="preserve"> </w:t>
            </w:r>
            <w:r w:rsidR="00B73203" w:rsidRPr="00B73203">
              <w:t>operate on the basis of a postulate that comprises existing facts and circumstances minus the scheme.</w:t>
            </w:r>
          </w:p>
        </w:tc>
        <w:tc>
          <w:tcPr>
            <w:tcW w:w="3874" w:type="dxa"/>
          </w:tcPr>
          <w:p w14:paraId="04AFE8C4" w14:textId="2FEED6C8" w:rsidR="00873094" w:rsidRPr="00020288" w:rsidRDefault="004B038F" w:rsidP="002425D9">
            <w:pPr>
              <w:pStyle w:val="Tabletext"/>
            </w:pPr>
            <w:r>
              <w:t xml:space="preserve">There is uncertainty whether the ‘would have’ limbs </w:t>
            </w:r>
            <w:r w:rsidR="00B73203" w:rsidRPr="00B73203">
              <w:t>involve a prediction about events or circumstances, as opposed to a mere deletion of the scheme.</w:t>
            </w:r>
          </w:p>
        </w:tc>
      </w:tr>
      <w:tr w:rsidR="00873094" w:rsidRPr="00020288" w14:paraId="02E81284" w14:textId="77777777" w:rsidTr="002425D9">
        <w:tc>
          <w:tcPr>
            <w:tcW w:w="3776" w:type="dxa"/>
          </w:tcPr>
          <w:p w14:paraId="5D7AABA1" w14:textId="27A3A3D7" w:rsidR="00873094" w:rsidRPr="00020288" w:rsidRDefault="00884B2E" w:rsidP="002425D9">
            <w:pPr>
              <w:pStyle w:val="Tabletext"/>
            </w:pPr>
            <w:r>
              <w:t>C</w:t>
            </w:r>
            <w:r w:rsidR="00B73203" w:rsidRPr="00B73203">
              <w:t>lear</w:t>
            </w:r>
            <w:r>
              <w:t xml:space="preserve">ly shows that the </w:t>
            </w:r>
            <w:r w:rsidR="00B73203" w:rsidRPr="00B73203">
              <w:t>‘might reasonably be expected to have’ limb operate</w:t>
            </w:r>
            <w:r w:rsidR="004B038F">
              <w:t>s</w:t>
            </w:r>
            <w:r w:rsidR="00B73203" w:rsidRPr="00B73203">
              <w:t xml:space="preserve"> on the basis of postulates that are reasonable alternatives to the scheme, having regard to the substance of the scheme and the non</w:t>
            </w:r>
            <w:r w:rsidR="004B038F">
              <w:noBreakHyphen/>
            </w:r>
            <w:r w:rsidR="00B73203" w:rsidRPr="00B73203">
              <w:t>tax results and consequences achieved by the taxpayer from the scheme.</w:t>
            </w:r>
          </w:p>
        </w:tc>
        <w:tc>
          <w:tcPr>
            <w:tcW w:w="3874" w:type="dxa"/>
          </w:tcPr>
          <w:p w14:paraId="4617320E" w14:textId="67E477E6" w:rsidR="00873094" w:rsidRPr="00020288" w:rsidRDefault="00B73203" w:rsidP="002425D9">
            <w:pPr>
              <w:pStyle w:val="Tabletext"/>
            </w:pPr>
            <w:r w:rsidRPr="00B73203">
              <w:t>The operation of the ‘might reasonably be expected to have’ limb depends on an inquiry about what other courses of action were reasonably open to the participants in the scheme.</w:t>
            </w:r>
          </w:p>
        </w:tc>
      </w:tr>
      <w:tr w:rsidR="00873094" w:rsidRPr="00020288" w14:paraId="64367F0C" w14:textId="77777777" w:rsidTr="002425D9">
        <w:tc>
          <w:tcPr>
            <w:tcW w:w="3776" w:type="dxa"/>
          </w:tcPr>
          <w:p w14:paraId="1C1AF3C0" w14:textId="4A1E3DB2" w:rsidR="00873094" w:rsidRPr="00020288" w:rsidRDefault="00514967" w:rsidP="002425D9">
            <w:pPr>
              <w:pStyle w:val="Tabletext"/>
            </w:pPr>
            <w:r>
              <w:t>W</w:t>
            </w:r>
            <w:r w:rsidR="00B73203" w:rsidRPr="00B73203">
              <w:t xml:space="preserve">hether </w:t>
            </w:r>
            <w:r>
              <w:t>the PRRT anti</w:t>
            </w:r>
            <w:r>
              <w:noBreakHyphen/>
              <w:t xml:space="preserve">avoidance provisions </w:t>
            </w:r>
            <w:r w:rsidR="00B73203" w:rsidRPr="00B73203">
              <w:t xml:space="preserve">applies to a scheme starts with </w:t>
            </w:r>
            <w:r>
              <w:t xml:space="preserve">considering </w:t>
            </w:r>
            <w:r w:rsidR="00B73203" w:rsidRPr="00B73203">
              <w:t>whether any person participated in the scheme for the sole or dominant purpose of securing for the taxpayer a tax benefit in connection with the scheme.  This ensures that the examination of the tax benefit happens in the context of examining a participant’s purpose</w:t>
            </w:r>
            <w:r>
              <w:t xml:space="preserve">. </w:t>
            </w:r>
          </w:p>
        </w:tc>
        <w:tc>
          <w:tcPr>
            <w:tcW w:w="3874" w:type="dxa"/>
          </w:tcPr>
          <w:p w14:paraId="5105BD28" w14:textId="2A423FCA" w:rsidR="00873094" w:rsidRPr="00020288" w:rsidRDefault="00B73203" w:rsidP="002425D9">
            <w:pPr>
              <w:pStyle w:val="Tabletext"/>
            </w:pPr>
            <w:r>
              <w:t>W</w:t>
            </w:r>
            <w:r w:rsidRPr="00B73203">
              <w:t xml:space="preserve">hether </w:t>
            </w:r>
            <w:r>
              <w:t>the PRRT anti</w:t>
            </w:r>
            <w:r>
              <w:noBreakHyphen/>
              <w:t xml:space="preserve">avoidance provisions </w:t>
            </w:r>
            <w:r w:rsidRPr="00B73203">
              <w:t>appl</w:t>
            </w:r>
            <w:r w:rsidR="003A15D1">
              <w:t>y</w:t>
            </w:r>
            <w:r w:rsidRPr="00B73203">
              <w:t xml:space="preserve"> to a scheme starts with consider</w:t>
            </w:r>
            <w:r>
              <w:t>ing</w:t>
            </w:r>
            <w:r w:rsidRPr="00B73203">
              <w:t xml:space="preserve"> whether a taxpayer has secured a particular tax benefit in connection with the scheme.</w:t>
            </w:r>
          </w:p>
        </w:tc>
      </w:tr>
    </w:tbl>
    <w:p w14:paraId="54C711D1" w14:textId="77777777" w:rsidR="00873094" w:rsidRPr="00020288" w:rsidRDefault="00873094" w:rsidP="00873094">
      <w:pPr>
        <w:pStyle w:val="Heading2"/>
        <w:numPr>
          <w:ilvl w:val="1"/>
          <w:numId w:val="2"/>
        </w:numPr>
        <w:tabs>
          <w:tab w:val="num" w:pos="567"/>
        </w:tabs>
        <w:ind w:left="567" w:hanging="567"/>
      </w:pPr>
      <w:r w:rsidRPr="00020288">
        <w:t>Detailed explanation of new law</w:t>
      </w:r>
    </w:p>
    <w:p w14:paraId="67826271" w14:textId="0582FDA3" w:rsidR="00CD65AC" w:rsidRDefault="00CD65AC" w:rsidP="00CD65AC">
      <w:pPr>
        <w:pStyle w:val="Heading5"/>
      </w:pPr>
      <w:r>
        <w:t>Operation of the anti</w:t>
      </w:r>
      <w:r w:rsidR="002613F7">
        <w:noBreakHyphen/>
      </w:r>
      <w:r>
        <w:t xml:space="preserve">avoidance scheme </w:t>
      </w:r>
    </w:p>
    <w:p w14:paraId="79D39420" w14:textId="3E25DD7D" w:rsidR="00CD65AC" w:rsidRPr="00CD65AC" w:rsidRDefault="009D7BDC" w:rsidP="00CD65AC">
      <w:pPr>
        <w:pStyle w:val="Normalparatextwithnumbers"/>
      </w:pPr>
      <w:r w:rsidRPr="009D7BDC">
        <w:t xml:space="preserve">In determining whether </w:t>
      </w:r>
      <w:r>
        <w:t>the PRRT anti-avoidance provision</w:t>
      </w:r>
      <w:r w:rsidR="00D06D37">
        <w:t>s</w:t>
      </w:r>
      <w:r>
        <w:t xml:space="preserve"> </w:t>
      </w:r>
      <w:r w:rsidRPr="009D7BDC">
        <w:t>appl</w:t>
      </w:r>
      <w:r w:rsidR="00D06D37">
        <w:t>y</w:t>
      </w:r>
      <w:r w:rsidRPr="009D7BDC">
        <w:t xml:space="preserve"> to a</w:t>
      </w:r>
      <w:r w:rsidR="003C14AC">
        <w:t>n arrangement</w:t>
      </w:r>
      <w:r w:rsidRPr="009D7BDC">
        <w:t>, the critical questio</w:t>
      </w:r>
      <w:r>
        <w:t xml:space="preserve">n </w:t>
      </w:r>
      <w:r w:rsidRPr="009D7BDC">
        <w:t xml:space="preserve">is whether a person or persons who participated in the </w:t>
      </w:r>
      <w:r w:rsidR="003C14AC">
        <w:t xml:space="preserve">arrangement </w:t>
      </w:r>
      <w:r w:rsidRPr="009D7BDC">
        <w:t>did so for the sole or dominant purpose of enabling the taxpayer to obtain a tax benefit.</w:t>
      </w:r>
      <w:r w:rsidR="00045E24">
        <w:t xml:space="preserve"> </w:t>
      </w:r>
      <w:r w:rsidR="00045E24" w:rsidRPr="00045E24">
        <w:t xml:space="preserve">The relevant purpose must be </w:t>
      </w:r>
      <w:r w:rsidR="00045E24" w:rsidRPr="00045E24">
        <w:lastRenderedPageBreak/>
        <w:t xml:space="preserve">established objectively based on an analysis of </w:t>
      </w:r>
      <w:r w:rsidR="003C14AC">
        <w:t xml:space="preserve">various matters, including </w:t>
      </w:r>
      <w:r w:rsidR="00045E24" w:rsidRPr="00045E24">
        <w:t xml:space="preserve">how the </w:t>
      </w:r>
      <w:r w:rsidR="003C14AC">
        <w:t xml:space="preserve">arrangement </w:t>
      </w:r>
      <w:r w:rsidR="00045E24" w:rsidRPr="00045E24">
        <w:t>was implemented,</w:t>
      </w:r>
      <w:r w:rsidR="003C14AC">
        <w:t xml:space="preserve"> the form and substance of the arrangement,</w:t>
      </w:r>
      <w:r w:rsidR="00045E24" w:rsidRPr="00045E24">
        <w:t xml:space="preserve"> what the </w:t>
      </w:r>
      <w:r w:rsidR="003C14AC">
        <w:t xml:space="preserve">arrangement </w:t>
      </w:r>
      <w:r w:rsidR="00045E24" w:rsidRPr="00045E24">
        <w:t>achieved</w:t>
      </w:r>
      <w:r w:rsidR="00D06D37">
        <w:t>,</w:t>
      </w:r>
      <w:r w:rsidR="00045E24" w:rsidRPr="00045E24">
        <w:t xml:space="preserve"> as a matter of substance or reality</w:t>
      </w:r>
      <w:r w:rsidR="00D06D37">
        <w:t>,</w:t>
      </w:r>
      <w:r w:rsidR="00045E24" w:rsidRPr="00045E24">
        <w:t xml:space="preserve"> </w:t>
      </w:r>
      <w:r w:rsidR="003C14AC">
        <w:t>and any changes in financial position for the taxpayer or any person who has a connection with the taxpayer as a result of the arrangement.</w:t>
      </w:r>
    </w:p>
    <w:p w14:paraId="17D8B3C5" w14:textId="61E4C2D1" w:rsidR="00514967" w:rsidRDefault="00514967" w:rsidP="00CD65AC">
      <w:pPr>
        <w:pStyle w:val="Heading5"/>
        <w:numPr>
          <w:ilvl w:val="0"/>
          <w:numId w:val="0"/>
        </w:numPr>
      </w:pPr>
      <w:r>
        <w:t xml:space="preserve">The bases for identifying tax benefits </w:t>
      </w:r>
    </w:p>
    <w:p w14:paraId="59AB678B" w14:textId="7A7D41F8" w:rsidR="0067780F" w:rsidRDefault="00DF1712" w:rsidP="0046200E">
      <w:pPr>
        <w:pStyle w:val="Normalparatextwithnumbers"/>
      </w:pPr>
      <w:r>
        <w:t xml:space="preserve">Section 52 is </w:t>
      </w:r>
      <w:r w:rsidR="00D23750">
        <w:t>revised</w:t>
      </w:r>
      <w:r>
        <w:t xml:space="preserve"> to make it clear </w:t>
      </w:r>
      <w:r w:rsidR="00EF0C7A">
        <w:t xml:space="preserve">the </w:t>
      </w:r>
      <w:r w:rsidR="00EF0C7A" w:rsidRPr="00EF0C7A">
        <w:t>start</w:t>
      </w:r>
      <w:r w:rsidR="00EF0C7A">
        <w:t>ing point on whether the PRRT anti</w:t>
      </w:r>
      <w:r w:rsidR="00EF0C7A">
        <w:noBreakHyphen/>
        <w:t xml:space="preserve">avoidance provisions apply is to </w:t>
      </w:r>
      <w:r w:rsidR="00EF0C7A" w:rsidRPr="00EF0C7A">
        <w:t xml:space="preserve">consider whether a person participated in </w:t>
      </w:r>
      <w:r w:rsidR="00EF0C7A">
        <w:t xml:space="preserve">an arrangement for the </w:t>
      </w:r>
      <w:r w:rsidR="00EF0C7A" w:rsidRPr="00EF0C7A">
        <w:t xml:space="preserve">sole or dominant purpose </w:t>
      </w:r>
      <w:r w:rsidR="00EF0C7A">
        <w:t xml:space="preserve">of securing </w:t>
      </w:r>
      <w:r>
        <w:t>a tax benefit. There is no change to the matters that must be considered when determining if the sole or dominant purpose test has been met.</w:t>
      </w:r>
      <w:r w:rsidR="006835D5">
        <w:t xml:space="preserve"> </w:t>
      </w:r>
      <w:r w:rsidR="0067780F">
        <w:br/>
      </w:r>
      <w:r w:rsidR="0067780F" w:rsidRPr="0067780F">
        <w:rPr>
          <w:rStyle w:val="References"/>
        </w:rPr>
        <w:t>[Schedule #, item 1, sections 51A(1) of the Act]</w:t>
      </w:r>
    </w:p>
    <w:p w14:paraId="7B2C1144" w14:textId="050CDE86" w:rsidR="00514967" w:rsidRDefault="006835D5" w:rsidP="0046200E">
      <w:pPr>
        <w:pStyle w:val="Normalparatextwithnumbers"/>
      </w:pPr>
      <w:r w:rsidRPr="006835D5">
        <w:t>Th</w:t>
      </w:r>
      <w:r>
        <w:t xml:space="preserve">is </w:t>
      </w:r>
      <w:r w:rsidRPr="006835D5">
        <w:t>mirror</w:t>
      </w:r>
      <w:r>
        <w:t>s</w:t>
      </w:r>
      <w:r w:rsidRPr="006835D5">
        <w:t xml:space="preserve"> the sole or dominant purpose test under section 177D </w:t>
      </w:r>
      <w:r>
        <w:t xml:space="preserve">of the ITAA 1936 </w:t>
      </w:r>
      <w:r w:rsidRPr="006835D5">
        <w:t>s</w:t>
      </w:r>
      <w:r w:rsidR="00851918">
        <w:t xml:space="preserve">uch </w:t>
      </w:r>
      <w:r w:rsidRPr="006835D5">
        <w:t xml:space="preserve">that the Commissioner considers whether a participant in the </w:t>
      </w:r>
      <w:r w:rsidR="0067780F">
        <w:t>arrangement</w:t>
      </w:r>
      <w:r w:rsidRPr="006835D5">
        <w:t xml:space="preserve"> had the requisite purpose of securing a tax benefit for the taxpayer in connection with the </w:t>
      </w:r>
      <w:r w:rsidR="0067780F">
        <w:t>arrangement</w:t>
      </w:r>
      <w:r w:rsidRPr="006835D5">
        <w:t xml:space="preserve">, and whether a tax benefit was obtained in connection with the </w:t>
      </w:r>
      <w:r w:rsidR="0067780F">
        <w:t>arrangement</w:t>
      </w:r>
      <w:r w:rsidRPr="006835D5">
        <w:t xml:space="preserve">. </w:t>
      </w:r>
      <w:r w:rsidR="00DF1712">
        <w:br/>
      </w:r>
      <w:r w:rsidR="00DF1712" w:rsidRPr="00DF1712">
        <w:rPr>
          <w:rStyle w:val="References"/>
        </w:rPr>
        <w:t xml:space="preserve">[Schedule #, item </w:t>
      </w:r>
      <w:r w:rsidR="00851918">
        <w:rPr>
          <w:rStyle w:val="References"/>
        </w:rPr>
        <w:t>1</w:t>
      </w:r>
      <w:r w:rsidR="00DF1712" w:rsidRPr="00DF1712">
        <w:rPr>
          <w:rStyle w:val="References"/>
        </w:rPr>
        <w:t>, section</w:t>
      </w:r>
      <w:r w:rsidR="0019017F">
        <w:rPr>
          <w:rStyle w:val="References"/>
        </w:rPr>
        <w:t>s</w:t>
      </w:r>
      <w:r w:rsidR="00DF1712" w:rsidRPr="00DF1712">
        <w:rPr>
          <w:rStyle w:val="References"/>
        </w:rPr>
        <w:t xml:space="preserve"> </w:t>
      </w:r>
      <w:r w:rsidR="0019017F">
        <w:rPr>
          <w:rStyle w:val="References"/>
        </w:rPr>
        <w:t xml:space="preserve">51A(1) and 52 </w:t>
      </w:r>
      <w:r w:rsidR="00DF1712" w:rsidRPr="00DF1712">
        <w:rPr>
          <w:rStyle w:val="References"/>
        </w:rPr>
        <w:t>of the Act]</w:t>
      </w:r>
      <w:r w:rsidR="00DF1712">
        <w:t xml:space="preserve"> </w:t>
      </w:r>
    </w:p>
    <w:p w14:paraId="7743A623" w14:textId="11E26662" w:rsidR="003C070F" w:rsidRDefault="003C070F" w:rsidP="0046200E">
      <w:pPr>
        <w:pStyle w:val="Normalparatextwithnumbers"/>
      </w:pPr>
      <w:r>
        <w:t xml:space="preserve">Where it is determined </w:t>
      </w:r>
      <w:r w:rsidR="002E4106">
        <w:t xml:space="preserve">that </w:t>
      </w:r>
      <w:r>
        <w:t xml:space="preserve">a tax benefit has been obtained in connection with the </w:t>
      </w:r>
      <w:r w:rsidR="0067780F">
        <w:t>arrangement</w:t>
      </w:r>
      <w:r>
        <w:t xml:space="preserve">, the Commissioner may make an adjustment to cancel that tax benefit. </w:t>
      </w:r>
      <w:r>
        <w:br/>
      </w:r>
      <w:r w:rsidRPr="003C070F">
        <w:rPr>
          <w:rStyle w:val="References"/>
        </w:rPr>
        <w:t>[Schedule #, item 2, subsection 53(1) of the Act]</w:t>
      </w:r>
    </w:p>
    <w:p w14:paraId="01808C64" w14:textId="2F26E1FA" w:rsidR="003C0AE3" w:rsidRDefault="0019017F" w:rsidP="003C0AE3">
      <w:pPr>
        <w:pStyle w:val="Heading6"/>
      </w:pPr>
      <w:r>
        <w:t>A</w:t>
      </w:r>
      <w:r w:rsidR="009E0A1B">
        <w:t>nnihilation</w:t>
      </w:r>
      <w:r>
        <w:t xml:space="preserve"> approach</w:t>
      </w:r>
      <w:r w:rsidR="009E0A1B">
        <w:t xml:space="preserve"> </w:t>
      </w:r>
    </w:p>
    <w:p w14:paraId="1EE3738B" w14:textId="07DB90FE" w:rsidR="009E0A1B" w:rsidRPr="00F30ED5" w:rsidRDefault="001412F1" w:rsidP="008673E1">
      <w:pPr>
        <w:pStyle w:val="Normalparatextwithnumbers"/>
        <w:rPr>
          <w:rStyle w:val="References"/>
          <w:b w:val="0"/>
          <w:bCs w:val="0"/>
          <w:i w:val="0"/>
          <w:iCs w:val="0"/>
        </w:rPr>
      </w:pPr>
      <w:r>
        <w:t xml:space="preserve">The existing </w:t>
      </w:r>
      <w:r w:rsidR="00F30ED5">
        <w:t xml:space="preserve">tax benefit </w:t>
      </w:r>
      <w:r>
        <w:t xml:space="preserve">scope in the PRRTA Act </w:t>
      </w:r>
      <w:r w:rsidR="00E90549">
        <w:t xml:space="preserve">includes a reference to an </w:t>
      </w:r>
      <w:r w:rsidR="00F30ED5">
        <w:t xml:space="preserve">amount </w:t>
      </w:r>
      <w:r w:rsidR="00E90549">
        <w:t xml:space="preserve">that </w:t>
      </w:r>
      <w:r w:rsidR="00F30ED5">
        <w:t xml:space="preserve">‘would have’ </w:t>
      </w:r>
      <w:r w:rsidR="00E90549">
        <w:t xml:space="preserve">been obtained </w:t>
      </w:r>
      <w:r>
        <w:t xml:space="preserve">in absence of </w:t>
      </w:r>
      <w:r w:rsidR="003C0AE3" w:rsidRPr="003C0AE3">
        <w:t xml:space="preserve">the </w:t>
      </w:r>
      <w:r w:rsidR="00223CF3">
        <w:t>arrangement</w:t>
      </w:r>
      <w:r w:rsidR="00E90549">
        <w:t>. T</w:t>
      </w:r>
      <w:r>
        <w:t xml:space="preserve">he </w:t>
      </w:r>
      <w:r w:rsidR="00E90549">
        <w:t xml:space="preserve">‘would have’ </w:t>
      </w:r>
      <w:r>
        <w:t>criteri</w:t>
      </w:r>
      <w:r w:rsidR="00223CF3">
        <w:t>on is</w:t>
      </w:r>
      <w:r>
        <w:t xml:space="preserve"> made </w:t>
      </w:r>
      <w:r w:rsidR="00E90549">
        <w:t>explicit</w:t>
      </w:r>
      <w:r w:rsidR="009B2F1C">
        <w:t>,</w:t>
      </w:r>
      <w:r w:rsidR="00E90549">
        <w:t xml:space="preserve"> and </w:t>
      </w:r>
      <w:r w:rsidR="009B2F1C">
        <w:t xml:space="preserve">it </w:t>
      </w:r>
      <w:r>
        <w:t xml:space="preserve">is </w:t>
      </w:r>
      <w:r w:rsidR="00533CB0">
        <w:t xml:space="preserve">now </w:t>
      </w:r>
      <w:r w:rsidR="00E90549">
        <w:t>clear</w:t>
      </w:r>
      <w:r>
        <w:t xml:space="preserve"> </w:t>
      </w:r>
      <w:r w:rsidR="00E90549">
        <w:t xml:space="preserve">how alternative postulates are to be identified. </w:t>
      </w:r>
      <w:r>
        <w:t xml:space="preserve">This analysis is </w:t>
      </w:r>
      <w:r w:rsidRPr="001412F1">
        <w:t xml:space="preserve">made on the basis of a postulate comprising all of the events or circumstances that actually happened or existed, other than </w:t>
      </w:r>
      <w:r w:rsidR="00533CB0">
        <w:t xml:space="preserve">merely </w:t>
      </w:r>
      <w:r w:rsidRPr="001412F1">
        <w:t xml:space="preserve">those that form part of the </w:t>
      </w:r>
      <w:r w:rsidR="00223CF3">
        <w:t>arrangement</w:t>
      </w:r>
      <w:r w:rsidRPr="001412F1">
        <w:t>.</w:t>
      </w:r>
      <w:r w:rsidR="003C0AE3">
        <w:br/>
      </w:r>
      <w:r w:rsidR="003C0AE3" w:rsidRPr="00DF1712">
        <w:rPr>
          <w:rStyle w:val="References"/>
        </w:rPr>
        <w:t>[Schedule #, item 1, subsection 51A(2) of the Act]</w:t>
      </w:r>
    </w:p>
    <w:p w14:paraId="6CF80561" w14:textId="1143B7FA" w:rsidR="003C0AE3" w:rsidRDefault="0019017F" w:rsidP="003C0AE3">
      <w:pPr>
        <w:pStyle w:val="Heading6"/>
      </w:pPr>
      <w:r>
        <w:t>Reconstruction approach</w:t>
      </w:r>
      <w:r w:rsidR="009E0A1B">
        <w:t xml:space="preserve"> </w:t>
      </w:r>
    </w:p>
    <w:p w14:paraId="309A13B8" w14:textId="36AD424F" w:rsidR="00BD0123" w:rsidRDefault="00BD0123" w:rsidP="008673E1">
      <w:pPr>
        <w:pStyle w:val="Normalparatextwithnumbers"/>
      </w:pPr>
      <w:r>
        <w:t>W</w:t>
      </w:r>
      <w:r w:rsidR="009E0A1B">
        <w:t xml:space="preserve">hen postulating what </w:t>
      </w:r>
      <w:r>
        <w:t>‘</w:t>
      </w:r>
      <w:r w:rsidR="009E0A1B">
        <w:t>might reasonably be expected</w:t>
      </w:r>
      <w:r>
        <w:t>’</w:t>
      </w:r>
      <w:r w:rsidR="009E0A1B">
        <w:t xml:space="preserve"> to have occurred in the absence of a</w:t>
      </w:r>
      <w:r w:rsidR="00223CF3">
        <w:t>n</w:t>
      </w:r>
      <w:r w:rsidR="009E0A1B">
        <w:t xml:space="preserve"> </w:t>
      </w:r>
      <w:r w:rsidR="00223CF3">
        <w:t>arrangement</w:t>
      </w:r>
      <w:r w:rsidR="009E0A1B">
        <w:t xml:space="preserve">, </w:t>
      </w:r>
      <w:r>
        <w:t xml:space="preserve">the postulate must represent a reasonable alternative to the </w:t>
      </w:r>
      <w:r w:rsidR="00223CF3">
        <w:t>arrangement</w:t>
      </w:r>
      <w:r>
        <w:t xml:space="preserve">, in the sense that it could reasonably take the place of the </w:t>
      </w:r>
      <w:r w:rsidR="00223CF3">
        <w:t>arrangement</w:t>
      </w:r>
      <w:r>
        <w:t xml:space="preserve">. </w:t>
      </w:r>
      <w:r>
        <w:br/>
      </w:r>
      <w:r w:rsidRPr="00BD0123">
        <w:rPr>
          <w:rStyle w:val="References"/>
        </w:rPr>
        <w:t>[Schedule #, item 1, subsections 51A(3) of the Act]</w:t>
      </w:r>
    </w:p>
    <w:p w14:paraId="0828A5C3" w14:textId="7321A059" w:rsidR="008B6727" w:rsidRDefault="00BD0123" w:rsidP="008B6727">
      <w:pPr>
        <w:pStyle w:val="Normalparatextwithnumbers"/>
      </w:pPr>
      <w:r>
        <w:t xml:space="preserve">Consideration to what might be reasonably expected </w:t>
      </w:r>
      <w:r w:rsidR="009E0A1B">
        <w:t xml:space="preserve">will necessarily require speculation about the state of affairs that would have existed if the </w:t>
      </w:r>
      <w:r w:rsidR="00223CF3">
        <w:t>arrangement</w:t>
      </w:r>
      <w:r w:rsidR="009E0A1B">
        <w:t xml:space="preserve"> had not been entered into or carried out.</w:t>
      </w:r>
      <w:r>
        <w:t xml:space="preserve"> </w:t>
      </w:r>
      <w:r w:rsidR="00DF1712">
        <w:br/>
      </w:r>
      <w:r w:rsidR="00DF1712" w:rsidRPr="00DF1712">
        <w:rPr>
          <w:rStyle w:val="References"/>
        </w:rPr>
        <w:t xml:space="preserve">[Schedule #, item </w:t>
      </w:r>
      <w:r w:rsidR="006E1DA1">
        <w:rPr>
          <w:rStyle w:val="References"/>
        </w:rPr>
        <w:t>1</w:t>
      </w:r>
      <w:r w:rsidR="00DF1712" w:rsidRPr="00DF1712">
        <w:rPr>
          <w:rStyle w:val="References"/>
        </w:rPr>
        <w:t xml:space="preserve">, </w:t>
      </w:r>
      <w:r w:rsidR="00DF1712">
        <w:rPr>
          <w:rStyle w:val="References"/>
        </w:rPr>
        <w:t xml:space="preserve">subsections 51A(4) </w:t>
      </w:r>
      <w:r w:rsidR="00DF1712" w:rsidRPr="00DF1712">
        <w:rPr>
          <w:rStyle w:val="References"/>
        </w:rPr>
        <w:t>of the Act]</w:t>
      </w:r>
      <w:r w:rsidR="008B6727" w:rsidRPr="008B6727">
        <w:t xml:space="preserve"> </w:t>
      </w:r>
    </w:p>
    <w:p w14:paraId="2676B0FA" w14:textId="77777777" w:rsidR="00C262D3" w:rsidRDefault="008B6727" w:rsidP="00013465">
      <w:pPr>
        <w:pStyle w:val="Normalparatextwithnumbers"/>
        <w:numPr>
          <w:ilvl w:val="1"/>
          <w:numId w:val="3"/>
        </w:numPr>
      </w:pPr>
      <w:r w:rsidRPr="00F30ED5">
        <w:lastRenderedPageBreak/>
        <w:t xml:space="preserve">Under </w:t>
      </w:r>
      <w:r>
        <w:t xml:space="preserve">either the annihilation or reconstruction </w:t>
      </w:r>
      <w:r w:rsidRPr="00F30ED5">
        <w:t>approach, a taxpayer will have obtained a tax benefit in connection with a</w:t>
      </w:r>
      <w:r w:rsidR="00223CF3">
        <w:t>n</w:t>
      </w:r>
      <w:r w:rsidRPr="00F30ED5">
        <w:t xml:space="preserve"> </w:t>
      </w:r>
      <w:r w:rsidR="00223CF3">
        <w:t xml:space="preserve">arrangement </w:t>
      </w:r>
      <w:r w:rsidRPr="00F30ED5">
        <w:t xml:space="preserve">if it </w:t>
      </w:r>
      <w:r>
        <w:t xml:space="preserve">is </w:t>
      </w:r>
      <w:r w:rsidRPr="00F30ED5">
        <w:t>demonstrated that</w:t>
      </w:r>
      <w:r w:rsidR="006222FD">
        <w:t>:</w:t>
      </w:r>
      <w:r w:rsidRPr="00F30ED5">
        <w:t xml:space="preserve"> </w:t>
      </w:r>
    </w:p>
    <w:p w14:paraId="0B3F95EC" w14:textId="0FFBF058" w:rsidR="00C262D3" w:rsidRDefault="001C5588" w:rsidP="001C5588">
      <w:pPr>
        <w:pStyle w:val="Dotpoint1"/>
      </w:pPr>
      <w:r>
        <w:t>a</w:t>
      </w:r>
      <w:r w:rsidR="008B6727" w:rsidRPr="00F30ED5">
        <w:t xml:space="preserve"> tax effect would have f</w:t>
      </w:r>
      <w:r w:rsidR="008B6727">
        <w:t>o</w:t>
      </w:r>
      <w:r w:rsidR="008B6727" w:rsidRPr="00F30ED5">
        <w:t>l</w:t>
      </w:r>
      <w:r w:rsidR="008B6727">
        <w:t>l</w:t>
      </w:r>
      <w:r w:rsidR="008B6727" w:rsidRPr="00F30ED5">
        <w:t>owed from appl</w:t>
      </w:r>
      <w:r w:rsidR="008B6727">
        <w:t xml:space="preserve">ying </w:t>
      </w:r>
      <w:r>
        <w:t xml:space="preserve">the provisions in the PRRTA Act </w:t>
      </w:r>
      <w:r w:rsidR="008B6727" w:rsidRPr="00F30ED5">
        <w:t xml:space="preserve">to the facts once the </w:t>
      </w:r>
      <w:r w:rsidR="00223CF3">
        <w:t xml:space="preserve">arrangement </w:t>
      </w:r>
      <w:r w:rsidR="008B6727" w:rsidRPr="00F30ED5">
        <w:t xml:space="preserve">is assumed </w:t>
      </w:r>
      <w:r w:rsidR="008B6727">
        <w:t>away or reconstructed</w:t>
      </w:r>
      <w:r w:rsidR="006222FD">
        <w:t>; and</w:t>
      </w:r>
    </w:p>
    <w:p w14:paraId="7756C81D" w14:textId="55428667" w:rsidR="00AB03FC" w:rsidRPr="00020288" w:rsidRDefault="008B6727" w:rsidP="001C5588">
      <w:pPr>
        <w:pStyle w:val="Dotpoint1"/>
      </w:pPr>
      <w:r>
        <w:t xml:space="preserve">the tax effect secured in connection with the </w:t>
      </w:r>
      <w:r w:rsidR="00223CF3">
        <w:t xml:space="preserve">arrangement </w:t>
      </w:r>
      <w:r>
        <w:t>is more advantageous tha</w:t>
      </w:r>
      <w:r w:rsidR="00223CF3">
        <w:t>n</w:t>
      </w:r>
      <w:r>
        <w:t xml:space="preserve"> the tax effect without the </w:t>
      </w:r>
      <w:r w:rsidR="00223CF3">
        <w:t>arrangement</w:t>
      </w:r>
      <w:r>
        <w:t>.</w:t>
      </w:r>
      <w:r w:rsidR="003C070F">
        <w:t xml:space="preserve"> </w:t>
      </w:r>
    </w:p>
    <w:p w14:paraId="02255ABD" w14:textId="77777777" w:rsidR="00873094" w:rsidRPr="00020288" w:rsidRDefault="00873094" w:rsidP="00AF50CE">
      <w:pPr>
        <w:pStyle w:val="Heading2"/>
      </w:pPr>
      <w:bookmarkStart w:id="43" w:name="_Toc78193246"/>
      <w:bookmarkStart w:id="44" w:name="_Toc78193403"/>
      <w:bookmarkStart w:id="45" w:name="_Toc78548476"/>
      <w:bookmarkStart w:id="46" w:name="_Toc78549747"/>
      <w:bookmarkStart w:id="47" w:name="_Toc78549791"/>
      <w:r w:rsidRPr="00020288">
        <w:t xml:space="preserve">Commencement, </w:t>
      </w:r>
      <w:r w:rsidRPr="00AF50CE">
        <w:t>application</w:t>
      </w:r>
      <w:r w:rsidRPr="00020288">
        <w:t>, and transitional provisions</w:t>
      </w:r>
    </w:p>
    <w:p w14:paraId="6E16A52D" w14:textId="5881D42D" w:rsidR="009A5A85" w:rsidRDefault="003C070F" w:rsidP="00807A24">
      <w:pPr>
        <w:pStyle w:val="Normalparatextwithnumbers"/>
      </w:pPr>
      <w:r>
        <w:t>Schedule # to the Bill commences the day after Royal Assent</w:t>
      </w:r>
      <w:r w:rsidR="009A5A85">
        <w:t>.</w:t>
      </w:r>
    </w:p>
    <w:p w14:paraId="21A84896" w14:textId="7065737B" w:rsidR="005E1341" w:rsidRPr="00020288" w:rsidRDefault="003C070F" w:rsidP="00223CF3">
      <w:pPr>
        <w:pStyle w:val="Normalparatextwithnumbers"/>
      </w:pPr>
      <w:r>
        <w:t xml:space="preserve">The amendments apply to </w:t>
      </w:r>
      <w:r w:rsidR="005E1341">
        <w:t xml:space="preserve">any </w:t>
      </w:r>
      <w:r>
        <w:t>arrangement</w:t>
      </w:r>
      <w:r w:rsidR="005E1341">
        <w:t xml:space="preserve"> that </w:t>
      </w:r>
      <w:r w:rsidR="001C5588">
        <w:t>was</w:t>
      </w:r>
      <w:r w:rsidR="005E1341">
        <w:t xml:space="preserve"> entered into</w:t>
      </w:r>
      <w:r>
        <w:t xml:space="preserve"> </w:t>
      </w:r>
      <w:r w:rsidR="00223CF3">
        <w:t>on or after 1</w:t>
      </w:r>
      <w:r w:rsidR="001C5588">
        <w:t> </w:t>
      </w:r>
      <w:r w:rsidR="00223CF3">
        <w:t>July 2023</w:t>
      </w:r>
      <w:r w:rsidR="005E1341">
        <w:t xml:space="preserve">. </w:t>
      </w:r>
    </w:p>
    <w:p w14:paraId="42832312" w14:textId="77777777" w:rsidR="00873094" w:rsidRDefault="00873094" w:rsidP="00873094">
      <w:pPr>
        <w:spacing w:after="0" w:line="360" w:lineRule="auto"/>
        <w:contextualSpacing/>
      </w:pPr>
      <w:bookmarkStart w:id="48" w:name="_Hlk83390738"/>
    </w:p>
    <w:bookmarkEnd w:id="5"/>
    <w:bookmarkEnd w:id="43"/>
    <w:bookmarkEnd w:id="44"/>
    <w:bookmarkEnd w:id="45"/>
    <w:bookmarkEnd w:id="46"/>
    <w:bookmarkEnd w:id="47"/>
    <w:bookmarkEnd w:id="48"/>
    <w:p w14:paraId="1CDF87CD" w14:textId="77777777" w:rsidR="00B77D03" w:rsidRDefault="00B77D03" w:rsidP="005D4676">
      <w:pPr>
        <w:pStyle w:val="Normalparatextnonumbers"/>
      </w:pPr>
    </w:p>
    <w:sectPr w:rsidR="00B77D03" w:rsidSect="00000BFC">
      <w:headerReference w:type="first" r:id="rId25"/>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357A0" w14:textId="77777777" w:rsidR="001D158A" w:rsidRDefault="001D158A">
      <w:pPr>
        <w:spacing w:before="0" w:after="0"/>
      </w:pPr>
      <w:r>
        <w:separator/>
      </w:r>
    </w:p>
  </w:endnote>
  <w:endnote w:type="continuationSeparator" w:id="0">
    <w:p w14:paraId="75B18A2A" w14:textId="77777777" w:rsidR="001D158A" w:rsidRDefault="001D158A">
      <w:pPr>
        <w:spacing w:before="0" w:after="0"/>
      </w:pPr>
      <w:r>
        <w:continuationSeparator/>
      </w:r>
    </w:p>
  </w:endnote>
  <w:endnote w:type="continuationNotice" w:id="1">
    <w:p w14:paraId="3BFAE2B0" w14:textId="77777777" w:rsidR="001D158A" w:rsidRDefault="001D15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0476" w14:textId="2A789133" w:rsidR="005D4676" w:rsidRDefault="005D4676" w:rsidP="005D4676">
    <w:pPr>
      <w:pStyle w:val="leftfooter"/>
    </w:pPr>
    <w:r>
      <w:fldChar w:fldCharType="begin"/>
    </w:r>
    <w:r>
      <w:instrText xml:space="preserve"> PAGE  \* MERGEFORMAT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1903" w14:textId="308230C2" w:rsidR="005D4676" w:rsidRDefault="005D4676" w:rsidP="005D4676">
    <w:pPr>
      <w:pStyle w:val="rightfooter"/>
    </w:pPr>
    <w:r>
      <w:fldChar w:fldCharType="begin"/>
    </w:r>
    <w:r>
      <w:instrText xml:space="preserve"> PAGE  \* MERGEFORMAT </w:instrText>
    </w:r>
    <w:r>
      <w:fldChar w:fldCharType="separate"/>
    </w:r>
    <w:r>
      <w:rPr>
        <w:noProof/>
      </w:rPr>
      <w:t>vi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0450"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D7B6"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C13B" w14:textId="77777777" w:rsidR="007A2DBD" w:rsidRPr="00091474" w:rsidRDefault="007A2DBD" w:rsidP="005D4676">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802B" w14:textId="77777777" w:rsidR="001D158A" w:rsidRDefault="001D158A">
      <w:pPr>
        <w:spacing w:before="0" w:after="0"/>
      </w:pPr>
      <w:r>
        <w:separator/>
      </w:r>
    </w:p>
  </w:footnote>
  <w:footnote w:type="continuationSeparator" w:id="0">
    <w:p w14:paraId="0538E11C" w14:textId="77777777" w:rsidR="001D158A" w:rsidRDefault="001D158A">
      <w:pPr>
        <w:spacing w:before="0" w:after="0"/>
      </w:pPr>
      <w:r>
        <w:continuationSeparator/>
      </w:r>
    </w:p>
  </w:footnote>
  <w:footnote w:type="continuationNotice" w:id="1">
    <w:p w14:paraId="6BA48E1A" w14:textId="77777777" w:rsidR="001D158A" w:rsidRDefault="001D15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B4F7" w14:textId="77777777" w:rsidR="007A2DBD" w:rsidRDefault="007A2D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D98D" w14:textId="77777777" w:rsidR="005D4676" w:rsidRDefault="005D4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A7C5" w14:textId="77777777" w:rsidR="007A2DBD" w:rsidRDefault="007A2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4F894DBD" w14:textId="77777777" w:rsidR="007A2DBD" w:rsidRDefault="00177080">
        <w:pPr>
          <w:pStyle w:val="Header"/>
        </w:pPr>
        <w:r>
          <w:rPr>
            <w:noProof/>
          </w:rPr>
          <w:pict w14:anchorId="01D5D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9918"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FE59" w14:textId="1AF87885"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696917">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C85D"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9343" w14:textId="64EB4094" w:rsidR="007A2DBD" w:rsidRPr="005D4676" w:rsidRDefault="00696917" w:rsidP="005D4676">
    <w:pPr>
      <w:pStyle w:val="leftheader"/>
    </w:pPr>
    <w:fldSimple w:instr=" STYLEREF &quot;Chapter heading&quot; \* MERGEFORMAT ">
      <w:r w:rsidR="00177080">
        <w:rPr>
          <w:noProof/>
        </w:rPr>
        <w:t>PRRT anti-avoidance rules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3DE0" w14:textId="55D12BFD" w:rsidR="007A2DBD" w:rsidRPr="005D4676" w:rsidRDefault="00696917" w:rsidP="005D4676">
    <w:pPr>
      <w:pStyle w:val="rightheader"/>
    </w:pPr>
    <w:fldSimple w:instr=" STYLEREF &quot;Bill Name&quot; \* MERGEFORMAT ">
      <w:r w:rsidR="00177080">
        <w:rPr>
          <w:noProof/>
        </w:rPr>
        <w:t>Treasury Laws Amendment (Measures for Future Bills) Bill 2023: PRRT anti-avoidance rules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B9C9"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3"/>
  </w:num>
  <w:num w:numId="10">
    <w:abstractNumId w:val="7"/>
  </w:num>
  <w:num w:numId="11">
    <w:abstractNumId w:val="6"/>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1"/>
  </w:num>
  <w:num w:numId="14">
    <w:abstractNumId w:val="9"/>
  </w:num>
  <w:num w:numId="15">
    <w:abstractNumId w:val="10"/>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8"/>
  </w:num>
  <w:num w:numId="20">
    <w:abstractNumId w:val="12"/>
  </w:num>
  <w:num w:numId="21">
    <w:abstractNumId w:val="11"/>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37"/>
    <w:rsid w:val="00000BFC"/>
    <w:rsid w:val="00017B8A"/>
    <w:rsid w:val="00021DAA"/>
    <w:rsid w:val="0003189F"/>
    <w:rsid w:val="0003316E"/>
    <w:rsid w:val="00040058"/>
    <w:rsid w:val="00041348"/>
    <w:rsid w:val="00043E8E"/>
    <w:rsid w:val="00045E24"/>
    <w:rsid w:val="00047FF2"/>
    <w:rsid w:val="000517DE"/>
    <w:rsid w:val="00063BC9"/>
    <w:rsid w:val="00074B98"/>
    <w:rsid w:val="00087F47"/>
    <w:rsid w:val="00087FE9"/>
    <w:rsid w:val="00090A2C"/>
    <w:rsid w:val="000969A6"/>
    <w:rsid w:val="000A3230"/>
    <w:rsid w:val="000A4EB2"/>
    <w:rsid w:val="000B6B3E"/>
    <w:rsid w:val="000B7D6E"/>
    <w:rsid w:val="000C54DB"/>
    <w:rsid w:val="000D4CC3"/>
    <w:rsid w:val="000E4D39"/>
    <w:rsid w:val="000E521B"/>
    <w:rsid w:val="00105E85"/>
    <w:rsid w:val="001064C7"/>
    <w:rsid w:val="00106FDC"/>
    <w:rsid w:val="00115509"/>
    <w:rsid w:val="001227A2"/>
    <w:rsid w:val="00126EC2"/>
    <w:rsid w:val="001412F1"/>
    <w:rsid w:val="00141701"/>
    <w:rsid w:val="00157FCF"/>
    <w:rsid w:val="00163457"/>
    <w:rsid w:val="00170C78"/>
    <w:rsid w:val="001741A2"/>
    <w:rsid w:val="00177080"/>
    <w:rsid w:val="0019017F"/>
    <w:rsid w:val="00195D1C"/>
    <w:rsid w:val="001A12A8"/>
    <w:rsid w:val="001B07FA"/>
    <w:rsid w:val="001B1306"/>
    <w:rsid w:val="001C5588"/>
    <w:rsid w:val="001C5CBF"/>
    <w:rsid w:val="001D158A"/>
    <w:rsid w:val="001E01BF"/>
    <w:rsid w:val="001F670B"/>
    <w:rsid w:val="00223CF3"/>
    <w:rsid w:val="00230C17"/>
    <w:rsid w:val="0023409D"/>
    <w:rsid w:val="002425D9"/>
    <w:rsid w:val="00242B2A"/>
    <w:rsid w:val="0024784F"/>
    <w:rsid w:val="00250844"/>
    <w:rsid w:val="00260B8B"/>
    <w:rsid w:val="002613F7"/>
    <w:rsid w:val="0027000D"/>
    <w:rsid w:val="002704BC"/>
    <w:rsid w:val="0027322A"/>
    <w:rsid w:val="00274D5C"/>
    <w:rsid w:val="00276753"/>
    <w:rsid w:val="00280FA9"/>
    <w:rsid w:val="002872AB"/>
    <w:rsid w:val="00291A57"/>
    <w:rsid w:val="00292A30"/>
    <w:rsid w:val="002935AC"/>
    <w:rsid w:val="00297081"/>
    <w:rsid w:val="002A2137"/>
    <w:rsid w:val="002A52E5"/>
    <w:rsid w:val="002B0B67"/>
    <w:rsid w:val="002B13DC"/>
    <w:rsid w:val="002B1D9E"/>
    <w:rsid w:val="002B52C3"/>
    <w:rsid w:val="002B5C7A"/>
    <w:rsid w:val="002B623C"/>
    <w:rsid w:val="002B6F60"/>
    <w:rsid w:val="002C3F24"/>
    <w:rsid w:val="002C78D6"/>
    <w:rsid w:val="002D080A"/>
    <w:rsid w:val="002E4106"/>
    <w:rsid w:val="002F1CB0"/>
    <w:rsid w:val="002F4B60"/>
    <w:rsid w:val="002F5302"/>
    <w:rsid w:val="002F5592"/>
    <w:rsid w:val="00315D81"/>
    <w:rsid w:val="00324138"/>
    <w:rsid w:val="003510A8"/>
    <w:rsid w:val="00351274"/>
    <w:rsid w:val="00351D4D"/>
    <w:rsid w:val="003556BF"/>
    <w:rsid w:val="00367601"/>
    <w:rsid w:val="0036790F"/>
    <w:rsid w:val="00387402"/>
    <w:rsid w:val="0039391C"/>
    <w:rsid w:val="003971ED"/>
    <w:rsid w:val="003A0372"/>
    <w:rsid w:val="003A15D1"/>
    <w:rsid w:val="003B2766"/>
    <w:rsid w:val="003C070F"/>
    <w:rsid w:val="003C0AE3"/>
    <w:rsid w:val="003C14AC"/>
    <w:rsid w:val="003F1AD7"/>
    <w:rsid w:val="00414017"/>
    <w:rsid w:val="00421AD0"/>
    <w:rsid w:val="00427EDF"/>
    <w:rsid w:val="00430A32"/>
    <w:rsid w:val="004411F1"/>
    <w:rsid w:val="004603EF"/>
    <w:rsid w:val="0047593B"/>
    <w:rsid w:val="00477C04"/>
    <w:rsid w:val="00485FD0"/>
    <w:rsid w:val="00492729"/>
    <w:rsid w:val="00496642"/>
    <w:rsid w:val="00496C21"/>
    <w:rsid w:val="004971E2"/>
    <w:rsid w:val="004A07A5"/>
    <w:rsid w:val="004A2376"/>
    <w:rsid w:val="004B038F"/>
    <w:rsid w:val="004B1C70"/>
    <w:rsid w:val="004B1F33"/>
    <w:rsid w:val="004B4408"/>
    <w:rsid w:val="004D717B"/>
    <w:rsid w:val="004E1431"/>
    <w:rsid w:val="004F23C3"/>
    <w:rsid w:val="004F7C15"/>
    <w:rsid w:val="00505347"/>
    <w:rsid w:val="005066F5"/>
    <w:rsid w:val="00507E93"/>
    <w:rsid w:val="00514967"/>
    <w:rsid w:val="00517D6E"/>
    <w:rsid w:val="005206B5"/>
    <w:rsid w:val="00531C67"/>
    <w:rsid w:val="00533CB0"/>
    <w:rsid w:val="005356CB"/>
    <w:rsid w:val="00542299"/>
    <w:rsid w:val="005515C0"/>
    <w:rsid w:val="0056675C"/>
    <w:rsid w:val="0057163B"/>
    <w:rsid w:val="0059200B"/>
    <w:rsid w:val="005A3AA3"/>
    <w:rsid w:val="005C2BD1"/>
    <w:rsid w:val="005C2D10"/>
    <w:rsid w:val="005D0844"/>
    <w:rsid w:val="005D169F"/>
    <w:rsid w:val="005D4676"/>
    <w:rsid w:val="005D5F12"/>
    <w:rsid w:val="005E1341"/>
    <w:rsid w:val="005E1542"/>
    <w:rsid w:val="005F3238"/>
    <w:rsid w:val="006042C2"/>
    <w:rsid w:val="006222FD"/>
    <w:rsid w:val="00622763"/>
    <w:rsid w:val="006235C8"/>
    <w:rsid w:val="00624905"/>
    <w:rsid w:val="00626154"/>
    <w:rsid w:val="00630725"/>
    <w:rsid w:val="00642420"/>
    <w:rsid w:val="006479AC"/>
    <w:rsid w:val="00653B29"/>
    <w:rsid w:val="00672A3D"/>
    <w:rsid w:val="0067780F"/>
    <w:rsid w:val="006835D5"/>
    <w:rsid w:val="00683847"/>
    <w:rsid w:val="006957D9"/>
    <w:rsid w:val="00696917"/>
    <w:rsid w:val="006A2BC6"/>
    <w:rsid w:val="006B5E5E"/>
    <w:rsid w:val="006C192F"/>
    <w:rsid w:val="006C40A4"/>
    <w:rsid w:val="006C67F6"/>
    <w:rsid w:val="006D76A6"/>
    <w:rsid w:val="006E0237"/>
    <w:rsid w:val="006E1DA1"/>
    <w:rsid w:val="006E699E"/>
    <w:rsid w:val="006F1E06"/>
    <w:rsid w:val="006F6AD4"/>
    <w:rsid w:val="00704DA7"/>
    <w:rsid w:val="007145E8"/>
    <w:rsid w:val="0072338F"/>
    <w:rsid w:val="007316F6"/>
    <w:rsid w:val="00731BE4"/>
    <w:rsid w:val="00732ACB"/>
    <w:rsid w:val="0073326A"/>
    <w:rsid w:val="00734238"/>
    <w:rsid w:val="007426A8"/>
    <w:rsid w:val="007479A1"/>
    <w:rsid w:val="00750D01"/>
    <w:rsid w:val="00752137"/>
    <w:rsid w:val="00752190"/>
    <w:rsid w:val="00763484"/>
    <w:rsid w:val="00764195"/>
    <w:rsid w:val="00766AE2"/>
    <w:rsid w:val="00766B37"/>
    <w:rsid w:val="0077068B"/>
    <w:rsid w:val="00775EF5"/>
    <w:rsid w:val="00776454"/>
    <w:rsid w:val="00777A92"/>
    <w:rsid w:val="007850A3"/>
    <w:rsid w:val="007A298C"/>
    <w:rsid w:val="007A2DBD"/>
    <w:rsid w:val="007B1509"/>
    <w:rsid w:val="007B6304"/>
    <w:rsid w:val="007C1F94"/>
    <w:rsid w:val="007C6371"/>
    <w:rsid w:val="007C7A24"/>
    <w:rsid w:val="007D0737"/>
    <w:rsid w:val="007E1ED8"/>
    <w:rsid w:val="007E62B0"/>
    <w:rsid w:val="007F3B53"/>
    <w:rsid w:val="00806DC6"/>
    <w:rsid w:val="008111C7"/>
    <w:rsid w:val="008132B7"/>
    <w:rsid w:val="0082284C"/>
    <w:rsid w:val="00831045"/>
    <w:rsid w:val="00836316"/>
    <w:rsid w:val="00840882"/>
    <w:rsid w:val="00851918"/>
    <w:rsid w:val="00870071"/>
    <w:rsid w:val="00873094"/>
    <w:rsid w:val="00883A1C"/>
    <w:rsid w:val="00884B2E"/>
    <w:rsid w:val="008A3B5F"/>
    <w:rsid w:val="008A4656"/>
    <w:rsid w:val="008A5A27"/>
    <w:rsid w:val="008B6727"/>
    <w:rsid w:val="008C5717"/>
    <w:rsid w:val="008E361D"/>
    <w:rsid w:val="008E3DC9"/>
    <w:rsid w:val="0090171F"/>
    <w:rsid w:val="00907EB9"/>
    <w:rsid w:val="00923C28"/>
    <w:rsid w:val="00924E28"/>
    <w:rsid w:val="009275EE"/>
    <w:rsid w:val="00943861"/>
    <w:rsid w:val="00945DEC"/>
    <w:rsid w:val="00954987"/>
    <w:rsid w:val="009615FB"/>
    <w:rsid w:val="00966650"/>
    <w:rsid w:val="009673E0"/>
    <w:rsid w:val="009732E4"/>
    <w:rsid w:val="009747C3"/>
    <w:rsid w:val="0099381D"/>
    <w:rsid w:val="00996875"/>
    <w:rsid w:val="009A1994"/>
    <w:rsid w:val="009A5A85"/>
    <w:rsid w:val="009A607F"/>
    <w:rsid w:val="009A78E5"/>
    <w:rsid w:val="009B2F1C"/>
    <w:rsid w:val="009C4530"/>
    <w:rsid w:val="009C5053"/>
    <w:rsid w:val="009D095E"/>
    <w:rsid w:val="009D7BDC"/>
    <w:rsid w:val="009E0A1B"/>
    <w:rsid w:val="009F3FA5"/>
    <w:rsid w:val="009F5D38"/>
    <w:rsid w:val="00A04BF2"/>
    <w:rsid w:val="00A07C8D"/>
    <w:rsid w:val="00A12BAA"/>
    <w:rsid w:val="00A13BEA"/>
    <w:rsid w:val="00A14B48"/>
    <w:rsid w:val="00A23AC0"/>
    <w:rsid w:val="00A250C9"/>
    <w:rsid w:val="00A26C75"/>
    <w:rsid w:val="00A37624"/>
    <w:rsid w:val="00A444AF"/>
    <w:rsid w:val="00A50270"/>
    <w:rsid w:val="00A5614F"/>
    <w:rsid w:val="00A62A46"/>
    <w:rsid w:val="00A63A51"/>
    <w:rsid w:val="00A70F09"/>
    <w:rsid w:val="00A7111A"/>
    <w:rsid w:val="00A74B1A"/>
    <w:rsid w:val="00A855B9"/>
    <w:rsid w:val="00A85CDE"/>
    <w:rsid w:val="00A9588A"/>
    <w:rsid w:val="00AA2654"/>
    <w:rsid w:val="00AA7541"/>
    <w:rsid w:val="00AB03FC"/>
    <w:rsid w:val="00AC0E87"/>
    <w:rsid w:val="00AC3AD8"/>
    <w:rsid w:val="00AE0FC9"/>
    <w:rsid w:val="00AE66AC"/>
    <w:rsid w:val="00AF4F06"/>
    <w:rsid w:val="00AF50CE"/>
    <w:rsid w:val="00AF7CC4"/>
    <w:rsid w:val="00B06C7A"/>
    <w:rsid w:val="00B07271"/>
    <w:rsid w:val="00B10EEA"/>
    <w:rsid w:val="00B126EA"/>
    <w:rsid w:val="00B202E4"/>
    <w:rsid w:val="00B20ED5"/>
    <w:rsid w:val="00B255C5"/>
    <w:rsid w:val="00B36649"/>
    <w:rsid w:val="00B456F9"/>
    <w:rsid w:val="00B61EF2"/>
    <w:rsid w:val="00B6517C"/>
    <w:rsid w:val="00B65CF9"/>
    <w:rsid w:val="00B73203"/>
    <w:rsid w:val="00B7393A"/>
    <w:rsid w:val="00B77D03"/>
    <w:rsid w:val="00B8187E"/>
    <w:rsid w:val="00B84949"/>
    <w:rsid w:val="00B93385"/>
    <w:rsid w:val="00B96479"/>
    <w:rsid w:val="00BA29EF"/>
    <w:rsid w:val="00BA54C2"/>
    <w:rsid w:val="00BB0CCE"/>
    <w:rsid w:val="00BC2B94"/>
    <w:rsid w:val="00BC2E4A"/>
    <w:rsid w:val="00BC3F1E"/>
    <w:rsid w:val="00BD0123"/>
    <w:rsid w:val="00BD0751"/>
    <w:rsid w:val="00BD2065"/>
    <w:rsid w:val="00BD38FF"/>
    <w:rsid w:val="00BE5BC9"/>
    <w:rsid w:val="00BE6382"/>
    <w:rsid w:val="00BF5B16"/>
    <w:rsid w:val="00C0488D"/>
    <w:rsid w:val="00C07907"/>
    <w:rsid w:val="00C2087B"/>
    <w:rsid w:val="00C262D3"/>
    <w:rsid w:val="00C2649F"/>
    <w:rsid w:val="00C57052"/>
    <w:rsid w:val="00C63BDA"/>
    <w:rsid w:val="00C93E28"/>
    <w:rsid w:val="00CA704E"/>
    <w:rsid w:val="00CB142E"/>
    <w:rsid w:val="00CB3CB6"/>
    <w:rsid w:val="00CB4F57"/>
    <w:rsid w:val="00CC0025"/>
    <w:rsid w:val="00CD3358"/>
    <w:rsid w:val="00CD5A06"/>
    <w:rsid w:val="00CD65AC"/>
    <w:rsid w:val="00CE2639"/>
    <w:rsid w:val="00CE5B6B"/>
    <w:rsid w:val="00CF04CD"/>
    <w:rsid w:val="00CF16E1"/>
    <w:rsid w:val="00CF6524"/>
    <w:rsid w:val="00D02601"/>
    <w:rsid w:val="00D04320"/>
    <w:rsid w:val="00D04933"/>
    <w:rsid w:val="00D06D37"/>
    <w:rsid w:val="00D21B7A"/>
    <w:rsid w:val="00D23750"/>
    <w:rsid w:val="00D32344"/>
    <w:rsid w:val="00D33AF3"/>
    <w:rsid w:val="00D34E72"/>
    <w:rsid w:val="00D36537"/>
    <w:rsid w:val="00D366DF"/>
    <w:rsid w:val="00D4083B"/>
    <w:rsid w:val="00D55F59"/>
    <w:rsid w:val="00D62D5A"/>
    <w:rsid w:val="00D7166A"/>
    <w:rsid w:val="00D71A86"/>
    <w:rsid w:val="00D71BF2"/>
    <w:rsid w:val="00D750C3"/>
    <w:rsid w:val="00D85918"/>
    <w:rsid w:val="00D85956"/>
    <w:rsid w:val="00D85D04"/>
    <w:rsid w:val="00D92012"/>
    <w:rsid w:val="00D92D54"/>
    <w:rsid w:val="00D9460F"/>
    <w:rsid w:val="00D96779"/>
    <w:rsid w:val="00DA3496"/>
    <w:rsid w:val="00DA47A0"/>
    <w:rsid w:val="00DB0A95"/>
    <w:rsid w:val="00DB3528"/>
    <w:rsid w:val="00DC2DE2"/>
    <w:rsid w:val="00DD6655"/>
    <w:rsid w:val="00DD6CB7"/>
    <w:rsid w:val="00DE6EBD"/>
    <w:rsid w:val="00DF1712"/>
    <w:rsid w:val="00DF5D0C"/>
    <w:rsid w:val="00DF647C"/>
    <w:rsid w:val="00DF6594"/>
    <w:rsid w:val="00DF7D1E"/>
    <w:rsid w:val="00E020D6"/>
    <w:rsid w:val="00E1142A"/>
    <w:rsid w:val="00E123A3"/>
    <w:rsid w:val="00E17D90"/>
    <w:rsid w:val="00E22A9E"/>
    <w:rsid w:val="00E2336E"/>
    <w:rsid w:val="00E24AA1"/>
    <w:rsid w:val="00E26B56"/>
    <w:rsid w:val="00E27D54"/>
    <w:rsid w:val="00E326A8"/>
    <w:rsid w:val="00E4061F"/>
    <w:rsid w:val="00E50554"/>
    <w:rsid w:val="00E57971"/>
    <w:rsid w:val="00E70A7A"/>
    <w:rsid w:val="00E72862"/>
    <w:rsid w:val="00E7751B"/>
    <w:rsid w:val="00E90549"/>
    <w:rsid w:val="00E92E7C"/>
    <w:rsid w:val="00E93DEB"/>
    <w:rsid w:val="00E95EB2"/>
    <w:rsid w:val="00EC1304"/>
    <w:rsid w:val="00ED2FE6"/>
    <w:rsid w:val="00ED3E1E"/>
    <w:rsid w:val="00ED5E39"/>
    <w:rsid w:val="00EF0C7A"/>
    <w:rsid w:val="00EF0E5B"/>
    <w:rsid w:val="00EF465B"/>
    <w:rsid w:val="00EF64E0"/>
    <w:rsid w:val="00EF6DB8"/>
    <w:rsid w:val="00F0302E"/>
    <w:rsid w:val="00F04C67"/>
    <w:rsid w:val="00F1541D"/>
    <w:rsid w:val="00F16C15"/>
    <w:rsid w:val="00F178FF"/>
    <w:rsid w:val="00F209F8"/>
    <w:rsid w:val="00F22F58"/>
    <w:rsid w:val="00F254C2"/>
    <w:rsid w:val="00F260B7"/>
    <w:rsid w:val="00F30ED5"/>
    <w:rsid w:val="00F36CBA"/>
    <w:rsid w:val="00F40B92"/>
    <w:rsid w:val="00F426D8"/>
    <w:rsid w:val="00F554CF"/>
    <w:rsid w:val="00F62519"/>
    <w:rsid w:val="00F71310"/>
    <w:rsid w:val="00F72AEE"/>
    <w:rsid w:val="00F76029"/>
    <w:rsid w:val="00FC1BA0"/>
    <w:rsid w:val="00FD1240"/>
    <w:rsid w:val="00FE2322"/>
    <w:rsid w:val="00FE2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EB6C2"/>
  <w15:chartTrackingRefBased/>
  <w15:docId w15:val="{0D869209-0355-484A-8D19-3FB47E2A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paragraph" w:customStyle="1" w:styleId="ShortT">
    <w:name w:val="ShortT"/>
    <w:basedOn w:val="Normal"/>
    <w:next w:val="Normal"/>
    <w:qFormat/>
    <w:rsid w:val="00421AD0"/>
    <w:pPr>
      <w:spacing w:before="0" w:after="0"/>
    </w:pPr>
    <w:rPr>
      <w:rFonts w:eastAsia="Times New Roman" w:cs="Times New Roman"/>
      <w:b/>
      <w:sz w:val="40"/>
      <w:szCs w:val="20"/>
      <w:lang w:eastAsia="en-AU"/>
    </w:rPr>
  </w:style>
  <w:style w:type="character" w:styleId="CommentReference">
    <w:name w:val="annotation reference"/>
    <w:basedOn w:val="DefaultParagraphFont"/>
    <w:uiPriority w:val="99"/>
    <w:semiHidden/>
    <w:unhideWhenUsed/>
    <w:rsid w:val="003B2766"/>
    <w:rPr>
      <w:sz w:val="16"/>
      <w:szCs w:val="16"/>
    </w:rPr>
  </w:style>
  <w:style w:type="paragraph" w:styleId="CommentText">
    <w:name w:val="annotation text"/>
    <w:basedOn w:val="Normal"/>
    <w:link w:val="CommentTextChar"/>
    <w:uiPriority w:val="99"/>
    <w:unhideWhenUsed/>
    <w:rsid w:val="003B2766"/>
    <w:rPr>
      <w:sz w:val="20"/>
      <w:szCs w:val="20"/>
    </w:rPr>
  </w:style>
  <w:style w:type="character" w:customStyle="1" w:styleId="CommentTextChar">
    <w:name w:val="Comment Text Char"/>
    <w:basedOn w:val="DefaultParagraphFont"/>
    <w:link w:val="CommentText"/>
    <w:uiPriority w:val="99"/>
    <w:rsid w:val="003B27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2766"/>
    <w:rPr>
      <w:b/>
      <w:bCs/>
    </w:rPr>
  </w:style>
  <w:style w:type="character" w:customStyle="1" w:styleId="CommentSubjectChar">
    <w:name w:val="Comment Subject Char"/>
    <w:basedOn w:val="CommentTextChar"/>
    <w:link w:val="CommentSubject"/>
    <w:uiPriority w:val="99"/>
    <w:semiHidden/>
    <w:rsid w:val="003B276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1075">
      <w:bodyDiv w:val="1"/>
      <w:marLeft w:val="0"/>
      <w:marRight w:val="0"/>
      <w:marTop w:val="0"/>
      <w:marBottom w:val="0"/>
      <w:divBdr>
        <w:top w:val="none" w:sz="0" w:space="0" w:color="auto"/>
        <w:left w:val="none" w:sz="0" w:space="0" w:color="auto"/>
        <w:bottom w:val="none" w:sz="0" w:space="0" w:color="auto"/>
        <w:right w:val="none" w:sz="0" w:space="0" w:color="auto"/>
      </w:divBdr>
    </w:div>
    <w:div w:id="92021955">
      <w:bodyDiv w:val="1"/>
      <w:marLeft w:val="0"/>
      <w:marRight w:val="0"/>
      <w:marTop w:val="0"/>
      <w:marBottom w:val="0"/>
      <w:divBdr>
        <w:top w:val="none" w:sz="0" w:space="0" w:color="auto"/>
        <w:left w:val="none" w:sz="0" w:space="0" w:color="auto"/>
        <w:bottom w:val="none" w:sz="0" w:space="0" w:color="auto"/>
        <w:right w:val="none" w:sz="0" w:space="0" w:color="auto"/>
      </w:divBdr>
    </w:div>
    <w:div w:id="338698666">
      <w:bodyDiv w:val="1"/>
      <w:marLeft w:val="0"/>
      <w:marRight w:val="0"/>
      <w:marTop w:val="0"/>
      <w:marBottom w:val="0"/>
      <w:divBdr>
        <w:top w:val="none" w:sz="0" w:space="0" w:color="auto"/>
        <w:left w:val="none" w:sz="0" w:space="0" w:color="auto"/>
        <w:bottom w:val="none" w:sz="0" w:space="0" w:color="auto"/>
        <w:right w:val="none" w:sz="0" w:space="0" w:color="auto"/>
      </w:divBdr>
    </w:div>
    <w:div w:id="417874118">
      <w:bodyDiv w:val="1"/>
      <w:marLeft w:val="0"/>
      <w:marRight w:val="0"/>
      <w:marTop w:val="0"/>
      <w:marBottom w:val="0"/>
      <w:divBdr>
        <w:top w:val="none" w:sz="0" w:space="0" w:color="auto"/>
        <w:left w:val="none" w:sz="0" w:space="0" w:color="auto"/>
        <w:bottom w:val="none" w:sz="0" w:space="0" w:color="auto"/>
        <w:right w:val="none" w:sz="0" w:space="0" w:color="auto"/>
      </w:divBdr>
    </w:div>
    <w:div w:id="497186142">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02182332">
      <w:bodyDiv w:val="1"/>
      <w:marLeft w:val="0"/>
      <w:marRight w:val="0"/>
      <w:marTop w:val="0"/>
      <w:marBottom w:val="0"/>
      <w:divBdr>
        <w:top w:val="none" w:sz="0" w:space="0" w:color="auto"/>
        <w:left w:val="none" w:sz="0" w:space="0" w:color="auto"/>
        <w:bottom w:val="none" w:sz="0" w:space="0" w:color="auto"/>
        <w:right w:val="none" w:sz="0" w:space="0" w:color="auto"/>
      </w:divBdr>
    </w:div>
    <w:div w:id="1008405002">
      <w:bodyDiv w:val="1"/>
      <w:marLeft w:val="0"/>
      <w:marRight w:val="0"/>
      <w:marTop w:val="0"/>
      <w:marBottom w:val="0"/>
      <w:divBdr>
        <w:top w:val="none" w:sz="0" w:space="0" w:color="auto"/>
        <w:left w:val="none" w:sz="0" w:space="0" w:color="auto"/>
        <w:bottom w:val="none" w:sz="0" w:space="0" w:color="auto"/>
        <w:right w:val="none" w:sz="0" w:space="0" w:color="auto"/>
      </w:divBdr>
    </w:div>
    <w:div w:id="1243293304">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12039511">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13354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ec7fcb-f902-4cf6-9f33-c7161f377272" xsi:nil="true"/>
    <lcf76f155ced4ddcb4097134ff3c332f xmlns="743a74be-9c2d-4239-bcb2-f8eb9641b91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252C8398744349983362908620E807" ma:contentTypeVersion="15" ma:contentTypeDescription="Create a new document." ma:contentTypeScope="" ma:versionID="3787f7b8510f1f8f1205745ff89b5db9">
  <xsd:schema xmlns:xsd="http://www.w3.org/2001/XMLSchema" xmlns:xs="http://www.w3.org/2001/XMLSchema" xmlns:p="http://schemas.microsoft.com/office/2006/metadata/properties" xmlns:ns2="743a74be-9c2d-4239-bcb2-f8eb9641b914" xmlns:ns3="b4ec7fcb-f902-4cf6-9f33-c7161f377272" targetNamespace="http://schemas.microsoft.com/office/2006/metadata/properties" ma:root="true" ma:fieldsID="0e186ed09d0144583a9c3c88a5ab1cd0" ns2:_="" ns3:_="">
    <xsd:import namespace="743a74be-9c2d-4239-bcb2-f8eb9641b914"/>
    <xsd:import namespace="b4ec7fcb-f902-4cf6-9f33-c7161f3772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a74be-9c2d-4239-bcb2-f8eb9641b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7fcb-f902-4cf6-9f33-c7161f3772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481df4e-1d39-446d-bf98-301b6c981151}" ma:internalName="TaxCatchAll" ma:showField="CatchAllData" ma:web="b4ec7fcb-f902-4cf6-9f33-c7161f377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3.xml><?xml version="1.0" encoding="utf-8"?>
<ds:datastoreItem xmlns:ds="http://schemas.openxmlformats.org/officeDocument/2006/customXml" ds:itemID="{6AB365E2-A817-49FA-9295-CAB62986032D}">
  <ds:schemaRefs>
    <ds:schemaRef ds:uri="http://purl.org/dc/terms/"/>
    <ds:schemaRef ds:uri="743a74be-9c2d-4239-bcb2-f8eb9641b914"/>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b4ec7fcb-f902-4cf6-9f33-c7161f377272"/>
  </ds:schemaRefs>
</ds:datastoreItem>
</file>

<file path=customXml/itemProps4.xml><?xml version="1.0" encoding="utf-8"?>
<ds:datastoreItem xmlns:ds="http://schemas.openxmlformats.org/officeDocument/2006/customXml" ds:itemID="{BC41BF79-0686-48F8-85EC-FE01D844F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a74be-9c2d-4239-bcb2-f8eb9641b914"/>
    <ds:schemaRef ds:uri="b4ec7fcb-f902-4cf6-9f33-c7161f377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7</TotalTime>
  <Pages>10</Pages>
  <Words>1414</Words>
  <Characters>7530</Characters>
  <Application>Microsoft Office Word</Application>
  <DocSecurity>0</DocSecurity>
  <Lines>214</Lines>
  <Paragraphs>71</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(Measures for Future Bills) Bill 2023: PRRT anti-avoidance rules</vt:lpstr>
    </vt:vector>
  </TitlesOfParts>
  <Company/>
  <LinksUpToDate>false</LinksUpToDate>
  <CharactersWithSpaces>8901</CharactersWithSpaces>
  <SharedDoc>false</SharedDoc>
  <HLinks>
    <vt:vector size="114" baseType="variant">
      <vt:variant>
        <vt:i4>720987</vt:i4>
      </vt:variant>
      <vt:variant>
        <vt:i4>129</vt:i4>
      </vt:variant>
      <vt:variant>
        <vt:i4>0</vt:i4>
      </vt:variant>
      <vt:variant>
        <vt:i4>5</vt:i4>
      </vt:variant>
      <vt:variant>
        <vt:lpwstr>https://www.ag.gov.au/rights-and-protections/human-rights-and-anti-discrimination/human-rights-scrutiny/public-sector-guidance-sheets</vt:lpwstr>
      </vt:variant>
      <vt:variant>
        <vt:lpwstr/>
      </vt:variant>
      <vt:variant>
        <vt:i4>2359344</vt:i4>
      </vt:variant>
      <vt:variant>
        <vt:i4>126</vt:i4>
      </vt:variant>
      <vt:variant>
        <vt:i4>0</vt:i4>
      </vt:variant>
      <vt:variant>
        <vt:i4>5</vt:i4>
      </vt:variant>
      <vt:variant>
        <vt:lpwstr>https://www.ag.gov.au/rights-and-protections/human-rights-and-anti-discrimination/human-rights-scrutiny/tools-assessing-compatibility-human-rights</vt:lpwstr>
      </vt:variant>
      <vt:variant>
        <vt:lpwstr/>
      </vt:variant>
      <vt:variant>
        <vt:i4>2621502</vt:i4>
      </vt:variant>
      <vt:variant>
        <vt:i4>123</vt:i4>
      </vt:variant>
      <vt:variant>
        <vt:i4>0</vt:i4>
      </vt:variant>
      <vt:variant>
        <vt:i4>5</vt:i4>
      </vt:variant>
      <vt:variant>
        <vt:lpwstr>https://www.aph.gov.au/-/media/Committees/Senate/committee/humanrights_ctte/guidance_notes/guidance_note_2/guidance_note_2.pdf?la=en&amp;hash=7D924E6F330668005C288BCDCDAC6ADE1719502D</vt:lpwstr>
      </vt:variant>
      <vt:variant>
        <vt:lpwstr/>
      </vt:variant>
      <vt:variant>
        <vt:i4>2818108</vt:i4>
      </vt:variant>
      <vt:variant>
        <vt:i4>120</vt:i4>
      </vt:variant>
      <vt:variant>
        <vt:i4>0</vt:i4>
      </vt:variant>
      <vt:variant>
        <vt:i4>5</vt:i4>
      </vt:variant>
      <vt:variant>
        <vt:lpwstr>https://www.aph.gov.au/-/media/Committees/Senate/committee/humanrights_ctte/guidance_notes/guidance_note_1/01_Guidance_Note.pdf?la=en&amp;hash=4CE0BFF2F3CA3C32EAD58AD932DB73E89494455D</vt:lpwstr>
      </vt:variant>
      <vt:variant>
        <vt:lpwstr/>
      </vt:variant>
      <vt:variant>
        <vt:i4>5308456</vt:i4>
      </vt:variant>
      <vt:variant>
        <vt:i4>117</vt:i4>
      </vt:variant>
      <vt:variant>
        <vt:i4>0</vt:i4>
      </vt:variant>
      <vt:variant>
        <vt:i4>5</vt:i4>
      </vt:variant>
      <vt:variant>
        <vt:lpwstr>https://www.aph.gov.au/Parliamentary_Business/Committees/Joint/Human_Rights/Guidance_Notes_and_Resources</vt:lpwstr>
      </vt:variant>
      <vt:variant>
        <vt:lpwstr/>
      </vt:variant>
      <vt:variant>
        <vt:i4>5308456</vt:i4>
      </vt:variant>
      <vt:variant>
        <vt:i4>114</vt:i4>
      </vt:variant>
      <vt:variant>
        <vt:i4>0</vt:i4>
      </vt:variant>
      <vt:variant>
        <vt:i4>5</vt:i4>
      </vt:variant>
      <vt:variant>
        <vt:lpwstr>https://www.aph.gov.au/Parliamentary_Business/Committees/Joint/Human_Rights/Guidance_Notes_and_Resources</vt:lpwstr>
      </vt:variant>
      <vt:variant>
        <vt:lpwstr/>
      </vt:variant>
      <vt:variant>
        <vt:i4>1572973</vt:i4>
      </vt:variant>
      <vt:variant>
        <vt:i4>111</vt:i4>
      </vt:variant>
      <vt:variant>
        <vt:i4>0</vt:i4>
      </vt:variant>
      <vt:variant>
        <vt:i4>5</vt:i4>
      </vt:variant>
      <vt:variant>
        <vt:lpwstr>mailto:committeescrutiny@treasury.gov.au</vt:lpwstr>
      </vt:variant>
      <vt:variant>
        <vt:lpwstr/>
      </vt:variant>
      <vt:variant>
        <vt:i4>4456526</vt:i4>
      </vt:variant>
      <vt:variant>
        <vt:i4>99</vt:i4>
      </vt:variant>
      <vt:variant>
        <vt:i4>0</vt:i4>
      </vt:variant>
      <vt:variant>
        <vt:i4>5</vt:i4>
      </vt:variant>
      <vt:variant>
        <vt:lpwstr>https://connectonline.asic.gov.au/RegistrySearch/faces/landing/bn/SearchBnRegisters.jspx?_adf.ctrl-state=127wl9zvyc_4</vt:lpwstr>
      </vt:variant>
      <vt:variant>
        <vt:lpwstr/>
      </vt:variant>
      <vt:variant>
        <vt:i4>3407992</vt:i4>
      </vt:variant>
      <vt:variant>
        <vt:i4>96</vt:i4>
      </vt:variant>
      <vt:variant>
        <vt:i4>0</vt:i4>
      </vt:variant>
      <vt:variant>
        <vt:i4>5</vt:i4>
      </vt:variant>
      <vt:variant>
        <vt:lpwstr>https://austreasury.sharepoint.com/sites/Intranet/SitePages/Explanatory-memoranda-style-guide.aspx</vt:lpwstr>
      </vt:variant>
      <vt:variant>
        <vt:lpwstr/>
      </vt:variant>
      <vt:variant>
        <vt:i4>3407992</vt:i4>
      </vt:variant>
      <vt:variant>
        <vt:i4>93</vt:i4>
      </vt:variant>
      <vt:variant>
        <vt:i4>0</vt:i4>
      </vt:variant>
      <vt:variant>
        <vt:i4>5</vt:i4>
      </vt:variant>
      <vt:variant>
        <vt:lpwstr>https://austreasury.sharepoint.com/sites/Intranet/SitePages/Explanatory-memoranda-style-guide.aspx</vt:lpwstr>
      </vt:variant>
      <vt:variant>
        <vt:lpwstr/>
      </vt:variant>
      <vt:variant>
        <vt:i4>3407992</vt:i4>
      </vt:variant>
      <vt:variant>
        <vt:i4>90</vt:i4>
      </vt:variant>
      <vt:variant>
        <vt:i4>0</vt:i4>
      </vt:variant>
      <vt:variant>
        <vt:i4>5</vt:i4>
      </vt:variant>
      <vt:variant>
        <vt:lpwstr>https://austreasury.sharepoint.com/sites/Intranet/SitePages/Explanatory-memoranda-style-guide.aspx</vt:lpwstr>
      </vt:variant>
      <vt:variant>
        <vt:lpwstr/>
      </vt:variant>
      <vt:variant>
        <vt:i4>3407992</vt:i4>
      </vt:variant>
      <vt:variant>
        <vt:i4>87</vt:i4>
      </vt:variant>
      <vt:variant>
        <vt:i4>0</vt:i4>
      </vt:variant>
      <vt:variant>
        <vt:i4>5</vt:i4>
      </vt:variant>
      <vt:variant>
        <vt:lpwstr>https://austreasury.sharepoint.com/sites/Intranet/SitePages/Explanatory-memoranda-style-guide.aspx</vt:lpwstr>
      </vt:variant>
      <vt:variant>
        <vt:lpwstr/>
      </vt:variant>
      <vt:variant>
        <vt:i4>3407992</vt:i4>
      </vt:variant>
      <vt:variant>
        <vt:i4>18</vt:i4>
      </vt:variant>
      <vt:variant>
        <vt:i4>0</vt:i4>
      </vt:variant>
      <vt:variant>
        <vt:i4>5</vt:i4>
      </vt:variant>
      <vt:variant>
        <vt:lpwstr>https://austreasury.sharepoint.com/sites/Intranet/SitePages/Explanatory-memoranda-style-guide.aspx</vt:lpwstr>
      </vt:variant>
      <vt:variant>
        <vt:lpwstr/>
      </vt:variant>
      <vt:variant>
        <vt:i4>3407992</vt:i4>
      </vt:variant>
      <vt:variant>
        <vt:i4>15</vt:i4>
      </vt:variant>
      <vt:variant>
        <vt:i4>0</vt:i4>
      </vt:variant>
      <vt:variant>
        <vt:i4>5</vt:i4>
      </vt:variant>
      <vt:variant>
        <vt:lpwstr>https://austreasury.sharepoint.com/sites/Intranet/SitePages/Explanatory-memoranda-style-guide.aspx</vt:lpwstr>
      </vt:variant>
      <vt:variant>
        <vt:lpwstr/>
      </vt:variant>
      <vt:variant>
        <vt:i4>3407992</vt:i4>
      </vt:variant>
      <vt:variant>
        <vt:i4>12</vt:i4>
      </vt:variant>
      <vt:variant>
        <vt:i4>0</vt:i4>
      </vt:variant>
      <vt:variant>
        <vt:i4>5</vt:i4>
      </vt:variant>
      <vt:variant>
        <vt:lpwstr>https://austreasury.sharepoint.com/sites/Intranet/SitePages/Explanatory-memoranda-style-guide.aspx</vt:lpwstr>
      </vt:variant>
      <vt:variant>
        <vt:lpwstr/>
      </vt:variant>
      <vt:variant>
        <vt:i4>3407992</vt:i4>
      </vt:variant>
      <vt:variant>
        <vt:i4>9</vt:i4>
      </vt:variant>
      <vt:variant>
        <vt:i4>0</vt:i4>
      </vt:variant>
      <vt:variant>
        <vt:i4>5</vt:i4>
      </vt:variant>
      <vt:variant>
        <vt:lpwstr>https://austreasury.sharepoint.com/sites/Intranet/SitePages/Explanatory-memoranda-style-guide.aspx</vt:lpwstr>
      </vt:variant>
      <vt:variant>
        <vt:lpwstr/>
      </vt:variant>
      <vt:variant>
        <vt:i4>2752633</vt:i4>
      </vt:variant>
      <vt:variant>
        <vt:i4>6</vt:i4>
      </vt:variant>
      <vt:variant>
        <vt:i4>0</vt:i4>
      </vt:variant>
      <vt:variant>
        <vt:i4>5</vt:i4>
      </vt:variant>
      <vt:variant>
        <vt:lpwstr>https://www.pmc.gov.au/sites/default/files/resource/download/legislation-handbook-2017.pdf</vt:lpwstr>
      </vt:variant>
      <vt:variant>
        <vt:lpwstr/>
      </vt:variant>
      <vt:variant>
        <vt:i4>3276901</vt:i4>
      </vt:variant>
      <vt:variant>
        <vt:i4>3</vt:i4>
      </vt:variant>
      <vt:variant>
        <vt:i4>0</vt:i4>
      </vt:variant>
      <vt:variant>
        <vt:i4>5</vt:i4>
      </vt:variant>
      <vt:variant>
        <vt:lpwstr>https://austreasury.sharepoint.com/sites/Intranet/SitePages/Explanatory-memoranda-style-guide.aspxhttps:/austreasury.sharepoint.com/sites/Intranet/SitePages/Explanatory-memoranda-style-guide.aspx</vt:lpwstr>
      </vt:variant>
      <vt:variant>
        <vt:lpwstr/>
      </vt:variant>
      <vt:variant>
        <vt:i4>3604585</vt:i4>
      </vt:variant>
      <vt:variant>
        <vt:i4>0</vt:i4>
      </vt:variant>
      <vt:variant>
        <vt:i4>0</vt:i4>
      </vt:variant>
      <vt:variant>
        <vt:i4>5</vt:i4>
      </vt:variant>
      <vt:variant>
        <vt:lpwstr>https://austreasury.sharepoint.com/sites/000085-coordination/Lists/Innovation/AllItems.aspx?xsdata=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%3D%3D&amp;sdata=bVNDL0tiWkpDblg4R1dKRTVzMk9oUnQvQjlKczdYYkZqQm80NmR4K29ycz0%3D&amp;ovuser=214f1646%2D2021%2D47cc%2D8397%2De3d3a7ba7d9d%2CJosie%2ECleland%40TREASURY%2EGOV%2EAU&amp;OR=Teams%2DHL&amp;CT=1690171163761&amp;clickparams=eyJBcHBOYW1lIjoiVGVhbXMtRGVza3RvcCIsIkFwcFZlcnNpb24iOiIyNy8yMzA2MDQwMTE3Ny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(Measures for Future Bills) Bill 2023: PRRT anti-avoidance rules</dc:title>
  <dc:subject/>
  <dc:creator>Australian Government</dc:creator>
  <cp:keywords/>
  <dc:description/>
  <cp:lastModifiedBy>Hill, Christine</cp:lastModifiedBy>
  <cp:revision>7</cp:revision>
  <cp:lastPrinted>2024-01-11T05:36:00Z</cp:lastPrinted>
  <dcterms:created xsi:type="dcterms:W3CDTF">2024-01-11T05:30:00Z</dcterms:created>
  <dcterms:modified xsi:type="dcterms:W3CDTF">2024-01-11T06:06:00Z</dcterms:modified>
</cp:coreProperties>
</file>