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60EA1" w14:textId="12225B4C" w:rsidR="00E24AA1" w:rsidRPr="00A46198" w:rsidRDefault="002F5302" w:rsidP="00E24AA1">
      <w:pPr>
        <w:pStyle w:val="Baseparagraphcentred"/>
        <w:spacing w:before="720"/>
      </w:pPr>
      <w:bookmarkStart w:id="0" w:name="_Toc78548463"/>
      <w:bookmarkStart w:id="1" w:name="_Toc78549734"/>
      <w:bookmarkStart w:id="2" w:name="_Toc78549779"/>
      <w:bookmarkStart w:id="3" w:name="_Toc80097481"/>
      <w:bookmarkStart w:id="4" w:name="_Toc80097775"/>
      <w:bookmarkStart w:id="5" w:name="_Hlk81640909"/>
      <w:r w:rsidRPr="00A46198">
        <w:t>2022</w:t>
      </w:r>
      <w:r w:rsidR="00041348" w:rsidRPr="00A46198">
        <w:t>–2023</w:t>
      </w:r>
      <w:r w:rsidR="003D0A4B" w:rsidRPr="00A46198">
        <w:t>–2024</w:t>
      </w:r>
    </w:p>
    <w:p w14:paraId="2C1C25AF" w14:textId="77777777" w:rsidR="00E24AA1" w:rsidRPr="00A46198" w:rsidRDefault="00E24AA1" w:rsidP="00E24AA1">
      <w:pPr>
        <w:pStyle w:val="Baseparagraphcentred"/>
      </w:pPr>
    </w:p>
    <w:p w14:paraId="4EDE7354" w14:textId="77777777" w:rsidR="00E24AA1" w:rsidRPr="00A46198" w:rsidRDefault="00E24AA1" w:rsidP="00E24AA1">
      <w:pPr>
        <w:pStyle w:val="Baseparagraphcentred"/>
      </w:pPr>
      <w:r w:rsidRPr="00A46198">
        <w:t>THE PARLIAMENT OF THE COMMONWEALTH OF AUSTRALIA</w:t>
      </w:r>
    </w:p>
    <w:p w14:paraId="46FB45AA" w14:textId="77777777" w:rsidR="00E24AA1" w:rsidRPr="00A46198" w:rsidRDefault="00E24AA1" w:rsidP="00E24AA1">
      <w:pPr>
        <w:pStyle w:val="Baseparagraphcentred"/>
      </w:pPr>
    </w:p>
    <w:p w14:paraId="30AC7708" w14:textId="77777777" w:rsidR="00E24AA1" w:rsidRPr="00A46198" w:rsidRDefault="00E24AA1" w:rsidP="00E24AA1">
      <w:pPr>
        <w:pStyle w:val="Baseparagraphcentred"/>
      </w:pPr>
    </w:p>
    <w:p w14:paraId="635F3370" w14:textId="77777777" w:rsidR="00E24AA1" w:rsidRPr="00A46198" w:rsidRDefault="00E24AA1" w:rsidP="00E24AA1">
      <w:pPr>
        <w:pStyle w:val="Baseparagraphcentred"/>
      </w:pPr>
    </w:p>
    <w:sdt>
      <w:sdtPr>
        <w:id w:val="803427954"/>
        <w:placeholder>
          <w:docPart w:val="1B2F7EE0F0F54759A8465AAB65C1DD45"/>
        </w:placeholder>
        <w:temporary/>
        <w:showingPlcHdr/>
        <w:comboBox>
          <w:listItem w:value="Choose an item."/>
          <w:listItem w:displayText="HOUSE OF REPRESENTATIVES" w:value="HOUSE OF REPRESENTATIVES"/>
          <w:listItem w:displayText="SENATE" w:value="SENATE"/>
          <w:listItem w:displayText="EXPOSURE DRAFT EXPLANATORY MATERIALS" w:value="EXPOSURE DRAFT EXPLANATORY MATERIALS"/>
        </w:comboBox>
      </w:sdtPr>
      <w:sdtEndPr/>
      <w:sdtContent>
        <w:p w14:paraId="56453F1B" w14:textId="77777777" w:rsidR="000A4EB2" w:rsidRPr="00A46198" w:rsidRDefault="000A4EB2" w:rsidP="000A4EB2">
          <w:pPr>
            <w:pStyle w:val="Baseparagraphcentred"/>
          </w:pPr>
          <w:r w:rsidRPr="00A46198">
            <w:rPr>
              <w:rStyle w:val="PlaceholderText"/>
            </w:rPr>
            <w:t>[HOUSE OF REPRESENTATIVES/SENATE]</w:t>
          </w:r>
        </w:p>
      </w:sdtContent>
    </w:sdt>
    <w:p w14:paraId="3992CC78" w14:textId="77777777" w:rsidR="00E24AA1" w:rsidRPr="00A46198" w:rsidRDefault="00E24AA1" w:rsidP="00E24AA1">
      <w:pPr>
        <w:pStyle w:val="Baseparagraphcentred"/>
      </w:pPr>
    </w:p>
    <w:p w14:paraId="4FBAF361" w14:textId="77777777" w:rsidR="00E24AA1" w:rsidRPr="00A46198" w:rsidRDefault="00E24AA1" w:rsidP="00E24AA1">
      <w:pPr>
        <w:pStyle w:val="Baseparagraphcentred"/>
      </w:pPr>
    </w:p>
    <w:p w14:paraId="5217BDA2" w14:textId="77777777" w:rsidR="00E24AA1" w:rsidRPr="00A46198" w:rsidRDefault="00E24AA1" w:rsidP="00E24AA1">
      <w:pPr>
        <w:pStyle w:val="Baseparagraphcentred"/>
        <w:pBdr>
          <w:bottom w:val="single" w:sz="4" w:space="1" w:color="auto"/>
        </w:pBdr>
      </w:pPr>
    </w:p>
    <w:p w14:paraId="73D2D12E" w14:textId="707C38B7" w:rsidR="00E24AA1" w:rsidRPr="00A46198" w:rsidRDefault="005E2410" w:rsidP="00E24AA1">
      <w:pPr>
        <w:pStyle w:val="BillName"/>
      </w:pPr>
      <w:bookmarkStart w:id="6" w:name="BillName"/>
      <w:bookmarkEnd w:id="6"/>
      <w:r w:rsidRPr="00A46198">
        <w:t>TBA</w:t>
      </w:r>
    </w:p>
    <w:p w14:paraId="79AFD009" w14:textId="77777777" w:rsidR="00E24AA1" w:rsidRPr="00A46198" w:rsidRDefault="00E24AA1" w:rsidP="00E24AA1">
      <w:pPr>
        <w:pStyle w:val="Baseparagraphcentred"/>
        <w:pBdr>
          <w:top w:val="single" w:sz="4" w:space="1" w:color="auto"/>
        </w:pBdr>
      </w:pPr>
    </w:p>
    <w:p w14:paraId="68CCF30F" w14:textId="77777777" w:rsidR="00E24AA1" w:rsidRPr="00A46198" w:rsidRDefault="00E24AA1" w:rsidP="00E24AA1">
      <w:pPr>
        <w:pStyle w:val="Baseparagraphcentred"/>
      </w:pPr>
    </w:p>
    <w:p w14:paraId="19958827" w14:textId="77777777" w:rsidR="00E24AA1" w:rsidRPr="00A46198" w:rsidRDefault="00E24AA1" w:rsidP="00E24AA1">
      <w:pPr>
        <w:pStyle w:val="Baseparagraphcentred"/>
      </w:pPr>
    </w:p>
    <w:p w14:paraId="189503C2" w14:textId="77777777" w:rsidR="00E24AA1" w:rsidRPr="00A46198" w:rsidRDefault="00E24AA1" w:rsidP="00E24AA1">
      <w:pPr>
        <w:pStyle w:val="Baseparagraphcentred"/>
      </w:pPr>
    </w:p>
    <w:p w14:paraId="013481C7" w14:textId="77777777" w:rsidR="00266BF6" w:rsidRPr="00A46198" w:rsidRDefault="00266BF6" w:rsidP="00E24AA1">
      <w:pPr>
        <w:pStyle w:val="Baseparagraphcentred"/>
      </w:pPr>
      <w:r w:rsidRPr="00A46198">
        <w:t>EXPOSURE DRAFT EXPLANATORY MATERIALS</w:t>
      </w:r>
    </w:p>
    <w:p w14:paraId="38E698EB" w14:textId="77777777" w:rsidR="00E24AA1" w:rsidRPr="00A46198" w:rsidRDefault="00E24AA1" w:rsidP="00E24AA1">
      <w:pPr>
        <w:pStyle w:val="Baseparagraphcentred"/>
      </w:pPr>
    </w:p>
    <w:p w14:paraId="0185416C" w14:textId="77777777" w:rsidR="00E24AA1" w:rsidRPr="00A46198" w:rsidRDefault="00E24AA1" w:rsidP="00E24AA1">
      <w:pPr>
        <w:pStyle w:val="Baseparagraphcentred"/>
      </w:pPr>
    </w:p>
    <w:p w14:paraId="702B7BBC" w14:textId="77777777" w:rsidR="00E24AA1" w:rsidRPr="00A46198" w:rsidRDefault="00E24AA1" w:rsidP="00E24AA1">
      <w:pPr>
        <w:pStyle w:val="ParaCentredNoSpacing"/>
      </w:pPr>
    </w:p>
    <w:p w14:paraId="4F36E1A5" w14:textId="77777777" w:rsidR="00E24AA1" w:rsidRPr="00A46198" w:rsidRDefault="00E24AA1" w:rsidP="00E24AA1">
      <w:pPr>
        <w:pStyle w:val="Normalparatextnonumbers"/>
        <w:jc w:val="center"/>
        <w:rPr>
          <w:rFonts w:cs="Calibri"/>
          <w:color w:val="000000" w:themeColor="text1"/>
        </w:rPr>
      </w:pPr>
    </w:p>
    <w:p w14:paraId="20BFDB5D" w14:textId="77777777" w:rsidR="008A3B5F" w:rsidRPr="00A46198" w:rsidRDefault="008A3B5F" w:rsidP="008A3B5F">
      <w:pPr>
        <w:pStyle w:val="Normalparatextnonumbers"/>
      </w:pPr>
    </w:p>
    <w:p w14:paraId="05AA4EED" w14:textId="77777777" w:rsidR="00266BF6" w:rsidRPr="00A46198" w:rsidRDefault="00266BF6" w:rsidP="0090171F">
      <w:pPr>
        <w:pStyle w:val="Normalparatextnonumbers"/>
      </w:pPr>
      <w:bookmarkStart w:id="7" w:name="ConsultPreamble"/>
      <w:bookmarkEnd w:id="7"/>
      <w:r w:rsidRPr="00A46198">
        <w:br w:type="page"/>
      </w:r>
    </w:p>
    <w:p w14:paraId="71A27BAA" w14:textId="77777777" w:rsidR="00266BF6" w:rsidRPr="00A46198" w:rsidRDefault="00266BF6" w:rsidP="00266BF6">
      <w:pPr>
        <w:pStyle w:val="Normalparatextnonumbers"/>
        <w:numPr>
          <w:ilvl w:val="4"/>
          <w:numId w:val="2"/>
        </w:numPr>
        <w:rPr>
          <w:b/>
        </w:rPr>
      </w:pPr>
      <w:r w:rsidRPr="00A46198">
        <w:rPr>
          <w:b/>
        </w:rPr>
        <w:lastRenderedPageBreak/>
        <w:t>Consultation preamble</w:t>
      </w:r>
    </w:p>
    <w:p w14:paraId="016F10FD" w14:textId="77777777" w:rsidR="00266BF6" w:rsidRPr="00A46198" w:rsidRDefault="00266BF6" w:rsidP="0090171F">
      <w:pPr>
        <w:pStyle w:val="Normalparatextnonumbers"/>
      </w:pPr>
      <w:r w:rsidRPr="00A46198">
        <w:t>Treasury seeks feedback on the effectiveness of this exposure draft explanatory material in explaining the policy context and operation of the proposed new law, including, but not limited to:</w:t>
      </w:r>
    </w:p>
    <w:p w14:paraId="1CEB6080" w14:textId="77777777" w:rsidR="00266BF6" w:rsidRPr="00A46198" w:rsidRDefault="00266BF6" w:rsidP="0090171F">
      <w:pPr>
        <w:pStyle w:val="Normalparatextnonumbers"/>
      </w:pPr>
      <w:r w:rsidRPr="00A46198">
        <w:t>•</w:t>
      </w:r>
      <w:r w:rsidRPr="00A46198">
        <w:tab/>
        <w:t xml:space="preserve">how the new law is intended to </w:t>
      </w:r>
      <w:proofErr w:type="gramStart"/>
      <w:r w:rsidRPr="00A46198">
        <w:t>operate;</w:t>
      </w:r>
      <w:proofErr w:type="gramEnd"/>
    </w:p>
    <w:p w14:paraId="0CE1D6E3" w14:textId="77777777" w:rsidR="00266BF6" w:rsidRPr="00A46198" w:rsidRDefault="00266BF6" w:rsidP="00924E28">
      <w:pPr>
        <w:pStyle w:val="Normalparatextnonumbers"/>
        <w:tabs>
          <w:tab w:val="left" w:pos="709"/>
        </w:tabs>
        <w:ind w:left="709" w:hanging="709"/>
      </w:pPr>
      <w:r w:rsidRPr="00A46198">
        <w:t>•</w:t>
      </w:r>
      <w:r w:rsidRPr="00A46198">
        <w:tab/>
        <w:t xml:space="preserve">whether the background and policy context </w:t>
      </w:r>
      <w:proofErr w:type="gramStart"/>
      <w:r w:rsidRPr="00A46198">
        <w:t>is</w:t>
      </w:r>
      <w:proofErr w:type="gramEnd"/>
      <w:r w:rsidRPr="00A46198">
        <w:t xml:space="preserve"> sufficiently comprehensive to support understanding of the policy intent and outcomes of the new law;</w:t>
      </w:r>
    </w:p>
    <w:p w14:paraId="4EFD6CE9" w14:textId="77777777" w:rsidR="00266BF6" w:rsidRPr="00A46198" w:rsidRDefault="00266BF6" w:rsidP="0090171F">
      <w:pPr>
        <w:pStyle w:val="Normalparatextnonumbers"/>
        <w:ind w:left="709" w:hanging="709"/>
      </w:pPr>
      <w:r w:rsidRPr="00A46198">
        <w:t>•</w:t>
      </w:r>
      <w:r w:rsidRPr="00A46198">
        <w:tab/>
        <w:t>the use of relevant examples, illustrations or diagrams as explanatory aids;</w:t>
      </w:r>
      <w:r w:rsidRPr="00A46198">
        <w:br/>
        <w:t>and</w:t>
      </w:r>
    </w:p>
    <w:p w14:paraId="6B480FCE" w14:textId="77777777" w:rsidR="00266BF6" w:rsidRPr="00A46198" w:rsidRDefault="00266BF6" w:rsidP="0090171F">
      <w:pPr>
        <w:pStyle w:val="Normalparatextnonumbers"/>
        <w:ind w:left="709" w:hanging="709"/>
      </w:pPr>
      <w:r w:rsidRPr="00A46198">
        <w:t>•</w:t>
      </w:r>
      <w:r w:rsidRPr="00A46198">
        <w:tab/>
        <w:t>any other matters affecting the readability or presentation of the explanatory material.</w:t>
      </w:r>
    </w:p>
    <w:p w14:paraId="46933C3C" w14:textId="77777777" w:rsidR="00266BF6" w:rsidRPr="00A46198" w:rsidRDefault="00266BF6" w:rsidP="0090171F">
      <w:pPr>
        <w:pStyle w:val="Normalparatextnonumbers"/>
      </w:pPr>
      <w:r w:rsidRPr="00A46198">
        <w:t xml:space="preserve">Feedback on these matters will assist to ensure the Explanatory Memoranda for the Bill aids the Parliament’s consideration of the proposed new law and the needs of other users. </w:t>
      </w:r>
    </w:p>
    <w:p w14:paraId="197AA0F1" w14:textId="6900564E" w:rsidR="00266BF6" w:rsidRPr="00A46198" w:rsidRDefault="00266BF6" w:rsidP="0090171F">
      <w:pPr>
        <w:pStyle w:val="Normalparatextnonumbers"/>
      </w:pPr>
      <w:r w:rsidRPr="00A46198">
        <w:t>Treasury and the ATO work closely to identify aspects of new tax laws which may benefit from ATO public advice and guidance (PAG). Feedback is also sought on any aspects of the new law where ATO PAG should be considered, to support stakeholders’ understanding and application of the new law. Stakeholder feedback on this question will be shared with the ATO.</w:t>
      </w:r>
    </w:p>
    <w:p w14:paraId="2D278DE3" w14:textId="77777777" w:rsidR="00924E28" w:rsidRPr="00A46198" w:rsidRDefault="00924E28" w:rsidP="00873094">
      <w:pPr>
        <w:pStyle w:val="Normalparatextnonumbers"/>
      </w:pPr>
    </w:p>
    <w:p w14:paraId="617AFF06" w14:textId="77777777" w:rsidR="00873094" w:rsidRPr="00A46198" w:rsidRDefault="00873094" w:rsidP="00873094">
      <w:pPr>
        <w:pStyle w:val="TOC1"/>
        <w:sectPr w:rsidR="00873094" w:rsidRPr="00A46198" w:rsidSect="00000BFC">
          <w:headerReference w:type="even" r:id="rId8"/>
          <w:headerReference w:type="default" r:id="rId9"/>
          <w:headerReference w:type="first" r:id="rId10"/>
          <w:footerReference w:type="first" r:id="rId11"/>
          <w:type w:val="oddPage"/>
          <w:pgSz w:w="9979" w:h="14175" w:code="138"/>
          <w:pgMar w:top="567" w:right="1134" w:bottom="567" w:left="1134" w:header="709" w:footer="709" w:gutter="0"/>
          <w:cols w:space="708"/>
          <w:titlePg/>
          <w:docGrid w:linePitch="360"/>
        </w:sectPr>
      </w:pPr>
    </w:p>
    <w:p w14:paraId="469686E9" w14:textId="77777777" w:rsidR="00873094" w:rsidRPr="00A46198" w:rsidRDefault="00873094" w:rsidP="00873094">
      <w:pPr>
        <w:pStyle w:val="TOCHeading"/>
      </w:pPr>
      <w:bookmarkStart w:id="8" w:name="_Toc80172450"/>
      <w:bookmarkStart w:id="9" w:name="_Toc80197114"/>
      <w:bookmarkStart w:id="10" w:name="_Toc81852681"/>
      <w:bookmarkEnd w:id="0"/>
      <w:bookmarkEnd w:id="1"/>
      <w:bookmarkEnd w:id="2"/>
      <w:bookmarkEnd w:id="3"/>
      <w:bookmarkEnd w:id="4"/>
      <w:r w:rsidRPr="00A46198">
        <w:lastRenderedPageBreak/>
        <w:t>Table of Contents</w:t>
      </w:r>
      <w:bookmarkStart w:id="11" w:name="_Toc78549733"/>
      <w:bookmarkStart w:id="12" w:name="_Toc78549778"/>
      <w:bookmarkStart w:id="13" w:name="_Toc80097483"/>
      <w:bookmarkStart w:id="14" w:name="_Toc80097777"/>
      <w:bookmarkStart w:id="15" w:name="_Toc80115276"/>
      <w:bookmarkStart w:id="16" w:name="_Toc80172451"/>
      <w:bookmarkStart w:id="17" w:name="_Toc80197115"/>
      <w:bookmarkStart w:id="18" w:name="_Toc81852682"/>
      <w:bookmarkStart w:id="19" w:name="_Toc81852727"/>
      <w:bookmarkEnd w:id="8"/>
      <w:bookmarkEnd w:id="9"/>
      <w:bookmarkEnd w:id="10"/>
    </w:p>
    <w:p w14:paraId="38979A0C" w14:textId="2CB6C02E" w:rsidR="00266BF6" w:rsidRPr="00A46198" w:rsidRDefault="00873094" w:rsidP="00266BF6">
      <w:pPr>
        <w:pStyle w:val="TOC1"/>
        <w:tabs>
          <w:tab w:val="clear" w:pos="7655"/>
          <w:tab w:val="right" w:leader="dot" w:pos="7654"/>
        </w:tabs>
        <w:ind w:left="0" w:firstLine="0"/>
        <w:rPr>
          <w:rFonts w:asciiTheme="minorHAnsi" w:eastAsiaTheme="minorEastAsia" w:hAnsiTheme="minorHAnsi" w:cstheme="minorBidi"/>
          <w:bCs w:val="0"/>
          <w:noProof/>
          <w:kern w:val="2"/>
          <w:sz w:val="22"/>
          <w:szCs w:val="22"/>
          <w:lang w:eastAsia="en-AU"/>
          <w14:ligatures w14:val="standardContextual"/>
        </w:rPr>
      </w:pPr>
      <w:r w:rsidRPr="00A46198">
        <w:fldChar w:fldCharType="begin"/>
      </w:r>
      <w:r w:rsidRPr="00A46198">
        <w:instrText xml:space="preserve"> TOC \o "1-1" \u </w:instrText>
      </w:r>
      <w:r w:rsidRPr="00A46198">
        <w:fldChar w:fldCharType="separate"/>
      </w:r>
      <w:r w:rsidR="00266BF6" w:rsidRPr="00A46198">
        <w:rPr>
          <w:noProof/>
        </w:rPr>
        <w:t>Glossary</w:t>
      </w:r>
      <w:r w:rsidR="00266BF6" w:rsidRPr="00A46198">
        <w:rPr>
          <w:noProof/>
        </w:rPr>
        <w:tab/>
      </w:r>
      <w:r w:rsidR="00266BF6" w:rsidRPr="00A46198">
        <w:rPr>
          <w:noProof/>
        </w:rPr>
        <w:fldChar w:fldCharType="begin"/>
      </w:r>
      <w:r w:rsidR="00266BF6" w:rsidRPr="00A46198">
        <w:rPr>
          <w:noProof/>
        </w:rPr>
        <w:instrText xml:space="preserve"> PAGEREF _Toc157070430 \h </w:instrText>
      </w:r>
      <w:r w:rsidR="00266BF6" w:rsidRPr="00A46198">
        <w:rPr>
          <w:noProof/>
        </w:rPr>
      </w:r>
      <w:r w:rsidR="00266BF6" w:rsidRPr="00A46198">
        <w:rPr>
          <w:noProof/>
        </w:rPr>
        <w:fldChar w:fldCharType="separate"/>
      </w:r>
      <w:r w:rsidR="00F7525D">
        <w:rPr>
          <w:noProof/>
        </w:rPr>
        <w:t>iii</w:t>
      </w:r>
      <w:r w:rsidR="00266BF6" w:rsidRPr="00A46198">
        <w:rPr>
          <w:noProof/>
        </w:rPr>
        <w:fldChar w:fldCharType="end"/>
      </w:r>
    </w:p>
    <w:p w14:paraId="2AFD8F22" w14:textId="2590E67A" w:rsidR="00266BF6" w:rsidRPr="00A46198" w:rsidRDefault="00266BF6" w:rsidP="00266BF6">
      <w:pPr>
        <w:pStyle w:val="TOC1"/>
        <w:tabs>
          <w:tab w:val="clear" w:pos="7655"/>
          <w:tab w:val="left" w:pos="1757"/>
          <w:tab w:val="right" w:leader="dot" w:pos="7654"/>
        </w:tabs>
        <w:rPr>
          <w:rFonts w:asciiTheme="minorHAnsi" w:eastAsiaTheme="minorEastAsia" w:hAnsiTheme="minorHAnsi" w:cstheme="minorBidi"/>
          <w:bCs w:val="0"/>
          <w:noProof/>
          <w:kern w:val="2"/>
          <w:sz w:val="22"/>
          <w:szCs w:val="22"/>
          <w:lang w:eastAsia="en-AU"/>
          <w14:ligatures w14:val="standardContextual"/>
        </w:rPr>
      </w:pPr>
      <w:r w:rsidRPr="00A46198">
        <w:rPr>
          <w:noProof/>
          <w14:scene3d>
            <w14:camera w14:prst="orthographicFront"/>
            <w14:lightRig w14:rig="threePt" w14:dir="t">
              <w14:rot w14:lat="0" w14:lon="0" w14:rev="0"/>
            </w14:lightRig>
          </w14:scene3d>
        </w:rPr>
        <w:t>Chapter 1:</w:t>
      </w:r>
      <w:r w:rsidRPr="00A46198">
        <w:rPr>
          <w:rFonts w:asciiTheme="minorHAnsi" w:eastAsiaTheme="minorEastAsia" w:hAnsiTheme="minorHAnsi" w:cstheme="minorBidi"/>
          <w:bCs w:val="0"/>
          <w:noProof/>
          <w:kern w:val="2"/>
          <w:sz w:val="22"/>
          <w:szCs w:val="22"/>
          <w:lang w:eastAsia="en-AU"/>
          <w14:ligatures w14:val="standardContextual"/>
        </w:rPr>
        <w:tab/>
      </w:r>
      <w:r w:rsidRPr="00A46198">
        <w:rPr>
          <w:noProof/>
        </w:rPr>
        <w:t>Miscellaneous and technical amendments</w:t>
      </w:r>
      <w:r w:rsidRPr="00A46198">
        <w:rPr>
          <w:noProof/>
        </w:rPr>
        <w:tab/>
      </w:r>
      <w:r w:rsidRPr="00A46198">
        <w:rPr>
          <w:noProof/>
        </w:rPr>
        <w:fldChar w:fldCharType="begin"/>
      </w:r>
      <w:r w:rsidRPr="00A46198">
        <w:rPr>
          <w:noProof/>
        </w:rPr>
        <w:instrText xml:space="preserve"> PAGEREF _Toc157070431 \h </w:instrText>
      </w:r>
      <w:r w:rsidRPr="00A46198">
        <w:rPr>
          <w:noProof/>
        </w:rPr>
      </w:r>
      <w:r w:rsidRPr="00A46198">
        <w:rPr>
          <w:noProof/>
        </w:rPr>
        <w:fldChar w:fldCharType="separate"/>
      </w:r>
      <w:r w:rsidR="00F7525D">
        <w:rPr>
          <w:noProof/>
        </w:rPr>
        <w:t>5</w:t>
      </w:r>
      <w:r w:rsidRPr="00A46198">
        <w:rPr>
          <w:noProof/>
        </w:rPr>
        <w:fldChar w:fldCharType="end"/>
      </w:r>
    </w:p>
    <w:p w14:paraId="7A634DB7" w14:textId="77777777" w:rsidR="00873094" w:rsidRPr="00A46198" w:rsidRDefault="00873094" w:rsidP="00BC2E4A">
      <w:pPr>
        <w:pStyle w:val="TOC1"/>
      </w:pPr>
      <w:r w:rsidRPr="00A46198">
        <w:fldChar w:fldCharType="end"/>
      </w:r>
    </w:p>
    <w:p w14:paraId="4B077F03" w14:textId="77777777" w:rsidR="00873094" w:rsidRPr="00A46198" w:rsidRDefault="00873094" w:rsidP="00873094"/>
    <w:p w14:paraId="79A069DB" w14:textId="77777777" w:rsidR="00873094" w:rsidRPr="00A46198" w:rsidRDefault="00873094" w:rsidP="00873094">
      <w:pPr>
        <w:sectPr w:rsidR="00873094" w:rsidRPr="00A46198" w:rsidSect="00000BFC">
          <w:headerReference w:type="even" r:id="rId12"/>
          <w:headerReference w:type="default" r:id="rId13"/>
          <w:headerReference w:type="first" r:id="rId14"/>
          <w:footerReference w:type="first" r:id="rId15"/>
          <w:type w:val="oddPage"/>
          <w:pgSz w:w="9979" w:h="14175" w:code="9"/>
          <w:pgMar w:top="567" w:right="1134" w:bottom="567" w:left="1134" w:header="709" w:footer="709" w:gutter="0"/>
          <w:pgNumType w:start="1"/>
          <w:cols w:space="708"/>
          <w:titlePg/>
          <w:docGrid w:linePitch="360"/>
        </w:sectPr>
      </w:pPr>
    </w:p>
    <w:p w14:paraId="1A09F99C" w14:textId="77777777" w:rsidR="00873094" w:rsidRPr="00A46198" w:rsidRDefault="00873094" w:rsidP="00873094">
      <w:pPr>
        <w:pStyle w:val="Heading1"/>
      </w:pPr>
      <w:bookmarkStart w:id="20" w:name="_Toc82021619"/>
      <w:bookmarkStart w:id="21" w:name="_Toc82067318"/>
      <w:bookmarkStart w:id="22" w:name="_Toc82072959"/>
      <w:bookmarkStart w:id="23" w:name="_Toc82073275"/>
      <w:bookmarkStart w:id="24" w:name="_Toc82073912"/>
      <w:bookmarkStart w:id="25" w:name="_Toc82074016"/>
      <w:bookmarkStart w:id="26" w:name="_Toc157070430"/>
      <w:r w:rsidRPr="00A46198">
        <w:lastRenderedPageBreak/>
        <w:t>Glossary</w:t>
      </w:r>
      <w:bookmarkStart w:id="27" w:name="_Toc485286223"/>
      <w:bookmarkStart w:id="28" w:name="_Toc78193244"/>
      <w:bookmarkStart w:id="29" w:name="_Toc78193401"/>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00A12BAA" w:rsidRPr="00A46198">
        <w:tab/>
      </w:r>
      <w:r w:rsidR="001F670B" w:rsidRPr="00A46198">
        <w:t xml:space="preserve"> </w:t>
      </w:r>
    </w:p>
    <w:p w14:paraId="0BB9A3AD" w14:textId="77777777" w:rsidR="00873094" w:rsidRPr="00A46198" w:rsidRDefault="00873094" w:rsidP="00873094">
      <w:pPr>
        <w:pStyle w:val="Normalparatextnonumbers"/>
      </w:pPr>
      <w:r w:rsidRPr="00A46198">
        <w:t>This Explanatory Memorandum uses the following abbreviations and acronyms.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6"/>
        <w:gridCol w:w="3874"/>
      </w:tblGrid>
      <w:tr w:rsidR="00873094" w:rsidRPr="00A46198" w14:paraId="65CB8132" w14:textId="77777777" w:rsidTr="002425D9">
        <w:tc>
          <w:tcPr>
            <w:tcW w:w="3776" w:type="dxa"/>
            <w:shd w:val="clear" w:color="auto" w:fill="auto"/>
          </w:tcPr>
          <w:p w14:paraId="6BC8DAB1" w14:textId="77777777" w:rsidR="00873094" w:rsidRPr="00A46198" w:rsidRDefault="00873094" w:rsidP="00B7393A">
            <w:pPr>
              <w:pStyle w:val="Tableheaderrowtext"/>
            </w:pPr>
            <w:bookmarkStart w:id="30" w:name="GlossaryTableStart"/>
            <w:bookmarkEnd w:id="30"/>
            <w:r w:rsidRPr="00A46198">
              <w:t>Abbreviation</w:t>
            </w:r>
          </w:p>
        </w:tc>
        <w:tc>
          <w:tcPr>
            <w:tcW w:w="3874" w:type="dxa"/>
            <w:shd w:val="clear" w:color="auto" w:fill="auto"/>
          </w:tcPr>
          <w:p w14:paraId="137AB702" w14:textId="77777777" w:rsidR="00873094" w:rsidRPr="00A46198" w:rsidRDefault="00873094" w:rsidP="00B7393A">
            <w:pPr>
              <w:pStyle w:val="Tableheaderrowtext"/>
            </w:pPr>
            <w:r w:rsidRPr="00A46198">
              <w:t>Definition</w:t>
            </w:r>
          </w:p>
        </w:tc>
      </w:tr>
      <w:tr w:rsidR="003B2800" w:rsidRPr="00A46198" w14:paraId="10AC0358" w14:textId="77777777" w:rsidTr="002425D9">
        <w:tc>
          <w:tcPr>
            <w:tcW w:w="3776" w:type="dxa"/>
          </w:tcPr>
          <w:p w14:paraId="0DF77350" w14:textId="29C1F0F7" w:rsidR="003B2800" w:rsidRPr="00A46198" w:rsidRDefault="003B2800" w:rsidP="002425D9">
            <w:pPr>
              <w:pStyle w:val="Normalparatextnonumbers"/>
            </w:pPr>
            <w:r w:rsidRPr="00A46198">
              <w:t>APRA</w:t>
            </w:r>
          </w:p>
        </w:tc>
        <w:tc>
          <w:tcPr>
            <w:tcW w:w="3874" w:type="dxa"/>
          </w:tcPr>
          <w:p w14:paraId="690F7297" w14:textId="50822436" w:rsidR="003B2800" w:rsidRPr="00A46198" w:rsidRDefault="003B2800" w:rsidP="002425D9">
            <w:pPr>
              <w:pStyle w:val="Normalparatextnonumbers"/>
            </w:pPr>
            <w:r w:rsidRPr="00A46198">
              <w:t>Australian Prudential Regulation Authority</w:t>
            </w:r>
          </w:p>
        </w:tc>
      </w:tr>
      <w:tr w:rsidR="00873094" w:rsidRPr="00A46198" w14:paraId="4F1C53D6" w14:textId="77777777" w:rsidTr="002425D9">
        <w:tc>
          <w:tcPr>
            <w:tcW w:w="3776" w:type="dxa"/>
          </w:tcPr>
          <w:p w14:paraId="4B284137" w14:textId="0584ABCB" w:rsidR="00873094" w:rsidRPr="00A46198" w:rsidRDefault="00B567A5" w:rsidP="002425D9">
            <w:pPr>
              <w:pStyle w:val="Normalparatextnonumbers"/>
            </w:pPr>
            <w:r w:rsidRPr="00A46198">
              <w:t>ASIC</w:t>
            </w:r>
          </w:p>
        </w:tc>
        <w:tc>
          <w:tcPr>
            <w:tcW w:w="3874" w:type="dxa"/>
          </w:tcPr>
          <w:p w14:paraId="625AC3F4" w14:textId="5F312B02" w:rsidR="00873094" w:rsidRPr="00A46198" w:rsidRDefault="00B567A5" w:rsidP="002425D9">
            <w:pPr>
              <w:pStyle w:val="Normalparatextnonumbers"/>
            </w:pPr>
            <w:r w:rsidRPr="00A46198">
              <w:t>Australian Securities and Investments Corporation</w:t>
            </w:r>
          </w:p>
        </w:tc>
      </w:tr>
      <w:tr w:rsidR="00873094" w:rsidRPr="00A46198" w14:paraId="594C5CAE" w14:textId="77777777" w:rsidTr="002425D9">
        <w:tc>
          <w:tcPr>
            <w:tcW w:w="3776" w:type="dxa"/>
          </w:tcPr>
          <w:p w14:paraId="0CC91DAD" w14:textId="06193F29" w:rsidR="00873094" w:rsidRPr="00A46198" w:rsidRDefault="00CB0755" w:rsidP="002425D9">
            <w:pPr>
              <w:pStyle w:val="Normalparatextnonumbers"/>
            </w:pPr>
            <w:r w:rsidRPr="00A46198">
              <w:t>Bill</w:t>
            </w:r>
          </w:p>
        </w:tc>
        <w:tc>
          <w:tcPr>
            <w:tcW w:w="3874" w:type="dxa"/>
          </w:tcPr>
          <w:p w14:paraId="1A841CAA" w14:textId="5807C74F" w:rsidR="00873094" w:rsidRPr="00A46198" w:rsidRDefault="00CB0755" w:rsidP="002425D9">
            <w:pPr>
              <w:pStyle w:val="Normalparatextnonumbers"/>
            </w:pPr>
            <w:r w:rsidRPr="00A46198">
              <w:t>TBC</w:t>
            </w:r>
          </w:p>
        </w:tc>
      </w:tr>
      <w:tr w:rsidR="000E1CDE" w:rsidRPr="00A46198" w14:paraId="69D3F550" w14:textId="77777777" w:rsidTr="002425D9">
        <w:tc>
          <w:tcPr>
            <w:tcW w:w="3776" w:type="dxa"/>
          </w:tcPr>
          <w:p w14:paraId="71B3DBFA" w14:textId="695CD084" w:rsidR="000E1CDE" w:rsidRPr="00A46198" w:rsidRDefault="000E1CDE" w:rsidP="002425D9">
            <w:pPr>
              <w:pStyle w:val="Normalparatextnonumbers"/>
            </w:pPr>
            <w:r w:rsidRPr="00A46198">
              <w:t>CDEP Scheme</w:t>
            </w:r>
          </w:p>
        </w:tc>
        <w:tc>
          <w:tcPr>
            <w:tcW w:w="3874" w:type="dxa"/>
          </w:tcPr>
          <w:p w14:paraId="1C0AEA87" w14:textId="3DCD2EEB" w:rsidR="000E1CDE" w:rsidRPr="00A46198" w:rsidRDefault="000E1CDE" w:rsidP="002425D9">
            <w:pPr>
              <w:pStyle w:val="Normalparatextnonumbers"/>
            </w:pPr>
            <w:r w:rsidRPr="00A46198">
              <w:t>Community Development Employment Projects Scheme</w:t>
            </w:r>
          </w:p>
        </w:tc>
      </w:tr>
      <w:tr w:rsidR="00873094" w:rsidRPr="00A46198" w14:paraId="2E8C431A" w14:textId="77777777" w:rsidTr="002425D9">
        <w:tc>
          <w:tcPr>
            <w:tcW w:w="3776" w:type="dxa"/>
          </w:tcPr>
          <w:p w14:paraId="618C5E85" w14:textId="395DBB23" w:rsidR="00873094" w:rsidRPr="00A46198" w:rsidRDefault="008410B6" w:rsidP="002425D9">
            <w:pPr>
              <w:pStyle w:val="Normalparatextnonumbers"/>
            </w:pPr>
            <w:r w:rsidRPr="00A46198">
              <w:t>Corporations Act</w:t>
            </w:r>
          </w:p>
        </w:tc>
        <w:tc>
          <w:tcPr>
            <w:tcW w:w="3874" w:type="dxa"/>
          </w:tcPr>
          <w:p w14:paraId="6112EFF4" w14:textId="577436C1" w:rsidR="00873094" w:rsidRPr="00A46198" w:rsidRDefault="008410B6" w:rsidP="002425D9">
            <w:pPr>
              <w:pStyle w:val="Normalparatextnonumbers"/>
            </w:pPr>
            <w:r w:rsidRPr="00A46198">
              <w:rPr>
                <w:i/>
                <w:iCs/>
              </w:rPr>
              <w:t>Corporations Act 2001</w:t>
            </w:r>
          </w:p>
        </w:tc>
      </w:tr>
      <w:tr w:rsidR="0029436C" w:rsidRPr="00A46198" w14:paraId="368CA40E" w14:textId="77777777" w:rsidTr="002425D9">
        <w:tc>
          <w:tcPr>
            <w:tcW w:w="3776" w:type="dxa"/>
          </w:tcPr>
          <w:p w14:paraId="29D39CAF" w14:textId="62022BF6" w:rsidR="0029436C" w:rsidRPr="00A46198" w:rsidRDefault="0029436C" w:rsidP="002425D9">
            <w:pPr>
              <w:pStyle w:val="Normalparatextnonumbers"/>
            </w:pPr>
            <w:r w:rsidRPr="00A46198">
              <w:t>FBT Act</w:t>
            </w:r>
          </w:p>
        </w:tc>
        <w:tc>
          <w:tcPr>
            <w:tcW w:w="3874" w:type="dxa"/>
          </w:tcPr>
          <w:p w14:paraId="362EA56A" w14:textId="6276B742" w:rsidR="0029436C" w:rsidRPr="00A46198" w:rsidRDefault="0029436C" w:rsidP="002425D9">
            <w:pPr>
              <w:pStyle w:val="Normalparatextnonumbers"/>
              <w:rPr>
                <w:i/>
                <w:iCs/>
              </w:rPr>
            </w:pPr>
            <w:r w:rsidRPr="00A46198">
              <w:rPr>
                <w:i/>
                <w:iCs/>
              </w:rPr>
              <w:t>Fringe Benefits Tax Assessment Act 1986</w:t>
            </w:r>
          </w:p>
        </w:tc>
      </w:tr>
      <w:tr w:rsidR="00873094" w:rsidRPr="00A46198" w14:paraId="36AF0636" w14:textId="77777777" w:rsidTr="002425D9">
        <w:tc>
          <w:tcPr>
            <w:tcW w:w="3776" w:type="dxa"/>
          </w:tcPr>
          <w:p w14:paraId="55F6FFA8" w14:textId="22EFB977" w:rsidR="00873094" w:rsidRPr="00A46198" w:rsidRDefault="008410B6" w:rsidP="002425D9">
            <w:pPr>
              <w:pStyle w:val="Normalparatextnonumbers"/>
            </w:pPr>
            <w:r w:rsidRPr="00A46198">
              <w:t>GST Act</w:t>
            </w:r>
          </w:p>
        </w:tc>
        <w:tc>
          <w:tcPr>
            <w:tcW w:w="3874" w:type="dxa"/>
          </w:tcPr>
          <w:p w14:paraId="7FBAA73F" w14:textId="5BF748A4" w:rsidR="00873094" w:rsidRPr="00A46198" w:rsidRDefault="008410B6" w:rsidP="002425D9">
            <w:pPr>
              <w:pStyle w:val="Normalparatextnonumbers"/>
            </w:pPr>
            <w:r w:rsidRPr="00A46198">
              <w:rPr>
                <w:rFonts w:cstheme="minorHAnsi"/>
                <w:i/>
                <w:iCs/>
                <w:szCs w:val="24"/>
              </w:rPr>
              <w:t>A New Tax System (Goods and Services Tax) Act 1999</w:t>
            </w:r>
          </w:p>
        </w:tc>
      </w:tr>
      <w:tr w:rsidR="00C61831" w:rsidRPr="00A46198" w14:paraId="5D1E80DB" w14:textId="77777777" w:rsidTr="002425D9">
        <w:tc>
          <w:tcPr>
            <w:tcW w:w="3776" w:type="dxa"/>
          </w:tcPr>
          <w:p w14:paraId="114ED4B6" w14:textId="74E246CE" w:rsidR="00C61831" w:rsidRPr="00A46198" w:rsidRDefault="00C61831" w:rsidP="002425D9">
            <w:pPr>
              <w:pStyle w:val="Normalparatextnonumbers"/>
            </w:pPr>
            <w:r w:rsidRPr="00A46198">
              <w:t>ITAA 1936</w:t>
            </w:r>
          </w:p>
        </w:tc>
        <w:tc>
          <w:tcPr>
            <w:tcW w:w="3874" w:type="dxa"/>
          </w:tcPr>
          <w:p w14:paraId="1842FE32" w14:textId="433A6B96" w:rsidR="00C61831" w:rsidRPr="00A46198" w:rsidRDefault="00C61831" w:rsidP="002425D9">
            <w:pPr>
              <w:pStyle w:val="Normalparatextnonumbers"/>
              <w:rPr>
                <w:rFonts w:cstheme="minorHAnsi"/>
                <w:i/>
                <w:iCs/>
                <w:szCs w:val="24"/>
              </w:rPr>
            </w:pPr>
            <w:r w:rsidRPr="00A46198">
              <w:rPr>
                <w:rFonts w:cstheme="minorHAnsi"/>
                <w:i/>
                <w:iCs/>
                <w:szCs w:val="24"/>
              </w:rPr>
              <w:t>Income Tax Assessment Act 1936</w:t>
            </w:r>
          </w:p>
        </w:tc>
      </w:tr>
      <w:tr w:rsidR="00C61831" w:rsidRPr="00A46198" w14:paraId="03253C9B" w14:textId="77777777" w:rsidTr="002425D9">
        <w:tc>
          <w:tcPr>
            <w:tcW w:w="3776" w:type="dxa"/>
          </w:tcPr>
          <w:p w14:paraId="5085B2C6" w14:textId="311DA0A1" w:rsidR="00C61831" w:rsidRPr="00A46198" w:rsidRDefault="00C61831" w:rsidP="002425D9">
            <w:pPr>
              <w:pStyle w:val="Normalparatextnonumbers"/>
            </w:pPr>
            <w:r w:rsidRPr="00A46198">
              <w:t>ITAA 1997</w:t>
            </w:r>
          </w:p>
        </w:tc>
        <w:tc>
          <w:tcPr>
            <w:tcW w:w="3874" w:type="dxa"/>
          </w:tcPr>
          <w:p w14:paraId="34282521" w14:textId="433A6F15" w:rsidR="00C61831" w:rsidRPr="00A46198" w:rsidRDefault="00C61831" w:rsidP="002425D9">
            <w:pPr>
              <w:pStyle w:val="Normalparatextnonumbers"/>
              <w:rPr>
                <w:rFonts w:cstheme="minorHAnsi"/>
                <w:i/>
                <w:iCs/>
                <w:szCs w:val="24"/>
              </w:rPr>
            </w:pPr>
            <w:r w:rsidRPr="00A46198">
              <w:rPr>
                <w:rFonts w:cstheme="minorHAnsi"/>
                <w:i/>
                <w:iCs/>
                <w:szCs w:val="24"/>
              </w:rPr>
              <w:t>Income Tax Assessment Act 1997</w:t>
            </w:r>
          </w:p>
        </w:tc>
      </w:tr>
      <w:tr w:rsidR="00B94617" w:rsidRPr="00A46198" w14:paraId="7BAD7460" w14:textId="77777777" w:rsidTr="002425D9">
        <w:tc>
          <w:tcPr>
            <w:tcW w:w="3776" w:type="dxa"/>
          </w:tcPr>
          <w:p w14:paraId="547FF918" w14:textId="63029C26" w:rsidR="00B94617" w:rsidRPr="00A46198" w:rsidRDefault="00B94617" w:rsidP="002425D9">
            <w:pPr>
              <w:pStyle w:val="Normalparatextnonumbers"/>
            </w:pPr>
            <w:r w:rsidRPr="00A46198">
              <w:t>OECD</w:t>
            </w:r>
          </w:p>
        </w:tc>
        <w:tc>
          <w:tcPr>
            <w:tcW w:w="3874" w:type="dxa"/>
          </w:tcPr>
          <w:p w14:paraId="4C83E9CE" w14:textId="00C97EDE" w:rsidR="00B94617" w:rsidRPr="00A46198" w:rsidRDefault="00B94617" w:rsidP="002425D9">
            <w:pPr>
              <w:pStyle w:val="Normalparatextnonumbers"/>
              <w:rPr>
                <w:rFonts w:cstheme="minorHAnsi"/>
                <w:szCs w:val="24"/>
              </w:rPr>
            </w:pPr>
            <w:r w:rsidRPr="00A46198">
              <w:rPr>
                <w:rFonts w:cstheme="minorHAnsi"/>
                <w:szCs w:val="24"/>
              </w:rPr>
              <w:t>Organisation for Economic Co-operation and Development</w:t>
            </w:r>
          </w:p>
        </w:tc>
      </w:tr>
      <w:tr w:rsidR="00873094" w:rsidRPr="00A46198" w14:paraId="1BBAAEE2" w14:textId="77777777" w:rsidTr="002425D9">
        <w:tc>
          <w:tcPr>
            <w:tcW w:w="3776" w:type="dxa"/>
          </w:tcPr>
          <w:p w14:paraId="738E15DD" w14:textId="35D309CF" w:rsidR="00873094" w:rsidRPr="00A46198" w:rsidRDefault="004D47D4" w:rsidP="002425D9">
            <w:pPr>
              <w:pStyle w:val="Normalparatextnonumbers"/>
            </w:pPr>
            <w:r w:rsidRPr="00A46198">
              <w:t>SIS Act</w:t>
            </w:r>
          </w:p>
        </w:tc>
        <w:tc>
          <w:tcPr>
            <w:tcW w:w="3874" w:type="dxa"/>
          </w:tcPr>
          <w:p w14:paraId="2CE9ADBB" w14:textId="0BEAF95F" w:rsidR="00873094" w:rsidRPr="00A46198" w:rsidRDefault="003E554A" w:rsidP="002425D9">
            <w:pPr>
              <w:pStyle w:val="Normalparatextnonumbers"/>
              <w:rPr>
                <w:i/>
                <w:iCs/>
              </w:rPr>
            </w:pPr>
            <w:r w:rsidRPr="00A46198">
              <w:rPr>
                <w:i/>
                <w:iCs/>
              </w:rPr>
              <w:t>Superannuation Industry (Supervision) Act 1993</w:t>
            </w:r>
          </w:p>
        </w:tc>
      </w:tr>
      <w:tr w:rsidR="00873094" w:rsidRPr="00A46198" w14:paraId="21062CB4" w14:textId="77777777" w:rsidTr="002425D9">
        <w:tc>
          <w:tcPr>
            <w:tcW w:w="3776" w:type="dxa"/>
          </w:tcPr>
          <w:p w14:paraId="63D3E6AC" w14:textId="1BC7DD33" w:rsidR="00873094" w:rsidRPr="00A46198" w:rsidRDefault="00AE5632" w:rsidP="002425D9">
            <w:pPr>
              <w:pStyle w:val="Normalparatextnonumbers"/>
            </w:pPr>
            <w:r w:rsidRPr="00A46198">
              <w:t>SIS Regulations</w:t>
            </w:r>
          </w:p>
        </w:tc>
        <w:tc>
          <w:tcPr>
            <w:tcW w:w="3874" w:type="dxa"/>
          </w:tcPr>
          <w:p w14:paraId="534534C4" w14:textId="43ED3BE9" w:rsidR="00873094" w:rsidRPr="00A46198" w:rsidRDefault="00AE5632" w:rsidP="002425D9">
            <w:pPr>
              <w:pStyle w:val="Normalparatextnonumbers"/>
            </w:pPr>
            <w:r w:rsidRPr="00A46198">
              <w:t xml:space="preserve">Superannuation Industry (Supervision) Regulations </w:t>
            </w:r>
            <w:r w:rsidR="00206BC2" w:rsidRPr="00A46198">
              <w:t>1994</w:t>
            </w:r>
          </w:p>
        </w:tc>
      </w:tr>
      <w:tr w:rsidR="00C61831" w:rsidRPr="00A46198" w14:paraId="7647AF54" w14:textId="77777777" w:rsidTr="002425D9">
        <w:tc>
          <w:tcPr>
            <w:tcW w:w="3776" w:type="dxa"/>
          </w:tcPr>
          <w:p w14:paraId="03F54279" w14:textId="7E99C163" w:rsidR="00C61831" w:rsidRPr="00A46198" w:rsidRDefault="00C61831" w:rsidP="002425D9">
            <w:pPr>
              <w:pStyle w:val="Normalparatextnonumbers"/>
            </w:pPr>
            <w:r w:rsidRPr="00A46198">
              <w:t>TAA</w:t>
            </w:r>
          </w:p>
        </w:tc>
        <w:tc>
          <w:tcPr>
            <w:tcW w:w="3874" w:type="dxa"/>
          </w:tcPr>
          <w:p w14:paraId="7303DD24" w14:textId="0FBAC544" w:rsidR="00C61831" w:rsidRPr="00A46198" w:rsidRDefault="00C61831" w:rsidP="002425D9">
            <w:pPr>
              <w:pStyle w:val="Normalparatextnonumbers"/>
              <w:rPr>
                <w:i/>
                <w:iCs/>
              </w:rPr>
            </w:pPr>
            <w:r w:rsidRPr="00A46198">
              <w:rPr>
                <w:i/>
                <w:iCs/>
              </w:rPr>
              <w:t>Tax Administration Act 1953</w:t>
            </w:r>
          </w:p>
        </w:tc>
      </w:tr>
    </w:tbl>
    <w:p w14:paraId="04EDC5A5" w14:textId="77777777" w:rsidR="00873094" w:rsidRPr="00A46198" w:rsidRDefault="00873094" w:rsidP="00873094"/>
    <w:p w14:paraId="522A66A2" w14:textId="77777777" w:rsidR="00873094" w:rsidRPr="00A46198" w:rsidRDefault="00873094" w:rsidP="00873094"/>
    <w:p w14:paraId="3FB0428C" w14:textId="77777777" w:rsidR="00873094" w:rsidRPr="00A46198" w:rsidRDefault="00873094" w:rsidP="00873094">
      <w:pPr>
        <w:pStyle w:val="Heading1"/>
        <w:sectPr w:rsidR="00873094" w:rsidRPr="00A46198" w:rsidSect="00000BFC">
          <w:headerReference w:type="even" r:id="rId16"/>
          <w:headerReference w:type="default" r:id="rId17"/>
          <w:headerReference w:type="first" r:id="rId18"/>
          <w:footerReference w:type="first" r:id="rId19"/>
          <w:type w:val="oddPage"/>
          <w:pgSz w:w="9979" w:h="14175" w:code="9"/>
          <w:pgMar w:top="567" w:right="1134" w:bottom="567" w:left="1134" w:header="709" w:footer="709" w:gutter="0"/>
          <w:pgNumType w:fmt="lowerRoman"/>
          <w:cols w:space="708"/>
          <w:docGrid w:linePitch="360"/>
        </w:sectPr>
      </w:pPr>
      <w:bookmarkStart w:id="31" w:name="_Toc78548464"/>
      <w:bookmarkStart w:id="32" w:name="_Toc78549735"/>
      <w:bookmarkStart w:id="33" w:name="_Toc78549780"/>
      <w:bookmarkStart w:id="34" w:name="_Toc80097484"/>
      <w:bookmarkStart w:id="35" w:name="_Toc80097778"/>
      <w:bookmarkStart w:id="36" w:name="_Toc80115277"/>
      <w:bookmarkStart w:id="37" w:name="_Toc80172452"/>
      <w:bookmarkStart w:id="38" w:name="_Toc80197116"/>
      <w:bookmarkStart w:id="39" w:name="_Toc81852683"/>
      <w:bookmarkStart w:id="40" w:name="_Toc81852728"/>
    </w:p>
    <w:p w14:paraId="3E6F2D0A" w14:textId="3201282E" w:rsidR="00873094" w:rsidRPr="00A46198" w:rsidRDefault="00B6789E" w:rsidP="00777A92">
      <w:pPr>
        <w:pStyle w:val="Chapterheading"/>
      </w:pPr>
      <w:bookmarkStart w:id="41" w:name="GeneralOutline"/>
      <w:bookmarkStart w:id="42" w:name="_Toc157070431"/>
      <w:bookmarkEnd w:id="41"/>
      <w:bookmarkEnd w:id="27"/>
      <w:bookmarkEnd w:id="28"/>
      <w:bookmarkEnd w:id="29"/>
      <w:bookmarkEnd w:id="31"/>
      <w:bookmarkEnd w:id="32"/>
      <w:bookmarkEnd w:id="33"/>
      <w:bookmarkEnd w:id="34"/>
      <w:bookmarkEnd w:id="35"/>
      <w:bookmarkEnd w:id="36"/>
      <w:bookmarkEnd w:id="37"/>
      <w:bookmarkEnd w:id="38"/>
      <w:bookmarkEnd w:id="39"/>
      <w:bookmarkEnd w:id="40"/>
      <w:r w:rsidRPr="00A46198">
        <w:lastRenderedPageBreak/>
        <w:t>Misce</w:t>
      </w:r>
      <w:r w:rsidR="0058020F" w:rsidRPr="00A46198">
        <w:t>llaneous and technical amendments</w:t>
      </w:r>
      <w:bookmarkEnd w:id="42"/>
    </w:p>
    <w:p w14:paraId="4E9134EC" w14:textId="77777777" w:rsidR="00873094" w:rsidRPr="00A46198" w:rsidRDefault="00873094" w:rsidP="005D0844">
      <w:pPr>
        <w:pStyle w:val="Heading2"/>
      </w:pPr>
      <w:r w:rsidRPr="00A46198">
        <w:t>Outline of chapter</w:t>
      </w:r>
    </w:p>
    <w:p w14:paraId="13524AD3" w14:textId="77777777" w:rsidR="00DF2165" w:rsidRPr="00A46198" w:rsidRDefault="00DF2165" w:rsidP="00DF2165">
      <w:pPr>
        <w:pStyle w:val="Normalparatextwithnumbers"/>
        <w:numPr>
          <w:ilvl w:val="1"/>
          <w:numId w:val="3"/>
        </w:numPr>
      </w:pPr>
      <w:r w:rsidRPr="00A46198">
        <w:t>Schedule # of the Bill makes a number of miscellaneous and technical amendments to Treasury portfolio legislation. The amendments demonstrate the Government’s ongoing commitment to the care and maintenance of Treasury portfolio legislation.</w:t>
      </w:r>
    </w:p>
    <w:p w14:paraId="570D3C85" w14:textId="77777777" w:rsidR="00DF2165" w:rsidRPr="00A46198" w:rsidRDefault="00DF2165" w:rsidP="00DF2165">
      <w:pPr>
        <w:pStyle w:val="Normalparatextwithnumbers"/>
        <w:numPr>
          <w:ilvl w:val="1"/>
          <w:numId w:val="3"/>
        </w:numPr>
      </w:pPr>
      <w:r w:rsidRPr="00A46198">
        <w:t>The amendments repeal inoperative provisions, simplify provisions and reduce red tape.</w:t>
      </w:r>
    </w:p>
    <w:p w14:paraId="301DE61C" w14:textId="77777777" w:rsidR="00873094" w:rsidRPr="00A46198" w:rsidRDefault="00873094" w:rsidP="005D0844">
      <w:pPr>
        <w:pStyle w:val="Heading2"/>
      </w:pPr>
      <w:r w:rsidRPr="00A46198">
        <w:t>Context of amendments</w:t>
      </w:r>
    </w:p>
    <w:p w14:paraId="1757187C" w14:textId="77777777" w:rsidR="005B73D6" w:rsidRPr="00A46198" w:rsidRDefault="005B73D6" w:rsidP="005B73D6">
      <w:pPr>
        <w:pStyle w:val="Normalparatextwithnumbers"/>
        <w:numPr>
          <w:ilvl w:val="1"/>
          <w:numId w:val="3"/>
        </w:numPr>
      </w:pPr>
      <w:r w:rsidRPr="00A46198">
        <w:t>Miscellaneous and technical amendments are periodically made to Treasury portfolio legislation to correct drafting errors, repeal inoperative provisions, address unintended outcomes and make other technical changes. The amendments are part of the Government’s ongoing commitment to the care and maintenance of Treasury portfolio legislation.</w:t>
      </w:r>
    </w:p>
    <w:p w14:paraId="03531402" w14:textId="77777777" w:rsidR="005B73D6" w:rsidRPr="00A46198" w:rsidRDefault="005B73D6" w:rsidP="005B73D6">
      <w:pPr>
        <w:pStyle w:val="Normalparatextwithnumbers"/>
        <w:numPr>
          <w:ilvl w:val="1"/>
          <w:numId w:val="3"/>
        </w:numPr>
      </w:pPr>
      <w:r w:rsidRPr="00A46198">
        <w:t>The miscellaneous and technical amendments process was first supported by a recommendation of the 2008 Tax Design Review Panel, which was appointed to examine how to reduce delays in the enactment of tax legislation and improve the quality of tax legislation. The miscellaneous and technical amendments process has since been expanded to all Treasury portfolio legislation.</w:t>
      </w:r>
    </w:p>
    <w:p w14:paraId="08E4393B" w14:textId="77777777" w:rsidR="00873094" w:rsidRPr="00A46198" w:rsidRDefault="00873094" w:rsidP="005D0844">
      <w:pPr>
        <w:pStyle w:val="Heading2"/>
      </w:pPr>
      <w:r w:rsidRPr="00A46198">
        <w:t>Summary of new law</w:t>
      </w:r>
    </w:p>
    <w:p w14:paraId="4766F2EB" w14:textId="77777777" w:rsidR="00C425E0" w:rsidRPr="00A46198" w:rsidRDefault="00C425E0" w:rsidP="00C425E0">
      <w:pPr>
        <w:pStyle w:val="Normalparatextwithnumbers"/>
        <w:numPr>
          <w:ilvl w:val="1"/>
          <w:numId w:val="3"/>
        </w:numPr>
      </w:pPr>
      <w:r w:rsidRPr="00A46198">
        <w:t>The miscellaneous and technical amendments maintain and improve the quality of Treasury legislation by:</w:t>
      </w:r>
    </w:p>
    <w:p w14:paraId="53820CBE" w14:textId="77777777" w:rsidR="00C425E0" w:rsidRPr="00A46198" w:rsidRDefault="00C425E0" w:rsidP="00C425E0">
      <w:pPr>
        <w:pStyle w:val="Dotpoint1"/>
        <w:numPr>
          <w:ilvl w:val="0"/>
          <w:numId w:val="8"/>
        </w:numPr>
        <w:ind w:left="1418" w:hanging="709"/>
      </w:pPr>
      <w:r w:rsidRPr="00A46198">
        <w:t>repealing redundant and inoperative provisions;</w:t>
      </w:r>
    </w:p>
    <w:p w14:paraId="3F2FBA07" w14:textId="77777777" w:rsidR="00C425E0" w:rsidRPr="00A46198" w:rsidRDefault="00C425E0" w:rsidP="00C425E0">
      <w:pPr>
        <w:pStyle w:val="Dotpoint1"/>
        <w:numPr>
          <w:ilvl w:val="0"/>
          <w:numId w:val="8"/>
        </w:numPr>
        <w:ind w:left="1418" w:hanging="709"/>
      </w:pPr>
      <w:r w:rsidRPr="00A46198">
        <w:t xml:space="preserve">enhancing readability and administrative efficiency; </w:t>
      </w:r>
    </w:p>
    <w:p w14:paraId="250072B0" w14:textId="77777777" w:rsidR="00C425E0" w:rsidRPr="00A46198" w:rsidRDefault="00C425E0" w:rsidP="00C425E0">
      <w:pPr>
        <w:pStyle w:val="Dotpoint1"/>
        <w:numPr>
          <w:ilvl w:val="0"/>
          <w:numId w:val="8"/>
        </w:numPr>
        <w:ind w:left="1418" w:hanging="709"/>
      </w:pPr>
      <w:r w:rsidRPr="00A46198">
        <w:t>reducing unnecessary red tape; and</w:t>
      </w:r>
    </w:p>
    <w:p w14:paraId="1D3CA31B" w14:textId="77777777" w:rsidR="00C425E0" w:rsidRPr="00A46198" w:rsidRDefault="00C425E0" w:rsidP="00C425E0">
      <w:pPr>
        <w:pStyle w:val="Dotpoint1"/>
        <w:numPr>
          <w:ilvl w:val="0"/>
          <w:numId w:val="8"/>
        </w:numPr>
        <w:ind w:left="1418" w:hanging="709"/>
      </w:pPr>
      <w:r w:rsidRPr="00A46198">
        <w:t>making other technical changes.</w:t>
      </w:r>
    </w:p>
    <w:p w14:paraId="456A5144" w14:textId="77777777" w:rsidR="00873094" w:rsidRPr="00A46198" w:rsidRDefault="00873094" w:rsidP="00873094">
      <w:pPr>
        <w:pStyle w:val="Heading2"/>
        <w:numPr>
          <w:ilvl w:val="1"/>
          <w:numId w:val="2"/>
        </w:numPr>
        <w:tabs>
          <w:tab w:val="num" w:pos="567"/>
        </w:tabs>
        <w:ind w:left="567" w:hanging="567"/>
      </w:pPr>
      <w:r w:rsidRPr="00A46198">
        <w:lastRenderedPageBreak/>
        <w:t>Detailed explanation of new law</w:t>
      </w:r>
    </w:p>
    <w:p w14:paraId="18308DC7" w14:textId="2D7C41C9" w:rsidR="00A84574" w:rsidRPr="00A46198" w:rsidRDefault="00A84574" w:rsidP="00B22946">
      <w:pPr>
        <w:pStyle w:val="Heading3"/>
      </w:pPr>
      <w:r w:rsidRPr="00A46198">
        <w:t>Part 1 – Amendments commencing day after Royal Assent</w:t>
      </w:r>
    </w:p>
    <w:p w14:paraId="585B122B" w14:textId="46EE8591" w:rsidR="002B5522" w:rsidRPr="00A46198" w:rsidRDefault="002B5522" w:rsidP="00A46198">
      <w:pPr>
        <w:pStyle w:val="Heading7"/>
      </w:pPr>
      <w:r w:rsidRPr="00A46198">
        <w:t>[MTA (</w:t>
      </w:r>
      <w:r w:rsidR="00F129DB" w:rsidRPr="00A46198">
        <w:t>Term "Auditor" missing from various provisions of the Corporations Act</w:t>
      </w:r>
      <w:r w:rsidRPr="00A46198">
        <w:t>)]</w:t>
      </w:r>
    </w:p>
    <w:p w14:paraId="7F69077F" w14:textId="2A899C86" w:rsidR="00A84574" w:rsidRPr="00A46198" w:rsidRDefault="00B22946" w:rsidP="007A1DD9">
      <w:pPr>
        <w:pStyle w:val="Heading4"/>
      </w:pPr>
      <w:r w:rsidRPr="00A46198">
        <w:t xml:space="preserve">Division 1 – </w:t>
      </w:r>
      <w:r w:rsidR="00601301" w:rsidRPr="00A46198">
        <w:t>Audit firm’s and audit company’s rotation obligations</w:t>
      </w:r>
    </w:p>
    <w:p w14:paraId="34CB469F" w14:textId="3BE6FACE" w:rsidR="00A96E26" w:rsidRPr="00A46198" w:rsidRDefault="00D54FFD" w:rsidP="00873094">
      <w:pPr>
        <w:pStyle w:val="Normalparatextwithnumbers"/>
        <w:numPr>
          <w:ilvl w:val="1"/>
          <w:numId w:val="3"/>
        </w:numPr>
      </w:pPr>
      <w:r w:rsidRPr="00A46198">
        <w:t xml:space="preserve">Division 1 of Part 1 of Schedule </w:t>
      </w:r>
      <w:r w:rsidR="00532C7D" w:rsidRPr="00A46198">
        <w:t>#</w:t>
      </w:r>
      <w:r w:rsidRPr="00A46198">
        <w:t xml:space="preserve"> to the Bill </w:t>
      </w:r>
      <w:r w:rsidR="002553B5" w:rsidRPr="00A46198">
        <w:t>make</w:t>
      </w:r>
      <w:r w:rsidRPr="00A46198">
        <w:t>s</w:t>
      </w:r>
      <w:r w:rsidR="002553B5" w:rsidRPr="00A46198">
        <w:t xml:space="preserve"> editorial</w:t>
      </w:r>
      <w:r w:rsidR="00DA0760" w:rsidRPr="00A46198">
        <w:t xml:space="preserve"> </w:t>
      </w:r>
      <w:r w:rsidRPr="00A46198">
        <w:t xml:space="preserve">amendments </w:t>
      </w:r>
      <w:r w:rsidR="002553B5" w:rsidRPr="00A46198">
        <w:t>to</w:t>
      </w:r>
      <w:r w:rsidR="00DA0760" w:rsidRPr="00A46198">
        <w:t xml:space="preserve"> provisions relating to superannuation entity auditing requirements in the Corporations Act. </w:t>
      </w:r>
    </w:p>
    <w:p w14:paraId="10DE1DC8" w14:textId="0DBA3EAB" w:rsidR="00CB11D0" w:rsidRPr="00A46198" w:rsidRDefault="005073F4" w:rsidP="00873094">
      <w:pPr>
        <w:pStyle w:val="Normalparatextwithnumbers"/>
        <w:numPr>
          <w:ilvl w:val="1"/>
          <w:numId w:val="3"/>
        </w:numPr>
      </w:pPr>
      <w:r w:rsidRPr="00A46198">
        <w:t>The amendments insert</w:t>
      </w:r>
      <w:r w:rsidR="00CB3195" w:rsidRPr="00A46198">
        <w:t xml:space="preserve"> the word ‘auditor’ into </w:t>
      </w:r>
      <w:r w:rsidR="009963A9" w:rsidRPr="00A46198">
        <w:t xml:space="preserve">paragraphs 324DC(1)(a), 324DC(2)(a), 324DD(1)(a), </w:t>
      </w:r>
      <w:r w:rsidR="007901FE" w:rsidRPr="00A46198">
        <w:t>324DD(2)(a) and 324DD(3)(a).</w:t>
      </w:r>
      <w:r w:rsidR="009963A9" w:rsidRPr="00A46198">
        <w:t xml:space="preserve"> The word ‘auditor’ was </w:t>
      </w:r>
      <w:r w:rsidR="00F878EE" w:rsidRPr="00A46198">
        <w:t xml:space="preserve">inadvertently </w:t>
      </w:r>
      <w:r w:rsidR="009963A9" w:rsidRPr="00A46198">
        <w:t>omitted from these provisions when drafted.</w:t>
      </w:r>
      <w:r w:rsidR="009963A9" w:rsidRPr="00A46198">
        <w:br/>
      </w:r>
      <w:r w:rsidR="009963A9" w:rsidRPr="00A46198">
        <w:rPr>
          <w:rStyle w:val="References"/>
        </w:rPr>
        <w:t xml:space="preserve">[Schedule </w:t>
      </w:r>
      <w:r w:rsidR="00532C7D" w:rsidRPr="00A46198">
        <w:rPr>
          <w:rStyle w:val="References"/>
        </w:rPr>
        <w:t>#</w:t>
      </w:r>
      <w:r w:rsidR="009963A9" w:rsidRPr="00A46198">
        <w:rPr>
          <w:rStyle w:val="References"/>
        </w:rPr>
        <w:t xml:space="preserve">, items </w:t>
      </w:r>
      <w:r w:rsidR="00672604" w:rsidRPr="00A46198">
        <w:rPr>
          <w:rStyle w:val="References"/>
        </w:rPr>
        <w:t xml:space="preserve">1 to </w:t>
      </w:r>
      <w:r w:rsidR="009C44C9" w:rsidRPr="00A46198">
        <w:rPr>
          <w:rStyle w:val="References"/>
        </w:rPr>
        <w:t>5</w:t>
      </w:r>
      <w:r w:rsidR="009963A9" w:rsidRPr="00A46198">
        <w:rPr>
          <w:rStyle w:val="References"/>
        </w:rPr>
        <w:t xml:space="preserve">, </w:t>
      </w:r>
      <w:r w:rsidR="00672604" w:rsidRPr="00A46198">
        <w:rPr>
          <w:rStyle w:val="References"/>
        </w:rPr>
        <w:t>paragraphs 324DC(1)(a), 324DC(</w:t>
      </w:r>
      <w:r w:rsidR="004429AA" w:rsidRPr="00A46198">
        <w:rPr>
          <w:rStyle w:val="References"/>
        </w:rPr>
        <w:t>2</w:t>
      </w:r>
      <w:r w:rsidR="00672604" w:rsidRPr="00A46198">
        <w:rPr>
          <w:rStyle w:val="References"/>
        </w:rPr>
        <w:t>)(</w:t>
      </w:r>
      <w:r w:rsidR="004429AA" w:rsidRPr="00A46198">
        <w:rPr>
          <w:rStyle w:val="References"/>
        </w:rPr>
        <w:t>a</w:t>
      </w:r>
      <w:r w:rsidR="00672604" w:rsidRPr="00A46198">
        <w:rPr>
          <w:rStyle w:val="References"/>
        </w:rPr>
        <w:t xml:space="preserve">), </w:t>
      </w:r>
      <w:r w:rsidR="004429AA" w:rsidRPr="00A46198">
        <w:rPr>
          <w:rStyle w:val="References"/>
        </w:rPr>
        <w:t>324DD(1)(a), 324DD(2)(a)</w:t>
      </w:r>
      <w:r w:rsidR="00DD4E06" w:rsidRPr="00A46198">
        <w:rPr>
          <w:rStyle w:val="References"/>
        </w:rPr>
        <w:t>, 324DD(3)(a)</w:t>
      </w:r>
      <w:r w:rsidR="009963A9" w:rsidRPr="00A46198">
        <w:rPr>
          <w:rStyle w:val="References"/>
        </w:rPr>
        <w:t xml:space="preserve"> of </w:t>
      </w:r>
      <w:r w:rsidR="009B0004" w:rsidRPr="00A46198">
        <w:rPr>
          <w:rStyle w:val="References"/>
        </w:rPr>
        <w:t>the Corporations Act 2001</w:t>
      </w:r>
      <w:r w:rsidR="009963A9" w:rsidRPr="00A46198">
        <w:rPr>
          <w:rStyle w:val="References"/>
        </w:rPr>
        <w:t xml:space="preserve">] </w:t>
      </w:r>
    </w:p>
    <w:p w14:paraId="1744CBF1" w14:textId="37FC3CD4" w:rsidR="00B22946" w:rsidRPr="00A46198" w:rsidRDefault="00CB3195" w:rsidP="00873094">
      <w:pPr>
        <w:pStyle w:val="Normalparatextwithnumbers"/>
        <w:numPr>
          <w:ilvl w:val="1"/>
          <w:numId w:val="3"/>
        </w:numPr>
      </w:pPr>
      <w:r w:rsidRPr="00A46198">
        <w:t>The amendments also insert a</w:t>
      </w:r>
      <w:r w:rsidR="00DA0760" w:rsidRPr="00A46198">
        <w:t xml:space="preserve"> comma in Schedule 3 in the table item dealing with subsections 322(1), (1A), (2) and (2A).</w:t>
      </w:r>
      <w:r w:rsidR="00DA0760" w:rsidRPr="00A46198">
        <w:br/>
      </w:r>
      <w:r w:rsidR="00DA0760" w:rsidRPr="00A46198">
        <w:rPr>
          <w:rStyle w:val="References"/>
        </w:rPr>
        <w:t xml:space="preserve">[Schedule </w:t>
      </w:r>
      <w:r w:rsidR="00532C7D" w:rsidRPr="00A46198">
        <w:rPr>
          <w:rStyle w:val="References"/>
        </w:rPr>
        <w:t>#</w:t>
      </w:r>
      <w:r w:rsidR="00DA0760" w:rsidRPr="00A46198">
        <w:rPr>
          <w:rStyle w:val="References"/>
        </w:rPr>
        <w:t xml:space="preserve">, item </w:t>
      </w:r>
      <w:r w:rsidR="009C44C9" w:rsidRPr="00A46198">
        <w:rPr>
          <w:rStyle w:val="References"/>
        </w:rPr>
        <w:t>6</w:t>
      </w:r>
      <w:r w:rsidR="00DA0760" w:rsidRPr="00A46198">
        <w:rPr>
          <w:rStyle w:val="References"/>
        </w:rPr>
        <w:t xml:space="preserve">, </w:t>
      </w:r>
      <w:r w:rsidR="009C44C9" w:rsidRPr="00A46198">
        <w:rPr>
          <w:rStyle w:val="References"/>
        </w:rPr>
        <w:t>Schedule 3 (table item dealing with subsections 322(1), (1A)</w:t>
      </w:r>
      <w:r w:rsidR="007560E7" w:rsidRPr="00A46198">
        <w:rPr>
          <w:rStyle w:val="References"/>
        </w:rPr>
        <w:t>, (2) and (2A), column headed “Provision”)</w:t>
      </w:r>
      <w:r w:rsidR="00BF2C02" w:rsidRPr="00A46198">
        <w:rPr>
          <w:rStyle w:val="References"/>
        </w:rPr>
        <w:t xml:space="preserve"> </w:t>
      </w:r>
      <w:r w:rsidR="007560E7" w:rsidRPr="00A46198">
        <w:rPr>
          <w:rStyle w:val="References"/>
        </w:rPr>
        <w:t>to</w:t>
      </w:r>
      <w:r w:rsidR="00BF2C02" w:rsidRPr="00A46198">
        <w:rPr>
          <w:rStyle w:val="References"/>
        </w:rPr>
        <w:t xml:space="preserve"> the Corporations Act</w:t>
      </w:r>
      <w:r w:rsidR="00DA0760" w:rsidRPr="00A46198">
        <w:rPr>
          <w:rStyle w:val="References"/>
        </w:rPr>
        <w:t xml:space="preserve">] </w:t>
      </w:r>
    </w:p>
    <w:p w14:paraId="57342D38" w14:textId="77777777" w:rsidR="00F61134" w:rsidRPr="00A46198" w:rsidRDefault="00F61134" w:rsidP="002B5522">
      <w:pPr>
        <w:pStyle w:val="Normalparatextnonumbers"/>
      </w:pPr>
    </w:p>
    <w:p w14:paraId="5CB7231E" w14:textId="348920BF" w:rsidR="002B5522" w:rsidRPr="00A46198" w:rsidRDefault="002B5522" w:rsidP="00A46198">
      <w:pPr>
        <w:pStyle w:val="Heading7"/>
      </w:pPr>
      <w:r w:rsidRPr="00A46198">
        <w:t xml:space="preserve">[MTA </w:t>
      </w:r>
      <w:r w:rsidR="00F129DB" w:rsidRPr="00A46198">
        <w:t>(</w:t>
      </w:r>
      <w:r w:rsidR="00F902F8" w:rsidRPr="00A46198">
        <w:t>Insolvency safe harbour review recommendations</w:t>
      </w:r>
      <w:r w:rsidR="00F129DB" w:rsidRPr="00A46198">
        <w:t>)</w:t>
      </w:r>
      <w:r w:rsidRPr="00A46198">
        <w:t>]</w:t>
      </w:r>
    </w:p>
    <w:p w14:paraId="3052FF4D" w14:textId="1136F8A7" w:rsidR="00B22946" w:rsidRPr="00A46198" w:rsidRDefault="00B22946" w:rsidP="00455C55">
      <w:pPr>
        <w:pStyle w:val="Heading4"/>
      </w:pPr>
      <w:r w:rsidRPr="00A46198">
        <w:t xml:space="preserve">Division 2 </w:t>
      </w:r>
      <w:r w:rsidR="00455C55" w:rsidRPr="00A46198">
        <w:t>–</w:t>
      </w:r>
      <w:r w:rsidRPr="00A46198">
        <w:t xml:space="preserve"> </w:t>
      </w:r>
      <w:r w:rsidR="00455C55" w:rsidRPr="00A46198">
        <w:t>Insolvency safe harbour</w:t>
      </w:r>
    </w:p>
    <w:p w14:paraId="2E26F416" w14:textId="1F7DA08B" w:rsidR="00974508" w:rsidRPr="00A46198" w:rsidRDefault="716CB4FC" w:rsidP="003F2847">
      <w:pPr>
        <w:pStyle w:val="Normalparatextwithnumbers"/>
        <w:rPr>
          <w:rFonts w:eastAsia="Times New Roman" w:cs="Times New Roman"/>
        </w:rPr>
      </w:pPr>
      <w:bookmarkStart w:id="43" w:name="_Toc78193246"/>
      <w:bookmarkStart w:id="44" w:name="_Toc78193403"/>
      <w:bookmarkStart w:id="45" w:name="_Toc78548476"/>
      <w:bookmarkStart w:id="46" w:name="_Toc78549747"/>
      <w:bookmarkStart w:id="47" w:name="_Toc78549791"/>
      <w:bookmarkStart w:id="48" w:name="_Hlk83390738"/>
      <w:r w:rsidRPr="00A46198">
        <w:rPr>
          <w:rFonts w:eastAsia="Times New Roman" w:cs="Times New Roman"/>
        </w:rPr>
        <w:t xml:space="preserve">Directors of a company have a duty to prevent the company from trading whilst insolvent. Section 588G of the </w:t>
      </w:r>
      <w:r w:rsidR="003F2847" w:rsidRPr="00A46198">
        <w:rPr>
          <w:rFonts w:eastAsia="Times New Roman" w:cs="Times New Roman"/>
        </w:rPr>
        <w:t>Corporations</w:t>
      </w:r>
      <w:r w:rsidRPr="00A46198">
        <w:rPr>
          <w:rFonts w:eastAsia="Times New Roman" w:cs="Times New Roman"/>
        </w:rPr>
        <w:t xml:space="preserve"> Act states a director has a duty to prevent a company from incurring a debt when that company is insolvent, or when the director should reasonably suspect that the company is insolvent or would become insolvent as a result of the transaction. </w:t>
      </w:r>
    </w:p>
    <w:p w14:paraId="72FD82D8" w14:textId="5182E45A" w:rsidR="716CB4FC" w:rsidRPr="00A46198" w:rsidRDefault="716CB4FC" w:rsidP="003F2847">
      <w:pPr>
        <w:pStyle w:val="Normalparatextwithnumbers"/>
        <w:rPr>
          <w:rFonts w:eastAsia="Times New Roman" w:cs="Times New Roman"/>
        </w:rPr>
      </w:pPr>
      <w:r w:rsidRPr="00A46198">
        <w:rPr>
          <w:rFonts w:eastAsia="Times New Roman" w:cs="Times New Roman"/>
        </w:rPr>
        <w:t xml:space="preserve">Section 588GA provides a safe harbour which shields a director from a breach of this duty in certain circumstances. The safe harbour is designed to enable directors, who are beginning to suspect their company is or may become insolvent, to pursue a restructure or other course of action that is likely to deliver a better outcome for the company than proceeding immediately to voluntary administration or winding up. </w:t>
      </w:r>
    </w:p>
    <w:p w14:paraId="21C3E12C" w14:textId="433F98AB" w:rsidR="003F2847" w:rsidRPr="00A46198" w:rsidRDefault="716CB4FC" w:rsidP="003F2847">
      <w:pPr>
        <w:pStyle w:val="Normalparatextwithnumbers"/>
      </w:pPr>
      <w:r w:rsidRPr="00A46198">
        <w:rPr>
          <w:rFonts w:eastAsia="Times New Roman" w:cs="Times New Roman"/>
        </w:rPr>
        <w:t xml:space="preserve">Section 588HA requires an independent review to examine and report on the operation of the safe harbour for directors as soon as practicable 2 years after the commencement of the safe harbour. </w:t>
      </w:r>
      <w:r w:rsidR="00BB69A9" w:rsidRPr="00A46198">
        <w:rPr>
          <w:rFonts w:eastAsia="Times New Roman" w:cs="Times New Roman"/>
        </w:rPr>
        <w:t xml:space="preserve">Under that </w:t>
      </w:r>
      <w:r w:rsidRPr="00A46198">
        <w:rPr>
          <w:rFonts w:eastAsia="Times New Roman" w:cs="Times New Roman"/>
        </w:rPr>
        <w:t xml:space="preserve">independent review of the insolvent trading safe harbour </w:t>
      </w:r>
      <w:r w:rsidR="00BB69A9" w:rsidRPr="00A46198">
        <w:rPr>
          <w:rFonts w:eastAsia="Times New Roman" w:cs="Times New Roman"/>
        </w:rPr>
        <w:t>which occurred</w:t>
      </w:r>
      <w:r w:rsidRPr="00A46198">
        <w:rPr>
          <w:rFonts w:eastAsia="Times New Roman" w:cs="Times New Roman"/>
        </w:rPr>
        <w:t xml:space="preserve"> in 2021</w:t>
      </w:r>
      <w:r w:rsidR="00BB69A9" w:rsidRPr="00A46198">
        <w:rPr>
          <w:rFonts w:eastAsia="Times New Roman" w:cs="Times New Roman"/>
        </w:rPr>
        <w:t>, t</w:t>
      </w:r>
      <w:r w:rsidRPr="00A46198">
        <w:rPr>
          <w:rFonts w:eastAsia="Times New Roman" w:cs="Times New Roman"/>
        </w:rPr>
        <w:t xml:space="preserve">he Review Panel made </w:t>
      </w:r>
      <w:r w:rsidRPr="00A46198">
        <w:rPr>
          <w:rFonts w:eastAsia="Times New Roman" w:cs="Times New Roman"/>
        </w:rPr>
        <w:lastRenderedPageBreak/>
        <w:t>14 recommendations</w:t>
      </w:r>
      <w:r w:rsidR="00BB69A9" w:rsidRPr="00A46198">
        <w:rPr>
          <w:rFonts w:eastAsia="Times New Roman" w:cs="Times New Roman"/>
        </w:rPr>
        <w:t>. O</w:t>
      </w:r>
      <w:r w:rsidRPr="00A46198">
        <w:rPr>
          <w:rFonts w:eastAsia="Times New Roman" w:cs="Times New Roman"/>
        </w:rPr>
        <w:t>f th</w:t>
      </w:r>
      <w:r w:rsidR="00BB69A9" w:rsidRPr="00A46198">
        <w:rPr>
          <w:rFonts w:eastAsia="Times New Roman" w:cs="Times New Roman"/>
        </w:rPr>
        <w:t>o</w:t>
      </w:r>
      <w:r w:rsidRPr="00A46198">
        <w:rPr>
          <w:rFonts w:eastAsia="Times New Roman" w:cs="Times New Roman"/>
        </w:rPr>
        <w:t>se</w:t>
      </w:r>
      <w:r w:rsidR="00BB69A9" w:rsidRPr="00A46198">
        <w:rPr>
          <w:rFonts w:eastAsia="Times New Roman" w:cs="Times New Roman"/>
        </w:rPr>
        <w:t xml:space="preserve"> </w:t>
      </w:r>
      <w:r w:rsidR="00812A1E" w:rsidRPr="00A46198">
        <w:rPr>
          <w:rFonts w:eastAsia="Times New Roman" w:cs="Times New Roman"/>
        </w:rPr>
        <w:t>recommendations</w:t>
      </w:r>
      <w:r w:rsidRPr="00A46198">
        <w:rPr>
          <w:rFonts w:eastAsia="Times New Roman" w:cs="Times New Roman"/>
        </w:rPr>
        <w:t xml:space="preserve">, </w:t>
      </w:r>
      <w:r w:rsidR="003F2847" w:rsidRPr="00A46198">
        <w:t>Division 2 of Part 1 of Schedule # to the Bill implements recommendations 3, 6</w:t>
      </w:r>
      <w:r w:rsidR="00BB69A9" w:rsidRPr="00A46198">
        <w:t>,</w:t>
      </w:r>
      <w:r w:rsidR="003F2847" w:rsidRPr="00A46198">
        <w:t xml:space="preserve"> 8 and 9. </w:t>
      </w:r>
    </w:p>
    <w:p w14:paraId="37D70037" w14:textId="327A3BD0" w:rsidR="716CB4FC" w:rsidRPr="00A46198" w:rsidRDefault="716CB4FC" w:rsidP="003F2847">
      <w:pPr>
        <w:pStyle w:val="Normalparatextwithnumbers"/>
        <w:numPr>
          <w:ilvl w:val="0"/>
          <w:numId w:val="0"/>
        </w:numPr>
        <w:ind w:left="709"/>
        <w:rPr>
          <w:rFonts w:eastAsia="Times New Roman" w:cs="Times New Roman"/>
          <w:i/>
        </w:rPr>
      </w:pPr>
      <w:r w:rsidRPr="00A46198">
        <w:rPr>
          <w:rFonts w:eastAsia="Times New Roman" w:cs="Times New Roman"/>
          <w:i/>
        </w:rPr>
        <w:t>Recommendation 3</w:t>
      </w:r>
    </w:p>
    <w:p w14:paraId="1064D142" w14:textId="1F37064A" w:rsidR="716CB4FC" w:rsidRPr="00A46198" w:rsidRDefault="716CB4FC" w:rsidP="003F2847">
      <w:pPr>
        <w:pStyle w:val="Normalparatextwithnumbers"/>
        <w:rPr>
          <w:rFonts w:eastAsia="Times New Roman" w:cs="Times New Roman"/>
          <w:b/>
          <w:i/>
        </w:rPr>
      </w:pPr>
      <w:r w:rsidRPr="00A46198">
        <w:rPr>
          <w:rFonts w:eastAsia="Times New Roman" w:cs="Times New Roman"/>
        </w:rPr>
        <w:t xml:space="preserve">A director of a company is not liable for a civil penalty for failing to prevent the company from incurring a debt while insolvent, if the debt is incurred ‘directly or indirectly in connection’ with a course of action that is reasonably likely to lead to a better outcome for the company. </w:t>
      </w:r>
      <w:r w:rsidR="00BB69A9" w:rsidRPr="00A46198">
        <w:rPr>
          <w:rFonts w:eastAsia="Times New Roman" w:cs="Times New Roman"/>
        </w:rPr>
        <w:t>The amendments</w:t>
      </w:r>
      <w:r w:rsidRPr="00A46198">
        <w:rPr>
          <w:rFonts w:eastAsia="Times New Roman" w:cs="Times New Roman"/>
        </w:rPr>
        <w:t xml:space="preserve"> that this includes ordinary trade debts incurred in the usual course of business. This amendment, which implements Recommendation 3, provides clarification to directors and is consistent with the language used in the Insolvent Trading Moratorium in section 588GAAA of the Corporations Act. </w:t>
      </w:r>
      <w:r w:rsidRPr="00A46198">
        <w:br/>
      </w:r>
      <w:r w:rsidRPr="00A46198">
        <w:rPr>
          <w:rFonts w:eastAsia="Times New Roman" w:cs="Times New Roman"/>
          <w:b/>
          <w:i/>
        </w:rPr>
        <w:t xml:space="preserve">[Schedule </w:t>
      </w:r>
      <w:r w:rsidR="0045567B" w:rsidRPr="00A46198">
        <w:rPr>
          <w:rFonts w:eastAsia="Times New Roman" w:cs="Times New Roman"/>
          <w:b/>
          <w:i/>
        </w:rPr>
        <w:t>#</w:t>
      </w:r>
      <w:r w:rsidRPr="00A46198">
        <w:rPr>
          <w:rFonts w:eastAsia="Times New Roman" w:cs="Times New Roman"/>
          <w:b/>
          <w:i/>
        </w:rPr>
        <w:t xml:space="preserve">, item </w:t>
      </w:r>
      <w:r w:rsidR="0045567B" w:rsidRPr="00A46198">
        <w:rPr>
          <w:rFonts w:eastAsia="Times New Roman" w:cs="Times New Roman"/>
          <w:b/>
          <w:i/>
        </w:rPr>
        <w:t>8</w:t>
      </w:r>
      <w:r w:rsidRPr="00A46198">
        <w:rPr>
          <w:rFonts w:eastAsia="Times New Roman" w:cs="Times New Roman"/>
          <w:b/>
          <w:i/>
        </w:rPr>
        <w:t xml:space="preserve">, paragraph 588GA(1)(b) of the Corporations Act] </w:t>
      </w:r>
    </w:p>
    <w:p w14:paraId="2682EDDA" w14:textId="74351931" w:rsidR="716CB4FC" w:rsidRPr="00A46198" w:rsidRDefault="716CB4FC" w:rsidP="00812A1E">
      <w:pPr>
        <w:pStyle w:val="Normalparatextwithnumbers"/>
        <w:numPr>
          <w:ilvl w:val="0"/>
          <w:numId w:val="0"/>
        </w:numPr>
        <w:ind w:left="709"/>
        <w:rPr>
          <w:rFonts w:eastAsia="Times New Roman" w:cs="Times New Roman"/>
          <w:i/>
        </w:rPr>
      </w:pPr>
      <w:r w:rsidRPr="00A46198">
        <w:rPr>
          <w:rFonts w:eastAsia="Times New Roman" w:cs="Times New Roman"/>
          <w:i/>
        </w:rPr>
        <w:t>Recommendation 6</w:t>
      </w:r>
    </w:p>
    <w:p w14:paraId="3E9A4EAF" w14:textId="1419A036" w:rsidR="716CB4FC" w:rsidRPr="00A46198" w:rsidRDefault="000F1E1F" w:rsidP="00F61642">
      <w:pPr>
        <w:pStyle w:val="Normalparatextwithnumbers"/>
        <w:rPr>
          <w:b/>
          <w:i/>
        </w:rPr>
      </w:pPr>
      <w:r w:rsidRPr="00A46198">
        <w:t>To implement Recommendation 6, amendments are made to t</w:t>
      </w:r>
      <w:r w:rsidR="716CB4FC" w:rsidRPr="00A46198">
        <w:t xml:space="preserve">he definition of </w:t>
      </w:r>
      <w:r w:rsidRPr="00A46198">
        <w:t>‘</w:t>
      </w:r>
      <w:r w:rsidR="716CB4FC" w:rsidRPr="00A46198">
        <w:rPr>
          <w:bCs/>
          <w:iCs/>
        </w:rPr>
        <w:t>restructuring</w:t>
      </w:r>
      <w:r w:rsidRPr="00A46198">
        <w:rPr>
          <w:bCs/>
          <w:iCs/>
        </w:rPr>
        <w:t>’</w:t>
      </w:r>
      <w:r w:rsidR="716CB4FC" w:rsidRPr="00A46198">
        <w:t xml:space="preserve"> in section 9 of the Corporations Act to specify that the definition does not apply in paragraph 588GA(2)(e). The section 9 term is defined by reference to concepts which only apply for certain small business companies under Part 5.3B of the Corporations Act</w:t>
      </w:r>
      <w:r w:rsidR="00BB69A9" w:rsidRPr="00A46198">
        <w:t xml:space="preserve">. </w:t>
      </w:r>
      <w:r w:rsidR="00EC35BC" w:rsidRPr="00A46198">
        <w:t>The</w:t>
      </w:r>
      <w:r w:rsidR="716CB4FC" w:rsidRPr="00A46198">
        <w:t xml:space="preserve"> definition of ‘restructuring’ </w:t>
      </w:r>
      <w:r w:rsidR="00BB69A9" w:rsidRPr="00A46198">
        <w:t>prior to the amendments was</w:t>
      </w:r>
      <w:r w:rsidR="716CB4FC" w:rsidRPr="00A46198">
        <w:t xml:space="preserve"> not appropriate in the context of paragraph 588GA(2)(e). </w:t>
      </w:r>
      <w:r w:rsidR="716CB4FC" w:rsidRPr="00A46198">
        <w:br/>
      </w:r>
      <w:r w:rsidR="716CB4FC" w:rsidRPr="00A46198">
        <w:rPr>
          <w:b/>
          <w:i/>
        </w:rPr>
        <w:t xml:space="preserve">[Schedule </w:t>
      </w:r>
      <w:r w:rsidR="0045567B" w:rsidRPr="00A46198">
        <w:rPr>
          <w:b/>
          <w:i/>
        </w:rPr>
        <w:t>#</w:t>
      </w:r>
      <w:r w:rsidR="716CB4FC" w:rsidRPr="00A46198">
        <w:rPr>
          <w:b/>
          <w:i/>
        </w:rPr>
        <w:t xml:space="preserve">, item </w:t>
      </w:r>
      <w:r w:rsidR="0045567B" w:rsidRPr="00A46198">
        <w:rPr>
          <w:b/>
          <w:i/>
        </w:rPr>
        <w:t>7</w:t>
      </w:r>
      <w:r w:rsidR="716CB4FC" w:rsidRPr="00A46198">
        <w:rPr>
          <w:b/>
          <w:i/>
        </w:rPr>
        <w:t>, section 9 (definition of ‘restructuring’ in section 9 of the Corporations Act]</w:t>
      </w:r>
    </w:p>
    <w:p w14:paraId="7F4997CE" w14:textId="18296C24" w:rsidR="716CB4FC" w:rsidRPr="00A46198" w:rsidRDefault="716CB4FC" w:rsidP="00812A1E">
      <w:pPr>
        <w:pStyle w:val="Normalparatextwithnumbers"/>
        <w:numPr>
          <w:ilvl w:val="0"/>
          <w:numId w:val="0"/>
        </w:numPr>
        <w:ind w:left="709"/>
        <w:rPr>
          <w:rFonts w:eastAsia="Times New Roman" w:cs="Times New Roman"/>
          <w:i/>
        </w:rPr>
      </w:pPr>
      <w:r w:rsidRPr="00A46198">
        <w:rPr>
          <w:rFonts w:eastAsia="Times New Roman" w:cs="Times New Roman"/>
          <w:i/>
        </w:rPr>
        <w:t>Recommendation 8</w:t>
      </w:r>
    </w:p>
    <w:p w14:paraId="700DCE40" w14:textId="4A41B027" w:rsidR="716CB4FC" w:rsidRPr="00A46198" w:rsidRDefault="001F5C41" w:rsidP="00812A1E">
      <w:pPr>
        <w:pStyle w:val="Normalparatextwithnumbers"/>
        <w:rPr>
          <w:rFonts w:eastAsia="Times New Roman" w:cs="Times New Roman"/>
          <w:b/>
          <w:i/>
        </w:rPr>
      </w:pPr>
      <w:r w:rsidRPr="00A46198">
        <w:rPr>
          <w:rFonts w:eastAsia="Times New Roman" w:cs="Times New Roman"/>
        </w:rPr>
        <w:t xml:space="preserve">To implement Recommendation 8, </w:t>
      </w:r>
      <w:r w:rsidR="000F1E1F" w:rsidRPr="00A46198">
        <w:rPr>
          <w:rFonts w:eastAsia="Times New Roman" w:cs="Times New Roman"/>
        </w:rPr>
        <w:t>amendments are made to</w:t>
      </w:r>
      <w:r w:rsidR="716CB4FC" w:rsidRPr="00A46198">
        <w:rPr>
          <w:rFonts w:eastAsia="Times New Roman" w:cs="Times New Roman"/>
        </w:rPr>
        <w:t xml:space="preserve"> subsection 588</w:t>
      </w:r>
      <w:proofErr w:type="gramStart"/>
      <w:r w:rsidR="716CB4FC" w:rsidRPr="00A46198">
        <w:rPr>
          <w:rFonts w:eastAsia="Times New Roman" w:cs="Times New Roman"/>
        </w:rPr>
        <w:t>GA(</w:t>
      </w:r>
      <w:proofErr w:type="gramEnd"/>
      <w:r w:rsidR="716CB4FC" w:rsidRPr="00A46198">
        <w:rPr>
          <w:rFonts w:eastAsia="Times New Roman" w:cs="Times New Roman"/>
        </w:rPr>
        <w:t>2) of the Corporations Act to expressly cover circumstances where advice is being sought from an appropriately qualified advisor by the company itself, rather than the company’s director. This clarifies the situation where it is unclear whether advice was provided to a director or company.</w:t>
      </w:r>
      <w:r w:rsidR="716CB4FC" w:rsidRPr="00A46198">
        <w:br/>
      </w:r>
      <w:r w:rsidR="716CB4FC" w:rsidRPr="00A46198">
        <w:rPr>
          <w:rFonts w:eastAsia="Times New Roman" w:cs="Times New Roman"/>
          <w:b/>
          <w:i/>
        </w:rPr>
        <w:t xml:space="preserve">[Schedule </w:t>
      </w:r>
      <w:r w:rsidR="0045567B" w:rsidRPr="00A46198">
        <w:rPr>
          <w:rFonts w:eastAsia="Times New Roman" w:cs="Times New Roman"/>
          <w:b/>
          <w:i/>
        </w:rPr>
        <w:t>#</w:t>
      </w:r>
      <w:r w:rsidR="716CB4FC" w:rsidRPr="00A46198">
        <w:rPr>
          <w:rFonts w:eastAsia="Times New Roman" w:cs="Times New Roman"/>
          <w:b/>
          <w:i/>
        </w:rPr>
        <w:t xml:space="preserve">, items </w:t>
      </w:r>
      <w:r w:rsidR="00BC1114" w:rsidRPr="00A46198">
        <w:rPr>
          <w:b/>
          <w:i/>
        </w:rPr>
        <w:t>9</w:t>
      </w:r>
      <w:r w:rsidR="716CB4FC" w:rsidRPr="00A46198">
        <w:rPr>
          <w:b/>
          <w:i/>
        </w:rPr>
        <w:t xml:space="preserve">, </w:t>
      </w:r>
      <w:r w:rsidR="00BC1114" w:rsidRPr="00A46198">
        <w:rPr>
          <w:b/>
          <w:i/>
        </w:rPr>
        <w:t>10</w:t>
      </w:r>
      <w:r w:rsidR="716CB4FC" w:rsidRPr="00A46198">
        <w:rPr>
          <w:b/>
          <w:i/>
        </w:rPr>
        <w:t xml:space="preserve">, </w:t>
      </w:r>
      <w:r w:rsidR="00BC1114" w:rsidRPr="00A46198">
        <w:rPr>
          <w:b/>
          <w:i/>
        </w:rPr>
        <w:t>11</w:t>
      </w:r>
      <w:r w:rsidR="716CB4FC" w:rsidRPr="00A46198">
        <w:rPr>
          <w:b/>
          <w:i/>
        </w:rPr>
        <w:t xml:space="preserve">, </w:t>
      </w:r>
      <w:r w:rsidR="00BC1114" w:rsidRPr="00A46198">
        <w:rPr>
          <w:b/>
          <w:i/>
        </w:rPr>
        <w:t>12</w:t>
      </w:r>
      <w:r w:rsidR="716CB4FC" w:rsidRPr="00A46198">
        <w:rPr>
          <w:rFonts w:eastAsia="Times New Roman" w:cs="Times New Roman"/>
          <w:b/>
          <w:i/>
        </w:rPr>
        <w:t xml:space="preserve">, and </w:t>
      </w:r>
      <w:r w:rsidR="00BC1114" w:rsidRPr="00A46198">
        <w:rPr>
          <w:b/>
          <w:i/>
        </w:rPr>
        <w:t>13</w:t>
      </w:r>
      <w:r w:rsidR="716CB4FC" w:rsidRPr="00A46198">
        <w:rPr>
          <w:rFonts w:eastAsia="Times New Roman" w:cs="Times New Roman"/>
          <w:b/>
          <w:i/>
        </w:rPr>
        <w:t>, subsection 588</w:t>
      </w:r>
      <w:proofErr w:type="gramStart"/>
      <w:r w:rsidR="716CB4FC" w:rsidRPr="00A46198">
        <w:rPr>
          <w:rFonts w:eastAsia="Times New Roman" w:cs="Times New Roman"/>
          <w:b/>
          <w:i/>
        </w:rPr>
        <w:t>GA(</w:t>
      </w:r>
      <w:proofErr w:type="gramEnd"/>
      <w:r w:rsidR="716CB4FC" w:rsidRPr="00A46198">
        <w:rPr>
          <w:rFonts w:eastAsia="Times New Roman" w:cs="Times New Roman"/>
          <w:b/>
          <w:i/>
        </w:rPr>
        <w:t xml:space="preserve">2) of the Corporations Act] </w:t>
      </w:r>
    </w:p>
    <w:p w14:paraId="31F4A972" w14:textId="674B2A0A" w:rsidR="716CB4FC" w:rsidRPr="00A46198" w:rsidRDefault="716CB4FC" w:rsidP="00812A1E">
      <w:pPr>
        <w:pStyle w:val="Normalparatextwithnumbers"/>
        <w:numPr>
          <w:ilvl w:val="0"/>
          <w:numId w:val="0"/>
        </w:numPr>
        <w:ind w:left="709"/>
        <w:rPr>
          <w:rFonts w:eastAsia="Times New Roman" w:cs="Times New Roman"/>
          <w:i/>
        </w:rPr>
      </w:pPr>
      <w:r w:rsidRPr="00A46198">
        <w:rPr>
          <w:rFonts w:eastAsia="Times New Roman" w:cs="Times New Roman"/>
          <w:i/>
        </w:rPr>
        <w:t>Recommendation 9</w:t>
      </w:r>
    </w:p>
    <w:p w14:paraId="162AA726" w14:textId="69B8D594" w:rsidR="716CB4FC" w:rsidRPr="00A46198" w:rsidRDefault="00297900" w:rsidP="00812A1E">
      <w:pPr>
        <w:pStyle w:val="Normalparatextwithnumbers"/>
      </w:pPr>
      <w:r w:rsidRPr="00A46198">
        <w:t xml:space="preserve">To implement </w:t>
      </w:r>
      <w:r w:rsidR="716CB4FC" w:rsidRPr="00A46198">
        <w:t>Recommendation 9</w:t>
      </w:r>
      <w:r w:rsidRPr="00A46198">
        <w:t xml:space="preserve">, </w:t>
      </w:r>
      <w:r w:rsidR="716CB4FC" w:rsidRPr="00A46198">
        <w:t xml:space="preserve">the </w:t>
      </w:r>
      <w:r w:rsidRPr="00A46198">
        <w:t>amendments</w:t>
      </w:r>
      <w:r w:rsidR="716CB4FC" w:rsidRPr="00A46198">
        <w:t xml:space="preserve"> align the wording of subparagraph 588GA(4)(a)(</w:t>
      </w:r>
      <w:proofErr w:type="spellStart"/>
      <w:r w:rsidR="716CB4FC" w:rsidRPr="00A46198">
        <w:t>i</w:t>
      </w:r>
      <w:proofErr w:type="spellEnd"/>
      <w:r w:rsidR="716CB4FC" w:rsidRPr="00A46198">
        <w:t xml:space="preserve">), which relates to </w:t>
      </w:r>
      <w:r w:rsidR="006929F3" w:rsidRPr="00A46198">
        <w:t>payment</w:t>
      </w:r>
      <w:r w:rsidR="716CB4FC" w:rsidRPr="00A46198">
        <w:t xml:space="preserve"> of employee entitlements, with that in the employee entitlement safeguard in Regulation 5.3B.24</w:t>
      </w:r>
      <w:r w:rsidRPr="00A46198">
        <w:t xml:space="preserve"> of the Corporations Regulations</w:t>
      </w:r>
      <w:r w:rsidR="716CB4FC" w:rsidRPr="00A46198">
        <w:t xml:space="preserve">. </w:t>
      </w:r>
      <w:r w:rsidRPr="00A46198">
        <w:t>Under the amendments,</w:t>
      </w:r>
      <w:r w:rsidR="716CB4FC" w:rsidRPr="00A46198">
        <w:t xml:space="preserve"> the term ‘by the time they fall due’ </w:t>
      </w:r>
      <w:r w:rsidRPr="00A46198">
        <w:t>is updated</w:t>
      </w:r>
      <w:r w:rsidR="716CB4FC" w:rsidRPr="00A46198">
        <w:t xml:space="preserve"> to ‘that are payable’. </w:t>
      </w:r>
      <w:r w:rsidR="009451CC" w:rsidRPr="00A46198">
        <w:t xml:space="preserve">As per </w:t>
      </w:r>
      <w:r w:rsidR="716CB4FC" w:rsidRPr="00A46198">
        <w:t xml:space="preserve">the </w:t>
      </w:r>
      <w:r w:rsidR="009451CC" w:rsidRPr="00A46198">
        <w:t>recommendation,</w:t>
      </w:r>
      <w:r w:rsidR="716CB4FC" w:rsidRPr="00A46198">
        <w:t xml:space="preserve"> the </w:t>
      </w:r>
      <w:r w:rsidR="00267903" w:rsidRPr="00A46198">
        <w:t xml:space="preserve">amendments align the drafting between </w:t>
      </w:r>
      <w:r w:rsidR="004A1414" w:rsidRPr="00A46198">
        <w:t>the primary</w:t>
      </w:r>
      <w:r w:rsidR="716CB4FC" w:rsidRPr="00A46198">
        <w:t xml:space="preserve"> and </w:t>
      </w:r>
      <w:r w:rsidR="004A1414" w:rsidRPr="00A46198">
        <w:t>subordinate legislation</w:t>
      </w:r>
      <w:r w:rsidR="009451CC" w:rsidRPr="00A46198">
        <w:t>.</w:t>
      </w:r>
      <w:r w:rsidR="006F2DBA" w:rsidRPr="00A46198">
        <w:t xml:space="preserve"> There is no intention to alter the </w:t>
      </w:r>
      <w:r w:rsidR="007F17AF" w:rsidRPr="00A46198">
        <w:t>operation of the law under these amendments.</w:t>
      </w:r>
      <w:r w:rsidR="716CB4FC" w:rsidRPr="00A46198">
        <w:br/>
      </w:r>
      <w:r w:rsidR="716CB4FC" w:rsidRPr="00A46198">
        <w:rPr>
          <w:rStyle w:val="References"/>
        </w:rPr>
        <w:t xml:space="preserve">[Schedule </w:t>
      </w:r>
      <w:r w:rsidR="00BE3026" w:rsidRPr="00A46198">
        <w:rPr>
          <w:rStyle w:val="References"/>
        </w:rPr>
        <w:t>#</w:t>
      </w:r>
      <w:r w:rsidR="716CB4FC" w:rsidRPr="00A46198">
        <w:rPr>
          <w:rStyle w:val="References"/>
        </w:rPr>
        <w:t xml:space="preserve">, item </w:t>
      </w:r>
      <w:r w:rsidR="006F2DBA" w:rsidRPr="00A46198">
        <w:rPr>
          <w:rStyle w:val="References"/>
        </w:rPr>
        <w:t>14</w:t>
      </w:r>
      <w:r w:rsidR="716CB4FC" w:rsidRPr="00A46198">
        <w:rPr>
          <w:rStyle w:val="References"/>
        </w:rPr>
        <w:t xml:space="preserve">, subparagraph </w:t>
      </w:r>
      <w:r w:rsidR="00E13B4A" w:rsidRPr="00A46198">
        <w:rPr>
          <w:rStyle w:val="References"/>
        </w:rPr>
        <w:t>588GA(4)(a)(</w:t>
      </w:r>
      <w:proofErr w:type="spellStart"/>
      <w:r w:rsidR="00E13B4A" w:rsidRPr="00A46198">
        <w:rPr>
          <w:rStyle w:val="References"/>
        </w:rPr>
        <w:t>i</w:t>
      </w:r>
      <w:proofErr w:type="spellEnd"/>
      <w:r w:rsidR="00E13B4A" w:rsidRPr="00A46198">
        <w:rPr>
          <w:rStyle w:val="References"/>
        </w:rPr>
        <w:t>) of the Corporations Act</w:t>
      </w:r>
      <w:r w:rsidR="00A20270" w:rsidRPr="00A46198">
        <w:rPr>
          <w:rStyle w:val="References"/>
        </w:rPr>
        <w:t xml:space="preserve">] </w:t>
      </w:r>
    </w:p>
    <w:p w14:paraId="4EDF6957" w14:textId="77777777" w:rsidR="00F61134" w:rsidRPr="00A46198" w:rsidRDefault="00F61134" w:rsidP="00662678">
      <w:pPr>
        <w:pStyle w:val="Normalparatextnonumbers"/>
      </w:pPr>
    </w:p>
    <w:p w14:paraId="5D03A2FC" w14:textId="5D311463" w:rsidR="00662678" w:rsidRPr="00A46198" w:rsidRDefault="00662678" w:rsidP="00A46198">
      <w:pPr>
        <w:pStyle w:val="Heading7"/>
      </w:pPr>
      <w:r w:rsidRPr="00A46198">
        <w:lastRenderedPageBreak/>
        <w:t>[MTA (</w:t>
      </w:r>
      <w:r w:rsidR="001F627D">
        <w:t>C</w:t>
      </w:r>
      <w:r w:rsidR="003634E5" w:rsidRPr="00A46198">
        <w:t>onsequential amendment of TLAB1 2023</w:t>
      </w:r>
      <w:r w:rsidRPr="00A46198">
        <w:t>)]</w:t>
      </w:r>
    </w:p>
    <w:p w14:paraId="2ED036FE" w14:textId="6D83D039" w:rsidR="00D9353E" w:rsidRPr="00A46198" w:rsidRDefault="00D9353E" w:rsidP="00495763">
      <w:pPr>
        <w:pStyle w:val="Heading4"/>
      </w:pPr>
      <w:r w:rsidRPr="00A46198">
        <w:t>Division 3 – Financial services law</w:t>
      </w:r>
    </w:p>
    <w:p w14:paraId="13D3E307" w14:textId="111CF978" w:rsidR="002651A7" w:rsidRPr="00A46198" w:rsidRDefault="00D54FFD" w:rsidP="00FE1EA6">
      <w:pPr>
        <w:pStyle w:val="Normalparatextwithnumbers"/>
      </w:pPr>
      <w:r w:rsidRPr="00A46198">
        <w:t xml:space="preserve">Division 3 of Part 1 of Schedule 1 to the Bill </w:t>
      </w:r>
      <w:r w:rsidR="007E5FE4" w:rsidRPr="00A46198">
        <w:t xml:space="preserve">makes </w:t>
      </w:r>
      <w:r w:rsidR="00E17D9B" w:rsidRPr="00A46198">
        <w:t xml:space="preserve">minor </w:t>
      </w:r>
      <w:r w:rsidR="007E5FE4" w:rsidRPr="00A46198">
        <w:t xml:space="preserve">consequential </w:t>
      </w:r>
      <w:r w:rsidR="00E17D9B" w:rsidRPr="00A46198">
        <w:t>amendments</w:t>
      </w:r>
      <w:r w:rsidR="007E5FE4" w:rsidRPr="00A46198">
        <w:t xml:space="preserve"> in support of </w:t>
      </w:r>
      <w:r w:rsidR="00E17D9B" w:rsidRPr="00A46198">
        <w:t>the</w:t>
      </w:r>
      <w:r w:rsidR="002651A7" w:rsidRPr="00A46198">
        <w:t xml:space="preserve"> </w:t>
      </w:r>
      <w:r w:rsidR="002651A7" w:rsidRPr="00A46198">
        <w:rPr>
          <w:i/>
        </w:rPr>
        <w:t>Treasury Laws Amendment (2023 Law Improvement Package No.</w:t>
      </w:r>
      <w:r w:rsidR="00A20174" w:rsidRPr="00A46198">
        <w:rPr>
          <w:i/>
        </w:rPr>
        <w:t> </w:t>
      </w:r>
      <w:r w:rsidR="002651A7" w:rsidRPr="00A46198">
        <w:rPr>
          <w:i/>
        </w:rPr>
        <w:t>1</w:t>
      </w:r>
      <w:r w:rsidR="009B2246" w:rsidRPr="00A46198">
        <w:rPr>
          <w:i/>
        </w:rPr>
        <w:t>)</w:t>
      </w:r>
      <w:r w:rsidR="002651A7" w:rsidRPr="00A46198">
        <w:rPr>
          <w:i/>
        </w:rPr>
        <w:t xml:space="preserve"> </w:t>
      </w:r>
      <w:r w:rsidR="009B2246" w:rsidRPr="00A46198">
        <w:rPr>
          <w:i/>
        </w:rPr>
        <w:t xml:space="preserve">Act </w:t>
      </w:r>
      <w:r w:rsidR="002651A7" w:rsidRPr="00A46198">
        <w:rPr>
          <w:i/>
        </w:rPr>
        <w:t>2023</w:t>
      </w:r>
      <w:r w:rsidR="00E17D9B" w:rsidRPr="00A46198">
        <w:rPr>
          <w:iCs/>
        </w:rPr>
        <w:t>. The amendments in that Act</w:t>
      </w:r>
      <w:r w:rsidR="002651A7" w:rsidRPr="00A46198">
        <w:t xml:space="preserve"> </w:t>
      </w:r>
      <w:r w:rsidR="00A93F9B" w:rsidRPr="00A46198">
        <w:t>renumber</w:t>
      </w:r>
      <w:r w:rsidR="009B2246" w:rsidRPr="00A46198">
        <w:t>ed</w:t>
      </w:r>
      <w:r w:rsidR="0089691B" w:rsidRPr="00A46198">
        <w:t xml:space="preserve"> the </w:t>
      </w:r>
      <w:r w:rsidR="00A93F9B" w:rsidRPr="00A46198">
        <w:t xml:space="preserve">paragraphs contained in the </w:t>
      </w:r>
      <w:r w:rsidR="0089691B" w:rsidRPr="00A46198">
        <w:t>definition of</w:t>
      </w:r>
      <w:r w:rsidR="002651A7" w:rsidRPr="00A46198">
        <w:t xml:space="preserve"> ‘financial services law’ in the </w:t>
      </w:r>
      <w:r w:rsidR="0089691B" w:rsidRPr="00A46198">
        <w:t xml:space="preserve">Corporation </w:t>
      </w:r>
      <w:r w:rsidR="002651A7" w:rsidRPr="00A46198">
        <w:t xml:space="preserve">Act. </w:t>
      </w:r>
    </w:p>
    <w:p w14:paraId="42B94182" w14:textId="2434993C" w:rsidR="002651A7" w:rsidRPr="00A46198" w:rsidRDefault="00A20174" w:rsidP="00FE1EA6">
      <w:pPr>
        <w:pStyle w:val="Normalparatextwithnumbers"/>
      </w:pPr>
      <w:r w:rsidRPr="00A46198">
        <w:t>P</w:t>
      </w:r>
      <w:r w:rsidR="002651A7" w:rsidRPr="00A46198">
        <w:t>aragraphs 912D(3)(b</w:t>
      </w:r>
      <w:r w:rsidR="00B93134" w:rsidRPr="00A46198">
        <w:t>) to (</w:t>
      </w:r>
      <w:r w:rsidR="002651A7" w:rsidRPr="00A46198">
        <w:t xml:space="preserve">e) and </w:t>
      </w:r>
      <w:r w:rsidRPr="00A46198">
        <w:t>sub</w:t>
      </w:r>
      <w:r w:rsidR="002651A7" w:rsidRPr="00A46198">
        <w:t xml:space="preserve">paragraph 915B(3)(ca)(ii) of the </w:t>
      </w:r>
      <w:r w:rsidR="004A7420" w:rsidRPr="00A46198">
        <w:t xml:space="preserve">Corporations </w:t>
      </w:r>
      <w:r w:rsidR="002651A7" w:rsidRPr="00A46198">
        <w:t xml:space="preserve">Act reference paragraphs in the definition of financial services law. </w:t>
      </w:r>
      <w:r w:rsidR="008B7884" w:rsidRPr="00A46198">
        <w:rPr>
          <w:iCs/>
        </w:rPr>
        <w:t xml:space="preserve">The </w:t>
      </w:r>
      <w:r w:rsidR="008B7884" w:rsidRPr="00A46198">
        <w:rPr>
          <w:i/>
        </w:rPr>
        <w:t>Treasury Laws Amendment (2023 Law Improvement Package No. 1</w:t>
      </w:r>
      <w:r w:rsidR="009B2246" w:rsidRPr="00A46198">
        <w:rPr>
          <w:i/>
        </w:rPr>
        <w:t>)</w:t>
      </w:r>
      <w:r w:rsidR="008B7884" w:rsidRPr="00A46198">
        <w:rPr>
          <w:i/>
        </w:rPr>
        <w:t xml:space="preserve"> </w:t>
      </w:r>
      <w:r w:rsidR="009B2246" w:rsidRPr="00A46198">
        <w:rPr>
          <w:i/>
        </w:rPr>
        <w:t>Act</w:t>
      </w:r>
      <w:r w:rsidR="008B7884" w:rsidRPr="00A46198">
        <w:rPr>
          <w:i/>
        </w:rPr>
        <w:t xml:space="preserve"> 2023</w:t>
      </w:r>
      <w:r w:rsidR="008B7884" w:rsidRPr="00A46198">
        <w:t xml:space="preserve"> </w:t>
      </w:r>
      <w:r w:rsidR="00B567A5" w:rsidRPr="00A46198">
        <w:t>did</w:t>
      </w:r>
      <w:r w:rsidR="008B7884" w:rsidRPr="00A46198">
        <w:t xml:space="preserve"> not </w:t>
      </w:r>
      <w:r w:rsidR="00B567A5" w:rsidRPr="00A46198">
        <w:t xml:space="preserve">make consequential amendments to </w:t>
      </w:r>
      <w:r w:rsidR="008B7884" w:rsidRPr="00A46198">
        <w:t xml:space="preserve">align </w:t>
      </w:r>
      <w:r w:rsidR="00B567A5" w:rsidRPr="00A46198">
        <w:t>the relevant provisions</w:t>
      </w:r>
      <w:r w:rsidR="008B7884" w:rsidRPr="00A46198">
        <w:t xml:space="preserve"> with the renumbered definition of financial services </w:t>
      </w:r>
      <w:proofErr w:type="gramStart"/>
      <w:r w:rsidR="008B7884" w:rsidRPr="00A46198">
        <w:t>law.</w:t>
      </w:r>
      <w:r w:rsidR="002651A7" w:rsidRPr="00A46198">
        <w:t>.</w:t>
      </w:r>
      <w:proofErr w:type="gramEnd"/>
    </w:p>
    <w:p w14:paraId="5812FA62" w14:textId="1C73FD8B" w:rsidR="002651A7" w:rsidRPr="00A46198" w:rsidRDefault="002651A7" w:rsidP="00FE1EA6">
      <w:pPr>
        <w:pStyle w:val="Normalparatextwithnumbers"/>
      </w:pPr>
      <w:r w:rsidRPr="00A46198">
        <w:t>The amendment</w:t>
      </w:r>
      <w:r w:rsidR="00B93134" w:rsidRPr="00A46198">
        <w:t>s</w:t>
      </w:r>
      <w:r w:rsidRPr="00A46198">
        <w:t xml:space="preserve"> update paragraphs 912D(3)(b) to (e) and paragraph 915B(3)(ca)(ii) so that they refer to the correct and updated paragraphs in section 761 of the Corporations</w:t>
      </w:r>
      <w:r w:rsidR="00B567A5" w:rsidRPr="00A46198">
        <w:t> </w:t>
      </w:r>
      <w:r w:rsidRPr="00A46198">
        <w:t xml:space="preserve">Act. </w:t>
      </w:r>
      <w:r w:rsidR="00D0101E" w:rsidRPr="00A46198">
        <w:br/>
      </w:r>
      <w:r w:rsidR="00D0101E" w:rsidRPr="00A46198">
        <w:rPr>
          <w:rStyle w:val="References"/>
        </w:rPr>
        <w:t xml:space="preserve">[Schedule </w:t>
      </w:r>
      <w:r w:rsidR="000516B5" w:rsidRPr="00A46198">
        <w:rPr>
          <w:rStyle w:val="References"/>
        </w:rPr>
        <w:t>#</w:t>
      </w:r>
      <w:r w:rsidR="00D0101E" w:rsidRPr="00A46198">
        <w:rPr>
          <w:rStyle w:val="References"/>
        </w:rPr>
        <w:t xml:space="preserve">, items </w:t>
      </w:r>
      <w:r w:rsidR="0037005F" w:rsidRPr="00A46198">
        <w:rPr>
          <w:rStyle w:val="References"/>
        </w:rPr>
        <w:t>15 to 19</w:t>
      </w:r>
      <w:r w:rsidR="00D0101E" w:rsidRPr="00A46198">
        <w:rPr>
          <w:rStyle w:val="References"/>
        </w:rPr>
        <w:t xml:space="preserve">, </w:t>
      </w:r>
      <w:r w:rsidR="00305BB4" w:rsidRPr="00A46198">
        <w:rPr>
          <w:rStyle w:val="References"/>
        </w:rPr>
        <w:t>paragraphs 912D(3)(b) to (e), subparagraph 915B(3)(ca)(ii)</w:t>
      </w:r>
      <w:r w:rsidR="00D0101E" w:rsidRPr="00A46198">
        <w:rPr>
          <w:rStyle w:val="References"/>
        </w:rPr>
        <w:t xml:space="preserve"> of </w:t>
      </w:r>
      <w:r w:rsidR="001E3C16" w:rsidRPr="00A46198">
        <w:rPr>
          <w:rStyle w:val="References"/>
        </w:rPr>
        <w:t>the Corporations Act</w:t>
      </w:r>
      <w:r w:rsidR="00D0101E" w:rsidRPr="00A46198">
        <w:rPr>
          <w:rStyle w:val="References"/>
        </w:rPr>
        <w:t xml:space="preserve">] </w:t>
      </w:r>
    </w:p>
    <w:p w14:paraId="093612B3" w14:textId="77777777" w:rsidR="00F61134" w:rsidRPr="00A46198" w:rsidRDefault="00F61134" w:rsidP="003634E5">
      <w:pPr>
        <w:pStyle w:val="Normalparatextnonumbers"/>
      </w:pPr>
    </w:p>
    <w:p w14:paraId="60CC72B7" w14:textId="3022BBEE" w:rsidR="003634E5" w:rsidRPr="00A46198" w:rsidRDefault="003634E5" w:rsidP="00A46198">
      <w:pPr>
        <w:pStyle w:val="Heading7"/>
      </w:pPr>
      <w:r w:rsidRPr="00A46198">
        <w:t>[MTA (</w:t>
      </w:r>
      <w:r w:rsidR="00F61134" w:rsidRPr="00A46198">
        <w:t>Financial reporting and auditing requirements for superannuation</w:t>
      </w:r>
      <w:r w:rsidRPr="00A46198">
        <w:t>)]</w:t>
      </w:r>
    </w:p>
    <w:p w14:paraId="6F114634" w14:textId="1778BD4D" w:rsidR="006D39C6" w:rsidRPr="00A46198" w:rsidRDefault="006D39C6" w:rsidP="00495763">
      <w:pPr>
        <w:pStyle w:val="Heading4"/>
      </w:pPr>
      <w:r w:rsidRPr="00A46198">
        <w:t>Division 4 – Correcting duplicated section number</w:t>
      </w:r>
    </w:p>
    <w:p w14:paraId="564A5FF6" w14:textId="78DFD186" w:rsidR="00F411CB" w:rsidRPr="00A46198" w:rsidRDefault="00E17D9B" w:rsidP="00FE1EA6">
      <w:pPr>
        <w:pStyle w:val="Normalparatextwithnumbers"/>
      </w:pPr>
      <w:r w:rsidRPr="00A46198">
        <w:t xml:space="preserve">Division 4 of Part 1 of Schedule 1 to the Bill rectifies the duplication of </w:t>
      </w:r>
      <w:r w:rsidR="00B43981" w:rsidRPr="00A46198">
        <w:t>a legislative reference in the Corporations Act.</w:t>
      </w:r>
      <w:r w:rsidRPr="00A46198">
        <w:t xml:space="preserve"> </w:t>
      </w:r>
      <w:r w:rsidR="00D41F65" w:rsidRPr="00A46198">
        <w:t xml:space="preserve">The </w:t>
      </w:r>
      <w:r w:rsidR="00D41F65" w:rsidRPr="00A46198">
        <w:rPr>
          <w:i/>
          <w:iCs/>
        </w:rPr>
        <w:t>Treasury Laws Amendment (2022 Measures No. 4) Act 2023</w:t>
      </w:r>
      <w:r w:rsidR="00D41F65" w:rsidRPr="00A46198">
        <w:t xml:space="preserve"> inserted </w:t>
      </w:r>
      <w:r w:rsidR="00161739" w:rsidRPr="00A46198">
        <w:t xml:space="preserve">a new </w:t>
      </w:r>
      <w:r w:rsidR="00EA0B1B" w:rsidRPr="00A46198">
        <w:t xml:space="preserve">section 1684 into </w:t>
      </w:r>
      <w:r w:rsidR="00D639F5" w:rsidRPr="00A46198">
        <w:t xml:space="preserve">Part 10.58 of the Corporations Act. However, </w:t>
      </w:r>
      <w:r w:rsidR="0084653B" w:rsidRPr="00A46198">
        <w:t xml:space="preserve">Part 10.57 of </w:t>
      </w:r>
      <w:r w:rsidR="00642846" w:rsidRPr="00A46198">
        <w:t xml:space="preserve">the Corporations Act already </w:t>
      </w:r>
      <w:r w:rsidR="0084653B" w:rsidRPr="00A46198">
        <w:t>contains</w:t>
      </w:r>
      <w:r w:rsidR="00642846" w:rsidRPr="00A46198">
        <w:t xml:space="preserve"> a section 1684. </w:t>
      </w:r>
      <w:r w:rsidR="00EA0B1B" w:rsidRPr="00A46198">
        <w:t xml:space="preserve"> </w:t>
      </w:r>
    </w:p>
    <w:p w14:paraId="47571B58" w14:textId="223B682F" w:rsidR="006D39C6" w:rsidRPr="00A46198" w:rsidRDefault="007C4910" w:rsidP="00FE1EA6">
      <w:pPr>
        <w:pStyle w:val="Normalparatextwithnumbers"/>
      </w:pPr>
      <w:r w:rsidRPr="00A46198">
        <w:t>The amendment</w:t>
      </w:r>
      <w:r w:rsidR="007267DB" w:rsidRPr="00A46198" w:rsidDel="00F411CB">
        <w:t xml:space="preserve"> </w:t>
      </w:r>
      <w:r w:rsidR="007267DB" w:rsidRPr="00A46198">
        <w:t xml:space="preserve">renumbers section 1684 </w:t>
      </w:r>
      <w:r w:rsidR="001F2853" w:rsidRPr="00A46198">
        <w:t>in Part 10.58 of the Corporations Act</w:t>
      </w:r>
      <w:r w:rsidR="007267DB" w:rsidRPr="00A46198">
        <w:t xml:space="preserve"> as section 1685</w:t>
      </w:r>
      <w:r w:rsidR="00834D32" w:rsidRPr="00A46198">
        <w:t xml:space="preserve"> </w:t>
      </w:r>
      <w:r w:rsidR="00622308" w:rsidRPr="00A46198">
        <w:t>to remove this duplication</w:t>
      </w:r>
      <w:r w:rsidR="00B567A5" w:rsidRPr="00A46198">
        <w:t xml:space="preserve"> in referencing</w:t>
      </w:r>
      <w:r w:rsidR="007267DB" w:rsidRPr="00A46198">
        <w:t>.</w:t>
      </w:r>
      <w:r w:rsidR="001E3C16" w:rsidRPr="00A46198">
        <w:br/>
      </w:r>
      <w:r w:rsidR="001E3C16" w:rsidRPr="00A46198">
        <w:rPr>
          <w:rStyle w:val="References"/>
        </w:rPr>
        <w:t xml:space="preserve">[Schedule </w:t>
      </w:r>
      <w:r w:rsidR="000516B5" w:rsidRPr="00A46198">
        <w:rPr>
          <w:rStyle w:val="References"/>
        </w:rPr>
        <w:t>#</w:t>
      </w:r>
      <w:r w:rsidR="001E3C16" w:rsidRPr="00A46198">
        <w:rPr>
          <w:rStyle w:val="References"/>
        </w:rPr>
        <w:t xml:space="preserve">, item </w:t>
      </w:r>
      <w:r w:rsidR="008B7DEE" w:rsidRPr="00A46198">
        <w:rPr>
          <w:rStyle w:val="References"/>
        </w:rPr>
        <w:t>20</w:t>
      </w:r>
      <w:r w:rsidR="001E3C16" w:rsidRPr="00A46198">
        <w:rPr>
          <w:rStyle w:val="References"/>
        </w:rPr>
        <w:t xml:space="preserve">, </w:t>
      </w:r>
      <w:r w:rsidR="00FB0275" w:rsidRPr="00A46198">
        <w:rPr>
          <w:rStyle w:val="References"/>
        </w:rPr>
        <w:t>section 1684 (the section 1684 inserted by item 176 of Schedule 6 to the Treasury Laws Amendment (2022 Measures No. 4) Act 2023)</w:t>
      </w:r>
      <w:r w:rsidR="001E3C16" w:rsidRPr="00A46198">
        <w:rPr>
          <w:rStyle w:val="References"/>
        </w:rPr>
        <w:t xml:space="preserve"> of </w:t>
      </w:r>
      <w:r w:rsidR="00FB0275" w:rsidRPr="00A46198">
        <w:rPr>
          <w:rStyle w:val="References"/>
        </w:rPr>
        <w:t>the Corporations Act</w:t>
      </w:r>
      <w:r w:rsidR="001E3C16" w:rsidRPr="00A46198">
        <w:rPr>
          <w:rStyle w:val="References"/>
        </w:rPr>
        <w:t xml:space="preserve">] </w:t>
      </w:r>
    </w:p>
    <w:p w14:paraId="7A2AEEBD" w14:textId="77777777" w:rsidR="00F61134" w:rsidRPr="00A46198" w:rsidRDefault="00F61134" w:rsidP="002D7B09">
      <w:pPr>
        <w:pStyle w:val="Normalparatextnonumbers"/>
      </w:pPr>
    </w:p>
    <w:p w14:paraId="5FABEEF5" w14:textId="2F17C687" w:rsidR="002D7B09" w:rsidRPr="00A46198" w:rsidRDefault="002D7B09" w:rsidP="00A46198">
      <w:pPr>
        <w:pStyle w:val="Heading7"/>
      </w:pPr>
      <w:r w:rsidRPr="00A46198">
        <w:t xml:space="preserve">[MTA </w:t>
      </w:r>
      <w:r w:rsidR="00982EA2" w:rsidRPr="00A46198">
        <w:t>580 (Successor fund transfers and continuation of insurance)</w:t>
      </w:r>
      <w:r w:rsidRPr="00A46198">
        <w:t>]</w:t>
      </w:r>
    </w:p>
    <w:p w14:paraId="3B156AAA" w14:textId="6F7AED97" w:rsidR="007267DB" w:rsidRPr="00A46198" w:rsidRDefault="00752571" w:rsidP="00495763">
      <w:pPr>
        <w:pStyle w:val="Heading4"/>
      </w:pPr>
      <w:r w:rsidRPr="00A46198">
        <w:t>Division 5 – Benefits provided by taking out insurance</w:t>
      </w:r>
    </w:p>
    <w:p w14:paraId="4A46239F" w14:textId="5D0471C9" w:rsidR="00BA39C2" w:rsidRPr="00A46198" w:rsidRDefault="00BA39C2" w:rsidP="00B80A1C">
      <w:pPr>
        <w:pStyle w:val="Normalparatextwithnumbers"/>
      </w:pPr>
      <w:r w:rsidRPr="00A46198">
        <w:t xml:space="preserve">Division </w:t>
      </w:r>
      <w:r w:rsidR="00585C8E" w:rsidRPr="00A46198">
        <w:t>5</w:t>
      </w:r>
      <w:r w:rsidRPr="00A46198">
        <w:t xml:space="preserve"> of Part 1 </w:t>
      </w:r>
      <w:r w:rsidR="00532C7D" w:rsidRPr="00A46198">
        <w:t xml:space="preserve">of Schedule </w:t>
      </w:r>
      <w:r w:rsidR="00B6297B" w:rsidRPr="00A46198">
        <w:t>#</w:t>
      </w:r>
      <w:r w:rsidR="00532C7D" w:rsidRPr="00A46198">
        <w:t xml:space="preserve"> to the Bill</w:t>
      </w:r>
      <w:r w:rsidRPr="00A46198">
        <w:t xml:space="preserve"> amends sections 68AAB and 68AAC of the SIS Act to ensure all members of regulated superannuation funds can automatically maintain their insurance following a successor fund transfer.</w:t>
      </w:r>
    </w:p>
    <w:p w14:paraId="75BF77E7" w14:textId="77777777" w:rsidR="00B80A1C" w:rsidRPr="00A46198" w:rsidRDefault="00BA39C2" w:rsidP="00B80A1C">
      <w:pPr>
        <w:pStyle w:val="Normalparatextwithnumbers"/>
      </w:pPr>
      <w:r w:rsidRPr="00A46198">
        <w:lastRenderedPageBreak/>
        <w:t xml:space="preserve">Under the SIS Act, regulated superannuation funds are prevented from automatically providing insurance to members that do not satisfy the minimum age and balance requirements, unless those members make an election to receive insurance. </w:t>
      </w:r>
    </w:p>
    <w:p w14:paraId="197E3752" w14:textId="2F0ADE23" w:rsidR="00752571" w:rsidRPr="00A46198" w:rsidRDefault="00BA39C2" w:rsidP="00B80A1C">
      <w:pPr>
        <w:pStyle w:val="Normalparatextwithnumbers"/>
      </w:pPr>
      <w:r w:rsidRPr="00A46198">
        <w:t xml:space="preserve">These amendments ensure members who were not required to make an election in the original fund, but </w:t>
      </w:r>
      <w:r w:rsidR="004F4D9F" w:rsidRPr="00A46198">
        <w:t xml:space="preserve">also </w:t>
      </w:r>
      <w:r w:rsidRPr="00A46198">
        <w:t>do not satisfy the requirements to automatically receive insurance in the successor fund, are able to continue receiving insurance without making an election.</w:t>
      </w:r>
      <w:r w:rsidR="005C0E29" w:rsidRPr="00A46198">
        <w:br/>
      </w:r>
      <w:r w:rsidR="005C0E29" w:rsidRPr="00A46198">
        <w:rPr>
          <w:rStyle w:val="References"/>
        </w:rPr>
        <w:t xml:space="preserve">[Schedule </w:t>
      </w:r>
      <w:r w:rsidR="00E2096D" w:rsidRPr="00A46198">
        <w:rPr>
          <w:rStyle w:val="References"/>
        </w:rPr>
        <w:t>#</w:t>
      </w:r>
      <w:r w:rsidR="005C0E29" w:rsidRPr="00A46198">
        <w:rPr>
          <w:rStyle w:val="References"/>
        </w:rPr>
        <w:t xml:space="preserve">, items </w:t>
      </w:r>
      <w:r w:rsidR="00E33B6B" w:rsidRPr="00A46198">
        <w:rPr>
          <w:rStyle w:val="References"/>
        </w:rPr>
        <w:t>21</w:t>
      </w:r>
      <w:r w:rsidR="00E2096D" w:rsidRPr="00A46198">
        <w:rPr>
          <w:rStyle w:val="References"/>
        </w:rPr>
        <w:t>, 22 and</w:t>
      </w:r>
      <w:r w:rsidR="00E33B6B" w:rsidRPr="00A46198">
        <w:rPr>
          <w:rStyle w:val="References"/>
        </w:rPr>
        <w:t xml:space="preserve"> 23</w:t>
      </w:r>
      <w:r w:rsidR="005C0E29" w:rsidRPr="00A46198">
        <w:rPr>
          <w:rStyle w:val="References"/>
        </w:rPr>
        <w:t xml:space="preserve">, </w:t>
      </w:r>
      <w:r w:rsidR="00E33B6B" w:rsidRPr="00A46198">
        <w:rPr>
          <w:rStyle w:val="References"/>
        </w:rPr>
        <w:t xml:space="preserve">subsections </w:t>
      </w:r>
      <w:r w:rsidR="00E92C00" w:rsidRPr="00A46198">
        <w:rPr>
          <w:rStyle w:val="References"/>
        </w:rPr>
        <w:t>68AAB(3</w:t>
      </w:r>
      <w:r w:rsidR="00BD1C9D" w:rsidRPr="00A46198">
        <w:rPr>
          <w:rStyle w:val="References"/>
        </w:rPr>
        <w:t>B</w:t>
      </w:r>
      <w:r w:rsidR="00E92C00" w:rsidRPr="00A46198">
        <w:rPr>
          <w:rStyle w:val="References"/>
        </w:rPr>
        <w:t>)</w:t>
      </w:r>
      <w:r w:rsidR="006F7013" w:rsidRPr="00A46198">
        <w:rPr>
          <w:rStyle w:val="References"/>
        </w:rPr>
        <w:t xml:space="preserve">, </w:t>
      </w:r>
      <w:r w:rsidR="00B512B7" w:rsidRPr="00A46198">
        <w:rPr>
          <w:rStyle w:val="References"/>
        </w:rPr>
        <w:t>68AAB(3C), 68AA</w:t>
      </w:r>
      <w:r w:rsidR="00AE1C88" w:rsidRPr="00A46198">
        <w:rPr>
          <w:rStyle w:val="References"/>
        </w:rPr>
        <w:t>C(3B</w:t>
      </w:r>
      <w:r w:rsidR="00E92C00" w:rsidRPr="00A46198">
        <w:rPr>
          <w:rStyle w:val="References"/>
        </w:rPr>
        <w:t>) and 68AAC(3</w:t>
      </w:r>
      <w:r w:rsidR="00927316" w:rsidRPr="00A46198">
        <w:rPr>
          <w:rStyle w:val="References"/>
        </w:rPr>
        <w:t>C</w:t>
      </w:r>
      <w:r w:rsidR="00E92C00" w:rsidRPr="00A46198">
        <w:rPr>
          <w:rStyle w:val="References"/>
        </w:rPr>
        <w:t>)</w:t>
      </w:r>
      <w:r w:rsidR="005C0E29" w:rsidRPr="00A46198">
        <w:rPr>
          <w:rStyle w:val="References"/>
        </w:rPr>
        <w:t xml:space="preserve"> of </w:t>
      </w:r>
      <w:r w:rsidR="00E92C00" w:rsidRPr="00A46198">
        <w:rPr>
          <w:rStyle w:val="References"/>
        </w:rPr>
        <w:t xml:space="preserve">the </w:t>
      </w:r>
      <w:r w:rsidR="00AE1C88" w:rsidRPr="00A46198">
        <w:rPr>
          <w:rStyle w:val="References"/>
        </w:rPr>
        <w:t>SIS Act</w:t>
      </w:r>
      <w:r w:rsidR="005C0E29" w:rsidRPr="00A46198">
        <w:rPr>
          <w:rStyle w:val="References"/>
        </w:rPr>
        <w:t xml:space="preserve">] </w:t>
      </w:r>
    </w:p>
    <w:p w14:paraId="362C97EF" w14:textId="77777777" w:rsidR="00F61134" w:rsidRPr="00A46198" w:rsidRDefault="00F61134" w:rsidP="00D51C83">
      <w:pPr>
        <w:pStyle w:val="Normalparatextnonumbers"/>
      </w:pPr>
    </w:p>
    <w:p w14:paraId="4710F47D" w14:textId="57856FD6" w:rsidR="00D51C83" w:rsidRPr="00A46198" w:rsidRDefault="00D51C83" w:rsidP="00A46198">
      <w:pPr>
        <w:pStyle w:val="Heading7"/>
      </w:pPr>
      <w:r w:rsidRPr="00A46198">
        <w:t xml:space="preserve">[MTA </w:t>
      </w:r>
      <w:r w:rsidR="00144B43" w:rsidRPr="00A46198">
        <w:t>(</w:t>
      </w:r>
      <w:r w:rsidR="009125C2" w:rsidRPr="00A46198">
        <w:t>Financial reporting and auditing requirements for superannuation</w:t>
      </w:r>
      <w:r w:rsidR="00144B43" w:rsidRPr="00A46198">
        <w:t>)</w:t>
      </w:r>
      <w:r w:rsidRPr="00A46198">
        <w:t xml:space="preserve">] </w:t>
      </w:r>
    </w:p>
    <w:p w14:paraId="5AFB6071" w14:textId="766CCBCB" w:rsidR="00D4717A" w:rsidRPr="00A46198" w:rsidRDefault="00D4717A" w:rsidP="00495763">
      <w:pPr>
        <w:pStyle w:val="Heading4"/>
      </w:pPr>
      <w:r w:rsidRPr="00A46198">
        <w:t>Division 6 – Actuaries and auditors of superannuation entities</w:t>
      </w:r>
    </w:p>
    <w:p w14:paraId="039BDA77" w14:textId="3E7C8562" w:rsidR="003C1120" w:rsidRPr="00A46198" w:rsidRDefault="0094568D" w:rsidP="006D44B1">
      <w:pPr>
        <w:pStyle w:val="Normalparatextwithnumbers"/>
      </w:pPr>
      <w:r w:rsidRPr="00A46198">
        <w:t>Division 6 of Part 1 of Schedule # to th</w:t>
      </w:r>
      <w:r w:rsidR="00E9526F" w:rsidRPr="00A46198">
        <w:t>e</w:t>
      </w:r>
      <w:r w:rsidRPr="00A46198">
        <w:t xml:space="preserve"> Bill relocates certain requirements from the SIS Regulations into the SIS Act</w:t>
      </w:r>
      <w:r w:rsidR="003C1120" w:rsidRPr="00A46198" w:rsidDel="0094568D">
        <w:t>.</w:t>
      </w:r>
      <w:r w:rsidR="00D32B8D" w:rsidRPr="00A46198">
        <w:t xml:space="preserve"> Minor amendments are also made to improve the clarity of these requirements. </w:t>
      </w:r>
      <w:r w:rsidR="00B24FF4" w:rsidRPr="00A46198">
        <w:t xml:space="preserve">The minor amendments for clarity are </w:t>
      </w:r>
      <w:r w:rsidR="00B24FF4" w:rsidRPr="00A46198">
        <w:rPr>
          <w:rFonts w:eastAsia="Times New Roman"/>
        </w:rPr>
        <w:t xml:space="preserve">consistent with the existing requirements, as reflected in the Act and the regulations which are being </w:t>
      </w:r>
      <w:proofErr w:type="gramStart"/>
      <w:r w:rsidR="00B24FF4" w:rsidRPr="00A46198">
        <w:rPr>
          <w:rFonts w:eastAsia="Times New Roman"/>
        </w:rPr>
        <w:t>relocated</w:t>
      </w:r>
      <w:r w:rsidR="00D470B9" w:rsidRPr="00A46198">
        <w:rPr>
          <w:rFonts w:eastAsia="Times New Roman"/>
        </w:rPr>
        <w:t>.</w:t>
      </w:r>
      <w:r w:rsidR="00DE4940" w:rsidRPr="00A46198">
        <w:t>.</w:t>
      </w:r>
      <w:proofErr w:type="gramEnd"/>
      <w:r w:rsidR="00D74FD4" w:rsidRPr="00A46198">
        <w:t xml:space="preserve"> </w:t>
      </w:r>
    </w:p>
    <w:p w14:paraId="6B14E45E" w14:textId="77777777" w:rsidR="009E49E2" w:rsidRPr="00A46198" w:rsidRDefault="009E49E2" w:rsidP="00D54FFD">
      <w:pPr>
        <w:pStyle w:val="Normalparatextwithnumbers"/>
        <w:rPr>
          <w:bCs/>
          <w:iCs/>
        </w:rPr>
      </w:pPr>
      <w:r w:rsidRPr="00A46198">
        <w:t>Section 130 of the SIS Act sets obligations of actuaries and auditors to report to the Regulator when the financial position of a superannuation entity is unsatisfactory.</w:t>
      </w:r>
    </w:p>
    <w:p w14:paraId="3B7EBB53" w14:textId="78DEE5DD" w:rsidR="00102AE1" w:rsidRPr="00A46198" w:rsidRDefault="009D6B1F" w:rsidP="004E09ED">
      <w:pPr>
        <w:pStyle w:val="Normalparatextwithnumbers"/>
        <w:rPr>
          <w:bCs/>
          <w:iCs/>
        </w:rPr>
      </w:pPr>
      <w:r w:rsidRPr="00A46198">
        <w:rPr>
          <w:bCs/>
          <w:iCs/>
        </w:rPr>
        <w:t>The amendments update</w:t>
      </w:r>
      <w:r w:rsidR="00102AE1" w:rsidRPr="00A46198">
        <w:rPr>
          <w:bCs/>
          <w:iCs/>
        </w:rPr>
        <w:t xml:space="preserve"> subsection 130(1) of the SIS Act to incorporate the requirements in </w:t>
      </w:r>
      <w:proofErr w:type="spellStart"/>
      <w:r w:rsidR="00102AE1" w:rsidRPr="00A46198">
        <w:rPr>
          <w:bCs/>
          <w:iCs/>
        </w:rPr>
        <w:t>subregulations</w:t>
      </w:r>
      <w:proofErr w:type="spellEnd"/>
      <w:r w:rsidR="00102AE1" w:rsidRPr="00A46198">
        <w:rPr>
          <w:bCs/>
          <w:iCs/>
        </w:rPr>
        <w:t xml:space="preserve"> 9.03(4) and (5) of the SIS</w:t>
      </w:r>
      <w:r w:rsidRPr="00A46198">
        <w:rPr>
          <w:bCs/>
          <w:iCs/>
        </w:rPr>
        <w:t> </w:t>
      </w:r>
      <w:r w:rsidR="00102AE1" w:rsidRPr="00A46198">
        <w:rPr>
          <w:bCs/>
          <w:iCs/>
        </w:rPr>
        <w:t xml:space="preserve">Regulations into the SIS Act. </w:t>
      </w:r>
      <w:r w:rsidR="00151121" w:rsidRPr="00A46198">
        <w:t xml:space="preserve">Relocating these provisions to the SIS Act does not affect the operation of the </w:t>
      </w:r>
      <w:proofErr w:type="gramStart"/>
      <w:r w:rsidR="00151121" w:rsidRPr="00A46198">
        <w:t>law, but</w:t>
      </w:r>
      <w:proofErr w:type="gramEnd"/>
      <w:r w:rsidR="00151121" w:rsidRPr="00A46198">
        <w:t xml:space="preserve"> provides certainty to readers of the legislation that the obligations as detailed in the regulations are legally valid. </w:t>
      </w:r>
      <w:proofErr w:type="spellStart"/>
      <w:r w:rsidR="00151121" w:rsidRPr="00A46198">
        <w:t>S</w:t>
      </w:r>
      <w:r w:rsidR="00151121" w:rsidRPr="00A46198">
        <w:rPr>
          <w:bCs/>
          <w:iCs/>
        </w:rPr>
        <w:t>ubregulations</w:t>
      </w:r>
      <w:proofErr w:type="spellEnd"/>
      <w:r w:rsidR="00151121" w:rsidRPr="00A46198">
        <w:rPr>
          <w:bCs/>
          <w:iCs/>
        </w:rPr>
        <w:t xml:space="preserve"> 9.03(4) and (5) of the SIS Regulations will </w:t>
      </w:r>
      <w:r w:rsidR="0174CBEA" w:rsidRPr="00A46198">
        <w:t xml:space="preserve">also </w:t>
      </w:r>
      <w:r w:rsidR="00151121" w:rsidRPr="00A46198">
        <w:rPr>
          <w:bCs/>
          <w:iCs/>
        </w:rPr>
        <w:t>be repealed to rectify duplication.</w:t>
      </w:r>
      <w:r w:rsidR="00626048" w:rsidRPr="00A46198">
        <w:rPr>
          <w:bCs/>
          <w:iCs/>
        </w:rPr>
        <w:br/>
      </w:r>
      <w:r w:rsidR="00626048" w:rsidRPr="00A46198">
        <w:rPr>
          <w:rStyle w:val="References"/>
        </w:rPr>
        <w:t xml:space="preserve">[Schedule </w:t>
      </w:r>
      <w:r w:rsidR="00670033" w:rsidRPr="00A46198">
        <w:rPr>
          <w:rStyle w:val="References"/>
        </w:rPr>
        <w:t>#</w:t>
      </w:r>
      <w:r w:rsidR="00151121" w:rsidRPr="00A46198">
        <w:rPr>
          <w:rStyle w:val="References"/>
        </w:rPr>
        <w:t>, item 25</w:t>
      </w:r>
      <w:r w:rsidR="00626048" w:rsidRPr="00A46198">
        <w:rPr>
          <w:rStyle w:val="References"/>
        </w:rPr>
        <w:t xml:space="preserve">, subsection 130(1) of the SIS Act] </w:t>
      </w:r>
    </w:p>
    <w:p w14:paraId="44136677" w14:textId="080E2025" w:rsidR="00102AE1" w:rsidRPr="00A46198" w:rsidRDefault="009D6B1F" w:rsidP="00D54FFD">
      <w:pPr>
        <w:pStyle w:val="Normalparatextwithnumbers"/>
        <w:rPr>
          <w:bCs/>
          <w:iCs/>
        </w:rPr>
      </w:pPr>
      <w:r w:rsidRPr="00A46198">
        <w:rPr>
          <w:bCs/>
          <w:iCs/>
        </w:rPr>
        <w:t xml:space="preserve">The </w:t>
      </w:r>
      <w:r w:rsidR="001204D0" w:rsidRPr="00A46198">
        <w:rPr>
          <w:bCs/>
          <w:iCs/>
        </w:rPr>
        <w:t>amendments</w:t>
      </w:r>
      <w:r w:rsidRPr="00A46198">
        <w:rPr>
          <w:bCs/>
          <w:iCs/>
        </w:rPr>
        <w:t xml:space="preserve"> also update</w:t>
      </w:r>
      <w:r w:rsidR="00393B05" w:rsidRPr="00A46198">
        <w:rPr>
          <w:bCs/>
          <w:iCs/>
        </w:rPr>
        <w:t xml:space="preserve"> </w:t>
      </w:r>
      <w:r w:rsidR="00102AE1" w:rsidRPr="00A46198">
        <w:rPr>
          <w:bCs/>
          <w:iCs/>
        </w:rPr>
        <w:t xml:space="preserve">subsection 130(1) </w:t>
      </w:r>
      <w:r w:rsidR="006C6741" w:rsidRPr="00A46198">
        <w:rPr>
          <w:bCs/>
          <w:iCs/>
        </w:rPr>
        <w:t xml:space="preserve">to </w:t>
      </w:r>
      <w:r w:rsidR="00102AE1" w:rsidRPr="00A46198">
        <w:rPr>
          <w:bCs/>
          <w:iCs/>
        </w:rPr>
        <w:t>clarif</w:t>
      </w:r>
      <w:r w:rsidR="006C6741" w:rsidRPr="00A46198">
        <w:rPr>
          <w:bCs/>
          <w:iCs/>
        </w:rPr>
        <w:t>y</w:t>
      </w:r>
      <w:r w:rsidR="00102AE1" w:rsidRPr="00A46198">
        <w:rPr>
          <w:bCs/>
          <w:iCs/>
        </w:rPr>
        <w:t xml:space="preserve"> that the obligation applies to an auditor or actuary of the superannuation entity. Auditors and actuaries may perform functions beyond audit or actuarial functions in relation to an entity. If in the course of performing those other functions the auditor or actuary may obtain information relevant to the financial position of the entity, the auditor or actuary would need to report this to the Regulator in the same way as they would need to report information obtained in the course of performing their audit or actuarial functions.</w:t>
      </w:r>
      <w:r w:rsidR="00151121" w:rsidRPr="00A46198">
        <w:rPr>
          <w:bCs/>
          <w:iCs/>
        </w:rPr>
        <w:br/>
      </w:r>
      <w:r w:rsidR="00151121" w:rsidRPr="00A46198">
        <w:rPr>
          <w:rStyle w:val="References"/>
        </w:rPr>
        <w:t xml:space="preserve">[Schedule </w:t>
      </w:r>
      <w:r w:rsidR="00670033" w:rsidRPr="00A46198">
        <w:rPr>
          <w:rStyle w:val="References"/>
        </w:rPr>
        <w:t>#</w:t>
      </w:r>
      <w:r w:rsidR="00151121" w:rsidRPr="00A46198">
        <w:rPr>
          <w:rStyle w:val="References"/>
        </w:rPr>
        <w:t xml:space="preserve">, item 24, </w:t>
      </w:r>
      <w:r w:rsidR="00973AC1" w:rsidRPr="00A46198">
        <w:rPr>
          <w:rStyle w:val="References"/>
        </w:rPr>
        <w:t>sub</w:t>
      </w:r>
      <w:r w:rsidR="00454694" w:rsidRPr="00A46198">
        <w:rPr>
          <w:rStyle w:val="References"/>
        </w:rPr>
        <w:t>section 130(1)</w:t>
      </w:r>
      <w:r w:rsidR="00973AC1" w:rsidRPr="00A46198">
        <w:rPr>
          <w:rStyle w:val="References"/>
        </w:rPr>
        <w:t xml:space="preserve"> of the SIS Act]</w:t>
      </w:r>
    </w:p>
    <w:p w14:paraId="130019B8" w14:textId="04B6AA35" w:rsidR="00A3046A" w:rsidRPr="00A46198" w:rsidRDefault="009D6B1F" w:rsidP="00D54FFD">
      <w:pPr>
        <w:pStyle w:val="Normalparatextwithnumbers"/>
        <w:rPr>
          <w:rStyle w:val="References"/>
          <w:b w:val="0"/>
          <w:i w:val="0"/>
        </w:rPr>
      </w:pPr>
      <w:r w:rsidRPr="00A46198">
        <w:rPr>
          <w:bCs/>
          <w:iCs/>
        </w:rPr>
        <w:t>New</w:t>
      </w:r>
      <w:r w:rsidR="00A3046A" w:rsidRPr="00A46198">
        <w:rPr>
          <w:bCs/>
          <w:iCs/>
        </w:rPr>
        <w:t xml:space="preserve"> subsections 130(6) and (6A) to clarify that a person a person must consider any matters prescribed by the regulations for the purposes of this forming an opinion whether the financial position of an entity may be about to become unsatisfactory but that this does not limit the matters a person may </w:t>
      </w:r>
      <w:r w:rsidR="00A3046A" w:rsidRPr="00A46198">
        <w:rPr>
          <w:bCs/>
          <w:iCs/>
        </w:rPr>
        <w:lastRenderedPageBreak/>
        <w:t>consider in forming such an opinion.</w:t>
      </w:r>
      <w:r w:rsidR="006C6741" w:rsidRPr="00A46198">
        <w:rPr>
          <w:bCs/>
          <w:iCs/>
        </w:rPr>
        <w:br/>
      </w:r>
      <w:r w:rsidR="006C6741" w:rsidRPr="00A46198">
        <w:rPr>
          <w:rStyle w:val="References"/>
        </w:rPr>
        <w:t xml:space="preserve">[Schedule </w:t>
      </w:r>
      <w:r w:rsidR="00670033" w:rsidRPr="00A46198">
        <w:rPr>
          <w:rStyle w:val="References"/>
        </w:rPr>
        <w:t>#</w:t>
      </w:r>
      <w:r w:rsidR="006C6741" w:rsidRPr="00A46198">
        <w:rPr>
          <w:rStyle w:val="References"/>
        </w:rPr>
        <w:t xml:space="preserve">, item 26, </w:t>
      </w:r>
      <w:r w:rsidR="00973AC1" w:rsidRPr="00A46198">
        <w:rPr>
          <w:rStyle w:val="References"/>
        </w:rPr>
        <w:t>section 130 of the SIS Act</w:t>
      </w:r>
      <w:r w:rsidR="006C6741" w:rsidRPr="00A46198">
        <w:rPr>
          <w:rStyle w:val="References"/>
        </w:rPr>
        <w:t xml:space="preserve">] </w:t>
      </w:r>
    </w:p>
    <w:p w14:paraId="105FCA09" w14:textId="0C0EACD8" w:rsidR="000707A5" w:rsidRPr="00A46198" w:rsidRDefault="000707A5" w:rsidP="00D54FFD">
      <w:pPr>
        <w:pStyle w:val="Normalparatextwithnumbers"/>
        <w:rPr>
          <w:bCs/>
          <w:iCs/>
        </w:rPr>
      </w:pPr>
      <w:r w:rsidRPr="00A46198">
        <w:rPr>
          <w:bCs/>
          <w:iCs/>
        </w:rPr>
        <w:t>Section 130AA of the SIS Act sets obligations of lead auditors to report to the Regulator when the financial position of a superannuation entity is unsatisfactory.</w:t>
      </w:r>
    </w:p>
    <w:p w14:paraId="020D0926" w14:textId="517EF068" w:rsidR="00BE626D" w:rsidRPr="00A46198" w:rsidRDefault="009D6B1F" w:rsidP="00D54FFD">
      <w:pPr>
        <w:pStyle w:val="Normalparatextwithnumbers"/>
        <w:rPr>
          <w:bCs/>
          <w:iCs/>
        </w:rPr>
      </w:pPr>
      <w:r w:rsidRPr="00A46198">
        <w:rPr>
          <w:bCs/>
          <w:iCs/>
        </w:rPr>
        <w:t>The amendments update</w:t>
      </w:r>
      <w:r w:rsidR="00BE626D" w:rsidRPr="00A46198">
        <w:rPr>
          <w:bCs/>
          <w:iCs/>
        </w:rPr>
        <w:t xml:space="preserve"> section 130AA</w:t>
      </w:r>
      <w:r w:rsidR="00DD1DD9" w:rsidRPr="00A46198">
        <w:rPr>
          <w:bCs/>
          <w:iCs/>
        </w:rPr>
        <w:t xml:space="preserve"> </w:t>
      </w:r>
      <w:r w:rsidR="00BE626D" w:rsidRPr="00A46198">
        <w:rPr>
          <w:bCs/>
          <w:iCs/>
        </w:rPr>
        <w:t xml:space="preserve">of the SIS Act to incorporate the requirements in </w:t>
      </w:r>
      <w:proofErr w:type="spellStart"/>
      <w:r w:rsidR="00BE626D" w:rsidRPr="00A46198">
        <w:rPr>
          <w:bCs/>
          <w:iCs/>
        </w:rPr>
        <w:t>subregulation</w:t>
      </w:r>
      <w:proofErr w:type="spellEnd"/>
      <w:r w:rsidR="00BE626D" w:rsidRPr="00A46198">
        <w:rPr>
          <w:bCs/>
          <w:iCs/>
        </w:rPr>
        <w:t xml:space="preserve"> 9.03(5) of the SIS Regulations into the SIS Act. </w:t>
      </w:r>
      <w:r w:rsidR="001B316B" w:rsidRPr="00A46198">
        <w:t xml:space="preserve">Relocating these provisions to the SIS Act does not affect the operation of the </w:t>
      </w:r>
      <w:proofErr w:type="gramStart"/>
      <w:r w:rsidR="001B316B" w:rsidRPr="00A46198">
        <w:t>law, but</w:t>
      </w:r>
      <w:proofErr w:type="gramEnd"/>
      <w:r w:rsidR="001B316B" w:rsidRPr="00A46198">
        <w:t xml:space="preserve"> provides certainty to readers of the legislation that the obligations as detailed in the regulations are legally valid.</w:t>
      </w:r>
      <w:r w:rsidR="00D64911" w:rsidRPr="00A46198">
        <w:br/>
      </w:r>
      <w:r w:rsidR="00D64911" w:rsidRPr="00A46198">
        <w:rPr>
          <w:rStyle w:val="References"/>
        </w:rPr>
        <w:t xml:space="preserve">[Schedule </w:t>
      </w:r>
      <w:r w:rsidR="00670033" w:rsidRPr="00A46198">
        <w:rPr>
          <w:rStyle w:val="References"/>
        </w:rPr>
        <w:t>#</w:t>
      </w:r>
      <w:r w:rsidR="00D64911" w:rsidRPr="00A46198">
        <w:rPr>
          <w:rStyle w:val="References"/>
        </w:rPr>
        <w:t>, items 27</w:t>
      </w:r>
      <w:r w:rsidR="001000FE" w:rsidRPr="00A46198">
        <w:rPr>
          <w:rStyle w:val="References"/>
        </w:rPr>
        <w:t>, 28 and</w:t>
      </w:r>
      <w:r w:rsidR="00D64911" w:rsidRPr="00A46198">
        <w:rPr>
          <w:rStyle w:val="References"/>
        </w:rPr>
        <w:t xml:space="preserve"> 29</w:t>
      </w:r>
      <w:r w:rsidR="00890016" w:rsidRPr="00A46198">
        <w:rPr>
          <w:rStyle w:val="References"/>
        </w:rPr>
        <w:t>, section 130</w:t>
      </w:r>
      <w:r w:rsidR="00CD2A36" w:rsidRPr="00A46198">
        <w:rPr>
          <w:rStyle w:val="References"/>
        </w:rPr>
        <w:t>AA</w:t>
      </w:r>
      <w:r w:rsidR="00890016" w:rsidRPr="00A46198">
        <w:rPr>
          <w:rStyle w:val="References"/>
        </w:rPr>
        <w:t xml:space="preserve"> </w:t>
      </w:r>
      <w:r w:rsidR="00D64911" w:rsidRPr="00A46198">
        <w:rPr>
          <w:rStyle w:val="References"/>
        </w:rPr>
        <w:t xml:space="preserve">of the SIS Act] </w:t>
      </w:r>
    </w:p>
    <w:p w14:paraId="062ACE65" w14:textId="4ED56524" w:rsidR="00854B1E" w:rsidRPr="00A46198" w:rsidRDefault="009D6B1F" w:rsidP="00AB0E37">
      <w:pPr>
        <w:pStyle w:val="Normalparatextwithnumbers"/>
        <w:rPr>
          <w:bCs/>
          <w:iCs/>
        </w:rPr>
      </w:pPr>
      <w:r w:rsidRPr="00A46198">
        <w:rPr>
          <w:bCs/>
          <w:iCs/>
        </w:rPr>
        <w:t>The amendments also update</w:t>
      </w:r>
      <w:r w:rsidR="00854B1E" w:rsidRPr="00A46198">
        <w:rPr>
          <w:bCs/>
          <w:iCs/>
        </w:rPr>
        <w:t xml:space="preserve"> subsections 130AA(11A) and</w:t>
      </w:r>
      <w:r w:rsidRPr="00A46198">
        <w:rPr>
          <w:bCs/>
          <w:iCs/>
        </w:rPr>
        <w:t> </w:t>
      </w:r>
      <w:r w:rsidR="00854B1E" w:rsidRPr="00A46198">
        <w:rPr>
          <w:bCs/>
          <w:iCs/>
        </w:rPr>
        <w:t>(11B) to clarify that a person must consider any matters prescribed by the regulations for the purposes of this forming an opinion whether the financial position of an entity may be about to become unsatisfactory but that this does not limit the matters a person may consider in forming such an opinion.</w:t>
      </w:r>
      <w:r w:rsidR="00854B1E" w:rsidRPr="00A46198">
        <w:rPr>
          <w:bCs/>
          <w:iCs/>
        </w:rPr>
        <w:br/>
      </w:r>
      <w:r w:rsidR="00854B1E" w:rsidRPr="00A46198">
        <w:rPr>
          <w:rStyle w:val="References"/>
        </w:rPr>
        <w:t xml:space="preserve">[Schedule </w:t>
      </w:r>
      <w:r w:rsidR="00670033" w:rsidRPr="00A46198">
        <w:rPr>
          <w:rStyle w:val="References"/>
        </w:rPr>
        <w:t>#</w:t>
      </w:r>
      <w:r w:rsidR="00854B1E" w:rsidRPr="00A46198">
        <w:rPr>
          <w:rStyle w:val="References"/>
        </w:rPr>
        <w:t xml:space="preserve">, item </w:t>
      </w:r>
      <w:r w:rsidR="00890016" w:rsidRPr="00A46198">
        <w:rPr>
          <w:rStyle w:val="References"/>
        </w:rPr>
        <w:t>30</w:t>
      </w:r>
      <w:r w:rsidR="00854B1E" w:rsidRPr="00A46198">
        <w:rPr>
          <w:rStyle w:val="References"/>
        </w:rPr>
        <w:t>, section 130AA</w:t>
      </w:r>
      <w:r w:rsidR="005011E1" w:rsidRPr="00A46198">
        <w:rPr>
          <w:rStyle w:val="References"/>
        </w:rPr>
        <w:t xml:space="preserve"> </w:t>
      </w:r>
      <w:r w:rsidR="00854B1E" w:rsidRPr="00A46198">
        <w:rPr>
          <w:rStyle w:val="References"/>
        </w:rPr>
        <w:t xml:space="preserve">of the SIS Act] </w:t>
      </w:r>
    </w:p>
    <w:p w14:paraId="665C4703" w14:textId="28F57AB0" w:rsidR="003C1120" w:rsidRPr="00A46198" w:rsidRDefault="003665BE" w:rsidP="00D54FFD">
      <w:pPr>
        <w:pStyle w:val="Normalparatextwithnumbers"/>
        <w:rPr>
          <w:rStyle w:val="References"/>
          <w:b w:val="0"/>
          <w:i w:val="0"/>
        </w:rPr>
      </w:pPr>
      <w:r w:rsidRPr="00A46198">
        <w:t>These amendments</w:t>
      </w:r>
      <w:r w:rsidR="003C1120" w:rsidRPr="00A46198">
        <w:t xml:space="preserve"> apply in relation to performing a function under the </w:t>
      </w:r>
      <w:r w:rsidR="001204D0" w:rsidRPr="00A46198">
        <w:t>SIS Act</w:t>
      </w:r>
      <w:r w:rsidR="003C1120" w:rsidRPr="00A46198">
        <w:t xml:space="preserve">, the regulations made under that </w:t>
      </w:r>
      <w:r w:rsidRPr="00A46198">
        <w:t xml:space="preserve">the SIS </w:t>
      </w:r>
      <w:r w:rsidR="003C1120" w:rsidRPr="00A46198">
        <w:t>Act</w:t>
      </w:r>
      <w:r w:rsidRPr="00A46198">
        <w:t xml:space="preserve"> (</w:t>
      </w:r>
      <w:proofErr w:type="gramStart"/>
      <w:r w:rsidRPr="00A46198">
        <w:t>i.e.</w:t>
      </w:r>
      <w:proofErr w:type="gramEnd"/>
      <w:r w:rsidRPr="00A46198">
        <w:t xml:space="preserve"> the SIS Regulations)</w:t>
      </w:r>
      <w:r w:rsidR="003C1120" w:rsidRPr="00A46198">
        <w:t xml:space="preserve">, the prudential standards or the </w:t>
      </w:r>
      <w:r w:rsidR="003C1120" w:rsidRPr="00A46198">
        <w:rPr>
          <w:i/>
        </w:rPr>
        <w:t>Financial Sector (Collection of Data) Act 2001</w:t>
      </w:r>
      <w:r w:rsidR="003C1120" w:rsidRPr="00A46198">
        <w:t xml:space="preserve"> on or after the commencement of this item. </w:t>
      </w:r>
      <w:r w:rsidR="00A961CB" w:rsidRPr="00A46198">
        <w:br/>
      </w:r>
      <w:r w:rsidR="00A961CB" w:rsidRPr="00A46198">
        <w:rPr>
          <w:rStyle w:val="References"/>
        </w:rPr>
        <w:t xml:space="preserve">[Schedule </w:t>
      </w:r>
      <w:r w:rsidR="0092569B" w:rsidRPr="00A46198">
        <w:rPr>
          <w:rStyle w:val="References"/>
        </w:rPr>
        <w:t>#</w:t>
      </w:r>
      <w:r w:rsidR="00A961CB" w:rsidRPr="00A46198">
        <w:rPr>
          <w:rStyle w:val="References"/>
        </w:rPr>
        <w:t xml:space="preserve">, item </w:t>
      </w:r>
      <w:r w:rsidR="00D23962" w:rsidRPr="00A46198">
        <w:rPr>
          <w:rStyle w:val="References"/>
        </w:rPr>
        <w:t>31</w:t>
      </w:r>
      <w:r w:rsidR="00A961CB" w:rsidRPr="00A46198">
        <w:rPr>
          <w:rStyle w:val="References"/>
        </w:rPr>
        <w:t xml:space="preserve">] </w:t>
      </w:r>
    </w:p>
    <w:p w14:paraId="1768929C" w14:textId="77777777" w:rsidR="00D5008C" w:rsidRPr="00A46198" w:rsidRDefault="00D5008C" w:rsidP="2BC2C030">
      <w:pPr>
        <w:pStyle w:val="Normalparatextwithnumbers"/>
        <w:numPr>
          <w:ilvl w:val="0"/>
          <w:numId w:val="0"/>
        </w:numPr>
        <w:rPr>
          <w:rStyle w:val="References"/>
        </w:rPr>
      </w:pPr>
    </w:p>
    <w:p w14:paraId="6A3654CD" w14:textId="6519C48F" w:rsidR="00242A59" w:rsidRPr="00A46198" w:rsidRDefault="00242A59" w:rsidP="00A46198">
      <w:pPr>
        <w:pStyle w:val="Heading7"/>
      </w:pPr>
      <w:r w:rsidRPr="00A46198">
        <w:t xml:space="preserve">[MTA (Financial reporting and auditing requirements for superannuation)] </w:t>
      </w:r>
    </w:p>
    <w:p w14:paraId="61FE8180" w14:textId="0EDE9C92" w:rsidR="00D4717A" w:rsidRPr="00A46198" w:rsidRDefault="00E252AC" w:rsidP="006E2E14">
      <w:pPr>
        <w:pStyle w:val="Heading4"/>
      </w:pPr>
      <w:r w:rsidRPr="00A46198">
        <w:t>Division 7 – Financial reporting for superannuation entities</w:t>
      </w:r>
    </w:p>
    <w:p w14:paraId="47289352" w14:textId="76623392" w:rsidR="001F2085" w:rsidRPr="00A46198" w:rsidRDefault="001F2085" w:rsidP="00D54FFD">
      <w:pPr>
        <w:pStyle w:val="Normalparatextwithnumbers"/>
      </w:pPr>
      <w:r w:rsidRPr="00A46198">
        <w:t xml:space="preserve">Division </w:t>
      </w:r>
      <w:r w:rsidR="00DE4940" w:rsidRPr="00A46198">
        <w:t xml:space="preserve">7 </w:t>
      </w:r>
      <w:r w:rsidRPr="00A46198">
        <w:t xml:space="preserve">of Part 1 </w:t>
      </w:r>
      <w:r w:rsidR="0092569B" w:rsidRPr="00A46198">
        <w:t>of</w:t>
      </w:r>
      <w:r w:rsidRPr="00A46198" w:rsidDel="00DE4940">
        <w:t xml:space="preserve"> </w:t>
      </w:r>
      <w:r w:rsidRPr="00A46198">
        <w:t xml:space="preserve">Schedule </w:t>
      </w:r>
      <w:r w:rsidR="0092569B" w:rsidRPr="00A46198">
        <w:t>#</w:t>
      </w:r>
      <w:r w:rsidRPr="00A46198" w:rsidDel="00DE4940">
        <w:t xml:space="preserve"> </w:t>
      </w:r>
      <w:r w:rsidR="00DE4940" w:rsidRPr="00A46198">
        <w:t xml:space="preserve">to </w:t>
      </w:r>
      <w:r w:rsidRPr="00A46198">
        <w:t>th</w:t>
      </w:r>
      <w:r w:rsidR="0092569B" w:rsidRPr="00A46198">
        <w:t>e</w:t>
      </w:r>
      <w:r w:rsidRPr="00A46198">
        <w:t xml:space="preserve"> Bill</w:t>
      </w:r>
      <w:r w:rsidRPr="00A46198" w:rsidDel="00711107">
        <w:t xml:space="preserve"> </w:t>
      </w:r>
      <w:r w:rsidR="00085A3D" w:rsidRPr="00A46198">
        <w:t xml:space="preserve">clarifies </w:t>
      </w:r>
      <w:r w:rsidRPr="00A46198">
        <w:t xml:space="preserve">requirements </w:t>
      </w:r>
      <w:r w:rsidR="00711107" w:rsidRPr="00A46198">
        <w:t>under the</w:t>
      </w:r>
      <w:r w:rsidR="00085A3D" w:rsidRPr="00A46198">
        <w:t xml:space="preserve"> SIS</w:t>
      </w:r>
      <w:r w:rsidR="00711107" w:rsidRPr="00A46198">
        <w:t xml:space="preserve"> Act </w:t>
      </w:r>
      <w:r w:rsidRPr="00A46198">
        <w:t>in relation to what information trustees of superannuation entities are required to give, and to whom this information is required to be given.</w:t>
      </w:r>
    </w:p>
    <w:p w14:paraId="272B1F0A" w14:textId="29E1E914" w:rsidR="00563427" w:rsidRPr="00A46198" w:rsidRDefault="0068708C" w:rsidP="00D54FFD">
      <w:pPr>
        <w:pStyle w:val="Normalparatextwithnumbers"/>
      </w:pPr>
      <w:r w:rsidRPr="00A46198">
        <w:t>Section 254 of t</w:t>
      </w:r>
      <w:r w:rsidR="00085A3D" w:rsidRPr="00A46198">
        <w:t xml:space="preserve">he SIS Act requires a trustee of a superannuation entity to </w:t>
      </w:r>
      <w:r w:rsidR="00351ACC" w:rsidRPr="00A46198">
        <w:t xml:space="preserve">give certain information to </w:t>
      </w:r>
      <w:r w:rsidR="004619AC" w:rsidRPr="00A46198">
        <w:t>various persons</w:t>
      </w:r>
      <w:r w:rsidR="00504D47" w:rsidRPr="00A46198">
        <w:t xml:space="preserve"> and bodies</w:t>
      </w:r>
      <w:r w:rsidR="00351ACC" w:rsidRPr="00A46198">
        <w:t xml:space="preserve"> on the establishment of that superannuation ent</w:t>
      </w:r>
      <w:r w:rsidR="0039007A" w:rsidRPr="00A46198">
        <w:t xml:space="preserve">ity. </w:t>
      </w:r>
      <w:r w:rsidR="0092569B" w:rsidRPr="00A46198">
        <w:t>This provision</w:t>
      </w:r>
      <w:r w:rsidR="0039007A" w:rsidRPr="00A46198">
        <w:t xml:space="preserve"> also requires a trustee to give </w:t>
      </w:r>
      <w:r w:rsidR="00E04586" w:rsidRPr="00A46198">
        <w:t xml:space="preserve">certain information to the Regulator, or </w:t>
      </w:r>
      <w:r w:rsidR="00F96460" w:rsidRPr="00A46198">
        <w:t>an authorised person, by way of written notice where that information has been requested by the Regulator or an authorised person.</w:t>
      </w:r>
    </w:p>
    <w:p w14:paraId="7AA889E0" w14:textId="7C4F38D4" w:rsidR="001F2085" w:rsidRPr="00A46198" w:rsidRDefault="001F2085" w:rsidP="00D54FFD">
      <w:pPr>
        <w:pStyle w:val="Normalparatextwithnumbers"/>
      </w:pPr>
      <w:r w:rsidRPr="00A46198">
        <w:t xml:space="preserve">The amendments </w:t>
      </w:r>
      <w:r w:rsidR="0092569B" w:rsidRPr="00A46198">
        <w:t xml:space="preserve">improve the clarity of drafting by </w:t>
      </w:r>
      <w:r w:rsidR="00563427" w:rsidRPr="00A46198">
        <w:t>separat</w:t>
      </w:r>
      <w:r w:rsidR="0092569B" w:rsidRPr="00A46198">
        <w:t>ing</w:t>
      </w:r>
      <w:r w:rsidR="00563427" w:rsidRPr="00A46198">
        <w:t xml:space="preserve"> the two obligations </w:t>
      </w:r>
      <w:r w:rsidR="00717BF1" w:rsidRPr="00A46198">
        <w:t xml:space="preserve">contained in section 254 </w:t>
      </w:r>
      <w:r w:rsidR="0092569B" w:rsidRPr="00A46198">
        <w:t xml:space="preserve">of the SIS Act </w:t>
      </w:r>
      <w:r w:rsidR="00563427" w:rsidRPr="00A46198">
        <w:t xml:space="preserve">into two </w:t>
      </w:r>
      <w:r w:rsidR="00112FBD" w:rsidRPr="00A46198">
        <w:t>distinct provisions</w:t>
      </w:r>
      <w:r w:rsidR="00044709" w:rsidRPr="00A46198">
        <w:t xml:space="preserve">. </w:t>
      </w:r>
      <w:r w:rsidR="0092569B" w:rsidRPr="00A46198">
        <w:t>Under the amendments, the</w:t>
      </w:r>
      <w:r w:rsidR="00044709" w:rsidRPr="00A46198">
        <w:t xml:space="preserve"> first</w:t>
      </w:r>
      <w:r w:rsidR="0092569B" w:rsidRPr="00A46198">
        <w:t xml:space="preserve"> obligation</w:t>
      </w:r>
      <w:r w:rsidR="00044709" w:rsidRPr="00A46198">
        <w:t>,</w:t>
      </w:r>
      <w:r w:rsidR="0092569B" w:rsidRPr="00A46198">
        <w:t xml:space="preserve"> covered by new</w:t>
      </w:r>
      <w:r w:rsidR="00044709" w:rsidRPr="00A46198">
        <w:t xml:space="preserve"> </w:t>
      </w:r>
      <w:r w:rsidR="00D83D31" w:rsidRPr="00A46198">
        <w:t xml:space="preserve">section 254, </w:t>
      </w:r>
      <w:r w:rsidR="00717BF1" w:rsidRPr="00A46198">
        <w:t xml:space="preserve">relates to information which a trustee of a superannuation entity must provide </w:t>
      </w:r>
      <w:r w:rsidR="007028F2" w:rsidRPr="00A46198">
        <w:t>upon establishment of the entity</w:t>
      </w:r>
      <w:r w:rsidR="00D83D31" w:rsidRPr="00A46198">
        <w:t>. The second</w:t>
      </w:r>
      <w:r w:rsidR="0092569B" w:rsidRPr="00A46198">
        <w:t xml:space="preserve"> obligation</w:t>
      </w:r>
      <w:r w:rsidR="00D83D31" w:rsidRPr="00A46198">
        <w:t>,</w:t>
      </w:r>
      <w:r w:rsidR="0092569B" w:rsidRPr="00A46198">
        <w:t xml:space="preserve"> new</w:t>
      </w:r>
      <w:r w:rsidR="00D83D31" w:rsidRPr="00A46198">
        <w:t xml:space="preserve"> section 254A, </w:t>
      </w:r>
      <w:r w:rsidR="007028F2" w:rsidRPr="00A46198">
        <w:t>relates to the trustee’s obligation to comply with a request for certain information by the Regulator or an authorised person.</w:t>
      </w:r>
      <w:r w:rsidR="0058304C" w:rsidRPr="00A46198">
        <w:t xml:space="preserve"> Minor consequential amendments are made to ensure the relevant notes appear </w:t>
      </w:r>
      <w:r w:rsidR="00605036" w:rsidRPr="00A46198">
        <w:t xml:space="preserve">with the </w:t>
      </w:r>
      <w:r w:rsidR="00D42A92" w:rsidRPr="00A46198">
        <w:t xml:space="preserve">relevant </w:t>
      </w:r>
      <w:r w:rsidR="00D42A92" w:rsidRPr="00A46198">
        <w:lastRenderedPageBreak/>
        <w:t>obligation</w:t>
      </w:r>
      <w:r w:rsidR="004823E9" w:rsidRPr="00A46198">
        <w:t xml:space="preserve"> once the</w:t>
      </w:r>
      <w:r w:rsidR="00924263" w:rsidRPr="00A46198">
        <w:t xml:space="preserve">y </w:t>
      </w:r>
      <w:r w:rsidR="004823E9" w:rsidRPr="00A46198">
        <w:t>are separated</w:t>
      </w:r>
      <w:r w:rsidR="00D42A92" w:rsidRPr="00A46198">
        <w:t xml:space="preserve">. </w:t>
      </w:r>
      <w:r w:rsidR="00E31953" w:rsidRPr="00A46198">
        <w:br/>
      </w:r>
      <w:r w:rsidR="00E31953" w:rsidRPr="00A46198">
        <w:rPr>
          <w:rStyle w:val="References"/>
        </w:rPr>
        <w:t xml:space="preserve">[Schedule </w:t>
      </w:r>
      <w:r w:rsidR="0092569B" w:rsidRPr="00A46198">
        <w:rPr>
          <w:rStyle w:val="References"/>
        </w:rPr>
        <w:t>#</w:t>
      </w:r>
      <w:r w:rsidR="00E31953" w:rsidRPr="00A46198">
        <w:rPr>
          <w:rStyle w:val="References"/>
        </w:rPr>
        <w:t xml:space="preserve">, </w:t>
      </w:r>
      <w:r w:rsidR="003A25F5" w:rsidRPr="00A46198">
        <w:rPr>
          <w:rStyle w:val="References"/>
        </w:rPr>
        <w:t xml:space="preserve">items </w:t>
      </w:r>
      <w:r w:rsidR="00F55A8A" w:rsidRPr="00A46198">
        <w:rPr>
          <w:rStyle w:val="References"/>
        </w:rPr>
        <w:t>35</w:t>
      </w:r>
      <w:r w:rsidR="003A25F5" w:rsidRPr="00A46198">
        <w:rPr>
          <w:rStyle w:val="References"/>
        </w:rPr>
        <w:t xml:space="preserve"> and </w:t>
      </w:r>
      <w:r w:rsidR="00F55A8A" w:rsidRPr="00A46198">
        <w:rPr>
          <w:rStyle w:val="References"/>
        </w:rPr>
        <w:t>3</w:t>
      </w:r>
      <w:r w:rsidR="00C02EEF" w:rsidRPr="00A46198">
        <w:rPr>
          <w:rStyle w:val="References"/>
        </w:rPr>
        <w:t>7</w:t>
      </w:r>
      <w:r w:rsidR="003A25F5" w:rsidRPr="00A46198">
        <w:rPr>
          <w:rStyle w:val="References"/>
        </w:rPr>
        <w:t xml:space="preserve"> section 254 and 254A of the SIS Act</w:t>
      </w:r>
      <w:r w:rsidR="00E31953" w:rsidRPr="00A46198">
        <w:rPr>
          <w:rStyle w:val="References"/>
        </w:rPr>
        <w:t xml:space="preserve">] </w:t>
      </w:r>
      <w:r w:rsidRPr="00A46198">
        <w:t xml:space="preserve"> </w:t>
      </w:r>
    </w:p>
    <w:p w14:paraId="56E11F60" w14:textId="2F03421C" w:rsidR="001F2085" w:rsidRPr="00A46198" w:rsidRDefault="007028F2" w:rsidP="00D54FFD">
      <w:pPr>
        <w:pStyle w:val="Normalparatextwithnumbers"/>
      </w:pPr>
      <w:r w:rsidRPr="00A46198">
        <w:t xml:space="preserve">The amendments make minor </w:t>
      </w:r>
      <w:r w:rsidR="003C3B8B" w:rsidRPr="00A46198">
        <w:t>changes</w:t>
      </w:r>
      <w:r w:rsidR="001F2085" w:rsidRPr="00A46198">
        <w:t xml:space="preserve"> </w:t>
      </w:r>
      <w:r w:rsidRPr="00A46198">
        <w:t xml:space="preserve">to </w:t>
      </w:r>
      <w:r w:rsidR="001F2085" w:rsidRPr="00A46198">
        <w:t xml:space="preserve">the heading to section 254 and </w:t>
      </w:r>
      <w:r w:rsidR="001066C6" w:rsidRPr="00A46198">
        <w:t>insert</w:t>
      </w:r>
      <w:r w:rsidR="00DA78F4" w:rsidRPr="00A46198">
        <w:t xml:space="preserve"> a subheading before </w:t>
      </w:r>
      <w:r w:rsidR="001F2085" w:rsidRPr="00A46198">
        <w:t>subsection 254(</w:t>
      </w:r>
      <w:r w:rsidR="0052059A" w:rsidRPr="00A46198">
        <w:t>4</w:t>
      </w:r>
      <w:r w:rsidR="001F2085" w:rsidRPr="00A46198">
        <w:t>) for clarity.</w:t>
      </w:r>
      <w:r w:rsidR="007419A7" w:rsidRPr="00A46198">
        <w:br/>
      </w:r>
      <w:r w:rsidR="007419A7" w:rsidRPr="00A46198">
        <w:rPr>
          <w:rStyle w:val="References"/>
        </w:rPr>
        <w:t xml:space="preserve">[Schedule </w:t>
      </w:r>
      <w:r w:rsidR="008964B9" w:rsidRPr="00A46198">
        <w:rPr>
          <w:rStyle w:val="References"/>
        </w:rPr>
        <w:t>#</w:t>
      </w:r>
      <w:r w:rsidR="007419A7" w:rsidRPr="00A46198">
        <w:rPr>
          <w:rStyle w:val="References"/>
        </w:rPr>
        <w:t>, item</w:t>
      </w:r>
      <w:r w:rsidR="001B6FF0" w:rsidRPr="00A46198">
        <w:rPr>
          <w:rStyle w:val="References"/>
        </w:rPr>
        <w:t>s</w:t>
      </w:r>
      <w:r w:rsidR="0074361E" w:rsidRPr="00A46198">
        <w:rPr>
          <w:rStyle w:val="References"/>
        </w:rPr>
        <w:t xml:space="preserve"> </w:t>
      </w:r>
      <w:r w:rsidR="00BD4F62" w:rsidRPr="00A46198">
        <w:rPr>
          <w:rStyle w:val="References"/>
        </w:rPr>
        <w:t>34</w:t>
      </w:r>
      <w:r w:rsidR="003C47DA" w:rsidRPr="00A46198">
        <w:rPr>
          <w:rStyle w:val="References"/>
        </w:rPr>
        <w:t xml:space="preserve"> and </w:t>
      </w:r>
      <w:r w:rsidR="00065BB2" w:rsidRPr="00A46198">
        <w:rPr>
          <w:rStyle w:val="References"/>
        </w:rPr>
        <w:t>36</w:t>
      </w:r>
      <w:r w:rsidR="003C47DA" w:rsidRPr="00A46198">
        <w:rPr>
          <w:rStyle w:val="References"/>
        </w:rPr>
        <w:t xml:space="preserve">, </w:t>
      </w:r>
      <w:r w:rsidR="006B4219" w:rsidRPr="00A46198">
        <w:rPr>
          <w:rStyle w:val="References"/>
        </w:rPr>
        <w:t>section 254 of the SIS Act</w:t>
      </w:r>
      <w:r w:rsidR="007419A7" w:rsidRPr="00A46198">
        <w:rPr>
          <w:rStyle w:val="References"/>
        </w:rPr>
        <w:t xml:space="preserve">] </w:t>
      </w:r>
      <w:r w:rsidR="001F2085" w:rsidRPr="00A46198">
        <w:t xml:space="preserve"> </w:t>
      </w:r>
    </w:p>
    <w:p w14:paraId="0E0BD974" w14:textId="7A525657" w:rsidR="001F2085" w:rsidRPr="00A46198" w:rsidRDefault="003B2800" w:rsidP="00D54FFD">
      <w:pPr>
        <w:pStyle w:val="Normalparatextwithnumbers"/>
        <w:rPr>
          <w:rStyle w:val="References"/>
          <w:b w:val="0"/>
          <w:i w:val="0"/>
        </w:rPr>
      </w:pPr>
      <w:r w:rsidRPr="00A46198">
        <w:t>Prior</w:t>
      </w:r>
      <w:r w:rsidR="001F2085" w:rsidRPr="00A46198">
        <w:t xml:space="preserve"> to the </w:t>
      </w:r>
      <w:r w:rsidRPr="00A46198">
        <w:t>amendments, s</w:t>
      </w:r>
      <w:r w:rsidR="001F2085" w:rsidRPr="00A46198">
        <w:t>ubsection 254(1) of the SIS Act require</w:t>
      </w:r>
      <w:r w:rsidRPr="00A46198">
        <w:t>d</w:t>
      </w:r>
      <w:r w:rsidR="001F2085" w:rsidRPr="00A46198">
        <w:t xml:space="preserve"> the trustee of a superannuation entity to give APRA (or another body specified in the regulations) such information as is required by an approved form. </w:t>
      </w:r>
      <w:r w:rsidR="009D3F9D" w:rsidRPr="00A46198">
        <w:t xml:space="preserve">However, the Commissioner </w:t>
      </w:r>
      <w:r w:rsidR="00763303" w:rsidRPr="00A46198">
        <w:t xml:space="preserve">of Taxation </w:t>
      </w:r>
      <w:r w:rsidR="009741D2" w:rsidRPr="00A46198">
        <w:t xml:space="preserve">that </w:t>
      </w:r>
      <w:r w:rsidR="00763303" w:rsidRPr="00A46198">
        <w:t>is the relevant regulator for this requirement.</w:t>
      </w:r>
      <w:r w:rsidR="0042075B" w:rsidRPr="00A46198">
        <w:t xml:space="preserve"> The amendments replace the references to APRA with references to the Commissioner of Taxation.</w:t>
      </w:r>
      <w:r w:rsidR="0042075B" w:rsidRPr="00A46198">
        <w:br/>
      </w:r>
      <w:r w:rsidR="0042075B" w:rsidRPr="00A46198">
        <w:rPr>
          <w:rStyle w:val="References"/>
        </w:rPr>
        <w:t xml:space="preserve">[Schedule </w:t>
      </w:r>
      <w:r w:rsidR="00921015" w:rsidRPr="00A46198">
        <w:rPr>
          <w:rStyle w:val="References"/>
        </w:rPr>
        <w:t>#</w:t>
      </w:r>
      <w:r w:rsidR="0042075B" w:rsidRPr="00A46198">
        <w:rPr>
          <w:rStyle w:val="References"/>
        </w:rPr>
        <w:t xml:space="preserve">, item 35, subsection 254(2B) of the SIS Act] </w:t>
      </w:r>
    </w:p>
    <w:p w14:paraId="78FCBBBB" w14:textId="4EB42E0F" w:rsidR="007D29B8" w:rsidRPr="00A46198" w:rsidRDefault="001F2085" w:rsidP="004058B4">
      <w:pPr>
        <w:pStyle w:val="Normalparatextwithnumbers"/>
        <w:rPr>
          <w:rStyle w:val="References"/>
          <w:b w:val="0"/>
          <w:i w:val="0"/>
        </w:rPr>
      </w:pPr>
      <w:r w:rsidRPr="00A46198">
        <w:t xml:space="preserve">The amendments clarify that </w:t>
      </w:r>
      <w:r w:rsidR="00C027B2" w:rsidRPr="00A46198">
        <w:t xml:space="preserve">where a </w:t>
      </w:r>
      <w:r w:rsidR="00AC198A" w:rsidRPr="00A46198">
        <w:t xml:space="preserve">trustee is </w:t>
      </w:r>
      <w:r w:rsidR="007967D0" w:rsidRPr="00A46198">
        <w:t xml:space="preserve">required to </w:t>
      </w:r>
      <w:r w:rsidR="002B1E9B" w:rsidRPr="00A46198">
        <w:t>provide information</w:t>
      </w:r>
      <w:r w:rsidR="004D1A9F" w:rsidRPr="00A46198">
        <w:t xml:space="preserve"> to a person </w:t>
      </w:r>
      <w:r w:rsidR="00CF5FEE" w:rsidRPr="00A46198">
        <w:t>or body under subsection 254(1)</w:t>
      </w:r>
      <w:r w:rsidR="001144FA" w:rsidRPr="00A46198">
        <w:t xml:space="preserve"> of the SIS Act</w:t>
      </w:r>
      <w:r w:rsidR="00CF5FEE" w:rsidRPr="00A46198">
        <w:t>,</w:t>
      </w:r>
      <w:r w:rsidRPr="00A46198">
        <w:t xml:space="preserve"> the information must be given in the approved form if there is such a form. The amendments clarifies that if there is no form, the requirement is met if the information given is the information prescribed by the regulations. </w:t>
      </w:r>
      <w:r w:rsidR="007B415D" w:rsidRPr="00A46198">
        <w:t>The delegation of</w:t>
      </w:r>
      <w:r w:rsidR="00AD511E" w:rsidRPr="00A46198">
        <w:t xml:space="preserve"> this power to the regulations is </w:t>
      </w:r>
      <w:r w:rsidR="007B569D" w:rsidRPr="00A46198">
        <w:t xml:space="preserve">reasonable, </w:t>
      </w:r>
      <w:proofErr w:type="gramStart"/>
      <w:r w:rsidR="007B569D" w:rsidRPr="00A46198">
        <w:t>necessary</w:t>
      </w:r>
      <w:proofErr w:type="gramEnd"/>
      <w:r w:rsidR="007B569D" w:rsidRPr="00A46198">
        <w:t xml:space="preserve"> and proportionate because it </w:t>
      </w:r>
      <w:r w:rsidR="00BC7858" w:rsidRPr="00A46198">
        <w:t xml:space="preserve">provides certainty to </w:t>
      </w:r>
      <w:r w:rsidR="00E1579E" w:rsidRPr="00A46198">
        <w:t>trustees who are required to provide information. It provides an alternative method of prescribing</w:t>
      </w:r>
      <w:r w:rsidR="00B36BAC" w:rsidRPr="00A46198">
        <w:t>, by regulations,</w:t>
      </w:r>
      <w:r w:rsidR="00E1579E" w:rsidRPr="00A46198">
        <w:t xml:space="preserve"> of </w:t>
      </w:r>
      <w:r w:rsidR="00B36BAC" w:rsidRPr="00A46198">
        <w:t>how information must be presented in circumstances where an</w:t>
      </w:r>
      <w:r w:rsidR="00230711" w:rsidRPr="00A46198">
        <w:t xml:space="preserve"> approved form is not made.</w:t>
      </w:r>
      <w:r w:rsidR="00432E7F" w:rsidRPr="00A46198">
        <w:t xml:space="preserve"> </w:t>
      </w:r>
      <w:r w:rsidR="00186F5B" w:rsidRPr="00A46198">
        <w:t xml:space="preserve"> </w:t>
      </w:r>
      <w:r w:rsidR="00FE7E4D" w:rsidRPr="00A46198">
        <w:br/>
      </w:r>
      <w:r w:rsidR="00FE7E4D" w:rsidRPr="00A46198">
        <w:rPr>
          <w:rStyle w:val="References"/>
        </w:rPr>
        <w:t xml:space="preserve">[Schedule </w:t>
      </w:r>
      <w:r w:rsidR="006E2065" w:rsidRPr="00A46198">
        <w:rPr>
          <w:rStyle w:val="References"/>
        </w:rPr>
        <w:t>#</w:t>
      </w:r>
      <w:r w:rsidR="00FE7E4D" w:rsidRPr="00A46198">
        <w:rPr>
          <w:rStyle w:val="References"/>
        </w:rPr>
        <w:t>, item</w:t>
      </w:r>
      <w:r w:rsidR="0096559E" w:rsidRPr="00A46198">
        <w:rPr>
          <w:rStyle w:val="References"/>
        </w:rPr>
        <w:t xml:space="preserve"> 35</w:t>
      </w:r>
      <w:r w:rsidR="00FE7E4D" w:rsidRPr="00A46198">
        <w:rPr>
          <w:rStyle w:val="References"/>
        </w:rPr>
        <w:t xml:space="preserve">, </w:t>
      </w:r>
      <w:r w:rsidR="00C351A7" w:rsidRPr="00A46198">
        <w:rPr>
          <w:rStyle w:val="References"/>
        </w:rPr>
        <w:t xml:space="preserve">subsections </w:t>
      </w:r>
      <w:r w:rsidR="00E76108" w:rsidRPr="00A46198">
        <w:rPr>
          <w:rStyle w:val="References"/>
        </w:rPr>
        <w:t>25</w:t>
      </w:r>
      <w:r w:rsidR="00EB3208" w:rsidRPr="00A46198">
        <w:rPr>
          <w:rStyle w:val="References"/>
        </w:rPr>
        <w:t>4</w:t>
      </w:r>
      <w:r w:rsidR="00E76108" w:rsidRPr="00A46198">
        <w:rPr>
          <w:rStyle w:val="References"/>
        </w:rPr>
        <w:t>(2A) and (2B)</w:t>
      </w:r>
      <w:r w:rsidR="00FE7E4D" w:rsidRPr="00A46198">
        <w:rPr>
          <w:rStyle w:val="References"/>
        </w:rPr>
        <w:t xml:space="preserve"> of </w:t>
      </w:r>
      <w:r w:rsidR="00E76108" w:rsidRPr="00A46198">
        <w:rPr>
          <w:rStyle w:val="References"/>
        </w:rPr>
        <w:t>the SIS Act</w:t>
      </w:r>
      <w:r w:rsidR="00FE7E4D" w:rsidRPr="00A46198">
        <w:rPr>
          <w:rStyle w:val="References"/>
        </w:rPr>
        <w:t>]</w:t>
      </w:r>
    </w:p>
    <w:p w14:paraId="36D70E05" w14:textId="04668EB4" w:rsidR="00B36BAC" w:rsidRPr="00A46198" w:rsidRDefault="00B36BAC" w:rsidP="00B36BAC">
      <w:pPr>
        <w:pStyle w:val="Normalparatextwithnumbers"/>
      </w:pPr>
      <w:r w:rsidRPr="00A46198">
        <w:t>The regulation-making power reduces the complexity of the Act by removing the administrative and technical matters from the primary law and unfolding that detail in a lower level of legislation. This accords with hierarchy of laws principles and increases the readability of the Act. As a consequence, the amendments aim to improve the level of understanding about responsibilities and obligations and, ultimately, compliance with regulatory expectations.</w:t>
      </w:r>
    </w:p>
    <w:p w14:paraId="73419F78" w14:textId="77777777" w:rsidR="00B36BAC" w:rsidRPr="00A46198" w:rsidRDefault="00B36BAC" w:rsidP="00B36BAC">
      <w:pPr>
        <w:pStyle w:val="Normalparatextwithnumbers"/>
      </w:pPr>
      <w:r w:rsidRPr="00A46198">
        <w:t xml:space="preserve">Additionally, the regulation-making power is appropriate and necessary as it ensures there is sufficient flexibility for the Government to make timely changes in response to evolving industry practices. Without the relevant information the Commissioner of Taxation cannot monitor superannuation entities. Any regulations made would be subject to parliamentary scrutiny, including disallowance and sunset after ten years. </w:t>
      </w:r>
    </w:p>
    <w:p w14:paraId="75663404" w14:textId="77F8B09F" w:rsidR="00E252AC" w:rsidRPr="00A46198" w:rsidRDefault="00816934" w:rsidP="004058B4">
      <w:pPr>
        <w:pStyle w:val="Normalparatextwithnumbers"/>
      </w:pPr>
      <w:r w:rsidRPr="00A46198">
        <w:t>The amendments update</w:t>
      </w:r>
      <w:r w:rsidR="001F2085" w:rsidRPr="00A46198">
        <w:t xml:space="preserve"> section 299U </w:t>
      </w:r>
      <w:r w:rsidR="006E2065" w:rsidRPr="00A46198">
        <w:t>of the SIS Act</w:t>
      </w:r>
      <w:r w:rsidR="001F2085" w:rsidRPr="00A46198">
        <w:t xml:space="preserve"> to clarify that where the information given is the information prescribed by the regulations (</w:t>
      </w:r>
      <w:r w:rsidR="006E2065" w:rsidRPr="00A46198">
        <w:t xml:space="preserve">in the case </w:t>
      </w:r>
      <w:r w:rsidR="007B415D" w:rsidRPr="00A46198">
        <w:t xml:space="preserve">of </w:t>
      </w:r>
      <w:r w:rsidR="001F2085" w:rsidRPr="00A46198">
        <w:t xml:space="preserve">where there is no approved form) the information prescribed may include a tax file number of the entity. </w:t>
      </w:r>
      <w:r w:rsidR="007B415D" w:rsidRPr="00A46198">
        <w:t>Under these amendments, t</w:t>
      </w:r>
      <w:r w:rsidR="001F2085" w:rsidRPr="00A46198">
        <w:t xml:space="preserve">he collection, use, disclosure or handling of a tax file number is reasonable, </w:t>
      </w:r>
      <w:proofErr w:type="gramStart"/>
      <w:r w:rsidR="001F2085" w:rsidRPr="00A46198">
        <w:t>necessary</w:t>
      </w:r>
      <w:proofErr w:type="gramEnd"/>
      <w:r w:rsidR="001F2085" w:rsidRPr="00A46198">
        <w:t xml:space="preserve"> and proportionate to allow the monitoring of superannuation entities by the regulator. This collection is consistent with the existing policy for where the information collected by an approved form</w:t>
      </w:r>
      <w:r w:rsidR="006D0BDF" w:rsidRPr="00A46198">
        <w:t xml:space="preserve"> (subsection</w:t>
      </w:r>
      <w:r w:rsidR="007B415D" w:rsidRPr="00A46198">
        <w:t>s</w:t>
      </w:r>
      <w:r w:rsidR="006D0BDF" w:rsidRPr="00A46198">
        <w:t xml:space="preserve"> 299U(8) and 254(1) of the </w:t>
      </w:r>
      <w:r w:rsidR="007B415D" w:rsidRPr="00A46198">
        <w:t>SIS Act prior to the amendments</w:t>
      </w:r>
      <w:r w:rsidR="006D0BDF" w:rsidRPr="00A46198">
        <w:t>).</w:t>
      </w:r>
      <w:r w:rsidR="00BC2D8C" w:rsidRPr="00A46198">
        <w:br/>
      </w:r>
      <w:r w:rsidR="00BC2D8C" w:rsidRPr="00A46198">
        <w:rPr>
          <w:rStyle w:val="References"/>
        </w:rPr>
        <w:t xml:space="preserve">[Schedule </w:t>
      </w:r>
      <w:r w:rsidR="006E70A7" w:rsidRPr="00A46198">
        <w:rPr>
          <w:rStyle w:val="References"/>
        </w:rPr>
        <w:t>#</w:t>
      </w:r>
      <w:r w:rsidR="00BC2D8C" w:rsidRPr="00A46198">
        <w:rPr>
          <w:rStyle w:val="References"/>
        </w:rPr>
        <w:t xml:space="preserve">, item </w:t>
      </w:r>
      <w:r w:rsidR="003B1A63" w:rsidRPr="00A46198">
        <w:rPr>
          <w:rStyle w:val="References"/>
        </w:rPr>
        <w:t>38</w:t>
      </w:r>
      <w:r w:rsidR="00BC2D8C" w:rsidRPr="00A46198">
        <w:rPr>
          <w:rStyle w:val="References"/>
        </w:rPr>
        <w:t xml:space="preserve">, </w:t>
      </w:r>
      <w:r w:rsidR="003B1A63" w:rsidRPr="00A46198">
        <w:rPr>
          <w:rStyle w:val="References"/>
        </w:rPr>
        <w:t>subsections 299U(8</w:t>
      </w:r>
      <w:r w:rsidR="000841A6" w:rsidRPr="00A46198">
        <w:rPr>
          <w:rStyle w:val="References"/>
        </w:rPr>
        <w:t>A</w:t>
      </w:r>
      <w:r w:rsidR="003B1A63" w:rsidRPr="00A46198">
        <w:rPr>
          <w:rStyle w:val="References"/>
        </w:rPr>
        <w:t xml:space="preserve">) </w:t>
      </w:r>
      <w:r w:rsidR="00BC2D8C" w:rsidRPr="00A46198">
        <w:rPr>
          <w:rStyle w:val="References"/>
        </w:rPr>
        <w:t xml:space="preserve">of </w:t>
      </w:r>
      <w:r w:rsidR="003B1A63" w:rsidRPr="00A46198">
        <w:rPr>
          <w:rStyle w:val="References"/>
        </w:rPr>
        <w:t>the SIS Act</w:t>
      </w:r>
      <w:r w:rsidR="00BC2D8C" w:rsidRPr="00A46198">
        <w:rPr>
          <w:rStyle w:val="References"/>
        </w:rPr>
        <w:t xml:space="preserve">] </w:t>
      </w:r>
    </w:p>
    <w:p w14:paraId="4168042D" w14:textId="3A1BCBE2" w:rsidR="003527A2" w:rsidRPr="00A46198" w:rsidRDefault="003527A2" w:rsidP="00B36BAC">
      <w:pPr>
        <w:pStyle w:val="Normalparatextwithnumbers"/>
      </w:pPr>
      <w:r w:rsidRPr="00A46198">
        <w:lastRenderedPageBreak/>
        <w:t xml:space="preserve">The amendments provide for regulations to prescribe the period for providing the information requirement on the establishment of the superannuation entity. If no period is prescribed the information must be given </w:t>
      </w:r>
      <w:r w:rsidR="006C3A33" w:rsidRPr="00A46198">
        <w:t>within </w:t>
      </w:r>
      <w:r w:rsidRPr="00A46198">
        <w:t xml:space="preserve">7 days after the establishment of the superannuation entity. This incorporates into the SIS Act the </w:t>
      </w:r>
      <w:proofErr w:type="gramStart"/>
      <w:r w:rsidRPr="00A46198">
        <w:t>time period</w:t>
      </w:r>
      <w:proofErr w:type="gramEnd"/>
      <w:r w:rsidRPr="00A46198">
        <w:t xml:space="preserve"> that is currently specified by the regulations. </w:t>
      </w:r>
      <w:r w:rsidR="00B132EE" w:rsidRPr="00A46198">
        <w:br/>
      </w:r>
      <w:r w:rsidR="00B132EE" w:rsidRPr="00A46198">
        <w:rPr>
          <w:rStyle w:val="References"/>
        </w:rPr>
        <w:t xml:space="preserve">[Schedule </w:t>
      </w:r>
      <w:r w:rsidR="006E70A7" w:rsidRPr="00A46198">
        <w:rPr>
          <w:rStyle w:val="References"/>
        </w:rPr>
        <w:t>#</w:t>
      </w:r>
      <w:r w:rsidR="00B132EE" w:rsidRPr="00A46198">
        <w:rPr>
          <w:rStyle w:val="References"/>
        </w:rPr>
        <w:t>, item</w:t>
      </w:r>
      <w:r w:rsidR="004B07D9" w:rsidRPr="00A46198">
        <w:rPr>
          <w:rStyle w:val="References"/>
        </w:rPr>
        <w:t xml:space="preserve"> 35</w:t>
      </w:r>
      <w:r w:rsidR="00B132EE" w:rsidRPr="00A46198">
        <w:rPr>
          <w:rStyle w:val="References"/>
        </w:rPr>
        <w:t xml:space="preserve">, </w:t>
      </w:r>
      <w:r w:rsidR="004B07D9" w:rsidRPr="00A46198">
        <w:rPr>
          <w:rStyle w:val="References"/>
        </w:rPr>
        <w:t>subsection 254(2)</w:t>
      </w:r>
      <w:r w:rsidR="00B132EE" w:rsidRPr="00A46198">
        <w:rPr>
          <w:rStyle w:val="References"/>
        </w:rPr>
        <w:t xml:space="preserve"> of </w:t>
      </w:r>
      <w:r w:rsidR="004B07D9" w:rsidRPr="00A46198">
        <w:rPr>
          <w:rStyle w:val="References"/>
        </w:rPr>
        <w:t>the SIS Act</w:t>
      </w:r>
      <w:r w:rsidR="00B132EE" w:rsidRPr="00A46198">
        <w:rPr>
          <w:rStyle w:val="References"/>
        </w:rPr>
        <w:t xml:space="preserve">] </w:t>
      </w:r>
    </w:p>
    <w:p w14:paraId="7BA37C22" w14:textId="38F78E91" w:rsidR="003527A2" w:rsidRPr="00A46198" w:rsidRDefault="003527A2" w:rsidP="00DA68F2">
      <w:pPr>
        <w:pStyle w:val="Normalparatextwithnumbers"/>
      </w:pPr>
      <w:r w:rsidRPr="00A46198">
        <w:t xml:space="preserve">The amendments do not amend the existing penalties for the failure to give information on establishment of superannuation entity. The </w:t>
      </w:r>
      <w:r w:rsidR="006C3A33" w:rsidRPr="00A46198">
        <w:t>existing</w:t>
      </w:r>
      <w:r w:rsidRPr="00A46198">
        <w:t xml:space="preserve"> offences continue to apply. </w:t>
      </w:r>
      <w:r w:rsidR="006C3A33" w:rsidRPr="00A46198">
        <w:t>For information, c</w:t>
      </w:r>
      <w:r w:rsidRPr="00A46198">
        <w:t>ontravention of section 254 is punishable by a fine of 50 penalty units. This is also a strict liability offence punishable by a fine of 20</w:t>
      </w:r>
      <w:r w:rsidR="006C3A33" w:rsidRPr="00A46198">
        <w:t> </w:t>
      </w:r>
      <w:r w:rsidRPr="00A46198">
        <w:t>penalty units. Strict liability is appropriate in this circumstance, as it is necessary to strongly deter misconduct that can have serious detriment for members and the integrity of the superannuation system. Without the information</w:t>
      </w:r>
      <w:r w:rsidR="006C3A33" w:rsidRPr="00A46198">
        <w:t>,</w:t>
      </w:r>
      <w:r w:rsidRPr="00A46198">
        <w:t xml:space="preserve"> the regulator cannot monitor superannuation entities.</w:t>
      </w:r>
    </w:p>
    <w:p w14:paraId="49DE120C" w14:textId="13E0FA32" w:rsidR="003527A2" w:rsidRPr="00A46198" w:rsidRDefault="003527A2" w:rsidP="00DA68F2">
      <w:pPr>
        <w:pStyle w:val="Normalparatextwithnumbers"/>
      </w:pPr>
      <w:r w:rsidRPr="00A46198">
        <w:t xml:space="preserve">Strict liability </w:t>
      </w:r>
      <w:r w:rsidR="006C3A33" w:rsidRPr="00A46198">
        <w:t xml:space="preserve">aims to </w:t>
      </w:r>
      <w:r w:rsidRPr="00A46198">
        <w:t>reduce non</w:t>
      </w:r>
      <w:r w:rsidR="006C3A33" w:rsidRPr="00A46198">
        <w:t>-</w:t>
      </w:r>
      <w:r w:rsidRPr="00A46198">
        <w:t xml:space="preserve">compliance, which bolsters the integrity of the regulatory regime enforced by the Commissioner of Taxation. Strict liability is appropriate where there is a need to ensure offences are dealt with expeditiously to maintain public confidence in the regulatory regime. </w:t>
      </w:r>
    </w:p>
    <w:p w14:paraId="67672D33" w14:textId="77777777" w:rsidR="003527A2" w:rsidRPr="00A46198" w:rsidRDefault="003527A2" w:rsidP="00DA68F2">
      <w:pPr>
        <w:pStyle w:val="Normalparatextwithnumbers"/>
      </w:pPr>
      <w:r w:rsidRPr="00A46198">
        <w:t>The strict liability in section 254 meets all the conditions listed in the Attorney-General’s Department’s A Guide to Framing Commonwealth Offences, Infringement Notices and Enforcement Powers. For example, the fines for the offences do not exceed 60 penalty units for persons other than a body corporate or 300 penalty units for a body corporate. The application of strict liability, as opposed to absolute liability, preserves the defence of honest and reasonable mistake of fact.</w:t>
      </w:r>
    </w:p>
    <w:p w14:paraId="642DC71E" w14:textId="045C5541" w:rsidR="00632028" w:rsidRPr="00A46198" w:rsidRDefault="00632028" w:rsidP="006535D8">
      <w:pPr>
        <w:pStyle w:val="Normalparatextwithnumbers"/>
      </w:pPr>
      <w:r w:rsidRPr="00A46198">
        <w:t xml:space="preserve">The amendments do not amend the existing penalties for the failure to </w:t>
      </w:r>
      <w:r w:rsidR="00C26C52" w:rsidRPr="00A46198">
        <w:t xml:space="preserve">provide </w:t>
      </w:r>
      <w:r w:rsidRPr="00A46198">
        <w:t xml:space="preserve">information the </w:t>
      </w:r>
      <w:r w:rsidR="00C26C52" w:rsidRPr="00A46198">
        <w:t>r</w:t>
      </w:r>
      <w:r w:rsidRPr="00A46198">
        <w:t xml:space="preserve">egulator may request by written notice. </w:t>
      </w:r>
      <w:r w:rsidR="00C26C52" w:rsidRPr="00A46198">
        <w:t>For information, s</w:t>
      </w:r>
      <w:r w:rsidRPr="00A46198">
        <w:t>ection</w:t>
      </w:r>
      <w:r w:rsidR="00C26C52" w:rsidRPr="00A46198">
        <w:t> </w:t>
      </w:r>
      <w:r w:rsidRPr="00A46198">
        <w:t xml:space="preserve">285 </w:t>
      </w:r>
      <w:r w:rsidR="00C26C52" w:rsidRPr="00A46198">
        <w:t xml:space="preserve">of the SIS Act </w:t>
      </w:r>
      <w:r w:rsidRPr="00A46198">
        <w:t xml:space="preserve">applies </w:t>
      </w:r>
      <w:r w:rsidR="00C26C52" w:rsidRPr="00A46198">
        <w:t>where</w:t>
      </w:r>
      <w:r w:rsidRPr="00A46198">
        <w:t xml:space="preserve"> a person intentionally or recklessly refuse</w:t>
      </w:r>
      <w:r w:rsidR="00C26C52" w:rsidRPr="00A46198">
        <w:t>s</w:t>
      </w:r>
      <w:r w:rsidRPr="00A46198">
        <w:t xml:space="preserve"> or fail</w:t>
      </w:r>
      <w:r w:rsidR="00C26C52" w:rsidRPr="00A46198">
        <w:t>s</w:t>
      </w:r>
      <w:r w:rsidRPr="00A46198">
        <w:t xml:space="preserve"> to comply with the requirement</w:t>
      </w:r>
      <w:r w:rsidR="00C26C52" w:rsidRPr="00A46198">
        <w:t>. Under the existing law, they</w:t>
      </w:r>
      <w:r w:rsidRPr="00A46198">
        <w:t xml:space="preserve"> may be subject to a fine of 30 penalty units. A note is inserted to section 254A to clarify that failure to comply with the requirement of section 254A is an offence.</w:t>
      </w:r>
      <w:r w:rsidR="00623AD4" w:rsidRPr="00A46198">
        <w:br/>
      </w:r>
      <w:r w:rsidR="00623AD4" w:rsidRPr="00A46198">
        <w:rPr>
          <w:rStyle w:val="References"/>
        </w:rPr>
        <w:t xml:space="preserve">[Schedule </w:t>
      </w:r>
      <w:r w:rsidR="00C26C52" w:rsidRPr="00A46198">
        <w:rPr>
          <w:rStyle w:val="References"/>
        </w:rPr>
        <w:t>#</w:t>
      </w:r>
      <w:r w:rsidR="00623AD4" w:rsidRPr="00A46198">
        <w:rPr>
          <w:rStyle w:val="References"/>
        </w:rPr>
        <w:t xml:space="preserve">, item 37, </w:t>
      </w:r>
      <w:r w:rsidR="00D108FC" w:rsidRPr="00A46198">
        <w:rPr>
          <w:rStyle w:val="References"/>
        </w:rPr>
        <w:t>Note 2 to section 254A</w:t>
      </w:r>
      <w:r w:rsidR="00623AD4" w:rsidRPr="00A46198">
        <w:rPr>
          <w:rStyle w:val="References"/>
        </w:rPr>
        <w:t xml:space="preserve"> of </w:t>
      </w:r>
      <w:r w:rsidR="00D108FC" w:rsidRPr="00A46198">
        <w:rPr>
          <w:rStyle w:val="References"/>
        </w:rPr>
        <w:t>the SIS Act</w:t>
      </w:r>
      <w:r w:rsidR="00623AD4" w:rsidRPr="00A46198">
        <w:rPr>
          <w:rStyle w:val="References"/>
        </w:rPr>
        <w:t xml:space="preserve">] </w:t>
      </w:r>
    </w:p>
    <w:p w14:paraId="4B3CC4B5" w14:textId="6533CD82" w:rsidR="00632028" w:rsidRPr="00A46198" w:rsidRDefault="00632028" w:rsidP="0027008A">
      <w:pPr>
        <w:pStyle w:val="Normalparatextwithnumbers"/>
      </w:pPr>
      <w:r w:rsidRPr="00A46198">
        <w:t xml:space="preserve">Consequential amendments are made to various provisions of the SIS Act to </w:t>
      </w:r>
      <w:r w:rsidR="00C26C52" w:rsidRPr="00A46198">
        <w:t xml:space="preserve">include </w:t>
      </w:r>
      <w:r w:rsidRPr="00A46198">
        <w:t xml:space="preserve">the references to new section 254A </w:t>
      </w:r>
      <w:r w:rsidR="00B25D64" w:rsidRPr="00A46198">
        <w:t xml:space="preserve">of the SIS Act </w:t>
      </w:r>
      <w:r w:rsidRPr="00A46198">
        <w:t>to those provisions or update references to reflect the repeal of section 254 of the SIS Act and the two new sections 254 and 254A.</w:t>
      </w:r>
      <w:r w:rsidR="00D108FC" w:rsidRPr="00A46198">
        <w:br/>
      </w:r>
      <w:r w:rsidR="00D108FC" w:rsidRPr="00A46198">
        <w:rPr>
          <w:rStyle w:val="References"/>
        </w:rPr>
        <w:t xml:space="preserve">[Schedule </w:t>
      </w:r>
      <w:r w:rsidR="004745C1" w:rsidRPr="00A46198">
        <w:rPr>
          <w:rStyle w:val="References"/>
        </w:rPr>
        <w:t>#</w:t>
      </w:r>
      <w:r w:rsidR="00D108FC" w:rsidRPr="00A46198">
        <w:rPr>
          <w:rStyle w:val="References"/>
        </w:rPr>
        <w:t>, items</w:t>
      </w:r>
      <w:r w:rsidR="00B1031A" w:rsidRPr="00A46198">
        <w:rPr>
          <w:rStyle w:val="References"/>
        </w:rPr>
        <w:t xml:space="preserve"> 32, 33</w:t>
      </w:r>
      <w:r w:rsidR="00D108FC" w:rsidRPr="00A46198">
        <w:rPr>
          <w:rStyle w:val="References"/>
        </w:rPr>
        <w:t xml:space="preserve"> </w:t>
      </w:r>
      <w:r w:rsidR="00D84EB1" w:rsidRPr="00A46198">
        <w:rPr>
          <w:rStyle w:val="References"/>
        </w:rPr>
        <w:t xml:space="preserve">and </w:t>
      </w:r>
      <w:r w:rsidR="00FD3E7C" w:rsidRPr="00A46198">
        <w:rPr>
          <w:rStyle w:val="References"/>
        </w:rPr>
        <w:t>39</w:t>
      </w:r>
      <w:r w:rsidR="00D108FC" w:rsidRPr="00A46198">
        <w:rPr>
          <w:rStyle w:val="References"/>
        </w:rPr>
        <w:t xml:space="preserve">, </w:t>
      </w:r>
      <w:r w:rsidR="00C239BF" w:rsidRPr="00A46198">
        <w:rPr>
          <w:rStyle w:val="References"/>
        </w:rPr>
        <w:t xml:space="preserve">section 253 (note 1), </w:t>
      </w:r>
      <w:r w:rsidR="00A4240C" w:rsidRPr="00A46198">
        <w:rPr>
          <w:rStyle w:val="References"/>
        </w:rPr>
        <w:t>subsection</w:t>
      </w:r>
      <w:r w:rsidR="008964B9" w:rsidRPr="00A46198">
        <w:rPr>
          <w:rStyle w:val="References"/>
        </w:rPr>
        <w:t>s</w:t>
      </w:r>
      <w:r w:rsidR="00A4240C" w:rsidRPr="00A46198">
        <w:rPr>
          <w:rStyle w:val="References"/>
        </w:rPr>
        <w:t xml:space="preserve"> 166(1)</w:t>
      </w:r>
      <w:r w:rsidR="00C239BF" w:rsidRPr="00A46198">
        <w:rPr>
          <w:rStyle w:val="References"/>
        </w:rPr>
        <w:t xml:space="preserve"> and </w:t>
      </w:r>
      <w:r w:rsidR="009364DE" w:rsidRPr="00A46198">
        <w:rPr>
          <w:rStyle w:val="References"/>
        </w:rPr>
        <w:t>299</w:t>
      </w:r>
      <w:proofErr w:type="gramStart"/>
      <w:r w:rsidR="009364DE" w:rsidRPr="00A46198">
        <w:rPr>
          <w:rStyle w:val="References"/>
        </w:rPr>
        <w:t>U(</w:t>
      </w:r>
      <w:proofErr w:type="gramEnd"/>
      <w:r w:rsidR="009364DE" w:rsidRPr="00A46198">
        <w:rPr>
          <w:rStyle w:val="References"/>
        </w:rPr>
        <w:t>9)</w:t>
      </w:r>
      <w:r w:rsidR="00D108FC" w:rsidRPr="00A46198">
        <w:rPr>
          <w:rStyle w:val="References"/>
        </w:rPr>
        <w:t xml:space="preserve"> of </w:t>
      </w:r>
      <w:r w:rsidR="009364DE" w:rsidRPr="00A46198">
        <w:rPr>
          <w:rStyle w:val="References"/>
        </w:rPr>
        <w:t>the SIS Act</w:t>
      </w:r>
      <w:r w:rsidR="00D108FC" w:rsidRPr="00A46198">
        <w:rPr>
          <w:rStyle w:val="References"/>
        </w:rPr>
        <w:t xml:space="preserve">] </w:t>
      </w:r>
    </w:p>
    <w:p w14:paraId="115CA52A" w14:textId="40EB88FF" w:rsidR="00632028" w:rsidRPr="00A46198" w:rsidRDefault="00B25D64" w:rsidP="0027008A">
      <w:pPr>
        <w:pStyle w:val="Normalparatextwithnumbers"/>
      </w:pPr>
      <w:r w:rsidRPr="00A46198">
        <w:t>New s</w:t>
      </w:r>
      <w:r w:rsidR="00632028" w:rsidRPr="00A46198">
        <w:t>ection 254 of the SIS Act applies in relation to superannuation entities established on or after the commencement of this item. The amendments made by this Division do not apply in relation to a notice given under subsection 254(2) of the SIS Act before the commencement of th</w:t>
      </w:r>
      <w:r w:rsidRPr="00A46198">
        <w:t>ese the amendments</w:t>
      </w:r>
      <w:r w:rsidR="00516E05" w:rsidRPr="00A46198">
        <w:t xml:space="preserve"> (the day after Royal Assent of the Bill)</w:t>
      </w:r>
      <w:r w:rsidR="00632028" w:rsidRPr="00A46198">
        <w:t xml:space="preserve">. </w:t>
      </w:r>
      <w:r w:rsidR="009364DE" w:rsidRPr="00A46198">
        <w:br/>
      </w:r>
      <w:r w:rsidR="009364DE" w:rsidRPr="00A46198">
        <w:rPr>
          <w:rStyle w:val="References"/>
        </w:rPr>
        <w:t xml:space="preserve">[Schedule </w:t>
      </w:r>
      <w:r w:rsidRPr="00A46198">
        <w:rPr>
          <w:rStyle w:val="References"/>
        </w:rPr>
        <w:t>#</w:t>
      </w:r>
      <w:r w:rsidR="009364DE" w:rsidRPr="00A46198">
        <w:rPr>
          <w:rStyle w:val="References"/>
        </w:rPr>
        <w:t xml:space="preserve">, item </w:t>
      </w:r>
      <w:r w:rsidR="003C3B8B" w:rsidRPr="00A46198">
        <w:rPr>
          <w:rStyle w:val="References"/>
        </w:rPr>
        <w:t>40</w:t>
      </w:r>
      <w:r w:rsidR="009364DE" w:rsidRPr="00A46198">
        <w:rPr>
          <w:rStyle w:val="References"/>
        </w:rPr>
        <w:t xml:space="preserve">] </w:t>
      </w:r>
    </w:p>
    <w:p w14:paraId="654C113A" w14:textId="66AB3C3B" w:rsidR="00632028" w:rsidRPr="00A46198" w:rsidRDefault="00632028" w:rsidP="0027008A">
      <w:pPr>
        <w:pStyle w:val="Normalparatextwithnumbers"/>
      </w:pPr>
      <w:r w:rsidRPr="00A46198">
        <w:lastRenderedPageBreak/>
        <w:t>A transitional provision ensure</w:t>
      </w:r>
      <w:r w:rsidR="00516E05" w:rsidRPr="00A46198">
        <w:t>s</w:t>
      </w:r>
      <w:r w:rsidRPr="00A46198">
        <w:t xml:space="preserve"> that where the Commissioner of Taxation makes an authorisation allowing another staff member in the </w:t>
      </w:r>
      <w:r w:rsidR="00516E05" w:rsidRPr="00A46198">
        <w:t xml:space="preserve">Australian Taxation Office </w:t>
      </w:r>
      <w:r w:rsidRPr="00A46198">
        <w:t xml:space="preserve">to be the receiver of the information required to be given by the trustees of superannuation entities, that authorisation has effect from the commencement of </w:t>
      </w:r>
      <w:r w:rsidR="00516E05" w:rsidRPr="00A46198">
        <w:t xml:space="preserve">new </w:t>
      </w:r>
      <w:r w:rsidRPr="00A46198">
        <w:t xml:space="preserve">subsection 254A. </w:t>
      </w:r>
      <w:r w:rsidR="00516E05" w:rsidRPr="00A46198">
        <w:t>In effect,</w:t>
      </w:r>
      <w:r w:rsidRPr="00A46198">
        <w:t xml:space="preserve"> if the Commissioner of Taxation </w:t>
      </w:r>
      <w:r w:rsidR="00516E05" w:rsidRPr="00A46198">
        <w:t xml:space="preserve">has </w:t>
      </w:r>
      <w:r w:rsidRPr="00A46198">
        <w:t xml:space="preserve">made an authorisation before the commencement of section 254A, that authorisation is not </w:t>
      </w:r>
      <w:r w:rsidR="00516E05" w:rsidRPr="00A46198">
        <w:t xml:space="preserve">rendered </w:t>
      </w:r>
      <w:r w:rsidRPr="00A46198">
        <w:t xml:space="preserve">invalid </w:t>
      </w:r>
      <w:r w:rsidR="00516E05" w:rsidRPr="00A46198">
        <w:t xml:space="preserve">merely </w:t>
      </w:r>
      <w:r w:rsidRPr="00A46198">
        <w:t>because it was made before the commencement.</w:t>
      </w:r>
      <w:r w:rsidR="003C3B8B" w:rsidRPr="00A46198">
        <w:br/>
      </w:r>
      <w:r w:rsidR="003C3B8B" w:rsidRPr="00A46198">
        <w:rPr>
          <w:rStyle w:val="References"/>
        </w:rPr>
        <w:t xml:space="preserve">[Schedule </w:t>
      </w:r>
      <w:r w:rsidR="00516E05" w:rsidRPr="00A46198">
        <w:rPr>
          <w:rStyle w:val="References"/>
        </w:rPr>
        <w:t>#</w:t>
      </w:r>
      <w:r w:rsidR="003C3B8B" w:rsidRPr="00A46198">
        <w:rPr>
          <w:rStyle w:val="References"/>
        </w:rPr>
        <w:t xml:space="preserve">, item 41] </w:t>
      </w:r>
      <w:r w:rsidRPr="00A46198">
        <w:t xml:space="preserve">  </w:t>
      </w:r>
    </w:p>
    <w:p w14:paraId="0773D7C4" w14:textId="77777777" w:rsidR="00516E05" w:rsidRPr="00A46198" w:rsidRDefault="00516E05" w:rsidP="41C0CBF3">
      <w:pPr>
        <w:pStyle w:val="Normalparatextwithnumbers"/>
        <w:numPr>
          <w:ilvl w:val="0"/>
          <w:numId w:val="0"/>
        </w:numPr>
      </w:pPr>
    </w:p>
    <w:p w14:paraId="47357423" w14:textId="13502942" w:rsidR="00EF549D" w:rsidRPr="00A46198" w:rsidRDefault="00EF549D" w:rsidP="006A5770">
      <w:pPr>
        <w:pStyle w:val="Heading3"/>
      </w:pPr>
      <w:r w:rsidRPr="00A46198">
        <w:t>Part 2</w:t>
      </w:r>
      <w:r w:rsidR="006A5770" w:rsidRPr="00A46198">
        <w:t xml:space="preserve"> – Amendments commencing first day of next quarter</w:t>
      </w:r>
    </w:p>
    <w:p w14:paraId="0B3430AD" w14:textId="73BCEE66" w:rsidR="00A57E20" w:rsidRPr="00A46198" w:rsidRDefault="00A57E20" w:rsidP="00A46198">
      <w:pPr>
        <w:pStyle w:val="Heading7"/>
      </w:pPr>
      <w:r w:rsidRPr="00A46198">
        <w:t xml:space="preserve">[MTA </w:t>
      </w:r>
      <w:r w:rsidR="001848A2" w:rsidRPr="00A46198">
        <w:t>(</w:t>
      </w:r>
      <w:r w:rsidR="000873F3" w:rsidRPr="00A46198">
        <w:t>Typographical errors in the GST Act</w:t>
      </w:r>
      <w:r w:rsidR="001848A2" w:rsidRPr="00A46198">
        <w:t>)</w:t>
      </w:r>
      <w:r w:rsidRPr="00A46198">
        <w:t>]</w:t>
      </w:r>
    </w:p>
    <w:p w14:paraId="21FE267F" w14:textId="445A6413" w:rsidR="00EF549D" w:rsidRPr="00A46198" w:rsidRDefault="00EF549D" w:rsidP="00F375D1">
      <w:pPr>
        <w:pStyle w:val="Heading4"/>
      </w:pPr>
      <w:r w:rsidRPr="00A46198">
        <w:t>Division 1</w:t>
      </w:r>
      <w:r w:rsidR="006A5770" w:rsidRPr="00A46198">
        <w:t xml:space="preserve"> – A New Tax System (Goods and Services Tax) Act 1999</w:t>
      </w:r>
    </w:p>
    <w:p w14:paraId="2535C1D1" w14:textId="74F93B4B" w:rsidR="006A5770" w:rsidRPr="00A46198" w:rsidRDefault="00516E05" w:rsidP="00516E05">
      <w:pPr>
        <w:pStyle w:val="Normalparatextwithnumbers"/>
      </w:pPr>
      <w:r w:rsidRPr="00A46198">
        <w:t xml:space="preserve">Division 1 of Part 2 of Schedule # to the Bill </w:t>
      </w:r>
      <w:r w:rsidR="00A226BF" w:rsidRPr="00A46198">
        <w:t xml:space="preserve">amends minor typographical errors in the GST Act. </w:t>
      </w:r>
      <w:r w:rsidR="00F375D1" w:rsidRPr="00A46198">
        <w:t xml:space="preserve">Subsection 48-15(2) of </w:t>
      </w:r>
      <w:r w:rsidR="000873F3" w:rsidRPr="00A46198">
        <w:t>the GST Act</w:t>
      </w:r>
      <w:r w:rsidR="00F375D1" w:rsidRPr="00A46198">
        <w:t xml:space="preserve"> refers to “section 272-97 of Schedule 2F”. </w:t>
      </w:r>
      <w:r w:rsidR="0034560C" w:rsidRPr="00A46198">
        <w:t>The amendments update</w:t>
      </w:r>
      <w:r w:rsidR="00F375D1" w:rsidRPr="00A46198">
        <w:t xml:space="preserve"> this reference </w:t>
      </w:r>
      <w:r w:rsidR="0034560C" w:rsidRPr="00A46198">
        <w:t>to</w:t>
      </w:r>
      <w:r w:rsidR="00F375D1" w:rsidRPr="00A46198">
        <w:t xml:space="preserve"> “section 272-97 in Schedule 2F”, to ensure consistency with usual drafting practice.</w:t>
      </w:r>
      <w:r w:rsidR="00A670A1" w:rsidRPr="00A46198">
        <w:br/>
      </w:r>
      <w:r w:rsidR="00A670A1" w:rsidRPr="00A46198">
        <w:rPr>
          <w:rStyle w:val="References"/>
        </w:rPr>
        <w:t xml:space="preserve">[Schedule </w:t>
      </w:r>
      <w:r w:rsidR="00A226BF" w:rsidRPr="00A46198">
        <w:rPr>
          <w:rStyle w:val="References"/>
        </w:rPr>
        <w:t>#</w:t>
      </w:r>
      <w:r w:rsidR="00A670A1" w:rsidRPr="00A46198">
        <w:rPr>
          <w:rStyle w:val="References"/>
        </w:rPr>
        <w:t xml:space="preserve">, item </w:t>
      </w:r>
      <w:r w:rsidR="00AC4228" w:rsidRPr="00A46198">
        <w:rPr>
          <w:rStyle w:val="References"/>
        </w:rPr>
        <w:t>42</w:t>
      </w:r>
      <w:r w:rsidR="00A670A1" w:rsidRPr="00A46198">
        <w:rPr>
          <w:rStyle w:val="References"/>
        </w:rPr>
        <w:t xml:space="preserve">, </w:t>
      </w:r>
      <w:r w:rsidR="00AC4228" w:rsidRPr="00A46198">
        <w:rPr>
          <w:rStyle w:val="References"/>
        </w:rPr>
        <w:t>subsection 48-15(2) of the A N</w:t>
      </w:r>
      <w:r w:rsidR="00007A7D" w:rsidRPr="00A46198">
        <w:rPr>
          <w:rStyle w:val="References"/>
        </w:rPr>
        <w:t>ew Tax System (Goods and Services Tax) Act 1999</w:t>
      </w:r>
      <w:r w:rsidR="00A670A1" w:rsidRPr="00A46198">
        <w:rPr>
          <w:rStyle w:val="References"/>
        </w:rPr>
        <w:t xml:space="preserve">] </w:t>
      </w:r>
    </w:p>
    <w:p w14:paraId="02F3352B" w14:textId="77777777" w:rsidR="00FB4982" w:rsidRPr="00A46198" w:rsidRDefault="00FB4982" w:rsidP="00FB4982">
      <w:pPr>
        <w:pStyle w:val="Normalparatextnonumbers"/>
      </w:pPr>
    </w:p>
    <w:p w14:paraId="7565D0F9" w14:textId="5F3A48FD" w:rsidR="00075649" w:rsidRPr="00A46198" w:rsidRDefault="00075649" w:rsidP="00A46198">
      <w:pPr>
        <w:pStyle w:val="Heading7"/>
      </w:pPr>
      <w:r w:rsidRPr="00A46198">
        <w:t>[MTA (</w:t>
      </w:r>
      <w:r w:rsidR="003F02CC" w:rsidRPr="00A46198">
        <w:t>Repeal of CDEP Scheme references</w:t>
      </w:r>
      <w:r w:rsidRPr="00A46198">
        <w:t>)]</w:t>
      </w:r>
    </w:p>
    <w:p w14:paraId="0B21B165" w14:textId="49FCE4E5" w:rsidR="00952A36" w:rsidRPr="00A46198" w:rsidRDefault="00952A36" w:rsidP="003C7EE7">
      <w:pPr>
        <w:pStyle w:val="Heading4"/>
      </w:pPr>
      <w:r w:rsidRPr="00A46198">
        <w:t xml:space="preserve">Division </w:t>
      </w:r>
      <w:r w:rsidR="003C7EE7" w:rsidRPr="00A46198">
        <w:t xml:space="preserve">3 – </w:t>
      </w:r>
      <w:r w:rsidR="000E1CDE" w:rsidRPr="00A46198">
        <w:t xml:space="preserve">Removing redundant references to the Community Development Employment Projects </w:t>
      </w:r>
      <w:r w:rsidR="003C7EE7" w:rsidRPr="00A46198">
        <w:t>Scheme</w:t>
      </w:r>
    </w:p>
    <w:p w14:paraId="0091EC24" w14:textId="6305D9E1" w:rsidR="00FE5B38" w:rsidRPr="00A46198" w:rsidRDefault="000E1CDE" w:rsidP="00D221CD">
      <w:pPr>
        <w:pStyle w:val="Normalparatextwithnumbers"/>
      </w:pPr>
      <w:r w:rsidRPr="00A46198">
        <w:t xml:space="preserve">Division 3 of Part 2 of Schedule # to the Bill removes redundant references to the CDEP Scheme across </w:t>
      </w:r>
      <w:r w:rsidR="00CE19F5" w:rsidRPr="00A46198">
        <w:t xml:space="preserve">legislation held within the </w:t>
      </w:r>
      <w:r w:rsidRPr="00A46198">
        <w:t>Treasury portfolio</w:t>
      </w:r>
      <w:r w:rsidR="0091656E" w:rsidRPr="00A46198">
        <w:t>, including in t</w:t>
      </w:r>
      <w:r w:rsidR="00FE5B38" w:rsidRPr="00A46198">
        <w:t xml:space="preserve">he </w:t>
      </w:r>
      <w:r w:rsidR="00C61831" w:rsidRPr="00A46198">
        <w:t>ITAA 1936</w:t>
      </w:r>
      <w:r w:rsidR="00FE5B38" w:rsidRPr="00A46198">
        <w:t xml:space="preserve">, </w:t>
      </w:r>
      <w:r w:rsidR="00FE5B38" w:rsidRPr="00A46198">
        <w:rPr>
          <w:i/>
        </w:rPr>
        <w:t>Income Tax Rates Act 1986</w:t>
      </w:r>
      <w:r w:rsidR="00B3137D" w:rsidRPr="00A46198">
        <w:t xml:space="preserve">, </w:t>
      </w:r>
      <w:r w:rsidR="00B3137D" w:rsidRPr="00A46198">
        <w:rPr>
          <w:i/>
          <w:iCs/>
        </w:rPr>
        <w:t>Small Superannuation Accounts Act 1995</w:t>
      </w:r>
      <w:r w:rsidR="00FE5B38" w:rsidRPr="00A46198">
        <w:t xml:space="preserve"> and </w:t>
      </w:r>
      <w:r w:rsidR="00C61831" w:rsidRPr="00A46198">
        <w:t>TAA 1953</w:t>
      </w:r>
      <w:r w:rsidR="00FE5B38" w:rsidRPr="00A46198">
        <w:t xml:space="preserve">. </w:t>
      </w:r>
      <w:r w:rsidR="00C83165" w:rsidRPr="00A46198">
        <w:br/>
      </w:r>
      <w:r w:rsidR="00C83165" w:rsidRPr="00A46198">
        <w:rPr>
          <w:rStyle w:val="References"/>
        </w:rPr>
        <w:t xml:space="preserve">[Schedule #, items </w:t>
      </w:r>
      <w:r w:rsidR="00EE2E59" w:rsidRPr="00A46198">
        <w:rPr>
          <w:rStyle w:val="References"/>
        </w:rPr>
        <w:t>4</w:t>
      </w:r>
      <w:r w:rsidR="007F51FB" w:rsidRPr="00A46198">
        <w:rPr>
          <w:rStyle w:val="References"/>
        </w:rPr>
        <w:t>3</w:t>
      </w:r>
      <w:r w:rsidR="00EE2E59" w:rsidRPr="00A46198">
        <w:rPr>
          <w:rStyle w:val="References"/>
        </w:rPr>
        <w:t xml:space="preserve"> to </w:t>
      </w:r>
      <w:r w:rsidR="007F51FB" w:rsidRPr="00A46198">
        <w:rPr>
          <w:rStyle w:val="References"/>
        </w:rPr>
        <w:t>49</w:t>
      </w:r>
      <w:r w:rsidR="00EE2E59" w:rsidRPr="00A46198">
        <w:rPr>
          <w:rStyle w:val="References"/>
        </w:rPr>
        <w:t xml:space="preserve">, </w:t>
      </w:r>
      <w:r w:rsidR="00A04879" w:rsidRPr="00A46198">
        <w:rPr>
          <w:rStyle w:val="References"/>
        </w:rPr>
        <w:t xml:space="preserve">paragraphs </w:t>
      </w:r>
      <w:r w:rsidR="001F22E6" w:rsidRPr="00A46198">
        <w:rPr>
          <w:rStyle w:val="References"/>
        </w:rPr>
        <w:t>160AAA(1)(a), 160AAA(1)(c)</w:t>
      </w:r>
      <w:r w:rsidR="007E78CD" w:rsidRPr="00A46198">
        <w:rPr>
          <w:rStyle w:val="References"/>
        </w:rPr>
        <w:t xml:space="preserve">, </w:t>
      </w:r>
      <w:r w:rsidR="001F22E6" w:rsidRPr="00A46198">
        <w:rPr>
          <w:rStyle w:val="References"/>
        </w:rPr>
        <w:t xml:space="preserve">160AAA(1)(d), 202CB(6)(a) and 202CE(7)(a) </w:t>
      </w:r>
      <w:r w:rsidR="00A04879" w:rsidRPr="00A46198">
        <w:rPr>
          <w:rStyle w:val="References"/>
        </w:rPr>
        <w:t xml:space="preserve">of the ITAA 1936, </w:t>
      </w:r>
      <w:r w:rsidR="008F3ECA" w:rsidRPr="00A46198">
        <w:rPr>
          <w:rStyle w:val="References"/>
        </w:rPr>
        <w:t xml:space="preserve">section 16 of the Income Tax Rates Act 1986, </w:t>
      </w:r>
      <w:r w:rsidR="004B427B" w:rsidRPr="00A46198">
        <w:rPr>
          <w:rStyle w:val="References"/>
        </w:rPr>
        <w:t xml:space="preserve">subsection 64(7) of the Small Superannuation Accounts Act 1995, </w:t>
      </w:r>
      <w:r w:rsidR="0001391C" w:rsidRPr="00A46198">
        <w:rPr>
          <w:rStyle w:val="References"/>
        </w:rPr>
        <w:t>and paragraphs 12-110(</w:t>
      </w:r>
      <w:proofErr w:type="gramStart"/>
      <w:r w:rsidR="0001391C" w:rsidRPr="00A46198">
        <w:rPr>
          <w:rStyle w:val="References"/>
        </w:rPr>
        <w:t>1)(</w:t>
      </w:r>
      <w:proofErr w:type="gramEnd"/>
      <w:r w:rsidR="0001391C" w:rsidRPr="00A46198">
        <w:rPr>
          <w:rStyle w:val="References"/>
        </w:rPr>
        <w:t>ca) and (d) of Schedule 1 to the TAA 1953</w:t>
      </w:r>
      <w:r w:rsidR="00C83165" w:rsidRPr="00A46198">
        <w:rPr>
          <w:rStyle w:val="References"/>
        </w:rPr>
        <w:t>]</w:t>
      </w:r>
    </w:p>
    <w:p w14:paraId="791CD0F4" w14:textId="6A91AD34" w:rsidR="00FE5B38" w:rsidRPr="00A46198" w:rsidRDefault="005A2346">
      <w:pPr>
        <w:pStyle w:val="Normalparatextwithnumbers"/>
      </w:pPr>
      <w:r w:rsidRPr="00A46198">
        <w:t xml:space="preserve">The </w:t>
      </w:r>
      <w:r w:rsidR="00571EB7" w:rsidRPr="00A46198">
        <w:t xml:space="preserve">provisions that established the </w:t>
      </w:r>
      <w:r w:rsidRPr="00A46198">
        <w:t xml:space="preserve">CDEP Scheme </w:t>
      </w:r>
      <w:r w:rsidR="00E44639" w:rsidRPr="00A46198">
        <w:t xml:space="preserve">and payments associated with the Scheme </w:t>
      </w:r>
      <w:r w:rsidR="00757803" w:rsidRPr="00A46198">
        <w:t xml:space="preserve">were </w:t>
      </w:r>
      <w:r w:rsidRPr="00A46198">
        <w:t xml:space="preserve">repealed by the </w:t>
      </w:r>
      <w:r w:rsidR="00FE5B38" w:rsidRPr="00A46198">
        <w:rPr>
          <w:i/>
        </w:rPr>
        <w:t>Social Security Legislation Amendment (</w:t>
      </w:r>
      <w:r w:rsidR="008D5042" w:rsidRPr="00A46198">
        <w:rPr>
          <w:i/>
        </w:rPr>
        <w:t>Remote Engagement Program</w:t>
      </w:r>
      <w:r w:rsidR="00FE5B38" w:rsidRPr="00A46198">
        <w:rPr>
          <w:i/>
        </w:rPr>
        <w:t>) Act</w:t>
      </w:r>
      <w:r w:rsidR="00571EB7" w:rsidRPr="00A46198">
        <w:rPr>
          <w:i/>
        </w:rPr>
        <w:t> </w:t>
      </w:r>
      <w:r w:rsidR="00FE5B38" w:rsidRPr="00A46198">
        <w:rPr>
          <w:i/>
        </w:rPr>
        <w:t>20</w:t>
      </w:r>
      <w:r w:rsidR="00C51D90" w:rsidRPr="00A46198">
        <w:rPr>
          <w:i/>
        </w:rPr>
        <w:t>21</w:t>
      </w:r>
      <w:r w:rsidR="003D27E3" w:rsidRPr="00A46198">
        <w:rPr>
          <w:i/>
        </w:rPr>
        <w:t xml:space="preserve">. </w:t>
      </w:r>
      <w:r w:rsidR="003D27E3" w:rsidRPr="00A46198">
        <w:t>T</w:t>
      </w:r>
      <w:r w:rsidR="00A37439" w:rsidRPr="00A46198">
        <w:rPr>
          <w:iCs/>
        </w:rPr>
        <w:t xml:space="preserve">he CDEP Scheme ceased </w:t>
      </w:r>
      <w:r w:rsidR="00A37439" w:rsidRPr="00A46198">
        <w:rPr>
          <w:iCs/>
        </w:rPr>
        <w:lastRenderedPageBreak/>
        <w:t>operations on 1</w:t>
      </w:r>
      <w:r w:rsidR="005450C1" w:rsidRPr="00A46198">
        <w:rPr>
          <w:iCs/>
        </w:rPr>
        <w:t xml:space="preserve"> </w:t>
      </w:r>
      <w:r w:rsidR="00A37439" w:rsidRPr="00A46198">
        <w:rPr>
          <w:iCs/>
        </w:rPr>
        <w:t>July 2015</w:t>
      </w:r>
      <w:r w:rsidR="007629ED" w:rsidRPr="00A46198">
        <w:rPr>
          <w:iCs/>
        </w:rPr>
        <w:t xml:space="preserve">. </w:t>
      </w:r>
      <w:r w:rsidR="007629ED" w:rsidRPr="00A46198">
        <w:t>T</w:t>
      </w:r>
      <w:r w:rsidRPr="00A46198">
        <w:t xml:space="preserve">he remaining legislative references across Treasury portfolio legislation </w:t>
      </w:r>
      <w:r w:rsidR="00C83165" w:rsidRPr="00A46198">
        <w:t>are</w:t>
      </w:r>
      <w:r w:rsidR="00F1704A" w:rsidRPr="00A46198">
        <w:t xml:space="preserve"> </w:t>
      </w:r>
      <w:r w:rsidR="00C83165" w:rsidRPr="00A46198">
        <w:t>no longer required</w:t>
      </w:r>
      <w:r w:rsidR="00FE5B38" w:rsidRPr="00A46198">
        <w:t xml:space="preserve">. </w:t>
      </w:r>
    </w:p>
    <w:p w14:paraId="65227727" w14:textId="72847A48" w:rsidR="00FE5B38" w:rsidRPr="00A46198" w:rsidRDefault="006A55C0" w:rsidP="00B42040">
      <w:pPr>
        <w:pStyle w:val="Normalparatextwithnumbers"/>
      </w:pPr>
      <w:r w:rsidRPr="00A46198">
        <w:rPr>
          <w:iCs/>
        </w:rPr>
        <w:t>The application provision under the amendments ensure</w:t>
      </w:r>
      <w:r w:rsidR="00F33205" w:rsidRPr="00A46198">
        <w:rPr>
          <w:iCs/>
        </w:rPr>
        <w:t>s</w:t>
      </w:r>
      <w:r w:rsidRPr="00A46198">
        <w:rPr>
          <w:iCs/>
        </w:rPr>
        <w:t xml:space="preserve"> </w:t>
      </w:r>
      <w:r w:rsidR="00413F49" w:rsidRPr="00A46198">
        <w:rPr>
          <w:iCs/>
        </w:rPr>
        <w:t xml:space="preserve">any </w:t>
      </w:r>
      <w:r w:rsidR="00D15F75" w:rsidRPr="00A46198">
        <w:t>relevant CDEP payments that were made before the commencement</w:t>
      </w:r>
      <w:r w:rsidR="00D15F75" w:rsidRPr="00A46198">
        <w:rPr>
          <w:iCs/>
        </w:rPr>
        <w:t xml:space="preserve"> </w:t>
      </w:r>
      <w:r w:rsidR="00FE5B38" w:rsidRPr="00A46198">
        <w:rPr>
          <w:iCs/>
        </w:rPr>
        <w:t xml:space="preserve">of </w:t>
      </w:r>
      <w:r w:rsidRPr="00A46198">
        <w:rPr>
          <w:iCs/>
        </w:rPr>
        <w:t>the amendment</w:t>
      </w:r>
      <w:r w:rsidR="00FF453E" w:rsidRPr="00A46198">
        <w:rPr>
          <w:iCs/>
        </w:rPr>
        <w:t>s are not affected</w:t>
      </w:r>
      <w:r w:rsidR="00FE5B38" w:rsidRPr="00A46198">
        <w:rPr>
          <w:iCs/>
        </w:rPr>
        <w:t>.</w:t>
      </w:r>
      <w:r w:rsidR="00FE5B38" w:rsidRPr="00A46198">
        <w:rPr>
          <w:iCs/>
        </w:rPr>
        <w:br/>
      </w:r>
      <w:r w:rsidR="00FE5B38" w:rsidRPr="00A46198">
        <w:rPr>
          <w:rStyle w:val="References"/>
        </w:rPr>
        <w:t xml:space="preserve">[Schedule </w:t>
      </w:r>
      <w:r w:rsidRPr="00A46198">
        <w:rPr>
          <w:rStyle w:val="References"/>
        </w:rPr>
        <w:t>#</w:t>
      </w:r>
      <w:r w:rsidR="00FE5B38" w:rsidRPr="00A46198">
        <w:rPr>
          <w:rStyle w:val="References"/>
        </w:rPr>
        <w:t xml:space="preserve">, item </w:t>
      </w:r>
      <w:r w:rsidRPr="00A46198">
        <w:rPr>
          <w:rStyle w:val="References"/>
        </w:rPr>
        <w:t>5</w:t>
      </w:r>
      <w:r w:rsidR="007F51FB" w:rsidRPr="00A46198">
        <w:rPr>
          <w:rStyle w:val="References"/>
        </w:rPr>
        <w:t>0</w:t>
      </w:r>
      <w:r w:rsidR="00FE5B38" w:rsidRPr="00A46198">
        <w:rPr>
          <w:rStyle w:val="References"/>
        </w:rPr>
        <w:t xml:space="preserve">] </w:t>
      </w:r>
    </w:p>
    <w:p w14:paraId="6957974D" w14:textId="77777777" w:rsidR="006A682B" w:rsidRPr="00A46198" w:rsidRDefault="006A682B" w:rsidP="006A682B">
      <w:pPr>
        <w:pStyle w:val="Normalparatextnonumbers"/>
      </w:pPr>
    </w:p>
    <w:p w14:paraId="0CD6E333" w14:textId="25D242F4" w:rsidR="006A682B" w:rsidRPr="00A46198" w:rsidRDefault="006A682B" w:rsidP="00A46198">
      <w:pPr>
        <w:pStyle w:val="Heading7"/>
      </w:pPr>
      <w:r w:rsidRPr="00A46198">
        <w:t>[MTA (</w:t>
      </w:r>
      <w:r w:rsidR="00EE4104" w:rsidRPr="00A46198">
        <w:t>Indirect value shifting exclusion</w:t>
      </w:r>
      <w:r w:rsidRPr="00A46198">
        <w:t>)]</w:t>
      </w:r>
    </w:p>
    <w:p w14:paraId="5EF193D5" w14:textId="770D88DA" w:rsidR="003C7EE7" w:rsidRPr="00A46198" w:rsidRDefault="00650D9D" w:rsidP="00650D9D">
      <w:pPr>
        <w:pStyle w:val="Heading4"/>
      </w:pPr>
      <w:r w:rsidRPr="00A46198">
        <w:t>Division 4 – Value shifting</w:t>
      </w:r>
    </w:p>
    <w:p w14:paraId="1B4C899B" w14:textId="5F540B6C" w:rsidR="00AC2F65" w:rsidRPr="00A46198" w:rsidRDefault="00877625" w:rsidP="00DA68F2">
      <w:pPr>
        <w:pStyle w:val="Normalparatextwithnumbers"/>
      </w:pPr>
      <w:r w:rsidRPr="00A46198">
        <w:t xml:space="preserve">Division 4 of Part 2 of Schedule # to the Bill </w:t>
      </w:r>
      <w:r w:rsidR="00AC2F65" w:rsidRPr="00A46198">
        <w:t xml:space="preserve">updates the provisions of the </w:t>
      </w:r>
      <w:r w:rsidRPr="00A46198">
        <w:t>ITAA</w:t>
      </w:r>
      <w:r w:rsidR="00AC2F65" w:rsidRPr="00A46198">
        <w:t xml:space="preserve"> 1997 which govern how indirect value shifts are to be treated for tax purposes. Specifically, </w:t>
      </w:r>
      <w:r w:rsidR="00AB0627" w:rsidRPr="00A46198">
        <w:t>the amendments ensure</w:t>
      </w:r>
      <w:r w:rsidR="00AC2F65" w:rsidRPr="00A46198">
        <w:t xml:space="preserve"> </w:t>
      </w:r>
      <w:r w:rsidR="003653DE" w:rsidRPr="00A46198">
        <w:t xml:space="preserve">subsection </w:t>
      </w:r>
      <w:r w:rsidR="00AC2F65" w:rsidRPr="00A46198">
        <w:t>727-250(2) extend</w:t>
      </w:r>
      <w:r w:rsidR="00AB0627" w:rsidRPr="00A46198">
        <w:t>s</w:t>
      </w:r>
      <w:r w:rsidR="00AC2F65" w:rsidRPr="00A46198">
        <w:t xml:space="preserve"> the existing condition in an exclusion to the IVS rules relating to ‘exempt’ income so that it also applies to non-assessable non-exempt (NANE) income. </w:t>
      </w:r>
      <w:r w:rsidR="00AB0627" w:rsidRPr="00A46198">
        <w:t>The amendments</w:t>
      </w:r>
      <w:r w:rsidR="00AC2F65" w:rsidRPr="00A46198">
        <w:t xml:space="preserve"> appl</w:t>
      </w:r>
      <w:r w:rsidR="00AB0627" w:rsidRPr="00A46198">
        <w:t>y</w:t>
      </w:r>
      <w:r w:rsidR="00AC2F65" w:rsidRPr="00A46198">
        <w:t xml:space="preserve"> in relation to indirect value shifts that arise on or after 1</w:t>
      </w:r>
      <w:r w:rsidR="00C1610A" w:rsidRPr="00A46198">
        <w:t> </w:t>
      </w:r>
      <w:r w:rsidR="00AC2F65" w:rsidRPr="00A46198">
        <w:t xml:space="preserve">July 2003. </w:t>
      </w:r>
      <w:r w:rsidR="00C1610A" w:rsidRPr="00A46198">
        <w:t>Accordingly, section</w:t>
      </w:r>
      <w:r w:rsidR="00AC2F65" w:rsidRPr="00A46198">
        <w:t xml:space="preserve"> 727-250 of the ITAA 1997 will apply to distributions that are non-assessable, non-exempt. </w:t>
      </w:r>
      <w:r w:rsidR="000A217D" w:rsidRPr="00A46198">
        <w:br/>
      </w:r>
      <w:r w:rsidR="000A217D" w:rsidRPr="00A46198">
        <w:rPr>
          <w:rStyle w:val="References"/>
        </w:rPr>
        <w:t xml:space="preserve">[Schedule #, item </w:t>
      </w:r>
      <w:r w:rsidR="003653DE" w:rsidRPr="00A46198">
        <w:rPr>
          <w:rStyle w:val="References"/>
        </w:rPr>
        <w:t>5</w:t>
      </w:r>
      <w:r w:rsidR="008F7CF8" w:rsidRPr="00A46198">
        <w:rPr>
          <w:rStyle w:val="References"/>
        </w:rPr>
        <w:t>1</w:t>
      </w:r>
      <w:r w:rsidR="003653DE" w:rsidRPr="00A46198">
        <w:rPr>
          <w:rStyle w:val="References"/>
        </w:rPr>
        <w:t>, subsection 727-250(2) of the ITAA 1997</w:t>
      </w:r>
      <w:r w:rsidR="000A217D" w:rsidRPr="00A46198">
        <w:rPr>
          <w:rStyle w:val="References"/>
        </w:rPr>
        <w:t>]</w:t>
      </w:r>
    </w:p>
    <w:p w14:paraId="6247AEE3" w14:textId="36472466" w:rsidR="00AC2F65" w:rsidRPr="00A46198" w:rsidRDefault="00C1610A" w:rsidP="00DA68F2">
      <w:pPr>
        <w:pStyle w:val="Normalparatextwithnumbers"/>
      </w:pPr>
      <w:r w:rsidRPr="00A46198">
        <w:t>The amendments</w:t>
      </w:r>
      <w:r w:rsidR="00AC2F65" w:rsidRPr="00A46198">
        <w:t xml:space="preserve"> apply retrospectively to all indirect value shifts that arise on or after 1 July 2003. This change is intended to address the unintended consequences of Division 727 to the ITAA in 2002 without a consequential amendment to section 727-250(2)</w:t>
      </w:r>
      <w:r w:rsidRPr="00A46198">
        <w:t>,</w:t>
      </w:r>
      <w:r w:rsidR="00AC2F65" w:rsidRPr="00A46198">
        <w:t xml:space="preserve"> and the fact that some distributions which were previously categorised as exempt income in the </w:t>
      </w:r>
      <w:r w:rsidRPr="00A46198">
        <w:t xml:space="preserve">law before </w:t>
      </w:r>
      <w:r w:rsidR="00AC2F65" w:rsidRPr="00A46198">
        <w:t>July 2003 have been recategorised as NANE income, namely foreign equity distributions (section</w:t>
      </w:r>
      <w:r w:rsidRPr="00A46198">
        <w:t> </w:t>
      </w:r>
      <w:r w:rsidR="00AC2F65" w:rsidRPr="00A46198">
        <w:t>768-5 ITAA 1997) and dividends paid by Australian entities to a foreign parent (s</w:t>
      </w:r>
      <w:r w:rsidRPr="00A46198">
        <w:t>ection</w:t>
      </w:r>
      <w:r w:rsidR="00AC2F65" w:rsidRPr="00A46198">
        <w:t xml:space="preserve">s 128D </w:t>
      </w:r>
      <w:r w:rsidRPr="00A46198">
        <w:t xml:space="preserve">of the </w:t>
      </w:r>
      <w:r w:rsidR="00AC2F65" w:rsidRPr="00A46198">
        <w:t xml:space="preserve">ITAA 1936 or 802-15 </w:t>
      </w:r>
      <w:r w:rsidRPr="00A46198">
        <w:t xml:space="preserve">of the </w:t>
      </w:r>
      <w:r w:rsidR="00AC2F65" w:rsidRPr="00A46198">
        <w:t>ITAA 1997</w:t>
      </w:r>
      <w:r w:rsidRPr="00A46198">
        <w:t>)</w:t>
      </w:r>
      <w:r w:rsidR="00AC2F65" w:rsidRPr="00A46198">
        <w:t xml:space="preserve">. </w:t>
      </w:r>
      <w:r w:rsidRPr="00A46198">
        <w:t>The amendments ensure that</w:t>
      </w:r>
      <w:r w:rsidR="00AC2F65" w:rsidRPr="00A46198">
        <w:t xml:space="preserve"> Division 727 properly target</w:t>
      </w:r>
      <w:r w:rsidRPr="00A46198">
        <w:t>s</w:t>
      </w:r>
      <w:r w:rsidR="00AC2F65" w:rsidRPr="00A46198">
        <w:t xml:space="preserve"> the exclusion in 727-250 </w:t>
      </w:r>
      <w:r w:rsidRPr="00A46198">
        <w:t xml:space="preserve">with respect </w:t>
      </w:r>
      <w:r w:rsidR="00AC2F65" w:rsidRPr="00A46198">
        <w:t>to those transactions which have the greatest risk to the integrity of the tax</w:t>
      </w:r>
      <w:r w:rsidRPr="00A46198">
        <w:t>ation</w:t>
      </w:r>
      <w:r w:rsidR="00AC2F65" w:rsidRPr="00A46198">
        <w:t xml:space="preserve"> laws. Without this amendment, </w:t>
      </w:r>
      <w:r w:rsidRPr="00A46198">
        <w:t>section </w:t>
      </w:r>
      <w:r w:rsidR="00AC2F65" w:rsidRPr="00A46198">
        <w:t>727</w:t>
      </w:r>
      <w:r w:rsidRPr="00A46198">
        <w:noBreakHyphen/>
      </w:r>
      <w:r w:rsidR="00AC2F65" w:rsidRPr="00A46198">
        <w:t xml:space="preserve">250 could potentially be triggered and lead to unintended tax liability in circumstances where this would be inappropriate, such as where a distribution is appropriately provided for elsewhere in the tax law. </w:t>
      </w:r>
      <w:r w:rsidR="003653DE" w:rsidRPr="00A46198">
        <w:br/>
      </w:r>
      <w:r w:rsidR="003653DE" w:rsidRPr="00A46198">
        <w:rPr>
          <w:rStyle w:val="References"/>
        </w:rPr>
        <w:t>[Schedule #, item 5</w:t>
      </w:r>
      <w:r w:rsidR="008F7CF8" w:rsidRPr="00A46198">
        <w:rPr>
          <w:rStyle w:val="References"/>
        </w:rPr>
        <w:t>2</w:t>
      </w:r>
      <w:r w:rsidR="003653DE" w:rsidRPr="00A46198">
        <w:rPr>
          <w:rStyle w:val="References"/>
        </w:rPr>
        <w:t>]</w:t>
      </w:r>
    </w:p>
    <w:p w14:paraId="75F2D7DB" w14:textId="5C685657" w:rsidR="00650D9D" w:rsidRPr="00A46198" w:rsidRDefault="00C1610A" w:rsidP="00DA68F2">
      <w:pPr>
        <w:pStyle w:val="Normalparatextwithnumbers"/>
      </w:pPr>
      <w:r w:rsidRPr="00A46198">
        <w:t>It is expected that n</w:t>
      </w:r>
      <w:r w:rsidR="00AC2F65" w:rsidRPr="00A46198">
        <w:t xml:space="preserve">o </w:t>
      </w:r>
      <w:r w:rsidRPr="00A46198">
        <w:t>taxpayers</w:t>
      </w:r>
      <w:r w:rsidR="00AC2F65" w:rsidRPr="00A46198">
        <w:t xml:space="preserve"> are likely to be detrimentally affected by the retrospective commencement or application of the legislation. This amendment is</w:t>
      </w:r>
      <w:r w:rsidRPr="00A46198">
        <w:t xml:space="preserve"> made</w:t>
      </w:r>
      <w:r w:rsidR="00AC2F65" w:rsidRPr="00A46198">
        <w:t xml:space="preserve"> to</w:t>
      </w:r>
      <w:r w:rsidRPr="00A46198">
        <w:t xml:space="preserve"> </w:t>
      </w:r>
      <w:r w:rsidR="00AC2F65" w:rsidRPr="00A46198">
        <w:t>the benefit of taxpayer</w:t>
      </w:r>
      <w:r w:rsidR="00F34855" w:rsidRPr="00A46198">
        <w:t>s</w:t>
      </w:r>
      <w:r w:rsidR="00AC2F65" w:rsidRPr="00A46198">
        <w:t xml:space="preserve"> as it ensures that where a taxpayer makes a NANE </w:t>
      </w:r>
      <w:r w:rsidR="00F34855" w:rsidRPr="00A46198">
        <w:t xml:space="preserve">income </w:t>
      </w:r>
      <w:r w:rsidR="00AC2F65" w:rsidRPr="00A46198">
        <w:t>distribution that is within scope of the amendment, they will not have a</w:t>
      </w:r>
      <w:r w:rsidR="00F34855" w:rsidRPr="00A46198">
        <w:t>dditional</w:t>
      </w:r>
      <w:r w:rsidR="00AC2F65" w:rsidRPr="00A46198">
        <w:t xml:space="preserve"> tax liability in relation to the distribution.</w:t>
      </w:r>
    </w:p>
    <w:p w14:paraId="4BA4A13A" w14:textId="77777777" w:rsidR="00EE4104" w:rsidRPr="00A46198" w:rsidRDefault="00EE4104" w:rsidP="00AF2F59">
      <w:pPr>
        <w:pStyle w:val="Normalparatextnonumbers"/>
      </w:pPr>
    </w:p>
    <w:p w14:paraId="0058037A" w14:textId="38664A01" w:rsidR="00EE4104" w:rsidRPr="00A46198" w:rsidRDefault="00EE4104" w:rsidP="00A46198">
      <w:pPr>
        <w:pStyle w:val="Heading7"/>
      </w:pPr>
      <w:r w:rsidRPr="00A46198">
        <w:lastRenderedPageBreak/>
        <w:t xml:space="preserve">[MTA </w:t>
      </w:r>
      <w:r w:rsidR="005A6C4C" w:rsidRPr="00A46198">
        <w:t>(</w:t>
      </w:r>
      <w:r w:rsidR="00E91CBA" w:rsidRPr="00A46198">
        <w:t>OECD Transfer Pricing Guidance 2022 Update</w:t>
      </w:r>
      <w:r w:rsidR="005A6C4C" w:rsidRPr="00A46198">
        <w:t>)</w:t>
      </w:r>
      <w:r w:rsidRPr="00A46198">
        <w:t>]</w:t>
      </w:r>
    </w:p>
    <w:p w14:paraId="5664014A" w14:textId="1A21715F" w:rsidR="00AC2F65" w:rsidRPr="00A46198" w:rsidRDefault="001C1180" w:rsidP="001C1180">
      <w:pPr>
        <w:pStyle w:val="Heading4"/>
      </w:pPr>
      <w:r w:rsidRPr="00A46198">
        <w:t>Division 5 – Transfer pricing guidelines</w:t>
      </w:r>
    </w:p>
    <w:p w14:paraId="6D23345D" w14:textId="624C21B0" w:rsidR="004A28E5" w:rsidRPr="00A46198" w:rsidRDefault="00F34855" w:rsidP="003653DE">
      <w:pPr>
        <w:pStyle w:val="Normalparatextwithnumbers"/>
      </w:pPr>
      <w:r w:rsidRPr="00A46198">
        <w:t>Division 4 of Part 2 of Schedule # to the Bill</w:t>
      </w:r>
      <w:r w:rsidR="004A28E5" w:rsidRPr="00A46198">
        <w:t xml:space="preserve"> updates the guidance to the most recent version of the Transfer Pricing Guidelines for Multinational Enterprises and Tax Administrations which was adopted by the OECD’s Committee of Fiscal Affairs </w:t>
      </w:r>
      <w:r w:rsidRPr="00A46198">
        <w:t xml:space="preserve">and </w:t>
      </w:r>
      <w:r w:rsidR="004A28E5" w:rsidRPr="00A46198">
        <w:t xml:space="preserve">published on 20 January 2022. This version of the OECD guidance material provides guidance on the application of the “arm’s length principle”, which represents the international consensus on the valuation, for income tax purposes, of cross-border transactions between associated enterprises. </w:t>
      </w:r>
      <w:r w:rsidR="00B94617" w:rsidRPr="00A46198">
        <w:br/>
      </w:r>
      <w:r w:rsidR="00B94617" w:rsidRPr="00A46198">
        <w:rPr>
          <w:rStyle w:val="References"/>
        </w:rPr>
        <w:t>[Schedule #, item 5</w:t>
      </w:r>
      <w:r w:rsidR="008F7CF8" w:rsidRPr="00A46198">
        <w:rPr>
          <w:rStyle w:val="References"/>
        </w:rPr>
        <w:t>3</w:t>
      </w:r>
      <w:r w:rsidR="00B94617" w:rsidRPr="00A46198">
        <w:rPr>
          <w:rStyle w:val="References"/>
        </w:rPr>
        <w:t>, paragra</w:t>
      </w:r>
      <w:r w:rsidR="0032149F" w:rsidRPr="00A46198">
        <w:rPr>
          <w:rStyle w:val="References"/>
        </w:rPr>
        <w:t>p</w:t>
      </w:r>
      <w:r w:rsidR="00B94617" w:rsidRPr="00A46198">
        <w:rPr>
          <w:rStyle w:val="References"/>
        </w:rPr>
        <w:t>h 815-135(2)(a) of the ITAA 1997]</w:t>
      </w:r>
    </w:p>
    <w:p w14:paraId="7A9CCD2A" w14:textId="1DB54577" w:rsidR="004A28E5" w:rsidRPr="00A46198" w:rsidRDefault="004A28E5" w:rsidP="003653DE">
      <w:pPr>
        <w:pStyle w:val="Normalparatextwithnumbers"/>
      </w:pPr>
      <w:r w:rsidRPr="00A46198">
        <w:t>The amendments to paragraph</w:t>
      </w:r>
      <w:r w:rsidR="00F34855" w:rsidRPr="00A46198">
        <w:t>s</w:t>
      </w:r>
      <w:r w:rsidRPr="00A46198">
        <w:t xml:space="preserve"> 815-20(2)(b) and 815</w:t>
      </w:r>
      <w:r w:rsidR="00B94617" w:rsidRPr="00A46198">
        <w:noBreakHyphen/>
      </w:r>
      <w:r w:rsidRPr="00A46198">
        <w:t xml:space="preserve">135(2)(a) of the </w:t>
      </w:r>
      <w:r w:rsidR="00F34855" w:rsidRPr="00A46198">
        <w:t xml:space="preserve">ITAA 1997 </w:t>
      </w:r>
      <w:r w:rsidRPr="00A46198">
        <w:t xml:space="preserve">applies in respect of tax (other than withholding tax) </w:t>
      </w:r>
      <w:r w:rsidR="00F34855" w:rsidRPr="00A46198">
        <w:t>relating</w:t>
      </w:r>
      <w:r w:rsidRPr="00A46198">
        <w:t xml:space="preserve"> to income years starting on or after 1 January 2022 and in respect of withholding tax, in relation to income derived, or taken to be derived, in income years starting on or after 1 January 2022. </w:t>
      </w:r>
      <w:r w:rsidR="00B94617" w:rsidRPr="00A46198">
        <w:br/>
      </w:r>
      <w:r w:rsidR="00B94617" w:rsidRPr="00A46198">
        <w:rPr>
          <w:rStyle w:val="References"/>
        </w:rPr>
        <w:t>[Schedule #, item 5</w:t>
      </w:r>
      <w:r w:rsidR="008F7CF8" w:rsidRPr="00A46198">
        <w:rPr>
          <w:rStyle w:val="References"/>
        </w:rPr>
        <w:t>4</w:t>
      </w:r>
      <w:r w:rsidR="00B94617" w:rsidRPr="00A46198">
        <w:rPr>
          <w:rStyle w:val="References"/>
        </w:rPr>
        <w:t>]</w:t>
      </w:r>
    </w:p>
    <w:p w14:paraId="168B0AC9" w14:textId="0B93ECAB" w:rsidR="001C1180" w:rsidRPr="00A46198" w:rsidRDefault="004A28E5" w:rsidP="003653DE">
      <w:pPr>
        <w:pStyle w:val="Normalparatextwithnumbers"/>
      </w:pPr>
      <w:r w:rsidRPr="00A46198">
        <w:t xml:space="preserve">Retrospective application is appropriate in these circumstances because it provides greater certainty to taxpayers by commencing shortly after updates to the guidance material. The consolidated guidance material is already commonly referred to by taxpayers and is consistent with the transfer pricing rules in Division 815 of the </w:t>
      </w:r>
      <w:r w:rsidR="00F34855" w:rsidRPr="00A46198">
        <w:t>ITAA 1997</w:t>
      </w:r>
      <w:r w:rsidRPr="00A46198">
        <w:t xml:space="preserve">. </w:t>
      </w:r>
      <w:r w:rsidR="00F34855" w:rsidRPr="00A46198">
        <w:t xml:space="preserve">This </w:t>
      </w:r>
      <w:r w:rsidR="006E32D4" w:rsidRPr="00A46198">
        <w:t>retrospective</w:t>
      </w:r>
      <w:r w:rsidR="00F34855" w:rsidRPr="00A46198">
        <w:t xml:space="preserve"> application date ensures that the law aligns as closely as possible to the </w:t>
      </w:r>
      <w:r w:rsidR="006E32D4" w:rsidRPr="00A46198">
        <w:t>publication of the guidelines by the OECD. It is expected that no taxpayers are likely to be detrimentally affected by the retrospective commencement or application of the legislation.</w:t>
      </w:r>
    </w:p>
    <w:p w14:paraId="37770606" w14:textId="77777777" w:rsidR="006C4526" w:rsidRPr="00A46198" w:rsidRDefault="006C4526" w:rsidP="006C4526">
      <w:pPr>
        <w:pStyle w:val="Normalparatextnonumbers"/>
      </w:pPr>
    </w:p>
    <w:p w14:paraId="5134BE9B" w14:textId="1C47DD23" w:rsidR="003F2847" w:rsidRPr="00A46198" w:rsidRDefault="003F2847" w:rsidP="00A46198">
      <w:pPr>
        <w:pStyle w:val="Heading7"/>
      </w:pPr>
      <w:r w:rsidRPr="00A46198">
        <w:t>[MTA (Financial reporting and auditing requirements for superannuation)]</w:t>
      </w:r>
    </w:p>
    <w:p w14:paraId="135977E6" w14:textId="0E3414B8" w:rsidR="009C0D13" w:rsidRPr="00A46198" w:rsidRDefault="009C0D13" w:rsidP="00BA53BE">
      <w:pPr>
        <w:pStyle w:val="Heading3"/>
      </w:pPr>
      <w:r w:rsidRPr="00A46198">
        <w:t>Part 3 – Other amendments</w:t>
      </w:r>
    </w:p>
    <w:p w14:paraId="65A2309A" w14:textId="0C14F636" w:rsidR="004A28E5" w:rsidRPr="00A46198" w:rsidRDefault="009C0D13" w:rsidP="00BA53BE">
      <w:pPr>
        <w:pStyle w:val="Heading4"/>
      </w:pPr>
      <w:r w:rsidRPr="00A46198">
        <w:t xml:space="preserve">Division 1 – Duty of superannuation trustees to notify the </w:t>
      </w:r>
      <w:r w:rsidR="00BA53BE" w:rsidRPr="00A46198">
        <w:t>Regulator of significant adverse events</w:t>
      </w:r>
    </w:p>
    <w:p w14:paraId="3DCC978E" w14:textId="77777777" w:rsidR="008201D9" w:rsidRPr="00A46198" w:rsidRDefault="008201D9" w:rsidP="0032149F">
      <w:pPr>
        <w:pStyle w:val="Normalparatextwithnumbers"/>
        <w:numPr>
          <w:ilvl w:val="0"/>
          <w:numId w:val="0"/>
        </w:numPr>
        <w:ind w:left="709" w:hanging="709"/>
      </w:pPr>
    </w:p>
    <w:p w14:paraId="4D0748CC" w14:textId="597D7A60" w:rsidR="008513DA" w:rsidRPr="00A46198" w:rsidRDefault="002C4FA0" w:rsidP="005108EB">
      <w:pPr>
        <w:pStyle w:val="Normalparatextwithnumbers"/>
      </w:pPr>
      <w:r w:rsidRPr="00A46198">
        <w:t xml:space="preserve">Consequential amendments are made to section 106 of the SIS Act to reflect recent reforms to reporting requirements for registrable superannuation entities made by the </w:t>
      </w:r>
      <w:r w:rsidRPr="00A46198">
        <w:rPr>
          <w:i/>
          <w:iCs/>
        </w:rPr>
        <w:t>Treasury Laws Amendment (2022 Measures No. 4) Act 2023</w:t>
      </w:r>
      <w:r w:rsidRPr="00A46198">
        <w:t xml:space="preserve"> and the supporting </w:t>
      </w:r>
      <w:r w:rsidRPr="00A46198">
        <w:rPr>
          <w:i/>
          <w:iCs/>
        </w:rPr>
        <w:t>Treasury Laws Amendment (Financial Reporting and Auditing of Registrable Superannuation Entities) Regulations 2023</w:t>
      </w:r>
      <w:r w:rsidRPr="00A46198">
        <w:t>.</w:t>
      </w:r>
    </w:p>
    <w:p w14:paraId="43ACAF06" w14:textId="21EF8CB1" w:rsidR="002C4FA0" w:rsidRPr="00A46198" w:rsidRDefault="002C4FA0" w:rsidP="005108EB">
      <w:pPr>
        <w:pStyle w:val="Normalparatextwithnumbers"/>
      </w:pPr>
      <w:r w:rsidRPr="00A46198">
        <w:t xml:space="preserve">To reflect those reforms, amendments are made to section 106 to remove references to ‘annual report’ and replace the reference with ‘fund information’. </w:t>
      </w:r>
      <w:r w:rsidRPr="00A46198">
        <w:lastRenderedPageBreak/>
        <w:t>No changes are made to the operation of section 106. Section 106 provides the duty of superannuation trustees to notify the Regulator of significant adverse events. A significant adverse event occurs if it occurs before the trustee is required to provide fund information (within the meaning of the regulations) to members.</w:t>
      </w:r>
      <w:r w:rsidR="008513DA" w:rsidRPr="00A46198">
        <w:br/>
      </w:r>
      <w:r w:rsidR="008513DA" w:rsidRPr="00A46198">
        <w:rPr>
          <w:rStyle w:val="References"/>
        </w:rPr>
        <w:t xml:space="preserve">[Schedule </w:t>
      </w:r>
      <w:r w:rsidR="008F7CF8" w:rsidRPr="00A46198">
        <w:rPr>
          <w:rStyle w:val="References"/>
        </w:rPr>
        <w:t>#</w:t>
      </w:r>
      <w:r w:rsidR="008513DA" w:rsidRPr="00A46198">
        <w:rPr>
          <w:rStyle w:val="References"/>
        </w:rPr>
        <w:t>, item</w:t>
      </w:r>
      <w:r w:rsidR="00890A2E" w:rsidRPr="00A46198">
        <w:rPr>
          <w:rStyle w:val="References"/>
        </w:rPr>
        <w:t xml:space="preserve"> 5</w:t>
      </w:r>
      <w:r w:rsidR="008F7CF8" w:rsidRPr="00A46198">
        <w:rPr>
          <w:rStyle w:val="References"/>
        </w:rPr>
        <w:t>5</w:t>
      </w:r>
      <w:r w:rsidR="003D48AC" w:rsidRPr="00A46198">
        <w:rPr>
          <w:rStyle w:val="References"/>
        </w:rPr>
        <w:t>, section 106 of the SIS Act</w:t>
      </w:r>
      <w:r w:rsidR="008513DA" w:rsidRPr="00A46198">
        <w:rPr>
          <w:rStyle w:val="References"/>
        </w:rPr>
        <w:t xml:space="preserve">] </w:t>
      </w:r>
      <w:r w:rsidRPr="00A46198">
        <w:t xml:space="preserve"> </w:t>
      </w:r>
    </w:p>
    <w:p w14:paraId="03E0A9EB" w14:textId="2C124472" w:rsidR="00BA53BE" w:rsidRPr="00A46198" w:rsidRDefault="002C4FA0" w:rsidP="005108EB">
      <w:pPr>
        <w:pStyle w:val="Normalparatextwithnumbers"/>
      </w:pPr>
      <w:r w:rsidRPr="00A46198">
        <w:t>Part 3 of Schedule 1 to the Bill commences on a single day to be fixed by Proclamation. However, if the provisions do not commence within the period of 6 months beginning on the day this Act receives the Royal Assent, they commence on the day after the end of that period.</w:t>
      </w:r>
    </w:p>
    <w:bookmarkEnd w:id="5"/>
    <w:bookmarkEnd w:id="43"/>
    <w:bookmarkEnd w:id="44"/>
    <w:bookmarkEnd w:id="45"/>
    <w:bookmarkEnd w:id="46"/>
    <w:bookmarkEnd w:id="47"/>
    <w:bookmarkEnd w:id="48"/>
    <w:p w14:paraId="373465F3" w14:textId="77777777" w:rsidR="00B77D03" w:rsidRDefault="00B77D03" w:rsidP="00873094"/>
    <w:sectPr w:rsidR="00B77D03" w:rsidSect="00000BFC">
      <w:headerReference w:type="even" r:id="rId20"/>
      <w:headerReference w:type="default" r:id="rId21"/>
      <w:headerReference w:type="first" r:id="rId22"/>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704C6" w14:textId="77777777" w:rsidR="00F25D01" w:rsidRDefault="00F25D01">
      <w:pPr>
        <w:spacing w:before="0" w:after="0"/>
      </w:pPr>
      <w:r>
        <w:separator/>
      </w:r>
    </w:p>
  </w:endnote>
  <w:endnote w:type="continuationSeparator" w:id="0">
    <w:p w14:paraId="4F445853" w14:textId="77777777" w:rsidR="00F25D01" w:rsidRDefault="00F25D01">
      <w:pPr>
        <w:spacing w:before="0" w:after="0"/>
      </w:pPr>
      <w:r>
        <w:continuationSeparator/>
      </w:r>
    </w:p>
  </w:endnote>
  <w:endnote w:type="continuationNotice" w:id="1">
    <w:p w14:paraId="0DC55FDB" w14:textId="77777777" w:rsidR="00F25D01" w:rsidRDefault="00F25D0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itica">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A9336" w14:textId="77777777" w:rsidR="007A2DBD" w:rsidRDefault="007A2DBD" w:rsidP="002425D9">
    <w:pPr>
      <w:pStyle w:val="Footer"/>
      <w:ind w:right="360" w:firstLine="36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BB3F0" w14:textId="77777777" w:rsidR="007A2DBD" w:rsidRPr="004D61CF" w:rsidRDefault="007A2DBD" w:rsidP="002425D9">
    <w:pPr>
      <w:pStyle w:val="right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A5173" w14:textId="77777777" w:rsidR="007A2DBD" w:rsidRPr="00091474" w:rsidRDefault="007A2DBD" w:rsidP="002425D9">
    <w:pPr>
      <w:pStyle w:val="right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9A91B" w14:textId="77777777" w:rsidR="00F25D01" w:rsidRDefault="00F25D01">
      <w:pPr>
        <w:spacing w:before="0" w:after="0"/>
      </w:pPr>
      <w:r>
        <w:separator/>
      </w:r>
    </w:p>
  </w:footnote>
  <w:footnote w:type="continuationSeparator" w:id="0">
    <w:p w14:paraId="3C232A39" w14:textId="77777777" w:rsidR="00F25D01" w:rsidRDefault="00F25D01">
      <w:pPr>
        <w:spacing w:before="0" w:after="0"/>
      </w:pPr>
      <w:r>
        <w:continuationSeparator/>
      </w:r>
    </w:p>
  </w:footnote>
  <w:footnote w:type="continuationNotice" w:id="1">
    <w:p w14:paraId="1F497DF8" w14:textId="77777777" w:rsidR="00F25D01" w:rsidRDefault="00F25D0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4C4B6" w14:textId="6E606D4E" w:rsidR="007A2DBD" w:rsidRDefault="00AB1567">
    <w:pPr>
      <w:pStyle w:val="Header"/>
    </w:pPr>
    <w:r>
      <w:rPr>
        <w:noProof/>
      </w:rPr>
      <w:pict w14:anchorId="4AC122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554469" o:spid="_x0000_s1051" type="#_x0000_t136" style="position:absolute;margin-left:0;margin-top:0;width:475.6pt;height:67.9pt;rotation:315;z-index:-251655168;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891B9" w14:textId="1CBD2EA0" w:rsidR="007A2DBD" w:rsidRPr="00266BF6" w:rsidRDefault="00AB1567" w:rsidP="00266BF6">
    <w:pPr>
      <w:pStyle w:val="leftheader"/>
    </w:pPr>
    <w:r>
      <w:rPr>
        <w:noProof/>
      </w:rPr>
      <w:pict w14:anchorId="1A8997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554478" o:spid="_x0000_s1060" type="#_x0000_t136" style="position:absolute;margin-left:0;margin-top:0;width:475.6pt;height:67.9pt;rotation:315;z-index:-251636736;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r>
      <w:fldChar w:fldCharType="begin"/>
    </w:r>
    <w:r>
      <w:instrText xml:space="preserve"> STYLEREF "Chapter heading" \* MERGEFORMAT </w:instrText>
    </w:r>
    <w:r>
      <w:fldChar w:fldCharType="separate"/>
    </w:r>
    <w:r>
      <w:rPr>
        <w:noProof/>
      </w:rPr>
      <w:t>Miscellaneous and technical amendments</w:t>
    </w:r>
    <w:r>
      <w:rPr>
        <w:noProof/>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FF7D7" w14:textId="4BBBE563" w:rsidR="007A2DBD" w:rsidRPr="00A74B1A" w:rsidRDefault="00AB1567" w:rsidP="00A74B1A">
    <w:pPr>
      <w:pStyle w:val="rightheader"/>
    </w:pPr>
    <w:r>
      <w:rPr>
        <w:noProof/>
      </w:rPr>
      <w:pict w14:anchorId="109790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554479" o:spid="_x0000_s1061" type="#_x0000_t136" style="position:absolute;left:0;text-align:left;margin-left:0;margin-top:0;width:475.6pt;height:67.9pt;rotation:315;z-index:-251634688;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fldSimple w:instr=" STYLEREF &quot;Bill Name&quot; \* MERGEFORMAT ">
      <w:r>
        <w:rPr>
          <w:noProof/>
        </w:rPr>
        <w:t>TBA</w:t>
      </w:r>
    </w:fldSimple>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2D132" w14:textId="3A230F85" w:rsidR="007A2DBD" w:rsidRDefault="00AB1567" w:rsidP="00622763">
    <w:pPr>
      <w:pStyle w:val="rightheader"/>
    </w:pPr>
    <w:r>
      <w:rPr>
        <w:noProof/>
      </w:rPr>
      <w:pict w14:anchorId="0D1D5A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554477" o:spid="_x0000_s1059" type="#_x0000_t136" style="position:absolute;left:0;text-align:left;margin-left:0;margin-top:0;width:475.6pt;height:67.9pt;rotation:315;z-index:-251638784;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68620" w14:textId="24321F93" w:rsidR="007A2DBD" w:rsidRDefault="00AB1567">
    <w:pPr>
      <w:pStyle w:val="Header"/>
    </w:pPr>
    <w:r>
      <w:rPr>
        <w:noProof/>
      </w:rPr>
      <w:pict w14:anchorId="146C92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554470" o:spid="_x0000_s1052" type="#_x0000_t136" style="position:absolute;margin-left:0;margin-top:0;width:475.6pt;height:67.9pt;rotation:315;z-index:-251653120;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6206" w14:textId="4D0D0225" w:rsidR="007A2DBD" w:rsidRDefault="00AB1567">
    <w:pPr>
      <w:pStyle w:val="Header"/>
    </w:pPr>
    <w:r>
      <w:rPr>
        <w:noProof/>
      </w:rPr>
      <w:pict w14:anchorId="0602B0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554468" o:spid="_x0000_s1050" type="#_x0000_t136" style="position:absolute;margin-left:0;margin-top:0;width:475.6pt;height:67.9pt;rotation:315;z-index:-251657216;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F4AE2" w14:textId="2A184606" w:rsidR="007A2DBD" w:rsidRPr="009106AC" w:rsidRDefault="00AB1567" w:rsidP="002425D9">
    <w:pPr>
      <w:pStyle w:val="Header"/>
    </w:pPr>
    <w:r>
      <w:rPr>
        <w:noProof/>
      </w:rPr>
      <w:pict w14:anchorId="01335A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554472" o:spid="_x0000_s1054" type="#_x0000_t136" style="position:absolute;margin-left:0;margin-top:0;width:475.6pt;height:67.9pt;rotation:315;z-index:-251649024;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F8728" w14:textId="74FD143C" w:rsidR="007A2DBD" w:rsidRPr="0070093E" w:rsidRDefault="00AB1567" w:rsidP="002425D9">
    <w:pPr>
      <w:pStyle w:val="rightheader"/>
      <w:ind w:firstLine="720"/>
      <w:rPr>
        <w:lang w:val="en-US"/>
      </w:rPr>
    </w:pPr>
    <w:r>
      <w:rPr>
        <w:noProof/>
      </w:rPr>
      <w:pict w14:anchorId="211A12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554473" o:spid="_x0000_s1055" type="#_x0000_t136" style="position:absolute;left:0;text-align:left;margin-left:0;margin-top:0;width:475.6pt;height:67.9pt;rotation:315;z-index:-251646976;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r w:rsidR="007A2DBD">
      <w:rPr>
        <w:lang w:val="en-US"/>
      </w:rPr>
      <w:t>(</w:t>
    </w:r>
    <w:r w:rsidR="007A2DBD">
      <w:rPr>
        <w:lang w:val="en-US"/>
      </w:rPr>
      <w:fldChar w:fldCharType="begin"/>
    </w:r>
    <w:r w:rsidR="007A2DBD">
      <w:rPr>
        <w:lang w:val="en-US"/>
      </w:rPr>
      <w:instrText xml:space="preserve"> STYLEREF  ChapterNameOnly  \* MERGEFORMAT </w:instrText>
    </w:r>
    <w:r w:rsidR="007A2DBD">
      <w:rPr>
        <w:lang w:val="en-US"/>
      </w:rPr>
      <w:fldChar w:fldCharType="separate"/>
    </w:r>
    <w:r w:rsidR="00F7525D">
      <w:rPr>
        <w:b/>
        <w:bCs/>
        <w:noProof/>
        <w:lang w:val="en-US"/>
      </w:rPr>
      <w:t>Error! Use the Home tab to apply ChapterNameOnly to the text that you want to appear here.</w:t>
    </w:r>
    <w:r w:rsidR="007A2DBD">
      <w:rPr>
        <w:lang w:val="en-U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6527D" w14:textId="533A4BB5" w:rsidR="007A2DBD" w:rsidRDefault="00AB1567">
    <w:pPr>
      <w:pStyle w:val="Header"/>
    </w:pPr>
    <w:r>
      <w:rPr>
        <w:noProof/>
      </w:rPr>
      <w:pict w14:anchorId="09A67D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554471" o:spid="_x0000_s1053" type="#_x0000_t136" style="position:absolute;margin-left:0;margin-top:0;width:475.6pt;height:67.9pt;rotation:315;z-index:-251651072;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0AB47" w14:textId="3C53F904" w:rsidR="007A2DBD" w:rsidRPr="00816825" w:rsidRDefault="00AB1567" w:rsidP="002425D9">
    <w:pPr>
      <w:pStyle w:val="leftheader"/>
    </w:pPr>
    <w:r>
      <w:rPr>
        <w:noProof/>
      </w:rPr>
      <w:pict w14:anchorId="438ACA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554475" o:spid="_x0000_s1057" type="#_x0000_t136" style="position:absolute;margin-left:0;margin-top:0;width:475.6pt;height:67.9pt;rotation:315;z-index:-251642880;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fldSimple w:instr=" STYLEREF  &quot;Heading 1&quot;  \* MERGEFORMAT ">
      <w:r w:rsidR="00EE6FA8" w:rsidRPr="00EE6FA8">
        <w:rPr>
          <w:noProof/>
          <w:lang w:val="en-US"/>
        </w:rPr>
        <w:t>Glossary</w:t>
      </w:r>
    </w:fldSimple>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DEF0E" w14:textId="0582C824" w:rsidR="007A2DBD" w:rsidRPr="00091474" w:rsidRDefault="00AB1567" w:rsidP="002425D9">
    <w:pPr>
      <w:pStyle w:val="rightheader"/>
    </w:pPr>
    <w:r>
      <w:rPr>
        <w:noProof/>
      </w:rPr>
      <w:pict w14:anchorId="4EE014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554476" o:spid="_x0000_s1058" type="#_x0000_t136" style="position:absolute;left:0;text-align:left;margin-left:0;margin-top:0;width:475.6pt;height:67.9pt;rotation:315;z-index:-251640832;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3DC6D" w14:textId="4FE75EC4" w:rsidR="007A2DBD" w:rsidRDefault="00AB1567">
    <w:pPr>
      <w:pStyle w:val="Header"/>
    </w:pPr>
    <w:r>
      <w:rPr>
        <w:noProof/>
      </w:rPr>
      <w:pict w14:anchorId="11D5BE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554474" o:spid="_x0000_s1056" type="#_x0000_t136" style="position:absolute;margin-left:0;margin-top:0;width:475.6pt;height:67.9pt;rotation:315;z-index:-251644928;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543A0"/>
    <w:multiLevelType w:val="multilevel"/>
    <w:tmpl w:val="4F888F1E"/>
    <w:lvl w:ilvl="0">
      <w:start w:val="1"/>
      <w:numFmt w:val="decimal"/>
      <w:pStyle w:val="AttachmentHeading"/>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0676E74"/>
    <w:multiLevelType w:val="hybridMultilevel"/>
    <w:tmpl w:val="5A7CC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B44281"/>
    <w:multiLevelType w:val="hybridMultilevel"/>
    <w:tmpl w:val="FFFFFFFF"/>
    <w:lvl w:ilvl="0" w:tplc="0DF27ACA">
      <w:numFmt w:val="none"/>
      <w:lvlText w:val=""/>
      <w:lvlJc w:val="left"/>
      <w:pPr>
        <w:tabs>
          <w:tab w:val="num" w:pos="360"/>
        </w:tabs>
      </w:pPr>
    </w:lvl>
    <w:lvl w:ilvl="1" w:tplc="3782C02E">
      <w:start w:val="1"/>
      <w:numFmt w:val="lowerLetter"/>
      <w:lvlText w:val="%2."/>
      <w:lvlJc w:val="left"/>
      <w:pPr>
        <w:ind w:left="1440" w:hanging="360"/>
      </w:pPr>
    </w:lvl>
    <w:lvl w:ilvl="2" w:tplc="2C0ADA80">
      <w:start w:val="1"/>
      <w:numFmt w:val="lowerRoman"/>
      <w:lvlText w:val="%3."/>
      <w:lvlJc w:val="right"/>
      <w:pPr>
        <w:ind w:left="2160" w:hanging="180"/>
      </w:pPr>
    </w:lvl>
    <w:lvl w:ilvl="3" w:tplc="14FC7932">
      <w:start w:val="1"/>
      <w:numFmt w:val="decimal"/>
      <w:lvlText w:val="%4."/>
      <w:lvlJc w:val="left"/>
      <w:pPr>
        <w:ind w:left="2880" w:hanging="360"/>
      </w:pPr>
    </w:lvl>
    <w:lvl w:ilvl="4" w:tplc="E0A602D8">
      <w:start w:val="1"/>
      <w:numFmt w:val="lowerLetter"/>
      <w:lvlText w:val="%5."/>
      <w:lvlJc w:val="left"/>
      <w:pPr>
        <w:ind w:left="3600" w:hanging="360"/>
      </w:pPr>
    </w:lvl>
    <w:lvl w:ilvl="5" w:tplc="74C2BA3A">
      <w:start w:val="1"/>
      <w:numFmt w:val="lowerRoman"/>
      <w:lvlText w:val="%6."/>
      <w:lvlJc w:val="right"/>
      <w:pPr>
        <w:ind w:left="4320" w:hanging="180"/>
      </w:pPr>
    </w:lvl>
    <w:lvl w:ilvl="6" w:tplc="E87A2EDA">
      <w:start w:val="1"/>
      <w:numFmt w:val="decimal"/>
      <w:lvlText w:val="%7."/>
      <w:lvlJc w:val="left"/>
      <w:pPr>
        <w:ind w:left="5040" w:hanging="360"/>
      </w:pPr>
    </w:lvl>
    <w:lvl w:ilvl="7" w:tplc="DB0E6154">
      <w:start w:val="1"/>
      <w:numFmt w:val="lowerLetter"/>
      <w:lvlText w:val="%8."/>
      <w:lvlJc w:val="left"/>
      <w:pPr>
        <w:ind w:left="5760" w:hanging="360"/>
      </w:pPr>
    </w:lvl>
    <w:lvl w:ilvl="8" w:tplc="380EFE5C">
      <w:start w:val="1"/>
      <w:numFmt w:val="lowerRoman"/>
      <w:lvlText w:val="%9."/>
      <w:lvlJc w:val="right"/>
      <w:pPr>
        <w:ind w:left="6480" w:hanging="180"/>
      </w:pPr>
    </w:lvl>
  </w:abstractNum>
  <w:abstractNum w:abstractNumId="3" w15:restartNumberingAfterBreak="0">
    <w:nsid w:val="15A91E88"/>
    <w:multiLevelType w:val="hybridMultilevel"/>
    <w:tmpl w:val="1DE8CBA4"/>
    <w:lvl w:ilvl="0" w:tplc="D84EA11C">
      <w:start w:val="1"/>
      <w:numFmt w:val="bullet"/>
      <w:pStyle w:val="RISbullet2"/>
      <w:lvlText w:val="‒"/>
      <w:lvlJc w:val="left"/>
      <w:pPr>
        <w:ind w:left="1571" w:hanging="360"/>
      </w:pPr>
      <w:rPr>
        <w:rFonts w:ascii="Times New Roman" w:hAnsi="Times New Roman" w:cs="Times New Roman" w:hint="default"/>
        <w:b w:val="0"/>
        <w:i w:val="0"/>
        <w:sz w:val="22"/>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4" w15:restartNumberingAfterBreak="0">
    <w:nsid w:val="21AC701A"/>
    <w:multiLevelType w:val="multilevel"/>
    <w:tmpl w:val="E6CCE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30EC4C"/>
    <w:multiLevelType w:val="hybridMultilevel"/>
    <w:tmpl w:val="FFFFFFFF"/>
    <w:lvl w:ilvl="0" w:tplc="3D1A7DA8">
      <w:numFmt w:val="none"/>
      <w:lvlText w:val=""/>
      <w:lvlJc w:val="left"/>
      <w:pPr>
        <w:tabs>
          <w:tab w:val="num" w:pos="360"/>
        </w:tabs>
      </w:pPr>
    </w:lvl>
    <w:lvl w:ilvl="1" w:tplc="2B027482">
      <w:start w:val="1"/>
      <w:numFmt w:val="lowerLetter"/>
      <w:lvlText w:val="%2."/>
      <w:lvlJc w:val="left"/>
      <w:pPr>
        <w:ind w:left="1440" w:hanging="360"/>
      </w:pPr>
    </w:lvl>
    <w:lvl w:ilvl="2" w:tplc="2340D318">
      <w:start w:val="1"/>
      <w:numFmt w:val="lowerRoman"/>
      <w:lvlText w:val="%3."/>
      <w:lvlJc w:val="right"/>
      <w:pPr>
        <w:ind w:left="2160" w:hanging="180"/>
      </w:pPr>
    </w:lvl>
    <w:lvl w:ilvl="3" w:tplc="D6CCE610">
      <w:start w:val="1"/>
      <w:numFmt w:val="decimal"/>
      <w:lvlText w:val="%4."/>
      <w:lvlJc w:val="left"/>
      <w:pPr>
        <w:ind w:left="2880" w:hanging="360"/>
      </w:pPr>
    </w:lvl>
    <w:lvl w:ilvl="4" w:tplc="7102C1D8">
      <w:start w:val="1"/>
      <w:numFmt w:val="lowerLetter"/>
      <w:lvlText w:val="%5."/>
      <w:lvlJc w:val="left"/>
      <w:pPr>
        <w:ind w:left="3600" w:hanging="360"/>
      </w:pPr>
    </w:lvl>
    <w:lvl w:ilvl="5" w:tplc="F8F46002">
      <w:start w:val="1"/>
      <w:numFmt w:val="lowerRoman"/>
      <w:lvlText w:val="%6."/>
      <w:lvlJc w:val="right"/>
      <w:pPr>
        <w:ind w:left="4320" w:hanging="180"/>
      </w:pPr>
    </w:lvl>
    <w:lvl w:ilvl="6" w:tplc="82569376">
      <w:start w:val="1"/>
      <w:numFmt w:val="decimal"/>
      <w:lvlText w:val="%7."/>
      <w:lvlJc w:val="left"/>
      <w:pPr>
        <w:ind w:left="5040" w:hanging="360"/>
      </w:pPr>
    </w:lvl>
    <w:lvl w:ilvl="7" w:tplc="9740F8F4">
      <w:start w:val="1"/>
      <w:numFmt w:val="lowerLetter"/>
      <w:lvlText w:val="%8."/>
      <w:lvlJc w:val="left"/>
      <w:pPr>
        <w:ind w:left="5760" w:hanging="360"/>
      </w:pPr>
    </w:lvl>
    <w:lvl w:ilvl="8" w:tplc="5A282936">
      <w:start w:val="1"/>
      <w:numFmt w:val="lowerRoman"/>
      <w:lvlText w:val="%9."/>
      <w:lvlJc w:val="right"/>
      <w:pPr>
        <w:ind w:left="6480" w:hanging="180"/>
      </w:pPr>
    </w:lvl>
  </w:abstractNum>
  <w:abstractNum w:abstractNumId="6" w15:restartNumberingAfterBreak="0">
    <w:nsid w:val="29170CA0"/>
    <w:multiLevelType w:val="multilevel"/>
    <w:tmpl w:val="F8A46336"/>
    <w:styleLink w:val="Chapternumbering"/>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ormalparatextwithnumbers"/>
      <w:lvlText w:val="%1.%2"/>
      <w:lvlJc w:val="left"/>
      <w:pPr>
        <w:tabs>
          <w:tab w:val="num" w:pos="709"/>
        </w:tabs>
        <w:ind w:left="709" w:hanging="709"/>
      </w:pPr>
      <w:rPr>
        <w:rFonts w:hint="default"/>
      </w:rPr>
    </w:lvl>
    <w:lvl w:ilvl="2">
      <w:start w:val="1"/>
      <w:numFmt w:val="decimal"/>
      <w:lvlRestart w:val="1"/>
      <w:pStyle w:val="DiagramHeading"/>
      <w:suff w:val="space"/>
      <w:lvlText w:val="Diagram %1.%3"/>
      <w:lvlJc w:val="left"/>
      <w:pPr>
        <w:ind w:left="1701" w:hanging="1701"/>
      </w:pPr>
      <w:rPr>
        <w:rFonts w:hint="default"/>
      </w:rPr>
    </w:lvl>
    <w:lvl w:ilvl="3">
      <w:start w:val="1"/>
      <w:numFmt w:val="decimal"/>
      <w:lvlRestart w:val="1"/>
      <w:pStyle w:val="ExampleHeading"/>
      <w:suff w:val="space"/>
      <w:lvlText w:val="Example %1.%4"/>
      <w:lvlJc w:val="left"/>
      <w:pPr>
        <w:ind w:left="1701" w:hanging="1701"/>
      </w:pPr>
      <w:rPr>
        <w:rFonts w:hint="default"/>
      </w:rPr>
    </w:lvl>
    <w:lvl w:ilvl="4">
      <w:start w:val="1"/>
      <w:numFmt w:val="decimal"/>
      <w:lvlRestart w:val="1"/>
      <w:pStyle w:val="TableHeading"/>
      <w:suff w:val="space"/>
      <w:lvlText w:val="Table %1.%5"/>
      <w:lvlJc w:val="left"/>
      <w:pPr>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A0CD4B5"/>
    <w:multiLevelType w:val="hybridMultilevel"/>
    <w:tmpl w:val="FFFFFFFF"/>
    <w:lvl w:ilvl="0" w:tplc="229872DE">
      <w:numFmt w:val="none"/>
      <w:lvlText w:val=""/>
      <w:lvlJc w:val="left"/>
      <w:pPr>
        <w:tabs>
          <w:tab w:val="num" w:pos="360"/>
        </w:tabs>
      </w:pPr>
    </w:lvl>
    <w:lvl w:ilvl="1" w:tplc="1D105D6A">
      <w:start w:val="1"/>
      <w:numFmt w:val="lowerLetter"/>
      <w:lvlText w:val="%2."/>
      <w:lvlJc w:val="left"/>
      <w:pPr>
        <w:ind w:left="1440" w:hanging="360"/>
      </w:pPr>
    </w:lvl>
    <w:lvl w:ilvl="2" w:tplc="40EE72AE">
      <w:start w:val="1"/>
      <w:numFmt w:val="lowerRoman"/>
      <w:lvlText w:val="%3."/>
      <w:lvlJc w:val="right"/>
      <w:pPr>
        <w:ind w:left="2160" w:hanging="180"/>
      </w:pPr>
    </w:lvl>
    <w:lvl w:ilvl="3" w:tplc="DB54D0AA">
      <w:start w:val="1"/>
      <w:numFmt w:val="decimal"/>
      <w:lvlText w:val="%4."/>
      <w:lvlJc w:val="left"/>
      <w:pPr>
        <w:ind w:left="2880" w:hanging="360"/>
      </w:pPr>
    </w:lvl>
    <w:lvl w:ilvl="4" w:tplc="CA769DEA">
      <w:start w:val="1"/>
      <w:numFmt w:val="lowerLetter"/>
      <w:lvlText w:val="%5."/>
      <w:lvlJc w:val="left"/>
      <w:pPr>
        <w:ind w:left="3600" w:hanging="360"/>
      </w:pPr>
    </w:lvl>
    <w:lvl w:ilvl="5" w:tplc="8B7CADE4">
      <w:start w:val="1"/>
      <w:numFmt w:val="lowerRoman"/>
      <w:lvlText w:val="%6."/>
      <w:lvlJc w:val="right"/>
      <w:pPr>
        <w:ind w:left="4320" w:hanging="180"/>
      </w:pPr>
    </w:lvl>
    <w:lvl w:ilvl="6" w:tplc="B130295E">
      <w:start w:val="1"/>
      <w:numFmt w:val="decimal"/>
      <w:lvlText w:val="%7."/>
      <w:lvlJc w:val="left"/>
      <w:pPr>
        <w:ind w:left="5040" w:hanging="360"/>
      </w:pPr>
    </w:lvl>
    <w:lvl w:ilvl="7" w:tplc="3E000274">
      <w:start w:val="1"/>
      <w:numFmt w:val="lowerLetter"/>
      <w:lvlText w:val="%8."/>
      <w:lvlJc w:val="left"/>
      <w:pPr>
        <w:ind w:left="5760" w:hanging="360"/>
      </w:pPr>
    </w:lvl>
    <w:lvl w:ilvl="8" w:tplc="75362420">
      <w:start w:val="1"/>
      <w:numFmt w:val="lowerRoman"/>
      <w:lvlText w:val="%9."/>
      <w:lvlJc w:val="right"/>
      <w:pPr>
        <w:ind w:left="6480" w:hanging="180"/>
      </w:pPr>
    </w:lvl>
  </w:abstractNum>
  <w:abstractNum w:abstractNumId="8" w15:restartNumberingAfterBreak="0">
    <w:nsid w:val="2D2B7E2A"/>
    <w:multiLevelType w:val="hybridMultilevel"/>
    <w:tmpl w:val="BBD8CBD2"/>
    <w:lvl w:ilvl="0" w:tplc="F154CDD8">
      <w:start w:val="1"/>
      <w:numFmt w:val="bullet"/>
      <w:pStyle w:val="Dotpoin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1ADFB7"/>
    <w:multiLevelType w:val="hybridMultilevel"/>
    <w:tmpl w:val="FFFFFFFF"/>
    <w:lvl w:ilvl="0" w:tplc="BA443D76">
      <w:numFmt w:val="none"/>
      <w:lvlText w:val=""/>
      <w:lvlJc w:val="left"/>
      <w:pPr>
        <w:tabs>
          <w:tab w:val="num" w:pos="360"/>
        </w:tabs>
      </w:pPr>
    </w:lvl>
    <w:lvl w:ilvl="1" w:tplc="2B0A9AB2">
      <w:start w:val="1"/>
      <w:numFmt w:val="lowerLetter"/>
      <w:lvlText w:val="%2."/>
      <w:lvlJc w:val="left"/>
      <w:pPr>
        <w:ind w:left="1440" w:hanging="360"/>
      </w:pPr>
    </w:lvl>
    <w:lvl w:ilvl="2" w:tplc="338AB38E">
      <w:start w:val="1"/>
      <w:numFmt w:val="lowerRoman"/>
      <w:lvlText w:val="%3."/>
      <w:lvlJc w:val="right"/>
      <w:pPr>
        <w:ind w:left="2160" w:hanging="180"/>
      </w:pPr>
    </w:lvl>
    <w:lvl w:ilvl="3" w:tplc="E9503CB4">
      <w:start w:val="1"/>
      <w:numFmt w:val="decimal"/>
      <w:lvlText w:val="%4."/>
      <w:lvlJc w:val="left"/>
      <w:pPr>
        <w:ind w:left="2880" w:hanging="360"/>
      </w:pPr>
    </w:lvl>
    <w:lvl w:ilvl="4" w:tplc="2DDA7F12">
      <w:start w:val="1"/>
      <w:numFmt w:val="lowerLetter"/>
      <w:lvlText w:val="%5."/>
      <w:lvlJc w:val="left"/>
      <w:pPr>
        <w:ind w:left="3600" w:hanging="360"/>
      </w:pPr>
    </w:lvl>
    <w:lvl w:ilvl="5" w:tplc="5C2EE5E0">
      <w:start w:val="1"/>
      <w:numFmt w:val="lowerRoman"/>
      <w:lvlText w:val="%6."/>
      <w:lvlJc w:val="right"/>
      <w:pPr>
        <w:ind w:left="4320" w:hanging="180"/>
      </w:pPr>
    </w:lvl>
    <w:lvl w:ilvl="6" w:tplc="7A046794">
      <w:start w:val="1"/>
      <w:numFmt w:val="decimal"/>
      <w:lvlText w:val="%7."/>
      <w:lvlJc w:val="left"/>
      <w:pPr>
        <w:ind w:left="5040" w:hanging="360"/>
      </w:pPr>
    </w:lvl>
    <w:lvl w:ilvl="7" w:tplc="F9CA544E">
      <w:start w:val="1"/>
      <w:numFmt w:val="lowerLetter"/>
      <w:lvlText w:val="%8."/>
      <w:lvlJc w:val="left"/>
      <w:pPr>
        <w:ind w:left="5760" w:hanging="360"/>
      </w:pPr>
    </w:lvl>
    <w:lvl w:ilvl="8" w:tplc="C0AAC6A4">
      <w:start w:val="1"/>
      <w:numFmt w:val="lowerRoman"/>
      <w:lvlText w:val="%9."/>
      <w:lvlJc w:val="right"/>
      <w:pPr>
        <w:ind w:left="6480" w:hanging="180"/>
      </w:pPr>
    </w:lvl>
  </w:abstractNum>
  <w:abstractNum w:abstractNumId="10" w15:restartNumberingAfterBreak="0">
    <w:nsid w:val="3652CC75"/>
    <w:multiLevelType w:val="hybridMultilevel"/>
    <w:tmpl w:val="FFFFFFFF"/>
    <w:lvl w:ilvl="0" w:tplc="27E012C2">
      <w:numFmt w:val="none"/>
      <w:lvlText w:val=""/>
      <w:lvlJc w:val="left"/>
      <w:pPr>
        <w:tabs>
          <w:tab w:val="num" w:pos="360"/>
        </w:tabs>
      </w:pPr>
    </w:lvl>
    <w:lvl w:ilvl="1" w:tplc="DEF64160">
      <w:start w:val="1"/>
      <w:numFmt w:val="lowerLetter"/>
      <w:lvlText w:val="%2."/>
      <w:lvlJc w:val="left"/>
      <w:pPr>
        <w:ind w:left="1440" w:hanging="360"/>
      </w:pPr>
    </w:lvl>
    <w:lvl w:ilvl="2" w:tplc="6DD28FAE">
      <w:start w:val="1"/>
      <w:numFmt w:val="lowerRoman"/>
      <w:lvlText w:val="%3."/>
      <w:lvlJc w:val="right"/>
      <w:pPr>
        <w:ind w:left="2160" w:hanging="180"/>
      </w:pPr>
    </w:lvl>
    <w:lvl w:ilvl="3" w:tplc="8E8E73D0">
      <w:start w:val="1"/>
      <w:numFmt w:val="decimal"/>
      <w:lvlText w:val="%4."/>
      <w:lvlJc w:val="left"/>
      <w:pPr>
        <w:ind w:left="2880" w:hanging="360"/>
      </w:pPr>
    </w:lvl>
    <w:lvl w:ilvl="4" w:tplc="80B63E40">
      <w:start w:val="1"/>
      <w:numFmt w:val="lowerLetter"/>
      <w:lvlText w:val="%5."/>
      <w:lvlJc w:val="left"/>
      <w:pPr>
        <w:ind w:left="3600" w:hanging="360"/>
      </w:pPr>
    </w:lvl>
    <w:lvl w:ilvl="5" w:tplc="AC5A84F8">
      <w:start w:val="1"/>
      <w:numFmt w:val="lowerRoman"/>
      <w:lvlText w:val="%6."/>
      <w:lvlJc w:val="right"/>
      <w:pPr>
        <w:ind w:left="4320" w:hanging="180"/>
      </w:pPr>
    </w:lvl>
    <w:lvl w:ilvl="6" w:tplc="98240B42">
      <w:start w:val="1"/>
      <w:numFmt w:val="decimal"/>
      <w:lvlText w:val="%7."/>
      <w:lvlJc w:val="left"/>
      <w:pPr>
        <w:ind w:left="5040" w:hanging="360"/>
      </w:pPr>
    </w:lvl>
    <w:lvl w:ilvl="7" w:tplc="5BD20D54">
      <w:start w:val="1"/>
      <w:numFmt w:val="lowerLetter"/>
      <w:lvlText w:val="%8."/>
      <w:lvlJc w:val="left"/>
      <w:pPr>
        <w:ind w:left="5760" w:hanging="360"/>
      </w:pPr>
    </w:lvl>
    <w:lvl w:ilvl="8" w:tplc="C9A0ADF6">
      <w:start w:val="1"/>
      <w:numFmt w:val="lowerRoman"/>
      <w:lvlText w:val="%9."/>
      <w:lvlJc w:val="right"/>
      <w:pPr>
        <w:ind w:left="6480" w:hanging="180"/>
      </w:pPr>
    </w:lvl>
  </w:abstractNum>
  <w:abstractNum w:abstractNumId="11" w15:restartNumberingAfterBreak="0">
    <w:nsid w:val="3B52B927"/>
    <w:multiLevelType w:val="hybridMultilevel"/>
    <w:tmpl w:val="FFFFFFFF"/>
    <w:lvl w:ilvl="0" w:tplc="8778A15C">
      <w:numFmt w:val="none"/>
      <w:lvlText w:val=""/>
      <w:lvlJc w:val="left"/>
      <w:pPr>
        <w:tabs>
          <w:tab w:val="num" w:pos="360"/>
        </w:tabs>
      </w:pPr>
    </w:lvl>
    <w:lvl w:ilvl="1" w:tplc="F3CEEA3A">
      <w:start w:val="1"/>
      <w:numFmt w:val="lowerLetter"/>
      <w:lvlText w:val="%2."/>
      <w:lvlJc w:val="left"/>
      <w:pPr>
        <w:ind w:left="1440" w:hanging="360"/>
      </w:pPr>
    </w:lvl>
    <w:lvl w:ilvl="2" w:tplc="55C26294">
      <w:start w:val="1"/>
      <w:numFmt w:val="lowerRoman"/>
      <w:lvlText w:val="%3."/>
      <w:lvlJc w:val="right"/>
      <w:pPr>
        <w:ind w:left="2160" w:hanging="180"/>
      </w:pPr>
    </w:lvl>
    <w:lvl w:ilvl="3" w:tplc="35405B76">
      <w:start w:val="1"/>
      <w:numFmt w:val="decimal"/>
      <w:lvlText w:val="%4."/>
      <w:lvlJc w:val="left"/>
      <w:pPr>
        <w:ind w:left="2880" w:hanging="360"/>
      </w:pPr>
    </w:lvl>
    <w:lvl w:ilvl="4" w:tplc="146007F2">
      <w:start w:val="1"/>
      <w:numFmt w:val="lowerLetter"/>
      <w:lvlText w:val="%5."/>
      <w:lvlJc w:val="left"/>
      <w:pPr>
        <w:ind w:left="3600" w:hanging="360"/>
      </w:pPr>
    </w:lvl>
    <w:lvl w:ilvl="5" w:tplc="0C208272">
      <w:start w:val="1"/>
      <w:numFmt w:val="lowerRoman"/>
      <w:lvlText w:val="%6."/>
      <w:lvlJc w:val="right"/>
      <w:pPr>
        <w:ind w:left="4320" w:hanging="180"/>
      </w:pPr>
    </w:lvl>
    <w:lvl w:ilvl="6" w:tplc="BF84A492">
      <w:start w:val="1"/>
      <w:numFmt w:val="decimal"/>
      <w:lvlText w:val="%7."/>
      <w:lvlJc w:val="left"/>
      <w:pPr>
        <w:ind w:left="5040" w:hanging="360"/>
      </w:pPr>
    </w:lvl>
    <w:lvl w:ilvl="7" w:tplc="DF4A941E">
      <w:start w:val="1"/>
      <w:numFmt w:val="lowerLetter"/>
      <w:lvlText w:val="%8."/>
      <w:lvlJc w:val="left"/>
      <w:pPr>
        <w:ind w:left="5760" w:hanging="360"/>
      </w:pPr>
    </w:lvl>
    <w:lvl w:ilvl="8" w:tplc="D402F30A">
      <w:start w:val="1"/>
      <w:numFmt w:val="lowerRoman"/>
      <w:lvlText w:val="%9."/>
      <w:lvlJc w:val="right"/>
      <w:pPr>
        <w:ind w:left="6480" w:hanging="180"/>
      </w:pPr>
    </w:lvl>
  </w:abstractNum>
  <w:abstractNum w:abstractNumId="12" w15:restartNumberingAfterBreak="0">
    <w:nsid w:val="3B5D2CC9"/>
    <w:multiLevelType w:val="multilevel"/>
    <w:tmpl w:val="EB40A840"/>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3832D47"/>
    <w:multiLevelType w:val="hybridMultilevel"/>
    <w:tmpl w:val="6F7A201E"/>
    <w:lvl w:ilvl="0" w:tplc="6440602C">
      <w:start w:val="1"/>
      <w:numFmt w:val="bullet"/>
      <w:pStyle w:val="Exampledotpoint2"/>
      <w:lvlText w:val="‒"/>
      <w:lvlJc w:val="left"/>
      <w:pPr>
        <w:ind w:left="1928" w:hanging="360"/>
      </w:pPr>
      <w:rPr>
        <w:rFonts w:ascii="Times New Roman" w:hAnsi="Times New Roman" w:cs="Times New Roman" w:hint="default"/>
        <w:b w:val="0"/>
        <w:i w:val="0"/>
        <w:sz w:val="22"/>
      </w:rPr>
    </w:lvl>
    <w:lvl w:ilvl="1" w:tplc="0C090003" w:tentative="1">
      <w:start w:val="1"/>
      <w:numFmt w:val="bullet"/>
      <w:lvlText w:val="o"/>
      <w:lvlJc w:val="left"/>
      <w:pPr>
        <w:ind w:left="2648" w:hanging="360"/>
      </w:pPr>
      <w:rPr>
        <w:rFonts w:ascii="Courier New" w:hAnsi="Courier New" w:cs="Courier New" w:hint="default"/>
      </w:rPr>
    </w:lvl>
    <w:lvl w:ilvl="2" w:tplc="0C090005" w:tentative="1">
      <w:start w:val="1"/>
      <w:numFmt w:val="bullet"/>
      <w:lvlText w:val=""/>
      <w:lvlJc w:val="left"/>
      <w:pPr>
        <w:ind w:left="3368" w:hanging="360"/>
      </w:pPr>
      <w:rPr>
        <w:rFonts w:ascii="Wingdings" w:hAnsi="Wingdings" w:hint="default"/>
      </w:rPr>
    </w:lvl>
    <w:lvl w:ilvl="3" w:tplc="0C090001" w:tentative="1">
      <w:start w:val="1"/>
      <w:numFmt w:val="bullet"/>
      <w:lvlText w:val=""/>
      <w:lvlJc w:val="left"/>
      <w:pPr>
        <w:ind w:left="4088" w:hanging="360"/>
      </w:pPr>
      <w:rPr>
        <w:rFonts w:ascii="Symbol" w:hAnsi="Symbol" w:hint="default"/>
      </w:rPr>
    </w:lvl>
    <w:lvl w:ilvl="4" w:tplc="0C090003" w:tentative="1">
      <w:start w:val="1"/>
      <w:numFmt w:val="bullet"/>
      <w:lvlText w:val="o"/>
      <w:lvlJc w:val="left"/>
      <w:pPr>
        <w:ind w:left="4808" w:hanging="360"/>
      </w:pPr>
      <w:rPr>
        <w:rFonts w:ascii="Courier New" w:hAnsi="Courier New" w:cs="Courier New" w:hint="default"/>
      </w:rPr>
    </w:lvl>
    <w:lvl w:ilvl="5" w:tplc="0C090005" w:tentative="1">
      <w:start w:val="1"/>
      <w:numFmt w:val="bullet"/>
      <w:lvlText w:val=""/>
      <w:lvlJc w:val="left"/>
      <w:pPr>
        <w:ind w:left="5528" w:hanging="360"/>
      </w:pPr>
      <w:rPr>
        <w:rFonts w:ascii="Wingdings" w:hAnsi="Wingdings" w:hint="default"/>
      </w:rPr>
    </w:lvl>
    <w:lvl w:ilvl="6" w:tplc="0C090001" w:tentative="1">
      <w:start w:val="1"/>
      <w:numFmt w:val="bullet"/>
      <w:lvlText w:val=""/>
      <w:lvlJc w:val="left"/>
      <w:pPr>
        <w:ind w:left="6248" w:hanging="360"/>
      </w:pPr>
      <w:rPr>
        <w:rFonts w:ascii="Symbol" w:hAnsi="Symbol" w:hint="default"/>
      </w:rPr>
    </w:lvl>
    <w:lvl w:ilvl="7" w:tplc="0C090003" w:tentative="1">
      <w:start w:val="1"/>
      <w:numFmt w:val="bullet"/>
      <w:lvlText w:val="o"/>
      <w:lvlJc w:val="left"/>
      <w:pPr>
        <w:ind w:left="6968" w:hanging="360"/>
      </w:pPr>
      <w:rPr>
        <w:rFonts w:ascii="Courier New" w:hAnsi="Courier New" w:cs="Courier New" w:hint="default"/>
      </w:rPr>
    </w:lvl>
    <w:lvl w:ilvl="8" w:tplc="0C090005" w:tentative="1">
      <w:start w:val="1"/>
      <w:numFmt w:val="bullet"/>
      <w:lvlText w:val=""/>
      <w:lvlJc w:val="left"/>
      <w:pPr>
        <w:ind w:left="7688" w:hanging="360"/>
      </w:pPr>
      <w:rPr>
        <w:rFonts w:ascii="Wingdings" w:hAnsi="Wingdings" w:hint="default"/>
      </w:rPr>
    </w:lvl>
  </w:abstractNum>
  <w:abstractNum w:abstractNumId="14" w15:restartNumberingAfterBreak="0">
    <w:nsid w:val="45255D4F"/>
    <w:multiLevelType w:val="multilevel"/>
    <w:tmpl w:val="B0065306"/>
    <w:name w:val="StandardNumberedList"/>
    <w:lvl w:ilvl="0">
      <w:start w:val="1"/>
      <w:numFmt w:val="decimal"/>
      <w:pStyle w:val="OutlineNumbered1"/>
      <w:lvlText w:val="%1."/>
      <w:lvlJc w:val="left"/>
      <w:pPr>
        <w:tabs>
          <w:tab w:val="num" w:pos="638"/>
        </w:tabs>
        <w:ind w:left="638" w:hanging="638"/>
      </w:pPr>
      <w:rPr>
        <w:b w:val="0"/>
        <w:bCs w:val="0"/>
      </w:rPr>
    </w:lvl>
    <w:lvl w:ilvl="1">
      <w:start w:val="1"/>
      <w:numFmt w:val="decimal"/>
      <w:pStyle w:val="OutlineNumbered2"/>
      <w:lvlText w:val="%1.%2."/>
      <w:lvlJc w:val="left"/>
      <w:pPr>
        <w:tabs>
          <w:tab w:val="num" w:pos="1276"/>
        </w:tabs>
        <w:ind w:left="1276" w:hanging="638"/>
      </w:pPr>
    </w:lvl>
    <w:lvl w:ilvl="2">
      <w:start w:val="1"/>
      <w:numFmt w:val="decimal"/>
      <w:pStyle w:val="OutlineNumbered3"/>
      <w:lvlText w:val="%1.%2.%3."/>
      <w:lvlJc w:val="left"/>
      <w:pPr>
        <w:tabs>
          <w:tab w:val="num" w:pos="1914"/>
        </w:tabs>
        <w:ind w:left="1914" w:hanging="638"/>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953310E"/>
    <w:multiLevelType w:val="multilevel"/>
    <w:tmpl w:val="224ABB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1F0899"/>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33FB624"/>
    <w:multiLevelType w:val="hybridMultilevel"/>
    <w:tmpl w:val="FFFFFFFF"/>
    <w:lvl w:ilvl="0" w:tplc="DA00D3D4">
      <w:numFmt w:val="none"/>
      <w:lvlText w:val=""/>
      <w:lvlJc w:val="left"/>
      <w:pPr>
        <w:tabs>
          <w:tab w:val="num" w:pos="360"/>
        </w:tabs>
      </w:pPr>
    </w:lvl>
    <w:lvl w:ilvl="1" w:tplc="F59C1CEA">
      <w:start w:val="1"/>
      <w:numFmt w:val="lowerLetter"/>
      <w:lvlText w:val="%2."/>
      <w:lvlJc w:val="left"/>
      <w:pPr>
        <w:ind w:left="1440" w:hanging="360"/>
      </w:pPr>
    </w:lvl>
    <w:lvl w:ilvl="2" w:tplc="7F10FCCC">
      <w:start w:val="1"/>
      <w:numFmt w:val="lowerRoman"/>
      <w:lvlText w:val="%3."/>
      <w:lvlJc w:val="right"/>
      <w:pPr>
        <w:ind w:left="2160" w:hanging="180"/>
      </w:pPr>
    </w:lvl>
    <w:lvl w:ilvl="3" w:tplc="C3482DF8">
      <w:start w:val="1"/>
      <w:numFmt w:val="decimal"/>
      <w:lvlText w:val="%4."/>
      <w:lvlJc w:val="left"/>
      <w:pPr>
        <w:ind w:left="2880" w:hanging="360"/>
      </w:pPr>
    </w:lvl>
    <w:lvl w:ilvl="4" w:tplc="0116FF96">
      <w:start w:val="1"/>
      <w:numFmt w:val="lowerLetter"/>
      <w:lvlText w:val="%5."/>
      <w:lvlJc w:val="left"/>
      <w:pPr>
        <w:ind w:left="3600" w:hanging="360"/>
      </w:pPr>
    </w:lvl>
    <w:lvl w:ilvl="5" w:tplc="ABA8DF82">
      <w:start w:val="1"/>
      <w:numFmt w:val="lowerRoman"/>
      <w:lvlText w:val="%6."/>
      <w:lvlJc w:val="right"/>
      <w:pPr>
        <w:ind w:left="4320" w:hanging="180"/>
      </w:pPr>
    </w:lvl>
    <w:lvl w:ilvl="6" w:tplc="3B966A52">
      <w:start w:val="1"/>
      <w:numFmt w:val="decimal"/>
      <w:lvlText w:val="%7."/>
      <w:lvlJc w:val="left"/>
      <w:pPr>
        <w:ind w:left="5040" w:hanging="360"/>
      </w:pPr>
    </w:lvl>
    <w:lvl w:ilvl="7" w:tplc="46F8144A">
      <w:start w:val="1"/>
      <w:numFmt w:val="lowerLetter"/>
      <w:lvlText w:val="%8."/>
      <w:lvlJc w:val="left"/>
      <w:pPr>
        <w:ind w:left="5760" w:hanging="360"/>
      </w:pPr>
    </w:lvl>
    <w:lvl w:ilvl="8" w:tplc="B078704C">
      <w:start w:val="1"/>
      <w:numFmt w:val="lowerRoman"/>
      <w:lvlText w:val="%9."/>
      <w:lvlJc w:val="right"/>
      <w:pPr>
        <w:ind w:left="6480" w:hanging="180"/>
      </w:pPr>
    </w:lvl>
  </w:abstractNum>
  <w:abstractNum w:abstractNumId="18" w15:restartNumberingAfterBreak="0">
    <w:nsid w:val="53F53EE7"/>
    <w:multiLevelType w:val="hybridMultilevel"/>
    <w:tmpl w:val="FFFFFFFF"/>
    <w:lvl w:ilvl="0" w:tplc="777C60B0">
      <w:numFmt w:val="none"/>
      <w:lvlText w:val=""/>
      <w:lvlJc w:val="left"/>
      <w:pPr>
        <w:tabs>
          <w:tab w:val="num" w:pos="360"/>
        </w:tabs>
      </w:pPr>
    </w:lvl>
    <w:lvl w:ilvl="1" w:tplc="B51ECD00">
      <w:start w:val="1"/>
      <w:numFmt w:val="lowerLetter"/>
      <w:lvlText w:val="%2."/>
      <w:lvlJc w:val="left"/>
      <w:pPr>
        <w:ind w:left="1440" w:hanging="360"/>
      </w:pPr>
    </w:lvl>
    <w:lvl w:ilvl="2" w:tplc="031215E4">
      <w:start w:val="1"/>
      <w:numFmt w:val="lowerRoman"/>
      <w:lvlText w:val="%3."/>
      <w:lvlJc w:val="right"/>
      <w:pPr>
        <w:ind w:left="2160" w:hanging="180"/>
      </w:pPr>
    </w:lvl>
    <w:lvl w:ilvl="3" w:tplc="4DD8EF06">
      <w:start w:val="1"/>
      <w:numFmt w:val="decimal"/>
      <w:lvlText w:val="%4."/>
      <w:lvlJc w:val="left"/>
      <w:pPr>
        <w:ind w:left="2880" w:hanging="360"/>
      </w:pPr>
    </w:lvl>
    <w:lvl w:ilvl="4" w:tplc="69903150">
      <w:start w:val="1"/>
      <w:numFmt w:val="lowerLetter"/>
      <w:lvlText w:val="%5."/>
      <w:lvlJc w:val="left"/>
      <w:pPr>
        <w:ind w:left="3600" w:hanging="360"/>
      </w:pPr>
    </w:lvl>
    <w:lvl w:ilvl="5" w:tplc="165E5160">
      <w:start w:val="1"/>
      <w:numFmt w:val="lowerRoman"/>
      <w:lvlText w:val="%6."/>
      <w:lvlJc w:val="right"/>
      <w:pPr>
        <w:ind w:left="4320" w:hanging="180"/>
      </w:pPr>
    </w:lvl>
    <w:lvl w:ilvl="6" w:tplc="3014F686">
      <w:start w:val="1"/>
      <w:numFmt w:val="decimal"/>
      <w:lvlText w:val="%7."/>
      <w:lvlJc w:val="left"/>
      <w:pPr>
        <w:ind w:left="5040" w:hanging="360"/>
      </w:pPr>
    </w:lvl>
    <w:lvl w:ilvl="7" w:tplc="1DA6CD02">
      <w:start w:val="1"/>
      <w:numFmt w:val="lowerLetter"/>
      <w:lvlText w:val="%8."/>
      <w:lvlJc w:val="left"/>
      <w:pPr>
        <w:ind w:left="5760" w:hanging="360"/>
      </w:pPr>
    </w:lvl>
    <w:lvl w:ilvl="8" w:tplc="5F688780">
      <w:start w:val="1"/>
      <w:numFmt w:val="lowerRoman"/>
      <w:lvlText w:val="%9."/>
      <w:lvlJc w:val="right"/>
      <w:pPr>
        <w:ind w:left="6480" w:hanging="180"/>
      </w:pPr>
    </w:lvl>
  </w:abstractNum>
  <w:abstractNum w:abstractNumId="19" w15:restartNumberingAfterBreak="0">
    <w:nsid w:val="57384CD7"/>
    <w:multiLevelType w:val="multilevel"/>
    <w:tmpl w:val="56E02D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D393011"/>
    <w:multiLevelType w:val="hybridMultilevel"/>
    <w:tmpl w:val="11FA1D2A"/>
    <w:lvl w:ilvl="0" w:tplc="35E2AAE4">
      <w:start w:val="1"/>
      <w:numFmt w:val="bullet"/>
      <w:pStyle w:val="Exampledotpoin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DE3293"/>
    <w:multiLevelType w:val="hybridMultilevel"/>
    <w:tmpl w:val="DACEC83A"/>
    <w:lvl w:ilvl="0" w:tplc="055A8A32">
      <w:start w:val="1"/>
      <w:numFmt w:val="bullet"/>
      <w:pStyle w:val="Tabledotpoint1"/>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22" w15:restartNumberingAfterBreak="0">
    <w:nsid w:val="60490B74"/>
    <w:multiLevelType w:val="hybridMultilevel"/>
    <w:tmpl w:val="EC7866F8"/>
    <w:lvl w:ilvl="0" w:tplc="A588DE40">
      <w:start w:val="1"/>
      <w:numFmt w:val="bullet"/>
      <w:pStyle w:val="Instructionalguidancedo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1C328F"/>
    <w:multiLevelType w:val="hybridMultilevel"/>
    <w:tmpl w:val="FFFFFFFF"/>
    <w:lvl w:ilvl="0" w:tplc="BF6E7AA6">
      <w:numFmt w:val="none"/>
      <w:lvlText w:val=""/>
      <w:lvlJc w:val="left"/>
      <w:pPr>
        <w:tabs>
          <w:tab w:val="num" w:pos="360"/>
        </w:tabs>
      </w:pPr>
    </w:lvl>
    <w:lvl w:ilvl="1" w:tplc="90347F0E">
      <w:start w:val="1"/>
      <w:numFmt w:val="lowerLetter"/>
      <w:lvlText w:val="%2."/>
      <w:lvlJc w:val="left"/>
      <w:pPr>
        <w:ind w:left="1440" w:hanging="360"/>
      </w:pPr>
    </w:lvl>
    <w:lvl w:ilvl="2" w:tplc="BD7A8388">
      <w:start w:val="1"/>
      <w:numFmt w:val="lowerRoman"/>
      <w:lvlText w:val="%3."/>
      <w:lvlJc w:val="right"/>
      <w:pPr>
        <w:ind w:left="2160" w:hanging="180"/>
      </w:pPr>
    </w:lvl>
    <w:lvl w:ilvl="3" w:tplc="A17EE4C2">
      <w:start w:val="1"/>
      <w:numFmt w:val="decimal"/>
      <w:lvlText w:val="%4."/>
      <w:lvlJc w:val="left"/>
      <w:pPr>
        <w:ind w:left="2880" w:hanging="360"/>
      </w:pPr>
    </w:lvl>
    <w:lvl w:ilvl="4" w:tplc="A230B8D6">
      <w:start w:val="1"/>
      <w:numFmt w:val="lowerLetter"/>
      <w:lvlText w:val="%5."/>
      <w:lvlJc w:val="left"/>
      <w:pPr>
        <w:ind w:left="3600" w:hanging="360"/>
      </w:pPr>
    </w:lvl>
    <w:lvl w:ilvl="5" w:tplc="5FB07740">
      <w:start w:val="1"/>
      <w:numFmt w:val="lowerRoman"/>
      <w:lvlText w:val="%6."/>
      <w:lvlJc w:val="right"/>
      <w:pPr>
        <w:ind w:left="4320" w:hanging="180"/>
      </w:pPr>
    </w:lvl>
    <w:lvl w:ilvl="6" w:tplc="6AE8E558">
      <w:start w:val="1"/>
      <w:numFmt w:val="decimal"/>
      <w:lvlText w:val="%7."/>
      <w:lvlJc w:val="left"/>
      <w:pPr>
        <w:ind w:left="5040" w:hanging="360"/>
      </w:pPr>
    </w:lvl>
    <w:lvl w:ilvl="7" w:tplc="F2CC161E">
      <w:start w:val="1"/>
      <w:numFmt w:val="lowerLetter"/>
      <w:lvlText w:val="%8."/>
      <w:lvlJc w:val="left"/>
      <w:pPr>
        <w:ind w:left="5760" w:hanging="360"/>
      </w:pPr>
    </w:lvl>
    <w:lvl w:ilvl="8" w:tplc="DF7C47B0">
      <w:start w:val="1"/>
      <w:numFmt w:val="lowerRoman"/>
      <w:lvlText w:val="%9."/>
      <w:lvlJc w:val="right"/>
      <w:pPr>
        <w:ind w:left="6480" w:hanging="180"/>
      </w:pPr>
    </w:lvl>
  </w:abstractNum>
  <w:abstractNum w:abstractNumId="24" w15:restartNumberingAfterBreak="0">
    <w:nsid w:val="6CE97FDF"/>
    <w:multiLevelType w:val="hybridMultilevel"/>
    <w:tmpl w:val="543E5738"/>
    <w:lvl w:ilvl="0" w:tplc="0AFCCC26">
      <w:start w:val="1"/>
      <w:numFmt w:val="decimal"/>
      <w:pStyle w:val="Instructionalguidancenumbered"/>
      <w:lvlText w:val="%1."/>
      <w:lvlJc w:val="left"/>
      <w:pPr>
        <w:ind w:left="108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056BC3"/>
    <w:multiLevelType w:val="hybridMultilevel"/>
    <w:tmpl w:val="FFFFFFFF"/>
    <w:lvl w:ilvl="0" w:tplc="A0AC61A4">
      <w:numFmt w:val="none"/>
      <w:lvlText w:val=""/>
      <w:lvlJc w:val="left"/>
      <w:pPr>
        <w:tabs>
          <w:tab w:val="num" w:pos="360"/>
        </w:tabs>
      </w:pPr>
    </w:lvl>
    <w:lvl w:ilvl="1" w:tplc="701C7B80">
      <w:start w:val="1"/>
      <w:numFmt w:val="lowerLetter"/>
      <w:lvlText w:val="%2."/>
      <w:lvlJc w:val="left"/>
      <w:pPr>
        <w:ind w:left="1440" w:hanging="360"/>
      </w:pPr>
    </w:lvl>
    <w:lvl w:ilvl="2" w:tplc="7928902E">
      <w:start w:val="1"/>
      <w:numFmt w:val="lowerRoman"/>
      <w:lvlText w:val="%3."/>
      <w:lvlJc w:val="right"/>
      <w:pPr>
        <w:ind w:left="2160" w:hanging="180"/>
      </w:pPr>
    </w:lvl>
    <w:lvl w:ilvl="3" w:tplc="BEA66450">
      <w:start w:val="1"/>
      <w:numFmt w:val="decimal"/>
      <w:lvlText w:val="%4."/>
      <w:lvlJc w:val="left"/>
      <w:pPr>
        <w:ind w:left="2880" w:hanging="360"/>
      </w:pPr>
    </w:lvl>
    <w:lvl w:ilvl="4" w:tplc="DABE316E">
      <w:start w:val="1"/>
      <w:numFmt w:val="lowerLetter"/>
      <w:lvlText w:val="%5."/>
      <w:lvlJc w:val="left"/>
      <w:pPr>
        <w:ind w:left="3600" w:hanging="360"/>
      </w:pPr>
    </w:lvl>
    <w:lvl w:ilvl="5" w:tplc="ADBC961E">
      <w:start w:val="1"/>
      <w:numFmt w:val="lowerRoman"/>
      <w:lvlText w:val="%6."/>
      <w:lvlJc w:val="right"/>
      <w:pPr>
        <w:ind w:left="4320" w:hanging="180"/>
      </w:pPr>
    </w:lvl>
    <w:lvl w:ilvl="6" w:tplc="A43AE91C">
      <w:start w:val="1"/>
      <w:numFmt w:val="decimal"/>
      <w:lvlText w:val="%7."/>
      <w:lvlJc w:val="left"/>
      <w:pPr>
        <w:ind w:left="5040" w:hanging="360"/>
      </w:pPr>
    </w:lvl>
    <w:lvl w:ilvl="7" w:tplc="5D06310E">
      <w:start w:val="1"/>
      <w:numFmt w:val="lowerLetter"/>
      <w:lvlText w:val="%8."/>
      <w:lvlJc w:val="left"/>
      <w:pPr>
        <w:ind w:left="5760" w:hanging="360"/>
      </w:pPr>
    </w:lvl>
    <w:lvl w:ilvl="8" w:tplc="3E965614">
      <w:start w:val="1"/>
      <w:numFmt w:val="lowerRoman"/>
      <w:lvlText w:val="%9."/>
      <w:lvlJc w:val="right"/>
      <w:pPr>
        <w:ind w:left="6480" w:hanging="180"/>
      </w:pPr>
    </w:lvl>
  </w:abstractNum>
  <w:abstractNum w:abstractNumId="26" w15:restartNumberingAfterBreak="0">
    <w:nsid w:val="7A80645C"/>
    <w:multiLevelType w:val="multilevel"/>
    <w:tmpl w:val="51D49B14"/>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7" w15:restartNumberingAfterBreak="0">
    <w:nsid w:val="7AF255FB"/>
    <w:multiLevelType w:val="hybridMultilevel"/>
    <w:tmpl w:val="954AB974"/>
    <w:lvl w:ilvl="0" w:tplc="088E8732">
      <w:start w:val="1"/>
      <w:numFmt w:val="bullet"/>
      <w:pStyle w:val="Tabledotpoint2"/>
      <w:lvlText w:val="‒"/>
      <w:lvlJc w:val="left"/>
      <w:pPr>
        <w:ind w:left="786" w:hanging="360"/>
      </w:pPr>
      <w:rPr>
        <w:rFonts w:ascii="Times New Roman" w:hAnsi="Times New Roman" w:cs="Times New Roman" w:hint="default"/>
        <w:b w:val="0"/>
        <w:i w:val="0"/>
        <w:sz w:val="22"/>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8" w15:restartNumberingAfterBreak="0">
    <w:nsid w:val="7B891783"/>
    <w:multiLevelType w:val="hybridMultilevel"/>
    <w:tmpl w:val="0CCE9FEC"/>
    <w:lvl w:ilvl="0" w:tplc="0B52848A">
      <w:start w:val="1"/>
      <w:numFmt w:val="bullet"/>
      <w:pStyle w:val="Dotpoint2"/>
      <w:lvlText w:val="‒"/>
      <w:lvlJc w:val="left"/>
      <w:pPr>
        <w:ind w:left="720" w:hanging="360"/>
      </w:pPr>
      <w:rPr>
        <w:rFonts w:ascii="Times New Roman" w:hAnsi="Times New Roman" w:cs="Times New Roman" w:hint="default"/>
        <w:b w:val="0"/>
        <w:i w:val="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26"/>
  </w:num>
  <w:num w:numId="3">
    <w:abstractNumId w:val="6"/>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
    <w:abstractNumId w:val="6"/>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abstractNumId w:val="6"/>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
    <w:abstractNumId w:val="6"/>
  </w:num>
  <w:num w:numId="7">
    <w:abstractNumId w:val="6"/>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abstractNumId w:val="8"/>
  </w:num>
  <w:num w:numId="9">
    <w:abstractNumId w:val="28"/>
  </w:num>
  <w:num w:numId="10">
    <w:abstractNumId w:val="20"/>
  </w:num>
  <w:num w:numId="11">
    <w:abstractNumId w:val="13"/>
  </w:num>
  <w:num w:numId="12">
    <w:abstractNumId w:val="6"/>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3">
    <w:abstractNumId w:val="26"/>
  </w:num>
  <w:num w:numId="14">
    <w:abstractNumId w:val="22"/>
  </w:num>
  <w:num w:numId="15">
    <w:abstractNumId w:val="24"/>
  </w:num>
  <w:num w:numId="16">
    <w:abstractNumId w:val="6"/>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7">
    <w:abstractNumId w:val="8"/>
  </w:num>
  <w:num w:numId="18">
    <w:abstractNumId w:val="3"/>
  </w:num>
  <w:num w:numId="19">
    <w:abstractNumId w:val="21"/>
  </w:num>
  <w:num w:numId="20">
    <w:abstractNumId w:val="27"/>
  </w:num>
  <w:num w:numId="21">
    <w:abstractNumId w:val="26"/>
  </w:num>
  <w:num w:numId="22">
    <w:abstractNumId w:val="1"/>
  </w:num>
  <w:num w:numId="23">
    <w:abstractNumId w:val="12"/>
  </w:num>
  <w:num w:numId="24">
    <w:abstractNumId w:val="17"/>
  </w:num>
  <w:num w:numId="25">
    <w:abstractNumId w:val="23"/>
  </w:num>
  <w:num w:numId="26">
    <w:abstractNumId w:val="11"/>
  </w:num>
  <w:num w:numId="27">
    <w:abstractNumId w:val="2"/>
  </w:num>
  <w:num w:numId="28">
    <w:abstractNumId w:val="9"/>
  </w:num>
  <w:num w:numId="29">
    <w:abstractNumId w:val="25"/>
  </w:num>
  <w:num w:numId="30">
    <w:abstractNumId w:val="7"/>
  </w:num>
  <w:num w:numId="31">
    <w:abstractNumId w:val="18"/>
  </w:num>
  <w:num w:numId="32">
    <w:abstractNumId w:val="5"/>
  </w:num>
  <w:num w:numId="33">
    <w:abstractNumId w:val="10"/>
  </w:num>
  <w:num w:numId="34">
    <w:abstractNumId w:val="6"/>
  </w:num>
  <w:num w:numId="35">
    <w:abstractNumId w:val="16"/>
  </w:num>
  <w:num w:numId="36">
    <w:abstractNumId w:val="4"/>
  </w:num>
  <w:num w:numId="37">
    <w:abstractNumId w:val="15"/>
  </w:num>
  <w:num w:numId="38">
    <w:abstractNumId w:val="19"/>
  </w:num>
  <w:num w:numId="39">
    <w:abstractNumId w:val="14"/>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20"/>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20"/>
    <w:rsid w:val="00000BFC"/>
    <w:rsid w:val="00000E46"/>
    <w:rsid w:val="00000FD7"/>
    <w:rsid w:val="00005042"/>
    <w:rsid w:val="000079B5"/>
    <w:rsid w:val="00007A7D"/>
    <w:rsid w:val="00007E5B"/>
    <w:rsid w:val="00010917"/>
    <w:rsid w:val="000112D9"/>
    <w:rsid w:val="000117CC"/>
    <w:rsid w:val="00012021"/>
    <w:rsid w:val="0001391C"/>
    <w:rsid w:val="00014D9E"/>
    <w:rsid w:val="00015453"/>
    <w:rsid w:val="00015623"/>
    <w:rsid w:val="00015717"/>
    <w:rsid w:val="0001734F"/>
    <w:rsid w:val="00017B8A"/>
    <w:rsid w:val="00021DAA"/>
    <w:rsid w:val="00022DF5"/>
    <w:rsid w:val="00023FA3"/>
    <w:rsid w:val="00024D7C"/>
    <w:rsid w:val="0002574C"/>
    <w:rsid w:val="0002599C"/>
    <w:rsid w:val="00025CD4"/>
    <w:rsid w:val="00026EE2"/>
    <w:rsid w:val="000274BF"/>
    <w:rsid w:val="00030378"/>
    <w:rsid w:val="00031F29"/>
    <w:rsid w:val="0003279B"/>
    <w:rsid w:val="00032BA5"/>
    <w:rsid w:val="00033A88"/>
    <w:rsid w:val="00034E3B"/>
    <w:rsid w:val="00036292"/>
    <w:rsid w:val="00040058"/>
    <w:rsid w:val="000404D2"/>
    <w:rsid w:val="00040967"/>
    <w:rsid w:val="00041348"/>
    <w:rsid w:val="00041891"/>
    <w:rsid w:val="00042D63"/>
    <w:rsid w:val="00043235"/>
    <w:rsid w:val="00043E8E"/>
    <w:rsid w:val="00044709"/>
    <w:rsid w:val="00044CAB"/>
    <w:rsid w:val="00044D7C"/>
    <w:rsid w:val="0004513C"/>
    <w:rsid w:val="00047FF2"/>
    <w:rsid w:val="0005080D"/>
    <w:rsid w:val="000516B5"/>
    <w:rsid w:val="00051C80"/>
    <w:rsid w:val="0005223C"/>
    <w:rsid w:val="00052804"/>
    <w:rsid w:val="00053BB7"/>
    <w:rsid w:val="00054273"/>
    <w:rsid w:val="00056600"/>
    <w:rsid w:val="00056D48"/>
    <w:rsid w:val="00062064"/>
    <w:rsid w:val="00065BB2"/>
    <w:rsid w:val="00065C2E"/>
    <w:rsid w:val="000669D8"/>
    <w:rsid w:val="000707A5"/>
    <w:rsid w:val="0007120F"/>
    <w:rsid w:val="00071C83"/>
    <w:rsid w:val="00072C93"/>
    <w:rsid w:val="000731D1"/>
    <w:rsid w:val="00075649"/>
    <w:rsid w:val="00077130"/>
    <w:rsid w:val="00077BF4"/>
    <w:rsid w:val="00081F23"/>
    <w:rsid w:val="000841A6"/>
    <w:rsid w:val="00085A3D"/>
    <w:rsid w:val="000873F3"/>
    <w:rsid w:val="00087F47"/>
    <w:rsid w:val="00087FE9"/>
    <w:rsid w:val="00090294"/>
    <w:rsid w:val="00090A2C"/>
    <w:rsid w:val="000919FA"/>
    <w:rsid w:val="00092A0F"/>
    <w:rsid w:val="0009304E"/>
    <w:rsid w:val="0009443A"/>
    <w:rsid w:val="0009673F"/>
    <w:rsid w:val="000A0E97"/>
    <w:rsid w:val="000A1A2D"/>
    <w:rsid w:val="000A217D"/>
    <w:rsid w:val="000A3230"/>
    <w:rsid w:val="000A3B2F"/>
    <w:rsid w:val="000A4EB2"/>
    <w:rsid w:val="000A51B9"/>
    <w:rsid w:val="000A5D49"/>
    <w:rsid w:val="000A681F"/>
    <w:rsid w:val="000A6EC6"/>
    <w:rsid w:val="000B0346"/>
    <w:rsid w:val="000B164C"/>
    <w:rsid w:val="000B1844"/>
    <w:rsid w:val="000B3F63"/>
    <w:rsid w:val="000B3FC4"/>
    <w:rsid w:val="000B4F49"/>
    <w:rsid w:val="000B5202"/>
    <w:rsid w:val="000B5A19"/>
    <w:rsid w:val="000B61D6"/>
    <w:rsid w:val="000B6B3E"/>
    <w:rsid w:val="000B7805"/>
    <w:rsid w:val="000B7D6E"/>
    <w:rsid w:val="000C5F70"/>
    <w:rsid w:val="000C6F1B"/>
    <w:rsid w:val="000D3F98"/>
    <w:rsid w:val="000D4CC3"/>
    <w:rsid w:val="000D5244"/>
    <w:rsid w:val="000D570D"/>
    <w:rsid w:val="000D579E"/>
    <w:rsid w:val="000D64C1"/>
    <w:rsid w:val="000E1CDE"/>
    <w:rsid w:val="000E49DF"/>
    <w:rsid w:val="000E4D39"/>
    <w:rsid w:val="000E521B"/>
    <w:rsid w:val="000E5C46"/>
    <w:rsid w:val="000E67BD"/>
    <w:rsid w:val="000F1E1F"/>
    <w:rsid w:val="000F4910"/>
    <w:rsid w:val="000F4EC4"/>
    <w:rsid w:val="000F5ADB"/>
    <w:rsid w:val="001000FE"/>
    <w:rsid w:val="00102AE1"/>
    <w:rsid w:val="00102BCE"/>
    <w:rsid w:val="0010568C"/>
    <w:rsid w:val="00105E85"/>
    <w:rsid w:val="001064C7"/>
    <w:rsid w:val="001066C6"/>
    <w:rsid w:val="00106FDC"/>
    <w:rsid w:val="00107BEC"/>
    <w:rsid w:val="00110360"/>
    <w:rsid w:val="001107F5"/>
    <w:rsid w:val="00111716"/>
    <w:rsid w:val="001126A4"/>
    <w:rsid w:val="00112B98"/>
    <w:rsid w:val="00112FBD"/>
    <w:rsid w:val="00114358"/>
    <w:rsid w:val="001144FA"/>
    <w:rsid w:val="00115509"/>
    <w:rsid w:val="001163A0"/>
    <w:rsid w:val="001204D0"/>
    <w:rsid w:val="001223E4"/>
    <w:rsid w:val="001225B5"/>
    <w:rsid w:val="001227A2"/>
    <w:rsid w:val="00124285"/>
    <w:rsid w:val="001251CA"/>
    <w:rsid w:val="0012528F"/>
    <w:rsid w:val="001254CC"/>
    <w:rsid w:val="00126308"/>
    <w:rsid w:val="001269CB"/>
    <w:rsid w:val="00127739"/>
    <w:rsid w:val="00131085"/>
    <w:rsid w:val="0013538D"/>
    <w:rsid w:val="00135D6E"/>
    <w:rsid w:val="00136390"/>
    <w:rsid w:val="00137FB7"/>
    <w:rsid w:val="001400EE"/>
    <w:rsid w:val="001401BA"/>
    <w:rsid w:val="00141701"/>
    <w:rsid w:val="00143E56"/>
    <w:rsid w:val="00144B43"/>
    <w:rsid w:val="001456C3"/>
    <w:rsid w:val="00147210"/>
    <w:rsid w:val="00150003"/>
    <w:rsid w:val="0015084F"/>
    <w:rsid w:val="00150E54"/>
    <w:rsid w:val="00151121"/>
    <w:rsid w:val="001545CB"/>
    <w:rsid w:val="00154B6B"/>
    <w:rsid w:val="001554A3"/>
    <w:rsid w:val="0015564C"/>
    <w:rsid w:val="00156D54"/>
    <w:rsid w:val="00157FCF"/>
    <w:rsid w:val="001603C9"/>
    <w:rsid w:val="00161739"/>
    <w:rsid w:val="00161D1B"/>
    <w:rsid w:val="00163457"/>
    <w:rsid w:val="00165DEE"/>
    <w:rsid w:val="00170367"/>
    <w:rsid w:val="001706E7"/>
    <w:rsid w:val="00170A0D"/>
    <w:rsid w:val="00170C78"/>
    <w:rsid w:val="0017168B"/>
    <w:rsid w:val="0017183C"/>
    <w:rsid w:val="00172373"/>
    <w:rsid w:val="00173672"/>
    <w:rsid w:val="00174100"/>
    <w:rsid w:val="001741A2"/>
    <w:rsid w:val="00174AA3"/>
    <w:rsid w:val="0017530D"/>
    <w:rsid w:val="0017534F"/>
    <w:rsid w:val="00176A89"/>
    <w:rsid w:val="00176FEF"/>
    <w:rsid w:val="001771E1"/>
    <w:rsid w:val="001775D9"/>
    <w:rsid w:val="00177C4B"/>
    <w:rsid w:val="00181BE2"/>
    <w:rsid w:val="00182C8C"/>
    <w:rsid w:val="001848A2"/>
    <w:rsid w:val="001869F1"/>
    <w:rsid w:val="00186DF5"/>
    <w:rsid w:val="00186F5B"/>
    <w:rsid w:val="00190985"/>
    <w:rsid w:val="00191A05"/>
    <w:rsid w:val="001927BA"/>
    <w:rsid w:val="001938E9"/>
    <w:rsid w:val="00194F1B"/>
    <w:rsid w:val="00195D1C"/>
    <w:rsid w:val="00197544"/>
    <w:rsid w:val="0019780D"/>
    <w:rsid w:val="001A02BF"/>
    <w:rsid w:val="001A0315"/>
    <w:rsid w:val="001A055E"/>
    <w:rsid w:val="001A3B95"/>
    <w:rsid w:val="001A4894"/>
    <w:rsid w:val="001A4E5E"/>
    <w:rsid w:val="001B07FA"/>
    <w:rsid w:val="001B09E3"/>
    <w:rsid w:val="001B1306"/>
    <w:rsid w:val="001B1EDE"/>
    <w:rsid w:val="001B316B"/>
    <w:rsid w:val="001B3739"/>
    <w:rsid w:val="001B43B0"/>
    <w:rsid w:val="001B6FF0"/>
    <w:rsid w:val="001C0C7A"/>
    <w:rsid w:val="001C1180"/>
    <w:rsid w:val="001C24B9"/>
    <w:rsid w:val="001C2F8A"/>
    <w:rsid w:val="001C33CC"/>
    <w:rsid w:val="001C3407"/>
    <w:rsid w:val="001C4514"/>
    <w:rsid w:val="001C597B"/>
    <w:rsid w:val="001C5CBF"/>
    <w:rsid w:val="001C784A"/>
    <w:rsid w:val="001C78EB"/>
    <w:rsid w:val="001D40CD"/>
    <w:rsid w:val="001D4D24"/>
    <w:rsid w:val="001E01BF"/>
    <w:rsid w:val="001E1450"/>
    <w:rsid w:val="001E39F7"/>
    <w:rsid w:val="001E3C16"/>
    <w:rsid w:val="001E4FE1"/>
    <w:rsid w:val="001E768D"/>
    <w:rsid w:val="001E7AF4"/>
    <w:rsid w:val="001E7C2B"/>
    <w:rsid w:val="001F17D5"/>
    <w:rsid w:val="001F2085"/>
    <w:rsid w:val="001F22E6"/>
    <w:rsid w:val="001F2853"/>
    <w:rsid w:val="001F32E2"/>
    <w:rsid w:val="001F3B64"/>
    <w:rsid w:val="001F433E"/>
    <w:rsid w:val="001F5C41"/>
    <w:rsid w:val="001F627D"/>
    <w:rsid w:val="001F670B"/>
    <w:rsid w:val="001F7F9F"/>
    <w:rsid w:val="00201D02"/>
    <w:rsid w:val="00206BC2"/>
    <w:rsid w:val="00210A83"/>
    <w:rsid w:val="00211305"/>
    <w:rsid w:val="002135FE"/>
    <w:rsid w:val="0021382C"/>
    <w:rsid w:val="002175E6"/>
    <w:rsid w:val="00221507"/>
    <w:rsid w:val="00223EE6"/>
    <w:rsid w:val="00224699"/>
    <w:rsid w:val="00224CB2"/>
    <w:rsid w:val="002273D4"/>
    <w:rsid w:val="00230711"/>
    <w:rsid w:val="00230C17"/>
    <w:rsid w:val="00233C76"/>
    <w:rsid w:val="00234088"/>
    <w:rsid w:val="0023409D"/>
    <w:rsid w:val="00237EA5"/>
    <w:rsid w:val="00241B93"/>
    <w:rsid w:val="002425D9"/>
    <w:rsid w:val="00242A59"/>
    <w:rsid w:val="00242B2A"/>
    <w:rsid w:val="00243DFC"/>
    <w:rsid w:val="002440FB"/>
    <w:rsid w:val="00244A21"/>
    <w:rsid w:val="00246D84"/>
    <w:rsid w:val="00246D97"/>
    <w:rsid w:val="0024784F"/>
    <w:rsid w:val="0025018B"/>
    <w:rsid w:val="00250529"/>
    <w:rsid w:val="00250844"/>
    <w:rsid w:val="00250E0F"/>
    <w:rsid w:val="002547CC"/>
    <w:rsid w:val="002553B5"/>
    <w:rsid w:val="002554DC"/>
    <w:rsid w:val="00255D06"/>
    <w:rsid w:val="00260B8B"/>
    <w:rsid w:val="002619B5"/>
    <w:rsid w:val="002651A7"/>
    <w:rsid w:val="00266BE2"/>
    <w:rsid w:val="00266BF6"/>
    <w:rsid w:val="00267441"/>
    <w:rsid w:val="00267903"/>
    <w:rsid w:val="0027000D"/>
    <w:rsid w:val="0027008A"/>
    <w:rsid w:val="002704BC"/>
    <w:rsid w:val="002709CD"/>
    <w:rsid w:val="00270DE4"/>
    <w:rsid w:val="0027322A"/>
    <w:rsid w:val="00273531"/>
    <w:rsid w:val="00273C78"/>
    <w:rsid w:val="00274D5C"/>
    <w:rsid w:val="00274F15"/>
    <w:rsid w:val="00276753"/>
    <w:rsid w:val="00276F62"/>
    <w:rsid w:val="00280FA9"/>
    <w:rsid w:val="002831F4"/>
    <w:rsid w:val="00283547"/>
    <w:rsid w:val="0028611A"/>
    <w:rsid w:val="00286A5E"/>
    <w:rsid w:val="002872AB"/>
    <w:rsid w:val="00291685"/>
    <w:rsid w:val="002935AC"/>
    <w:rsid w:val="0029436C"/>
    <w:rsid w:val="00294EFF"/>
    <w:rsid w:val="00296EE8"/>
    <w:rsid w:val="00297081"/>
    <w:rsid w:val="00297900"/>
    <w:rsid w:val="002A1631"/>
    <w:rsid w:val="002A19C2"/>
    <w:rsid w:val="002A20DE"/>
    <w:rsid w:val="002A2137"/>
    <w:rsid w:val="002A2245"/>
    <w:rsid w:val="002A35F4"/>
    <w:rsid w:val="002A3AD3"/>
    <w:rsid w:val="002A4934"/>
    <w:rsid w:val="002A5247"/>
    <w:rsid w:val="002A52E5"/>
    <w:rsid w:val="002A5B3B"/>
    <w:rsid w:val="002A6242"/>
    <w:rsid w:val="002A6E69"/>
    <w:rsid w:val="002A71C8"/>
    <w:rsid w:val="002A74BE"/>
    <w:rsid w:val="002A76B8"/>
    <w:rsid w:val="002B0B67"/>
    <w:rsid w:val="002B0D82"/>
    <w:rsid w:val="002B13DC"/>
    <w:rsid w:val="002B1D9E"/>
    <w:rsid w:val="002B1E13"/>
    <w:rsid w:val="002B1E9B"/>
    <w:rsid w:val="002B3FAB"/>
    <w:rsid w:val="002B5522"/>
    <w:rsid w:val="002B55D7"/>
    <w:rsid w:val="002B5608"/>
    <w:rsid w:val="002B59E2"/>
    <w:rsid w:val="002B5FBE"/>
    <w:rsid w:val="002B623C"/>
    <w:rsid w:val="002B6F60"/>
    <w:rsid w:val="002C1544"/>
    <w:rsid w:val="002C37A1"/>
    <w:rsid w:val="002C3FD3"/>
    <w:rsid w:val="002C4475"/>
    <w:rsid w:val="002C4FA0"/>
    <w:rsid w:val="002C6B44"/>
    <w:rsid w:val="002C78D6"/>
    <w:rsid w:val="002D080A"/>
    <w:rsid w:val="002D44EB"/>
    <w:rsid w:val="002D45A3"/>
    <w:rsid w:val="002D4BC4"/>
    <w:rsid w:val="002D6422"/>
    <w:rsid w:val="002D6597"/>
    <w:rsid w:val="002D7B09"/>
    <w:rsid w:val="002E0802"/>
    <w:rsid w:val="002E2039"/>
    <w:rsid w:val="002E2D90"/>
    <w:rsid w:val="002E561E"/>
    <w:rsid w:val="002E5A31"/>
    <w:rsid w:val="002F1CB0"/>
    <w:rsid w:val="002F21F4"/>
    <w:rsid w:val="002F2DF1"/>
    <w:rsid w:val="002F3636"/>
    <w:rsid w:val="002F4034"/>
    <w:rsid w:val="002F407B"/>
    <w:rsid w:val="002F44AA"/>
    <w:rsid w:val="002F4905"/>
    <w:rsid w:val="002F4B60"/>
    <w:rsid w:val="002F51AD"/>
    <w:rsid w:val="002F5302"/>
    <w:rsid w:val="002F64EB"/>
    <w:rsid w:val="002F65B2"/>
    <w:rsid w:val="002F6D3F"/>
    <w:rsid w:val="002F7E22"/>
    <w:rsid w:val="003000D5"/>
    <w:rsid w:val="00300482"/>
    <w:rsid w:val="00300A3E"/>
    <w:rsid w:val="00300F77"/>
    <w:rsid w:val="00301747"/>
    <w:rsid w:val="00305BB4"/>
    <w:rsid w:val="0030618A"/>
    <w:rsid w:val="003120E1"/>
    <w:rsid w:val="00312578"/>
    <w:rsid w:val="003130B7"/>
    <w:rsid w:val="003157F3"/>
    <w:rsid w:val="00315BA3"/>
    <w:rsid w:val="00315C89"/>
    <w:rsid w:val="00315D81"/>
    <w:rsid w:val="00315DEF"/>
    <w:rsid w:val="003208A6"/>
    <w:rsid w:val="0032149F"/>
    <w:rsid w:val="00321CFC"/>
    <w:rsid w:val="00323458"/>
    <w:rsid w:val="003259B0"/>
    <w:rsid w:val="00325E31"/>
    <w:rsid w:val="00325FB3"/>
    <w:rsid w:val="003263D8"/>
    <w:rsid w:val="00327F12"/>
    <w:rsid w:val="00331000"/>
    <w:rsid w:val="003320D9"/>
    <w:rsid w:val="0033214C"/>
    <w:rsid w:val="0033334F"/>
    <w:rsid w:val="00333387"/>
    <w:rsid w:val="0033363B"/>
    <w:rsid w:val="00333A42"/>
    <w:rsid w:val="00343213"/>
    <w:rsid w:val="00343BF0"/>
    <w:rsid w:val="00343DE2"/>
    <w:rsid w:val="003443BA"/>
    <w:rsid w:val="0034560C"/>
    <w:rsid w:val="0034586D"/>
    <w:rsid w:val="00345ADE"/>
    <w:rsid w:val="00346FF3"/>
    <w:rsid w:val="00350FE2"/>
    <w:rsid w:val="003510A8"/>
    <w:rsid w:val="00351274"/>
    <w:rsid w:val="00351ACC"/>
    <w:rsid w:val="00351D4D"/>
    <w:rsid w:val="0035256F"/>
    <w:rsid w:val="003527A2"/>
    <w:rsid w:val="0035435D"/>
    <w:rsid w:val="003556BF"/>
    <w:rsid w:val="003562DA"/>
    <w:rsid w:val="003569C4"/>
    <w:rsid w:val="0036012A"/>
    <w:rsid w:val="003616F9"/>
    <w:rsid w:val="00362171"/>
    <w:rsid w:val="003634E5"/>
    <w:rsid w:val="00365368"/>
    <w:rsid w:val="003653DE"/>
    <w:rsid w:val="00365E70"/>
    <w:rsid w:val="003665BE"/>
    <w:rsid w:val="00367376"/>
    <w:rsid w:val="0036790F"/>
    <w:rsid w:val="0037005F"/>
    <w:rsid w:val="003752B3"/>
    <w:rsid w:val="003766FC"/>
    <w:rsid w:val="00376BC5"/>
    <w:rsid w:val="0037729F"/>
    <w:rsid w:val="003804CE"/>
    <w:rsid w:val="003843BD"/>
    <w:rsid w:val="00387402"/>
    <w:rsid w:val="00387621"/>
    <w:rsid w:val="00387A22"/>
    <w:rsid w:val="0039007A"/>
    <w:rsid w:val="00391500"/>
    <w:rsid w:val="00391F6C"/>
    <w:rsid w:val="00392149"/>
    <w:rsid w:val="0039292C"/>
    <w:rsid w:val="0039391C"/>
    <w:rsid w:val="00393B05"/>
    <w:rsid w:val="003940FC"/>
    <w:rsid w:val="003955C4"/>
    <w:rsid w:val="00397193"/>
    <w:rsid w:val="003971ED"/>
    <w:rsid w:val="003A0372"/>
    <w:rsid w:val="003A23A8"/>
    <w:rsid w:val="003A25F5"/>
    <w:rsid w:val="003A3730"/>
    <w:rsid w:val="003A48C7"/>
    <w:rsid w:val="003A4C4E"/>
    <w:rsid w:val="003A4F79"/>
    <w:rsid w:val="003A640C"/>
    <w:rsid w:val="003A65CE"/>
    <w:rsid w:val="003A7064"/>
    <w:rsid w:val="003B1A63"/>
    <w:rsid w:val="003B2800"/>
    <w:rsid w:val="003B2C8D"/>
    <w:rsid w:val="003B4BC6"/>
    <w:rsid w:val="003B5728"/>
    <w:rsid w:val="003B600F"/>
    <w:rsid w:val="003B680E"/>
    <w:rsid w:val="003B7320"/>
    <w:rsid w:val="003C1120"/>
    <w:rsid w:val="003C3343"/>
    <w:rsid w:val="003C3B8B"/>
    <w:rsid w:val="003C3FBA"/>
    <w:rsid w:val="003C47DA"/>
    <w:rsid w:val="003C6339"/>
    <w:rsid w:val="003C6EB2"/>
    <w:rsid w:val="003C7EE7"/>
    <w:rsid w:val="003D06FC"/>
    <w:rsid w:val="003D0A4B"/>
    <w:rsid w:val="003D27E3"/>
    <w:rsid w:val="003D29A3"/>
    <w:rsid w:val="003D304F"/>
    <w:rsid w:val="003D368B"/>
    <w:rsid w:val="003D3D8C"/>
    <w:rsid w:val="003D4313"/>
    <w:rsid w:val="003D48AC"/>
    <w:rsid w:val="003D6651"/>
    <w:rsid w:val="003D6B96"/>
    <w:rsid w:val="003E3B6C"/>
    <w:rsid w:val="003E554A"/>
    <w:rsid w:val="003E60C9"/>
    <w:rsid w:val="003E61DE"/>
    <w:rsid w:val="003E7F20"/>
    <w:rsid w:val="003F02CC"/>
    <w:rsid w:val="003F0C29"/>
    <w:rsid w:val="003F1085"/>
    <w:rsid w:val="003F1AD7"/>
    <w:rsid w:val="003F2847"/>
    <w:rsid w:val="003F52DB"/>
    <w:rsid w:val="003F533B"/>
    <w:rsid w:val="003F5A86"/>
    <w:rsid w:val="003F5ABE"/>
    <w:rsid w:val="003F7F96"/>
    <w:rsid w:val="00400C6C"/>
    <w:rsid w:val="00403E04"/>
    <w:rsid w:val="00405603"/>
    <w:rsid w:val="004058B4"/>
    <w:rsid w:val="00407697"/>
    <w:rsid w:val="00413CA5"/>
    <w:rsid w:val="00413F49"/>
    <w:rsid w:val="00414017"/>
    <w:rsid w:val="00415D11"/>
    <w:rsid w:val="00417BEA"/>
    <w:rsid w:val="0042075B"/>
    <w:rsid w:val="00421425"/>
    <w:rsid w:val="00421764"/>
    <w:rsid w:val="004217D7"/>
    <w:rsid w:val="004249FF"/>
    <w:rsid w:val="00424AF8"/>
    <w:rsid w:val="00427EDF"/>
    <w:rsid w:val="00427FE9"/>
    <w:rsid w:val="00430A32"/>
    <w:rsid w:val="00432BAE"/>
    <w:rsid w:val="00432E7F"/>
    <w:rsid w:val="004331D5"/>
    <w:rsid w:val="004377AA"/>
    <w:rsid w:val="00440A7A"/>
    <w:rsid w:val="004410F5"/>
    <w:rsid w:val="004411F1"/>
    <w:rsid w:val="004422EF"/>
    <w:rsid w:val="004429AA"/>
    <w:rsid w:val="0044342B"/>
    <w:rsid w:val="00443A0B"/>
    <w:rsid w:val="00445AB8"/>
    <w:rsid w:val="004473FA"/>
    <w:rsid w:val="00447824"/>
    <w:rsid w:val="004500E4"/>
    <w:rsid w:val="00451304"/>
    <w:rsid w:val="004539E4"/>
    <w:rsid w:val="00454061"/>
    <w:rsid w:val="00454694"/>
    <w:rsid w:val="00455399"/>
    <w:rsid w:val="0045567B"/>
    <w:rsid w:val="00455C55"/>
    <w:rsid w:val="0045608D"/>
    <w:rsid w:val="00456BBE"/>
    <w:rsid w:val="00456D39"/>
    <w:rsid w:val="004574E6"/>
    <w:rsid w:val="00457A46"/>
    <w:rsid w:val="00457DFA"/>
    <w:rsid w:val="004603EF"/>
    <w:rsid w:val="00461829"/>
    <w:rsid w:val="004619AC"/>
    <w:rsid w:val="00465096"/>
    <w:rsid w:val="00467E6A"/>
    <w:rsid w:val="00471B02"/>
    <w:rsid w:val="00471F1B"/>
    <w:rsid w:val="00472895"/>
    <w:rsid w:val="00472B66"/>
    <w:rsid w:val="004745C1"/>
    <w:rsid w:val="0047593B"/>
    <w:rsid w:val="00477BBD"/>
    <w:rsid w:val="00477C04"/>
    <w:rsid w:val="004823E9"/>
    <w:rsid w:val="00482A17"/>
    <w:rsid w:val="004850EE"/>
    <w:rsid w:val="00485FD0"/>
    <w:rsid w:val="00492729"/>
    <w:rsid w:val="00492EDD"/>
    <w:rsid w:val="00495763"/>
    <w:rsid w:val="00495EA0"/>
    <w:rsid w:val="00496642"/>
    <w:rsid w:val="00496C21"/>
    <w:rsid w:val="00496D25"/>
    <w:rsid w:val="004971E2"/>
    <w:rsid w:val="00497730"/>
    <w:rsid w:val="004A1414"/>
    <w:rsid w:val="004A28E5"/>
    <w:rsid w:val="004A4071"/>
    <w:rsid w:val="004A40A9"/>
    <w:rsid w:val="004A5D46"/>
    <w:rsid w:val="004A7420"/>
    <w:rsid w:val="004B0636"/>
    <w:rsid w:val="004B07D9"/>
    <w:rsid w:val="004B1C70"/>
    <w:rsid w:val="004B1F33"/>
    <w:rsid w:val="004B2E08"/>
    <w:rsid w:val="004B3EEF"/>
    <w:rsid w:val="004B427B"/>
    <w:rsid w:val="004B4BB3"/>
    <w:rsid w:val="004B7194"/>
    <w:rsid w:val="004B74D9"/>
    <w:rsid w:val="004C56C9"/>
    <w:rsid w:val="004C7F6E"/>
    <w:rsid w:val="004D11BB"/>
    <w:rsid w:val="004D1A9F"/>
    <w:rsid w:val="004D3216"/>
    <w:rsid w:val="004D32ED"/>
    <w:rsid w:val="004D3D88"/>
    <w:rsid w:val="004D47D4"/>
    <w:rsid w:val="004D66F3"/>
    <w:rsid w:val="004D717B"/>
    <w:rsid w:val="004D765D"/>
    <w:rsid w:val="004E09ED"/>
    <w:rsid w:val="004E0DD4"/>
    <w:rsid w:val="004E1440"/>
    <w:rsid w:val="004E5234"/>
    <w:rsid w:val="004E533A"/>
    <w:rsid w:val="004E5822"/>
    <w:rsid w:val="004E6025"/>
    <w:rsid w:val="004E67AD"/>
    <w:rsid w:val="004F23C3"/>
    <w:rsid w:val="004F49CC"/>
    <w:rsid w:val="004F4D9F"/>
    <w:rsid w:val="004F4F12"/>
    <w:rsid w:val="004F5BA5"/>
    <w:rsid w:val="004F60A5"/>
    <w:rsid w:val="004F6595"/>
    <w:rsid w:val="004F7869"/>
    <w:rsid w:val="004F7C15"/>
    <w:rsid w:val="00500665"/>
    <w:rsid w:val="005011E1"/>
    <w:rsid w:val="005012CF"/>
    <w:rsid w:val="00504412"/>
    <w:rsid w:val="00504D47"/>
    <w:rsid w:val="00505347"/>
    <w:rsid w:val="00506052"/>
    <w:rsid w:val="005066F5"/>
    <w:rsid w:val="005073F4"/>
    <w:rsid w:val="00507F8C"/>
    <w:rsid w:val="005108EB"/>
    <w:rsid w:val="005114C3"/>
    <w:rsid w:val="00513268"/>
    <w:rsid w:val="00513484"/>
    <w:rsid w:val="00513F13"/>
    <w:rsid w:val="00514E6B"/>
    <w:rsid w:val="00516E05"/>
    <w:rsid w:val="00517D6E"/>
    <w:rsid w:val="0052059A"/>
    <w:rsid w:val="005206B5"/>
    <w:rsid w:val="005250DA"/>
    <w:rsid w:val="005264F9"/>
    <w:rsid w:val="00527A44"/>
    <w:rsid w:val="00527E0F"/>
    <w:rsid w:val="00531483"/>
    <w:rsid w:val="0053152C"/>
    <w:rsid w:val="00531C67"/>
    <w:rsid w:val="00532150"/>
    <w:rsid w:val="00532C7D"/>
    <w:rsid w:val="0053313F"/>
    <w:rsid w:val="005344B2"/>
    <w:rsid w:val="005356CB"/>
    <w:rsid w:val="0053587D"/>
    <w:rsid w:val="00536A2F"/>
    <w:rsid w:val="00536DF9"/>
    <w:rsid w:val="005373DA"/>
    <w:rsid w:val="00540003"/>
    <w:rsid w:val="0054166A"/>
    <w:rsid w:val="00541C09"/>
    <w:rsid w:val="00542299"/>
    <w:rsid w:val="00543785"/>
    <w:rsid w:val="005437E6"/>
    <w:rsid w:val="005450C1"/>
    <w:rsid w:val="00546BEF"/>
    <w:rsid w:val="005471BB"/>
    <w:rsid w:val="0055032B"/>
    <w:rsid w:val="005515C0"/>
    <w:rsid w:val="00552131"/>
    <w:rsid w:val="00554ED8"/>
    <w:rsid w:val="00556698"/>
    <w:rsid w:val="00556B2B"/>
    <w:rsid w:val="005619EF"/>
    <w:rsid w:val="00562C47"/>
    <w:rsid w:val="00562D15"/>
    <w:rsid w:val="00563427"/>
    <w:rsid w:val="0056455B"/>
    <w:rsid w:val="00564DA6"/>
    <w:rsid w:val="0056675C"/>
    <w:rsid w:val="0056680A"/>
    <w:rsid w:val="00566AD3"/>
    <w:rsid w:val="005673F8"/>
    <w:rsid w:val="00567E32"/>
    <w:rsid w:val="00570343"/>
    <w:rsid w:val="0057163B"/>
    <w:rsid w:val="00571EB7"/>
    <w:rsid w:val="00572824"/>
    <w:rsid w:val="00577F9F"/>
    <w:rsid w:val="0058020F"/>
    <w:rsid w:val="0058072D"/>
    <w:rsid w:val="00581ED1"/>
    <w:rsid w:val="005820CB"/>
    <w:rsid w:val="0058304C"/>
    <w:rsid w:val="0058311D"/>
    <w:rsid w:val="00585C8E"/>
    <w:rsid w:val="0059082F"/>
    <w:rsid w:val="005916C7"/>
    <w:rsid w:val="0059200B"/>
    <w:rsid w:val="0059238E"/>
    <w:rsid w:val="005927C5"/>
    <w:rsid w:val="0059448A"/>
    <w:rsid w:val="0059480F"/>
    <w:rsid w:val="00594EBE"/>
    <w:rsid w:val="00595947"/>
    <w:rsid w:val="005964D8"/>
    <w:rsid w:val="00596CB3"/>
    <w:rsid w:val="00597D3C"/>
    <w:rsid w:val="005A170C"/>
    <w:rsid w:val="005A2346"/>
    <w:rsid w:val="005A3AA3"/>
    <w:rsid w:val="005A41FD"/>
    <w:rsid w:val="005A4D59"/>
    <w:rsid w:val="005A6C4C"/>
    <w:rsid w:val="005A760A"/>
    <w:rsid w:val="005B1BF0"/>
    <w:rsid w:val="005B1EAB"/>
    <w:rsid w:val="005B2C40"/>
    <w:rsid w:val="005B358E"/>
    <w:rsid w:val="005B42FD"/>
    <w:rsid w:val="005B61EF"/>
    <w:rsid w:val="005B73D6"/>
    <w:rsid w:val="005B77DE"/>
    <w:rsid w:val="005C00C6"/>
    <w:rsid w:val="005C08A7"/>
    <w:rsid w:val="005C0BFD"/>
    <w:rsid w:val="005C0E29"/>
    <w:rsid w:val="005C16D6"/>
    <w:rsid w:val="005C205F"/>
    <w:rsid w:val="005C2BD1"/>
    <w:rsid w:val="005C37EA"/>
    <w:rsid w:val="005C5489"/>
    <w:rsid w:val="005C7003"/>
    <w:rsid w:val="005C7A22"/>
    <w:rsid w:val="005D0844"/>
    <w:rsid w:val="005D087C"/>
    <w:rsid w:val="005D169F"/>
    <w:rsid w:val="005D3E0E"/>
    <w:rsid w:val="005D43D8"/>
    <w:rsid w:val="005D49BF"/>
    <w:rsid w:val="005D5F12"/>
    <w:rsid w:val="005D62F9"/>
    <w:rsid w:val="005D68A9"/>
    <w:rsid w:val="005D7B8A"/>
    <w:rsid w:val="005E1542"/>
    <w:rsid w:val="005E2410"/>
    <w:rsid w:val="005E3CEE"/>
    <w:rsid w:val="005E5DE0"/>
    <w:rsid w:val="005E6364"/>
    <w:rsid w:val="005F4536"/>
    <w:rsid w:val="005F4AFF"/>
    <w:rsid w:val="005F631C"/>
    <w:rsid w:val="005F6B5D"/>
    <w:rsid w:val="005F6BD9"/>
    <w:rsid w:val="005F6F15"/>
    <w:rsid w:val="005F7F9D"/>
    <w:rsid w:val="00601301"/>
    <w:rsid w:val="00601784"/>
    <w:rsid w:val="006032B7"/>
    <w:rsid w:val="00603BBF"/>
    <w:rsid w:val="006042C2"/>
    <w:rsid w:val="006045FF"/>
    <w:rsid w:val="0060495F"/>
    <w:rsid w:val="00604B46"/>
    <w:rsid w:val="00605036"/>
    <w:rsid w:val="0060525D"/>
    <w:rsid w:val="006058AB"/>
    <w:rsid w:val="0060635D"/>
    <w:rsid w:val="00607D2D"/>
    <w:rsid w:val="00610E27"/>
    <w:rsid w:val="0061115A"/>
    <w:rsid w:val="00613987"/>
    <w:rsid w:val="00615095"/>
    <w:rsid w:val="00615277"/>
    <w:rsid w:val="00615A2B"/>
    <w:rsid w:val="006222DB"/>
    <w:rsid w:val="00622308"/>
    <w:rsid w:val="00622763"/>
    <w:rsid w:val="006231AC"/>
    <w:rsid w:val="006235C8"/>
    <w:rsid w:val="00623AD4"/>
    <w:rsid w:val="00623F20"/>
    <w:rsid w:val="00624905"/>
    <w:rsid w:val="00625E5D"/>
    <w:rsid w:val="00626048"/>
    <w:rsid w:val="00626F9D"/>
    <w:rsid w:val="00627FAB"/>
    <w:rsid w:val="00630725"/>
    <w:rsid w:val="00631F67"/>
    <w:rsid w:val="00632028"/>
    <w:rsid w:val="00633F08"/>
    <w:rsid w:val="006343B5"/>
    <w:rsid w:val="00634CCF"/>
    <w:rsid w:val="00634D89"/>
    <w:rsid w:val="00637C04"/>
    <w:rsid w:val="0064044B"/>
    <w:rsid w:val="00640993"/>
    <w:rsid w:val="006414CA"/>
    <w:rsid w:val="00642420"/>
    <w:rsid w:val="00642846"/>
    <w:rsid w:val="00643735"/>
    <w:rsid w:val="00646A8A"/>
    <w:rsid w:val="006479AC"/>
    <w:rsid w:val="00647B11"/>
    <w:rsid w:val="00647F50"/>
    <w:rsid w:val="00650300"/>
    <w:rsid w:val="00650573"/>
    <w:rsid w:val="00650D9D"/>
    <w:rsid w:val="00653157"/>
    <w:rsid w:val="006535D8"/>
    <w:rsid w:val="00654503"/>
    <w:rsid w:val="006560AA"/>
    <w:rsid w:val="00661F53"/>
    <w:rsid w:val="00662678"/>
    <w:rsid w:val="00662718"/>
    <w:rsid w:val="00666F0B"/>
    <w:rsid w:val="00670033"/>
    <w:rsid w:val="00670BD1"/>
    <w:rsid w:val="00671014"/>
    <w:rsid w:val="00671844"/>
    <w:rsid w:val="00672604"/>
    <w:rsid w:val="00673ED0"/>
    <w:rsid w:val="00674A81"/>
    <w:rsid w:val="006772BD"/>
    <w:rsid w:val="00677774"/>
    <w:rsid w:val="006804F3"/>
    <w:rsid w:val="00680586"/>
    <w:rsid w:val="00682A3E"/>
    <w:rsid w:val="0068321D"/>
    <w:rsid w:val="006837B6"/>
    <w:rsid w:val="00683847"/>
    <w:rsid w:val="00686A9B"/>
    <w:rsid w:val="00686FD7"/>
    <w:rsid w:val="0068708C"/>
    <w:rsid w:val="00687E62"/>
    <w:rsid w:val="0069037D"/>
    <w:rsid w:val="006905EB"/>
    <w:rsid w:val="00691134"/>
    <w:rsid w:val="006929F3"/>
    <w:rsid w:val="00694294"/>
    <w:rsid w:val="006A0664"/>
    <w:rsid w:val="006A0885"/>
    <w:rsid w:val="006A0CFF"/>
    <w:rsid w:val="006A0EF8"/>
    <w:rsid w:val="006A1A6D"/>
    <w:rsid w:val="006A2BC6"/>
    <w:rsid w:val="006A3BAD"/>
    <w:rsid w:val="006A4D7E"/>
    <w:rsid w:val="006A51F2"/>
    <w:rsid w:val="006A528A"/>
    <w:rsid w:val="006A55C0"/>
    <w:rsid w:val="006A5770"/>
    <w:rsid w:val="006A6139"/>
    <w:rsid w:val="006A64C6"/>
    <w:rsid w:val="006A6663"/>
    <w:rsid w:val="006A682B"/>
    <w:rsid w:val="006A766B"/>
    <w:rsid w:val="006B0ECC"/>
    <w:rsid w:val="006B22F9"/>
    <w:rsid w:val="006B2541"/>
    <w:rsid w:val="006B2D0F"/>
    <w:rsid w:val="006B3461"/>
    <w:rsid w:val="006B3A0A"/>
    <w:rsid w:val="006B3C59"/>
    <w:rsid w:val="006B4080"/>
    <w:rsid w:val="006B4219"/>
    <w:rsid w:val="006B619C"/>
    <w:rsid w:val="006B74B6"/>
    <w:rsid w:val="006B7CA5"/>
    <w:rsid w:val="006C0BF0"/>
    <w:rsid w:val="006C0DB5"/>
    <w:rsid w:val="006C192F"/>
    <w:rsid w:val="006C1F56"/>
    <w:rsid w:val="006C2A69"/>
    <w:rsid w:val="006C3393"/>
    <w:rsid w:val="006C3A33"/>
    <w:rsid w:val="006C3A6F"/>
    <w:rsid w:val="006C40A4"/>
    <w:rsid w:val="006C4526"/>
    <w:rsid w:val="006C62BB"/>
    <w:rsid w:val="006C6741"/>
    <w:rsid w:val="006C67F6"/>
    <w:rsid w:val="006C6C80"/>
    <w:rsid w:val="006C786F"/>
    <w:rsid w:val="006C7A83"/>
    <w:rsid w:val="006D02D6"/>
    <w:rsid w:val="006D0BDF"/>
    <w:rsid w:val="006D39C6"/>
    <w:rsid w:val="006D3A47"/>
    <w:rsid w:val="006D4156"/>
    <w:rsid w:val="006D430D"/>
    <w:rsid w:val="006D44B1"/>
    <w:rsid w:val="006D6984"/>
    <w:rsid w:val="006E0237"/>
    <w:rsid w:val="006E1458"/>
    <w:rsid w:val="006E2065"/>
    <w:rsid w:val="006E219D"/>
    <w:rsid w:val="006E2E14"/>
    <w:rsid w:val="006E32D4"/>
    <w:rsid w:val="006E6618"/>
    <w:rsid w:val="006E699E"/>
    <w:rsid w:val="006E70A7"/>
    <w:rsid w:val="006E7CEA"/>
    <w:rsid w:val="006F03F2"/>
    <w:rsid w:val="006F20C2"/>
    <w:rsid w:val="006F2DBA"/>
    <w:rsid w:val="006F31BC"/>
    <w:rsid w:val="006F383F"/>
    <w:rsid w:val="006F3E22"/>
    <w:rsid w:val="006F431D"/>
    <w:rsid w:val="006F5CD5"/>
    <w:rsid w:val="006F5CE8"/>
    <w:rsid w:val="006F6493"/>
    <w:rsid w:val="006F6E33"/>
    <w:rsid w:val="006F7013"/>
    <w:rsid w:val="006F7EFF"/>
    <w:rsid w:val="00701039"/>
    <w:rsid w:val="007028F2"/>
    <w:rsid w:val="00704BB5"/>
    <w:rsid w:val="00705303"/>
    <w:rsid w:val="007058BA"/>
    <w:rsid w:val="00706B06"/>
    <w:rsid w:val="00706CA2"/>
    <w:rsid w:val="00711107"/>
    <w:rsid w:val="00713083"/>
    <w:rsid w:val="007145E8"/>
    <w:rsid w:val="00715BC8"/>
    <w:rsid w:val="00717BF1"/>
    <w:rsid w:val="00720744"/>
    <w:rsid w:val="0072498D"/>
    <w:rsid w:val="00726077"/>
    <w:rsid w:val="007267DB"/>
    <w:rsid w:val="00727214"/>
    <w:rsid w:val="00730563"/>
    <w:rsid w:val="007316F6"/>
    <w:rsid w:val="00731BE4"/>
    <w:rsid w:val="00732522"/>
    <w:rsid w:val="00732684"/>
    <w:rsid w:val="007331F4"/>
    <w:rsid w:val="0073326A"/>
    <w:rsid w:val="00733C5F"/>
    <w:rsid w:val="00733E09"/>
    <w:rsid w:val="00734238"/>
    <w:rsid w:val="00737516"/>
    <w:rsid w:val="00740F33"/>
    <w:rsid w:val="00741185"/>
    <w:rsid w:val="007419A7"/>
    <w:rsid w:val="00741F6F"/>
    <w:rsid w:val="007426A8"/>
    <w:rsid w:val="0074361E"/>
    <w:rsid w:val="00743E7D"/>
    <w:rsid w:val="00744E5A"/>
    <w:rsid w:val="00747545"/>
    <w:rsid w:val="007479A1"/>
    <w:rsid w:val="00750554"/>
    <w:rsid w:val="00751200"/>
    <w:rsid w:val="00752137"/>
    <w:rsid w:val="00752190"/>
    <w:rsid w:val="00752571"/>
    <w:rsid w:val="00753400"/>
    <w:rsid w:val="00755060"/>
    <w:rsid w:val="007560E7"/>
    <w:rsid w:val="00756465"/>
    <w:rsid w:val="00756936"/>
    <w:rsid w:val="00756CFC"/>
    <w:rsid w:val="007575AC"/>
    <w:rsid w:val="00757803"/>
    <w:rsid w:val="00760585"/>
    <w:rsid w:val="00761C40"/>
    <w:rsid w:val="00762382"/>
    <w:rsid w:val="007629ED"/>
    <w:rsid w:val="00763303"/>
    <w:rsid w:val="00763484"/>
    <w:rsid w:val="007635D4"/>
    <w:rsid w:val="00764427"/>
    <w:rsid w:val="007665C9"/>
    <w:rsid w:val="00766AE2"/>
    <w:rsid w:val="00766B37"/>
    <w:rsid w:val="00767111"/>
    <w:rsid w:val="00770127"/>
    <w:rsid w:val="00771985"/>
    <w:rsid w:val="007730D8"/>
    <w:rsid w:val="00773EC7"/>
    <w:rsid w:val="0077446D"/>
    <w:rsid w:val="00775489"/>
    <w:rsid w:val="00776857"/>
    <w:rsid w:val="00777A92"/>
    <w:rsid w:val="00781C3C"/>
    <w:rsid w:val="00783319"/>
    <w:rsid w:val="007850A3"/>
    <w:rsid w:val="00787E7C"/>
    <w:rsid w:val="007901FE"/>
    <w:rsid w:val="00790F54"/>
    <w:rsid w:val="00793FA5"/>
    <w:rsid w:val="007967D0"/>
    <w:rsid w:val="00797B7F"/>
    <w:rsid w:val="007A0FCA"/>
    <w:rsid w:val="007A1C5F"/>
    <w:rsid w:val="007A1DD9"/>
    <w:rsid w:val="007A28AD"/>
    <w:rsid w:val="007A2CE6"/>
    <w:rsid w:val="007A2DBD"/>
    <w:rsid w:val="007A2EFD"/>
    <w:rsid w:val="007A3F70"/>
    <w:rsid w:val="007A4202"/>
    <w:rsid w:val="007A7531"/>
    <w:rsid w:val="007A7AC8"/>
    <w:rsid w:val="007A7FB6"/>
    <w:rsid w:val="007B1509"/>
    <w:rsid w:val="007B1996"/>
    <w:rsid w:val="007B22C9"/>
    <w:rsid w:val="007B415D"/>
    <w:rsid w:val="007B569D"/>
    <w:rsid w:val="007B5E66"/>
    <w:rsid w:val="007B6304"/>
    <w:rsid w:val="007B6EB6"/>
    <w:rsid w:val="007B71FD"/>
    <w:rsid w:val="007C1F94"/>
    <w:rsid w:val="007C34BB"/>
    <w:rsid w:val="007C3876"/>
    <w:rsid w:val="007C4183"/>
    <w:rsid w:val="007C4910"/>
    <w:rsid w:val="007C4F95"/>
    <w:rsid w:val="007C6371"/>
    <w:rsid w:val="007C6E93"/>
    <w:rsid w:val="007D0737"/>
    <w:rsid w:val="007D20B2"/>
    <w:rsid w:val="007D29B8"/>
    <w:rsid w:val="007D390D"/>
    <w:rsid w:val="007D3BFD"/>
    <w:rsid w:val="007D40C3"/>
    <w:rsid w:val="007D41CB"/>
    <w:rsid w:val="007D4D47"/>
    <w:rsid w:val="007E1CD6"/>
    <w:rsid w:val="007E1ED8"/>
    <w:rsid w:val="007E253F"/>
    <w:rsid w:val="007E46D3"/>
    <w:rsid w:val="007E5D84"/>
    <w:rsid w:val="007E5FE4"/>
    <w:rsid w:val="007E62B0"/>
    <w:rsid w:val="007E6969"/>
    <w:rsid w:val="007E6D31"/>
    <w:rsid w:val="007E78CD"/>
    <w:rsid w:val="007E7D58"/>
    <w:rsid w:val="007F0A2A"/>
    <w:rsid w:val="007F172D"/>
    <w:rsid w:val="007F17AF"/>
    <w:rsid w:val="007F2A3F"/>
    <w:rsid w:val="007F344C"/>
    <w:rsid w:val="007F34DA"/>
    <w:rsid w:val="007F3B53"/>
    <w:rsid w:val="007F51FB"/>
    <w:rsid w:val="007F529D"/>
    <w:rsid w:val="007F6D22"/>
    <w:rsid w:val="007F72A1"/>
    <w:rsid w:val="007F7699"/>
    <w:rsid w:val="00803710"/>
    <w:rsid w:val="00803A77"/>
    <w:rsid w:val="00804D09"/>
    <w:rsid w:val="00805E39"/>
    <w:rsid w:val="00806DC6"/>
    <w:rsid w:val="00811126"/>
    <w:rsid w:val="008111C7"/>
    <w:rsid w:val="00811483"/>
    <w:rsid w:val="00812A1E"/>
    <w:rsid w:val="00812BB8"/>
    <w:rsid w:val="008132B7"/>
    <w:rsid w:val="0081458F"/>
    <w:rsid w:val="008145DD"/>
    <w:rsid w:val="00814881"/>
    <w:rsid w:val="00814954"/>
    <w:rsid w:val="008154A0"/>
    <w:rsid w:val="0081577F"/>
    <w:rsid w:val="00816934"/>
    <w:rsid w:val="0081768C"/>
    <w:rsid w:val="008201D9"/>
    <w:rsid w:val="0082143C"/>
    <w:rsid w:val="008221F5"/>
    <w:rsid w:val="0082284C"/>
    <w:rsid w:val="00823037"/>
    <w:rsid w:val="00824E23"/>
    <w:rsid w:val="0082591B"/>
    <w:rsid w:val="00826250"/>
    <w:rsid w:val="00826D02"/>
    <w:rsid w:val="00827B34"/>
    <w:rsid w:val="00831859"/>
    <w:rsid w:val="00831AAD"/>
    <w:rsid w:val="00832D8C"/>
    <w:rsid w:val="008348E1"/>
    <w:rsid w:val="00834C77"/>
    <w:rsid w:val="00834D32"/>
    <w:rsid w:val="008356F2"/>
    <w:rsid w:val="008359FE"/>
    <w:rsid w:val="00840390"/>
    <w:rsid w:val="00840882"/>
    <w:rsid w:val="008410B6"/>
    <w:rsid w:val="008410B9"/>
    <w:rsid w:val="0084190B"/>
    <w:rsid w:val="00841A30"/>
    <w:rsid w:val="00842685"/>
    <w:rsid w:val="00843F2B"/>
    <w:rsid w:val="008446F3"/>
    <w:rsid w:val="0084569B"/>
    <w:rsid w:val="00845CA8"/>
    <w:rsid w:val="0084653B"/>
    <w:rsid w:val="008513DA"/>
    <w:rsid w:val="0085489D"/>
    <w:rsid w:val="00854B1E"/>
    <w:rsid w:val="008559D1"/>
    <w:rsid w:val="00856327"/>
    <w:rsid w:val="00856B4B"/>
    <w:rsid w:val="00857479"/>
    <w:rsid w:val="00857710"/>
    <w:rsid w:val="008619E2"/>
    <w:rsid w:val="00861EF4"/>
    <w:rsid w:val="008635D3"/>
    <w:rsid w:val="00863802"/>
    <w:rsid w:val="00864075"/>
    <w:rsid w:val="00864C07"/>
    <w:rsid w:val="00866832"/>
    <w:rsid w:val="00866E9C"/>
    <w:rsid w:val="00867F09"/>
    <w:rsid w:val="00870071"/>
    <w:rsid w:val="00870B8D"/>
    <w:rsid w:val="008713A1"/>
    <w:rsid w:val="00871857"/>
    <w:rsid w:val="00873094"/>
    <w:rsid w:val="00873F51"/>
    <w:rsid w:val="00874D3C"/>
    <w:rsid w:val="00874F72"/>
    <w:rsid w:val="00877625"/>
    <w:rsid w:val="00880685"/>
    <w:rsid w:val="0088298B"/>
    <w:rsid w:val="00883A1C"/>
    <w:rsid w:val="00883DB7"/>
    <w:rsid w:val="00883EDF"/>
    <w:rsid w:val="00884407"/>
    <w:rsid w:val="008860E2"/>
    <w:rsid w:val="008866E7"/>
    <w:rsid w:val="0088787A"/>
    <w:rsid w:val="00890016"/>
    <w:rsid w:val="00890A2E"/>
    <w:rsid w:val="00892C90"/>
    <w:rsid w:val="00892EB7"/>
    <w:rsid w:val="00892FAB"/>
    <w:rsid w:val="0089550A"/>
    <w:rsid w:val="008964B9"/>
    <w:rsid w:val="0089691B"/>
    <w:rsid w:val="0089777F"/>
    <w:rsid w:val="008A2B5D"/>
    <w:rsid w:val="008A3B5F"/>
    <w:rsid w:val="008A4656"/>
    <w:rsid w:val="008A4894"/>
    <w:rsid w:val="008A4A91"/>
    <w:rsid w:val="008A5580"/>
    <w:rsid w:val="008A57B6"/>
    <w:rsid w:val="008A5A27"/>
    <w:rsid w:val="008A5C2E"/>
    <w:rsid w:val="008A7A93"/>
    <w:rsid w:val="008B3BAA"/>
    <w:rsid w:val="008B58C2"/>
    <w:rsid w:val="008B5934"/>
    <w:rsid w:val="008B7884"/>
    <w:rsid w:val="008B7C4E"/>
    <w:rsid w:val="008B7DEE"/>
    <w:rsid w:val="008C2434"/>
    <w:rsid w:val="008C29A0"/>
    <w:rsid w:val="008C3A10"/>
    <w:rsid w:val="008C5433"/>
    <w:rsid w:val="008C5717"/>
    <w:rsid w:val="008C6876"/>
    <w:rsid w:val="008C6EE0"/>
    <w:rsid w:val="008C7C51"/>
    <w:rsid w:val="008D0BF4"/>
    <w:rsid w:val="008D35B0"/>
    <w:rsid w:val="008D3E2E"/>
    <w:rsid w:val="008D4C54"/>
    <w:rsid w:val="008D5042"/>
    <w:rsid w:val="008D5D57"/>
    <w:rsid w:val="008D5E25"/>
    <w:rsid w:val="008D7C7B"/>
    <w:rsid w:val="008D7D75"/>
    <w:rsid w:val="008E10F5"/>
    <w:rsid w:val="008E139E"/>
    <w:rsid w:val="008E2035"/>
    <w:rsid w:val="008E3124"/>
    <w:rsid w:val="008E33E6"/>
    <w:rsid w:val="008E3DC9"/>
    <w:rsid w:val="008E4396"/>
    <w:rsid w:val="008E6266"/>
    <w:rsid w:val="008F0FED"/>
    <w:rsid w:val="008F1B5D"/>
    <w:rsid w:val="008F3ECA"/>
    <w:rsid w:val="008F6EEA"/>
    <w:rsid w:val="008F7CF8"/>
    <w:rsid w:val="0090171F"/>
    <w:rsid w:val="00901D09"/>
    <w:rsid w:val="0090636F"/>
    <w:rsid w:val="00907C63"/>
    <w:rsid w:val="00907EB9"/>
    <w:rsid w:val="009108D8"/>
    <w:rsid w:val="009108F2"/>
    <w:rsid w:val="00912237"/>
    <w:rsid w:val="009125C2"/>
    <w:rsid w:val="00914DA0"/>
    <w:rsid w:val="0091502B"/>
    <w:rsid w:val="00915967"/>
    <w:rsid w:val="0091656E"/>
    <w:rsid w:val="00921015"/>
    <w:rsid w:val="009230A7"/>
    <w:rsid w:val="00924263"/>
    <w:rsid w:val="009243C0"/>
    <w:rsid w:val="00924E28"/>
    <w:rsid w:val="0092569B"/>
    <w:rsid w:val="0092574B"/>
    <w:rsid w:val="00927316"/>
    <w:rsid w:val="009275EE"/>
    <w:rsid w:val="00931A61"/>
    <w:rsid w:val="00932F3D"/>
    <w:rsid w:val="00933BD5"/>
    <w:rsid w:val="00933DF9"/>
    <w:rsid w:val="009364DE"/>
    <w:rsid w:val="00936BA3"/>
    <w:rsid w:val="009377E0"/>
    <w:rsid w:val="00937962"/>
    <w:rsid w:val="00937A54"/>
    <w:rsid w:val="009406E0"/>
    <w:rsid w:val="0094218C"/>
    <w:rsid w:val="00942B09"/>
    <w:rsid w:val="00942BD0"/>
    <w:rsid w:val="00942FA8"/>
    <w:rsid w:val="009430C2"/>
    <w:rsid w:val="0094341F"/>
    <w:rsid w:val="00943506"/>
    <w:rsid w:val="00943861"/>
    <w:rsid w:val="0094452C"/>
    <w:rsid w:val="00944B0D"/>
    <w:rsid w:val="00945172"/>
    <w:rsid w:val="009451CC"/>
    <w:rsid w:val="0094568D"/>
    <w:rsid w:val="00945DEC"/>
    <w:rsid w:val="00947BF0"/>
    <w:rsid w:val="009521EA"/>
    <w:rsid w:val="00952215"/>
    <w:rsid w:val="00952A36"/>
    <w:rsid w:val="00952C11"/>
    <w:rsid w:val="009530C2"/>
    <w:rsid w:val="009537AE"/>
    <w:rsid w:val="009547FB"/>
    <w:rsid w:val="00954E1E"/>
    <w:rsid w:val="00956D32"/>
    <w:rsid w:val="00960300"/>
    <w:rsid w:val="009621B0"/>
    <w:rsid w:val="00964B2F"/>
    <w:rsid w:val="0096559E"/>
    <w:rsid w:val="00966650"/>
    <w:rsid w:val="009673E0"/>
    <w:rsid w:val="009675A9"/>
    <w:rsid w:val="00967E6B"/>
    <w:rsid w:val="00970A90"/>
    <w:rsid w:val="009732DE"/>
    <w:rsid w:val="009732E4"/>
    <w:rsid w:val="00973965"/>
    <w:rsid w:val="00973AC1"/>
    <w:rsid w:val="009741D2"/>
    <w:rsid w:val="00974508"/>
    <w:rsid w:val="009747C3"/>
    <w:rsid w:val="00975E42"/>
    <w:rsid w:val="0097706E"/>
    <w:rsid w:val="009805D4"/>
    <w:rsid w:val="00982EA2"/>
    <w:rsid w:val="009830CC"/>
    <w:rsid w:val="009847CC"/>
    <w:rsid w:val="00984FEF"/>
    <w:rsid w:val="00987CA5"/>
    <w:rsid w:val="009909E0"/>
    <w:rsid w:val="00991967"/>
    <w:rsid w:val="00991CC1"/>
    <w:rsid w:val="00992919"/>
    <w:rsid w:val="009934BC"/>
    <w:rsid w:val="0099381D"/>
    <w:rsid w:val="0099487F"/>
    <w:rsid w:val="009949B3"/>
    <w:rsid w:val="009963A9"/>
    <w:rsid w:val="009A1994"/>
    <w:rsid w:val="009A313D"/>
    <w:rsid w:val="009A325D"/>
    <w:rsid w:val="009A3FAE"/>
    <w:rsid w:val="009A401B"/>
    <w:rsid w:val="009A59A5"/>
    <w:rsid w:val="009A5A85"/>
    <w:rsid w:val="009B0004"/>
    <w:rsid w:val="009B2246"/>
    <w:rsid w:val="009B3F3B"/>
    <w:rsid w:val="009B45BD"/>
    <w:rsid w:val="009B582C"/>
    <w:rsid w:val="009B7F0D"/>
    <w:rsid w:val="009C0D13"/>
    <w:rsid w:val="009C0F40"/>
    <w:rsid w:val="009C172C"/>
    <w:rsid w:val="009C2044"/>
    <w:rsid w:val="009C34ED"/>
    <w:rsid w:val="009C3DA3"/>
    <w:rsid w:val="009C4234"/>
    <w:rsid w:val="009C4480"/>
    <w:rsid w:val="009C44C9"/>
    <w:rsid w:val="009C5B4D"/>
    <w:rsid w:val="009D0271"/>
    <w:rsid w:val="009D06F7"/>
    <w:rsid w:val="009D095E"/>
    <w:rsid w:val="009D09B6"/>
    <w:rsid w:val="009D28FF"/>
    <w:rsid w:val="009D3F9D"/>
    <w:rsid w:val="009D4C21"/>
    <w:rsid w:val="009D6B1F"/>
    <w:rsid w:val="009E26FC"/>
    <w:rsid w:val="009E2CD9"/>
    <w:rsid w:val="009E4469"/>
    <w:rsid w:val="009E45D0"/>
    <w:rsid w:val="009E49E2"/>
    <w:rsid w:val="009E5A77"/>
    <w:rsid w:val="009E7843"/>
    <w:rsid w:val="009F1019"/>
    <w:rsid w:val="009F2157"/>
    <w:rsid w:val="009F23BA"/>
    <w:rsid w:val="009F2C09"/>
    <w:rsid w:val="009F3016"/>
    <w:rsid w:val="009F3FA5"/>
    <w:rsid w:val="009F5D38"/>
    <w:rsid w:val="009F71BE"/>
    <w:rsid w:val="00A01450"/>
    <w:rsid w:val="00A0289F"/>
    <w:rsid w:val="00A03C4E"/>
    <w:rsid w:val="00A03D2E"/>
    <w:rsid w:val="00A04879"/>
    <w:rsid w:val="00A04BF2"/>
    <w:rsid w:val="00A07C8D"/>
    <w:rsid w:val="00A102AB"/>
    <w:rsid w:val="00A1158C"/>
    <w:rsid w:val="00A12BAA"/>
    <w:rsid w:val="00A13BEA"/>
    <w:rsid w:val="00A13EE2"/>
    <w:rsid w:val="00A14B48"/>
    <w:rsid w:val="00A14FA8"/>
    <w:rsid w:val="00A172AF"/>
    <w:rsid w:val="00A17F10"/>
    <w:rsid w:val="00A20174"/>
    <w:rsid w:val="00A20270"/>
    <w:rsid w:val="00A20CDB"/>
    <w:rsid w:val="00A2187A"/>
    <w:rsid w:val="00A226BF"/>
    <w:rsid w:val="00A23790"/>
    <w:rsid w:val="00A26C75"/>
    <w:rsid w:val="00A2727C"/>
    <w:rsid w:val="00A274C0"/>
    <w:rsid w:val="00A3046A"/>
    <w:rsid w:val="00A31A3C"/>
    <w:rsid w:val="00A334FD"/>
    <w:rsid w:val="00A33DC5"/>
    <w:rsid w:val="00A3594E"/>
    <w:rsid w:val="00A35DA2"/>
    <w:rsid w:val="00A36276"/>
    <w:rsid w:val="00A37439"/>
    <w:rsid w:val="00A3754A"/>
    <w:rsid w:val="00A4240C"/>
    <w:rsid w:val="00A432C0"/>
    <w:rsid w:val="00A43D3C"/>
    <w:rsid w:val="00A444AF"/>
    <w:rsid w:val="00A451F0"/>
    <w:rsid w:val="00A46198"/>
    <w:rsid w:val="00A465C6"/>
    <w:rsid w:val="00A46623"/>
    <w:rsid w:val="00A4687D"/>
    <w:rsid w:val="00A46AE1"/>
    <w:rsid w:val="00A47285"/>
    <w:rsid w:val="00A50270"/>
    <w:rsid w:val="00A50D5B"/>
    <w:rsid w:val="00A520CB"/>
    <w:rsid w:val="00A52E20"/>
    <w:rsid w:val="00A5614F"/>
    <w:rsid w:val="00A57E20"/>
    <w:rsid w:val="00A57F94"/>
    <w:rsid w:val="00A60E62"/>
    <w:rsid w:val="00A6207F"/>
    <w:rsid w:val="00A62761"/>
    <w:rsid w:val="00A6359A"/>
    <w:rsid w:val="00A6363F"/>
    <w:rsid w:val="00A63A51"/>
    <w:rsid w:val="00A670A1"/>
    <w:rsid w:val="00A67C9E"/>
    <w:rsid w:val="00A70F09"/>
    <w:rsid w:val="00A7111A"/>
    <w:rsid w:val="00A71520"/>
    <w:rsid w:val="00A72B1E"/>
    <w:rsid w:val="00A73946"/>
    <w:rsid w:val="00A73C99"/>
    <w:rsid w:val="00A74617"/>
    <w:rsid w:val="00A74B1A"/>
    <w:rsid w:val="00A753D5"/>
    <w:rsid w:val="00A81369"/>
    <w:rsid w:val="00A824CF"/>
    <w:rsid w:val="00A82FEB"/>
    <w:rsid w:val="00A832A0"/>
    <w:rsid w:val="00A83506"/>
    <w:rsid w:val="00A84574"/>
    <w:rsid w:val="00A8542C"/>
    <w:rsid w:val="00A855B9"/>
    <w:rsid w:val="00A85A9C"/>
    <w:rsid w:val="00A85CDE"/>
    <w:rsid w:val="00A86371"/>
    <w:rsid w:val="00A904F0"/>
    <w:rsid w:val="00A92A82"/>
    <w:rsid w:val="00A9370F"/>
    <w:rsid w:val="00A93C4A"/>
    <w:rsid w:val="00A93F9B"/>
    <w:rsid w:val="00A9588A"/>
    <w:rsid w:val="00A961CB"/>
    <w:rsid w:val="00A96E26"/>
    <w:rsid w:val="00A96EE6"/>
    <w:rsid w:val="00A96F29"/>
    <w:rsid w:val="00A977A3"/>
    <w:rsid w:val="00AA0A73"/>
    <w:rsid w:val="00AA133A"/>
    <w:rsid w:val="00AA2654"/>
    <w:rsid w:val="00AA2D51"/>
    <w:rsid w:val="00AA6D41"/>
    <w:rsid w:val="00AA7663"/>
    <w:rsid w:val="00AB0627"/>
    <w:rsid w:val="00AB0E28"/>
    <w:rsid w:val="00AB0E37"/>
    <w:rsid w:val="00AB1567"/>
    <w:rsid w:val="00AB2304"/>
    <w:rsid w:val="00AB67F1"/>
    <w:rsid w:val="00AC02A5"/>
    <w:rsid w:val="00AC0E87"/>
    <w:rsid w:val="00AC198A"/>
    <w:rsid w:val="00AC1A51"/>
    <w:rsid w:val="00AC279C"/>
    <w:rsid w:val="00AC2F65"/>
    <w:rsid w:val="00AC31A6"/>
    <w:rsid w:val="00AC3AD8"/>
    <w:rsid w:val="00AC3D89"/>
    <w:rsid w:val="00AC4228"/>
    <w:rsid w:val="00AC4230"/>
    <w:rsid w:val="00AC65E5"/>
    <w:rsid w:val="00AD019A"/>
    <w:rsid w:val="00AD025E"/>
    <w:rsid w:val="00AD19D0"/>
    <w:rsid w:val="00AD275D"/>
    <w:rsid w:val="00AD2FC8"/>
    <w:rsid w:val="00AD511E"/>
    <w:rsid w:val="00AD51F7"/>
    <w:rsid w:val="00AD6522"/>
    <w:rsid w:val="00AE10BB"/>
    <w:rsid w:val="00AE1C88"/>
    <w:rsid w:val="00AE1F79"/>
    <w:rsid w:val="00AE2577"/>
    <w:rsid w:val="00AE5632"/>
    <w:rsid w:val="00AE66AC"/>
    <w:rsid w:val="00AF188A"/>
    <w:rsid w:val="00AF1AEE"/>
    <w:rsid w:val="00AF2F59"/>
    <w:rsid w:val="00AF3D1B"/>
    <w:rsid w:val="00AF3FF9"/>
    <w:rsid w:val="00AF41A4"/>
    <w:rsid w:val="00AF50CE"/>
    <w:rsid w:val="00AF5ED7"/>
    <w:rsid w:val="00AF65CA"/>
    <w:rsid w:val="00AF7486"/>
    <w:rsid w:val="00AF7A32"/>
    <w:rsid w:val="00AF7C6C"/>
    <w:rsid w:val="00AF7CC4"/>
    <w:rsid w:val="00B022B7"/>
    <w:rsid w:val="00B0570F"/>
    <w:rsid w:val="00B06C7A"/>
    <w:rsid w:val="00B06F92"/>
    <w:rsid w:val="00B07271"/>
    <w:rsid w:val="00B1031A"/>
    <w:rsid w:val="00B12433"/>
    <w:rsid w:val="00B132EE"/>
    <w:rsid w:val="00B133C1"/>
    <w:rsid w:val="00B13761"/>
    <w:rsid w:val="00B15741"/>
    <w:rsid w:val="00B17611"/>
    <w:rsid w:val="00B2032B"/>
    <w:rsid w:val="00B20EEF"/>
    <w:rsid w:val="00B2126A"/>
    <w:rsid w:val="00B223A6"/>
    <w:rsid w:val="00B22461"/>
    <w:rsid w:val="00B22946"/>
    <w:rsid w:val="00B22C19"/>
    <w:rsid w:val="00B23A4B"/>
    <w:rsid w:val="00B24FF4"/>
    <w:rsid w:val="00B255C5"/>
    <w:rsid w:val="00B25D64"/>
    <w:rsid w:val="00B30935"/>
    <w:rsid w:val="00B3137D"/>
    <w:rsid w:val="00B31D82"/>
    <w:rsid w:val="00B3534C"/>
    <w:rsid w:val="00B362DB"/>
    <w:rsid w:val="00B36649"/>
    <w:rsid w:val="00B36665"/>
    <w:rsid w:val="00B36BAC"/>
    <w:rsid w:val="00B37813"/>
    <w:rsid w:val="00B40BF9"/>
    <w:rsid w:val="00B42040"/>
    <w:rsid w:val="00B43981"/>
    <w:rsid w:val="00B46999"/>
    <w:rsid w:val="00B512B7"/>
    <w:rsid w:val="00B51800"/>
    <w:rsid w:val="00B51E7C"/>
    <w:rsid w:val="00B52643"/>
    <w:rsid w:val="00B5273A"/>
    <w:rsid w:val="00B5314C"/>
    <w:rsid w:val="00B5433E"/>
    <w:rsid w:val="00B563C7"/>
    <w:rsid w:val="00B567A5"/>
    <w:rsid w:val="00B56E73"/>
    <w:rsid w:val="00B609C1"/>
    <w:rsid w:val="00B6103D"/>
    <w:rsid w:val="00B61EF2"/>
    <w:rsid w:val="00B62048"/>
    <w:rsid w:val="00B6297B"/>
    <w:rsid w:val="00B645C4"/>
    <w:rsid w:val="00B64AB4"/>
    <w:rsid w:val="00B65CF9"/>
    <w:rsid w:val="00B670D1"/>
    <w:rsid w:val="00B6789E"/>
    <w:rsid w:val="00B70D92"/>
    <w:rsid w:val="00B7393A"/>
    <w:rsid w:val="00B7503C"/>
    <w:rsid w:val="00B75951"/>
    <w:rsid w:val="00B76860"/>
    <w:rsid w:val="00B770CB"/>
    <w:rsid w:val="00B77D03"/>
    <w:rsid w:val="00B80A1C"/>
    <w:rsid w:val="00B8187E"/>
    <w:rsid w:val="00B81B1D"/>
    <w:rsid w:val="00B823FB"/>
    <w:rsid w:val="00B83044"/>
    <w:rsid w:val="00B83113"/>
    <w:rsid w:val="00B84511"/>
    <w:rsid w:val="00B8470A"/>
    <w:rsid w:val="00B8648F"/>
    <w:rsid w:val="00B86A90"/>
    <w:rsid w:val="00B87323"/>
    <w:rsid w:val="00B90E0C"/>
    <w:rsid w:val="00B919B7"/>
    <w:rsid w:val="00B91EA5"/>
    <w:rsid w:val="00B92F77"/>
    <w:rsid w:val="00B93134"/>
    <w:rsid w:val="00B93385"/>
    <w:rsid w:val="00B94430"/>
    <w:rsid w:val="00B94617"/>
    <w:rsid w:val="00B96479"/>
    <w:rsid w:val="00B96565"/>
    <w:rsid w:val="00B9689A"/>
    <w:rsid w:val="00B97FDD"/>
    <w:rsid w:val="00BA0964"/>
    <w:rsid w:val="00BA0F59"/>
    <w:rsid w:val="00BA2842"/>
    <w:rsid w:val="00BA39C2"/>
    <w:rsid w:val="00BA53BE"/>
    <w:rsid w:val="00BA54C2"/>
    <w:rsid w:val="00BA58FC"/>
    <w:rsid w:val="00BA5D9B"/>
    <w:rsid w:val="00BA6CE3"/>
    <w:rsid w:val="00BB2567"/>
    <w:rsid w:val="00BB5077"/>
    <w:rsid w:val="00BB53B3"/>
    <w:rsid w:val="00BB557C"/>
    <w:rsid w:val="00BB58A6"/>
    <w:rsid w:val="00BB58B6"/>
    <w:rsid w:val="00BB69A9"/>
    <w:rsid w:val="00BB729E"/>
    <w:rsid w:val="00BC1114"/>
    <w:rsid w:val="00BC1C4F"/>
    <w:rsid w:val="00BC21B4"/>
    <w:rsid w:val="00BC2D8C"/>
    <w:rsid w:val="00BC2E4A"/>
    <w:rsid w:val="00BC3558"/>
    <w:rsid w:val="00BC3F1E"/>
    <w:rsid w:val="00BC52B6"/>
    <w:rsid w:val="00BC5458"/>
    <w:rsid w:val="00BC58F5"/>
    <w:rsid w:val="00BC7243"/>
    <w:rsid w:val="00BC75BA"/>
    <w:rsid w:val="00BC7858"/>
    <w:rsid w:val="00BD0224"/>
    <w:rsid w:val="00BD0751"/>
    <w:rsid w:val="00BD1C49"/>
    <w:rsid w:val="00BD1C9D"/>
    <w:rsid w:val="00BD249A"/>
    <w:rsid w:val="00BD31D3"/>
    <w:rsid w:val="00BD32A7"/>
    <w:rsid w:val="00BD3430"/>
    <w:rsid w:val="00BD38FF"/>
    <w:rsid w:val="00BD4348"/>
    <w:rsid w:val="00BD43FB"/>
    <w:rsid w:val="00BD4B3B"/>
    <w:rsid w:val="00BD4F62"/>
    <w:rsid w:val="00BE0BC8"/>
    <w:rsid w:val="00BE3026"/>
    <w:rsid w:val="00BE5BC9"/>
    <w:rsid w:val="00BE626D"/>
    <w:rsid w:val="00BE6382"/>
    <w:rsid w:val="00BF0D38"/>
    <w:rsid w:val="00BF1C5D"/>
    <w:rsid w:val="00BF2C02"/>
    <w:rsid w:val="00BF3234"/>
    <w:rsid w:val="00BF583B"/>
    <w:rsid w:val="00BF689D"/>
    <w:rsid w:val="00C00DEF"/>
    <w:rsid w:val="00C00F20"/>
    <w:rsid w:val="00C02273"/>
    <w:rsid w:val="00C027B2"/>
    <w:rsid w:val="00C029AD"/>
    <w:rsid w:val="00C02EEF"/>
    <w:rsid w:val="00C04D4E"/>
    <w:rsid w:val="00C07007"/>
    <w:rsid w:val="00C07961"/>
    <w:rsid w:val="00C1190B"/>
    <w:rsid w:val="00C1555D"/>
    <w:rsid w:val="00C1610A"/>
    <w:rsid w:val="00C20271"/>
    <w:rsid w:val="00C2043E"/>
    <w:rsid w:val="00C2087B"/>
    <w:rsid w:val="00C239BF"/>
    <w:rsid w:val="00C25601"/>
    <w:rsid w:val="00C2649F"/>
    <w:rsid w:val="00C2684F"/>
    <w:rsid w:val="00C26C52"/>
    <w:rsid w:val="00C26E4C"/>
    <w:rsid w:val="00C27157"/>
    <w:rsid w:val="00C311DD"/>
    <w:rsid w:val="00C31593"/>
    <w:rsid w:val="00C3192F"/>
    <w:rsid w:val="00C31F06"/>
    <w:rsid w:val="00C31FBC"/>
    <w:rsid w:val="00C32DA6"/>
    <w:rsid w:val="00C3311E"/>
    <w:rsid w:val="00C34A2A"/>
    <w:rsid w:val="00C351A7"/>
    <w:rsid w:val="00C405F8"/>
    <w:rsid w:val="00C41F79"/>
    <w:rsid w:val="00C422C5"/>
    <w:rsid w:val="00C425E0"/>
    <w:rsid w:val="00C42781"/>
    <w:rsid w:val="00C43A76"/>
    <w:rsid w:val="00C45E96"/>
    <w:rsid w:val="00C47D4F"/>
    <w:rsid w:val="00C518C8"/>
    <w:rsid w:val="00C51D90"/>
    <w:rsid w:val="00C526D5"/>
    <w:rsid w:val="00C54175"/>
    <w:rsid w:val="00C55F16"/>
    <w:rsid w:val="00C57052"/>
    <w:rsid w:val="00C60E17"/>
    <w:rsid w:val="00C61079"/>
    <w:rsid w:val="00C61831"/>
    <w:rsid w:val="00C65E1A"/>
    <w:rsid w:val="00C672DC"/>
    <w:rsid w:val="00C67E0C"/>
    <w:rsid w:val="00C71F87"/>
    <w:rsid w:val="00C73111"/>
    <w:rsid w:val="00C8030A"/>
    <w:rsid w:val="00C8111B"/>
    <w:rsid w:val="00C81991"/>
    <w:rsid w:val="00C83165"/>
    <w:rsid w:val="00C85082"/>
    <w:rsid w:val="00C86A33"/>
    <w:rsid w:val="00C9100B"/>
    <w:rsid w:val="00C936CC"/>
    <w:rsid w:val="00C93E28"/>
    <w:rsid w:val="00CA1659"/>
    <w:rsid w:val="00CA20F9"/>
    <w:rsid w:val="00CA215D"/>
    <w:rsid w:val="00CA3B0C"/>
    <w:rsid w:val="00CA3E61"/>
    <w:rsid w:val="00CA4DFE"/>
    <w:rsid w:val="00CA593C"/>
    <w:rsid w:val="00CA633D"/>
    <w:rsid w:val="00CA64FC"/>
    <w:rsid w:val="00CA6D2A"/>
    <w:rsid w:val="00CA6ECC"/>
    <w:rsid w:val="00CA7DA7"/>
    <w:rsid w:val="00CB0755"/>
    <w:rsid w:val="00CB1125"/>
    <w:rsid w:val="00CB11D0"/>
    <w:rsid w:val="00CB26FE"/>
    <w:rsid w:val="00CB3195"/>
    <w:rsid w:val="00CB3CB6"/>
    <w:rsid w:val="00CB4F57"/>
    <w:rsid w:val="00CB5EB1"/>
    <w:rsid w:val="00CC0025"/>
    <w:rsid w:val="00CC2F29"/>
    <w:rsid w:val="00CC2F5E"/>
    <w:rsid w:val="00CC3226"/>
    <w:rsid w:val="00CC778A"/>
    <w:rsid w:val="00CD136A"/>
    <w:rsid w:val="00CD1E0D"/>
    <w:rsid w:val="00CD2A36"/>
    <w:rsid w:val="00CD3358"/>
    <w:rsid w:val="00CD350F"/>
    <w:rsid w:val="00CD4532"/>
    <w:rsid w:val="00CE1414"/>
    <w:rsid w:val="00CE19F5"/>
    <w:rsid w:val="00CE2639"/>
    <w:rsid w:val="00CE3741"/>
    <w:rsid w:val="00CE41C2"/>
    <w:rsid w:val="00CE5284"/>
    <w:rsid w:val="00CE5B6B"/>
    <w:rsid w:val="00CE7B56"/>
    <w:rsid w:val="00CF04CD"/>
    <w:rsid w:val="00CF08C3"/>
    <w:rsid w:val="00CF0C8A"/>
    <w:rsid w:val="00CF16E1"/>
    <w:rsid w:val="00CF1B10"/>
    <w:rsid w:val="00CF1F8D"/>
    <w:rsid w:val="00CF2C65"/>
    <w:rsid w:val="00CF3C79"/>
    <w:rsid w:val="00CF5FEE"/>
    <w:rsid w:val="00CF6524"/>
    <w:rsid w:val="00CF72EE"/>
    <w:rsid w:val="00D00593"/>
    <w:rsid w:val="00D0101E"/>
    <w:rsid w:val="00D01046"/>
    <w:rsid w:val="00D01C39"/>
    <w:rsid w:val="00D02601"/>
    <w:rsid w:val="00D02CCA"/>
    <w:rsid w:val="00D03338"/>
    <w:rsid w:val="00D037FC"/>
    <w:rsid w:val="00D04320"/>
    <w:rsid w:val="00D04933"/>
    <w:rsid w:val="00D05813"/>
    <w:rsid w:val="00D07BA0"/>
    <w:rsid w:val="00D108FC"/>
    <w:rsid w:val="00D10EFA"/>
    <w:rsid w:val="00D112FB"/>
    <w:rsid w:val="00D11745"/>
    <w:rsid w:val="00D11B42"/>
    <w:rsid w:val="00D12EE2"/>
    <w:rsid w:val="00D13E9E"/>
    <w:rsid w:val="00D15F75"/>
    <w:rsid w:val="00D20C2B"/>
    <w:rsid w:val="00D21B7A"/>
    <w:rsid w:val="00D221CD"/>
    <w:rsid w:val="00D22494"/>
    <w:rsid w:val="00D23962"/>
    <w:rsid w:val="00D259FB"/>
    <w:rsid w:val="00D32A02"/>
    <w:rsid w:val="00D32B8D"/>
    <w:rsid w:val="00D32CC3"/>
    <w:rsid w:val="00D33AF3"/>
    <w:rsid w:val="00D34645"/>
    <w:rsid w:val="00D34AB4"/>
    <w:rsid w:val="00D34E72"/>
    <w:rsid w:val="00D352DA"/>
    <w:rsid w:val="00D366DF"/>
    <w:rsid w:val="00D36A14"/>
    <w:rsid w:val="00D375BA"/>
    <w:rsid w:val="00D4083B"/>
    <w:rsid w:val="00D4090D"/>
    <w:rsid w:val="00D41763"/>
    <w:rsid w:val="00D41F5E"/>
    <w:rsid w:val="00D41F65"/>
    <w:rsid w:val="00D429CF"/>
    <w:rsid w:val="00D42A92"/>
    <w:rsid w:val="00D45698"/>
    <w:rsid w:val="00D464D8"/>
    <w:rsid w:val="00D464EC"/>
    <w:rsid w:val="00D46F4C"/>
    <w:rsid w:val="00D470B9"/>
    <w:rsid w:val="00D4717A"/>
    <w:rsid w:val="00D47D6C"/>
    <w:rsid w:val="00D5008C"/>
    <w:rsid w:val="00D502DA"/>
    <w:rsid w:val="00D514DD"/>
    <w:rsid w:val="00D51C83"/>
    <w:rsid w:val="00D53482"/>
    <w:rsid w:val="00D538EE"/>
    <w:rsid w:val="00D54FFD"/>
    <w:rsid w:val="00D5518D"/>
    <w:rsid w:val="00D55F59"/>
    <w:rsid w:val="00D561F2"/>
    <w:rsid w:val="00D62BD6"/>
    <w:rsid w:val="00D62D5A"/>
    <w:rsid w:val="00D639F5"/>
    <w:rsid w:val="00D64080"/>
    <w:rsid w:val="00D64911"/>
    <w:rsid w:val="00D67D79"/>
    <w:rsid w:val="00D7166A"/>
    <w:rsid w:val="00D71A86"/>
    <w:rsid w:val="00D74FD4"/>
    <w:rsid w:val="00D750C3"/>
    <w:rsid w:val="00D753A2"/>
    <w:rsid w:val="00D7722C"/>
    <w:rsid w:val="00D7774B"/>
    <w:rsid w:val="00D80C58"/>
    <w:rsid w:val="00D813B1"/>
    <w:rsid w:val="00D82B37"/>
    <w:rsid w:val="00D82F2D"/>
    <w:rsid w:val="00D83D31"/>
    <w:rsid w:val="00D83FC9"/>
    <w:rsid w:val="00D84EB1"/>
    <w:rsid w:val="00D85918"/>
    <w:rsid w:val="00D85956"/>
    <w:rsid w:val="00D85D04"/>
    <w:rsid w:val="00D904AB"/>
    <w:rsid w:val="00D90FD2"/>
    <w:rsid w:val="00D91835"/>
    <w:rsid w:val="00D92D54"/>
    <w:rsid w:val="00D9353E"/>
    <w:rsid w:val="00D9409E"/>
    <w:rsid w:val="00D9493E"/>
    <w:rsid w:val="00D97DDA"/>
    <w:rsid w:val="00DA0760"/>
    <w:rsid w:val="00DA11E3"/>
    <w:rsid w:val="00DA1471"/>
    <w:rsid w:val="00DA2B76"/>
    <w:rsid w:val="00DA3496"/>
    <w:rsid w:val="00DA3E07"/>
    <w:rsid w:val="00DA532B"/>
    <w:rsid w:val="00DA623E"/>
    <w:rsid w:val="00DA68F2"/>
    <w:rsid w:val="00DA78F4"/>
    <w:rsid w:val="00DB043B"/>
    <w:rsid w:val="00DB0A27"/>
    <w:rsid w:val="00DB0A95"/>
    <w:rsid w:val="00DB2B14"/>
    <w:rsid w:val="00DB6EE0"/>
    <w:rsid w:val="00DB73EA"/>
    <w:rsid w:val="00DB7EB8"/>
    <w:rsid w:val="00DC250E"/>
    <w:rsid w:val="00DC27D0"/>
    <w:rsid w:val="00DC2B86"/>
    <w:rsid w:val="00DC3882"/>
    <w:rsid w:val="00DD070E"/>
    <w:rsid w:val="00DD1DD9"/>
    <w:rsid w:val="00DD3F7B"/>
    <w:rsid w:val="00DD40F9"/>
    <w:rsid w:val="00DD4E06"/>
    <w:rsid w:val="00DD6655"/>
    <w:rsid w:val="00DD6CB7"/>
    <w:rsid w:val="00DD78B6"/>
    <w:rsid w:val="00DE37C0"/>
    <w:rsid w:val="00DE3D9A"/>
    <w:rsid w:val="00DE3EC9"/>
    <w:rsid w:val="00DE4940"/>
    <w:rsid w:val="00DE5117"/>
    <w:rsid w:val="00DE6EBD"/>
    <w:rsid w:val="00DF011C"/>
    <w:rsid w:val="00DF0297"/>
    <w:rsid w:val="00DF1A68"/>
    <w:rsid w:val="00DF2165"/>
    <w:rsid w:val="00DF2300"/>
    <w:rsid w:val="00DF2533"/>
    <w:rsid w:val="00DF4173"/>
    <w:rsid w:val="00DF4CA9"/>
    <w:rsid w:val="00DF5D0C"/>
    <w:rsid w:val="00DF647C"/>
    <w:rsid w:val="00DF7759"/>
    <w:rsid w:val="00E01731"/>
    <w:rsid w:val="00E020D6"/>
    <w:rsid w:val="00E041A4"/>
    <w:rsid w:val="00E04586"/>
    <w:rsid w:val="00E04BDF"/>
    <w:rsid w:val="00E04EDF"/>
    <w:rsid w:val="00E06BFC"/>
    <w:rsid w:val="00E07795"/>
    <w:rsid w:val="00E10708"/>
    <w:rsid w:val="00E10F76"/>
    <w:rsid w:val="00E1142A"/>
    <w:rsid w:val="00E135C5"/>
    <w:rsid w:val="00E13B4A"/>
    <w:rsid w:val="00E13C55"/>
    <w:rsid w:val="00E1579E"/>
    <w:rsid w:val="00E161BC"/>
    <w:rsid w:val="00E17D90"/>
    <w:rsid w:val="00E17D9B"/>
    <w:rsid w:val="00E2096D"/>
    <w:rsid w:val="00E22226"/>
    <w:rsid w:val="00E224D8"/>
    <w:rsid w:val="00E2336E"/>
    <w:rsid w:val="00E24A85"/>
    <w:rsid w:val="00E24AA1"/>
    <w:rsid w:val="00E252AC"/>
    <w:rsid w:val="00E26B56"/>
    <w:rsid w:val="00E27431"/>
    <w:rsid w:val="00E27CB2"/>
    <w:rsid w:val="00E27D54"/>
    <w:rsid w:val="00E31953"/>
    <w:rsid w:val="00E326A8"/>
    <w:rsid w:val="00E33554"/>
    <w:rsid w:val="00E3358C"/>
    <w:rsid w:val="00E33B6B"/>
    <w:rsid w:val="00E33CC1"/>
    <w:rsid w:val="00E351C2"/>
    <w:rsid w:val="00E35E2F"/>
    <w:rsid w:val="00E36D23"/>
    <w:rsid w:val="00E3733E"/>
    <w:rsid w:val="00E4061F"/>
    <w:rsid w:val="00E40670"/>
    <w:rsid w:val="00E41F0F"/>
    <w:rsid w:val="00E42493"/>
    <w:rsid w:val="00E42F83"/>
    <w:rsid w:val="00E431A2"/>
    <w:rsid w:val="00E4330A"/>
    <w:rsid w:val="00E44639"/>
    <w:rsid w:val="00E4463A"/>
    <w:rsid w:val="00E446E4"/>
    <w:rsid w:val="00E4670B"/>
    <w:rsid w:val="00E50554"/>
    <w:rsid w:val="00E51E0E"/>
    <w:rsid w:val="00E5353E"/>
    <w:rsid w:val="00E53DC6"/>
    <w:rsid w:val="00E54241"/>
    <w:rsid w:val="00E57971"/>
    <w:rsid w:val="00E62268"/>
    <w:rsid w:val="00E6405E"/>
    <w:rsid w:val="00E65EB9"/>
    <w:rsid w:val="00E66375"/>
    <w:rsid w:val="00E66385"/>
    <w:rsid w:val="00E72862"/>
    <w:rsid w:val="00E7344C"/>
    <w:rsid w:val="00E75461"/>
    <w:rsid w:val="00E756A6"/>
    <w:rsid w:val="00E76108"/>
    <w:rsid w:val="00E7751B"/>
    <w:rsid w:val="00E8033C"/>
    <w:rsid w:val="00E8383F"/>
    <w:rsid w:val="00E91268"/>
    <w:rsid w:val="00E9134F"/>
    <w:rsid w:val="00E9139F"/>
    <w:rsid w:val="00E91CBA"/>
    <w:rsid w:val="00E92C00"/>
    <w:rsid w:val="00E92E7C"/>
    <w:rsid w:val="00E93DEB"/>
    <w:rsid w:val="00E95028"/>
    <w:rsid w:val="00E9526F"/>
    <w:rsid w:val="00E95EB2"/>
    <w:rsid w:val="00EA0B1B"/>
    <w:rsid w:val="00EA0E4D"/>
    <w:rsid w:val="00EA12F3"/>
    <w:rsid w:val="00EA53A0"/>
    <w:rsid w:val="00EB0306"/>
    <w:rsid w:val="00EB08ED"/>
    <w:rsid w:val="00EB189F"/>
    <w:rsid w:val="00EB2352"/>
    <w:rsid w:val="00EB3208"/>
    <w:rsid w:val="00EB55E4"/>
    <w:rsid w:val="00EC1A5E"/>
    <w:rsid w:val="00EC24F6"/>
    <w:rsid w:val="00EC2AE6"/>
    <w:rsid w:val="00EC35BC"/>
    <w:rsid w:val="00EC5460"/>
    <w:rsid w:val="00EC63DB"/>
    <w:rsid w:val="00ED265A"/>
    <w:rsid w:val="00ED2C91"/>
    <w:rsid w:val="00ED2FE6"/>
    <w:rsid w:val="00ED432A"/>
    <w:rsid w:val="00ED524E"/>
    <w:rsid w:val="00ED5E39"/>
    <w:rsid w:val="00EE2E0D"/>
    <w:rsid w:val="00EE2E59"/>
    <w:rsid w:val="00EE3639"/>
    <w:rsid w:val="00EE37E4"/>
    <w:rsid w:val="00EE387F"/>
    <w:rsid w:val="00EE4104"/>
    <w:rsid w:val="00EE4F3B"/>
    <w:rsid w:val="00EE50A0"/>
    <w:rsid w:val="00EE6FA8"/>
    <w:rsid w:val="00EE7E37"/>
    <w:rsid w:val="00EF0E5B"/>
    <w:rsid w:val="00EF1650"/>
    <w:rsid w:val="00EF3DC9"/>
    <w:rsid w:val="00EF50BF"/>
    <w:rsid w:val="00EF549D"/>
    <w:rsid w:val="00EF5C60"/>
    <w:rsid w:val="00EF6DB8"/>
    <w:rsid w:val="00F00075"/>
    <w:rsid w:val="00F00419"/>
    <w:rsid w:val="00F004D9"/>
    <w:rsid w:val="00F0198D"/>
    <w:rsid w:val="00F022AB"/>
    <w:rsid w:val="00F02F4E"/>
    <w:rsid w:val="00F037C9"/>
    <w:rsid w:val="00F03D75"/>
    <w:rsid w:val="00F04C67"/>
    <w:rsid w:val="00F0510B"/>
    <w:rsid w:val="00F1084A"/>
    <w:rsid w:val="00F11A41"/>
    <w:rsid w:val="00F11D3E"/>
    <w:rsid w:val="00F129DB"/>
    <w:rsid w:val="00F12FDA"/>
    <w:rsid w:val="00F144CE"/>
    <w:rsid w:val="00F14E3E"/>
    <w:rsid w:val="00F16C15"/>
    <w:rsid w:val="00F1704A"/>
    <w:rsid w:val="00F178FF"/>
    <w:rsid w:val="00F209F8"/>
    <w:rsid w:val="00F21535"/>
    <w:rsid w:val="00F22F58"/>
    <w:rsid w:val="00F23CF1"/>
    <w:rsid w:val="00F246C2"/>
    <w:rsid w:val="00F254C2"/>
    <w:rsid w:val="00F25D01"/>
    <w:rsid w:val="00F26845"/>
    <w:rsid w:val="00F276DF"/>
    <w:rsid w:val="00F30EAB"/>
    <w:rsid w:val="00F30FDF"/>
    <w:rsid w:val="00F32DEC"/>
    <w:rsid w:val="00F33205"/>
    <w:rsid w:val="00F34855"/>
    <w:rsid w:val="00F3523F"/>
    <w:rsid w:val="00F358DB"/>
    <w:rsid w:val="00F375D1"/>
    <w:rsid w:val="00F37A25"/>
    <w:rsid w:val="00F403F8"/>
    <w:rsid w:val="00F411CB"/>
    <w:rsid w:val="00F41C4C"/>
    <w:rsid w:val="00F4245E"/>
    <w:rsid w:val="00F426D8"/>
    <w:rsid w:val="00F44F1F"/>
    <w:rsid w:val="00F4543A"/>
    <w:rsid w:val="00F45DEB"/>
    <w:rsid w:val="00F47244"/>
    <w:rsid w:val="00F51E72"/>
    <w:rsid w:val="00F54FBF"/>
    <w:rsid w:val="00F55021"/>
    <w:rsid w:val="00F554CF"/>
    <w:rsid w:val="00F55A34"/>
    <w:rsid w:val="00F55A8A"/>
    <w:rsid w:val="00F61134"/>
    <w:rsid w:val="00F613C6"/>
    <w:rsid w:val="00F614DB"/>
    <w:rsid w:val="00F61642"/>
    <w:rsid w:val="00F62519"/>
    <w:rsid w:val="00F63879"/>
    <w:rsid w:val="00F63CAF"/>
    <w:rsid w:val="00F70CFE"/>
    <w:rsid w:val="00F71310"/>
    <w:rsid w:val="00F718D8"/>
    <w:rsid w:val="00F7295D"/>
    <w:rsid w:val="00F72AEE"/>
    <w:rsid w:val="00F73186"/>
    <w:rsid w:val="00F742A2"/>
    <w:rsid w:val="00F7525D"/>
    <w:rsid w:val="00F76029"/>
    <w:rsid w:val="00F762F2"/>
    <w:rsid w:val="00F8104F"/>
    <w:rsid w:val="00F81DBE"/>
    <w:rsid w:val="00F823F0"/>
    <w:rsid w:val="00F84BC9"/>
    <w:rsid w:val="00F86BCC"/>
    <w:rsid w:val="00F878EE"/>
    <w:rsid w:val="00F902F8"/>
    <w:rsid w:val="00F925A5"/>
    <w:rsid w:val="00F931F8"/>
    <w:rsid w:val="00F93308"/>
    <w:rsid w:val="00F93A09"/>
    <w:rsid w:val="00F93E03"/>
    <w:rsid w:val="00F94B1C"/>
    <w:rsid w:val="00F96460"/>
    <w:rsid w:val="00F979E7"/>
    <w:rsid w:val="00FA1ACE"/>
    <w:rsid w:val="00FA2BB5"/>
    <w:rsid w:val="00FA3C01"/>
    <w:rsid w:val="00FA4C78"/>
    <w:rsid w:val="00FA60BA"/>
    <w:rsid w:val="00FA7B4D"/>
    <w:rsid w:val="00FB0275"/>
    <w:rsid w:val="00FB04B1"/>
    <w:rsid w:val="00FB0F2C"/>
    <w:rsid w:val="00FB40EF"/>
    <w:rsid w:val="00FB4982"/>
    <w:rsid w:val="00FC08C3"/>
    <w:rsid w:val="00FC1299"/>
    <w:rsid w:val="00FC1306"/>
    <w:rsid w:val="00FC1F0D"/>
    <w:rsid w:val="00FC3717"/>
    <w:rsid w:val="00FC3922"/>
    <w:rsid w:val="00FC64CD"/>
    <w:rsid w:val="00FC653F"/>
    <w:rsid w:val="00FC77FA"/>
    <w:rsid w:val="00FD08CD"/>
    <w:rsid w:val="00FD26AF"/>
    <w:rsid w:val="00FD2CE0"/>
    <w:rsid w:val="00FD34D2"/>
    <w:rsid w:val="00FD3AFE"/>
    <w:rsid w:val="00FD3E7C"/>
    <w:rsid w:val="00FD5ECC"/>
    <w:rsid w:val="00FD6CAE"/>
    <w:rsid w:val="00FD7492"/>
    <w:rsid w:val="00FE0294"/>
    <w:rsid w:val="00FE0376"/>
    <w:rsid w:val="00FE0D71"/>
    <w:rsid w:val="00FE1EA6"/>
    <w:rsid w:val="00FE1FFC"/>
    <w:rsid w:val="00FE2322"/>
    <w:rsid w:val="00FE3896"/>
    <w:rsid w:val="00FE5119"/>
    <w:rsid w:val="00FE512A"/>
    <w:rsid w:val="00FE5B38"/>
    <w:rsid w:val="00FE5B64"/>
    <w:rsid w:val="00FE7E4D"/>
    <w:rsid w:val="00FF086A"/>
    <w:rsid w:val="00FF15C6"/>
    <w:rsid w:val="00FF1BB9"/>
    <w:rsid w:val="00FF1C62"/>
    <w:rsid w:val="00FF2044"/>
    <w:rsid w:val="00FF4328"/>
    <w:rsid w:val="00FF453E"/>
    <w:rsid w:val="0174CBEA"/>
    <w:rsid w:val="0557C770"/>
    <w:rsid w:val="056D62FD"/>
    <w:rsid w:val="0A7E432B"/>
    <w:rsid w:val="154F54CE"/>
    <w:rsid w:val="197FAB7D"/>
    <w:rsid w:val="2BC2C030"/>
    <w:rsid w:val="2BDFB7D1"/>
    <w:rsid w:val="32C0EDC6"/>
    <w:rsid w:val="3CF8E127"/>
    <w:rsid w:val="41C0CBF3"/>
    <w:rsid w:val="47507675"/>
    <w:rsid w:val="4D646193"/>
    <w:rsid w:val="52AFC74A"/>
    <w:rsid w:val="52EE0E9E"/>
    <w:rsid w:val="55D13507"/>
    <w:rsid w:val="5D2B4FD9"/>
    <w:rsid w:val="63392A55"/>
    <w:rsid w:val="716CB4FC"/>
    <w:rsid w:val="7AC602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FC3B7"/>
  <w15:chartTrackingRefBased/>
  <w15:docId w15:val="{7C4FBBC6-944F-423F-8AA8-347E0D239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3"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21B7A"/>
    <w:pPr>
      <w:spacing w:before="120" w:after="120" w:line="240" w:lineRule="auto"/>
    </w:pPr>
    <w:rPr>
      <w:rFonts w:ascii="Times New Roman" w:hAnsi="Times New Roman"/>
    </w:rPr>
  </w:style>
  <w:style w:type="paragraph" w:styleId="Heading1">
    <w:name w:val="heading 1"/>
    <w:basedOn w:val="Normal"/>
    <w:next w:val="Normalparatextnonumbers"/>
    <w:link w:val="Heading1Char"/>
    <w:qFormat/>
    <w:rsid w:val="00E24AA1"/>
    <w:pPr>
      <w:keepNext/>
      <w:keepLines/>
      <w:pBdr>
        <w:bottom w:val="single" w:sz="4" w:space="1" w:color="auto"/>
      </w:pBdr>
      <w:spacing w:after="480"/>
      <w:outlineLvl w:val="0"/>
    </w:pPr>
    <w:rPr>
      <w:rFonts w:ascii="Helvitica" w:eastAsiaTheme="majorEastAsia" w:hAnsi="Helvitica" w:cstheme="majorBidi"/>
      <w:b/>
      <w:i/>
      <w:sz w:val="40"/>
      <w:szCs w:val="32"/>
    </w:rPr>
  </w:style>
  <w:style w:type="paragraph" w:styleId="Heading2">
    <w:name w:val="heading 2"/>
    <w:basedOn w:val="Heading1"/>
    <w:next w:val="Normalparatextnonumbers"/>
    <w:link w:val="Heading2Char"/>
    <w:qFormat/>
    <w:rsid w:val="003F1AD7"/>
    <w:pPr>
      <w:pBdr>
        <w:bottom w:val="none" w:sz="0" w:space="0" w:color="auto"/>
      </w:pBdr>
      <w:spacing w:before="360" w:after="360"/>
      <w:outlineLvl w:val="1"/>
    </w:pPr>
    <w:rPr>
      <w:b w:val="0"/>
      <w:i w:val="0"/>
      <w:sz w:val="36"/>
      <w:szCs w:val="26"/>
    </w:rPr>
  </w:style>
  <w:style w:type="paragraph" w:styleId="Heading3">
    <w:name w:val="heading 3"/>
    <w:basedOn w:val="Normal"/>
    <w:next w:val="Normalparatextnonumbers"/>
    <w:link w:val="Heading3Char"/>
    <w:qFormat/>
    <w:rsid w:val="003F1AD7"/>
    <w:pPr>
      <w:keepNext/>
      <w:keepLines/>
      <w:spacing w:before="240" w:after="360"/>
      <w:outlineLvl w:val="2"/>
    </w:pPr>
    <w:rPr>
      <w:rFonts w:ascii="Helvitica" w:eastAsiaTheme="majorEastAsia" w:hAnsi="Helvitica" w:cstheme="majorBidi"/>
      <w:sz w:val="32"/>
      <w:szCs w:val="24"/>
    </w:rPr>
  </w:style>
  <w:style w:type="paragraph" w:styleId="Heading4">
    <w:name w:val="heading 4"/>
    <w:basedOn w:val="Normal"/>
    <w:next w:val="Normalparatextnonumbers"/>
    <w:link w:val="Heading4Char"/>
    <w:uiPriority w:val="9"/>
    <w:unhideWhenUsed/>
    <w:qFormat/>
    <w:rsid w:val="003F1AD7"/>
    <w:pPr>
      <w:keepNext/>
      <w:keepLines/>
      <w:numPr>
        <w:ilvl w:val="3"/>
        <w:numId w:val="21"/>
      </w:numPr>
      <w:spacing w:before="280" w:after="240"/>
      <w:outlineLvl w:val="3"/>
    </w:pPr>
    <w:rPr>
      <w:rFonts w:ascii="Helvetica" w:eastAsiaTheme="majorEastAsia" w:hAnsi="Helvetica" w:cstheme="majorBidi"/>
      <w:iCs/>
      <w:sz w:val="28"/>
    </w:rPr>
  </w:style>
  <w:style w:type="paragraph" w:styleId="Heading5">
    <w:name w:val="heading 5"/>
    <w:basedOn w:val="Normal"/>
    <w:next w:val="Normalparatextnonumbers"/>
    <w:link w:val="Heading5Char"/>
    <w:uiPriority w:val="9"/>
    <w:unhideWhenUsed/>
    <w:qFormat/>
    <w:rsid w:val="00F22F58"/>
    <w:pPr>
      <w:keepNext/>
      <w:keepLines/>
      <w:numPr>
        <w:ilvl w:val="4"/>
        <w:numId w:val="21"/>
      </w:numPr>
      <w:spacing w:before="240" w:after="240"/>
      <w:contextualSpacing/>
      <w:outlineLvl w:val="4"/>
    </w:pPr>
    <w:rPr>
      <w:rFonts w:ascii="Helvetica" w:eastAsiaTheme="majorEastAsia" w:hAnsi="Helvetica" w:cstheme="majorBidi"/>
      <w:b/>
      <w:spacing w:val="-10"/>
      <w:kern w:val="28"/>
      <w:sz w:val="24"/>
      <w:szCs w:val="56"/>
    </w:rPr>
  </w:style>
  <w:style w:type="paragraph" w:styleId="Heading6">
    <w:name w:val="heading 6"/>
    <w:basedOn w:val="Normal"/>
    <w:next w:val="Normal"/>
    <w:link w:val="Heading6Char"/>
    <w:uiPriority w:val="9"/>
    <w:unhideWhenUsed/>
    <w:qFormat/>
    <w:rsid w:val="002A2137"/>
    <w:pPr>
      <w:keepNext/>
      <w:keepLines/>
      <w:spacing w:before="240"/>
      <w:outlineLvl w:val="5"/>
    </w:pPr>
    <w:rPr>
      <w:rFonts w:ascii="Helvitica" w:eastAsiaTheme="majorEastAsia" w:hAnsi="Helvitica" w:cstheme="majorBidi"/>
      <w:i/>
    </w:rPr>
  </w:style>
  <w:style w:type="paragraph" w:styleId="Heading7">
    <w:name w:val="heading 7"/>
    <w:basedOn w:val="Normal"/>
    <w:next w:val="Normal"/>
    <w:link w:val="Heading7Char"/>
    <w:uiPriority w:val="9"/>
    <w:unhideWhenUsed/>
    <w:qFormat/>
    <w:rsid w:val="00A46198"/>
    <w:pPr>
      <w:keepNext/>
      <w:keepLines/>
      <w:spacing w:before="40" w:after="0"/>
      <w:outlineLvl w:val="6"/>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4AA1"/>
    <w:rPr>
      <w:rFonts w:ascii="Helvitica" w:eastAsiaTheme="majorEastAsia" w:hAnsi="Helvitica" w:cstheme="majorBidi"/>
      <w:b/>
      <w:i/>
      <w:sz w:val="40"/>
      <w:szCs w:val="32"/>
    </w:rPr>
  </w:style>
  <w:style w:type="paragraph" w:customStyle="1" w:styleId="AttachmentHeading">
    <w:name w:val="AttachmentHeading"/>
    <w:basedOn w:val="Heading1"/>
    <w:next w:val="Normalparatextnonumbers"/>
    <w:uiPriority w:val="1"/>
    <w:rsid w:val="00777A92"/>
    <w:pPr>
      <w:numPr>
        <w:numId w:val="1"/>
      </w:numPr>
      <w:pBdr>
        <w:bottom w:val="single" w:sz="4" w:space="8" w:color="auto"/>
      </w:pBdr>
      <w:ind w:left="0" w:firstLine="0"/>
    </w:pPr>
  </w:style>
  <w:style w:type="paragraph" w:customStyle="1" w:styleId="Normalparatextnonumbers">
    <w:name w:val="Normal para text (no numbers)"/>
    <w:basedOn w:val="Normal"/>
    <w:qFormat/>
    <w:rsid w:val="00F22F58"/>
  </w:style>
  <w:style w:type="paragraph" w:customStyle="1" w:styleId="BillName">
    <w:name w:val="Bill Name"/>
    <w:basedOn w:val="Normalparatextnonumbers"/>
    <w:next w:val="Normalparatextnonumbers"/>
    <w:qFormat/>
    <w:rsid w:val="00DB0A95"/>
    <w:pPr>
      <w:spacing w:before="200" w:after="200"/>
      <w:jc w:val="center"/>
    </w:pPr>
    <w:rPr>
      <w:rFonts w:cs="Times New Roman"/>
      <w:caps/>
    </w:rPr>
  </w:style>
  <w:style w:type="character" w:customStyle="1" w:styleId="Heading4Char">
    <w:name w:val="Heading 4 Char"/>
    <w:basedOn w:val="DefaultParagraphFont"/>
    <w:link w:val="Heading4"/>
    <w:uiPriority w:val="9"/>
    <w:rsid w:val="003F1AD7"/>
    <w:rPr>
      <w:rFonts w:ascii="Helvetica" w:eastAsiaTheme="majorEastAsia" w:hAnsi="Helvetica" w:cstheme="majorBidi"/>
      <w:iCs/>
      <w:sz w:val="28"/>
    </w:rPr>
  </w:style>
  <w:style w:type="paragraph" w:customStyle="1" w:styleId="TableHeading">
    <w:name w:val="Table Heading"/>
    <w:basedOn w:val="Heading4"/>
    <w:next w:val="Normalparatextnonumbers"/>
    <w:uiPriority w:val="1"/>
    <w:rsid w:val="00492729"/>
    <w:pPr>
      <w:keepLines w:val="0"/>
      <w:numPr>
        <w:ilvl w:val="4"/>
        <w:numId w:val="34"/>
      </w:numPr>
      <w:spacing w:before="240" w:after="200"/>
      <w:ind w:left="0" w:firstLine="0"/>
    </w:pPr>
    <w:rPr>
      <w:rFonts w:eastAsia="Times New Roman" w:cs="Helvetica"/>
      <w:b/>
      <w:i/>
      <w:sz w:val="22"/>
    </w:rPr>
  </w:style>
  <w:style w:type="paragraph" w:styleId="Caption">
    <w:name w:val="caption"/>
    <w:basedOn w:val="TableHeading"/>
    <w:next w:val="Normal"/>
    <w:uiPriority w:val="35"/>
    <w:unhideWhenUsed/>
    <w:qFormat/>
    <w:rsid w:val="00BD0751"/>
    <w:pPr>
      <w:numPr>
        <w:ilvl w:val="0"/>
        <w:numId w:val="0"/>
      </w:numPr>
    </w:pPr>
    <w:rPr>
      <w:iCs w:val="0"/>
      <w:color w:val="44546A" w:themeColor="text2"/>
      <w:szCs w:val="18"/>
    </w:rPr>
  </w:style>
  <w:style w:type="paragraph" w:customStyle="1" w:styleId="Chapterheading">
    <w:name w:val="Chapter heading"/>
    <w:basedOn w:val="Heading1"/>
    <w:next w:val="Normalparatextnonumbers"/>
    <w:rsid w:val="00777A92"/>
    <w:pPr>
      <w:numPr>
        <w:numId w:val="34"/>
      </w:numPr>
      <w:pBdr>
        <w:bottom w:val="single" w:sz="4" w:space="8" w:color="auto"/>
      </w:pBdr>
      <w:spacing w:before="0"/>
    </w:pPr>
  </w:style>
  <w:style w:type="numbering" w:customStyle="1" w:styleId="Chapternumbering">
    <w:name w:val="Chapter numbering"/>
    <w:uiPriority w:val="99"/>
    <w:rsid w:val="005D0844"/>
    <w:pPr>
      <w:numPr>
        <w:numId w:val="6"/>
      </w:numPr>
    </w:pPr>
  </w:style>
  <w:style w:type="paragraph" w:customStyle="1" w:styleId="ChartandTableFootnoteAlpha">
    <w:name w:val="Chart and Table Footnote Alpha"/>
    <w:uiPriority w:val="1"/>
    <w:rsid w:val="00F22F58"/>
    <w:pPr>
      <w:tabs>
        <w:tab w:val="num" w:pos="284"/>
      </w:tabs>
      <w:spacing w:after="0" w:line="240" w:lineRule="auto"/>
      <w:ind w:left="284" w:hanging="284"/>
      <w:jc w:val="both"/>
    </w:pPr>
    <w:rPr>
      <w:rFonts w:ascii="Times New Roman" w:eastAsia="Times New Roman" w:hAnsi="Times New Roman" w:cs="Times New Roman"/>
      <w:color w:val="000000"/>
      <w:sz w:val="20"/>
      <w:szCs w:val="16"/>
      <w:lang w:eastAsia="en-AU"/>
    </w:rPr>
  </w:style>
  <w:style w:type="paragraph" w:customStyle="1" w:styleId="Dash">
    <w:name w:val="Dash"/>
    <w:basedOn w:val="Normal"/>
    <w:semiHidden/>
    <w:rsid w:val="00F22F58"/>
    <w:pPr>
      <w:tabs>
        <w:tab w:val="num" w:pos="532"/>
      </w:tabs>
      <w:spacing w:before="0" w:after="240" w:line="260" w:lineRule="exact"/>
      <w:ind w:left="532" w:hanging="284"/>
    </w:pPr>
  </w:style>
  <w:style w:type="paragraph" w:customStyle="1" w:styleId="DiagramHeading">
    <w:name w:val="Diagram Heading"/>
    <w:basedOn w:val="TableHeading"/>
    <w:next w:val="Normalparatextnonumbers"/>
    <w:uiPriority w:val="1"/>
    <w:rsid w:val="00CB4F57"/>
    <w:pPr>
      <w:numPr>
        <w:ilvl w:val="2"/>
      </w:numPr>
      <w:ind w:left="0" w:firstLine="0"/>
    </w:pPr>
  </w:style>
  <w:style w:type="paragraph" w:customStyle="1" w:styleId="Dotpoint1">
    <w:name w:val="Dot point 1"/>
    <w:basedOn w:val="Normal"/>
    <w:link w:val="Dotpoint1Char"/>
    <w:uiPriority w:val="1"/>
    <w:qFormat/>
    <w:rsid w:val="000E521B"/>
    <w:pPr>
      <w:numPr>
        <w:numId w:val="17"/>
      </w:numPr>
      <w:ind w:left="1418" w:hanging="709"/>
    </w:pPr>
  </w:style>
  <w:style w:type="character" w:customStyle="1" w:styleId="Dotpoint1Char">
    <w:name w:val="Dot point 1 Char"/>
    <w:basedOn w:val="DefaultParagraphFont"/>
    <w:link w:val="Dotpoint1"/>
    <w:uiPriority w:val="1"/>
    <w:rsid w:val="000E521B"/>
    <w:rPr>
      <w:rFonts w:ascii="Times New Roman" w:hAnsi="Times New Roman"/>
    </w:rPr>
  </w:style>
  <w:style w:type="paragraph" w:customStyle="1" w:styleId="Dotpoint2">
    <w:name w:val="Dot point 2"/>
    <w:basedOn w:val="Dotpoint1"/>
    <w:uiPriority w:val="1"/>
    <w:rsid w:val="000E521B"/>
    <w:pPr>
      <w:numPr>
        <w:numId w:val="9"/>
      </w:numPr>
      <w:ind w:left="2127" w:hanging="709"/>
    </w:pPr>
  </w:style>
  <w:style w:type="paragraph" w:customStyle="1" w:styleId="Exampletext">
    <w:name w:val="Example text"/>
    <w:basedOn w:val="Normal"/>
    <w:uiPriority w:val="1"/>
    <w:qFormat/>
    <w:rsid w:val="00F22F58"/>
    <w:pPr>
      <w:spacing w:before="200" w:after="160"/>
      <w:ind w:left="1134" w:right="864"/>
    </w:pPr>
    <w:rPr>
      <w:iCs/>
      <w:color w:val="000000" w:themeColor="text1"/>
      <w:sz w:val="21"/>
    </w:rPr>
  </w:style>
  <w:style w:type="paragraph" w:customStyle="1" w:styleId="Exampledotpoint1">
    <w:name w:val="Example dot point 1"/>
    <w:basedOn w:val="Exampletext"/>
    <w:uiPriority w:val="1"/>
    <w:qFormat/>
    <w:rsid w:val="000E521B"/>
    <w:pPr>
      <w:numPr>
        <w:numId w:val="10"/>
      </w:numPr>
      <w:spacing w:before="120" w:after="120"/>
      <w:ind w:left="1843" w:right="862" w:hanging="709"/>
    </w:pPr>
  </w:style>
  <w:style w:type="paragraph" w:customStyle="1" w:styleId="Exampledotpoint2">
    <w:name w:val="Example dot point 2"/>
    <w:basedOn w:val="Exampledotpoint1"/>
    <w:uiPriority w:val="1"/>
    <w:rsid w:val="000E521B"/>
    <w:pPr>
      <w:numPr>
        <w:numId w:val="11"/>
      </w:numPr>
      <w:ind w:left="2552" w:hanging="709"/>
    </w:pPr>
  </w:style>
  <w:style w:type="paragraph" w:customStyle="1" w:styleId="ExampleHeading">
    <w:name w:val="Example Heading"/>
    <w:basedOn w:val="TableHeading"/>
    <w:next w:val="Exampletext"/>
    <w:uiPriority w:val="1"/>
    <w:rsid w:val="00492729"/>
    <w:pPr>
      <w:numPr>
        <w:ilvl w:val="3"/>
      </w:numPr>
      <w:ind w:left="0" w:firstLine="0"/>
    </w:pPr>
  </w:style>
  <w:style w:type="paragraph" w:customStyle="1" w:styleId="Exampleindent">
    <w:name w:val="Example indent"/>
    <w:basedOn w:val="Exampletext"/>
    <w:uiPriority w:val="1"/>
    <w:rsid w:val="00F22F58"/>
    <w:pPr>
      <w:ind w:left="1560"/>
    </w:pPr>
  </w:style>
  <w:style w:type="paragraph" w:customStyle="1" w:styleId="Baseparagraphcentred">
    <w:name w:val="Base paragraph centred"/>
    <w:basedOn w:val="Normal"/>
    <w:rsid w:val="00E24AA1"/>
    <w:pPr>
      <w:spacing w:before="200" w:after="200"/>
      <w:jc w:val="center"/>
    </w:pPr>
    <w:rPr>
      <w:rFonts w:eastAsia="Times New Roman" w:cs="Times New Roman"/>
      <w:szCs w:val="20"/>
      <w:lang w:eastAsia="en-AU"/>
    </w:rPr>
  </w:style>
  <w:style w:type="paragraph" w:styleId="Footer">
    <w:name w:val="footer"/>
    <w:basedOn w:val="Normal"/>
    <w:link w:val="FooterChar"/>
    <w:semiHidden/>
    <w:rsid w:val="00F22F58"/>
    <w:pPr>
      <w:tabs>
        <w:tab w:val="center" w:pos="4153"/>
        <w:tab w:val="right" w:pos="8306"/>
      </w:tabs>
    </w:pPr>
  </w:style>
  <w:style w:type="character" w:customStyle="1" w:styleId="FooterChar">
    <w:name w:val="Footer Char"/>
    <w:basedOn w:val="DefaultParagraphFont"/>
    <w:link w:val="Footer"/>
    <w:semiHidden/>
    <w:rsid w:val="00F22F58"/>
    <w:rPr>
      <w:rFonts w:ascii="Times New Roman" w:hAnsi="Times New Roman"/>
    </w:rPr>
  </w:style>
  <w:style w:type="character" w:styleId="FootnoteReference">
    <w:name w:val="footnote reference"/>
    <w:basedOn w:val="DefaultParagraphFont"/>
    <w:uiPriority w:val="3"/>
    <w:rsid w:val="00F22F58"/>
    <w:rPr>
      <w:vertAlign w:val="superscript"/>
    </w:rPr>
  </w:style>
  <w:style w:type="paragraph" w:styleId="FootnoteText">
    <w:name w:val="footnote text"/>
    <w:basedOn w:val="Normal"/>
    <w:link w:val="FootnoteTextChar"/>
    <w:uiPriority w:val="3"/>
    <w:rsid w:val="00F22F58"/>
    <w:pPr>
      <w:spacing w:before="0" w:after="0"/>
    </w:pPr>
    <w:rPr>
      <w:sz w:val="20"/>
      <w:szCs w:val="20"/>
    </w:rPr>
  </w:style>
  <w:style w:type="character" w:customStyle="1" w:styleId="FootnoteTextChar">
    <w:name w:val="Footnote Text Char"/>
    <w:basedOn w:val="DefaultParagraphFont"/>
    <w:link w:val="FootnoteText"/>
    <w:uiPriority w:val="3"/>
    <w:rsid w:val="00F22F58"/>
    <w:rPr>
      <w:rFonts w:ascii="Times New Roman" w:hAnsi="Times New Roman"/>
      <w:sz w:val="20"/>
      <w:szCs w:val="20"/>
    </w:rPr>
  </w:style>
  <w:style w:type="paragraph" w:customStyle="1" w:styleId="Glossarytabletext">
    <w:name w:val="Glossary table text"/>
    <w:basedOn w:val="Normal"/>
    <w:uiPriority w:val="2"/>
    <w:rsid w:val="002D080A"/>
    <w:pPr>
      <w:spacing w:before="60" w:after="60"/>
    </w:pPr>
    <w:rPr>
      <w:sz w:val="20"/>
    </w:rPr>
  </w:style>
  <w:style w:type="paragraph" w:styleId="Header">
    <w:name w:val="header"/>
    <w:basedOn w:val="Normal"/>
    <w:link w:val="HeaderChar"/>
    <w:semiHidden/>
    <w:rsid w:val="00F22F58"/>
    <w:pPr>
      <w:tabs>
        <w:tab w:val="center" w:pos="4153"/>
        <w:tab w:val="right" w:pos="8306"/>
      </w:tabs>
    </w:pPr>
  </w:style>
  <w:style w:type="character" w:customStyle="1" w:styleId="HeaderChar">
    <w:name w:val="Header Char"/>
    <w:basedOn w:val="DefaultParagraphFont"/>
    <w:link w:val="Header"/>
    <w:semiHidden/>
    <w:rsid w:val="00F22F58"/>
    <w:rPr>
      <w:rFonts w:ascii="Times New Roman" w:hAnsi="Times New Roman"/>
    </w:rPr>
  </w:style>
  <w:style w:type="character" w:customStyle="1" w:styleId="Heading2Char">
    <w:name w:val="Heading 2 Char"/>
    <w:basedOn w:val="DefaultParagraphFont"/>
    <w:link w:val="Heading2"/>
    <w:rsid w:val="003F1AD7"/>
    <w:rPr>
      <w:rFonts w:ascii="Helvitica" w:eastAsiaTheme="majorEastAsia" w:hAnsi="Helvitica" w:cstheme="majorBidi"/>
      <w:sz w:val="36"/>
      <w:szCs w:val="26"/>
    </w:rPr>
  </w:style>
  <w:style w:type="character" w:customStyle="1" w:styleId="Heading3Char">
    <w:name w:val="Heading 3 Char"/>
    <w:basedOn w:val="DefaultParagraphFont"/>
    <w:link w:val="Heading3"/>
    <w:rsid w:val="003F1AD7"/>
    <w:rPr>
      <w:rFonts w:ascii="Helvitica" w:eastAsiaTheme="majorEastAsia" w:hAnsi="Helvitica" w:cstheme="majorBidi"/>
      <w:sz w:val="32"/>
      <w:szCs w:val="24"/>
    </w:rPr>
  </w:style>
  <w:style w:type="character" w:customStyle="1" w:styleId="Heading5Char">
    <w:name w:val="Heading 5 Char"/>
    <w:basedOn w:val="DefaultParagraphFont"/>
    <w:link w:val="Heading5"/>
    <w:uiPriority w:val="9"/>
    <w:rsid w:val="00F22F58"/>
    <w:rPr>
      <w:rFonts w:ascii="Helvetica" w:eastAsiaTheme="majorEastAsia" w:hAnsi="Helvetica" w:cstheme="majorBidi"/>
      <w:b/>
      <w:spacing w:val="-10"/>
      <w:kern w:val="28"/>
      <w:sz w:val="24"/>
      <w:szCs w:val="56"/>
    </w:rPr>
  </w:style>
  <w:style w:type="table" w:customStyle="1" w:styleId="InstructionTable">
    <w:name w:val="Instruction Table"/>
    <w:basedOn w:val="TableNormal"/>
    <w:uiPriority w:val="99"/>
    <w:rsid w:val="00F22F58"/>
    <w:pPr>
      <w:spacing w:after="0" w:line="240" w:lineRule="auto"/>
    </w:pPr>
    <w:tblPr>
      <w:tblBorders>
        <w:top w:val="single" w:sz="12" w:space="0" w:color="2F528F"/>
        <w:left w:val="single" w:sz="12" w:space="0" w:color="2F528F"/>
        <w:bottom w:val="single" w:sz="12" w:space="0" w:color="2F528F"/>
        <w:right w:val="single" w:sz="12" w:space="0" w:color="2F528F"/>
      </w:tblBorders>
    </w:tblPr>
    <w:tcPr>
      <w:shd w:val="clear" w:color="auto" w:fill="E7E6E6"/>
    </w:tcPr>
  </w:style>
  <w:style w:type="paragraph" w:customStyle="1" w:styleId="Instructionalguidance">
    <w:name w:val="Instructional guidance"/>
    <w:basedOn w:val="Normal"/>
    <w:link w:val="InstructionalguidanceChar"/>
    <w:uiPriority w:val="99"/>
    <w:rsid w:val="00090A2C"/>
    <w:rPr>
      <w:rFonts w:ascii="Calibri" w:hAnsi="Calibri"/>
      <w:color w:val="2F5496" w:themeColor="accent1" w:themeShade="BF"/>
    </w:rPr>
  </w:style>
  <w:style w:type="character" w:customStyle="1" w:styleId="InstructionalguidanceChar">
    <w:name w:val="Instructional guidance Char"/>
    <w:basedOn w:val="DefaultParagraphFont"/>
    <w:link w:val="Instructionalguidance"/>
    <w:uiPriority w:val="99"/>
    <w:rsid w:val="005515C0"/>
    <w:rPr>
      <w:rFonts w:ascii="Calibri" w:hAnsi="Calibri"/>
      <w:color w:val="2F5496" w:themeColor="accent1" w:themeShade="BF"/>
    </w:rPr>
  </w:style>
  <w:style w:type="paragraph" w:customStyle="1" w:styleId="Instructionalguidancebold">
    <w:name w:val="Instructional guidance bold"/>
    <w:basedOn w:val="Instructionalguidance"/>
    <w:next w:val="Instructionalguidance"/>
    <w:link w:val="InstructionalguidanceboldChar"/>
    <w:uiPriority w:val="99"/>
    <w:rsid w:val="00F22F58"/>
    <w:pPr>
      <w:keepNext/>
    </w:pPr>
    <w:rPr>
      <w:b/>
      <w:bCs/>
    </w:rPr>
  </w:style>
  <w:style w:type="character" w:customStyle="1" w:styleId="InstructionalguidanceboldChar">
    <w:name w:val="Instructional guidance bold Char"/>
    <w:basedOn w:val="InstructionalguidanceChar"/>
    <w:link w:val="Instructionalguidancebold"/>
    <w:uiPriority w:val="99"/>
    <w:rsid w:val="00F22F58"/>
    <w:rPr>
      <w:rFonts w:ascii="Calibri" w:hAnsi="Calibri"/>
      <w:b/>
      <w:bCs/>
      <w:color w:val="2F5496" w:themeColor="accent1" w:themeShade="BF"/>
    </w:rPr>
  </w:style>
  <w:style w:type="paragraph" w:customStyle="1" w:styleId="Instructionalguidancedotpoint">
    <w:name w:val="Instructional guidance dot point"/>
    <w:basedOn w:val="Instructionalguidance"/>
    <w:link w:val="InstructionalguidancedotpointChar"/>
    <w:uiPriority w:val="99"/>
    <w:qFormat/>
    <w:rsid w:val="00F22F58"/>
    <w:pPr>
      <w:numPr>
        <w:numId w:val="14"/>
      </w:numPr>
    </w:pPr>
    <w:rPr>
      <w:rFonts w:eastAsia="Calibri"/>
      <w:lang w:eastAsia="en-GB"/>
    </w:rPr>
  </w:style>
  <w:style w:type="paragraph" w:customStyle="1" w:styleId="Instructionalguidancenumbered">
    <w:name w:val="Instructional guidance numbered"/>
    <w:basedOn w:val="Normal"/>
    <w:uiPriority w:val="99"/>
    <w:semiHidden/>
    <w:rsid w:val="00F22F58"/>
    <w:pPr>
      <w:numPr>
        <w:numId w:val="15"/>
      </w:numPr>
    </w:pPr>
    <w:rPr>
      <w:rFonts w:eastAsia="Calibri"/>
      <w:color w:val="2F5496" w:themeColor="accent1" w:themeShade="BF"/>
      <w:lang w:val="en-US" w:eastAsia="en-GB"/>
    </w:rPr>
  </w:style>
  <w:style w:type="character" w:customStyle="1" w:styleId="Instructuralguidancebold">
    <w:name w:val="Instructural guidance bold"/>
    <w:basedOn w:val="DefaultParagraphFont"/>
    <w:uiPriority w:val="99"/>
    <w:semiHidden/>
    <w:rsid w:val="00F22F58"/>
    <w:rPr>
      <w:rFonts w:ascii="Calibri" w:hAnsi="Calibri"/>
      <w:b/>
      <w:color w:val="2F528F"/>
      <w:sz w:val="22"/>
      <w:u w:color="2F528F"/>
    </w:rPr>
  </w:style>
  <w:style w:type="paragraph" w:customStyle="1" w:styleId="leftfooter">
    <w:name w:val="left footer"/>
    <w:basedOn w:val="Normal"/>
    <w:uiPriority w:val="1"/>
    <w:rsid w:val="00F22F58"/>
    <w:pPr>
      <w:pBdr>
        <w:top w:val="single" w:sz="4" w:space="1" w:color="auto"/>
      </w:pBdr>
      <w:spacing w:before="240" w:after="0"/>
    </w:pPr>
    <w:rPr>
      <w:i/>
      <w:sz w:val="20"/>
    </w:rPr>
  </w:style>
  <w:style w:type="paragraph" w:customStyle="1" w:styleId="leftheader">
    <w:name w:val="left header"/>
    <w:basedOn w:val="Normal"/>
    <w:uiPriority w:val="1"/>
    <w:rsid w:val="00D04933"/>
    <w:pPr>
      <w:pBdr>
        <w:bottom w:val="single" w:sz="4" w:space="1" w:color="auto"/>
      </w:pBdr>
    </w:pPr>
    <w:rPr>
      <w:i/>
      <w:sz w:val="20"/>
    </w:rPr>
  </w:style>
  <w:style w:type="paragraph" w:customStyle="1" w:styleId="Normalparatextwithnumbers">
    <w:name w:val="Normal para text (with numbers)"/>
    <w:basedOn w:val="Normalparatextnonumbers"/>
    <w:qFormat/>
    <w:rsid w:val="005D0844"/>
    <w:pPr>
      <w:numPr>
        <w:ilvl w:val="1"/>
        <w:numId w:val="34"/>
      </w:numPr>
    </w:pPr>
  </w:style>
  <w:style w:type="paragraph" w:customStyle="1" w:styleId="PurposeheadingnoTOC">
    <w:name w:val="Purpose heading (no TOC)"/>
    <w:basedOn w:val="Normal"/>
    <w:next w:val="Normalparatextnonumbers"/>
    <w:rsid w:val="00F22F58"/>
    <w:pPr>
      <w:spacing w:before="480" w:after="480"/>
    </w:pPr>
    <w:rPr>
      <w:rFonts w:ascii="Helvitica" w:hAnsi="Helvitica"/>
      <w:sz w:val="48"/>
    </w:rPr>
  </w:style>
  <w:style w:type="paragraph" w:styleId="Quote">
    <w:name w:val="Quote"/>
    <w:basedOn w:val="Normal"/>
    <w:next w:val="Normal"/>
    <w:link w:val="QuoteChar"/>
    <w:uiPriority w:val="29"/>
    <w:semiHidden/>
    <w:rsid w:val="00F22F5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21B7A"/>
    <w:rPr>
      <w:rFonts w:ascii="Times New Roman" w:hAnsi="Times New Roman"/>
      <w:i/>
      <w:iCs/>
      <w:color w:val="404040" w:themeColor="text1" w:themeTint="BF"/>
    </w:rPr>
  </w:style>
  <w:style w:type="paragraph" w:styleId="EndnoteText">
    <w:name w:val="endnote text"/>
    <w:basedOn w:val="Normal"/>
    <w:link w:val="EndnoteTextChar"/>
    <w:uiPriority w:val="3"/>
    <w:rsid w:val="002D080A"/>
    <w:pPr>
      <w:spacing w:before="0" w:after="0"/>
    </w:pPr>
    <w:rPr>
      <w:sz w:val="20"/>
      <w:szCs w:val="20"/>
    </w:rPr>
  </w:style>
  <w:style w:type="character" w:customStyle="1" w:styleId="References">
    <w:name w:val="References"/>
    <w:basedOn w:val="DefaultParagraphFont"/>
    <w:rsid w:val="00F22F58"/>
    <w:rPr>
      <w:rFonts w:ascii="Times New Roman" w:hAnsi="Times New Roman"/>
      <w:b/>
      <w:bCs/>
      <w:i/>
      <w:iCs/>
      <w:sz w:val="22"/>
    </w:rPr>
  </w:style>
  <w:style w:type="paragraph" w:customStyle="1" w:styleId="rightfooter">
    <w:name w:val="right footer"/>
    <w:basedOn w:val="Normal"/>
    <w:uiPriority w:val="1"/>
    <w:rsid w:val="00F22F58"/>
    <w:pPr>
      <w:pBdr>
        <w:top w:val="single" w:sz="4" w:space="1" w:color="auto"/>
      </w:pBdr>
      <w:spacing w:before="60" w:after="60"/>
      <w:ind w:left="34"/>
      <w:jc w:val="right"/>
    </w:pPr>
    <w:rPr>
      <w:rFonts w:eastAsia="Times New Roman" w:cs="Times New Roman"/>
      <w:i/>
      <w:sz w:val="20"/>
      <w:szCs w:val="20"/>
      <w:lang w:eastAsia="en-AU"/>
    </w:rPr>
  </w:style>
  <w:style w:type="paragraph" w:customStyle="1" w:styleId="rightheader">
    <w:name w:val="right header"/>
    <w:basedOn w:val="Normal"/>
    <w:uiPriority w:val="1"/>
    <w:rsid w:val="00D04933"/>
    <w:pPr>
      <w:pBdr>
        <w:bottom w:val="single" w:sz="4" w:space="1" w:color="auto"/>
      </w:pBdr>
      <w:jc w:val="right"/>
    </w:pPr>
    <w:rPr>
      <w:i/>
      <w:sz w:val="20"/>
    </w:rPr>
  </w:style>
  <w:style w:type="paragraph" w:customStyle="1" w:styleId="RISbullet">
    <w:name w:val="RIS bullet"/>
    <w:basedOn w:val="Dotpoint1"/>
    <w:uiPriority w:val="2"/>
    <w:rsid w:val="00F22F58"/>
    <w:pPr>
      <w:tabs>
        <w:tab w:val="left" w:pos="567"/>
      </w:tabs>
      <w:ind w:left="851" w:hanging="284"/>
    </w:pPr>
  </w:style>
  <w:style w:type="paragraph" w:customStyle="1" w:styleId="RISbullet2">
    <w:name w:val="RIS bullet 2"/>
    <w:basedOn w:val="RISbullet"/>
    <w:uiPriority w:val="2"/>
    <w:rsid w:val="00F22F58"/>
    <w:pPr>
      <w:numPr>
        <w:numId w:val="18"/>
      </w:numPr>
      <w:tabs>
        <w:tab w:val="clear" w:pos="567"/>
      </w:tabs>
    </w:pPr>
  </w:style>
  <w:style w:type="paragraph" w:customStyle="1" w:styleId="Tabledotpoint1">
    <w:name w:val="Table dot point 1"/>
    <w:basedOn w:val="Normalparatextnonumbers"/>
    <w:uiPriority w:val="1"/>
    <w:rsid w:val="000E521B"/>
    <w:pPr>
      <w:numPr>
        <w:numId w:val="19"/>
      </w:numPr>
      <w:ind w:left="425" w:hanging="425"/>
    </w:pPr>
    <w:rPr>
      <w:sz w:val="20"/>
    </w:rPr>
  </w:style>
  <w:style w:type="paragraph" w:customStyle="1" w:styleId="Tabledotpoint2">
    <w:name w:val="Table dot point 2"/>
    <w:basedOn w:val="Tabledotpoint1"/>
    <w:uiPriority w:val="1"/>
    <w:rsid w:val="000E521B"/>
    <w:pPr>
      <w:numPr>
        <w:numId w:val="20"/>
      </w:numPr>
      <w:ind w:left="850" w:hanging="425"/>
    </w:pPr>
  </w:style>
  <w:style w:type="paragraph" w:customStyle="1" w:styleId="Tableheaderrowtext">
    <w:name w:val="Table header row text"/>
    <w:basedOn w:val="Heading4"/>
    <w:uiPriority w:val="1"/>
    <w:rsid w:val="005D0844"/>
    <w:pPr>
      <w:keepLines w:val="0"/>
      <w:spacing w:before="120" w:after="120"/>
    </w:pPr>
    <w:rPr>
      <w:rFonts w:eastAsia="Times New Roman" w:cs="Helvetica"/>
      <w:b/>
      <w:i/>
      <w:sz w:val="22"/>
    </w:rPr>
  </w:style>
  <w:style w:type="paragraph" w:styleId="TOC1">
    <w:name w:val="toc 1"/>
    <w:basedOn w:val="Normal"/>
    <w:next w:val="TOC2"/>
    <w:uiPriority w:val="39"/>
    <w:rsid w:val="00170C78"/>
    <w:pPr>
      <w:tabs>
        <w:tab w:val="right" w:leader="dot" w:pos="7655"/>
      </w:tabs>
      <w:ind w:left="1758" w:hanging="1758"/>
    </w:pPr>
    <w:rPr>
      <w:rFonts w:ascii="Helvitica" w:hAnsi="Helvitica" w:cstheme="minorHAnsi"/>
      <w:bCs/>
      <w:sz w:val="24"/>
      <w:szCs w:val="20"/>
    </w:rPr>
  </w:style>
  <w:style w:type="paragraph" w:styleId="TOC2">
    <w:name w:val="toc 2"/>
    <w:basedOn w:val="Normal"/>
    <w:next w:val="Normal"/>
    <w:uiPriority w:val="39"/>
    <w:rsid w:val="00683847"/>
    <w:pPr>
      <w:tabs>
        <w:tab w:val="right" w:leader="dot" w:pos="7655"/>
      </w:tabs>
    </w:pPr>
    <w:rPr>
      <w:rFonts w:ascii="Helvetica" w:hAnsi="Helvetica"/>
      <w:noProof/>
      <w:sz w:val="24"/>
    </w:rPr>
  </w:style>
  <w:style w:type="paragraph" w:styleId="TOC3">
    <w:name w:val="toc 3"/>
    <w:basedOn w:val="Normal"/>
    <w:next w:val="Normal"/>
    <w:uiPriority w:val="39"/>
    <w:unhideWhenUsed/>
    <w:rsid w:val="00414017"/>
    <w:pPr>
      <w:tabs>
        <w:tab w:val="right" w:leader="dot" w:pos="7655"/>
      </w:tabs>
      <w:ind w:left="442"/>
    </w:pPr>
    <w:rPr>
      <w:rFonts w:ascii="Helvitica" w:hAnsi="Helvitica" w:cstheme="minorHAnsi"/>
      <w:iCs/>
      <w:sz w:val="24"/>
      <w:szCs w:val="20"/>
    </w:rPr>
  </w:style>
  <w:style w:type="paragraph" w:customStyle="1" w:styleId="Tabletext">
    <w:name w:val="Table text"/>
    <w:basedOn w:val="Normal"/>
    <w:uiPriority w:val="1"/>
    <w:rsid w:val="00F22F58"/>
    <w:pPr>
      <w:spacing w:before="60" w:after="60"/>
      <w:ind w:left="34"/>
    </w:pPr>
    <w:rPr>
      <w:rFonts w:eastAsia="Times New Roman" w:cs="Times New Roman"/>
      <w:sz w:val="20"/>
      <w:szCs w:val="20"/>
      <w:lang w:eastAsia="en-AU"/>
    </w:rPr>
  </w:style>
  <w:style w:type="paragraph" w:customStyle="1" w:styleId="TOCHeading">
    <w:name w:val="TOCHeading"/>
    <w:basedOn w:val="Normal"/>
    <w:next w:val="Normalparatextnonumbers"/>
    <w:qFormat/>
    <w:rsid w:val="00F22F58"/>
    <w:pPr>
      <w:spacing w:before="360" w:after="360"/>
    </w:pPr>
    <w:rPr>
      <w:rFonts w:ascii="Helvitica" w:hAnsi="Helvitica"/>
      <w:sz w:val="40"/>
    </w:rPr>
  </w:style>
  <w:style w:type="character" w:customStyle="1" w:styleId="EndnoteTextChar">
    <w:name w:val="Endnote Text Char"/>
    <w:basedOn w:val="DefaultParagraphFont"/>
    <w:link w:val="EndnoteText"/>
    <w:uiPriority w:val="3"/>
    <w:rsid w:val="002D080A"/>
    <w:rPr>
      <w:rFonts w:ascii="Times New Roman" w:hAnsi="Times New Roman"/>
      <w:sz w:val="20"/>
      <w:szCs w:val="20"/>
    </w:rPr>
  </w:style>
  <w:style w:type="paragraph" w:customStyle="1" w:styleId="Coverpageheading">
    <w:name w:val="Cover page heading"/>
    <w:basedOn w:val="Normalparatextnonumbers"/>
    <w:next w:val="Normalparatextnonumbers"/>
    <w:uiPriority w:val="1"/>
    <w:qFormat/>
    <w:rsid w:val="002D080A"/>
    <w:pPr>
      <w:spacing w:after="480"/>
      <w:jc w:val="center"/>
    </w:pPr>
    <w:rPr>
      <w:rFonts w:ascii="Helvitica" w:hAnsi="Helvitica"/>
      <w:sz w:val="36"/>
    </w:rPr>
  </w:style>
  <w:style w:type="paragraph" w:styleId="NoSpacing">
    <w:name w:val="No Spacing"/>
    <w:uiPriority w:val="3"/>
    <w:rsid w:val="002D080A"/>
    <w:pPr>
      <w:spacing w:after="0" w:line="240" w:lineRule="auto"/>
    </w:pPr>
  </w:style>
  <w:style w:type="character" w:styleId="Hyperlink">
    <w:name w:val="Hyperlink"/>
    <w:basedOn w:val="DefaultParagraphFont"/>
    <w:uiPriority w:val="99"/>
    <w:rsid w:val="00873094"/>
    <w:rPr>
      <w:color w:val="0563C1" w:themeColor="hyperlink"/>
      <w:u w:val="single"/>
    </w:rPr>
  </w:style>
  <w:style w:type="table" w:styleId="TableGrid">
    <w:name w:val="Table Grid"/>
    <w:basedOn w:val="TableNormal"/>
    <w:rsid w:val="00873094"/>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easurytable">
    <w:name w:val="Treasury table"/>
    <w:basedOn w:val="TableNormal"/>
    <w:uiPriority w:val="99"/>
    <w:rsid w:val="00873094"/>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280" w:beforeAutospacing="0" w:afterLines="0" w:after="240" w:afterAutospacing="0" w:line="240" w:lineRule="auto"/>
      </w:pPr>
      <w:rPr>
        <w:rFonts w:ascii="Helvetica" w:hAnsi="Helvetica"/>
        <w:sz w:val="28"/>
      </w:rPr>
      <w:tblPr/>
      <w:trPr>
        <w:cantSplit/>
        <w:tblHeader/>
      </w:trPr>
    </w:tblStylePr>
  </w:style>
  <w:style w:type="paragraph" w:customStyle="1" w:styleId="ParaCentredNoSpacing">
    <w:name w:val="ParaCentredNoSpacing"/>
    <w:basedOn w:val="Baseparagraphcentred"/>
    <w:qFormat/>
    <w:rsid w:val="00E24AA1"/>
    <w:pPr>
      <w:spacing w:before="0" w:after="0"/>
    </w:pPr>
  </w:style>
  <w:style w:type="paragraph" w:customStyle="1" w:styleId="Referenceafterdotpoint">
    <w:name w:val="Reference after dot point"/>
    <w:basedOn w:val="Normalparatextnonumbers"/>
    <w:next w:val="Dotpoint1"/>
    <w:rsid w:val="00DF5D0C"/>
    <w:pPr>
      <w:spacing w:before="0" w:after="0"/>
      <w:ind w:left="709"/>
    </w:pPr>
    <w:rPr>
      <w:b/>
      <w:i/>
      <w:noProof/>
    </w:rPr>
  </w:style>
  <w:style w:type="character" w:customStyle="1" w:styleId="Heading6Char">
    <w:name w:val="Heading 6 Char"/>
    <w:basedOn w:val="DefaultParagraphFont"/>
    <w:link w:val="Heading6"/>
    <w:uiPriority w:val="9"/>
    <w:rsid w:val="002A2137"/>
    <w:rPr>
      <w:rFonts w:ascii="Helvitica" w:eastAsiaTheme="majorEastAsia" w:hAnsi="Helvitica" w:cstheme="majorBidi"/>
      <w:i/>
    </w:rPr>
  </w:style>
  <w:style w:type="paragraph" w:customStyle="1" w:styleId="Scheduleheading">
    <w:name w:val="Schedule heading"/>
    <w:basedOn w:val="Heading2"/>
    <w:next w:val="Normalparatextnonumbers"/>
    <w:link w:val="ScheduleheadingChar"/>
    <w:rsid w:val="003556BF"/>
  </w:style>
  <w:style w:type="character" w:customStyle="1" w:styleId="ScheduleheadingChar">
    <w:name w:val="Schedule heading Char"/>
    <w:basedOn w:val="Heading2Char"/>
    <w:link w:val="Scheduleheading"/>
    <w:rsid w:val="003556BF"/>
    <w:rPr>
      <w:rFonts w:ascii="Helvitica" w:eastAsiaTheme="majorEastAsia" w:hAnsi="Helvitica" w:cstheme="majorBidi"/>
      <w:sz w:val="36"/>
      <w:szCs w:val="26"/>
    </w:rPr>
  </w:style>
  <w:style w:type="character" w:styleId="UnresolvedMention">
    <w:name w:val="Unresolved Mention"/>
    <w:basedOn w:val="DefaultParagraphFont"/>
    <w:uiPriority w:val="99"/>
    <w:unhideWhenUsed/>
    <w:rsid w:val="007A2DBD"/>
    <w:rPr>
      <w:color w:val="605E5C"/>
      <w:shd w:val="clear" w:color="auto" w:fill="E1DFDD"/>
    </w:rPr>
  </w:style>
  <w:style w:type="paragraph" w:styleId="Revision">
    <w:name w:val="Revision"/>
    <w:hidden/>
    <w:uiPriority w:val="99"/>
    <w:semiHidden/>
    <w:rsid w:val="009732E4"/>
    <w:pPr>
      <w:spacing w:after="0" w:line="240" w:lineRule="auto"/>
    </w:pPr>
    <w:rPr>
      <w:rFonts w:ascii="Times New Roman" w:hAnsi="Times New Roman"/>
    </w:rPr>
  </w:style>
  <w:style w:type="character" w:styleId="PlaceholderText">
    <w:name w:val="Placeholder Text"/>
    <w:basedOn w:val="DefaultParagraphFont"/>
    <w:uiPriority w:val="99"/>
    <w:semiHidden/>
    <w:rsid w:val="002F5302"/>
    <w:rPr>
      <w:color w:val="808080"/>
    </w:rPr>
  </w:style>
  <w:style w:type="character" w:styleId="FollowedHyperlink">
    <w:name w:val="FollowedHyperlink"/>
    <w:basedOn w:val="DefaultParagraphFont"/>
    <w:uiPriority w:val="99"/>
    <w:semiHidden/>
    <w:unhideWhenUsed/>
    <w:rsid w:val="000A4EB2"/>
    <w:rPr>
      <w:color w:val="954F72" w:themeColor="followedHyperlink"/>
      <w:u w:val="single"/>
    </w:rPr>
  </w:style>
  <w:style w:type="character" w:customStyle="1" w:styleId="InstructionalguidancedotpointChar">
    <w:name w:val="Instructional guidance dot point Char"/>
    <w:basedOn w:val="InstructionalguidanceChar"/>
    <w:link w:val="Instructionalguidancedotpoint"/>
    <w:uiPriority w:val="99"/>
    <w:rsid w:val="000A4EB2"/>
    <w:rPr>
      <w:rFonts w:ascii="Calibri" w:eastAsia="Calibri" w:hAnsi="Calibri"/>
      <w:color w:val="2F5496" w:themeColor="accent1" w:themeShade="BF"/>
      <w:lang w:eastAsia="en-GB"/>
    </w:rPr>
  </w:style>
  <w:style w:type="paragraph" w:customStyle="1" w:styleId="Bullet">
    <w:name w:val="Bullet"/>
    <w:basedOn w:val="Normal"/>
    <w:link w:val="BulletChar"/>
    <w:rsid w:val="0027000D"/>
    <w:pPr>
      <w:tabs>
        <w:tab w:val="num" w:pos="520"/>
        <w:tab w:val="left" w:pos="720"/>
      </w:tabs>
      <w:ind w:left="520" w:hanging="520"/>
    </w:pPr>
    <w:rPr>
      <w:rFonts w:eastAsia="Calibri"/>
      <w:color w:val="2F5496" w:themeColor="accent1" w:themeShade="BF"/>
      <w:lang w:eastAsia="en-GB"/>
    </w:rPr>
  </w:style>
  <w:style w:type="character" w:customStyle="1" w:styleId="BulletChar">
    <w:name w:val="Bullet Char"/>
    <w:basedOn w:val="InstructionalguidancedotpointChar"/>
    <w:link w:val="Bullet"/>
    <w:rsid w:val="0027000D"/>
    <w:rPr>
      <w:rFonts w:ascii="Times New Roman" w:eastAsia="Calibri" w:hAnsi="Times New Roman"/>
      <w:color w:val="2F5496" w:themeColor="accent1" w:themeShade="BF"/>
      <w:lang w:eastAsia="en-GB"/>
    </w:rPr>
  </w:style>
  <w:style w:type="paragraph" w:customStyle="1" w:styleId="DoubleDot">
    <w:name w:val="Double Dot"/>
    <w:basedOn w:val="Normal"/>
    <w:rsid w:val="0027000D"/>
    <w:pPr>
      <w:tabs>
        <w:tab w:val="left" w:pos="720"/>
        <w:tab w:val="num" w:pos="1560"/>
      </w:tabs>
      <w:ind w:left="1560" w:hanging="520"/>
    </w:pPr>
    <w:rPr>
      <w:rFonts w:eastAsia="Calibri"/>
      <w:color w:val="2F5496" w:themeColor="accent1" w:themeShade="BF"/>
      <w:lang w:eastAsia="en-GB"/>
    </w:rPr>
  </w:style>
  <w:style w:type="character" w:styleId="CommentReference">
    <w:name w:val="annotation reference"/>
    <w:basedOn w:val="DefaultParagraphFont"/>
    <w:uiPriority w:val="99"/>
    <w:semiHidden/>
    <w:unhideWhenUsed/>
    <w:rsid w:val="00C26E4C"/>
    <w:rPr>
      <w:sz w:val="16"/>
      <w:szCs w:val="16"/>
    </w:rPr>
  </w:style>
  <w:style w:type="paragraph" w:styleId="CommentText">
    <w:name w:val="annotation text"/>
    <w:basedOn w:val="Normal"/>
    <w:link w:val="CommentTextChar"/>
    <w:uiPriority w:val="99"/>
    <w:unhideWhenUsed/>
    <w:rsid w:val="00C26E4C"/>
    <w:rPr>
      <w:sz w:val="20"/>
      <w:szCs w:val="20"/>
    </w:rPr>
  </w:style>
  <w:style w:type="character" w:customStyle="1" w:styleId="CommentTextChar">
    <w:name w:val="Comment Text Char"/>
    <w:basedOn w:val="DefaultParagraphFont"/>
    <w:link w:val="CommentText"/>
    <w:uiPriority w:val="99"/>
    <w:rsid w:val="00C26E4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26E4C"/>
    <w:rPr>
      <w:b/>
      <w:bCs/>
    </w:rPr>
  </w:style>
  <w:style w:type="character" w:customStyle="1" w:styleId="CommentSubjectChar">
    <w:name w:val="Comment Subject Char"/>
    <w:basedOn w:val="CommentTextChar"/>
    <w:link w:val="CommentSubject"/>
    <w:uiPriority w:val="99"/>
    <w:semiHidden/>
    <w:rsid w:val="00C26E4C"/>
    <w:rPr>
      <w:rFonts w:ascii="Times New Roman" w:hAnsi="Times New Roman"/>
      <w:b/>
      <w:bCs/>
      <w:sz w:val="20"/>
      <w:szCs w:val="20"/>
    </w:rPr>
  </w:style>
  <w:style w:type="character" w:styleId="Mention">
    <w:name w:val="Mention"/>
    <w:basedOn w:val="DefaultParagraphFont"/>
    <w:uiPriority w:val="99"/>
    <w:unhideWhenUsed/>
    <w:rsid w:val="00392149"/>
    <w:rPr>
      <w:color w:val="2B579A"/>
      <w:shd w:val="clear" w:color="auto" w:fill="E1DFDD"/>
    </w:rPr>
  </w:style>
  <w:style w:type="paragraph" w:styleId="ListParagraph">
    <w:name w:val="List Paragraph"/>
    <w:basedOn w:val="Normal"/>
    <w:uiPriority w:val="34"/>
    <w:qFormat/>
    <w:rsid w:val="006A0664"/>
    <w:pPr>
      <w:ind w:left="720"/>
      <w:contextualSpacing/>
    </w:pPr>
  </w:style>
  <w:style w:type="character" w:customStyle="1" w:styleId="Heading7Char">
    <w:name w:val="Heading 7 Char"/>
    <w:basedOn w:val="DefaultParagraphFont"/>
    <w:link w:val="Heading7"/>
    <w:uiPriority w:val="9"/>
    <w:rsid w:val="00A46198"/>
    <w:rPr>
      <w:rFonts w:asciiTheme="majorHAnsi" w:eastAsiaTheme="majorEastAsia" w:hAnsiTheme="majorHAnsi" w:cstheme="majorBidi"/>
      <w:i/>
      <w:iCs/>
      <w:color w:val="000000" w:themeColor="text1"/>
    </w:rPr>
  </w:style>
  <w:style w:type="paragraph" w:customStyle="1" w:styleId="paragraph">
    <w:name w:val="paragraph"/>
    <w:basedOn w:val="Normal"/>
    <w:rsid w:val="00274F15"/>
    <w:pPr>
      <w:spacing w:before="100" w:beforeAutospacing="1" w:after="100" w:afterAutospacing="1"/>
    </w:pPr>
    <w:rPr>
      <w:rFonts w:eastAsia="Times New Roman" w:cs="Times New Roman"/>
      <w:sz w:val="24"/>
      <w:szCs w:val="24"/>
      <w:lang w:eastAsia="en-AU"/>
    </w:rPr>
  </w:style>
  <w:style w:type="character" w:customStyle="1" w:styleId="normaltextrun">
    <w:name w:val="normaltextrun"/>
    <w:basedOn w:val="DefaultParagraphFont"/>
    <w:rsid w:val="00274F15"/>
  </w:style>
  <w:style w:type="character" w:customStyle="1" w:styleId="eop">
    <w:name w:val="eop"/>
    <w:basedOn w:val="DefaultParagraphFont"/>
    <w:rsid w:val="00274F15"/>
  </w:style>
  <w:style w:type="paragraph" w:customStyle="1" w:styleId="OutlineNumbered1">
    <w:name w:val="Outline Numbered 1"/>
    <w:basedOn w:val="Normal"/>
    <w:link w:val="OutlineNumbered1Char"/>
    <w:rsid w:val="001E4FE1"/>
    <w:pPr>
      <w:numPr>
        <w:numId w:val="39"/>
      </w:numPr>
      <w:spacing w:before="0" w:after="160" w:line="259" w:lineRule="auto"/>
    </w:pPr>
    <w:rPr>
      <w:rFonts w:eastAsia="Times New Roman" w:cs="Times New Roman"/>
      <w:color w:val="000000"/>
      <w:sz w:val="27"/>
      <w:szCs w:val="27"/>
      <w:lang w:eastAsia="en-AU"/>
    </w:rPr>
  </w:style>
  <w:style w:type="character" w:customStyle="1" w:styleId="OutlineNumbered1Char">
    <w:name w:val="Outline Numbered 1 Char"/>
    <w:basedOn w:val="DefaultParagraphFont"/>
    <w:link w:val="OutlineNumbered1"/>
    <w:rsid w:val="001E4FE1"/>
    <w:rPr>
      <w:rFonts w:ascii="Times New Roman" w:eastAsia="Times New Roman" w:hAnsi="Times New Roman" w:cs="Times New Roman"/>
      <w:color w:val="000000"/>
      <w:sz w:val="27"/>
      <w:szCs w:val="27"/>
      <w:lang w:eastAsia="en-AU"/>
    </w:rPr>
  </w:style>
  <w:style w:type="paragraph" w:customStyle="1" w:styleId="OutlineNumbered2">
    <w:name w:val="Outline Numbered 2"/>
    <w:basedOn w:val="Normal"/>
    <w:rsid w:val="001E4FE1"/>
    <w:pPr>
      <w:numPr>
        <w:ilvl w:val="1"/>
        <w:numId w:val="39"/>
      </w:numPr>
      <w:spacing w:before="0" w:after="160" w:line="259" w:lineRule="auto"/>
    </w:pPr>
    <w:rPr>
      <w:rFonts w:eastAsia="Times New Roman" w:cs="Times New Roman"/>
      <w:color w:val="000000"/>
      <w:sz w:val="27"/>
      <w:szCs w:val="27"/>
      <w:lang w:eastAsia="en-AU"/>
    </w:rPr>
  </w:style>
  <w:style w:type="paragraph" w:customStyle="1" w:styleId="OutlineNumbered3">
    <w:name w:val="Outline Numbered 3"/>
    <w:basedOn w:val="Normal"/>
    <w:rsid w:val="001E4FE1"/>
    <w:pPr>
      <w:numPr>
        <w:ilvl w:val="2"/>
        <w:numId w:val="39"/>
      </w:numPr>
      <w:spacing w:before="0" w:after="160" w:line="259" w:lineRule="auto"/>
    </w:pPr>
    <w:rPr>
      <w:rFonts w:eastAsia="Times New Roman" w:cs="Times New Roman"/>
      <w:color w:val="000000"/>
      <w:sz w:val="27"/>
      <w:szCs w:val="27"/>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015262">
      <w:bodyDiv w:val="1"/>
      <w:marLeft w:val="0"/>
      <w:marRight w:val="0"/>
      <w:marTop w:val="0"/>
      <w:marBottom w:val="0"/>
      <w:divBdr>
        <w:top w:val="none" w:sz="0" w:space="0" w:color="auto"/>
        <w:left w:val="none" w:sz="0" w:space="0" w:color="auto"/>
        <w:bottom w:val="none" w:sz="0" w:space="0" w:color="auto"/>
        <w:right w:val="none" w:sz="0" w:space="0" w:color="auto"/>
      </w:divBdr>
    </w:div>
    <w:div w:id="873469127">
      <w:bodyDiv w:val="1"/>
      <w:marLeft w:val="0"/>
      <w:marRight w:val="0"/>
      <w:marTop w:val="0"/>
      <w:marBottom w:val="0"/>
      <w:divBdr>
        <w:top w:val="none" w:sz="0" w:space="0" w:color="auto"/>
        <w:left w:val="none" w:sz="0" w:space="0" w:color="auto"/>
        <w:bottom w:val="none" w:sz="0" w:space="0" w:color="auto"/>
        <w:right w:val="none" w:sz="0" w:space="0" w:color="auto"/>
      </w:divBdr>
    </w:div>
    <w:div w:id="1268465584">
      <w:bodyDiv w:val="1"/>
      <w:marLeft w:val="0"/>
      <w:marRight w:val="0"/>
      <w:marTop w:val="0"/>
      <w:marBottom w:val="0"/>
      <w:divBdr>
        <w:top w:val="none" w:sz="0" w:space="0" w:color="auto"/>
        <w:left w:val="none" w:sz="0" w:space="0" w:color="auto"/>
        <w:bottom w:val="none" w:sz="0" w:space="0" w:color="auto"/>
        <w:right w:val="none" w:sz="0" w:space="0" w:color="auto"/>
      </w:divBdr>
    </w:div>
    <w:div w:id="1530802535">
      <w:bodyDiv w:val="1"/>
      <w:marLeft w:val="0"/>
      <w:marRight w:val="0"/>
      <w:marTop w:val="0"/>
      <w:marBottom w:val="0"/>
      <w:divBdr>
        <w:top w:val="none" w:sz="0" w:space="0" w:color="auto"/>
        <w:left w:val="none" w:sz="0" w:space="0" w:color="auto"/>
        <w:bottom w:val="none" w:sz="0" w:space="0" w:color="auto"/>
        <w:right w:val="none" w:sz="0" w:space="0" w:color="auto"/>
      </w:divBdr>
    </w:div>
    <w:div w:id="1640265508">
      <w:bodyDiv w:val="1"/>
      <w:marLeft w:val="0"/>
      <w:marRight w:val="0"/>
      <w:marTop w:val="0"/>
      <w:marBottom w:val="0"/>
      <w:divBdr>
        <w:top w:val="none" w:sz="0" w:space="0" w:color="auto"/>
        <w:left w:val="none" w:sz="0" w:space="0" w:color="auto"/>
        <w:bottom w:val="none" w:sz="0" w:space="0" w:color="auto"/>
        <w:right w:val="none" w:sz="0" w:space="0" w:color="auto"/>
      </w:divBdr>
    </w:div>
    <w:div w:id="192757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8.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header" Target="header1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2F7EE0F0F54759A8465AAB65C1DD45"/>
        <w:category>
          <w:name w:val="General"/>
          <w:gallery w:val="placeholder"/>
        </w:category>
        <w:types>
          <w:type w:val="bbPlcHdr"/>
        </w:types>
        <w:behaviors>
          <w:behavior w:val="content"/>
        </w:behaviors>
        <w:guid w:val="{528C714E-AEAF-49C2-90EA-A5C25ED0E3A2}"/>
      </w:docPartPr>
      <w:docPartBody>
        <w:p w:rsidR="00E773E9" w:rsidRDefault="0098205E">
          <w:pPr>
            <w:pStyle w:val="1B2F7EE0F0F54759A8465AAB65C1DD45"/>
          </w:pPr>
          <w:r w:rsidRPr="002F5302">
            <w:rPr>
              <w:rStyle w:val="PlaceholderText"/>
            </w:rPr>
            <w:t>[insert name and title of approving Minister]</w:t>
          </w:r>
          <w:r w:rsidRPr="00D80889">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itica">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3E9"/>
    <w:rsid w:val="0001579A"/>
    <w:rsid w:val="00043B5A"/>
    <w:rsid w:val="001673C3"/>
    <w:rsid w:val="003A7BEE"/>
    <w:rsid w:val="00694115"/>
    <w:rsid w:val="007557E8"/>
    <w:rsid w:val="00811147"/>
    <w:rsid w:val="00841873"/>
    <w:rsid w:val="00907F76"/>
    <w:rsid w:val="009245BB"/>
    <w:rsid w:val="0098205E"/>
    <w:rsid w:val="009A420F"/>
    <w:rsid w:val="00E773E9"/>
    <w:rsid w:val="00F12F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B2F7EE0F0F54759A8465AAB65C1DD45">
    <w:name w:val="1B2F7EE0F0F54759A8465AAB65C1DD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BDD4C-9303-40EB-9435-70F960187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4638</Words>
  <Characters>25174</Characters>
  <Application>Microsoft Office Word</Application>
  <DocSecurity>0</DocSecurity>
  <Lines>530</Lines>
  <Paragraphs>148</Paragraphs>
  <ScaleCrop>false</ScaleCrop>
  <HeadingPairs>
    <vt:vector size="2" baseType="variant">
      <vt:variant>
        <vt:lpstr>Title</vt:lpstr>
      </vt:variant>
      <vt:variant>
        <vt:i4>1</vt:i4>
      </vt:variant>
    </vt:vector>
  </HeadingPairs>
  <TitlesOfParts>
    <vt:vector size="1" baseType="lpstr">
      <vt:lpstr>Exposure draft explanatory materials - Additional Miscellaneous Amendments to Treasury Portfolio Laws 2023</vt:lpstr>
    </vt:vector>
  </TitlesOfParts>
  <Company/>
  <LinksUpToDate>false</LinksUpToDate>
  <CharactersWithSpaces>29744</CharactersWithSpaces>
  <SharedDoc>false</SharedDoc>
  <HLinks>
    <vt:vector size="30" baseType="variant">
      <vt:variant>
        <vt:i4>3276803</vt:i4>
      </vt:variant>
      <vt:variant>
        <vt:i4>12</vt:i4>
      </vt:variant>
      <vt:variant>
        <vt:i4>0</vt:i4>
      </vt:variant>
      <vt:variant>
        <vt:i4>5</vt:i4>
      </vt:variant>
      <vt:variant>
        <vt:lpwstr>mailto:Robert.Anderson@TREASURY.GOV.AU</vt:lpwstr>
      </vt:variant>
      <vt:variant>
        <vt:lpwstr/>
      </vt:variant>
      <vt:variant>
        <vt:i4>4849790</vt:i4>
      </vt:variant>
      <vt:variant>
        <vt:i4>9</vt:i4>
      </vt:variant>
      <vt:variant>
        <vt:i4>0</vt:i4>
      </vt:variant>
      <vt:variant>
        <vt:i4>5</vt:i4>
      </vt:variant>
      <vt:variant>
        <vt:lpwstr>mailto:Jas.Manpotra@TREASURY.GOV.AU</vt:lpwstr>
      </vt:variant>
      <vt:variant>
        <vt:lpwstr/>
      </vt:variant>
      <vt:variant>
        <vt:i4>7602268</vt:i4>
      </vt:variant>
      <vt:variant>
        <vt:i4>6</vt:i4>
      </vt:variant>
      <vt:variant>
        <vt:i4>0</vt:i4>
      </vt:variant>
      <vt:variant>
        <vt:i4>5</vt:i4>
      </vt:variant>
      <vt:variant>
        <vt:lpwstr>mailto:Sarah.Byrne@TREASURY.GOV.AU</vt:lpwstr>
      </vt:variant>
      <vt:variant>
        <vt:lpwstr/>
      </vt:variant>
      <vt:variant>
        <vt:i4>3276803</vt:i4>
      </vt:variant>
      <vt:variant>
        <vt:i4>3</vt:i4>
      </vt:variant>
      <vt:variant>
        <vt:i4>0</vt:i4>
      </vt:variant>
      <vt:variant>
        <vt:i4>5</vt:i4>
      </vt:variant>
      <vt:variant>
        <vt:lpwstr>mailto:Robert.Anderson@TREASURY.GOV.AU</vt:lpwstr>
      </vt:variant>
      <vt:variant>
        <vt:lpwstr/>
      </vt:variant>
      <vt:variant>
        <vt:i4>131114</vt:i4>
      </vt:variant>
      <vt:variant>
        <vt:i4>0</vt:i4>
      </vt:variant>
      <vt:variant>
        <vt:i4>0</vt:i4>
      </vt:variant>
      <vt:variant>
        <vt:i4>5</vt:i4>
      </vt:variant>
      <vt:variant>
        <vt:lpwstr>mailto:Naomi.Englebrecht@TREASURY.GOV.AU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explanatory materials - Additional Miscellaneous Amendments to Treasury Portfolio Laws 2023</dc:title>
  <dc:subject/>
  <dc:creator>Australian Government</dc:creator>
  <cp:keywords/>
  <dc:description/>
  <cp:lastModifiedBy>Hill, Christine</cp:lastModifiedBy>
  <cp:revision>2</cp:revision>
  <dcterms:created xsi:type="dcterms:W3CDTF">2024-01-29T22:47:00Z</dcterms:created>
  <dcterms:modified xsi:type="dcterms:W3CDTF">2024-01-29T22:48:00Z</dcterms:modified>
</cp:coreProperties>
</file>