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1.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2.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3.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4.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5.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6.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7.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8.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9.xml" ContentType="application/vnd.openxmlformats-officedocument.drawingml.chart+xml"/>
  <Override PartName="/word/charts/style12.xml" ContentType="application/vnd.ms-office.chartstyle+xml"/>
  <Override PartName="/word/charts/colors12.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A88A" w14:textId="6444C718" w:rsidR="00E551D2" w:rsidRDefault="002433AE" w:rsidP="005C6F46">
      <w:pPr>
        <w:pStyle w:val="CoverTitleMain"/>
      </w:pPr>
      <w:r>
        <w:rPr>
          <w:b/>
          <w:bCs/>
        </w:rPr>
        <w:t>Policy Impact Analysis</w:t>
      </w:r>
      <w:r w:rsidR="009643E4">
        <w:br/>
      </w:r>
      <w:r w:rsidR="00D2760A">
        <w:t>Climate-related financial disclosures</w:t>
      </w:r>
    </w:p>
    <w:p w14:paraId="7B4667F5" w14:textId="1806A32B" w:rsidR="00193C92" w:rsidRDefault="00193C92" w:rsidP="009643E4">
      <w:pPr>
        <w:pStyle w:val="CoverTitleSub"/>
      </w:pPr>
    </w:p>
    <w:p w14:paraId="570F1A30" w14:textId="0F64A892" w:rsidR="000029ED" w:rsidRDefault="008C1DCB" w:rsidP="000029ED">
      <w:pPr>
        <w:pStyle w:val="CoverDate"/>
        <w:rPr>
          <w:rStyle w:val="ReportDateChar"/>
        </w:rPr>
        <w:sectPr w:rsidR="000029ED" w:rsidSect="00BA38FA">
          <w:headerReference w:type="first" r:id="rId8"/>
          <w:footerReference w:type="first" r:id="rId9"/>
          <w:type w:val="oddPage"/>
          <w:pgSz w:w="11906" w:h="16838"/>
          <w:pgMar w:top="1418" w:right="1418" w:bottom="1418" w:left="1418" w:header="709" w:footer="709" w:gutter="0"/>
          <w:pgNumType w:fmt="lowerRoman"/>
          <w:cols w:space="708"/>
          <w:titlePg/>
          <w:docGrid w:linePitch="360"/>
        </w:sectPr>
      </w:pPr>
      <w:r>
        <w:rPr>
          <w:rStyle w:val="ReportDateChar"/>
        </w:rPr>
        <w:t>September</w:t>
      </w:r>
      <w:r w:rsidR="00D2760A">
        <w:rPr>
          <w:rStyle w:val="ReportDateChar"/>
        </w:rPr>
        <w:t xml:space="preserve"> 2023</w:t>
      </w:r>
    </w:p>
    <w:p w14:paraId="796C8AC3" w14:textId="0D75B8AE" w:rsidR="001464B0" w:rsidRDefault="001464B0" w:rsidP="001464B0">
      <w:pPr>
        <w:spacing w:before="0" w:after="160" w:line="259" w:lineRule="auto"/>
      </w:pPr>
      <w:r w:rsidRPr="00661BF0">
        <w:lastRenderedPageBreak/>
        <w:t xml:space="preserve">© Commonwealth of Australia </w:t>
      </w:r>
      <w:r w:rsidRPr="001F6595">
        <w:t>20</w:t>
      </w:r>
      <w:r w:rsidR="001F6595">
        <w:t>2</w:t>
      </w:r>
      <w:r w:rsidR="00366590">
        <w:t>2</w:t>
      </w:r>
    </w:p>
    <w:p w14:paraId="5414472F" w14:textId="682C0E31" w:rsidR="001464B0" w:rsidRPr="00086F82" w:rsidRDefault="001464B0" w:rsidP="001464B0">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1"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28FBC917" w14:textId="77777777" w:rsidR="001464B0" w:rsidRDefault="001464B0" w:rsidP="001464B0">
      <w:pPr>
        <w:pStyle w:val="ChartGraphic"/>
        <w:jc w:val="left"/>
      </w:pPr>
      <w:r w:rsidRPr="00E56DFB">
        <w:rPr>
          <w:noProof/>
        </w:rPr>
        <w:drawing>
          <wp:inline distT="0" distB="0" distL="0" distR="0" wp14:anchorId="45065CCB" wp14:editId="2022A167">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E5E4A3A" w14:textId="77777777" w:rsidR="001464B0" w:rsidRPr="006627B4" w:rsidRDefault="001464B0" w:rsidP="001464B0">
      <w:pPr>
        <w:tabs>
          <w:tab w:val="left" w:pos="1650"/>
        </w:tabs>
        <w:spacing w:before="240"/>
      </w:pPr>
      <w:r w:rsidRPr="006627B4">
        <w:t>Use of Treasury material under a</w:t>
      </w:r>
      <w:r w:rsidRPr="00476F09">
        <w:rPr>
          <w:rFonts w:cstheme="minorHAnsi"/>
          <w:sz w:val="24"/>
          <w:szCs w:val="24"/>
        </w:rPr>
        <w:t xml:space="preserve"> </w:t>
      </w:r>
      <w:hyperlink r:id="rId1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625268DD" w14:textId="77777777" w:rsidR="001464B0" w:rsidRPr="006469CC" w:rsidRDefault="001464B0" w:rsidP="001464B0">
      <w:pPr>
        <w:spacing w:before="240"/>
        <w:rPr>
          <w:b/>
        </w:rPr>
      </w:pPr>
      <w:r w:rsidRPr="006469CC">
        <w:rPr>
          <w:b/>
        </w:rPr>
        <w:t>Treasury material used ‘as supplied’.</w:t>
      </w:r>
    </w:p>
    <w:p w14:paraId="0E8DBF4E" w14:textId="77777777" w:rsidR="001464B0" w:rsidRPr="00476F09" w:rsidRDefault="001464B0" w:rsidP="001464B0">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EF0BEB8" w14:textId="6D326D50" w:rsidR="001464B0" w:rsidRPr="00A13A11" w:rsidRDefault="001464B0" w:rsidP="001464B0">
      <w:pPr>
        <w:ind w:firstLine="720"/>
      </w:pPr>
      <w:r w:rsidRPr="002F1BC2">
        <w:rPr>
          <w:i/>
        </w:rPr>
        <w:t xml:space="preserve">Source: The </w:t>
      </w:r>
      <w:r w:rsidRPr="002F1BC2">
        <w:rPr>
          <w:i/>
          <w:iCs/>
        </w:rPr>
        <w:t>Australian Government the Treasury</w:t>
      </w:r>
      <w:r>
        <w:t>.</w:t>
      </w:r>
    </w:p>
    <w:p w14:paraId="24D17934" w14:textId="77777777" w:rsidR="001464B0" w:rsidRPr="006627B4" w:rsidRDefault="001464B0" w:rsidP="001464B0">
      <w:pPr>
        <w:spacing w:before="240"/>
      </w:pPr>
      <w:r w:rsidRPr="00CC63CC">
        <w:rPr>
          <w:b/>
        </w:rPr>
        <w:t>Derivative</w:t>
      </w:r>
      <w:r w:rsidRPr="006627B4">
        <w:t xml:space="preserve"> </w:t>
      </w:r>
      <w:r w:rsidRPr="00CC63CC">
        <w:rPr>
          <w:b/>
        </w:rPr>
        <w:t>material</w:t>
      </w:r>
    </w:p>
    <w:p w14:paraId="13238A26" w14:textId="77777777" w:rsidR="001464B0" w:rsidRPr="006627B4" w:rsidRDefault="001464B0" w:rsidP="001464B0">
      <w:r w:rsidRPr="006627B4">
        <w:t xml:space="preserve">If you have modified or transformed Treasury material, or derived new material from those of the Treasury in any way, then Treasury prefers the following attribution: </w:t>
      </w:r>
    </w:p>
    <w:p w14:paraId="55778781" w14:textId="1348C0F1" w:rsidR="001464B0" w:rsidRPr="006627B4" w:rsidRDefault="001464B0" w:rsidP="001464B0">
      <w:pPr>
        <w:ind w:firstLine="720"/>
      </w:pPr>
      <w:r w:rsidRPr="002F1BC2">
        <w:rPr>
          <w:i/>
        </w:rPr>
        <w:t>Based on The Australian Government the Treasury data</w:t>
      </w:r>
      <w:r>
        <w:t>.</w:t>
      </w:r>
    </w:p>
    <w:p w14:paraId="65964670" w14:textId="77777777" w:rsidR="001464B0" w:rsidRPr="006627B4" w:rsidRDefault="001464B0" w:rsidP="001464B0">
      <w:pPr>
        <w:spacing w:before="240"/>
        <w:rPr>
          <w:b/>
        </w:rPr>
      </w:pPr>
      <w:r w:rsidRPr="006627B4">
        <w:rPr>
          <w:b/>
        </w:rPr>
        <w:t>Use of the Coat of Arms</w:t>
      </w:r>
    </w:p>
    <w:p w14:paraId="51192A14" w14:textId="77777777" w:rsidR="001464B0" w:rsidRPr="005C503A" w:rsidRDefault="001464B0" w:rsidP="001464B0">
      <w:pPr>
        <w:spacing w:before="240"/>
      </w:pPr>
      <w:r w:rsidRPr="005C503A">
        <w:t xml:space="preserve">The terms under which the Coat of Arms can be used are set out on the Department of the Prime Minister and Cabinet website (see </w:t>
      </w:r>
      <w:hyperlink r:id="rId14" w:history="1">
        <w:r w:rsidR="00132A89" w:rsidRPr="000E4882">
          <w:rPr>
            <w:rStyle w:val="Hyperlink"/>
          </w:rPr>
          <w:t>www.pmc.gov.au/honours-and-symbols/commonwealth-coat-arms</w:t>
        </w:r>
      </w:hyperlink>
      <w:r w:rsidRPr="005C503A">
        <w:t>).</w:t>
      </w:r>
    </w:p>
    <w:p w14:paraId="4D70109D" w14:textId="77777777" w:rsidR="001464B0" w:rsidRPr="006627B4" w:rsidRDefault="001464B0" w:rsidP="001464B0">
      <w:pPr>
        <w:spacing w:before="240"/>
        <w:rPr>
          <w:b/>
        </w:rPr>
      </w:pPr>
      <w:r>
        <w:rPr>
          <w:b/>
        </w:rPr>
        <w:t>Other u</w:t>
      </w:r>
      <w:r w:rsidRPr="006627B4">
        <w:rPr>
          <w:b/>
        </w:rPr>
        <w:t>ses</w:t>
      </w:r>
    </w:p>
    <w:p w14:paraId="5F3A3E96" w14:textId="77777777" w:rsidR="001464B0" w:rsidRPr="006627B4" w:rsidRDefault="001464B0" w:rsidP="001464B0">
      <w:r>
        <w:t>E</w:t>
      </w:r>
      <w:r w:rsidRPr="006627B4">
        <w:t>nquiries regarding this licence and any other use of this document are welcome at:</w:t>
      </w:r>
    </w:p>
    <w:p w14:paraId="587FDB61" w14:textId="77777777" w:rsidR="001464B0" w:rsidRPr="002F1BC2" w:rsidRDefault="001464B0" w:rsidP="001464B0">
      <w:pPr>
        <w:ind w:left="720"/>
        <w:rPr>
          <w:rStyle w:val="Hyperlink"/>
        </w:rPr>
      </w:pPr>
      <w:r w:rsidRPr="006627B4">
        <w:t>Manager</w:t>
      </w:r>
      <w:r>
        <w:b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5" w:history="1">
        <w:r w:rsidR="00E900B8">
          <w:rPr>
            <w:rStyle w:val="Hyperlink"/>
          </w:rPr>
          <w:t>media@treasury.gov.au</w:t>
        </w:r>
      </w:hyperlink>
    </w:p>
    <w:p w14:paraId="3C0FFEBE" w14:textId="12AF4B02" w:rsidR="00D2760A" w:rsidRPr="000029ED" w:rsidRDefault="00D2760A" w:rsidP="00D2760A"/>
    <w:p w14:paraId="1B798843" w14:textId="77777777" w:rsidR="000029ED" w:rsidRDefault="000029ED" w:rsidP="000029ED">
      <w:pPr>
        <w:rPr>
          <w:rStyle w:val="ReportDateChar"/>
        </w:rPr>
        <w:sectPr w:rsidR="000029ED" w:rsidSect="001B2A30">
          <w:headerReference w:type="first" r:id="rId16"/>
          <w:footerReference w:type="first" r:id="rId17"/>
          <w:pgSz w:w="11906" w:h="16838"/>
          <w:pgMar w:top="1418" w:right="1418" w:bottom="1418" w:left="1418" w:header="709" w:footer="709" w:gutter="0"/>
          <w:pgNumType w:fmt="lowerRoman"/>
          <w:cols w:space="708"/>
          <w:titlePg/>
          <w:docGrid w:linePitch="360"/>
        </w:sectPr>
      </w:pPr>
    </w:p>
    <w:bookmarkStart w:id="0" w:name="_Toc144742094" w:displacedByCustomXml="next"/>
    <w:sdt>
      <w:sdtPr>
        <w:rPr>
          <w:rFonts w:asciiTheme="minorHAnsi" w:eastAsiaTheme="minorHAnsi" w:hAnsiTheme="minorHAnsi" w:cstheme="minorBidi"/>
          <w:b w:val="0"/>
          <w:bCs/>
          <w:color w:val="auto"/>
          <w:kern w:val="0"/>
          <w:sz w:val="22"/>
          <w:szCs w:val="22"/>
          <w:lang w:eastAsia="en-US"/>
        </w:rPr>
        <w:id w:val="-863443742"/>
        <w:docPartObj>
          <w:docPartGallery w:val="Table of Contents"/>
          <w:docPartUnique/>
        </w:docPartObj>
      </w:sdtPr>
      <w:sdtEndPr>
        <w:rPr>
          <w:rFonts w:ascii="Calibri Light" w:eastAsia="Times New Roman" w:hAnsi="Calibri Light" w:cs="Times New Roman"/>
          <w:bCs w:val="0"/>
          <w:noProof/>
          <w:szCs w:val="20"/>
          <w:lang w:eastAsia="en-AU"/>
        </w:rPr>
      </w:sdtEndPr>
      <w:sdtContent>
        <w:p w14:paraId="206D2A63" w14:textId="77777777" w:rsidR="00E551D2" w:rsidRDefault="00E551D2" w:rsidP="00BA38FA">
          <w:pPr>
            <w:pStyle w:val="Heading1"/>
          </w:pPr>
          <w:r>
            <w:t>Contents</w:t>
          </w:r>
          <w:bookmarkEnd w:id="0"/>
        </w:p>
        <w:p w14:paraId="026B42E1" w14:textId="5E2CD3BC" w:rsidR="0045166F" w:rsidRDefault="00E551D2">
          <w:pPr>
            <w:pStyle w:val="TOC1"/>
            <w:rPr>
              <w:rFonts w:asciiTheme="minorHAnsi" w:eastAsiaTheme="minorEastAsia" w:hAnsiTheme="minorHAnsi" w:cstheme="minorBidi"/>
              <w:b w:val="0"/>
              <w:color w:val="auto"/>
            </w:rPr>
          </w:pPr>
          <w:r w:rsidRPr="0084606F">
            <w:rPr>
              <w:b w:val="0"/>
              <w:noProof w:val="0"/>
              <w:sz w:val="20"/>
              <w:szCs w:val="20"/>
            </w:rPr>
            <w:fldChar w:fldCharType="begin"/>
          </w:r>
          <w:r w:rsidRPr="0084606F">
            <w:rPr>
              <w:sz w:val="20"/>
              <w:szCs w:val="20"/>
            </w:rPr>
            <w:instrText xml:space="preserve"> TOC \o "1-3" \h \z \u </w:instrText>
          </w:r>
          <w:r w:rsidRPr="0084606F">
            <w:rPr>
              <w:b w:val="0"/>
              <w:noProof w:val="0"/>
              <w:sz w:val="20"/>
              <w:szCs w:val="20"/>
            </w:rPr>
            <w:fldChar w:fldCharType="separate"/>
          </w:r>
          <w:hyperlink w:anchor="_Toc144742094" w:history="1">
            <w:r w:rsidR="0045166F" w:rsidRPr="00B83476">
              <w:rPr>
                <w:rStyle w:val="Hyperlink"/>
              </w:rPr>
              <w:t>Contents</w:t>
            </w:r>
            <w:r w:rsidR="0045166F">
              <w:rPr>
                <w:webHidden/>
              </w:rPr>
              <w:tab/>
            </w:r>
            <w:r w:rsidR="0045166F">
              <w:rPr>
                <w:webHidden/>
              </w:rPr>
              <w:fldChar w:fldCharType="begin"/>
            </w:r>
            <w:r w:rsidR="0045166F">
              <w:rPr>
                <w:webHidden/>
              </w:rPr>
              <w:instrText xml:space="preserve"> PAGEREF _Toc144742094 \h </w:instrText>
            </w:r>
            <w:r w:rsidR="0045166F">
              <w:rPr>
                <w:webHidden/>
              </w:rPr>
            </w:r>
            <w:r w:rsidR="0045166F">
              <w:rPr>
                <w:webHidden/>
              </w:rPr>
              <w:fldChar w:fldCharType="separate"/>
            </w:r>
            <w:r w:rsidR="006F39F1">
              <w:rPr>
                <w:webHidden/>
              </w:rPr>
              <w:t>iii</w:t>
            </w:r>
            <w:r w:rsidR="0045166F">
              <w:rPr>
                <w:webHidden/>
              </w:rPr>
              <w:fldChar w:fldCharType="end"/>
            </w:r>
          </w:hyperlink>
        </w:p>
        <w:p w14:paraId="67F17240" w14:textId="3A258597" w:rsidR="0045166F" w:rsidRDefault="002B113E">
          <w:pPr>
            <w:pStyle w:val="TOC1"/>
            <w:rPr>
              <w:rFonts w:asciiTheme="minorHAnsi" w:eastAsiaTheme="minorEastAsia" w:hAnsiTheme="minorHAnsi" w:cstheme="minorBidi"/>
              <w:b w:val="0"/>
              <w:color w:val="auto"/>
            </w:rPr>
          </w:pPr>
          <w:hyperlink w:anchor="_Toc144742095" w:history="1">
            <w:r w:rsidR="0045166F" w:rsidRPr="00B83476">
              <w:rPr>
                <w:rStyle w:val="Hyperlink"/>
              </w:rPr>
              <w:t>Key terms</w:t>
            </w:r>
            <w:r w:rsidR="0045166F">
              <w:rPr>
                <w:webHidden/>
              </w:rPr>
              <w:tab/>
            </w:r>
            <w:r w:rsidR="0045166F">
              <w:rPr>
                <w:webHidden/>
              </w:rPr>
              <w:fldChar w:fldCharType="begin"/>
            </w:r>
            <w:r w:rsidR="0045166F">
              <w:rPr>
                <w:webHidden/>
              </w:rPr>
              <w:instrText xml:space="preserve"> PAGEREF _Toc144742095 \h </w:instrText>
            </w:r>
            <w:r w:rsidR="0045166F">
              <w:rPr>
                <w:webHidden/>
              </w:rPr>
            </w:r>
            <w:r w:rsidR="0045166F">
              <w:rPr>
                <w:webHidden/>
              </w:rPr>
              <w:fldChar w:fldCharType="separate"/>
            </w:r>
            <w:r w:rsidR="006F39F1">
              <w:rPr>
                <w:webHidden/>
              </w:rPr>
              <w:t>1</w:t>
            </w:r>
            <w:r w:rsidR="0045166F">
              <w:rPr>
                <w:webHidden/>
              </w:rPr>
              <w:fldChar w:fldCharType="end"/>
            </w:r>
          </w:hyperlink>
        </w:p>
        <w:p w14:paraId="34B8EA27" w14:textId="52A787FF" w:rsidR="0045166F" w:rsidRDefault="002B113E">
          <w:pPr>
            <w:pStyle w:val="TOC1"/>
            <w:rPr>
              <w:rFonts w:asciiTheme="minorHAnsi" w:eastAsiaTheme="minorEastAsia" w:hAnsiTheme="minorHAnsi" w:cstheme="minorBidi"/>
              <w:b w:val="0"/>
              <w:color w:val="auto"/>
            </w:rPr>
          </w:pPr>
          <w:hyperlink w:anchor="_Toc144742096" w:history="1">
            <w:r w:rsidR="0045166F" w:rsidRPr="00B83476">
              <w:rPr>
                <w:rStyle w:val="Hyperlink"/>
              </w:rPr>
              <w:t>Executive Summary</w:t>
            </w:r>
            <w:r w:rsidR="0045166F">
              <w:rPr>
                <w:webHidden/>
              </w:rPr>
              <w:tab/>
            </w:r>
            <w:r w:rsidR="0045166F">
              <w:rPr>
                <w:webHidden/>
              </w:rPr>
              <w:fldChar w:fldCharType="begin"/>
            </w:r>
            <w:r w:rsidR="0045166F">
              <w:rPr>
                <w:webHidden/>
              </w:rPr>
              <w:instrText xml:space="preserve"> PAGEREF _Toc144742096 \h </w:instrText>
            </w:r>
            <w:r w:rsidR="0045166F">
              <w:rPr>
                <w:webHidden/>
              </w:rPr>
            </w:r>
            <w:r w:rsidR="0045166F">
              <w:rPr>
                <w:webHidden/>
              </w:rPr>
              <w:fldChar w:fldCharType="separate"/>
            </w:r>
            <w:r w:rsidR="006F39F1">
              <w:rPr>
                <w:webHidden/>
              </w:rPr>
              <w:t>2</w:t>
            </w:r>
            <w:r w:rsidR="0045166F">
              <w:rPr>
                <w:webHidden/>
              </w:rPr>
              <w:fldChar w:fldCharType="end"/>
            </w:r>
          </w:hyperlink>
        </w:p>
        <w:p w14:paraId="34FBB009" w14:textId="5FC3F788" w:rsidR="0045166F" w:rsidRDefault="002B113E">
          <w:pPr>
            <w:pStyle w:val="TOC1"/>
            <w:rPr>
              <w:rFonts w:asciiTheme="minorHAnsi" w:eastAsiaTheme="minorEastAsia" w:hAnsiTheme="minorHAnsi" w:cstheme="minorBidi"/>
              <w:b w:val="0"/>
              <w:color w:val="auto"/>
            </w:rPr>
          </w:pPr>
          <w:hyperlink w:anchor="_Toc144742097" w:history="1">
            <w:r w:rsidR="0045166F" w:rsidRPr="00B83476">
              <w:rPr>
                <w:rStyle w:val="Hyperlink"/>
              </w:rPr>
              <w:t>Background</w:t>
            </w:r>
            <w:r w:rsidR="0045166F">
              <w:rPr>
                <w:webHidden/>
              </w:rPr>
              <w:tab/>
            </w:r>
            <w:r w:rsidR="0045166F">
              <w:rPr>
                <w:webHidden/>
              </w:rPr>
              <w:fldChar w:fldCharType="begin"/>
            </w:r>
            <w:r w:rsidR="0045166F">
              <w:rPr>
                <w:webHidden/>
              </w:rPr>
              <w:instrText xml:space="preserve"> PAGEREF _Toc144742097 \h </w:instrText>
            </w:r>
            <w:r w:rsidR="0045166F">
              <w:rPr>
                <w:webHidden/>
              </w:rPr>
            </w:r>
            <w:r w:rsidR="0045166F">
              <w:rPr>
                <w:webHidden/>
              </w:rPr>
              <w:fldChar w:fldCharType="separate"/>
            </w:r>
            <w:r w:rsidR="006F39F1">
              <w:rPr>
                <w:webHidden/>
              </w:rPr>
              <w:t>4</w:t>
            </w:r>
            <w:r w:rsidR="0045166F">
              <w:rPr>
                <w:webHidden/>
              </w:rPr>
              <w:fldChar w:fldCharType="end"/>
            </w:r>
          </w:hyperlink>
        </w:p>
        <w:p w14:paraId="369D2941" w14:textId="0EEE6DFF" w:rsidR="0045166F" w:rsidRDefault="002B113E">
          <w:pPr>
            <w:pStyle w:val="TOC3"/>
            <w:rPr>
              <w:rFonts w:asciiTheme="minorHAnsi" w:eastAsiaTheme="minorEastAsia" w:hAnsiTheme="minorHAnsi" w:cstheme="minorBidi"/>
              <w:szCs w:val="22"/>
            </w:rPr>
          </w:pPr>
          <w:hyperlink w:anchor="_Toc144742098" w:history="1">
            <w:r w:rsidR="0045166F" w:rsidRPr="00B83476">
              <w:rPr>
                <w:rStyle w:val="Hyperlink"/>
              </w:rPr>
              <w:t>Addressing climate change risks</w:t>
            </w:r>
            <w:r w:rsidR="0045166F">
              <w:rPr>
                <w:webHidden/>
              </w:rPr>
              <w:tab/>
            </w:r>
            <w:r w:rsidR="0045166F">
              <w:rPr>
                <w:webHidden/>
              </w:rPr>
              <w:fldChar w:fldCharType="begin"/>
            </w:r>
            <w:r w:rsidR="0045166F">
              <w:rPr>
                <w:webHidden/>
              </w:rPr>
              <w:instrText xml:space="preserve"> PAGEREF _Toc144742098 \h </w:instrText>
            </w:r>
            <w:r w:rsidR="0045166F">
              <w:rPr>
                <w:webHidden/>
              </w:rPr>
            </w:r>
            <w:r w:rsidR="0045166F">
              <w:rPr>
                <w:webHidden/>
              </w:rPr>
              <w:fldChar w:fldCharType="separate"/>
            </w:r>
            <w:r w:rsidR="006F39F1">
              <w:rPr>
                <w:webHidden/>
              </w:rPr>
              <w:t>4</w:t>
            </w:r>
            <w:r w:rsidR="0045166F">
              <w:rPr>
                <w:webHidden/>
              </w:rPr>
              <w:fldChar w:fldCharType="end"/>
            </w:r>
          </w:hyperlink>
        </w:p>
        <w:p w14:paraId="4644703D" w14:textId="1FB36D4B" w:rsidR="0045166F" w:rsidRDefault="002B113E">
          <w:pPr>
            <w:pStyle w:val="TOC1"/>
            <w:rPr>
              <w:rFonts w:asciiTheme="minorHAnsi" w:eastAsiaTheme="minorEastAsia" w:hAnsiTheme="minorHAnsi" w:cstheme="minorBidi"/>
              <w:b w:val="0"/>
              <w:color w:val="auto"/>
            </w:rPr>
          </w:pPr>
          <w:hyperlink w:anchor="_Toc144742099" w:history="1">
            <w:r w:rsidR="0045166F" w:rsidRPr="00B83476">
              <w:rPr>
                <w:rStyle w:val="Hyperlink"/>
              </w:rPr>
              <w:t>The problem</w:t>
            </w:r>
            <w:r w:rsidR="0045166F">
              <w:rPr>
                <w:webHidden/>
              </w:rPr>
              <w:tab/>
            </w:r>
            <w:r w:rsidR="0045166F">
              <w:rPr>
                <w:webHidden/>
              </w:rPr>
              <w:fldChar w:fldCharType="begin"/>
            </w:r>
            <w:r w:rsidR="0045166F">
              <w:rPr>
                <w:webHidden/>
              </w:rPr>
              <w:instrText xml:space="preserve"> PAGEREF _Toc144742099 \h </w:instrText>
            </w:r>
            <w:r w:rsidR="0045166F">
              <w:rPr>
                <w:webHidden/>
              </w:rPr>
            </w:r>
            <w:r w:rsidR="0045166F">
              <w:rPr>
                <w:webHidden/>
              </w:rPr>
              <w:fldChar w:fldCharType="separate"/>
            </w:r>
            <w:r w:rsidR="006F39F1">
              <w:rPr>
                <w:webHidden/>
              </w:rPr>
              <w:t>5</w:t>
            </w:r>
            <w:r w:rsidR="0045166F">
              <w:rPr>
                <w:webHidden/>
              </w:rPr>
              <w:fldChar w:fldCharType="end"/>
            </w:r>
          </w:hyperlink>
        </w:p>
        <w:p w14:paraId="4A92B4E4" w14:textId="3163B265" w:rsidR="0045166F" w:rsidRDefault="002B113E">
          <w:pPr>
            <w:pStyle w:val="TOC3"/>
            <w:rPr>
              <w:rFonts w:asciiTheme="minorHAnsi" w:eastAsiaTheme="minorEastAsia" w:hAnsiTheme="minorHAnsi" w:cstheme="minorBidi"/>
              <w:szCs w:val="22"/>
            </w:rPr>
          </w:pPr>
          <w:hyperlink w:anchor="_Toc144742100" w:history="1">
            <w:r w:rsidR="0045166F" w:rsidRPr="00B83476">
              <w:rPr>
                <w:rStyle w:val="Hyperlink"/>
              </w:rPr>
              <w:t>Current reporting trends in Australia</w:t>
            </w:r>
            <w:r w:rsidR="0045166F">
              <w:rPr>
                <w:webHidden/>
              </w:rPr>
              <w:tab/>
            </w:r>
            <w:r w:rsidR="0045166F">
              <w:rPr>
                <w:webHidden/>
              </w:rPr>
              <w:fldChar w:fldCharType="begin"/>
            </w:r>
            <w:r w:rsidR="0045166F">
              <w:rPr>
                <w:webHidden/>
              </w:rPr>
              <w:instrText xml:space="preserve"> PAGEREF _Toc144742100 \h </w:instrText>
            </w:r>
            <w:r w:rsidR="0045166F">
              <w:rPr>
                <w:webHidden/>
              </w:rPr>
            </w:r>
            <w:r w:rsidR="0045166F">
              <w:rPr>
                <w:webHidden/>
              </w:rPr>
              <w:fldChar w:fldCharType="separate"/>
            </w:r>
            <w:r w:rsidR="006F39F1">
              <w:rPr>
                <w:webHidden/>
              </w:rPr>
              <w:t>6</w:t>
            </w:r>
            <w:r w:rsidR="0045166F">
              <w:rPr>
                <w:webHidden/>
              </w:rPr>
              <w:fldChar w:fldCharType="end"/>
            </w:r>
          </w:hyperlink>
        </w:p>
        <w:p w14:paraId="79327BC5" w14:textId="487EE272" w:rsidR="0045166F" w:rsidRDefault="002B113E">
          <w:pPr>
            <w:pStyle w:val="TOC3"/>
            <w:rPr>
              <w:rFonts w:asciiTheme="minorHAnsi" w:eastAsiaTheme="minorEastAsia" w:hAnsiTheme="minorHAnsi" w:cstheme="minorBidi"/>
              <w:szCs w:val="22"/>
            </w:rPr>
          </w:pPr>
          <w:hyperlink w:anchor="_Toc144742101" w:history="1">
            <w:r w:rsidR="0045166F" w:rsidRPr="00B83476">
              <w:rPr>
                <w:rStyle w:val="Hyperlink"/>
              </w:rPr>
              <w:t>Lack of comparability in current reporting formats</w:t>
            </w:r>
            <w:r w:rsidR="0045166F">
              <w:rPr>
                <w:webHidden/>
              </w:rPr>
              <w:tab/>
            </w:r>
            <w:r w:rsidR="0045166F">
              <w:rPr>
                <w:webHidden/>
              </w:rPr>
              <w:fldChar w:fldCharType="begin"/>
            </w:r>
            <w:r w:rsidR="0045166F">
              <w:rPr>
                <w:webHidden/>
              </w:rPr>
              <w:instrText xml:space="preserve"> PAGEREF _Toc144742101 \h </w:instrText>
            </w:r>
            <w:r w:rsidR="0045166F">
              <w:rPr>
                <w:webHidden/>
              </w:rPr>
            </w:r>
            <w:r w:rsidR="0045166F">
              <w:rPr>
                <w:webHidden/>
              </w:rPr>
              <w:fldChar w:fldCharType="separate"/>
            </w:r>
            <w:r w:rsidR="006F39F1">
              <w:rPr>
                <w:webHidden/>
              </w:rPr>
              <w:t>7</w:t>
            </w:r>
            <w:r w:rsidR="0045166F">
              <w:rPr>
                <w:webHidden/>
              </w:rPr>
              <w:fldChar w:fldCharType="end"/>
            </w:r>
          </w:hyperlink>
        </w:p>
        <w:p w14:paraId="20C338D1" w14:textId="1B34E7F2" w:rsidR="0045166F" w:rsidRDefault="002B113E">
          <w:pPr>
            <w:pStyle w:val="TOC3"/>
            <w:rPr>
              <w:rFonts w:asciiTheme="minorHAnsi" w:eastAsiaTheme="minorEastAsia" w:hAnsiTheme="minorHAnsi" w:cstheme="minorBidi"/>
              <w:szCs w:val="22"/>
            </w:rPr>
          </w:pPr>
          <w:hyperlink w:anchor="_Toc144742102" w:history="1">
            <w:r w:rsidR="0045166F" w:rsidRPr="00B83476">
              <w:rPr>
                <w:rStyle w:val="Hyperlink"/>
              </w:rPr>
              <w:t>Impact of not transitioning from investor and regulator perspective</w:t>
            </w:r>
            <w:r w:rsidR="0045166F">
              <w:rPr>
                <w:webHidden/>
              </w:rPr>
              <w:tab/>
            </w:r>
            <w:r w:rsidR="0045166F">
              <w:rPr>
                <w:webHidden/>
              </w:rPr>
              <w:fldChar w:fldCharType="begin"/>
            </w:r>
            <w:r w:rsidR="0045166F">
              <w:rPr>
                <w:webHidden/>
              </w:rPr>
              <w:instrText xml:space="preserve"> PAGEREF _Toc144742102 \h </w:instrText>
            </w:r>
            <w:r w:rsidR="0045166F">
              <w:rPr>
                <w:webHidden/>
              </w:rPr>
            </w:r>
            <w:r w:rsidR="0045166F">
              <w:rPr>
                <w:webHidden/>
              </w:rPr>
              <w:fldChar w:fldCharType="separate"/>
            </w:r>
            <w:r w:rsidR="006F39F1">
              <w:rPr>
                <w:webHidden/>
              </w:rPr>
              <w:t>10</w:t>
            </w:r>
            <w:r w:rsidR="0045166F">
              <w:rPr>
                <w:webHidden/>
              </w:rPr>
              <w:fldChar w:fldCharType="end"/>
            </w:r>
          </w:hyperlink>
        </w:p>
        <w:p w14:paraId="7C677454" w14:textId="0675930E" w:rsidR="0045166F" w:rsidRDefault="002B113E">
          <w:pPr>
            <w:pStyle w:val="TOC1"/>
            <w:rPr>
              <w:rFonts w:asciiTheme="minorHAnsi" w:eastAsiaTheme="minorEastAsia" w:hAnsiTheme="minorHAnsi" w:cstheme="minorBidi"/>
              <w:b w:val="0"/>
              <w:color w:val="auto"/>
            </w:rPr>
          </w:pPr>
          <w:hyperlink w:anchor="_Toc144742103" w:history="1">
            <w:r w:rsidR="0045166F" w:rsidRPr="00B83476">
              <w:rPr>
                <w:rStyle w:val="Hyperlink"/>
              </w:rPr>
              <w:t>Case for government action</w:t>
            </w:r>
            <w:r w:rsidR="0045166F">
              <w:rPr>
                <w:webHidden/>
              </w:rPr>
              <w:tab/>
            </w:r>
            <w:r w:rsidR="0045166F">
              <w:rPr>
                <w:webHidden/>
              </w:rPr>
              <w:fldChar w:fldCharType="begin"/>
            </w:r>
            <w:r w:rsidR="0045166F">
              <w:rPr>
                <w:webHidden/>
              </w:rPr>
              <w:instrText xml:space="preserve"> PAGEREF _Toc144742103 \h </w:instrText>
            </w:r>
            <w:r w:rsidR="0045166F">
              <w:rPr>
                <w:webHidden/>
              </w:rPr>
            </w:r>
            <w:r w:rsidR="0045166F">
              <w:rPr>
                <w:webHidden/>
              </w:rPr>
              <w:fldChar w:fldCharType="separate"/>
            </w:r>
            <w:r w:rsidR="006F39F1">
              <w:rPr>
                <w:webHidden/>
              </w:rPr>
              <w:t>11</w:t>
            </w:r>
            <w:r w:rsidR="0045166F">
              <w:rPr>
                <w:webHidden/>
              </w:rPr>
              <w:fldChar w:fldCharType="end"/>
            </w:r>
          </w:hyperlink>
        </w:p>
        <w:p w14:paraId="27E6A285" w14:textId="2C408867" w:rsidR="0045166F" w:rsidRDefault="002B113E">
          <w:pPr>
            <w:pStyle w:val="TOC1"/>
            <w:rPr>
              <w:rFonts w:asciiTheme="minorHAnsi" w:eastAsiaTheme="minorEastAsia" w:hAnsiTheme="minorHAnsi" w:cstheme="minorBidi"/>
              <w:b w:val="0"/>
              <w:color w:val="auto"/>
            </w:rPr>
          </w:pPr>
          <w:hyperlink w:anchor="_Toc144742104" w:history="1">
            <w:r w:rsidR="0045166F" w:rsidRPr="00B83476">
              <w:rPr>
                <w:rStyle w:val="Hyperlink"/>
              </w:rPr>
              <w:t>Policy options</w:t>
            </w:r>
            <w:r w:rsidR="0045166F">
              <w:rPr>
                <w:webHidden/>
              </w:rPr>
              <w:tab/>
            </w:r>
            <w:r w:rsidR="0045166F">
              <w:rPr>
                <w:webHidden/>
              </w:rPr>
              <w:fldChar w:fldCharType="begin"/>
            </w:r>
            <w:r w:rsidR="0045166F">
              <w:rPr>
                <w:webHidden/>
              </w:rPr>
              <w:instrText xml:space="preserve"> PAGEREF _Toc144742104 \h </w:instrText>
            </w:r>
            <w:r w:rsidR="0045166F">
              <w:rPr>
                <w:webHidden/>
              </w:rPr>
            </w:r>
            <w:r w:rsidR="0045166F">
              <w:rPr>
                <w:webHidden/>
              </w:rPr>
              <w:fldChar w:fldCharType="separate"/>
            </w:r>
            <w:r w:rsidR="006F39F1">
              <w:rPr>
                <w:webHidden/>
              </w:rPr>
              <w:t>11</w:t>
            </w:r>
            <w:r w:rsidR="0045166F">
              <w:rPr>
                <w:webHidden/>
              </w:rPr>
              <w:fldChar w:fldCharType="end"/>
            </w:r>
          </w:hyperlink>
        </w:p>
        <w:p w14:paraId="55F58049" w14:textId="00E7526E" w:rsidR="0045166F" w:rsidRDefault="002B113E">
          <w:pPr>
            <w:pStyle w:val="TOC3"/>
            <w:rPr>
              <w:rFonts w:asciiTheme="minorHAnsi" w:eastAsiaTheme="minorEastAsia" w:hAnsiTheme="minorHAnsi" w:cstheme="minorBidi"/>
              <w:szCs w:val="22"/>
            </w:rPr>
          </w:pPr>
          <w:hyperlink w:anchor="_Toc144742105" w:history="1">
            <w:r w:rsidR="0045166F" w:rsidRPr="00B83476">
              <w:rPr>
                <w:rStyle w:val="Hyperlink"/>
                <w:rFonts w:eastAsiaTheme="minorHAnsi"/>
              </w:rPr>
              <w:t>Status Quo</w:t>
            </w:r>
            <w:r w:rsidR="0045166F">
              <w:rPr>
                <w:webHidden/>
              </w:rPr>
              <w:tab/>
            </w:r>
            <w:r w:rsidR="0045166F">
              <w:rPr>
                <w:webHidden/>
              </w:rPr>
              <w:fldChar w:fldCharType="begin"/>
            </w:r>
            <w:r w:rsidR="0045166F">
              <w:rPr>
                <w:webHidden/>
              </w:rPr>
              <w:instrText xml:space="preserve"> PAGEREF _Toc144742105 \h </w:instrText>
            </w:r>
            <w:r w:rsidR="0045166F">
              <w:rPr>
                <w:webHidden/>
              </w:rPr>
            </w:r>
            <w:r w:rsidR="0045166F">
              <w:rPr>
                <w:webHidden/>
              </w:rPr>
              <w:fldChar w:fldCharType="separate"/>
            </w:r>
            <w:r w:rsidR="006F39F1">
              <w:rPr>
                <w:webHidden/>
              </w:rPr>
              <w:t>11</w:t>
            </w:r>
            <w:r w:rsidR="0045166F">
              <w:rPr>
                <w:webHidden/>
              </w:rPr>
              <w:fldChar w:fldCharType="end"/>
            </w:r>
          </w:hyperlink>
        </w:p>
        <w:p w14:paraId="464764A9" w14:textId="75650926" w:rsidR="0045166F" w:rsidRDefault="002B113E">
          <w:pPr>
            <w:pStyle w:val="TOC3"/>
            <w:rPr>
              <w:rFonts w:asciiTheme="minorHAnsi" w:eastAsiaTheme="minorEastAsia" w:hAnsiTheme="minorHAnsi" w:cstheme="minorBidi"/>
              <w:szCs w:val="22"/>
            </w:rPr>
          </w:pPr>
          <w:hyperlink w:anchor="_Toc144742106" w:history="1">
            <w:r w:rsidR="0045166F" w:rsidRPr="00B83476">
              <w:rPr>
                <w:rStyle w:val="Hyperlink"/>
                <w:rFonts w:eastAsiaTheme="minorHAnsi"/>
              </w:rPr>
              <w:t>Implementation Options</w:t>
            </w:r>
            <w:r w:rsidR="0045166F">
              <w:rPr>
                <w:webHidden/>
              </w:rPr>
              <w:tab/>
            </w:r>
            <w:r w:rsidR="0045166F">
              <w:rPr>
                <w:webHidden/>
              </w:rPr>
              <w:fldChar w:fldCharType="begin"/>
            </w:r>
            <w:r w:rsidR="0045166F">
              <w:rPr>
                <w:webHidden/>
              </w:rPr>
              <w:instrText xml:space="preserve"> PAGEREF _Toc144742106 \h </w:instrText>
            </w:r>
            <w:r w:rsidR="0045166F">
              <w:rPr>
                <w:webHidden/>
              </w:rPr>
            </w:r>
            <w:r w:rsidR="0045166F">
              <w:rPr>
                <w:webHidden/>
              </w:rPr>
              <w:fldChar w:fldCharType="separate"/>
            </w:r>
            <w:r w:rsidR="006F39F1">
              <w:rPr>
                <w:webHidden/>
              </w:rPr>
              <w:t>12</w:t>
            </w:r>
            <w:r w:rsidR="0045166F">
              <w:rPr>
                <w:webHidden/>
              </w:rPr>
              <w:fldChar w:fldCharType="end"/>
            </w:r>
          </w:hyperlink>
        </w:p>
        <w:p w14:paraId="3BED6FB3" w14:textId="32FD70E2" w:rsidR="0045166F" w:rsidRDefault="002B113E">
          <w:pPr>
            <w:pStyle w:val="TOC2"/>
            <w:rPr>
              <w:rFonts w:asciiTheme="minorHAnsi" w:eastAsiaTheme="minorEastAsia" w:hAnsiTheme="minorHAnsi" w:cstheme="minorBidi"/>
              <w:color w:val="auto"/>
              <w:szCs w:val="22"/>
            </w:rPr>
          </w:pPr>
          <w:hyperlink w:anchor="_Toc144742107" w:history="1">
            <w:r w:rsidR="0045166F" w:rsidRPr="00B83476">
              <w:rPr>
                <w:rStyle w:val="Hyperlink"/>
              </w:rPr>
              <w:t>Cost-benefit analysis</w:t>
            </w:r>
            <w:r w:rsidR="0045166F">
              <w:rPr>
                <w:webHidden/>
              </w:rPr>
              <w:tab/>
            </w:r>
            <w:r w:rsidR="0045166F">
              <w:rPr>
                <w:webHidden/>
              </w:rPr>
              <w:fldChar w:fldCharType="begin"/>
            </w:r>
            <w:r w:rsidR="0045166F">
              <w:rPr>
                <w:webHidden/>
              </w:rPr>
              <w:instrText xml:space="preserve"> PAGEREF _Toc144742107 \h </w:instrText>
            </w:r>
            <w:r w:rsidR="0045166F">
              <w:rPr>
                <w:webHidden/>
              </w:rPr>
            </w:r>
            <w:r w:rsidR="0045166F">
              <w:rPr>
                <w:webHidden/>
              </w:rPr>
              <w:fldChar w:fldCharType="separate"/>
            </w:r>
            <w:r w:rsidR="006F39F1">
              <w:rPr>
                <w:webHidden/>
              </w:rPr>
              <w:t>15</w:t>
            </w:r>
            <w:r w:rsidR="0045166F">
              <w:rPr>
                <w:webHidden/>
              </w:rPr>
              <w:fldChar w:fldCharType="end"/>
            </w:r>
          </w:hyperlink>
        </w:p>
        <w:p w14:paraId="1EE30ABC" w14:textId="1FE37002" w:rsidR="0045166F" w:rsidRDefault="002B113E">
          <w:pPr>
            <w:pStyle w:val="TOC2"/>
            <w:rPr>
              <w:rFonts w:asciiTheme="minorHAnsi" w:eastAsiaTheme="minorEastAsia" w:hAnsiTheme="minorHAnsi" w:cstheme="minorBidi"/>
              <w:color w:val="auto"/>
              <w:szCs w:val="22"/>
            </w:rPr>
          </w:pPr>
          <w:hyperlink w:anchor="_Toc144742108" w:history="1">
            <w:r w:rsidR="0045166F" w:rsidRPr="00B83476">
              <w:rPr>
                <w:rStyle w:val="Hyperlink"/>
              </w:rPr>
              <w:t>Policy benefits</w:t>
            </w:r>
            <w:r w:rsidR="0045166F">
              <w:rPr>
                <w:webHidden/>
              </w:rPr>
              <w:tab/>
            </w:r>
            <w:r w:rsidR="0045166F">
              <w:rPr>
                <w:webHidden/>
              </w:rPr>
              <w:fldChar w:fldCharType="begin"/>
            </w:r>
            <w:r w:rsidR="0045166F">
              <w:rPr>
                <w:webHidden/>
              </w:rPr>
              <w:instrText xml:space="preserve"> PAGEREF _Toc144742108 \h </w:instrText>
            </w:r>
            <w:r w:rsidR="0045166F">
              <w:rPr>
                <w:webHidden/>
              </w:rPr>
            </w:r>
            <w:r w:rsidR="0045166F">
              <w:rPr>
                <w:webHidden/>
              </w:rPr>
              <w:fldChar w:fldCharType="separate"/>
            </w:r>
            <w:r w:rsidR="006F39F1">
              <w:rPr>
                <w:webHidden/>
              </w:rPr>
              <w:t>15</w:t>
            </w:r>
            <w:r w:rsidR="0045166F">
              <w:rPr>
                <w:webHidden/>
              </w:rPr>
              <w:fldChar w:fldCharType="end"/>
            </w:r>
          </w:hyperlink>
        </w:p>
        <w:p w14:paraId="071F8692" w14:textId="62F34B53" w:rsidR="0045166F" w:rsidRDefault="002B113E">
          <w:pPr>
            <w:pStyle w:val="TOC2"/>
            <w:rPr>
              <w:rFonts w:asciiTheme="minorHAnsi" w:eastAsiaTheme="minorEastAsia" w:hAnsiTheme="minorHAnsi" w:cstheme="minorBidi"/>
              <w:color w:val="auto"/>
              <w:szCs w:val="22"/>
            </w:rPr>
          </w:pPr>
          <w:hyperlink w:anchor="_Toc144742109" w:history="1">
            <w:r w:rsidR="0045166F" w:rsidRPr="00B83476">
              <w:rPr>
                <w:rStyle w:val="Hyperlink"/>
              </w:rPr>
              <w:t>Estimated costs of implementation</w:t>
            </w:r>
            <w:r w:rsidR="0045166F">
              <w:rPr>
                <w:webHidden/>
              </w:rPr>
              <w:tab/>
            </w:r>
            <w:r w:rsidR="0045166F">
              <w:rPr>
                <w:webHidden/>
              </w:rPr>
              <w:fldChar w:fldCharType="begin"/>
            </w:r>
            <w:r w:rsidR="0045166F">
              <w:rPr>
                <w:webHidden/>
              </w:rPr>
              <w:instrText xml:space="preserve"> PAGEREF _Toc144742109 \h </w:instrText>
            </w:r>
            <w:r w:rsidR="0045166F">
              <w:rPr>
                <w:webHidden/>
              </w:rPr>
            </w:r>
            <w:r w:rsidR="0045166F">
              <w:rPr>
                <w:webHidden/>
              </w:rPr>
              <w:fldChar w:fldCharType="separate"/>
            </w:r>
            <w:r w:rsidR="006F39F1">
              <w:rPr>
                <w:webHidden/>
              </w:rPr>
              <w:t>16</w:t>
            </w:r>
            <w:r w:rsidR="0045166F">
              <w:rPr>
                <w:webHidden/>
              </w:rPr>
              <w:fldChar w:fldCharType="end"/>
            </w:r>
          </w:hyperlink>
        </w:p>
        <w:p w14:paraId="5F7A5253" w14:textId="7AD0B098" w:rsidR="0045166F" w:rsidRDefault="002B113E">
          <w:pPr>
            <w:pStyle w:val="TOC3"/>
            <w:rPr>
              <w:rFonts w:asciiTheme="minorHAnsi" w:eastAsiaTheme="minorEastAsia" w:hAnsiTheme="minorHAnsi" w:cstheme="minorBidi"/>
              <w:szCs w:val="22"/>
            </w:rPr>
          </w:pPr>
          <w:hyperlink w:anchor="_Toc144742110" w:history="1">
            <w:r w:rsidR="0045166F" w:rsidRPr="00B83476">
              <w:rPr>
                <w:rStyle w:val="Hyperlink"/>
              </w:rPr>
              <w:t>Data sources</w:t>
            </w:r>
            <w:r w:rsidR="0045166F">
              <w:rPr>
                <w:webHidden/>
              </w:rPr>
              <w:tab/>
            </w:r>
            <w:r w:rsidR="0045166F">
              <w:rPr>
                <w:webHidden/>
              </w:rPr>
              <w:fldChar w:fldCharType="begin"/>
            </w:r>
            <w:r w:rsidR="0045166F">
              <w:rPr>
                <w:webHidden/>
              </w:rPr>
              <w:instrText xml:space="preserve"> PAGEREF _Toc144742110 \h </w:instrText>
            </w:r>
            <w:r w:rsidR="0045166F">
              <w:rPr>
                <w:webHidden/>
              </w:rPr>
            </w:r>
            <w:r w:rsidR="0045166F">
              <w:rPr>
                <w:webHidden/>
              </w:rPr>
              <w:fldChar w:fldCharType="separate"/>
            </w:r>
            <w:r w:rsidR="006F39F1">
              <w:rPr>
                <w:webHidden/>
              </w:rPr>
              <w:t>17</w:t>
            </w:r>
            <w:r w:rsidR="0045166F">
              <w:rPr>
                <w:webHidden/>
              </w:rPr>
              <w:fldChar w:fldCharType="end"/>
            </w:r>
          </w:hyperlink>
        </w:p>
        <w:p w14:paraId="72B51856" w14:textId="160EC062" w:rsidR="0045166F" w:rsidRDefault="002B113E">
          <w:pPr>
            <w:pStyle w:val="TOC3"/>
            <w:rPr>
              <w:rFonts w:asciiTheme="minorHAnsi" w:eastAsiaTheme="minorEastAsia" w:hAnsiTheme="minorHAnsi" w:cstheme="minorBidi"/>
              <w:szCs w:val="22"/>
            </w:rPr>
          </w:pPr>
          <w:hyperlink w:anchor="_Toc144742111" w:history="1">
            <w:r w:rsidR="0045166F" w:rsidRPr="00B83476">
              <w:rPr>
                <w:rStyle w:val="Hyperlink"/>
              </w:rPr>
              <w:t>Methodology</w:t>
            </w:r>
            <w:r w:rsidR="0045166F">
              <w:rPr>
                <w:webHidden/>
              </w:rPr>
              <w:tab/>
            </w:r>
            <w:r w:rsidR="0045166F">
              <w:rPr>
                <w:webHidden/>
              </w:rPr>
              <w:fldChar w:fldCharType="begin"/>
            </w:r>
            <w:r w:rsidR="0045166F">
              <w:rPr>
                <w:webHidden/>
              </w:rPr>
              <w:instrText xml:space="preserve"> PAGEREF _Toc144742111 \h </w:instrText>
            </w:r>
            <w:r w:rsidR="0045166F">
              <w:rPr>
                <w:webHidden/>
              </w:rPr>
            </w:r>
            <w:r w:rsidR="0045166F">
              <w:rPr>
                <w:webHidden/>
              </w:rPr>
              <w:fldChar w:fldCharType="separate"/>
            </w:r>
            <w:r w:rsidR="006F39F1">
              <w:rPr>
                <w:webHidden/>
              </w:rPr>
              <w:t>17</w:t>
            </w:r>
            <w:r w:rsidR="0045166F">
              <w:rPr>
                <w:webHidden/>
              </w:rPr>
              <w:fldChar w:fldCharType="end"/>
            </w:r>
          </w:hyperlink>
        </w:p>
        <w:p w14:paraId="28738172" w14:textId="7903F3B4" w:rsidR="0045166F" w:rsidRDefault="002B113E">
          <w:pPr>
            <w:pStyle w:val="TOC3"/>
            <w:rPr>
              <w:rFonts w:asciiTheme="minorHAnsi" w:eastAsiaTheme="minorEastAsia" w:hAnsiTheme="minorHAnsi" w:cstheme="minorBidi"/>
              <w:szCs w:val="22"/>
            </w:rPr>
          </w:pPr>
          <w:hyperlink w:anchor="_Toc144742112" w:history="1">
            <w:r w:rsidR="0045166F" w:rsidRPr="00B83476">
              <w:rPr>
                <w:rStyle w:val="Hyperlink"/>
              </w:rPr>
              <w:t>Status quo</w:t>
            </w:r>
            <w:r w:rsidR="0045166F">
              <w:rPr>
                <w:webHidden/>
              </w:rPr>
              <w:tab/>
            </w:r>
            <w:r w:rsidR="0045166F">
              <w:rPr>
                <w:webHidden/>
              </w:rPr>
              <w:fldChar w:fldCharType="begin"/>
            </w:r>
            <w:r w:rsidR="0045166F">
              <w:rPr>
                <w:webHidden/>
              </w:rPr>
              <w:instrText xml:space="preserve"> PAGEREF _Toc144742112 \h </w:instrText>
            </w:r>
            <w:r w:rsidR="0045166F">
              <w:rPr>
                <w:webHidden/>
              </w:rPr>
            </w:r>
            <w:r w:rsidR="0045166F">
              <w:rPr>
                <w:webHidden/>
              </w:rPr>
              <w:fldChar w:fldCharType="separate"/>
            </w:r>
            <w:r w:rsidR="006F39F1">
              <w:rPr>
                <w:webHidden/>
              </w:rPr>
              <w:t>17</w:t>
            </w:r>
            <w:r w:rsidR="0045166F">
              <w:rPr>
                <w:webHidden/>
              </w:rPr>
              <w:fldChar w:fldCharType="end"/>
            </w:r>
          </w:hyperlink>
        </w:p>
        <w:p w14:paraId="7239C2F6" w14:textId="21C408B1" w:rsidR="0045166F" w:rsidRDefault="002B113E">
          <w:pPr>
            <w:pStyle w:val="TOC3"/>
            <w:rPr>
              <w:rFonts w:asciiTheme="minorHAnsi" w:eastAsiaTheme="minorEastAsia" w:hAnsiTheme="minorHAnsi" w:cstheme="minorBidi"/>
              <w:szCs w:val="22"/>
            </w:rPr>
          </w:pPr>
          <w:hyperlink w:anchor="_Toc144742113" w:history="1">
            <w:r w:rsidR="0045166F" w:rsidRPr="00B83476">
              <w:rPr>
                <w:rStyle w:val="Hyperlink"/>
              </w:rPr>
              <w:t>Option 1: Design consultation policy</w:t>
            </w:r>
            <w:r w:rsidR="0045166F">
              <w:rPr>
                <w:webHidden/>
              </w:rPr>
              <w:tab/>
            </w:r>
            <w:r w:rsidR="0045166F">
              <w:rPr>
                <w:webHidden/>
              </w:rPr>
              <w:fldChar w:fldCharType="begin"/>
            </w:r>
            <w:r w:rsidR="0045166F">
              <w:rPr>
                <w:webHidden/>
              </w:rPr>
              <w:instrText xml:space="preserve"> PAGEREF _Toc144742113 \h </w:instrText>
            </w:r>
            <w:r w:rsidR="0045166F">
              <w:rPr>
                <w:webHidden/>
              </w:rPr>
            </w:r>
            <w:r w:rsidR="0045166F">
              <w:rPr>
                <w:webHidden/>
              </w:rPr>
              <w:fldChar w:fldCharType="separate"/>
            </w:r>
            <w:r w:rsidR="006F39F1">
              <w:rPr>
                <w:webHidden/>
              </w:rPr>
              <w:t>20</w:t>
            </w:r>
            <w:r w:rsidR="0045166F">
              <w:rPr>
                <w:webHidden/>
              </w:rPr>
              <w:fldChar w:fldCharType="end"/>
            </w:r>
          </w:hyperlink>
        </w:p>
        <w:p w14:paraId="2CF93B53" w14:textId="01B529D2" w:rsidR="0045166F" w:rsidRDefault="002B113E">
          <w:pPr>
            <w:pStyle w:val="TOC3"/>
            <w:rPr>
              <w:rFonts w:asciiTheme="minorHAnsi" w:eastAsiaTheme="minorEastAsia" w:hAnsiTheme="minorHAnsi" w:cstheme="minorBidi"/>
              <w:szCs w:val="22"/>
            </w:rPr>
          </w:pPr>
          <w:hyperlink w:anchor="_Toc144742114" w:history="1">
            <w:r w:rsidR="0045166F" w:rsidRPr="00B83476">
              <w:rPr>
                <w:rStyle w:val="Hyperlink"/>
              </w:rPr>
              <w:t>Option 1a: Narrower coverage with Group 3 only required to report if there are material climate risks and a specific threshold for asset owners</w:t>
            </w:r>
            <w:r w:rsidR="0045166F">
              <w:rPr>
                <w:webHidden/>
              </w:rPr>
              <w:tab/>
            </w:r>
            <w:r w:rsidR="0045166F">
              <w:rPr>
                <w:webHidden/>
              </w:rPr>
              <w:fldChar w:fldCharType="begin"/>
            </w:r>
            <w:r w:rsidR="0045166F">
              <w:rPr>
                <w:webHidden/>
              </w:rPr>
              <w:instrText xml:space="preserve"> PAGEREF _Toc144742114 \h </w:instrText>
            </w:r>
            <w:r w:rsidR="0045166F">
              <w:rPr>
                <w:webHidden/>
              </w:rPr>
            </w:r>
            <w:r w:rsidR="0045166F">
              <w:rPr>
                <w:webHidden/>
              </w:rPr>
              <w:fldChar w:fldCharType="separate"/>
            </w:r>
            <w:r w:rsidR="006F39F1">
              <w:rPr>
                <w:webHidden/>
              </w:rPr>
              <w:t>26</w:t>
            </w:r>
            <w:r w:rsidR="0045166F">
              <w:rPr>
                <w:webHidden/>
              </w:rPr>
              <w:fldChar w:fldCharType="end"/>
            </w:r>
          </w:hyperlink>
        </w:p>
        <w:p w14:paraId="70659E9D" w14:textId="34BB50A8" w:rsidR="0045166F" w:rsidRDefault="002B113E">
          <w:pPr>
            <w:pStyle w:val="TOC3"/>
            <w:rPr>
              <w:rFonts w:asciiTheme="minorHAnsi" w:eastAsiaTheme="minorEastAsia" w:hAnsiTheme="minorHAnsi" w:cstheme="minorBidi"/>
              <w:szCs w:val="22"/>
            </w:rPr>
          </w:pPr>
          <w:hyperlink w:anchor="_Toc144742115" w:history="1">
            <w:r w:rsidR="0045166F" w:rsidRPr="00B83476">
              <w:rPr>
                <w:rStyle w:val="Hyperlink"/>
                <w:lang w:eastAsia="en-US"/>
              </w:rPr>
              <w:t>Option 1b: Narrower coverage and changes to assurance framework</w:t>
            </w:r>
            <w:r w:rsidR="0045166F">
              <w:rPr>
                <w:webHidden/>
              </w:rPr>
              <w:tab/>
            </w:r>
            <w:r w:rsidR="0045166F">
              <w:rPr>
                <w:webHidden/>
              </w:rPr>
              <w:fldChar w:fldCharType="begin"/>
            </w:r>
            <w:r w:rsidR="0045166F">
              <w:rPr>
                <w:webHidden/>
              </w:rPr>
              <w:instrText xml:space="preserve"> PAGEREF _Toc144742115 \h </w:instrText>
            </w:r>
            <w:r w:rsidR="0045166F">
              <w:rPr>
                <w:webHidden/>
              </w:rPr>
            </w:r>
            <w:r w:rsidR="0045166F">
              <w:rPr>
                <w:webHidden/>
              </w:rPr>
              <w:fldChar w:fldCharType="separate"/>
            </w:r>
            <w:r w:rsidR="006F39F1">
              <w:rPr>
                <w:webHidden/>
              </w:rPr>
              <w:t>27</w:t>
            </w:r>
            <w:r w:rsidR="0045166F">
              <w:rPr>
                <w:webHidden/>
              </w:rPr>
              <w:fldChar w:fldCharType="end"/>
            </w:r>
          </w:hyperlink>
        </w:p>
        <w:p w14:paraId="0582E779" w14:textId="7C40EEFC" w:rsidR="0045166F" w:rsidRDefault="002B113E">
          <w:pPr>
            <w:pStyle w:val="TOC3"/>
            <w:rPr>
              <w:rFonts w:asciiTheme="minorHAnsi" w:eastAsiaTheme="minorEastAsia" w:hAnsiTheme="minorHAnsi" w:cstheme="minorBidi"/>
              <w:szCs w:val="22"/>
            </w:rPr>
          </w:pPr>
          <w:hyperlink w:anchor="_Toc144742116" w:history="1">
            <w:r w:rsidR="0045166F" w:rsidRPr="00B83476">
              <w:rPr>
                <w:rStyle w:val="Hyperlink"/>
              </w:rPr>
              <w:t>Mitigation efforts</w:t>
            </w:r>
            <w:r w:rsidR="0045166F">
              <w:rPr>
                <w:webHidden/>
              </w:rPr>
              <w:tab/>
            </w:r>
            <w:r w:rsidR="0045166F">
              <w:rPr>
                <w:webHidden/>
              </w:rPr>
              <w:fldChar w:fldCharType="begin"/>
            </w:r>
            <w:r w:rsidR="0045166F">
              <w:rPr>
                <w:webHidden/>
              </w:rPr>
              <w:instrText xml:space="preserve"> PAGEREF _Toc144742116 \h </w:instrText>
            </w:r>
            <w:r w:rsidR="0045166F">
              <w:rPr>
                <w:webHidden/>
              </w:rPr>
            </w:r>
            <w:r w:rsidR="0045166F">
              <w:rPr>
                <w:webHidden/>
              </w:rPr>
              <w:fldChar w:fldCharType="separate"/>
            </w:r>
            <w:r w:rsidR="006F39F1">
              <w:rPr>
                <w:webHidden/>
              </w:rPr>
              <w:t>28</w:t>
            </w:r>
            <w:r w:rsidR="0045166F">
              <w:rPr>
                <w:webHidden/>
              </w:rPr>
              <w:fldChar w:fldCharType="end"/>
            </w:r>
          </w:hyperlink>
        </w:p>
        <w:p w14:paraId="09F6B8F2" w14:textId="1565B620" w:rsidR="0045166F" w:rsidRDefault="002B113E">
          <w:pPr>
            <w:pStyle w:val="TOC3"/>
            <w:rPr>
              <w:rFonts w:asciiTheme="minorHAnsi" w:eastAsiaTheme="minorEastAsia" w:hAnsiTheme="minorHAnsi" w:cstheme="minorBidi"/>
              <w:szCs w:val="22"/>
            </w:rPr>
          </w:pPr>
          <w:hyperlink w:anchor="_Toc144742117" w:history="1">
            <w:r w:rsidR="0045166F" w:rsidRPr="00B83476">
              <w:rPr>
                <w:rStyle w:val="Hyperlink"/>
              </w:rPr>
              <w:t>Approximate regulatory burden estimate</w:t>
            </w:r>
            <w:r w:rsidR="0045166F">
              <w:rPr>
                <w:webHidden/>
              </w:rPr>
              <w:tab/>
            </w:r>
            <w:r w:rsidR="0045166F">
              <w:rPr>
                <w:webHidden/>
              </w:rPr>
              <w:fldChar w:fldCharType="begin"/>
            </w:r>
            <w:r w:rsidR="0045166F">
              <w:rPr>
                <w:webHidden/>
              </w:rPr>
              <w:instrText xml:space="preserve"> PAGEREF _Toc144742117 \h </w:instrText>
            </w:r>
            <w:r w:rsidR="0045166F">
              <w:rPr>
                <w:webHidden/>
              </w:rPr>
            </w:r>
            <w:r w:rsidR="0045166F">
              <w:rPr>
                <w:webHidden/>
              </w:rPr>
              <w:fldChar w:fldCharType="separate"/>
            </w:r>
            <w:r w:rsidR="006F39F1">
              <w:rPr>
                <w:webHidden/>
              </w:rPr>
              <w:t>30</w:t>
            </w:r>
            <w:r w:rsidR="0045166F">
              <w:rPr>
                <w:webHidden/>
              </w:rPr>
              <w:fldChar w:fldCharType="end"/>
            </w:r>
          </w:hyperlink>
        </w:p>
        <w:p w14:paraId="5921C0ED" w14:textId="37C1DD25" w:rsidR="0045166F" w:rsidRDefault="002B113E">
          <w:pPr>
            <w:pStyle w:val="TOC1"/>
            <w:rPr>
              <w:rFonts w:asciiTheme="minorHAnsi" w:eastAsiaTheme="minorEastAsia" w:hAnsiTheme="minorHAnsi" w:cstheme="minorBidi"/>
              <w:b w:val="0"/>
              <w:color w:val="auto"/>
            </w:rPr>
          </w:pPr>
          <w:hyperlink w:anchor="_Toc144742118" w:history="1">
            <w:r w:rsidR="0045166F" w:rsidRPr="00B83476">
              <w:rPr>
                <w:rStyle w:val="Hyperlink"/>
              </w:rPr>
              <w:t>Consultation</w:t>
            </w:r>
            <w:r w:rsidR="0045166F">
              <w:rPr>
                <w:webHidden/>
              </w:rPr>
              <w:tab/>
            </w:r>
            <w:r w:rsidR="0045166F">
              <w:rPr>
                <w:webHidden/>
              </w:rPr>
              <w:fldChar w:fldCharType="begin"/>
            </w:r>
            <w:r w:rsidR="0045166F">
              <w:rPr>
                <w:webHidden/>
              </w:rPr>
              <w:instrText xml:space="preserve"> PAGEREF _Toc144742118 \h </w:instrText>
            </w:r>
            <w:r w:rsidR="0045166F">
              <w:rPr>
                <w:webHidden/>
              </w:rPr>
            </w:r>
            <w:r w:rsidR="0045166F">
              <w:rPr>
                <w:webHidden/>
              </w:rPr>
              <w:fldChar w:fldCharType="separate"/>
            </w:r>
            <w:r w:rsidR="006F39F1">
              <w:rPr>
                <w:webHidden/>
              </w:rPr>
              <w:t>32</w:t>
            </w:r>
            <w:r w:rsidR="0045166F">
              <w:rPr>
                <w:webHidden/>
              </w:rPr>
              <w:fldChar w:fldCharType="end"/>
            </w:r>
          </w:hyperlink>
        </w:p>
        <w:p w14:paraId="7EF339F5" w14:textId="7360B1A4" w:rsidR="0045166F" w:rsidRDefault="002B113E">
          <w:pPr>
            <w:pStyle w:val="TOC3"/>
            <w:rPr>
              <w:rFonts w:asciiTheme="minorHAnsi" w:eastAsiaTheme="minorEastAsia" w:hAnsiTheme="minorHAnsi" w:cstheme="minorBidi"/>
              <w:szCs w:val="22"/>
            </w:rPr>
          </w:pPr>
          <w:hyperlink w:anchor="_Toc144742119" w:history="1">
            <w:r w:rsidR="0045166F" w:rsidRPr="00B83476">
              <w:rPr>
                <w:rStyle w:val="Hyperlink"/>
              </w:rPr>
              <w:t>Early Outreach</w:t>
            </w:r>
            <w:r w:rsidR="0045166F">
              <w:rPr>
                <w:webHidden/>
              </w:rPr>
              <w:tab/>
            </w:r>
            <w:r w:rsidR="0045166F">
              <w:rPr>
                <w:webHidden/>
              </w:rPr>
              <w:fldChar w:fldCharType="begin"/>
            </w:r>
            <w:r w:rsidR="0045166F">
              <w:rPr>
                <w:webHidden/>
              </w:rPr>
              <w:instrText xml:space="preserve"> PAGEREF _Toc144742119 \h </w:instrText>
            </w:r>
            <w:r w:rsidR="0045166F">
              <w:rPr>
                <w:webHidden/>
              </w:rPr>
            </w:r>
            <w:r w:rsidR="0045166F">
              <w:rPr>
                <w:webHidden/>
              </w:rPr>
              <w:fldChar w:fldCharType="separate"/>
            </w:r>
            <w:r w:rsidR="006F39F1">
              <w:rPr>
                <w:webHidden/>
              </w:rPr>
              <w:t>33</w:t>
            </w:r>
            <w:r w:rsidR="0045166F">
              <w:rPr>
                <w:webHidden/>
              </w:rPr>
              <w:fldChar w:fldCharType="end"/>
            </w:r>
          </w:hyperlink>
        </w:p>
        <w:p w14:paraId="5403617E" w14:textId="10DCD134" w:rsidR="0045166F" w:rsidRDefault="002B113E">
          <w:pPr>
            <w:pStyle w:val="TOC3"/>
            <w:rPr>
              <w:rFonts w:asciiTheme="minorHAnsi" w:eastAsiaTheme="minorEastAsia" w:hAnsiTheme="minorHAnsi" w:cstheme="minorBidi"/>
              <w:szCs w:val="22"/>
            </w:rPr>
          </w:pPr>
          <w:hyperlink w:anchor="_Toc144742120" w:history="1">
            <w:r w:rsidR="0045166F" w:rsidRPr="00B83476">
              <w:rPr>
                <w:rStyle w:val="Hyperlink"/>
              </w:rPr>
              <w:t>Consultation Period</w:t>
            </w:r>
            <w:r w:rsidR="0045166F">
              <w:rPr>
                <w:webHidden/>
              </w:rPr>
              <w:tab/>
            </w:r>
            <w:r w:rsidR="0045166F">
              <w:rPr>
                <w:webHidden/>
              </w:rPr>
              <w:fldChar w:fldCharType="begin"/>
            </w:r>
            <w:r w:rsidR="0045166F">
              <w:rPr>
                <w:webHidden/>
              </w:rPr>
              <w:instrText xml:space="preserve"> PAGEREF _Toc144742120 \h </w:instrText>
            </w:r>
            <w:r w:rsidR="0045166F">
              <w:rPr>
                <w:webHidden/>
              </w:rPr>
            </w:r>
            <w:r w:rsidR="0045166F">
              <w:rPr>
                <w:webHidden/>
              </w:rPr>
              <w:fldChar w:fldCharType="separate"/>
            </w:r>
            <w:r w:rsidR="006F39F1">
              <w:rPr>
                <w:webHidden/>
              </w:rPr>
              <w:t>33</w:t>
            </w:r>
            <w:r w:rsidR="0045166F">
              <w:rPr>
                <w:webHidden/>
              </w:rPr>
              <w:fldChar w:fldCharType="end"/>
            </w:r>
          </w:hyperlink>
        </w:p>
        <w:p w14:paraId="20BFF16C" w14:textId="31354C91" w:rsidR="0045166F" w:rsidRDefault="002B113E">
          <w:pPr>
            <w:pStyle w:val="TOC3"/>
            <w:rPr>
              <w:rFonts w:asciiTheme="minorHAnsi" w:eastAsiaTheme="minorEastAsia" w:hAnsiTheme="minorHAnsi" w:cstheme="minorBidi"/>
              <w:szCs w:val="22"/>
            </w:rPr>
          </w:pPr>
          <w:hyperlink w:anchor="_Toc144742121" w:history="1">
            <w:r w:rsidR="0045166F" w:rsidRPr="00B83476">
              <w:rPr>
                <w:rStyle w:val="Hyperlink"/>
              </w:rPr>
              <w:t>Industry Roundtables</w:t>
            </w:r>
            <w:r w:rsidR="0045166F">
              <w:rPr>
                <w:webHidden/>
              </w:rPr>
              <w:tab/>
            </w:r>
            <w:r w:rsidR="0045166F">
              <w:rPr>
                <w:webHidden/>
              </w:rPr>
              <w:fldChar w:fldCharType="begin"/>
            </w:r>
            <w:r w:rsidR="0045166F">
              <w:rPr>
                <w:webHidden/>
              </w:rPr>
              <w:instrText xml:space="preserve"> PAGEREF _Toc144742121 \h </w:instrText>
            </w:r>
            <w:r w:rsidR="0045166F">
              <w:rPr>
                <w:webHidden/>
              </w:rPr>
            </w:r>
            <w:r w:rsidR="0045166F">
              <w:rPr>
                <w:webHidden/>
              </w:rPr>
              <w:fldChar w:fldCharType="separate"/>
            </w:r>
            <w:r w:rsidR="006F39F1">
              <w:rPr>
                <w:webHidden/>
              </w:rPr>
              <w:t>35</w:t>
            </w:r>
            <w:r w:rsidR="0045166F">
              <w:rPr>
                <w:webHidden/>
              </w:rPr>
              <w:fldChar w:fldCharType="end"/>
            </w:r>
          </w:hyperlink>
        </w:p>
        <w:p w14:paraId="7E9D7D1E" w14:textId="49A8749A" w:rsidR="0045166F" w:rsidRDefault="002B113E">
          <w:pPr>
            <w:pStyle w:val="TOC3"/>
            <w:rPr>
              <w:rFonts w:asciiTheme="minorHAnsi" w:eastAsiaTheme="minorEastAsia" w:hAnsiTheme="minorHAnsi" w:cstheme="minorBidi"/>
              <w:szCs w:val="22"/>
            </w:rPr>
          </w:pPr>
          <w:hyperlink w:anchor="_Toc144742122" w:history="1">
            <w:r w:rsidR="0045166F" w:rsidRPr="00B83476">
              <w:rPr>
                <w:rStyle w:val="Hyperlink"/>
              </w:rPr>
              <w:t>Question and Answer Sessions</w:t>
            </w:r>
            <w:r w:rsidR="0045166F">
              <w:rPr>
                <w:webHidden/>
              </w:rPr>
              <w:tab/>
            </w:r>
            <w:r w:rsidR="0045166F">
              <w:rPr>
                <w:webHidden/>
              </w:rPr>
              <w:fldChar w:fldCharType="begin"/>
            </w:r>
            <w:r w:rsidR="0045166F">
              <w:rPr>
                <w:webHidden/>
              </w:rPr>
              <w:instrText xml:space="preserve"> PAGEREF _Toc144742122 \h </w:instrText>
            </w:r>
            <w:r w:rsidR="0045166F">
              <w:rPr>
                <w:webHidden/>
              </w:rPr>
            </w:r>
            <w:r w:rsidR="0045166F">
              <w:rPr>
                <w:webHidden/>
              </w:rPr>
              <w:fldChar w:fldCharType="separate"/>
            </w:r>
            <w:r w:rsidR="006F39F1">
              <w:rPr>
                <w:webHidden/>
              </w:rPr>
              <w:t>35</w:t>
            </w:r>
            <w:r w:rsidR="0045166F">
              <w:rPr>
                <w:webHidden/>
              </w:rPr>
              <w:fldChar w:fldCharType="end"/>
            </w:r>
          </w:hyperlink>
        </w:p>
        <w:p w14:paraId="7AD5F3A3" w14:textId="09EE6D79" w:rsidR="0045166F" w:rsidRDefault="002B113E">
          <w:pPr>
            <w:pStyle w:val="TOC3"/>
            <w:rPr>
              <w:rFonts w:asciiTheme="minorHAnsi" w:eastAsiaTheme="minorEastAsia" w:hAnsiTheme="minorHAnsi" w:cstheme="minorBidi"/>
              <w:szCs w:val="22"/>
            </w:rPr>
          </w:pPr>
          <w:hyperlink w:anchor="_Toc144742123" w:history="1">
            <w:r w:rsidR="0045166F" w:rsidRPr="00B83476">
              <w:rPr>
                <w:rStyle w:val="Hyperlink"/>
              </w:rPr>
              <w:t>Status of the IA at each major decision point.</w:t>
            </w:r>
            <w:r w:rsidR="0045166F">
              <w:rPr>
                <w:webHidden/>
              </w:rPr>
              <w:tab/>
            </w:r>
            <w:r w:rsidR="0045166F">
              <w:rPr>
                <w:webHidden/>
              </w:rPr>
              <w:fldChar w:fldCharType="begin"/>
            </w:r>
            <w:r w:rsidR="0045166F">
              <w:rPr>
                <w:webHidden/>
              </w:rPr>
              <w:instrText xml:space="preserve"> PAGEREF _Toc144742123 \h </w:instrText>
            </w:r>
            <w:r w:rsidR="0045166F">
              <w:rPr>
                <w:webHidden/>
              </w:rPr>
            </w:r>
            <w:r w:rsidR="0045166F">
              <w:rPr>
                <w:webHidden/>
              </w:rPr>
              <w:fldChar w:fldCharType="separate"/>
            </w:r>
            <w:r w:rsidR="006F39F1">
              <w:rPr>
                <w:webHidden/>
              </w:rPr>
              <w:t>35</w:t>
            </w:r>
            <w:r w:rsidR="0045166F">
              <w:rPr>
                <w:webHidden/>
              </w:rPr>
              <w:fldChar w:fldCharType="end"/>
            </w:r>
          </w:hyperlink>
        </w:p>
        <w:p w14:paraId="7CF0AB46" w14:textId="2F2563CA" w:rsidR="0045166F" w:rsidRDefault="002B113E">
          <w:pPr>
            <w:pStyle w:val="TOC1"/>
            <w:rPr>
              <w:rFonts w:asciiTheme="minorHAnsi" w:eastAsiaTheme="minorEastAsia" w:hAnsiTheme="minorHAnsi" w:cstheme="minorBidi"/>
              <w:b w:val="0"/>
              <w:color w:val="auto"/>
            </w:rPr>
          </w:pPr>
          <w:hyperlink w:anchor="_Toc144742124" w:history="1">
            <w:r w:rsidR="0045166F" w:rsidRPr="00B83476">
              <w:rPr>
                <w:rStyle w:val="Hyperlink"/>
              </w:rPr>
              <w:t>Option selection</w:t>
            </w:r>
            <w:r w:rsidR="0045166F">
              <w:rPr>
                <w:webHidden/>
              </w:rPr>
              <w:tab/>
            </w:r>
            <w:r w:rsidR="0045166F">
              <w:rPr>
                <w:webHidden/>
              </w:rPr>
              <w:fldChar w:fldCharType="begin"/>
            </w:r>
            <w:r w:rsidR="0045166F">
              <w:rPr>
                <w:webHidden/>
              </w:rPr>
              <w:instrText xml:space="preserve"> PAGEREF _Toc144742124 \h </w:instrText>
            </w:r>
            <w:r w:rsidR="0045166F">
              <w:rPr>
                <w:webHidden/>
              </w:rPr>
            </w:r>
            <w:r w:rsidR="0045166F">
              <w:rPr>
                <w:webHidden/>
              </w:rPr>
              <w:fldChar w:fldCharType="separate"/>
            </w:r>
            <w:r w:rsidR="006F39F1">
              <w:rPr>
                <w:webHidden/>
              </w:rPr>
              <w:t>36</w:t>
            </w:r>
            <w:r w:rsidR="0045166F">
              <w:rPr>
                <w:webHidden/>
              </w:rPr>
              <w:fldChar w:fldCharType="end"/>
            </w:r>
          </w:hyperlink>
        </w:p>
        <w:p w14:paraId="37E78E65" w14:textId="5AD42580" w:rsidR="0045166F" w:rsidRDefault="002B113E">
          <w:pPr>
            <w:pStyle w:val="TOC1"/>
            <w:rPr>
              <w:rFonts w:asciiTheme="minorHAnsi" w:eastAsiaTheme="minorEastAsia" w:hAnsiTheme="minorHAnsi" w:cstheme="minorBidi"/>
              <w:b w:val="0"/>
              <w:color w:val="auto"/>
            </w:rPr>
          </w:pPr>
          <w:hyperlink w:anchor="_Toc144742125" w:history="1">
            <w:r w:rsidR="0045166F" w:rsidRPr="00B83476">
              <w:rPr>
                <w:rStyle w:val="Hyperlink"/>
              </w:rPr>
              <w:t>Implementation and review</w:t>
            </w:r>
            <w:r w:rsidR="0045166F">
              <w:rPr>
                <w:webHidden/>
              </w:rPr>
              <w:tab/>
            </w:r>
            <w:r w:rsidR="0045166F">
              <w:rPr>
                <w:webHidden/>
              </w:rPr>
              <w:fldChar w:fldCharType="begin"/>
            </w:r>
            <w:r w:rsidR="0045166F">
              <w:rPr>
                <w:webHidden/>
              </w:rPr>
              <w:instrText xml:space="preserve"> PAGEREF _Toc144742125 \h </w:instrText>
            </w:r>
            <w:r w:rsidR="0045166F">
              <w:rPr>
                <w:webHidden/>
              </w:rPr>
            </w:r>
            <w:r w:rsidR="0045166F">
              <w:rPr>
                <w:webHidden/>
              </w:rPr>
              <w:fldChar w:fldCharType="separate"/>
            </w:r>
            <w:r w:rsidR="006F39F1">
              <w:rPr>
                <w:webHidden/>
              </w:rPr>
              <w:t>38</w:t>
            </w:r>
            <w:r w:rsidR="0045166F">
              <w:rPr>
                <w:webHidden/>
              </w:rPr>
              <w:fldChar w:fldCharType="end"/>
            </w:r>
          </w:hyperlink>
        </w:p>
        <w:p w14:paraId="494E9D2C" w14:textId="431C4147" w:rsidR="0045166F" w:rsidRDefault="002B113E">
          <w:pPr>
            <w:pStyle w:val="TOC1"/>
            <w:rPr>
              <w:rFonts w:asciiTheme="minorHAnsi" w:eastAsiaTheme="minorEastAsia" w:hAnsiTheme="minorHAnsi" w:cstheme="minorBidi"/>
              <w:b w:val="0"/>
              <w:color w:val="auto"/>
            </w:rPr>
          </w:pPr>
          <w:hyperlink w:anchor="_Toc144742126" w:history="1">
            <w:r w:rsidR="0045166F" w:rsidRPr="00B83476">
              <w:rPr>
                <w:rStyle w:val="Hyperlink"/>
              </w:rPr>
              <w:t>Appendix A</w:t>
            </w:r>
            <w:r w:rsidR="0045166F">
              <w:rPr>
                <w:webHidden/>
              </w:rPr>
              <w:tab/>
            </w:r>
            <w:r w:rsidR="0045166F">
              <w:rPr>
                <w:webHidden/>
              </w:rPr>
              <w:fldChar w:fldCharType="begin"/>
            </w:r>
            <w:r w:rsidR="0045166F">
              <w:rPr>
                <w:webHidden/>
              </w:rPr>
              <w:instrText xml:space="preserve"> PAGEREF _Toc144742126 \h </w:instrText>
            </w:r>
            <w:r w:rsidR="0045166F">
              <w:rPr>
                <w:webHidden/>
              </w:rPr>
            </w:r>
            <w:r w:rsidR="0045166F">
              <w:rPr>
                <w:webHidden/>
              </w:rPr>
              <w:fldChar w:fldCharType="separate"/>
            </w:r>
            <w:r w:rsidR="006F39F1">
              <w:rPr>
                <w:webHidden/>
              </w:rPr>
              <w:t>41</w:t>
            </w:r>
            <w:r w:rsidR="0045166F">
              <w:rPr>
                <w:webHidden/>
              </w:rPr>
              <w:fldChar w:fldCharType="end"/>
            </w:r>
          </w:hyperlink>
        </w:p>
        <w:p w14:paraId="67F06AB6" w14:textId="78AFE9D1" w:rsidR="0045166F" w:rsidRDefault="002B113E">
          <w:pPr>
            <w:pStyle w:val="TOC2"/>
            <w:rPr>
              <w:rFonts w:asciiTheme="minorHAnsi" w:eastAsiaTheme="minorEastAsia" w:hAnsiTheme="minorHAnsi" w:cstheme="minorBidi"/>
              <w:color w:val="auto"/>
              <w:szCs w:val="22"/>
            </w:rPr>
          </w:pPr>
          <w:hyperlink w:anchor="_Toc144742127" w:history="1">
            <w:r w:rsidR="0045166F" w:rsidRPr="00B83476">
              <w:rPr>
                <w:rStyle w:val="Hyperlink"/>
              </w:rPr>
              <w:t>Estimated costs in other jurisdictions</w:t>
            </w:r>
            <w:r w:rsidR="0045166F">
              <w:rPr>
                <w:webHidden/>
              </w:rPr>
              <w:tab/>
            </w:r>
            <w:r w:rsidR="0045166F">
              <w:rPr>
                <w:webHidden/>
              </w:rPr>
              <w:fldChar w:fldCharType="begin"/>
            </w:r>
            <w:r w:rsidR="0045166F">
              <w:rPr>
                <w:webHidden/>
              </w:rPr>
              <w:instrText xml:space="preserve"> PAGEREF _Toc144742127 \h </w:instrText>
            </w:r>
            <w:r w:rsidR="0045166F">
              <w:rPr>
                <w:webHidden/>
              </w:rPr>
            </w:r>
            <w:r w:rsidR="0045166F">
              <w:rPr>
                <w:webHidden/>
              </w:rPr>
              <w:fldChar w:fldCharType="separate"/>
            </w:r>
            <w:r w:rsidR="006F39F1">
              <w:rPr>
                <w:webHidden/>
              </w:rPr>
              <w:t>41</w:t>
            </w:r>
            <w:r w:rsidR="0045166F">
              <w:rPr>
                <w:webHidden/>
              </w:rPr>
              <w:fldChar w:fldCharType="end"/>
            </w:r>
          </w:hyperlink>
        </w:p>
        <w:p w14:paraId="0D3ABE22" w14:textId="06637FC6" w:rsidR="0045166F" w:rsidRDefault="002B113E">
          <w:pPr>
            <w:pStyle w:val="TOC1"/>
            <w:rPr>
              <w:rFonts w:asciiTheme="minorHAnsi" w:eastAsiaTheme="minorEastAsia" w:hAnsiTheme="minorHAnsi" w:cstheme="minorBidi"/>
              <w:b w:val="0"/>
              <w:color w:val="auto"/>
            </w:rPr>
          </w:pPr>
          <w:hyperlink w:anchor="_Toc144742128" w:history="1">
            <w:r w:rsidR="0045166F" w:rsidRPr="00B83476">
              <w:rPr>
                <w:rStyle w:val="Hyperlink"/>
              </w:rPr>
              <w:t>Appendix B</w:t>
            </w:r>
            <w:r w:rsidR="0045166F">
              <w:rPr>
                <w:webHidden/>
              </w:rPr>
              <w:tab/>
            </w:r>
            <w:r w:rsidR="0045166F">
              <w:rPr>
                <w:webHidden/>
              </w:rPr>
              <w:fldChar w:fldCharType="begin"/>
            </w:r>
            <w:r w:rsidR="0045166F">
              <w:rPr>
                <w:webHidden/>
              </w:rPr>
              <w:instrText xml:space="preserve"> PAGEREF _Toc144742128 \h </w:instrText>
            </w:r>
            <w:r w:rsidR="0045166F">
              <w:rPr>
                <w:webHidden/>
              </w:rPr>
            </w:r>
            <w:r w:rsidR="0045166F">
              <w:rPr>
                <w:webHidden/>
              </w:rPr>
              <w:fldChar w:fldCharType="separate"/>
            </w:r>
            <w:r w:rsidR="006F39F1">
              <w:rPr>
                <w:webHidden/>
              </w:rPr>
              <w:t>43</w:t>
            </w:r>
            <w:r w:rsidR="0045166F">
              <w:rPr>
                <w:webHidden/>
              </w:rPr>
              <w:fldChar w:fldCharType="end"/>
            </w:r>
          </w:hyperlink>
        </w:p>
        <w:p w14:paraId="219CD50D" w14:textId="7DA7BF82" w:rsidR="0045166F" w:rsidRDefault="002B113E">
          <w:pPr>
            <w:pStyle w:val="TOC2"/>
            <w:rPr>
              <w:rFonts w:asciiTheme="minorHAnsi" w:eastAsiaTheme="minorEastAsia" w:hAnsiTheme="minorHAnsi" w:cstheme="minorBidi"/>
              <w:color w:val="auto"/>
              <w:szCs w:val="22"/>
            </w:rPr>
          </w:pPr>
          <w:hyperlink w:anchor="_Toc144742129" w:history="1">
            <w:r w:rsidR="0045166F" w:rsidRPr="00B83476">
              <w:rPr>
                <w:rStyle w:val="Hyperlink"/>
              </w:rPr>
              <w:t>Sensitivity analysis</w:t>
            </w:r>
            <w:r w:rsidR="0045166F">
              <w:rPr>
                <w:webHidden/>
              </w:rPr>
              <w:tab/>
            </w:r>
            <w:r w:rsidR="0045166F">
              <w:rPr>
                <w:webHidden/>
              </w:rPr>
              <w:fldChar w:fldCharType="begin"/>
            </w:r>
            <w:r w:rsidR="0045166F">
              <w:rPr>
                <w:webHidden/>
              </w:rPr>
              <w:instrText xml:space="preserve"> PAGEREF _Toc144742129 \h </w:instrText>
            </w:r>
            <w:r w:rsidR="0045166F">
              <w:rPr>
                <w:webHidden/>
              </w:rPr>
            </w:r>
            <w:r w:rsidR="0045166F">
              <w:rPr>
                <w:webHidden/>
              </w:rPr>
              <w:fldChar w:fldCharType="separate"/>
            </w:r>
            <w:r w:rsidR="006F39F1">
              <w:rPr>
                <w:webHidden/>
              </w:rPr>
              <w:t>43</w:t>
            </w:r>
            <w:r w:rsidR="0045166F">
              <w:rPr>
                <w:webHidden/>
              </w:rPr>
              <w:fldChar w:fldCharType="end"/>
            </w:r>
          </w:hyperlink>
        </w:p>
        <w:p w14:paraId="05D0C8B3" w14:textId="18A61E21" w:rsidR="00E551D2" w:rsidRDefault="00E551D2">
          <w:r w:rsidRPr="0084606F">
            <w:rPr>
              <w:b/>
              <w:bCs/>
              <w:noProof/>
              <w:sz w:val="20"/>
              <w:szCs w:val="18"/>
            </w:rPr>
            <w:fldChar w:fldCharType="end"/>
          </w:r>
        </w:p>
      </w:sdtContent>
    </w:sdt>
    <w:p w14:paraId="35B020CB" w14:textId="77777777" w:rsidR="00D94EE3" w:rsidRPr="00D94EE3" w:rsidRDefault="00D94EE3" w:rsidP="00D94EE3"/>
    <w:p w14:paraId="40E6D434" w14:textId="77777777" w:rsidR="00D94EE3" w:rsidRPr="00D94EE3" w:rsidRDefault="00D94EE3" w:rsidP="00D94EE3">
      <w:pPr>
        <w:sectPr w:rsidR="00D94EE3" w:rsidRPr="00D94EE3" w:rsidSect="000029ED">
          <w:footerReference w:type="first" r:id="rId18"/>
          <w:pgSz w:w="11906" w:h="16838"/>
          <w:pgMar w:top="1418" w:right="1418" w:bottom="1418" w:left="1418" w:header="709" w:footer="709" w:gutter="0"/>
          <w:pgNumType w:fmt="lowerRoman"/>
          <w:cols w:space="708"/>
          <w:titlePg/>
          <w:docGrid w:linePitch="360"/>
        </w:sectPr>
      </w:pPr>
    </w:p>
    <w:p w14:paraId="6923236D" w14:textId="1761EEE6" w:rsidR="0006223A" w:rsidRDefault="0006223A" w:rsidP="0006223A">
      <w:pPr>
        <w:pStyle w:val="Heading1"/>
      </w:pPr>
      <w:bookmarkStart w:id="1" w:name="_Toc144742095"/>
      <w:r>
        <w:t>Key terms</w:t>
      </w:r>
      <w:bookmarkEnd w:id="1"/>
    </w:p>
    <w:tbl>
      <w:tblPr>
        <w:tblStyle w:val="Clear"/>
        <w:tblW w:w="0" w:type="auto"/>
        <w:tblLook w:val="04A0" w:firstRow="1" w:lastRow="0" w:firstColumn="1" w:lastColumn="0" w:noHBand="0" w:noVBand="1"/>
      </w:tblPr>
      <w:tblGrid>
        <w:gridCol w:w="1985"/>
        <w:gridCol w:w="7085"/>
      </w:tblGrid>
      <w:tr w:rsidR="0006223A" w14:paraId="03FB00D4" w14:textId="77777777" w:rsidTr="00D2760A">
        <w:tc>
          <w:tcPr>
            <w:tcW w:w="1985" w:type="dxa"/>
          </w:tcPr>
          <w:p w14:paraId="04130337" w14:textId="77777777" w:rsidR="0006223A" w:rsidRPr="00CB1CBE" w:rsidRDefault="0006223A" w:rsidP="00D2760A">
            <w:pPr>
              <w:rPr>
                <w:b/>
                <w:bCs/>
                <w:color w:val="auto"/>
              </w:rPr>
            </w:pPr>
            <w:r w:rsidRPr="00CB1CBE">
              <w:rPr>
                <w:b/>
                <w:bCs/>
                <w:color w:val="auto"/>
              </w:rPr>
              <w:t>AASB</w:t>
            </w:r>
          </w:p>
        </w:tc>
        <w:tc>
          <w:tcPr>
            <w:tcW w:w="7085" w:type="dxa"/>
          </w:tcPr>
          <w:p w14:paraId="686EF6B2" w14:textId="77777777" w:rsidR="0006223A" w:rsidRPr="00BD641A" w:rsidRDefault="0006223A" w:rsidP="00D2760A">
            <w:pPr>
              <w:rPr>
                <w:color w:val="auto"/>
              </w:rPr>
            </w:pPr>
            <w:r w:rsidRPr="00BD641A">
              <w:rPr>
                <w:color w:val="auto"/>
              </w:rPr>
              <w:t xml:space="preserve">The Australian Accounting Standards Board (AASB) is an independent, non-corporate Commonwealth entity of the Australian Government that develops, </w:t>
            </w:r>
            <w:proofErr w:type="gramStart"/>
            <w:r w:rsidRPr="00BD641A">
              <w:rPr>
                <w:color w:val="auto"/>
              </w:rPr>
              <w:t>issues</w:t>
            </w:r>
            <w:proofErr w:type="gramEnd"/>
            <w:r w:rsidRPr="00BD641A">
              <w:rPr>
                <w:color w:val="auto"/>
              </w:rPr>
              <w:t xml:space="preserve"> and maintains accounting standards applicable to entities in the private and public sectors of the Australian economy.</w:t>
            </w:r>
          </w:p>
        </w:tc>
      </w:tr>
      <w:tr w:rsidR="00FE5DE7" w14:paraId="555D918C" w14:textId="77777777" w:rsidTr="00D2760A">
        <w:tc>
          <w:tcPr>
            <w:tcW w:w="1985" w:type="dxa"/>
          </w:tcPr>
          <w:p w14:paraId="55F9F4DA" w14:textId="105C70F5" w:rsidR="00FE5DE7" w:rsidRPr="00CB1CBE" w:rsidRDefault="00FE5DE7" w:rsidP="00D2760A">
            <w:pPr>
              <w:rPr>
                <w:b/>
                <w:bCs/>
              </w:rPr>
            </w:pPr>
            <w:r w:rsidRPr="00FE5DE7">
              <w:rPr>
                <w:b/>
                <w:bCs/>
                <w:color w:val="auto"/>
              </w:rPr>
              <w:t>ASIC</w:t>
            </w:r>
          </w:p>
        </w:tc>
        <w:tc>
          <w:tcPr>
            <w:tcW w:w="7085" w:type="dxa"/>
          </w:tcPr>
          <w:p w14:paraId="71333AA4" w14:textId="5653D46C" w:rsidR="00FE5DE7" w:rsidRPr="00BD641A" w:rsidRDefault="00AA4C49" w:rsidP="00D2760A">
            <w:pPr>
              <w:rPr>
                <w:color w:val="auto"/>
              </w:rPr>
            </w:pPr>
            <w:r w:rsidRPr="00BD641A">
              <w:rPr>
                <w:color w:val="auto"/>
              </w:rPr>
              <w:t xml:space="preserve">The Australian Securities </w:t>
            </w:r>
            <w:r w:rsidR="0047777B" w:rsidRPr="00BD641A">
              <w:rPr>
                <w:color w:val="auto"/>
              </w:rPr>
              <w:t>&amp;</w:t>
            </w:r>
            <w:r w:rsidRPr="00BD641A">
              <w:rPr>
                <w:color w:val="auto"/>
              </w:rPr>
              <w:t xml:space="preserve"> Investments Commission (ASIC) is Australia's integrated corporate, markets, financial </w:t>
            </w:r>
            <w:proofErr w:type="gramStart"/>
            <w:r w:rsidRPr="00BD641A">
              <w:rPr>
                <w:color w:val="auto"/>
              </w:rPr>
              <w:t>services</w:t>
            </w:r>
            <w:proofErr w:type="gramEnd"/>
            <w:r w:rsidRPr="00BD641A">
              <w:rPr>
                <w:color w:val="auto"/>
              </w:rPr>
              <w:t xml:space="preserve"> and consumer credit regulator.</w:t>
            </w:r>
          </w:p>
        </w:tc>
      </w:tr>
      <w:tr w:rsidR="00FE5DE7" w14:paraId="06C65B99" w14:textId="77777777" w:rsidTr="00D2760A">
        <w:tc>
          <w:tcPr>
            <w:tcW w:w="1985" w:type="dxa"/>
          </w:tcPr>
          <w:p w14:paraId="6BFF72A6" w14:textId="32F45AA0" w:rsidR="00FE5DE7" w:rsidRPr="00FE5DE7" w:rsidRDefault="00FE5DE7" w:rsidP="00D2760A">
            <w:pPr>
              <w:rPr>
                <w:b/>
                <w:bCs/>
              </w:rPr>
            </w:pPr>
            <w:r w:rsidRPr="00FE5DE7">
              <w:rPr>
                <w:b/>
                <w:bCs/>
                <w:color w:val="auto"/>
              </w:rPr>
              <w:t>APRA</w:t>
            </w:r>
          </w:p>
        </w:tc>
        <w:tc>
          <w:tcPr>
            <w:tcW w:w="7085" w:type="dxa"/>
          </w:tcPr>
          <w:p w14:paraId="41DE433D" w14:textId="4057999F" w:rsidR="00FE5DE7" w:rsidRPr="00BD641A" w:rsidRDefault="00980D77" w:rsidP="00D2760A">
            <w:pPr>
              <w:rPr>
                <w:color w:val="auto"/>
              </w:rPr>
            </w:pPr>
            <w:r w:rsidRPr="00BD641A">
              <w:rPr>
                <w:color w:val="auto"/>
              </w:rPr>
              <w:t xml:space="preserve">The Australian </w:t>
            </w:r>
            <w:r w:rsidR="004021F8" w:rsidRPr="00BD641A">
              <w:rPr>
                <w:color w:val="auto"/>
              </w:rPr>
              <w:t>Prudential Regulation Authority (APRA)</w:t>
            </w:r>
            <w:r w:rsidRPr="00BD641A">
              <w:rPr>
                <w:color w:val="auto"/>
              </w:rPr>
              <w:t xml:space="preserve"> is Australia's prudential regulator of banks, insurance companies and most superannuation funds.</w:t>
            </w:r>
          </w:p>
        </w:tc>
      </w:tr>
      <w:tr w:rsidR="0006223A" w14:paraId="2D99E6C4" w14:textId="77777777" w:rsidTr="00D2760A">
        <w:tc>
          <w:tcPr>
            <w:tcW w:w="1985" w:type="dxa"/>
          </w:tcPr>
          <w:p w14:paraId="4F5B89A6" w14:textId="77777777" w:rsidR="0006223A" w:rsidRPr="00CB1CBE" w:rsidRDefault="0006223A" w:rsidP="00D2760A">
            <w:pPr>
              <w:rPr>
                <w:b/>
                <w:bCs/>
                <w:color w:val="auto"/>
              </w:rPr>
            </w:pPr>
            <w:r w:rsidRPr="00CB1CBE">
              <w:rPr>
                <w:b/>
                <w:bCs/>
                <w:color w:val="auto"/>
              </w:rPr>
              <w:t>AUASB</w:t>
            </w:r>
          </w:p>
        </w:tc>
        <w:tc>
          <w:tcPr>
            <w:tcW w:w="7085" w:type="dxa"/>
          </w:tcPr>
          <w:p w14:paraId="05BC8DD5" w14:textId="77777777" w:rsidR="0006223A" w:rsidRPr="00BD641A" w:rsidRDefault="0006223A" w:rsidP="00D2760A">
            <w:pPr>
              <w:rPr>
                <w:color w:val="auto"/>
              </w:rPr>
            </w:pPr>
            <w:r w:rsidRPr="00BD641A">
              <w:rPr>
                <w:color w:val="auto"/>
              </w:rPr>
              <w:t xml:space="preserve">The Auditing and Assurance Standards Board (AUASB) is an independent, non-corporate Commonwealth entity of the Australian Government, responsible for developing, </w:t>
            </w:r>
            <w:proofErr w:type="gramStart"/>
            <w:r w:rsidRPr="00BD641A">
              <w:rPr>
                <w:color w:val="auto"/>
              </w:rPr>
              <w:t>issuing</w:t>
            </w:r>
            <w:proofErr w:type="gramEnd"/>
            <w:r w:rsidRPr="00BD641A">
              <w:rPr>
                <w:color w:val="auto"/>
              </w:rPr>
              <w:t xml:space="preserve"> and maintaining auditing and assurance standards.</w:t>
            </w:r>
          </w:p>
        </w:tc>
      </w:tr>
      <w:tr w:rsidR="0006223A" w14:paraId="28A4E33B" w14:textId="77777777" w:rsidTr="00D2760A">
        <w:tc>
          <w:tcPr>
            <w:tcW w:w="1985" w:type="dxa"/>
          </w:tcPr>
          <w:p w14:paraId="0436C480" w14:textId="77777777" w:rsidR="0006223A" w:rsidRPr="00CB1CBE" w:rsidRDefault="0006223A" w:rsidP="00D2760A">
            <w:pPr>
              <w:rPr>
                <w:b/>
                <w:bCs/>
                <w:color w:val="auto"/>
              </w:rPr>
            </w:pPr>
            <w:r w:rsidRPr="00CB1CBE">
              <w:rPr>
                <w:b/>
                <w:bCs/>
                <w:color w:val="auto"/>
              </w:rPr>
              <w:t>IFRS</w:t>
            </w:r>
          </w:p>
        </w:tc>
        <w:tc>
          <w:tcPr>
            <w:tcW w:w="7085" w:type="dxa"/>
          </w:tcPr>
          <w:p w14:paraId="441D0711" w14:textId="2071AF6C" w:rsidR="0006223A" w:rsidRPr="00CB1CBE" w:rsidRDefault="0006223A" w:rsidP="00D2760A">
            <w:pPr>
              <w:rPr>
                <w:color w:val="auto"/>
              </w:rPr>
            </w:pPr>
            <w:r w:rsidRPr="005E238C">
              <w:rPr>
                <w:color w:val="auto"/>
              </w:rPr>
              <w:t>The International Financial Reporting Standards (IFRS) Foundation is a not</w:t>
            </w:r>
            <w:r w:rsidR="00432EDE">
              <w:rPr>
                <w:color w:val="auto"/>
              </w:rPr>
              <w:t>-</w:t>
            </w:r>
            <w:r w:rsidRPr="005E238C">
              <w:rPr>
                <w:color w:val="auto"/>
              </w:rPr>
              <w:t>for-profit established to develop globally accepted accounting and sustainability disclosure standards</w:t>
            </w:r>
            <w:r>
              <w:rPr>
                <w:color w:val="auto"/>
              </w:rPr>
              <w:t>.</w:t>
            </w:r>
            <w:r>
              <w:rPr>
                <w:color w:val="auto"/>
              </w:rPr>
              <w:br/>
            </w:r>
            <w:r>
              <w:rPr>
                <w:color w:val="auto"/>
              </w:rPr>
              <w:br/>
              <w:t>T</w:t>
            </w:r>
            <w:r w:rsidRPr="00D97648">
              <w:rPr>
                <w:color w:val="auto"/>
              </w:rPr>
              <w:t>he Standards are developed by their two standard-setting boards, the International Accounting Standards Board (IASB) and the International Sustainability Standards Board’s (ISSB).</w:t>
            </w:r>
          </w:p>
        </w:tc>
      </w:tr>
      <w:tr w:rsidR="0006223A" w14:paraId="75236B5E" w14:textId="77777777" w:rsidTr="00D2760A">
        <w:tc>
          <w:tcPr>
            <w:tcW w:w="1985" w:type="dxa"/>
          </w:tcPr>
          <w:p w14:paraId="58AE0FEB" w14:textId="77777777" w:rsidR="0006223A" w:rsidRPr="00CB1CBE" w:rsidRDefault="0006223A" w:rsidP="00D2760A">
            <w:pPr>
              <w:rPr>
                <w:b/>
                <w:bCs/>
                <w:color w:val="auto"/>
              </w:rPr>
            </w:pPr>
            <w:r w:rsidRPr="00CB1CBE">
              <w:rPr>
                <w:b/>
                <w:bCs/>
                <w:color w:val="auto"/>
              </w:rPr>
              <w:t>ISSB</w:t>
            </w:r>
          </w:p>
        </w:tc>
        <w:tc>
          <w:tcPr>
            <w:tcW w:w="7085" w:type="dxa"/>
          </w:tcPr>
          <w:p w14:paraId="28A5A122" w14:textId="77777777" w:rsidR="0006223A" w:rsidRPr="00CB1CBE" w:rsidRDefault="0006223A" w:rsidP="00D2760A">
            <w:pPr>
              <w:rPr>
                <w:color w:val="auto"/>
              </w:rPr>
            </w:pPr>
            <w:r w:rsidRPr="00A003F8">
              <w:rPr>
                <w:color w:val="auto"/>
              </w:rPr>
              <w:t>The International Sustainability Standards Board (ISSB) was established in 2021 to develop a comprehensive global baseline of sustainability disclosures for capital markets.</w:t>
            </w:r>
          </w:p>
        </w:tc>
      </w:tr>
      <w:tr w:rsidR="0006223A" w14:paraId="17EE952A" w14:textId="77777777" w:rsidTr="00D2760A">
        <w:tc>
          <w:tcPr>
            <w:tcW w:w="1985" w:type="dxa"/>
          </w:tcPr>
          <w:p w14:paraId="6ADAE311" w14:textId="77777777" w:rsidR="0006223A" w:rsidRPr="00CB1CBE" w:rsidRDefault="0006223A" w:rsidP="00D2760A">
            <w:pPr>
              <w:rPr>
                <w:b/>
                <w:bCs/>
                <w:color w:val="auto"/>
              </w:rPr>
            </w:pPr>
            <w:r>
              <w:rPr>
                <w:b/>
                <w:bCs/>
                <w:color w:val="auto"/>
              </w:rPr>
              <w:t>NGER Reporting Entity</w:t>
            </w:r>
          </w:p>
        </w:tc>
        <w:tc>
          <w:tcPr>
            <w:tcW w:w="7085" w:type="dxa"/>
          </w:tcPr>
          <w:p w14:paraId="6A45EEFF" w14:textId="77777777" w:rsidR="0006223A" w:rsidRPr="00CB1CBE" w:rsidRDefault="0006223A" w:rsidP="00D2760A">
            <w:pPr>
              <w:rPr>
                <w:color w:val="auto"/>
              </w:rPr>
            </w:pPr>
            <w:r w:rsidRPr="00F364B0">
              <w:rPr>
                <w:color w:val="auto"/>
              </w:rPr>
              <w:t xml:space="preserve">An entity required to lodge financial reports under Chapter 2M of the </w:t>
            </w:r>
            <w:r w:rsidRPr="00F364B0">
              <w:rPr>
                <w:i/>
                <w:iCs/>
                <w:color w:val="auto"/>
              </w:rPr>
              <w:t>Corporations Act (2001)</w:t>
            </w:r>
            <w:r>
              <w:rPr>
                <w:i/>
                <w:iCs/>
                <w:color w:val="auto"/>
              </w:rPr>
              <w:t xml:space="preserve"> </w:t>
            </w:r>
            <w:r w:rsidRPr="00F364B0">
              <w:rPr>
                <w:color w:val="auto"/>
              </w:rPr>
              <w:t>(</w:t>
            </w:r>
            <w:proofErr w:type="spellStart"/>
            <w:r w:rsidRPr="00F364B0">
              <w:rPr>
                <w:color w:val="auto"/>
              </w:rPr>
              <w:t>Cth</w:t>
            </w:r>
            <w:proofErr w:type="spellEnd"/>
            <w:r w:rsidRPr="00F364B0">
              <w:rPr>
                <w:color w:val="auto"/>
              </w:rPr>
              <w:t xml:space="preserve">) that is registered as a ‘Controlling Corporation’ reporting under the </w:t>
            </w:r>
            <w:r w:rsidRPr="00F364B0">
              <w:rPr>
                <w:i/>
                <w:iCs/>
                <w:color w:val="auto"/>
              </w:rPr>
              <w:t>National Greenhouse and Energy Reporting Act 2007</w:t>
            </w:r>
            <w:r>
              <w:rPr>
                <w:color w:val="auto"/>
              </w:rPr>
              <w:t xml:space="preserve"> </w:t>
            </w:r>
            <w:r w:rsidRPr="00F364B0">
              <w:rPr>
                <w:color w:val="auto"/>
              </w:rPr>
              <w:t>(</w:t>
            </w:r>
            <w:proofErr w:type="spellStart"/>
            <w:r w:rsidRPr="00F364B0">
              <w:rPr>
                <w:color w:val="auto"/>
              </w:rPr>
              <w:t>Cth</w:t>
            </w:r>
            <w:proofErr w:type="spellEnd"/>
            <w:r w:rsidRPr="00F364B0">
              <w:rPr>
                <w:color w:val="auto"/>
              </w:rPr>
              <w:t>).</w:t>
            </w:r>
          </w:p>
        </w:tc>
      </w:tr>
      <w:tr w:rsidR="0006223A" w14:paraId="3BE093BA" w14:textId="77777777" w:rsidTr="00D2760A">
        <w:tc>
          <w:tcPr>
            <w:tcW w:w="1985" w:type="dxa"/>
          </w:tcPr>
          <w:p w14:paraId="36DD2EA5" w14:textId="77777777" w:rsidR="0006223A" w:rsidRPr="00CB1CBE" w:rsidRDefault="0006223A" w:rsidP="00D2760A">
            <w:pPr>
              <w:rPr>
                <w:b/>
                <w:bCs/>
                <w:color w:val="auto"/>
              </w:rPr>
            </w:pPr>
            <w:r>
              <w:rPr>
                <w:b/>
                <w:bCs/>
                <w:color w:val="auto"/>
              </w:rPr>
              <w:t>Scope 1, 2 and 3 (emissions)</w:t>
            </w:r>
          </w:p>
        </w:tc>
        <w:tc>
          <w:tcPr>
            <w:tcW w:w="7085" w:type="dxa"/>
          </w:tcPr>
          <w:p w14:paraId="5E53473B" w14:textId="77777777" w:rsidR="0006223A" w:rsidRPr="00CB1CBE" w:rsidRDefault="0006223A" w:rsidP="00D2760A">
            <w:pPr>
              <w:rPr>
                <w:color w:val="auto"/>
              </w:rPr>
            </w:pPr>
            <w:r w:rsidRPr="006B369F">
              <w:rPr>
                <w:color w:val="auto"/>
              </w:rPr>
              <w:t xml:space="preserve">Scope 1 covers direct greenhouse gas emissions from owned or controlled sources. Scope 2 covers indirect greenhouse gas emissions from the generation of purchased electricity, steam, </w:t>
            </w:r>
            <w:proofErr w:type="gramStart"/>
            <w:r w:rsidRPr="006B369F">
              <w:rPr>
                <w:color w:val="auto"/>
              </w:rPr>
              <w:t>heating</w:t>
            </w:r>
            <w:proofErr w:type="gramEnd"/>
            <w:r w:rsidRPr="006B369F">
              <w:rPr>
                <w:color w:val="auto"/>
              </w:rPr>
              <w:t xml:space="preserve"> and cooling consumed by the reporting company. Scope 3 includes all other greenhouse gas emissions that occur upstream and downstream in a company’s value chain</w:t>
            </w:r>
            <w:r>
              <w:rPr>
                <w:color w:val="auto"/>
              </w:rPr>
              <w:t>.</w:t>
            </w:r>
          </w:p>
        </w:tc>
      </w:tr>
      <w:tr w:rsidR="0006223A" w14:paraId="20A6686F" w14:textId="77777777" w:rsidTr="00D2760A">
        <w:tc>
          <w:tcPr>
            <w:tcW w:w="1985" w:type="dxa"/>
          </w:tcPr>
          <w:p w14:paraId="319012A0" w14:textId="77777777" w:rsidR="0006223A" w:rsidRPr="00CB1CBE" w:rsidRDefault="0006223A" w:rsidP="00D2760A">
            <w:pPr>
              <w:rPr>
                <w:b/>
                <w:bCs/>
                <w:color w:val="auto"/>
              </w:rPr>
            </w:pPr>
            <w:r>
              <w:rPr>
                <w:b/>
                <w:bCs/>
                <w:color w:val="auto"/>
              </w:rPr>
              <w:t>TCFD</w:t>
            </w:r>
          </w:p>
        </w:tc>
        <w:tc>
          <w:tcPr>
            <w:tcW w:w="7085" w:type="dxa"/>
          </w:tcPr>
          <w:p w14:paraId="7F27459C" w14:textId="76CFA03F" w:rsidR="007A1CBB" w:rsidRPr="00CB1CBE" w:rsidRDefault="0006223A" w:rsidP="00D2760A">
            <w:pPr>
              <w:rPr>
                <w:color w:val="auto"/>
              </w:rPr>
            </w:pPr>
            <w:r w:rsidRPr="007C03CA">
              <w:rPr>
                <w:color w:val="auto"/>
              </w:rPr>
              <w:t>The Task Force on Climate-Related Financial Disclosures (TCFD) was created by the Financial Stability Board (FSB). In 2017, the TCFD released climate</w:t>
            </w:r>
            <w:r w:rsidR="003D4010">
              <w:rPr>
                <w:color w:val="auto"/>
              </w:rPr>
              <w:t xml:space="preserve"> </w:t>
            </w:r>
            <w:r w:rsidRPr="007C03CA">
              <w:rPr>
                <w:color w:val="auto"/>
              </w:rPr>
              <w:t>related financial disclosure recommendations.</w:t>
            </w:r>
          </w:p>
        </w:tc>
      </w:tr>
      <w:tr w:rsidR="007A1CBB" w14:paraId="6009D5BC" w14:textId="77777777" w:rsidTr="00D2760A">
        <w:tc>
          <w:tcPr>
            <w:tcW w:w="1985" w:type="dxa"/>
          </w:tcPr>
          <w:p w14:paraId="663F2D5A" w14:textId="2C14D8D6" w:rsidR="007A1CBB" w:rsidRDefault="007A1CBB" w:rsidP="00D2760A">
            <w:pPr>
              <w:rPr>
                <w:b/>
                <w:bCs/>
              </w:rPr>
            </w:pPr>
            <w:r w:rsidRPr="007A1CBB">
              <w:rPr>
                <w:b/>
                <w:bCs/>
                <w:color w:val="auto"/>
              </w:rPr>
              <w:t>Listed compan</w:t>
            </w:r>
            <w:r w:rsidR="00CE707A">
              <w:rPr>
                <w:b/>
                <w:bCs/>
                <w:color w:val="auto"/>
              </w:rPr>
              <w:t>y</w:t>
            </w:r>
          </w:p>
        </w:tc>
        <w:tc>
          <w:tcPr>
            <w:tcW w:w="7085" w:type="dxa"/>
          </w:tcPr>
          <w:p w14:paraId="20BBCF3B" w14:textId="054E2018" w:rsidR="007A1CBB" w:rsidRPr="00407602" w:rsidRDefault="00CE707A" w:rsidP="00D2760A">
            <w:pPr>
              <w:rPr>
                <w:color w:val="auto"/>
              </w:rPr>
            </w:pPr>
            <w:r w:rsidRPr="00407602">
              <w:rPr>
                <w:color w:val="auto"/>
              </w:rPr>
              <w:t>A</w:t>
            </w:r>
            <w:r w:rsidR="00700F53" w:rsidRPr="00407602">
              <w:rPr>
                <w:color w:val="auto"/>
              </w:rPr>
              <w:t>n organisation</w:t>
            </w:r>
            <w:r w:rsidR="00AB588F" w:rsidRPr="00407602">
              <w:rPr>
                <w:color w:val="auto"/>
              </w:rPr>
              <w:t xml:space="preserve"> that is </w:t>
            </w:r>
            <w:r w:rsidR="00477F0C" w:rsidRPr="00407602">
              <w:rPr>
                <w:color w:val="auto"/>
              </w:rPr>
              <w:t>p</w:t>
            </w:r>
            <w:r w:rsidR="00477F0C" w:rsidRPr="00477F0C">
              <w:rPr>
                <w:color w:val="auto"/>
              </w:rPr>
              <w:t>ublicly owned</w:t>
            </w:r>
            <w:r w:rsidR="00AB588F" w:rsidRPr="00407602">
              <w:rPr>
                <w:color w:val="auto"/>
              </w:rPr>
              <w:t xml:space="preserve"> entity whose</w:t>
            </w:r>
            <w:r w:rsidRPr="00407602">
              <w:rPr>
                <w:color w:val="auto"/>
              </w:rPr>
              <w:t xml:space="preserve"> shares can be </w:t>
            </w:r>
            <w:r w:rsidR="00AB588F" w:rsidRPr="00407602">
              <w:rPr>
                <w:color w:val="auto"/>
              </w:rPr>
              <w:t>traded on a stock exchange.</w:t>
            </w:r>
          </w:p>
        </w:tc>
      </w:tr>
      <w:tr w:rsidR="0006223A" w14:paraId="2CBB6552" w14:textId="77777777" w:rsidTr="00D2760A">
        <w:tc>
          <w:tcPr>
            <w:tcW w:w="1985" w:type="dxa"/>
          </w:tcPr>
          <w:p w14:paraId="2B01406B" w14:textId="0C1F3AFF" w:rsidR="0006223A" w:rsidRDefault="007A1CBB" w:rsidP="00D2760A">
            <w:pPr>
              <w:rPr>
                <w:b/>
                <w:bCs/>
              </w:rPr>
            </w:pPr>
            <w:r w:rsidRPr="007A1CBB">
              <w:rPr>
                <w:b/>
                <w:bCs/>
                <w:color w:val="auto"/>
              </w:rPr>
              <w:t>Unlisted compan</w:t>
            </w:r>
            <w:r w:rsidR="00CE707A">
              <w:rPr>
                <w:b/>
                <w:bCs/>
                <w:color w:val="auto"/>
              </w:rPr>
              <w:t>y</w:t>
            </w:r>
          </w:p>
        </w:tc>
        <w:tc>
          <w:tcPr>
            <w:tcW w:w="7085" w:type="dxa"/>
          </w:tcPr>
          <w:p w14:paraId="6A111765" w14:textId="7FC7AA51" w:rsidR="0006223A" w:rsidRPr="00407602" w:rsidRDefault="001F0C05" w:rsidP="00D2760A">
            <w:pPr>
              <w:rPr>
                <w:color w:val="auto"/>
              </w:rPr>
            </w:pPr>
            <w:r w:rsidRPr="00407602">
              <w:rPr>
                <w:color w:val="auto"/>
              </w:rPr>
              <w:t>A privately owned entity.</w:t>
            </w:r>
          </w:p>
        </w:tc>
      </w:tr>
    </w:tbl>
    <w:p w14:paraId="2C2AB649" w14:textId="77777777" w:rsidR="0006223A" w:rsidRDefault="0006223A" w:rsidP="0006223A"/>
    <w:p w14:paraId="7D9FCA89" w14:textId="77777777" w:rsidR="0006223A" w:rsidRDefault="0006223A" w:rsidP="0006223A">
      <w:pPr>
        <w:spacing w:before="0" w:after="200" w:line="276" w:lineRule="auto"/>
      </w:pPr>
      <w:r>
        <w:br w:type="page"/>
      </w:r>
    </w:p>
    <w:p w14:paraId="72679B2A" w14:textId="228830AA" w:rsidR="000029ED" w:rsidRDefault="000029ED" w:rsidP="00EA5697">
      <w:pPr>
        <w:pStyle w:val="Heading1"/>
      </w:pPr>
      <w:bookmarkStart w:id="2" w:name="_Toc144742096"/>
      <w:r>
        <w:t>Executive Summary</w:t>
      </w:r>
      <w:bookmarkEnd w:id="2"/>
    </w:p>
    <w:p w14:paraId="70C2102C" w14:textId="2480638E" w:rsidR="00664058" w:rsidRDefault="003646BE" w:rsidP="00197F54">
      <w:r>
        <w:t>The Government</w:t>
      </w:r>
      <w:r w:rsidR="00C647B2">
        <w:t xml:space="preserve"> has legislated Australia’s commitment </w:t>
      </w:r>
      <w:r w:rsidR="00E03A81">
        <w:t xml:space="preserve">to </w:t>
      </w:r>
      <w:r w:rsidR="002212C8">
        <w:t xml:space="preserve">reduce </w:t>
      </w:r>
      <w:r w:rsidR="009D73B6">
        <w:t xml:space="preserve">emissions by </w:t>
      </w:r>
      <w:r w:rsidR="00926B30">
        <w:t xml:space="preserve">43% by 2030 and achieve </w:t>
      </w:r>
      <w:r w:rsidR="00E03A81">
        <w:t>net zero emissions by 2050.</w:t>
      </w:r>
      <w:r w:rsidR="007A02BD" w:rsidRPr="007A02BD">
        <w:t xml:space="preserve"> </w:t>
      </w:r>
      <w:r w:rsidR="00FF1F4B">
        <w:t>Financial markets will be critical in financing the substantial investment</w:t>
      </w:r>
      <w:r w:rsidR="00FF1F4B" w:rsidRPr="00157273">
        <w:rPr>
          <w:rStyle w:val="FootnoteReference"/>
          <w:position w:val="6"/>
          <w:vertAlign w:val="superscript"/>
        </w:rPr>
        <w:footnoteReference w:id="2"/>
      </w:r>
      <w:r w:rsidR="00FF1F4B">
        <w:t xml:space="preserve"> required to meet the</w:t>
      </w:r>
      <w:r w:rsidR="00926B30">
        <w:t>se targets</w:t>
      </w:r>
      <w:r w:rsidR="00FF1F4B">
        <w:t xml:space="preserve">. </w:t>
      </w:r>
    </w:p>
    <w:p w14:paraId="42A81A1B" w14:textId="392C84D2" w:rsidR="00C4500C" w:rsidRDefault="00831CE1" w:rsidP="00197F54">
      <w:r>
        <w:t xml:space="preserve">To </w:t>
      </w:r>
      <w:r w:rsidR="006862F5">
        <w:t>appropriate</w:t>
      </w:r>
      <w:r w:rsidR="00051B68">
        <w:t>ly</w:t>
      </w:r>
      <w:r w:rsidR="006862F5">
        <w:t xml:space="preserve"> </w:t>
      </w:r>
      <w:r w:rsidR="00376AA0">
        <w:t xml:space="preserve">price climate-related risks and </w:t>
      </w:r>
      <w:r w:rsidR="00051B68">
        <w:t xml:space="preserve">opportunities, </w:t>
      </w:r>
      <w:r w:rsidR="00874FA5">
        <w:t xml:space="preserve">value assets and </w:t>
      </w:r>
      <w:r>
        <w:t xml:space="preserve">allocate capital efficiently, </w:t>
      </w:r>
      <w:r w:rsidR="009743BF">
        <w:t xml:space="preserve">investors need </w:t>
      </w:r>
      <w:r w:rsidR="00253E53">
        <w:t>information on</w:t>
      </w:r>
      <w:r w:rsidR="009743BF">
        <w:t xml:space="preserve"> </w:t>
      </w:r>
      <w:r w:rsidR="00E91A9B">
        <w:t xml:space="preserve">climate </w:t>
      </w:r>
      <w:r w:rsidR="009743BF">
        <w:t xml:space="preserve">risks and opportunities and the actions being taken </w:t>
      </w:r>
      <w:r w:rsidR="00253E53">
        <w:t xml:space="preserve">by individual companies </w:t>
      </w:r>
      <w:r w:rsidR="009743BF">
        <w:t>to meet their climate change targets</w:t>
      </w:r>
      <w:r w:rsidR="00217751">
        <w:t xml:space="preserve">. </w:t>
      </w:r>
      <w:r w:rsidR="00633405">
        <w:t>Climate</w:t>
      </w:r>
      <w:r w:rsidR="002488B8">
        <w:t>-</w:t>
      </w:r>
      <w:r w:rsidR="00633405">
        <w:t xml:space="preserve">related financial disclosures </w:t>
      </w:r>
      <w:r w:rsidR="00593A7B">
        <w:t>are</w:t>
      </w:r>
      <w:r w:rsidR="00633405">
        <w:t xml:space="preserve"> an important mechanism through which companies can communicate this information to investors.</w:t>
      </w:r>
      <w:r w:rsidR="00E20513">
        <w:t xml:space="preserve"> </w:t>
      </w:r>
      <w:r w:rsidR="005D0FD2">
        <w:t>Effecti</w:t>
      </w:r>
      <w:r w:rsidR="00367DAB">
        <w:t xml:space="preserve">ve disclosures will </w:t>
      </w:r>
      <w:r w:rsidR="00AB5357">
        <w:t xml:space="preserve">ensure </w:t>
      </w:r>
      <w:r w:rsidR="00130821">
        <w:t xml:space="preserve">the </w:t>
      </w:r>
      <w:r w:rsidR="2B72A0DC">
        <w:t xml:space="preserve">financial </w:t>
      </w:r>
      <w:r w:rsidR="00130821">
        <w:t xml:space="preserve">effects of climate change </w:t>
      </w:r>
      <w:r w:rsidR="002A385F">
        <w:t xml:space="preserve">are routinely considered in business and investment decisions. </w:t>
      </w:r>
    </w:p>
    <w:p w14:paraId="706A6EF1" w14:textId="440CCD8F" w:rsidR="00E73AF0" w:rsidRDefault="006907A0" w:rsidP="00197F54">
      <w:r>
        <w:t>In 2017, t</w:t>
      </w:r>
      <w:r w:rsidR="00D339CF">
        <w:t xml:space="preserve">he Taskforce on Climate-related Financial Disclosures </w:t>
      </w:r>
      <w:r w:rsidR="001D53F1">
        <w:t>(TCFD)</w:t>
      </w:r>
      <w:r w:rsidR="00D339CF">
        <w:t xml:space="preserve"> established a </w:t>
      </w:r>
      <w:r w:rsidR="00E01744">
        <w:t xml:space="preserve">global, </w:t>
      </w:r>
      <w:r w:rsidR="00067053">
        <w:t>voluntary framework for</w:t>
      </w:r>
      <w:r w:rsidR="003A049B">
        <w:t xml:space="preserve"> disclosing climate risks</w:t>
      </w:r>
      <w:r w:rsidR="002477BE">
        <w:t xml:space="preserve">. However, </w:t>
      </w:r>
      <w:r w:rsidR="0054434A">
        <w:t>while</w:t>
      </w:r>
      <w:r w:rsidR="00D339CF">
        <w:t xml:space="preserve"> voluntary </w:t>
      </w:r>
      <w:r w:rsidR="00A67F03">
        <w:t xml:space="preserve">take up </w:t>
      </w:r>
      <w:r w:rsidR="00DB64B7">
        <w:t>is increasing over time</w:t>
      </w:r>
      <w:r w:rsidR="00A97A0D">
        <w:t>,</w:t>
      </w:r>
      <w:r w:rsidR="00B15823">
        <w:t xml:space="preserve"> </w:t>
      </w:r>
      <w:r w:rsidR="00555221">
        <w:t>it has</w:t>
      </w:r>
      <w:r w:rsidR="00B15823">
        <w:t xml:space="preserve"> </w:t>
      </w:r>
      <w:r w:rsidR="00555221">
        <w:t>been</w:t>
      </w:r>
      <w:r w:rsidR="0021366E">
        <w:t xml:space="preserve"> </w:t>
      </w:r>
      <w:r w:rsidR="00B15823">
        <w:t>limited to</w:t>
      </w:r>
      <w:r w:rsidR="00A00FBC">
        <w:t xml:space="preserve"> </w:t>
      </w:r>
      <w:r w:rsidR="00B15823">
        <w:t>companies</w:t>
      </w:r>
      <w:r w:rsidR="009944A3">
        <w:t xml:space="preserve"> </w:t>
      </w:r>
      <w:r w:rsidR="00B15823">
        <w:t xml:space="preserve">with </w:t>
      </w:r>
      <w:r w:rsidR="00A00FBC">
        <w:t xml:space="preserve">the most </w:t>
      </w:r>
      <w:r w:rsidR="00B15823">
        <w:t>resources</w:t>
      </w:r>
      <w:r w:rsidR="00347274" w:rsidRPr="00B46B30">
        <w:rPr>
          <w:rStyle w:val="FootnoteReference"/>
          <w:position w:val="6"/>
          <w:vertAlign w:val="superscript"/>
        </w:rPr>
        <w:footnoteReference w:id="3"/>
      </w:r>
      <w:r w:rsidR="00B15823">
        <w:t xml:space="preserve">. </w:t>
      </w:r>
      <w:r w:rsidR="009B0E61">
        <w:t xml:space="preserve">Given this, jurisdictions globally </w:t>
      </w:r>
      <w:r w:rsidR="00A61470">
        <w:t xml:space="preserve">have commenced implementing mandatory climate risk disclosure regimes (for example, New Zealand, United </w:t>
      </w:r>
      <w:proofErr w:type="gramStart"/>
      <w:r w:rsidR="00A61470">
        <w:t>Kingdom</w:t>
      </w:r>
      <w:proofErr w:type="gramEnd"/>
      <w:r w:rsidR="00A61470">
        <w:t xml:space="preserve"> and the European Union).</w:t>
      </w:r>
      <w:r w:rsidR="006D063C">
        <w:t xml:space="preserve"> In addition, the quality of </w:t>
      </w:r>
      <w:r w:rsidR="00052B2C">
        <w:t xml:space="preserve">climate </w:t>
      </w:r>
      <w:r w:rsidR="006D063C">
        <w:t xml:space="preserve">disclosures has not </w:t>
      </w:r>
      <w:r w:rsidR="00642354">
        <w:t>provided useful information to investors</w:t>
      </w:r>
      <w:r w:rsidR="008C246A">
        <w:t xml:space="preserve">. </w:t>
      </w:r>
      <w:r w:rsidR="00B71CAF" w:rsidDel="00964FE0">
        <w:t>The approach to disc</w:t>
      </w:r>
      <w:r w:rsidR="00702ED2" w:rsidDel="00964FE0">
        <w:t xml:space="preserve">losure has varied across </w:t>
      </w:r>
      <w:r w:rsidR="006B56CD" w:rsidDel="00964FE0">
        <w:t>companies</w:t>
      </w:r>
      <w:r w:rsidR="00702ED2" w:rsidDel="00964FE0">
        <w:t xml:space="preserve"> and jurisdictions and disclosures have tended to be </w:t>
      </w:r>
      <w:r w:rsidR="00756633" w:rsidDel="00964FE0">
        <w:t>qualitative in nature.</w:t>
      </w:r>
    </w:p>
    <w:p w14:paraId="14EB7330" w14:textId="1927E2DE" w:rsidR="002A2232" w:rsidRDefault="00AF2FC8" w:rsidP="00197F54">
      <w:r>
        <w:t xml:space="preserve">In response, the International Sustainability Standards Board </w:t>
      </w:r>
      <w:r w:rsidR="00F520BC">
        <w:t>(ISSB)</w:t>
      </w:r>
      <w:r>
        <w:t xml:space="preserve"> was formed</w:t>
      </w:r>
      <w:r w:rsidR="00C25B62">
        <w:t xml:space="preserve"> to improve the quality of </w:t>
      </w:r>
      <w:r w:rsidR="00052B2C">
        <w:t xml:space="preserve">sustainability and climate </w:t>
      </w:r>
      <w:r w:rsidR="00C25B62">
        <w:t>disclosure</w:t>
      </w:r>
      <w:r w:rsidR="000F3773">
        <w:t>s</w:t>
      </w:r>
      <w:r w:rsidR="009739FF">
        <w:t xml:space="preserve"> in an attempt</w:t>
      </w:r>
      <w:r w:rsidR="000F3773">
        <w:t xml:space="preserve"> to provide more useful information to investors and regulators. </w:t>
      </w:r>
      <w:r w:rsidR="006941E7">
        <w:t xml:space="preserve">The ISSB built on the foundations of the TCFD and developed more </w:t>
      </w:r>
      <w:r w:rsidR="00B66038">
        <w:t xml:space="preserve">detailed </w:t>
      </w:r>
      <w:r w:rsidR="00E74F52">
        <w:t>disclosure standards.</w:t>
      </w:r>
      <w:r w:rsidR="00432958">
        <w:t xml:space="preserve"> The ISSB standards provide a global baseline for </w:t>
      </w:r>
      <w:r w:rsidR="000B6CD4">
        <w:t>sustainability and climate disclosure</w:t>
      </w:r>
      <w:r w:rsidR="00ED2FB4">
        <w:t xml:space="preserve"> standards that will </w:t>
      </w:r>
      <w:r w:rsidR="00596D0C">
        <w:t xml:space="preserve">improve the identification, measurement and </w:t>
      </w:r>
      <w:r w:rsidR="007E6598">
        <w:t>disclosure of climate risks and opportunities.</w:t>
      </w:r>
      <w:r w:rsidR="00C25B62">
        <w:t xml:space="preserve"> </w:t>
      </w:r>
    </w:p>
    <w:p w14:paraId="2FA39517" w14:textId="5C759EC5" w:rsidR="0008400C" w:rsidRDefault="00F40135" w:rsidP="00197F54">
      <w:r>
        <w:t>A</w:t>
      </w:r>
      <w:r w:rsidRPr="00982E14">
        <w:t>s part of the ‘</w:t>
      </w:r>
      <w:r w:rsidRPr="00982E14">
        <w:rPr>
          <w:i/>
          <w:iCs/>
        </w:rPr>
        <w:t>Powering Australia</w:t>
      </w:r>
      <w:r w:rsidRPr="00982E14">
        <w:t xml:space="preserve">’ policy, the Government </w:t>
      </w:r>
      <w:r w:rsidR="0010621A">
        <w:t xml:space="preserve">has </w:t>
      </w:r>
      <w:r w:rsidRPr="00982E14">
        <w:t>committed to introduc</w:t>
      </w:r>
      <w:r w:rsidR="00541919">
        <w:t xml:space="preserve">ing </w:t>
      </w:r>
      <w:r w:rsidRPr="00982E14">
        <w:t xml:space="preserve">standardised, internationally aligned requirements for mandatory disclosure of climate-related financial risks and opportunities in Australia for large businesses. </w:t>
      </w:r>
      <w:r>
        <w:t>This policy will</w:t>
      </w:r>
      <w:r w:rsidR="00915A02" w:rsidRPr="00982E14">
        <w:t xml:space="preserve"> ensure that Australia </w:t>
      </w:r>
      <w:r w:rsidR="00D15970">
        <w:t xml:space="preserve">has </w:t>
      </w:r>
      <w:r w:rsidR="00D14D47">
        <w:t xml:space="preserve">a </w:t>
      </w:r>
      <w:r w:rsidR="000D0034">
        <w:t>rigorous and credible climate disclosure regime</w:t>
      </w:r>
      <w:r w:rsidR="00F04ED0">
        <w:t xml:space="preserve">. This is necessary to </w:t>
      </w:r>
      <w:r w:rsidR="00AA60E4">
        <w:t>sustain</w:t>
      </w:r>
      <w:r w:rsidR="00915A02" w:rsidRPr="00982E14">
        <w:t xml:space="preserve"> Australia’s reputation as a destination for the international capital that </w:t>
      </w:r>
      <w:r w:rsidR="005014FF" w:rsidRPr="00982E14">
        <w:t>w</w:t>
      </w:r>
      <w:r w:rsidR="005014FF">
        <w:t>ill</w:t>
      </w:r>
      <w:r w:rsidR="005014FF" w:rsidRPr="00982E14">
        <w:t xml:space="preserve"> </w:t>
      </w:r>
      <w:r w:rsidR="00915A02" w:rsidRPr="00982E14">
        <w:t>be inevitably needed in the transition to net zero</w:t>
      </w:r>
      <w:r>
        <w:t>.</w:t>
      </w:r>
    </w:p>
    <w:p w14:paraId="00C9DB62" w14:textId="77777777" w:rsidR="00E93729" w:rsidRDefault="00FF074F" w:rsidP="00163AFE">
      <w:r>
        <w:t xml:space="preserve">The Impact Analysis </w:t>
      </w:r>
      <w:r w:rsidR="00EC7912">
        <w:t xml:space="preserve">assesses </w:t>
      </w:r>
      <w:r w:rsidR="00163AFE">
        <w:t xml:space="preserve">three </w:t>
      </w:r>
      <w:r w:rsidR="00EC7912">
        <w:t>options to implement the Government’s election commitment</w:t>
      </w:r>
      <w:r w:rsidR="00E93729">
        <w:t xml:space="preserve">. </w:t>
      </w:r>
    </w:p>
    <w:p w14:paraId="4DEDA143" w14:textId="444BE987" w:rsidR="00E93729" w:rsidRDefault="00D2798C" w:rsidP="0092357C">
      <w:pPr>
        <w:pStyle w:val="Bullet"/>
      </w:pPr>
      <w:r w:rsidRPr="00F21CDE">
        <w:rPr>
          <w:b/>
          <w:bCs/>
        </w:rPr>
        <w:t>Option 1</w:t>
      </w:r>
      <w:r>
        <w:t xml:space="preserve">, consistent with the approach </w:t>
      </w:r>
      <w:r w:rsidR="00C3101E">
        <w:t xml:space="preserve">proposed in </w:t>
      </w:r>
      <w:r>
        <w:t>Treasury’s design consultation</w:t>
      </w:r>
      <w:r w:rsidR="00F21CDE">
        <w:t>,</w:t>
      </w:r>
      <w:r>
        <w:t xml:space="preserve"> </w:t>
      </w:r>
      <w:r w:rsidR="00C3101E">
        <w:t xml:space="preserve">would mandate climate disclosures </w:t>
      </w:r>
      <w:r w:rsidR="00F21CDE">
        <w:t>for large listed and unlisted companies from 2024-25 financial year. These entities will be phased-in depending on their size</w:t>
      </w:r>
      <w:r w:rsidR="00C30FB7">
        <w:t xml:space="preserve"> (and split across Groups 1, 2 and 3).</w:t>
      </w:r>
      <w:r w:rsidR="00F21CDE">
        <w:t xml:space="preserve"> </w:t>
      </w:r>
      <w:r w:rsidR="00C30FB7">
        <w:t xml:space="preserve">Entities would </w:t>
      </w:r>
      <w:r w:rsidR="00F21CDE">
        <w:t>be required to report on their climate strategy and governance processes as well as scope 1</w:t>
      </w:r>
      <w:r w:rsidR="00C63CC7">
        <w:t xml:space="preserve"> and </w:t>
      </w:r>
      <w:r w:rsidR="00F21CDE">
        <w:t>2 emissions from commencement, with scope 3 reporting being required as the reforms mature. Entities will also be required to conduct scenario analysis from commencement.</w:t>
      </w:r>
      <w:r w:rsidR="00BA62C5">
        <w:t xml:space="preserve"> </w:t>
      </w:r>
      <w:r w:rsidR="00CF6DED" w:rsidRPr="00CF6DED">
        <w:t>Assurance requirements would also be phased in and scaled up over time to allow for capability and capacity uplift.</w:t>
      </w:r>
    </w:p>
    <w:p w14:paraId="7DB29FA9" w14:textId="172F7AF1" w:rsidR="00E93729" w:rsidRDefault="00BA62C5" w:rsidP="0092357C">
      <w:pPr>
        <w:pStyle w:val="Bullet"/>
      </w:pPr>
      <w:r w:rsidRPr="00C30FB7">
        <w:rPr>
          <w:b/>
          <w:bCs/>
        </w:rPr>
        <w:t>Option 1a</w:t>
      </w:r>
      <w:r>
        <w:t xml:space="preserve"> </w:t>
      </w:r>
      <w:r w:rsidR="00F909FC">
        <w:t xml:space="preserve">is a variation on Option 1 and </w:t>
      </w:r>
      <w:r>
        <w:t xml:space="preserve">amends the breadth of coverage of these reforms. Under this option, </w:t>
      </w:r>
      <w:r w:rsidR="00BF7022">
        <w:t xml:space="preserve">entities captured under Group 3 would be required to do a materiality assessment. </w:t>
      </w:r>
      <w:r w:rsidR="00597CEB">
        <w:t xml:space="preserve">Only </w:t>
      </w:r>
      <w:r w:rsidR="00DE302B">
        <w:t xml:space="preserve">where the entity </w:t>
      </w:r>
      <w:r w:rsidR="00350C34">
        <w:t>has</w:t>
      </w:r>
      <w:r w:rsidR="00DE302B">
        <w:t xml:space="preserve"> material risks, disclosure would be required in line with the relevant Australian standard as per entities in Groups 1 and 2. </w:t>
      </w:r>
      <w:r w:rsidR="00C85B38">
        <w:t>Additionally</w:t>
      </w:r>
      <w:r w:rsidR="008972BA">
        <w:t>,</w:t>
      </w:r>
      <w:r w:rsidR="00C85B38">
        <w:t xml:space="preserve"> a specific ‘assets under management’ threshold would be applied to significant financial institutions.</w:t>
      </w:r>
    </w:p>
    <w:p w14:paraId="10DCB943" w14:textId="679D7C49" w:rsidR="00EC7912" w:rsidRPr="00350C34" w:rsidRDefault="00350C34" w:rsidP="0092357C">
      <w:pPr>
        <w:pStyle w:val="Bullet"/>
      </w:pPr>
      <w:r w:rsidRPr="00350C34">
        <w:rPr>
          <w:b/>
          <w:bCs/>
        </w:rPr>
        <w:t>Option 1b</w:t>
      </w:r>
      <w:r>
        <w:rPr>
          <w:b/>
          <w:bCs/>
        </w:rPr>
        <w:t xml:space="preserve"> </w:t>
      </w:r>
      <w:r w:rsidR="00F909FC" w:rsidRPr="00F909FC">
        <w:t>is a variation on Option 1a and</w:t>
      </w:r>
      <w:r w:rsidR="00F909FC">
        <w:rPr>
          <w:b/>
          <w:bCs/>
        </w:rPr>
        <w:t xml:space="preserve"> </w:t>
      </w:r>
      <w:r>
        <w:t>amends the assurance framework</w:t>
      </w:r>
      <w:r w:rsidR="00207850">
        <w:t xml:space="preserve">, not mandating a roadmap for the phasing in and scaling up of assurance requirements over time. </w:t>
      </w:r>
      <w:r w:rsidR="00D6440C">
        <w:t>Under this option, a</w:t>
      </w:r>
      <w:r w:rsidR="00D6440C" w:rsidRPr="00C554A5">
        <w:t xml:space="preserve">ll disclosures </w:t>
      </w:r>
      <w:r w:rsidR="00D6440C">
        <w:t>in reports issued after 1 July 2030 must</w:t>
      </w:r>
      <w:r w:rsidR="00D6440C" w:rsidRPr="00C554A5">
        <w:t xml:space="preserve"> be </w:t>
      </w:r>
      <w:r w:rsidR="00D6440C">
        <w:t>assured with a flexible pathway to achieve this being set by the A</w:t>
      </w:r>
      <w:r w:rsidR="00701461">
        <w:t>uditing and Assurance Standards Board (A</w:t>
      </w:r>
      <w:r w:rsidR="00D6440C">
        <w:t>UASB</w:t>
      </w:r>
      <w:r w:rsidR="00701461">
        <w:t>)</w:t>
      </w:r>
      <w:r w:rsidR="00D6440C">
        <w:t>. A modified liability regime will operate for the first three reporting years.</w:t>
      </w:r>
    </w:p>
    <w:p w14:paraId="14B911D1" w14:textId="340CA3E1" w:rsidR="00514BF0" w:rsidRDefault="00541919" w:rsidP="00197F54">
      <w:r w:rsidRPr="00317005">
        <w:t xml:space="preserve">Treasury recommends the Government </w:t>
      </w:r>
      <w:r w:rsidR="00207850" w:rsidRPr="00317005">
        <w:t>adopt Option 1b.</w:t>
      </w:r>
      <w:r w:rsidR="00207850">
        <w:t xml:space="preserve"> </w:t>
      </w:r>
    </w:p>
    <w:p w14:paraId="6DC16850" w14:textId="26E8505B" w:rsidR="003C1DC8" w:rsidRDefault="004B5806" w:rsidP="003C1DC8">
      <w:pPr>
        <w:spacing w:before="0" w:after="200" w:line="276" w:lineRule="auto"/>
      </w:pPr>
      <w:r>
        <w:t xml:space="preserve">Treasury </w:t>
      </w:r>
      <w:r w:rsidR="00514BF0">
        <w:t>conducted two consultation process</w:t>
      </w:r>
      <w:r>
        <w:t xml:space="preserve"> in developing these reforms</w:t>
      </w:r>
      <w:r w:rsidR="00514BF0">
        <w:t>.</w:t>
      </w:r>
      <w:r>
        <w:t xml:space="preserve"> </w:t>
      </w:r>
      <w:r w:rsidR="00514BF0">
        <w:t>O</w:t>
      </w:r>
      <w:r>
        <w:t>ur recommendation reflects the feedback received</w:t>
      </w:r>
      <w:r w:rsidR="00514BF0">
        <w:t xml:space="preserve"> from </w:t>
      </w:r>
      <w:r w:rsidR="00286DD0">
        <w:t>over</w:t>
      </w:r>
      <w:r w:rsidR="00A866DF">
        <w:t xml:space="preserve"> 200 </w:t>
      </w:r>
      <w:r w:rsidR="00286DD0">
        <w:t>respondents</w:t>
      </w:r>
      <w:r w:rsidR="00A866DF">
        <w:t xml:space="preserve">. </w:t>
      </w:r>
      <w:r w:rsidR="003C1DC8">
        <w:t>Treasury will continue to monitor the implementation of this policy, in collaboration with the A</w:t>
      </w:r>
      <w:r w:rsidR="00E010EC">
        <w:t xml:space="preserve">ustralian </w:t>
      </w:r>
      <w:r w:rsidR="003C1DC8">
        <w:t>A</w:t>
      </w:r>
      <w:r w:rsidR="00E010EC">
        <w:t xml:space="preserve">ccounting </w:t>
      </w:r>
      <w:r w:rsidR="003C1DC8">
        <w:t>S</w:t>
      </w:r>
      <w:r w:rsidR="00E010EC">
        <w:t xml:space="preserve">tandards </w:t>
      </w:r>
      <w:r w:rsidR="003C1DC8">
        <w:t>B</w:t>
      </w:r>
      <w:r w:rsidR="00E010EC">
        <w:t>oard (AASB)</w:t>
      </w:r>
      <w:r w:rsidR="003C1DC8">
        <w:t>, ASIC and A</w:t>
      </w:r>
      <w:r w:rsidR="00E010EC">
        <w:t xml:space="preserve">ustralian </w:t>
      </w:r>
      <w:r w:rsidR="003C1DC8">
        <w:t>P</w:t>
      </w:r>
      <w:r w:rsidR="00E010EC">
        <w:t xml:space="preserve">rudential </w:t>
      </w:r>
      <w:r w:rsidR="003C1DC8">
        <w:t>R</w:t>
      </w:r>
      <w:r w:rsidR="00E010EC">
        <w:t xml:space="preserve">egulation </w:t>
      </w:r>
      <w:r w:rsidR="003C1DC8">
        <w:t>A</w:t>
      </w:r>
      <w:r w:rsidR="00E010EC">
        <w:t>uthority (APRA)</w:t>
      </w:r>
      <w:r w:rsidR="003C1DC8">
        <w:t xml:space="preserve">. The Government will review this policy </w:t>
      </w:r>
      <w:r w:rsidR="005421D6">
        <w:t xml:space="preserve">in 2028-29, </w:t>
      </w:r>
      <w:r w:rsidR="00C21193">
        <w:t>four</w:t>
      </w:r>
      <w:r w:rsidR="003C1DC8">
        <w:t xml:space="preserve"> years </w:t>
      </w:r>
      <w:r w:rsidR="00C21193">
        <w:t>after</w:t>
      </w:r>
      <w:r w:rsidR="003C1DC8">
        <w:t xml:space="preserve"> climate-related financial disclosures </w:t>
      </w:r>
      <w:r w:rsidR="00BB0DC7">
        <w:t>are</w:t>
      </w:r>
      <w:r w:rsidR="003C1DC8">
        <w:t xml:space="preserve"> made mandatory. Among other things, this review will consider the </w:t>
      </w:r>
      <w:r w:rsidR="00946AE3">
        <w:t>operation of the</w:t>
      </w:r>
      <w:r w:rsidR="003C1DC8">
        <w:t xml:space="preserve"> coverage and assurance aspects of the policy. </w:t>
      </w:r>
    </w:p>
    <w:p w14:paraId="1212DE18" w14:textId="542C74F2" w:rsidR="00AE1575" w:rsidRDefault="0002450C" w:rsidP="00E73AF0">
      <w:pPr>
        <w:spacing w:before="0" w:after="200" w:line="276" w:lineRule="auto"/>
      </w:pPr>
      <w:r>
        <w:t xml:space="preserve">All things being </w:t>
      </w:r>
      <w:r w:rsidR="005F67FD">
        <w:t>equal and</w:t>
      </w:r>
      <w:r w:rsidR="00434B0C">
        <w:t xml:space="preserve"> comparing with a baseline option of continuing to operate under the status quo, </w:t>
      </w:r>
      <w:r w:rsidR="00F83F72">
        <w:t>under Treasury</w:t>
      </w:r>
      <w:r w:rsidR="008972BA">
        <w:t>’s recommended approach</w:t>
      </w:r>
      <w:r w:rsidR="00883BD7">
        <w:t xml:space="preserve"> (option 1b)</w:t>
      </w:r>
      <w:r w:rsidR="00A41C0B">
        <w:t>,</w:t>
      </w:r>
      <w:r w:rsidR="00883BD7">
        <w:t xml:space="preserve"> </w:t>
      </w:r>
      <w:r w:rsidR="00716E67">
        <w:t>this policy is expected</w:t>
      </w:r>
      <w:r>
        <w:t xml:space="preserve"> to add </w:t>
      </w:r>
      <w:r w:rsidR="00B115D4">
        <w:t>between</w:t>
      </w:r>
      <w:r>
        <w:t xml:space="preserve"> </w:t>
      </w:r>
      <w:r w:rsidRPr="00382439">
        <w:t>$</w:t>
      </w:r>
      <w:r w:rsidR="00554776">
        <w:rPr>
          <w:rFonts w:cs="Calibri Light"/>
          <w:color w:val="262626"/>
          <w:szCs w:val="22"/>
        </w:rPr>
        <w:t>1</w:t>
      </w:r>
      <w:r w:rsidR="00443883">
        <w:rPr>
          <w:rFonts w:cs="Calibri Light"/>
          <w:color w:val="262626"/>
          <w:szCs w:val="22"/>
        </w:rPr>
        <w:t xml:space="preserve">.0 million to $1.3 million </w:t>
      </w:r>
      <w:r w:rsidR="00434B0C">
        <w:rPr>
          <w:rFonts w:cs="Calibri Light"/>
          <w:color w:val="262626"/>
          <w:szCs w:val="22"/>
        </w:rPr>
        <w:t xml:space="preserve">per year per entity </w:t>
      </w:r>
      <w:r w:rsidR="00FE4967">
        <w:t xml:space="preserve">in </w:t>
      </w:r>
      <w:r w:rsidR="00443883">
        <w:t xml:space="preserve">initial </w:t>
      </w:r>
      <w:r w:rsidR="00FE4967">
        <w:t>transition costs</w:t>
      </w:r>
      <w:r>
        <w:t xml:space="preserve"> to </w:t>
      </w:r>
      <w:r w:rsidR="00B56473">
        <w:t>the</w:t>
      </w:r>
      <w:r>
        <w:t xml:space="preserve"> </w:t>
      </w:r>
      <w:r w:rsidR="00342EA4">
        <w:t>regulatory burden of captured entities</w:t>
      </w:r>
      <w:r w:rsidR="00CE5E27">
        <w:t xml:space="preserve"> and have a number of benefits that are difficult to quantify, including reducing the cost of capital</w:t>
      </w:r>
      <w:r w:rsidR="00396BB0">
        <w:t xml:space="preserve"> for these entities</w:t>
      </w:r>
      <w:r w:rsidR="00443883">
        <w:t>. Costs are expected</w:t>
      </w:r>
      <w:r w:rsidR="009168B3">
        <w:t xml:space="preserve"> </w:t>
      </w:r>
      <w:r w:rsidR="00443883">
        <w:t>to</w:t>
      </w:r>
      <w:r w:rsidR="00905381">
        <w:t xml:space="preserve"> stabilise and fall over time</w:t>
      </w:r>
      <w:r w:rsidR="00674E76">
        <w:t>, resulting in ongoing costs of between $5</w:t>
      </w:r>
      <w:r w:rsidR="00D173D4">
        <w:t>00</w:t>
      </w:r>
      <w:r w:rsidR="00674E76">
        <w:t>,000 to $</w:t>
      </w:r>
      <w:r w:rsidR="00D173D4">
        <w:t>700</w:t>
      </w:r>
      <w:r w:rsidR="00AB0C4A">
        <w:t>,000 per</w:t>
      </w:r>
      <w:r w:rsidR="00434B0C">
        <w:t xml:space="preserve"> year per</w:t>
      </w:r>
      <w:r w:rsidR="00AB0C4A">
        <w:t xml:space="preserve"> firm</w:t>
      </w:r>
      <w:r w:rsidR="00777461">
        <w:t>.</w:t>
      </w:r>
      <w:r w:rsidR="00F9577C">
        <w:t xml:space="preserve"> </w:t>
      </w:r>
      <w:r w:rsidR="009D21BB">
        <w:t>This is broadly in line with costs estimated for implementing the International Financial Reporting Standards (IFRS)</w:t>
      </w:r>
      <w:r w:rsidR="00B36BF0">
        <w:t xml:space="preserve">. </w:t>
      </w:r>
      <w:r w:rsidR="00AE1575">
        <w:t>Costs for implementing IFRS</w:t>
      </w:r>
      <w:r w:rsidR="009D21BB">
        <w:t xml:space="preserve"> for firms in Australia</w:t>
      </w:r>
      <w:r w:rsidR="00AE1575">
        <w:t xml:space="preserve"> </w:t>
      </w:r>
      <w:r w:rsidR="00B36BF0">
        <w:t xml:space="preserve">have </w:t>
      </w:r>
      <w:r w:rsidR="009D21BB">
        <w:t>been estimated to be between $750,000 and $1.6 million.</w:t>
      </w:r>
      <w:r w:rsidR="009D21BB" w:rsidRPr="009E2BC6">
        <w:rPr>
          <w:rStyle w:val="FootnoteReference"/>
          <w:position w:val="6"/>
          <w:vertAlign w:val="superscript"/>
        </w:rPr>
        <w:footnoteReference w:id="4"/>
      </w:r>
      <w:r w:rsidR="009D21BB" w:rsidRPr="009E2BC6">
        <w:rPr>
          <w:rStyle w:val="FootnoteReference"/>
          <w:position w:val="6"/>
          <w:vertAlign w:val="superscript"/>
        </w:rPr>
        <w:footnoteReference w:id="5"/>
      </w:r>
    </w:p>
    <w:p w14:paraId="56EFF38F" w14:textId="45E738D4" w:rsidR="00EE5511" w:rsidRDefault="000B42D3" w:rsidP="00E73AF0">
      <w:pPr>
        <w:spacing w:before="0" w:after="200" w:line="276" w:lineRule="auto"/>
      </w:pPr>
      <w:r>
        <w:t>Treasury expects a</w:t>
      </w:r>
      <w:r w:rsidR="00207175" w:rsidRPr="000B42D3">
        <w:t>pproximately</w:t>
      </w:r>
      <w:r w:rsidR="00DD34C6" w:rsidRPr="000B42D3">
        <w:t xml:space="preserve"> </w:t>
      </w:r>
      <w:r w:rsidR="007F757F" w:rsidRPr="000B42D3">
        <w:t>1800</w:t>
      </w:r>
      <w:r w:rsidR="00207175" w:rsidRPr="000B42D3">
        <w:t xml:space="preserve"> entities</w:t>
      </w:r>
      <w:r w:rsidR="00777461">
        <w:t xml:space="preserve"> will be captured</w:t>
      </w:r>
      <w:r w:rsidR="008F17FD">
        <w:t xml:space="preserve"> and </w:t>
      </w:r>
      <w:r w:rsidR="00925FF8">
        <w:t>costs</w:t>
      </w:r>
      <w:r>
        <w:t xml:space="preserve"> will</w:t>
      </w:r>
      <w:r w:rsidR="00925FF8">
        <w:t xml:space="preserve"> </w:t>
      </w:r>
      <w:r w:rsidR="008F17FD">
        <w:t>vary</w:t>
      </w:r>
      <w:r w:rsidR="00925FF8">
        <w:t xml:space="preserve"> depending on the size of the company. </w:t>
      </w:r>
      <w:r w:rsidR="00C930EA">
        <w:t>However, i</w:t>
      </w:r>
      <w:r w:rsidR="00570173">
        <w:t>t should be noted that companies would be incurring costs for disclosing their climate risks in the absence of a new</w:t>
      </w:r>
      <w:r w:rsidR="00D06297">
        <w:t>, mandatory</w:t>
      </w:r>
      <w:r w:rsidR="007645DD">
        <w:t>, internationally</w:t>
      </w:r>
      <w:r w:rsidR="004F0399">
        <w:t xml:space="preserve"> </w:t>
      </w:r>
      <w:r w:rsidR="00D06297">
        <w:t xml:space="preserve">aligned regime. This is because they are obliged under the </w:t>
      </w:r>
      <w:r w:rsidR="004F4446" w:rsidRPr="00F364B0">
        <w:rPr>
          <w:i/>
          <w:iCs/>
        </w:rPr>
        <w:t>Corporations Act (2001)</w:t>
      </w:r>
      <w:r w:rsidR="004F4446">
        <w:rPr>
          <w:i/>
          <w:iCs/>
        </w:rPr>
        <w:t xml:space="preserve"> </w:t>
      </w:r>
      <w:r w:rsidR="004F4446" w:rsidRPr="004F4446">
        <w:rPr>
          <w:i/>
          <w:iCs/>
        </w:rPr>
        <w:t>(</w:t>
      </w:r>
      <w:proofErr w:type="spellStart"/>
      <w:r w:rsidR="004F4446" w:rsidRPr="004F4446">
        <w:rPr>
          <w:i/>
          <w:iCs/>
        </w:rPr>
        <w:t>Cth</w:t>
      </w:r>
      <w:proofErr w:type="spellEnd"/>
      <w:r w:rsidR="004F4446" w:rsidRPr="004F4446">
        <w:rPr>
          <w:i/>
          <w:iCs/>
        </w:rPr>
        <w:t>)</w:t>
      </w:r>
      <w:r w:rsidR="004F4446">
        <w:t xml:space="preserve"> (</w:t>
      </w:r>
      <w:r w:rsidR="00D06297">
        <w:t>Corporations Act</w:t>
      </w:r>
      <w:r w:rsidR="004F4446">
        <w:t>)</w:t>
      </w:r>
      <w:r w:rsidR="00D06297">
        <w:t xml:space="preserve"> to disclose</w:t>
      </w:r>
      <w:r w:rsidR="00EE5511">
        <w:t xml:space="preserve"> all material risks. Climate is increasingly considered a material </w:t>
      </w:r>
      <w:r w:rsidR="0092030C">
        <w:t xml:space="preserve">financial </w:t>
      </w:r>
      <w:r w:rsidR="00EE5511">
        <w:t>risk for many companies.</w:t>
      </w:r>
      <w:r w:rsidR="00DD322F">
        <w:t xml:space="preserve"> </w:t>
      </w:r>
      <w:r w:rsidR="00AD6B49">
        <w:t>For example, disclosing climate risk under the less prescriptive Taskforce for Climate-related Financial Disclosure framework</w:t>
      </w:r>
      <w:r w:rsidR="009D21BB">
        <w:t xml:space="preserve"> is costing between $250,000 to $400,000 per year per firm</w:t>
      </w:r>
      <w:r w:rsidR="00506427">
        <w:t xml:space="preserve"> and provides </w:t>
      </w:r>
      <w:r w:rsidR="009A3D17">
        <w:t>firms with less assurance that they are adequately reporting on material risks</w:t>
      </w:r>
      <w:r w:rsidR="00260B6A">
        <w:t>.</w:t>
      </w:r>
    </w:p>
    <w:p w14:paraId="57AD241A" w14:textId="03B9F2F8" w:rsidR="00083E98" w:rsidRDefault="00AB68B2" w:rsidP="00E73AF0">
      <w:pPr>
        <w:spacing w:before="0" w:after="200" w:line="276" w:lineRule="auto"/>
      </w:pPr>
      <w:r>
        <w:t>Successful implementation of the m</w:t>
      </w:r>
      <w:r w:rsidR="00E73AF0">
        <w:t>andatory climate risk disclosure</w:t>
      </w:r>
      <w:r w:rsidR="00975E0B">
        <w:t xml:space="preserve"> regime</w:t>
      </w:r>
      <w:r w:rsidR="00E73AF0">
        <w:t xml:space="preserve"> </w:t>
      </w:r>
      <w:r w:rsidR="00975E0B">
        <w:t>will lead to</w:t>
      </w:r>
      <w:r w:rsidR="00E73AF0">
        <w:t xml:space="preserve"> comprehensiv</w:t>
      </w:r>
      <w:r w:rsidR="00975E0B">
        <w:t>e identification of</w:t>
      </w:r>
      <w:r w:rsidR="00E73AF0">
        <w:t xml:space="preserve"> climate-related financial risks within entities and across the economy, driv</w:t>
      </w:r>
      <w:r w:rsidR="002300C7">
        <w:t>e</w:t>
      </w:r>
      <w:r w:rsidR="00E73AF0">
        <w:t xml:space="preserve"> better risk management practices, improv</w:t>
      </w:r>
      <w:r w:rsidR="002300C7">
        <w:t>e</w:t>
      </w:r>
      <w:r w:rsidR="00E73AF0">
        <w:t xml:space="preserve"> the transparency of entities’ decarbonisation strategies, </w:t>
      </w:r>
      <w:r w:rsidR="002300C7">
        <w:t xml:space="preserve">and </w:t>
      </w:r>
      <w:r w:rsidR="00E73AF0">
        <w:t>enabl</w:t>
      </w:r>
      <w:r w:rsidR="002300C7">
        <w:t>e</w:t>
      </w:r>
      <w:r w:rsidR="00E73AF0">
        <w:t xml:space="preserve"> more accurate pricing of risks and opportunities.</w:t>
      </w:r>
      <w:r w:rsidR="003D43D5">
        <w:t xml:space="preserve"> </w:t>
      </w:r>
      <w:r w:rsidR="00580AA5">
        <w:t xml:space="preserve">This will lead to a </w:t>
      </w:r>
      <w:r w:rsidR="00FB1D9E">
        <w:t>more eff</w:t>
      </w:r>
      <w:r w:rsidR="00116EA3">
        <w:t>icient</w:t>
      </w:r>
      <w:r w:rsidR="00FB1D9E">
        <w:t xml:space="preserve"> allocation of capital, al</w:t>
      </w:r>
      <w:r w:rsidR="00972472">
        <w:t xml:space="preserve">igned with </w:t>
      </w:r>
      <w:r w:rsidR="005108CB">
        <w:t xml:space="preserve">the need to transition to net zero. </w:t>
      </w:r>
      <w:r w:rsidR="003D43D5">
        <w:t xml:space="preserve">While not </w:t>
      </w:r>
      <w:r w:rsidR="000C3A65">
        <w:t>accurately quantifiable,</w:t>
      </w:r>
      <w:r w:rsidR="00E507AD">
        <w:t xml:space="preserve"> these</w:t>
      </w:r>
      <w:r w:rsidR="000C3A65">
        <w:t xml:space="preserve"> benefits are anticipated to far outweigh the costs</w:t>
      </w:r>
      <w:r w:rsidR="0007501A">
        <w:t xml:space="preserve"> over the medium term.</w:t>
      </w:r>
    </w:p>
    <w:p w14:paraId="596E18BD" w14:textId="0455565A" w:rsidR="004F5277" w:rsidRDefault="004F5277" w:rsidP="004F5277">
      <w:pPr>
        <w:tabs>
          <w:tab w:val="left" w:pos="6179"/>
        </w:tabs>
        <w:spacing w:before="0" w:after="200" w:line="276" w:lineRule="auto"/>
      </w:pPr>
      <w:r>
        <w:tab/>
      </w:r>
    </w:p>
    <w:p w14:paraId="438DB42F" w14:textId="4251DBE8" w:rsidR="002358E4" w:rsidRDefault="002358E4" w:rsidP="004F5277">
      <w:pPr>
        <w:tabs>
          <w:tab w:val="left" w:pos="6179"/>
        </w:tabs>
        <w:spacing w:before="0" w:after="200" w:line="276" w:lineRule="auto"/>
      </w:pPr>
      <w:r w:rsidRPr="004F5277">
        <w:br w:type="page"/>
      </w:r>
      <w:r w:rsidR="004F5277">
        <w:tab/>
      </w:r>
    </w:p>
    <w:p w14:paraId="43863890" w14:textId="77777777" w:rsidR="00EA5697" w:rsidRDefault="00EA5697" w:rsidP="00EA5697">
      <w:pPr>
        <w:pStyle w:val="Heading1"/>
      </w:pPr>
      <w:bookmarkStart w:id="3" w:name="_Toc144742097"/>
      <w:r>
        <w:t>Background</w:t>
      </w:r>
      <w:bookmarkEnd w:id="3"/>
    </w:p>
    <w:p w14:paraId="4D0993AE" w14:textId="77777777" w:rsidR="00197F54" w:rsidRDefault="00197F54" w:rsidP="00197F54">
      <w:r>
        <w:t>Climate change is increasingly driving changes in the economy, the financial system and society more broadly both in Australia and internationally. Climate change itself and the actions taken in response to it introduce risks and opportunities for Australia.</w:t>
      </w:r>
    </w:p>
    <w:p w14:paraId="7C2F9416" w14:textId="261D9CBE" w:rsidR="00197F54" w:rsidRDefault="00197F54" w:rsidP="00197F54">
      <w:r>
        <w:t>There are t</w:t>
      </w:r>
      <w:r w:rsidR="008A3169">
        <w:t>hree</w:t>
      </w:r>
      <w:r>
        <w:t xml:space="preserve"> broad channels through which climate change affects financial performance and stability, these can be described as:</w:t>
      </w:r>
    </w:p>
    <w:p w14:paraId="485114EA" w14:textId="6720A0CF" w:rsidR="00197F54" w:rsidRPr="0094446C" w:rsidRDefault="00197F54" w:rsidP="0092357C">
      <w:pPr>
        <w:pStyle w:val="Bullet"/>
      </w:pPr>
      <w:r w:rsidRPr="0094446C">
        <w:t xml:space="preserve">Acute physical risk </w:t>
      </w:r>
      <w:r w:rsidR="00CA1A6A">
        <w:t xml:space="preserve">which </w:t>
      </w:r>
      <w:r w:rsidR="002D4852">
        <w:t>is</w:t>
      </w:r>
      <w:r w:rsidR="002D4852" w:rsidRPr="0094446C">
        <w:t xml:space="preserve"> </w:t>
      </w:r>
      <w:r w:rsidRPr="0094446C">
        <w:t xml:space="preserve">the risk of financial losses occurring </w:t>
      </w:r>
      <w:proofErr w:type="gramStart"/>
      <w:r w:rsidRPr="0094446C">
        <w:t>as a result of</w:t>
      </w:r>
      <w:proofErr w:type="gramEnd"/>
      <w:r w:rsidRPr="0094446C">
        <w:t xml:space="preserve"> severe weather events, such as flooding, storms or bushfires. The magnitude of losses depends on the location of physical assets – for example, more frequent and severe flooding will have greater impact if dwellings continue to be built in low-lying flood-prone areas. </w:t>
      </w:r>
    </w:p>
    <w:p w14:paraId="699C37D6" w14:textId="0546B2EE" w:rsidR="00197F54" w:rsidRPr="0094446C" w:rsidRDefault="00197F54" w:rsidP="0092357C">
      <w:pPr>
        <w:pStyle w:val="Bullet"/>
      </w:pPr>
      <w:r w:rsidRPr="0094446C">
        <w:t xml:space="preserve">Chronic physical risk </w:t>
      </w:r>
      <w:r w:rsidR="00CA1A6A">
        <w:t>which is</w:t>
      </w:r>
      <w:r w:rsidR="00CA1A6A" w:rsidRPr="0094446C">
        <w:t xml:space="preserve"> </w:t>
      </w:r>
      <w:r w:rsidRPr="0094446C">
        <w:t>the risk that persistent effects of climate change will influence the value of assets because of changes in their productivity or desirability.</w:t>
      </w:r>
    </w:p>
    <w:p w14:paraId="2916FCFD" w14:textId="50F2BCF5" w:rsidR="00197F54" w:rsidRPr="0094446C" w:rsidRDefault="00197F54" w:rsidP="0092357C">
      <w:pPr>
        <w:pStyle w:val="Bullet"/>
      </w:pPr>
      <w:r w:rsidRPr="0094446C">
        <w:t xml:space="preserve">Transition risk </w:t>
      </w:r>
      <w:r w:rsidR="008217B5">
        <w:t>which is</w:t>
      </w:r>
      <w:r w:rsidR="008217B5" w:rsidRPr="0094446C">
        <w:t xml:space="preserve"> </w:t>
      </w:r>
      <w:r w:rsidRPr="0094446C">
        <w:t xml:space="preserve">the financial risks which could result from the process of adjustment towards a lower-carbon economy. Changes in </w:t>
      </w:r>
      <w:proofErr w:type="gramStart"/>
      <w:r w:rsidR="00523D5E">
        <w:t xml:space="preserve">markets </w:t>
      </w:r>
      <w:r w:rsidRPr="0094446C">
        <w:t>,</w:t>
      </w:r>
      <w:proofErr w:type="gramEnd"/>
      <w:r w:rsidRPr="0094446C">
        <w:t xml:space="preserve"> technology and physical risks could prompt a reassessment of the value of a large range of assets as costs and opportunities become apparent.</w:t>
      </w:r>
    </w:p>
    <w:p w14:paraId="71F42D21" w14:textId="54413799" w:rsidR="00197F54" w:rsidRDefault="00197F54" w:rsidP="00197F54">
      <w:pPr>
        <w:pStyle w:val="Heading3"/>
      </w:pPr>
      <w:bookmarkStart w:id="4" w:name="_Toc141895078"/>
      <w:bookmarkStart w:id="5" w:name="_Toc144742098"/>
      <w:r w:rsidRPr="00FD6316">
        <w:t>Addressing climate change risks</w:t>
      </w:r>
      <w:bookmarkEnd w:id="4"/>
      <w:bookmarkEnd w:id="5"/>
    </w:p>
    <w:p w14:paraId="3F74462C" w14:textId="77777777" w:rsidR="00197F54" w:rsidRPr="00DF1DB0" w:rsidRDefault="00197F54" w:rsidP="00197F54">
      <w:pPr>
        <w:pStyle w:val="BodyText"/>
        <w:rPr>
          <w:rFonts w:ascii="Calibri Light" w:hAnsi="Calibri Light" w:cs="Calibri Light"/>
        </w:rPr>
      </w:pPr>
      <w:r w:rsidRPr="00DF1DB0">
        <w:rPr>
          <w:rFonts w:ascii="Calibri Light" w:hAnsi="Calibri Light" w:cs="Calibri Light"/>
        </w:rPr>
        <w:t xml:space="preserve">Governments are already playing a primary role in reducing emissions and taking action to mitigate the impact of climate change, for example, by pricing externalities and providing incentives for the transition to a low-carbon economy. </w:t>
      </w:r>
    </w:p>
    <w:p w14:paraId="6AB4D123" w14:textId="5B3E6AAA" w:rsidR="00197F54" w:rsidRPr="00DF1DB0" w:rsidRDefault="00197F54" w:rsidP="00197F54">
      <w:pPr>
        <w:pStyle w:val="BodyText"/>
        <w:rPr>
          <w:rFonts w:ascii="Calibri Light" w:hAnsi="Calibri Light" w:cs="Calibri Light"/>
        </w:rPr>
      </w:pPr>
      <w:r w:rsidRPr="00DF1DB0">
        <w:rPr>
          <w:rFonts w:ascii="Calibri Light" w:hAnsi="Calibri Light" w:cs="Calibri Light"/>
        </w:rPr>
        <w:t xml:space="preserve">By mobilizing capital and resources needed for investments in climate mitigation and adaptation the financial sector can play a complementary role in achieving these goals efficiently. </w:t>
      </w:r>
      <w:r w:rsidR="00F41B4A">
        <w:rPr>
          <w:rFonts w:ascii="Calibri Light" w:hAnsi="Calibri Light" w:cs="Calibri Light"/>
        </w:rPr>
        <w:t>The International Energy Agency estimates</w:t>
      </w:r>
      <w:r w:rsidR="00846C47">
        <w:rPr>
          <w:rFonts w:ascii="Calibri Light" w:hAnsi="Calibri Light" w:cs="Calibri Light"/>
        </w:rPr>
        <w:t xml:space="preserve"> around 70 per cent of clean energy investment required for the transition to net zero</w:t>
      </w:r>
      <w:r w:rsidR="00543EBD">
        <w:rPr>
          <w:rFonts w:ascii="Calibri Light" w:hAnsi="Calibri Light" w:cs="Calibri Light"/>
        </w:rPr>
        <w:t xml:space="preserve"> would need to be carried out by private developers, </w:t>
      </w:r>
      <w:proofErr w:type="gramStart"/>
      <w:r w:rsidR="00543EBD">
        <w:rPr>
          <w:rFonts w:ascii="Calibri Light" w:hAnsi="Calibri Light" w:cs="Calibri Light"/>
        </w:rPr>
        <w:t>consumers</w:t>
      </w:r>
      <w:proofErr w:type="gramEnd"/>
      <w:r w:rsidR="00543EBD">
        <w:rPr>
          <w:rFonts w:ascii="Calibri Light" w:hAnsi="Calibri Light" w:cs="Calibri Light"/>
        </w:rPr>
        <w:t xml:space="preserve"> and financiers</w:t>
      </w:r>
      <w:r w:rsidR="004A2CDE">
        <w:rPr>
          <w:rFonts w:ascii="Calibri Light" w:hAnsi="Calibri Light" w:cs="Calibri Light"/>
        </w:rPr>
        <w:t xml:space="preserve"> </w:t>
      </w:r>
      <w:r w:rsidR="004A2CDE" w:rsidRPr="00AB2EFB">
        <w:rPr>
          <w:rStyle w:val="FootnoteReference"/>
          <w:rFonts w:ascii="Calibri Light" w:hAnsi="Calibri Light" w:cs="Calibri Light"/>
          <w:position w:val="6"/>
          <w:vertAlign w:val="superscript"/>
        </w:rPr>
        <w:footnoteReference w:id="6"/>
      </w:r>
      <w:r w:rsidR="00E420E2">
        <w:rPr>
          <w:rFonts w:ascii="Calibri Light" w:hAnsi="Calibri Light" w:cs="Calibri Light"/>
        </w:rPr>
        <w:t>.</w:t>
      </w:r>
      <w:r w:rsidRPr="00DF1DB0">
        <w:rPr>
          <w:rFonts w:ascii="Calibri Light" w:hAnsi="Calibri Light" w:cs="Calibri Light"/>
        </w:rPr>
        <w:t xml:space="preserve"> Most of these investments are likely to be intermediated through the financial system. From this point of view, climate change presents opportunities as well as risks to investors and the financial system.</w:t>
      </w:r>
    </w:p>
    <w:p w14:paraId="35C80CAC" w14:textId="36B5AA39" w:rsidR="00197F54" w:rsidRPr="00DF1DB0" w:rsidRDefault="00197F54" w:rsidP="00197F54">
      <w:pPr>
        <w:pStyle w:val="BodyText"/>
        <w:rPr>
          <w:rFonts w:ascii="Calibri Light" w:hAnsi="Calibri Light" w:cs="Calibri Light"/>
        </w:rPr>
      </w:pPr>
      <w:r w:rsidRPr="00DF1DB0">
        <w:rPr>
          <w:rFonts w:ascii="Calibri Light" w:hAnsi="Calibri Light" w:cs="Calibri Light"/>
        </w:rPr>
        <w:t>To allocate capital efficiently, financial markets must integrate climate risks in</w:t>
      </w:r>
      <w:r w:rsidR="00574708">
        <w:rPr>
          <w:rFonts w:ascii="Calibri Light" w:hAnsi="Calibri Light" w:cs="Calibri Light"/>
        </w:rPr>
        <w:t>to</w:t>
      </w:r>
      <w:r w:rsidRPr="00DF1DB0">
        <w:rPr>
          <w:rFonts w:ascii="Calibri Light" w:hAnsi="Calibri Light" w:cs="Calibri Light"/>
        </w:rPr>
        <w:t xml:space="preserve"> capital allocation decisions. Investors rely on information published in annual reports and financial statements to understand risks and opportunities and in doing so, </w:t>
      </w:r>
      <w:r>
        <w:rPr>
          <w:rFonts w:ascii="Calibri Light" w:hAnsi="Calibri Light" w:cs="Calibri Light"/>
        </w:rPr>
        <w:t>determine</w:t>
      </w:r>
      <w:r w:rsidRPr="00DF1DB0">
        <w:rPr>
          <w:rFonts w:ascii="Calibri Light" w:hAnsi="Calibri Light" w:cs="Calibri Light"/>
        </w:rPr>
        <w:t xml:space="preserve"> </w:t>
      </w:r>
      <w:r>
        <w:rPr>
          <w:rFonts w:ascii="Calibri Light" w:hAnsi="Calibri Light" w:cs="Calibri Light"/>
        </w:rPr>
        <w:t>how to allocate their capital</w:t>
      </w:r>
      <w:r w:rsidRPr="00DF1DB0">
        <w:rPr>
          <w:rFonts w:ascii="Calibri Light" w:hAnsi="Calibri Light" w:cs="Calibri Light"/>
        </w:rPr>
        <w:t xml:space="preserve">. Conveying climate risks </w:t>
      </w:r>
      <w:r>
        <w:rPr>
          <w:rFonts w:ascii="Calibri Light" w:hAnsi="Calibri Light" w:cs="Calibri Light"/>
        </w:rPr>
        <w:t xml:space="preserve">and opportunities </w:t>
      </w:r>
      <w:r w:rsidRPr="00DF1DB0">
        <w:rPr>
          <w:rFonts w:ascii="Calibri Light" w:hAnsi="Calibri Light" w:cs="Calibri Light"/>
        </w:rPr>
        <w:t>to users of general-purpose financial reports and other stakeholders thus improves market</w:t>
      </w:r>
      <w:r w:rsidR="6540CDE5" w:rsidRPr="4293AB63">
        <w:rPr>
          <w:rFonts w:ascii="Calibri Light" w:hAnsi="Calibri Light" w:cs="Calibri Light"/>
        </w:rPr>
        <w:t>-</w:t>
      </w:r>
      <w:r w:rsidRPr="00DF1DB0">
        <w:rPr>
          <w:rFonts w:ascii="Calibri Light" w:hAnsi="Calibri Light" w:cs="Calibri Light"/>
        </w:rPr>
        <w:t xml:space="preserve">based evaluations of the reporting entity, improving </w:t>
      </w:r>
      <w:r>
        <w:rPr>
          <w:rFonts w:ascii="Calibri Light" w:hAnsi="Calibri Light" w:cs="Calibri Light"/>
        </w:rPr>
        <w:t xml:space="preserve">the efficiency of </w:t>
      </w:r>
      <w:r w:rsidRPr="00DF1DB0">
        <w:rPr>
          <w:rFonts w:ascii="Calibri Light" w:hAnsi="Calibri Light" w:cs="Calibri Light"/>
        </w:rPr>
        <w:t>capital flows.</w:t>
      </w:r>
    </w:p>
    <w:p w14:paraId="3FB0F79D" w14:textId="0B47E5B0" w:rsidR="00C07639" w:rsidRPr="00791670" w:rsidRDefault="00197F54" w:rsidP="00791670">
      <w:pPr>
        <w:pStyle w:val="BodyText"/>
        <w:rPr>
          <w:rFonts w:ascii="Calibri Light" w:hAnsi="Calibri Light" w:cs="Calibri Light"/>
        </w:rPr>
      </w:pPr>
      <w:r w:rsidRPr="00DF1DB0">
        <w:rPr>
          <w:rFonts w:ascii="Calibri Light" w:hAnsi="Calibri Light" w:cs="Calibri Light"/>
        </w:rPr>
        <w:t xml:space="preserve">A common and important tool to manage both individual and systemic climate-related financial risks is disclosure of those risks. However, existing climate risk disclosures are often inconsistent or </w:t>
      </w:r>
      <w:r>
        <w:rPr>
          <w:rFonts w:ascii="Calibri Light" w:hAnsi="Calibri Light" w:cs="Calibri Light"/>
        </w:rPr>
        <w:t xml:space="preserve">contain </w:t>
      </w:r>
      <w:r w:rsidRPr="00DF1DB0">
        <w:rPr>
          <w:rFonts w:ascii="Calibri Light" w:hAnsi="Calibri Light" w:cs="Calibri Light"/>
        </w:rPr>
        <w:t>insufficient</w:t>
      </w:r>
      <w:r>
        <w:rPr>
          <w:rFonts w:ascii="Calibri Light" w:hAnsi="Calibri Light" w:cs="Calibri Light"/>
        </w:rPr>
        <w:t xml:space="preserve"> information to support decision-making</w:t>
      </w:r>
      <w:r w:rsidRPr="00DF1DB0">
        <w:rPr>
          <w:rFonts w:ascii="Calibri Light" w:hAnsi="Calibri Light" w:cs="Calibri Light"/>
        </w:rPr>
        <w:t xml:space="preserve">. Investors also note the lack of standardisation makes disclosures difficult to compare, which impacts their decisions. This Policy Impact Analysis considers the impact of implementing a requirement for large Australian businesses and financial institutions to disclose their climate-related financial risks to financial markets </w:t>
      </w:r>
      <w:r>
        <w:rPr>
          <w:rFonts w:ascii="Calibri Light" w:hAnsi="Calibri Light" w:cs="Calibri Light"/>
        </w:rPr>
        <w:t>by expanding</w:t>
      </w:r>
      <w:r w:rsidRPr="00DF1DB0">
        <w:rPr>
          <w:rFonts w:ascii="Calibri Light" w:hAnsi="Calibri Light" w:cs="Calibri Light"/>
        </w:rPr>
        <w:t xml:space="preserve"> existing reporting </w:t>
      </w:r>
      <w:r>
        <w:rPr>
          <w:rFonts w:ascii="Calibri Light" w:hAnsi="Calibri Light" w:cs="Calibri Light"/>
        </w:rPr>
        <w:t>frameworks</w:t>
      </w:r>
      <w:r w:rsidRPr="00DF1DB0">
        <w:rPr>
          <w:rFonts w:ascii="Calibri Light" w:hAnsi="Calibri Light" w:cs="Calibri Light"/>
        </w:rPr>
        <w:t>.</w:t>
      </w:r>
    </w:p>
    <w:p w14:paraId="77467077" w14:textId="77777777" w:rsidR="00EA5697" w:rsidRPr="007835B0" w:rsidRDefault="00962F90" w:rsidP="007835B0">
      <w:pPr>
        <w:pStyle w:val="Heading1"/>
      </w:pPr>
      <w:bookmarkStart w:id="6" w:name="_Toc144742099"/>
      <w:r w:rsidRPr="007835B0">
        <w:t>The p</w:t>
      </w:r>
      <w:r w:rsidR="00EA5697" w:rsidRPr="007835B0">
        <w:t>roblem</w:t>
      </w:r>
      <w:bookmarkEnd w:id="6"/>
    </w:p>
    <w:p w14:paraId="020BA124" w14:textId="77777777" w:rsidR="00FF45FD" w:rsidDel="001A4B65" w:rsidRDefault="00FF45FD" w:rsidP="00FF45FD">
      <w:pPr>
        <w:pStyle w:val="BodyText"/>
        <w:rPr>
          <w:rFonts w:ascii="Calibri Light" w:hAnsi="Calibri Light" w:cs="Calibri Light"/>
        </w:rPr>
      </w:pPr>
      <w:r w:rsidDel="001A4B65">
        <w:rPr>
          <w:rFonts w:ascii="Calibri Light" w:hAnsi="Calibri Light" w:cs="Calibri Light"/>
        </w:rPr>
        <w:t>Climate change is having an impact on the financial prospects of companies, for better and for worse. It is increasingly recognised that companies need to manage and disclose those risks. This is becoming a mainstream part of corporate governance and strategy. To do this effectively, the financial impacts of climate change need to be identified and disclosed to the market.</w:t>
      </w:r>
    </w:p>
    <w:p w14:paraId="13319A5A" w14:textId="1730BEE9" w:rsidR="00FF45FD" w:rsidRPr="00204DA8" w:rsidDel="001A4B65" w:rsidRDefault="00FF45FD" w:rsidP="00FF45FD">
      <w:pPr>
        <w:pStyle w:val="BodyText"/>
        <w:rPr>
          <w:rFonts w:ascii="Calibri Light" w:hAnsi="Calibri Light" w:cs="Calibri Light"/>
        </w:rPr>
      </w:pPr>
      <w:r w:rsidRPr="00204DA8" w:rsidDel="001A4B65">
        <w:rPr>
          <w:rFonts w:ascii="Calibri Light" w:hAnsi="Calibri Light" w:cs="Calibri Light"/>
        </w:rPr>
        <w:t>Physical risks are projected to increase in Australia, with CSIRO and</w:t>
      </w:r>
      <w:r w:rsidDel="001A4B65">
        <w:rPr>
          <w:rFonts w:ascii="Calibri Light" w:hAnsi="Calibri Light" w:cs="Calibri Light"/>
        </w:rPr>
        <w:t xml:space="preserve"> the</w:t>
      </w:r>
      <w:r w:rsidRPr="00204DA8" w:rsidDel="001A4B65">
        <w:rPr>
          <w:rFonts w:ascii="Calibri Light" w:hAnsi="Calibri Light" w:cs="Calibri Light"/>
        </w:rPr>
        <w:t xml:space="preserve"> Bureau of Meteorology modelling suggesting there will be an increase in the frequency and intensity of heat waves and rainfall events, rising sea levels, increased acidity of oceans and decline in snow depths.</w:t>
      </w:r>
      <w:r w:rsidR="009C241A">
        <w:rPr>
          <w:rStyle w:val="FootnoteReference"/>
          <w:rFonts w:ascii="Calibri Light" w:hAnsi="Calibri Light" w:cs="Calibri Light"/>
        </w:rPr>
        <w:footnoteReference w:id="7"/>
      </w:r>
      <w:r w:rsidR="009C241A" w:rsidRPr="00204DA8" w:rsidDel="001A4B65">
        <w:rPr>
          <w:rFonts w:ascii="Calibri Light" w:hAnsi="Calibri Light" w:cs="Calibri Light"/>
        </w:rPr>
        <w:t xml:space="preserve"> </w:t>
      </w:r>
      <w:r w:rsidRPr="00204DA8" w:rsidDel="001A4B65">
        <w:rPr>
          <w:rFonts w:ascii="Calibri Light" w:hAnsi="Calibri Light" w:cs="Calibri Light"/>
        </w:rPr>
        <w:t xml:space="preserve">The impact of natural hazards on physical assets could lead to destruction of a firm’s physical assets, lower productive capacity and output, and lower </w:t>
      </w:r>
      <w:r w:rsidDel="001A4B65">
        <w:rPr>
          <w:rFonts w:ascii="Calibri Light" w:hAnsi="Calibri Light" w:cs="Calibri Light"/>
        </w:rPr>
        <w:t xml:space="preserve">the </w:t>
      </w:r>
      <w:r w:rsidRPr="00204DA8" w:rsidDel="001A4B65">
        <w:rPr>
          <w:rFonts w:ascii="Calibri Light" w:hAnsi="Calibri Light" w:cs="Calibri Light"/>
        </w:rPr>
        <w:t>value of a firm’s financial contracts. This in turn will have a negative impact on the value of</w:t>
      </w:r>
      <w:r w:rsidDel="001A4B65">
        <w:rPr>
          <w:rFonts w:ascii="Calibri Light" w:hAnsi="Calibri Light" w:cs="Calibri Light"/>
        </w:rPr>
        <w:t xml:space="preserve"> any</w:t>
      </w:r>
      <w:r w:rsidRPr="00204DA8" w:rsidDel="001A4B65">
        <w:rPr>
          <w:rFonts w:ascii="Calibri Light" w:hAnsi="Calibri Light" w:cs="Calibri Light"/>
        </w:rPr>
        <w:t xml:space="preserve"> financial portfolios that hold the asset</w:t>
      </w:r>
      <w:r w:rsidDel="001A4B65">
        <w:rPr>
          <w:rFonts w:ascii="Calibri Light" w:hAnsi="Calibri Light" w:cs="Calibri Light"/>
        </w:rPr>
        <w:t>, whether individuals or institutions.</w:t>
      </w:r>
      <w:r w:rsidRPr="00204DA8" w:rsidDel="001A4B65">
        <w:rPr>
          <w:rFonts w:ascii="Calibri Light" w:hAnsi="Calibri Light" w:cs="Calibri Light"/>
        </w:rPr>
        <w:t xml:space="preserve"> </w:t>
      </w:r>
      <w:r w:rsidDel="001A4B65">
        <w:rPr>
          <w:rFonts w:ascii="Calibri Light" w:hAnsi="Calibri Light" w:cs="Calibri Light"/>
        </w:rPr>
        <w:t>F</w:t>
      </w:r>
      <w:r w:rsidRPr="00204DA8" w:rsidDel="001A4B65">
        <w:rPr>
          <w:rFonts w:ascii="Calibri Light" w:hAnsi="Calibri Light" w:cs="Calibri Light"/>
        </w:rPr>
        <w:t xml:space="preserve">or example, a firm whose productive capacity is destroyed by severe floods and has borrowed from a bank may not be able to make interest and principal repayments, impacting the bank’s balance sheet. </w:t>
      </w:r>
    </w:p>
    <w:p w14:paraId="70FB31FB" w14:textId="3FEFF6E3" w:rsidR="00FF45FD" w:rsidDel="001A4B65" w:rsidRDefault="00FF45FD" w:rsidP="00FF45FD">
      <w:pPr>
        <w:pStyle w:val="BodyText"/>
        <w:rPr>
          <w:rFonts w:ascii="Calibri Light" w:hAnsi="Calibri Light" w:cs="Calibri Light"/>
        </w:rPr>
      </w:pPr>
      <w:r w:rsidRPr="00204DA8" w:rsidDel="001A4B65">
        <w:rPr>
          <w:rFonts w:ascii="Calibri Light" w:hAnsi="Calibri Light" w:cs="Calibri Light"/>
        </w:rPr>
        <w:t>Transition risks are also becoming more acute</w:t>
      </w:r>
      <w:r w:rsidDel="001A4B65">
        <w:rPr>
          <w:rFonts w:ascii="Calibri Light" w:hAnsi="Calibri Light" w:cs="Calibri Light"/>
        </w:rPr>
        <w:t xml:space="preserve"> </w:t>
      </w:r>
      <w:r w:rsidRPr="00204DA8" w:rsidDel="001A4B65">
        <w:rPr>
          <w:rFonts w:ascii="Calibri Light" w:hAnsi="Calibri Light" w:cs="Calibri Light"/>
        </w:rPr>
        <w:t xml:space="preserve">as </w:t>
      </w:r>
      <w:r w:rsidR="00D64972">
        <w:rPr>
          <w:rFonts w:ascii="Calibri Light" w:hAnsi="Calibri Light" w:cs="Calibri Light"/>
        </w:rPr>
        <w:t>markets respond to changing c</w:t>
      </w:r>
      <w:r w:rsidR="00766C42">
        <w:rPr>
          <w:rFonts w:ascii="Calibri Light" w:hAnsi="Calibri Light" w:cs="Calibri Light"/>
        </w:rPr>
        <w:t xml:space="preserve">onsumer demands </w:t>
      </w:r>
      <w:r w:rsidR="00D64972">
        <w:rPr>
          <w:rFonts w:ascii="Calibri Light" w:hAnsi="Calibri Light" w:cs="Calibri Light"/>
        </w:rPr>
        <w:t xml:space="preserve">and </w:t>
      </w:r>
      <w:r w:rsidRPr="00204DA8" w:rsidDel="001A4B65">
        <w:rPr>
          <w:rFonts w:ascii="Calibri Light" w:hAnsi="Calibri Light" w:cs="Calibri Light"/>
        </w:rPr>
        <w:t xml:space="preserve">more countries commit to </w:t>
      </w:r>
      <w:r w:rsidRPr="26A0AA83" w:rsidDel="001A4B65">
        <w:rPr>
          <w:rFonts w:ascii="Calibri Light" w:hAnsi="Calibri Light" w:cs="Calibri Light"/>
        </w:rPr>
        <w:t xml:space="preserve">policies to meet </w:t>
      </w:r>
      <w:r w:rsidRPr="00204DA8" w:rsidDel="001A4B65">
        <w:rPr>
          <w:rFonts w:ascii="Calibri Light" w:hAnsi="Calibri Light" w:cs="Calibri Light"/>
        </w:rPr>
        <w:t>net zero targets by 2050</w:t>
      </w:r>
      <w:r w:rsidDel="001A4B65">
        <w:rPr>
          <w:rFonts w:ascii="Calibri Light" w:hAnsi="Calibri Light" w:cs="Calibri Light"/>
        </w:rPr>
        <w:t>.</w:t>
      </w:r>
      <w:r w:rsidRPr="00204DA8" w:rsidDel="001A4B65">
        <w:rPr>
          <w:rFonts w:ascii="Calibri Light" w:hAnsi="Calibri Light" w:cs="Calibri Light"/>
        </w:rPr>
        <w:t xml:space="preserve"> In this context, </w:t>
      </w:r>
      <w:r w:rsidDel="001A4B65">
        <w:rPr>
          <w:rFonts w:ascii="Calibri Light" w:hAnsi="Calibri Light" w:cs="Calibri Light"/>
        </w:rPr>
        <w:t>investors have to consider which companies and assets will have the most challenges in transitioning to net zero.</w:t>
      </w:r>
      <w:r w:rsidRPr="00204DA8" w:rsidDel="001A4B65">
        <w:rPr>
          <w:rFonts w:ascii="Calibri Light" w:hAnsi="Calibri Light" w:cs="Calibri Light"/>
        </w:rPr>
        <w:t xml:space="preserve"> </w:t>
      </w:r>
      <w:r w:rsidDel="001A4B65">
        <w:rPr>
          <w:rFonts w:ascii="Calibri Light" w:hAnsi="Calibri Light" w:cs="Calibri Light"/>
        </w:rPr>
        <w:t>Some industries will need to change business models and practices to fit within a low carbon economy. Consideration would also need to be given to those assets that lose value or become ‘stranded’ due to an inability to adapt to these changes.</w:t>
      </w:r>
      <w:r w:rsidRPr="00204DA8" w:rsidDel="001A4B65">
        <w:rPr>
          <w:rFonts w:ascii="Calibri Light" w:hAnsi="Calibri Light" w:cs="Calibri Light"/>
        </w:rPr>
        <w:t xml:space="preserve"> </w:t>
      </w:r>
      <w:r w:rsidDel="001A4B65">
        <w:rPr>
          <w:rFonts w:ascii="Calibri Light" w:hAnsi="Calibri Light" w:cs="Calibri Light"/>
        </w:rPr>
        <w:t>S</w:t>
      </w:r>
      <w:r w:rsidRPr="00204DA8" w:rsidDel="001A4B65">
        <w:rPr>
          <w:rFonts w:ascii="Calibri Light" w:hAnsi="Calibri Light" w:cs="Calibri Light"/>
        </w:rPr>
        <w:t>tranded assets can lead to large</w:t>
      </w:r>
      <w:r w:rsidDel="001A4B65">
        <w:rPr>
          <w:rFonts w:ascii="Calibri Light" w:hAnsi="Calibri Light" w:cs="Calibri Light"/>
        </w:rPr>
        <w:t xml:space="preserve"> (downward)</w:t>
      </w:r>
      <w:r w:rsidRPr="00204DA8" w:rsidDel="001A4B65">
        <w:rPr>
          <w:rFonts w:ascii="Calibri Light" w:hAnsi="Calibri Light" w:cs="Calibri Light"/>
        </w:rPr>
        <w:t xml:space="preserve"> adjustments in asset </w:t>
      </w:r>
      <w:r w:rsidDel="001A4B65">
        <w:rPr>
          <w:rFonts w:ascii="Calibri Light" w:hAnsi="Calibri Light" w:cs="Calibri Light"/>
        </w:rPr>
        <w:t>values</w:t>
      </w:r>
      <w:r w:rsidRPr="00204DA8" w:rsidDel="001A4B65">
        <w:rPr>
          <w:rFonts w:ascii="Calibri Light" w:hAnsi="Calibri Light" w:cs="Calibri Light"/>
        </w:rPr>
        <w:t>, with potential implications on economic and financial stability.</w:t>
      </w:r>
      <w:r w:rsidDel="001A4B65">
        <w:rPr>
          <w:rFonts w:ascii="Calibri Light" w:hAnsi="Calibri Light" w:cs="Calibri Light"/>
        </w:rPr>
        <w:t xml:space="preserve"> </w:t>
      </w:r>
      <w:r w:rsidRPr="00B62D1A" w:rsidDel="001A4B65">
        <w:rPr>
          <w:rFonts w:ascii="Calibri Light" w:hAnsi="Calibri Light" w:cs="Calibri Light"/>
        </w:rPr>
        <w:t xml:space="preserve">This has led to heightened demand </w:t>
      </w:r>
      <w:r w:rsidDel="001A4B65">
        <w:rPr>
          <w:rFonts w:ascii="Calibri Light" w:hAnsi="Calibri Light" w:cs="Calibri Light"/>
        </w:rPr>
        <w:t>from</w:t>
      </w:r>
      <w:r w:rsidRPr="00B62D1A" w:rsidDel="001A4B65">
        <w:rPr>
          <w:rFonts w:ascii="Calibri Light" w:hAnsi="Calibri Light" w:cs="Calibri Light"/>
        </w:rPr>
        <w:t xml:space="preserve"> investors, </w:t>
      </w:r>
      <w:proofErr w:type="gramStart"/>
      <w:r w:rsidRPr="00B62D1A" w:rsidDel="001A4B65">
        <w:rPr>
          <w:rFonts w:ascii="Calibri Light" w:hAnsi="Calibri Light" w:cs="Calibri Light"/>
        </w:rPr>
        <w:t>regulators</w:t>
      </w:r>
      <w:proofErr w:type="gramEnd"/>
      <w:r w:rsidRPr="00B62D1A" w:rsidDel="001A4B65">
        <w:rPr>
          <w:rFonts w:ascii="Calibri Light" w:hAnsi="Calibri Light" w:cs="Calibri Light"/>
        </w:rPr>
        <w:t xml:space="preserve"> </w:t>
      </w:r>
      <w:r w:rsidDel="001A4B65">
        <w:rPr>
          <w:rFonts w:ascii="Calibri Light" w:hAnsi="Calibri Light" w:cs="Calibri Light"/>
        </w:rPr>
        <w:t>and</w:t>
      </w:r>
      <w:r w:rsidRPr="00B62D1A" w:rsidDel="001A4B65">
        <w:rPr>
          <w:rFonts w:ascii="Calibri Light" w:hAnsi="Calibri Light" w:cs="Calibri Light"/>
        </w:rPr>
        <w:t xml:space="preserve"> firms </w:t>
      </w:r>
      <w:r w:rsidDel="001A4B65">
        <w:rPr>
          <w:rFonts w:ascii="Calibri Light" w:hAnsi="Calibri Light" w:cs="Calibri Light"/>
        </w:rPr>
        <w:t xml:space="preserve">for greater information in order to understand and respond to these risks. </w:t>
      </w:r>
    </w:p>
    <w:p w14:paraId="3CEE1F10" w14:textId="10E93992" w:rsidR="00455B80" w:rsidRPr="00DF1DB0" w:rsidRDefault="00FF45FD" w:rsidP="00455B80">
      <w:pPr>
        <w:pStyle w:val="BodyText"/>
        <w:rPr>
          <w:rFonts w:ascii="Calibri Light" w:hAnsi="Calibri Light" w:cs="Calibri Light"/>
        </w:rPr>
      </w:pPr>
      <w:r w:rsidRPr="504CE3F5" w:rsidDel="001A4B65">
        <w:rPr>
          <w:rFonts w:ascii="Calibri Light" w:hAnsi="Calibri Light" w:cs="Calibri Light"/>
        </w:rPr>
        <w:t xml:space="preserve">These growing financial risks around climate change have led to a heightened demand for quality climate disclosures by financial markets and regulators. </w:t>
      </w:r>
      <w:r w:rsidR="00BC127D" w:rsidRPr="00DF1DB0">
        <w:rPr>
          <w:rFonts w:ascii="Calibri Light" w:hAnsi="Calibri Light" w:cs="Calibri Light"/>
        </w:rPr>
        <w:t>Many Australian businesses face significant physical and transition risks as well as opportunities stemming from climate change</w:t>
      </w:r>
      <w:r w:rsidR="00BC127D" w:rsidRPr="000269C0">
        <w:rPr>
          <w:rFonts w:ascii="Calibri Light" w:hAnsi="Calibri Light" w:cs="Calibri Light"/>
          <w:vertAlign w:val="superscript"/>
        </w:rPr>
        <w:footnoteReference w:id="8"/>
      </w:r>
      <w:r w:rsidR="00BC127D" w:rsidRPr="00DF1DB0">
        <w:rPr>
          <w:rFonts w:ascii="Calibri Light" w:hAnsi="Calibri Light" w:cs="Calibri Light"/>
        </w:rPr>
        <w:t xml:space="preserve">. To unlock investment in emissions mitigation and climate risk adaptation, </w:t>
      </w:r>
      <w:r w:rsidR="00BC127D">
        <w:rPr>
          <w:rFonts w:ascii="Calibri Light" w:hAnsi="Calibri Light" w:cs="Calibri Light"/>
        </w:rPr>
        <w:t xml:space="preserve">businesses and </w:t>
      </w:r>
      <w:r w:rsidR="00BC127D" w:rsidRPr="00DF1DB0">
        <w:rPr>
          <w:rFonts w:ascii="Calibri Light" w:hAnsi="Calibri Light" w:cs="Calibri Light"/>
        </w:rPr>
        <w:t>investors need to understand and price both the opportunities and risks of climate change.</w:t>
      </w:r>
      <w:r w:rsidR="00455B80" w:rsidRPr="00455B80">
        <w:rPr>
          <w:rFonts w:ascii="Calibri Light" w:hAnsi="Calibri Light" w:cs="Calibri Light"/>
        </w:rPr>
        <w:t xml:space="preserve"> </w:t>
      </w:r>
      <w:r w:rsidR="00455B80" w:rsidRPr="00DF1DB0">
        <w:rPr>
          <w:rFonts w:ascii="Calibri Light" w:hAnsi="Calibri Light" w:cs="Calibri Light"/>
        </w:rPr>
        <w:t>Poor investor understanding of climate-related risks and opportunities could lead to inefficient allocation of capital</w:t>
      </w:r>
      <w:r w:rsidR="00455B80">
        <w:rPr>
          <w:rFonts w:ascii="Calibri Light" w:hAnsi="Calibri Light" w:cs="Calibri Light"/>
        </w:rPr>
        <w:t>. Also, Australian firms could be less competitive in global capital markets if our climate disclosure regime did not align with international best practice.</w:t>
      </w:r>
    </w:p>
    <w:p w14:paraId="26DF650B" w14:textId="77777777" w:rsidR="00455B80" w:rsidRPr="00DF1DB0" w:rsidRDefault="00455B80" w:rsidP="00455B80">
      <w:pPr>
        <w:pStyle w:val="BodyText"/>
        <w:rPr>
          <w:rFonts w:ascii="Calibri Light" w:hAnsi="Calibri Light" w:cs="Calibri Light"/>
        </w:rPr>
      </w:pPr>
      <w:r w:rsidRPr="00DF1DB0">
        <w:rPr>
          <w:rFonts w:ascii="Calibri Light" w:hAnsi="Calibri Light" w:cs="Calibri Light"/>
        </w:rPr>
        <w:t>Treasury consultation</w:t>
      </w:r>
      <w:r w:rsidRPr="00445279">
        <w:rPr>
          <w:rFonts w:ascii="Calibri Light" w:hAnsi="Calibri Light" w:cs="Calibri Light"/>
          <w:position w:val="6"/>
          <w:vertAlign w:val="superscript"/>
        </w:rPr>
        <w:footnoteReference w:id="9"/>
      </w:r>
      <w:r w:rsidRPr="00DF1DB0">
        <w:rPr>
          <w:rFonts w:ascii="Calibri Light" w:hAnsi="Calibri Light" w:cs="Calibri Light"/>
        </w:rPr>
        <w:t xml:space="preserve"> suggests information asymmetry between firms and investors is a major barrier to efficient capital allocation. </w:t>
      </w:r>
      <w:r>
        <w:rPr>
          <w:rFonts w:ascii="Calibri Light" w:hAnsi="Calibri Light" w:cs="Calibri Light"/>
        </w:rPr>
        <w:t>Ernst and Young’s 2022 Global Climate Risk Barometer, which analysed disclosures by over 1500 companies across 47 countries (including 103 Australian companies), found that t</w:t>
      </w:r>
      <w:r w:rsidRPr="00DF1DB0">
        <w:rPr>
          <w:rFonts w:ascii="Calibri Light" w:hAnsi="Calibri Light" w:cs="Calibri Light"/>
        </w:rPr>
        <w:t>here is currently a mismatch between the depth and quality of information sought by investors and the information that firms have the capacity and willingness to provide</w:t>
      </w:r>
      <w:r w:rsidRPr="00445279">
        <w:rPr>
          <w:rStyle w:val="FootnoteReference"/>
          <w:rFonts w:ascii="Calibri Light" w:hAnsi="Calibri Light" w:cs="Calibri Light"/>
          <w:position w:val="6"/>
          <w:vertAlign w:val="superscript"/>
        </w:rPr>
        <w:footnoteReference w:id="10"/>
      </w:r>
      <w:r w:rsidRPr="00DF1DB0">
        <w:rPr>
          <w:rFonts w:ascii="Calibri Light" w:hAnsi="Calibri Light" w:cs="Calibri Light"/>
        </w:rPr>
        <w:t xml:space="preserve">. </w:t>
      </w:r>
    </w:p>
    <w:p w14:paraId="6FB95F5E" w14:textId="65A9AA0D" w:rsidR="00FF45FD" w:rsidRPr="00B62D1A" w:rsidDel="001A4B65" w:rsidRDefault="00FF45FD" w:rsidP="00FF45FD">
      <w:pPr>
        <w:pStyle w:val="BodyText"/>
        <w:rPr>
          <w:rFonts w:ascii="Calibri Light" w:hAnsi="Calibri Light" w:cs="Calibri Light"/>
        </w:rPr>
      </w:pPr>
      <w:r w:rsidRPr="504CE3F5" w:rsidDel="001A4B65">
        <w:rPr>
          <w:rFonts w:ascii="Calibri Light" w:hAnsi="Calibri Light" w:cs="Calibri Light"/>
        </w:rPr>
        <w:t>Treasury’s consultations</w:t>
      </w:r>
      <w:r w:rsidR="00C06253">
        <w:rPr>
          <w:rFonts w:ascii="Calibri Light" w:hAnsi="Calibri Light" w:cs="Calibri Light"/>
        </w:rPr>
        <w:t xml:space="preserve"> also</w:t>
      </w:r>
      <w:r w:rsidRPr="504CE3F5" w:rsidDel="001A4B65">
        <w:rPr>
          <w:rFonts w:ascii="Calibri Light" w:hAnsi="Calibri Light" w:cs="Calibri Light"/>
        </w:rPr>
        <w:t xml:space="preserve"> revealed strong support for a more robust climate disclosure regime.</w:t>
      </w:r>
      <w:r w:rsidDel="001A4B65">
        <w:rPr>
          <w:rFonts w:ascii="Calibri Light" w:hAnsi="Calibri Light" w:cs="Calibri Light"/>
        </w:rPr>
        <w:t xml:space="preserve"> It is critical that investors have access to relevant information </w:t>
      </w:r>
      <w:r w:rsidRPr="504CE3F5" w:rsidDel="001A4B65">
        <w:rPr>
          <w:rFonts w:ascii="Calibri Light" w:hAnsi="Calibri Light" w:cs="Calibri Light"/>
        </w:rPr>
        <w:t xml:space="preserve">about climate-related risks </w:t>
      </w:r>
      <w:r w:rsidDel="001A4B65">
        <w:rPr>
          <w:rFonts w:ascii="Calibri Light" w:hAnsi="Calibri Light" w:cs="Calibri Light"/>
        </w:rPr>
        <w:t xml:space="preserve">for prudent management of the capital they invest. Adapting to this heightened demand </w:t>
      </w:r>
      <w:r w:rsidRPr="504CE3F5" w:rsidDel="001A4B65">
        <w:rPr>
          <w:rFonts w:ascii="Calibri Light" w:hAnsi="Calibri Light" w:cs="Calibri Light"/>
        </w:rPr>
        <w:t xml:space="preserve">for quality climate disclosures </w:t>
      </w:r>
      <w:r w:rsidDel="001A4B65">
        <w:rPr>
          <w:rFonts w:ascii="Calibri Light" w:hAnsi="Calibri Light" w:cs="Calibri Light"/>
        </w:rPr>
        <w:t xml:space="preserve">will ensure Australia stays aligned with global best practice. </w:t>
      </w:r>
      <w:r w:rsidRPr="504CE3F5" w:rsidDel="001A4B65">
        <w:rPr>
          <w:rFonts w:ascii="Calibri Light" w:hAnsi="Calibri Light" w:cs="Calibri Light"/>
        </w:rPr>
        <w:t xml:space="preserve">It will also ensure that markets are well placed to fund the transition to net zero. </w:t>
      </w:r>
    </w:p>
    <w:p w14:paraId="2A161CEA" w14:textId="61ADF7C1" w:rsidR="00197F54" w:rsidRDefault="005E5A0F" w:rsidP="00197F54">
      <w:pPr>
        <w:pStyle w:val="Heading3"/>
      </w:pPr>
      <w:bookmarkStart w:id="7" w:name="_Toc144742100"/>
      <w:r>
        <w:t>Current reporting trends in Australia</w:t>
      </w:r>
      <w:bookmarkEnd w:id="7"/>
    </w:p>
    <w:p w14:paraId="2D601859" w14:textId="0DD5C260" w:rsidR="00197F54" w:rsidRPr="00DF1DB0" w:rsidRDefault="00197F54" w:rsidP="00197F54">
      <w:pPr>
        <w:pStyle w:val="BodyText"/>
        <w:rPr>
          <w:rFonts w:ascii="Calibri Light" w:hAnsi="Calibri Light" w:cs="Calibri Light"/>
        </w:rPr>
      </w:pPr>
      <w:r w:rsidRPr="00DF1DB0">
        <w:rPr>
          <w:rFonts w:ascii="Calibri Light" w:hAnsi="Calibri Light" w:cs="Calibri Light"/>
        </w:rPr>
        <w:t xml:space="preserve">As </w:t>
      </w:r>
      <w:r>
        <w:rPr>
          <w:rFonts w:ascii="Calibri Light" w:hAnsi="Calibri Light" w:cs="Calibri Light"/>
        </w:rPr>
        <w:t>the financial risks and opportunities associated with climate change have become more apparent</w:t>
      </w:r>
      <w:r w:rsidRPr="00DF1DB0">
        <w:rPr>
          <w:rFonts w:ascii="Calibri Light" w:hAnsi="Calibri Light" w:cs="Calibri Light"/>
        </w:rPr>
        <w:t xml:space="preserve">, investors have </w:t>
      </w:r>
      <w:r>
        <w:rPr>
          <w:rFonts w:ascii="Calibri Light" w:hAnsi="Calibri Light" w:cs="Calibri Light"/>
        </w:rPr>
        <w:t>sought</w:t>
      </w:r>
      <w:r w:rsidRPr="00DF1DB0">
        <w:rPr>
          <w:rFonts w:ascii="Calibri Light" w:hAnsi="Calibri Light" w:cs="Calibri Light"/>
        </w:rPr>
        <w:t xml:space="preserve"> better disclosure of these risks</w:t>
      </w:r>
      <w:r>
        <w:rPr>
          <w:rFonts w:ascii="Calibri Light" w:hAnsi="Calibri Light" w:cs="Calibri Light"/>
        </w:rPr>
        <w:t xml:space="preserve"> in relation to their investments</w:t>
      </w:r>
      <w:r w:rsidRPr="00DF1DB0">
        <w:rPr>
          <w:rFonts w:ascii="Calibri Light" w:hAnsi="Calibri Light" w:cs="Calibri Light"/>
        </w:rPr>
        <w:t xml:space="preserve">. </w:t>
      </w:r>
      <w:r>
        <w:rPr>
          <w:rFonts w:ascii="Calibri Light" w:hAnsi="Calibri Light" w:cs="Calibri Light"/>
        </w:rPr>
        <w:t xml:space="preserve">Since </w:t>
      </w:r>
      <w:r w:rsidRPr="00DF1DB0">
        <w:rPr>
          <w:rFonts w:ascii="Calibri Light" w:hAnsi="Calibri Light" w:cs="Calibri Light"/>
        </w:rPr>
        <w:t xml:space="preserve">the TCFD </w:t>
      </w:r>
      <w:r>
        <w:rPr>
          <w:rFonts w:ascii="Calibri Light" w:hAnsi="Calibri Light" w:cs="Calibri Light"/>
        </w:rPr>
        <w:t xml:space="preserve">made its recommendations </w:t>
      </w:r>
      <w:r w:rsidRPr="00DF1DB0">
        <w:rPr>
          <w:rFonts w:ascii="Calibri Light" w:hAnsi="Calibri Light" w:cs="Calibri Light"/>
        </w:rPr>
        <w:t xml:space="preserve">in 2017, jurisdictions have begun mandating TCFD-aligned disclosures. </w:t>
      </w:r>
      <w:r>
        <w:rPr>
          <w:rFonts w:ascii="Calibri Light" w:hAnsi="Calibri Light" w:cs="Calibri Light"/>
        </w:rPr>
        <w:t>While not separately mandated i</w:t>
      </w:r>
      <w:r w:rsidRPr="00DF1DB0">
        <w:rPr>
          <w:rFonts w:ascii="Calibri Light" w:hAnsi="Calibri Light" w:cs="Calibri Light"/>
        </w:rPr>
        <w:t>n Australia, financial regulators</w:t>
      </w:r>
      <w:r>
        <w:rPr>
          <w:rFonts w:ascii="Calibri Light" w:hAnsi="Calibri Light" w:cs="Calibri Light"/>
        </w:rPr>
        <w:t xml:space="preserve"> including ASIC</w:t>
      </w:r>
      <w:r w:rsidR="00CE004B" w:rsidRPr="007055DB">
        <w:rPr>
          <w:rStyle w:val="FootnoteReference"/>
          <w:rFonts w:ascii="Calibri Light" w:hAnsi="Calibri Light" w:cs="Calibri Light"/>
          <w:position w:val="6"/>
          <w:vertAlign w:val="superscript"/>
        </w:rPr>
        <w:footnoteReference w:id="11"/>
      </w:r>
      <w:r w:rsidRPr="00DA7C3B">
        <w:rPr>
          <w:rFonts w:ascii="Calibri Light" w:hAnsi="Calibri Light" w:cs="Calibri Light"/>
          <w:vertAlign w:val="superscript"/>
        </w:rPr>
        <w:t xml:space="preserve"> </w:t>
      </w:r>
      <w:r>
        <w:rPr>
          <w:rFonts w:ascii="Calibri Light" w:hAnsi="Calibri Light" w:cs="Calibri Light"/>
        </w:rPr>
        <w:t>and the ASX</w:t>
      </w:r>
      <w:r w:rsidR="00DA7C3B" w:rsidRPr="007055DB">
        <w:rPr>
          <w:rStyle w:val="FootnoteReference"/>
          <w:rFonts w:ascii="Calibri Light" w:hAnsi="Calibri Light" w:cs="Calibri Light"/>
          <w:position w:val="6"/>
          <w:vertAlign w:val="superscript"/>
        </w:rPr>
        <w:footnoteReference w:id="12"/>
      </w:r>
      <w:r w:rsidRPr="00DA7C3B">
        <w:rPr>
          <w:rFonts w:ascii="Calibri Light" w:hAnsi="Calibri Light" w:cs="Calibri Light"/>
          <w:vertAlign w:val="superscript"/>
        </w:rPr>
        <w:t xml:space="preserve"> </w:t>
      </w:r>
      <w:r w:rsidRPr="00DF1DB0">
        <w:rPr>
          <w:rFonts w:ascii="Calibri Light" w:hAnsi="Calibri Light" w:cs="Calibri Light"/>
        </w:rPr>
        <w:t>have issued guidance that climate-related financial risks must be disclosed as part of existing obligations to disclose material risks, recommending TCFD as a framework for disclosure.</w:t>
      </w:r>
    </w:p>
    <w:p w14:paraId="5A92D1EB" w14:textId="4AE314FD" w:rsidR="00197F54" w:rsidRPr="00DF1DB0" w:rsidRDefault="00197F54" w:rsidP="00197F54">
      <w:pPr>
        <w:pStyle w:val="BodyText"/>
        <w:rPr>
          <w:rFonts w:ascii="Calibri Light" w:hAnsi="Calibri Light" w:cs="Calibri Light"/>
        </w:rPr>
      </w:pPr>
      <w:r w:rsidRPr="00DF1DB0">
        <w:rPr>
          <w:rFonts w:ascii="Calibri Light" w:hAnsi="Calibri Light" w:cs="Calibri Light"/>
        </w:rPr>
        <w:t>According to a 2022 survey by the TCFD, 90 per cent of users of general-purpose financial reports and other users considered climate</w:t>
      </w:r>
      <w:r w:rsidRPr="00DF1DB0">
        <w:rPr>
          <w:rFonts w:ascii="Calibri Light" w:hAnsi="Calibri Light" w:cs="Calibri Light"/>
        </w:rPr>
        <w:noBreakHyphen/>
        <w:t>related disclosures in financial decision-making, with 66 per cent factoring in these disclosures when pricing financial assets</w:t>
      </w:r>
      <w:r w:rsidRPr="00CC46A2">
        <w:rPr>
          <w:rFonts w:ascii="Calibri Light" w:hAnsi="Calibri Light" w:cs="Calibri Light"/>
          <w:vertAlign w:val="superscript"/>
        </w:rPr>
        <w:footnoteReference w:id="13"/>
      </w:r>
      <w:r w:rsidR="00FD68DD">
        <w:rPr>
          <w:rFonts w:ascii="Calibri Light" w:hAnsi="Calibri Light" w:cs="Calibri Light"/>
        </w:rPr>
        <w:t>.</w:t>
      </w:r>
      <w:r w:rsidRPr="00DF1DB0">
        <w:rPr>
          <w:rFonts w:ascii="Calibri Light" w:hAnsi="Calibri Light" w:cs="Calibri Light"/>
        </w:rPr>
        <w:t xml:space="preserve"> A 202</w:t>
      </w:r>
      <w:r w:rsidR="003D6484">
        <w:rPr>
          <w:rFonts w:ascii="Calibri Light" w:hAnsi="Calibri Light" w:cs="Calibri Light"/>
        </w:rPr>
        <w:t>3</w:t>
      </w:r>
      <w:r w:rsidRPr="00DF1DB0">
        <w:rPr>
          <w:rFonts w:ascii="Calibri Light" w:hAnsi="Calibri Light" w:cs="Calibri Light"/>
        </w:rPr>
        <w:t xml:space="preserve"> KPMG report into Australian companies found that </w:t>
      </w:r>
      <w:r w:rsidR="00C41989">
        <w:rPr>
          <w:rFonts w:ascii="Calibri Light" w:hAnsi="Calibri Light" w:cs="Calibri Light"/>
        </w:rPr>
        <w:t>out of 94 ASX100 companies</w:t>
      </w:r>
      <w:r w:rsidR="00B0345A">
        <w:rPr>
          <w:rFonts w:ascii="Calibri Light" w:hAnsi="Calibri Light" w:cs="Calibri Light"/>
        </w:rPr>
        <w:t xml:space="preserve"> that report sustainability, 88 per cent </w:t>
      </w:r>
      <w:r w:rsidRPr="00DF1DB0">
        <w:rPr>
          <w:rFonts w:ascii="Calibri Light" w:hAnsi="Calibri Light" w:cs="Calibri Light"/>
        </w:rPr>
        <w:t xml:space="preserve">companies recognise climate as a financial risk, </w:t>
      </w:r>
      <w:r w:rsidR="00602430">
        <w:rPr>
          <w:rFonts w:ascii="Calibri Light" w:hAnsi="Calibri Light" w:cs="Calibri Light"/>
        </w:rPr>
        <w:t xml:space="preserve">yet </w:t>
      </w:r>
      <w:r w:rsidRPr="00DF1DB0">
        <w:rPr>
          <w:rFonts w:ascii="Calibri Light" w:hAnsi="Calibri Light" w:cs="Calibri Light"/>
        </w:rPr>
        <w:t>only 7</w:t>
      </w:r>
      <w:r w:rsidR="00800CC3">
        <w:rPr>
          <w:rFonts w:ascii="Calibri Light" w:hAnsi="Calibri Light" w:cs="Calibri Light"/>
        </w:rPr>
        <w:t>8</w:t>
      </w:r>
      <w:r w:rsidRPr="00DF1DB0">
        <w:rPr>
          <w:rFonts w:ascii="Calibri Light" w:hAnsi="Calibri Light" w:cs="Calibri Light"/>
        </w:rPr>
        <w:t xml:space="preserve"> per cent are voluntarily reporting against TCFD</w:t>
      </w:r>
      <w:r w:rsidRPr="00B62734">
        <w:rPr>
          <w:rFonts w:ascii="Calibri Light" w:hAnsi="Calibri Light" w:cs="Calibri Light"/>
          <w:vertAlign w:val="superscript"/>
        </w:rPr>
        <w:footnoteReference w:id="14"/>
      </w:r>
      <w:r w:rsidR="009609F3">
        <w:rPr>
          <w:rFonts w:ascii="Calibri Light" w:hAnsi="Calibri Light" w:cs="Calibri Light"/>
        </w:rPr>
        <w:t>.</w:t>
      </w:r>
      <w:r w:rsidR="008F645E">
        <w:rPr>
          <w:rFonts w:ascii="Calibri Light" w:hAnsi="Calibri Light" w:cs="Calibri Light"/>
        </w:rPr>
        <w:t xml:space="preserve"> This </w:t>
      </w:r>
      <w:r w:rsidR="00CF158F">
        <w:rPr>
          <w:rFonts w:ascii="Calibri Light" w:hAnsi="Calibri Light" w:cs="Calibri Light"/>
        </w:rPr>
        <w:t xml:space="preserve">asymmetry shows that </w:t>
      </w:r>
      <w:r w:rsidR="008018D0">
        <w:rPr>
          <w:rFonts w:ascii="Calibri Light" w:hAnsi="Calibri Light" w:cs="Calibri Light"/>
        </w:rPr>
        <w:t xml:space="preserve">there is climate risk in the system that is not being adequately disclosed and therefore addressed. </w:t>
      </w:r>
      <w:r w:rsidR="00303A9B" w:rsidRPr="00490AF9">
        <w:rPr>
          <w:rFonts w:ascii="Calibri Light" w:hAnsi="Calibri Light" w:cs="Calibri Light"/>
        </w:rPr>
        <w:t xml:space="preserve">Furthermore, the </w:t>
      </w:r>
      <w:r w:rsidR="00EF7513" w:rsidRPr="00490AF9">
        <w:rPr>
          <w:rFonts w:ascii="Calibri Light" w:hAnsi="Calibri Light" w:cs="Calibri Light"/>
        </w:rPr>
        <w:t xml:space="preserve">proportion of companies </w:t>
      </w:r>
      <w:r w:rsidR="002850C0" w:rsidRPr="00490AF9">
        <w:rPr>
          <w:rFonts w:ascii="Calibri Light" w:hAnsi="Calibri Light" w:cs="Calibri Light"/>
        </w:rPr>
        <w:t xml:space="preserve">reporting against the TCFD framework </w:t>
      </w:r>
      <w:r w:rsidR="00FB6F84" w:rsidRPr="00490AF9">
        <w:rPr>
          <w:rFonts w:ascii="Calibri Light" w:hAnsi="Calibri Light" w:cs="Calibri Light"/>
        </w:rPr>
        <w:t xml:space="preserve">drops </w:t>
      </w:r>
      <w:r w:rsidR="009C1942" w:rsidRPr="00490AF9">
        <w:rPr>
          <w:rFonts w:ascii="Calibri Light" w:hAnsi="Calibri Light" w:cs="Calibri Light"/>
        </w:rPr>
        <w:t>to 67.5</w:t>
      </w:r>
      <w:r w:rsidR="003630B3" w:rsidRPr="00490AF9">
        <w:rPr>
          <w:rFonts w:ascii="Calibri Light" w:hAnsi="Calibri Light" w:cs="Calibri Light"/>
        </w:rPr>
        <w:t xml:space="preserve"> per cent</w:t>
      </w:r>
      <w:r w:rsidR="009C1942" w:rsidRPr="00490AF9">
        <w:rPr>
          <w:rFonts w:ascii="Calibri Light" w:hAnsi="Calibri Light" w:cs="Calibri Light"/>
        </w:rPr>
        <w:t xml:space="preserve"> </w:t>
      </w:r>
      <w:r w:rsidR="0033030D" w:rsidRPr="00490AF9">
        <w:rPr>
          <w:rFonts w:ascii="Calibri Light" w:hAnsi="Calibri Light" w:cs="Calibri Light"/>
        </w:rPr>
        <w:t>of the ASX200</w:t>
      </w:r>
      <w:r w:rsidR="00A22C74" w:rsidRPr="00705726">
        <w:rPr>
          <w:rStyle w:val="FootnoteReference"/>
          <w:rFonts w:ascii="Calibri Light" w:hAnsi="Calibri Light" w:cs="Calibri Light"/>
          <w:position w:val="6"/>
          <w:vertAlign w:val="superscript"/>
        </w:rPr>
        <w:footnoteReference w:id="15"/>
      </w:r>
      <w:r w:rsidR="00A92C96">
        <w:rPr>
          <w:rFonts w:ascii="Calibri Light" w:hAnsi="Calibri Light" w:cs="Calibri Light"/>
        </w:rPr>
        <w:t>,</w:t>
      </w:r>
      <w:r w:rsidR="0033030D" w:rsidRPr="00490AF9">
        <w:rPr>
          <w:rFonts w:ascii="Calibri Light" w:hAnsi="Calibri Light" w:cs="Calibri Light"/>
        </w:rPr>
        <w:t xml:space="preserve"> and </w:t>
      </w:r>
      <w:r w:rsidR="0089307E">
        <w:rPr>
          <w:rFonts w:ascii="Calibri Light" w:hAnsi="Calibri Light" w:cs="Calibri Light"/>
        </w:rPr>
        <w:t xml:space="preserve">drops </w:t>
      </w:r>
      <w:r w:rsidR="0033030D" w:rsidRPr="00490AF9">
        <w:rPr>
          <w:rFonts w:ascii="Calibri Light" w:hAnsi="Calibri Light" w:cs="Calibri Light"/>
        </w:rPr>
        <w:t>even further beyond the ASX200</w:t>
      </w:r>
      <w:r w:rsidR="00B50715" w:rsidRPr="00490AF9">
        <w:rPr>
          <w:rFonts w:ascii="Calibri Light" w:hAnsi="Calibri Light" w:cs="Calibri Light"/>
        </w:rPr>
        <w:t xml:space="preserve">. </w:t>
      </w:r>
    </w:p>
    <w:p w14:paraId="47DCB4B0" w14:textId="2EFA4B49" w:rsidR="00D65EB0" w:rsidRDefault="00756078" w:rsidP="00197F54">
      <w:pPr>
        <w:pStyle w:val="BodyText"/>
        <w:rPr>
          <w:rFonts w:ascii="Calibri Light" w:hAnsi="Calibri Light" w:cs="Calibri Light"/>
        </w:rPr>
      </w:pPr>
      <w:r w:rsidRPr="004103DE">
        <w:rPr>
          <w:rFonts w:ascii="Calibri Light" w:hAnsi="Calibri Light" w:cs="Calibri Light"/>
        </w:rPr>
        <w:t xml:space="preserve">Even among those </w:t>
      </w:r>
      <w:r w:rsidR="00493F5B" w:rsidRPr="004103DE">
        <w:rPr>
          <w:rFonts w:ascii="Calibri Light" w:hAnsi="Calibri Light" w:cs="Calibri Light"/>
        </w:rPr>
        <w:t xml:space="preserve">companies </w:t>
      </w:r>
      <w:r w:rsidRPr="004103DE">
        <w:rPr>
          <w:rFonts w:ascii="Calibri Light" w:hAnsi="Calibri Light" w:cs="Calibri Light"/>
        </w:rPr>
        <w:t>that report</w:t>
      </w:r>
      <w:r w:rsidR="00493F5B" w:rsidRPr="004103DE">
        <w:rPr>
          <w:rFonts w:ascii="Calibri Light" w:hAnsi="Calibri Light" w:cs="Calibri Light"/>
        </w:rPr>
        <w:t xml:space="preserve"> voluntarily, </w:t>
      </w:r>
      <w:r w:rsidR="00D43523" w:rsidRPr="004103DE">
        <w:rPr>
          <w:rFonts w:ascii="Calibri Light" w:hAnsi="Calibri Light" w:cs="Calibri Light"/>
        </w:rPr>
        <w:t xml:space="preserve">not all </w:t>
      </w:r>
      <w:r w:rsidR="00505955" w:rsidRPr="004103DE">
        <w:rPr>
          <w:rFonts w:ascii="Calibri Light" w:hAnsi="Calibri Light" w:cs="Calibri Light"/>
        </w:rPr>
        <w:t>are reporting</w:t>
      </w:r>
      <w:r w:rsidR="00D43523" w:rsidRPr="004103DE">
        <w:rPr>
          <w:rFonts w:ascii="Calibri Light" w:hAnsi="Calibri Light" w:cs="Calibri Light"/>
        </w:rPr>
        <w:t xml:space="preserve"> </w:t>
      </w:r>
      <w:r w:rsidR="0019152D" w:rsidRPr="004103DE">
        <w:rPr>
          <w:rFonts w:ascii="Calibri Light" w:hAnsi="Calibri Light" w:cs="Calibri Light"/>
        </w:rPr>
        <w:t xml:space="preserve">in accordance with the full TCFD requirements, </w:t>
      </w:r>
      <w:r w:rsidR="004C7149" w:rsidRPr="004103DE">
        <w:rPr>
          <w:rFonts w:ascii="Calibri Light" w:hAnsi="Calibri Light" w:cs="Calibri Light"/>
        </w:rPr>
        <w:t xml:space="preserve">and some entities have chosen to </w:t>
      </w:r>
      <w:proofErr w:type="gramStart"/>
      <w:r w:rsidR="004B7A0E" w:rsidRPr="004103DE">
        <w:rPr>
          <w:rFonts w:ascii="Calibri Light" w:hAnsi="Calibri Light" w:cs="Calibri Light"/>
        </w:rPr>
        <w:t xml:space="preserve">only </w:t>
      </w:r>
      <w:r w:rsidR="004C7149" w:rsidRPr="004103DE">
        <w:rPr>
          <w:rFonts w:ascii="Calibri Light" w:hAnsi="Calibri Light" w:cs="Calibri Light"/>
        </w:rPr>
        <w:t>partially report</w:t>
      </w:r>
      <w:r w:rsidR="004B7A0E" w:rsidRPr="004103DE">
        <w:rPr>
          <w:rFonts w:ascii="Calibri Light" w:hAnsi="Calibri Light" w:cs="Calibri Light"/>
        </w:rPr>
        <w:t xml:space="preserve"> against the requirements</w:t>
      </w:r>
      <w:proofErr w:type="gramEnd"/>
      <w:r w:rsidR="004C7149" w:rsidRPr="004103DE">
        <w:rPr>
          <w:rFonts w:ascii="Calibri Light" w:hAnsi="Calibri Light" w:cs="Calibri Light"/>
        </w:rPr>
        <w:t>.</w:t>
      </w:r>
      <w:r w:rsidR="00E5085E" w:rsidRPr="004103DE">
        <w:rPr>
          <w:rFonts w:ascii="Calibri Light" w:hAnsi="Calibri Light" w:cs="Calibri Light"/>
        </w:rPr>
        <w:t xml:space="preserve"> </w:t>
      </w:r>
    </w:p>
    <w:p w14:paraId="7BE88F74" w14:textId="77777777" w:rsidR="00772233" w:rsidRDefault="00627984" w:rsidP="00772233">
      <w:pPr>
        <w:pStyle w:val="BodyText"/>
        <w:rPr>
          <w:rFonts w:ascii="Calibri Light" w:hAnsi="Calibri Light" w:cs="Calibri Light"/>
        </w:rPr>
      </w:pPr>
      <w:r w:rsidRPr="004103DE">
        <w:rPr>
          <w:rFonts w:ascii="Calibri Light" w:hAnsi="Calibri Light" w:cs="Calibri Light"/>
        </w:rPr>
        <w:t>A 2023</w:t>
      </w:r>
      <w:r w:rsidR="00952D46" w:rsidRPr="004103DE">
        <w:rPr>
          <w:rFonts w:ascii="Calibri Light" w:hAnsi="Calibri Light" w:cs="Calibri Light"/>
        </w:rPr>
        <w:t xml:space="preserve"> Australian Council of Superannuation Investors</w:t>
      </w:r>
      <w:r w:rsidR="00281C9B" w:rsidRPr="004103DE">
        <w:rPr>
          <w:rFonts w:ascii="Calibri Light" w:hAnsi="Calibri Light" w:cs="Calibri Light"/>
        </w:rPr>
        <w:t xml:space="preserve"> </w:t>
      </w:r>
      <w:r w:rsidRPr="004103DE">
        <w:rPr>
          <w:rFonts w:ascii="Calibri Light" w:hAnsi="Calibri Light" w:cs="Calibri Light"/>
        </w:rPr>
        <w:t xml:space="preserve">(ACSI) </w:t>
      </w:r>
      <w:r w:rsidR="00281C9B" w:rsidRPr="004103DE">
        <w:rPr>
          <w:rFonts w:ascii="Calibri Light" w:hAnsi="Calibri Light" w:cs="Calibri Light"/>
        </w:rPr>
        <w:t>report</w:t>
      </w:r>
      <w:r w:rsidR="00281C9B" w:rsidRPr="004103DE">
        <w:rPr>
          <w:rStyle w:val="FootnoteReference"/>
          <w:rFonts w:ascii="Calibri Light" w:hAnsi="Calibri Light" w:cs="Calibri Light"/>
          <w:sz w:val="22"/>
        </w:rPr>
        <w:t xml:space="preserve"> </w:t>
      </w:r>
      <w:r w:rsidR="004719A6" w:rsidRPr="00705726">
        <w:rPr>
          <w:rStyle w:val="FootnoteReference"/>
          <w:rFonts w:ascii="Calibri Light" w:hAnsi="Calibri Light" w:cs="Calibri Light"/>
          <w:position w:val="6"/>
          <w:vertAlign w:val="superscript"/>
        </w:rPr>
        <w:footnoteReference w:id="16"/>
      </w:r>
      <w:r w:rsidR="00281C9B" w:rsidRPr="00705726">
        <w:rPr>
          <w:rStyle w:val="FootnoteReference"/>
          <w:position w:val="6"/>
          <w:vertAlign w:val="superscript"/>
        </w:rPr>
        <w:t xml:space="preserve"> </w:t>
      </w:r>
      <w:r w:rsidR="00A653D0" w:rsidRPr="004103DE">
        <w:rPr>
          <w:rFonts w:ascii="Calibri Light" w:hAnsi="Calibri Light" w:cs="Calibri Light"/>
        </w:rPr>
        <w:t>provides a sector comparison of ASX200 companies’ use of the TCFD framework</w:t>
      </w:r>
      <w:r w:rsidR="004103DE">
        <w:rPr>
          <w:rFonts w:ascii="Calibri Light" w:hAnsi="Calibri Light" w:cs="Calibri Light"/>
        </w:rPr>
        <w:t xml:space="preserve"> </w:t>
      </w:r>
      <w:r w:rsidR="004103DE" w:rsidRPr="00D951BD">
        <w:rPr>
          <w:rFonts w:ascii="Calibri Light" w:hAnsi="Calibri Light" w:cs="Calibri Light"/>
        </w:rPr>
        <w:t xml:space="preserve">(Chart </w:t>
      </w:r>
      <w:r w:rsidR="00D951BD" w:rsidRPr="00D951BD">
        <w:rPr>
          <w:rFonts w:ascii="Calibri Light" w:hAnsi="Calibri Light" w:cs="Calibri Light"/>
        </w:rPr>
        <w:t>1</w:t>
      </w:r>
      <w:r w:rsidR="004103DE" w:rsidRPr="00D951BD">
        <w:rPr>
          <w:rFonts w:ascii="Calibri Light" w:hAnsi="Calibri Light" w:cs="Calibri Light"/>
        </w:rPr>
        <w:t>)</w:t>
      </w:r>
      <w:r w:rsidR="00A653D0" w:rsidRPr="004103DE">
        <w:rPr>
          <w:rFonts w:ascii="Calibri Light" w:hAnsi="Calibri Light" w:cs="Calibri Light"/>
        </w:rPr>
        <w:t>.</w:t>
      </w:r>
      <w:r w:rsidR="00772233">
        <w:rPr>
          <w:rFonts w:ascii="Calibri Light" w:hAnsi="Calibri Light" w:cs="Calibri Light"/>
        </w:rPr>
        <w:t xml:space="preserve"> </w:t>
      </w:r>
      <w:r w:rsidR="00772233" w:rsidRPr="007F78DA">
        <w:rPr>
          <w:rFonts w:ascii="Calibri Light" w:hAnsi="Calibri Light" w:cs="Calibri Light"/>
        </w:rPr>
        <w:t>Full reporting under the TCFD framework is not necessarily sufficient, as the TCFD does not specify the level of quantitative or qualitative detail required or disclosure of how the company identifies risks. As a result, entities are able to make broad</w:t>
      </w:r>
      <w:r w:rsidR="00772233">
        <w:rPr>
          <w:rFonts w:ascii="Calibri Light" w:hAnsi="Calibri Light" w:cs="Calibri Light"/>
        </w:rPr>
        <w:t>, qualitative</w:t>
      </w:r>
      <w:r w:rsidR="00772233" w:rsidRPr="007F78DA">
        <w:rPr>
          <w:rFonts w:ascii="Calibri Light" w:hAnsi="Calibri Light" w:cs="Calibri Light"/>
        </w:rPr>
        <w:t xml:space="preserve"> statements in order to comply. </w:t>
      </w:r>
    </w:p>
    <w:p w14:paraId="40A0D2BC" w14:textId="77777777" w:rsidR="009175D4" w:rsidRDefault="009175D4" w:rsidP="009175D4">
      <w:pPr>
        <w:pStyle w:val="BodyText"/>
        <w:rPr>
          <w:rFonts w:ascii="Calibri Light" w:hAnsi="Calibri Light" w:cs="Calibri Light"/>
        </w:rPr>
      </w:pPr>
      <w:r>
        <w:rPr>
          <w:rFonts w:ascii="Calibri Light" w:hAnsi="Calibri Light" w:cs="Calibri Light"/>
        </w:rPr>
        <w:t>As a result of the slow uptake and varied information being published</w:t>
      </w:r>
      <w:r w:rsidRPr="00DF1DB0">
        <w:rPr>
          <w:rFonts w:ascii="Calibri Light" w:hAnsi="Calibri Light" w:cs="Calibri Light"/>
        </w:rPr>
        <w:t xml:space="preserve">, the frontier of global best practice continues to shift outward as capital markets and users of general-purpose financial reports </w:t>
      </w:r>
      <w:r>
        <w:rPr>
          <w:rFonts w:ascii="Calibri Light" w:hAnsi="Calibri Light" w:cs="Calibri Light"/>
        </w:rPr>
        <w:t xml:space="preserve">are increasingly </w:t>
      </w:r>
      <w:r w:rsidRPr="00DF1DB0">
        <w:rPr>
          <w:rFonts w:ascii="Calibri Light" w:hAnsi="Calibri Light" w:cs="Calibri Light"/>
        </w:rPr>
        <w:t>demand</w:t>
      </w:r>
      <w:r>
        <w:rPr>
          <w:rFonts w:ascii="Calibri Light" w:hAnsi="Calibri Light" w:cs="Calibri Light"/>
        </w:rPr>
        <w:t>ing</w:t>
      </w:r>
      <w:r w:rsidRPr="00DF1DB0">
        <w:rPr>
          <w:rFonts w:ascii="Calibri Light" w:hAnsi="Calibri Light" w:cs="Calibri Light"/>
        </w:rPr>
        <w:t xml:space="preserve"> better quality, internationally comparable disclosures. </w:t>
      </w:r>
      <w:r>
        <w:rPr>
          <w:rFonts w:ascii="Calibri Light" w:hAnsi="Calibri Light" w:cs="Calibri Light"/>
        </w:rPr>
        <w:t>In response to this, s</w:t>
      </w:r>
      <w:r w:rsidRPr="00DF1DB0">
        <w:rPr>
          <w:rFonts w:ascii="Calibri Light" w:hAnsi="Calibri Light" w:cs="Calibri Light"/>
        </w:rPr>
        <w:t xml:space="preserve">everal jurisdictions are contemplating or have </w:t>
      </w:r>
      <w:r>
        <w:rPr>
          <w:rFonts w:ascii="Calibri Light" w:hAnsi="Calibri Light" w:cs="Calibri Light"/>
        </w:rPr>
        <w:t xml:space="preserve">already </w:t>
      </w:r>
      <w:r w:rsidRPr="00DF1DB0">
        <w:rPr>
          <w:rFonts w:ascii="Calibri Light" w:hAnsi="Calibri Light" w:cs="Calibri Light"/>
        </w:rPr>
        <w:t xml:space="preserve">introduced mandatory requirements for large businesses to disclose their climate-related risks. </w:t>
      </w:r>
    </w:p>
    <w:p w14:paraId="2510755E" w14:textId="23D461EF" w:rsidR="00342316" w:rsidRPr="00DF1DB0" w:rsidRDefault="00342316" w:rsidP="00197F54">
      <w:pPr>
        <w:pStyle w:val="BodyText"/>
        <w:rPr>
          <w:rFonts w:ascii="Calibri Light" w:hAnsi="Calibri Light" w:cs="Calibri Light"/>
        </w:rPr>
      </w:pPr>
    </w:p>
    <w:p w14:paraId="45447284" w14:textId="6A293954" w:rsidR="00E50D59" w:rsidRDefault="00E50D59" w:rsidP="003B3BBB">
      <w:pPr>
        <w:pStyle w:val="Caption"/>
      </w:pPr>
      <w:r>
        <w:t xml:space="preserve">Chart </w:t>
      </w:r>
      <w:r w:rsidR="002B113E">
        <w:fldChar w:fldCharType="begin"/>
      </w:r>
      <w:r w:rsidR="002B113E">
        <w:instrText xml:space="preserve"> SEQ Chart \* ARABIC </w:instrText>
      </w:r>
      <w:r w:rsidR="002B113E">
        <w:fldChar w:fldCharType="separate"/>
      </w:r>
      <w:r w:rsidR="006F39F1">
        <w:rPr>
          <w:noProof/>
        </w:rPr>
        <w:t>1</w:t>
      </w:r>
      <w:r w:rsidR="002B113E">
        <w:rPr>
          <w:noProof/>
        </w:rPr>
        <w:fldChar w:fldCharType="end"/>
      </w:r>
      <w:r>
        <w:t xml:space="preserve">: </w:t>
      </w:r>
      <w:r w:rsidR="00140A0F">
        <w:t>Sector comparison of ASX200 companies’ use of the TCFD framework</w:t>
      </w:r>
    </w:p>
    <w:p w14:paraId="120BBEB7" w14:textId="1007016C" w:rsidR="00A653D0" w:rsidRPr="00DF1DB0" w:rsidRDefault="00CB69C7" w:rsidP="00197F54">
      <w:pPr>
        <w:pStyle w:val="BodyText"/>
        <w:rPr>
          <w:rFonts w:ascii="Calibri Light" w:hAnsi="Calibri Light" w:cs="Calibri Light"/>
        </w:rPr>
      </w:pPr>
      <w:r w:rsidRPr="00CB69C7">
        <w:rPr>
          <w:rFonts w:ascii="Calibri Light" w:hAnsi="Calibri Light" w:cs="Calibri Light"/>
          <w:noProof/>
        </w:rPr>
        <w:drawing>
          <wp:inline distT="0" distB="0" distL="0" distR="0" wp14:anchorId="77CE41F4" wp14:editId="6E33689A">
            <wp:extent cx="5896969" cy="299880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96969" cy="2998800"/>
                    </a:xfrm>
                    <a:prstGeom prst="rect">
                      <a:avLst/>
                    </a:prstGeom>
                  </pic:spPr>
                </pic:pic>
              </a:graphicData>
            </a:graphic>
          </wp:inline>
        </w:drawing>
      </w:r>
    </w:p>
    <w:p w14:paraId="219F29FA" w14:textId="6FEB7BBC" w:rsidR="001851AB" w:rsidRPr="007F78DA" w:rsidRDefault="003C4FF2" w:rsidP="00197F54">
      <w:pPr>
        <w:pStyle w:val="BodyText"/>
        <w:rPr>
          <w:rFonts w:ascii="Calibri Light" w:hAnsi="Calibri Light" w:cs="Calibri Light"/>
          <w:sz w:val="20"/>
          <w:szCs w:val="20"/>
        </w:rPr>
      </w:pPr>
      <w:r w:rsidRPr="007F78DA">
        <w:rPr>
          <w:rFonts w:ascii="Calibri Light" w:hAnsi="Calibri Light" w:cs="Calibri Light"/>
          <w:sz w:val="20"/>
          <w:szCs w:val="20"/>
        </w:rPr>
        <w:t xml:space="preserve">Source: </w:t>
      </w:r>
      <w:r w:rsidR="00B713A1" w:rsidRPr="007F78DA">
        <w:rPr>
          <w:rFonts w:ascii="Calibri Light" w:hAnsi="Calibri Light" w:cs="Calibri Light"/>
          <w:sz w:val="20"/>
          <w:szCs w:val="20"/>
        </w:rPr>
        <w:t>ACSI</w:t>
      </w:r>
      <w:r w:rsidR="00F10DC3">
        <w:rPr>
          <w:rFonts w:ascii="Calibri Light" w:hAnsi="Calibri Light" w:cs="Calibri Light"/>
          <w:sz w:val="20"/>
          <w:szCs w:val="20"/>
        </w:rPr>
        <w:t xml:space="preserve"> – Climate Reporting in ASX200 Companies: August 2023</w:t>
      </w:r>
    </w:p>
    <w:p w14:paraId="4D8BF811" w14:textId="732A6EC5" w:rsidR="00197F54" w:rsidRDefault="00197F54" w:rsidP="00197F54">
      <w:pPr>
        <w:pStyle w:val="BodyText"/>
        <w:rPr>
          <w:rFonts w:ascii="Calibri Light" w:hAnsi="Calibri Light" w:cs="Calibri Light"/>
        </w:rPr>
      </w:pPr>
      <w:r w:rsidRPr="00DF1DB0">
        <w:rPr>
          <w:rFonts w:ascii="Calibri Light" w:hAnsi="Calibri Light" w:cs="Calibri Light"/>
        </w:rPr>
        <w:t>For example, both New Zealand and the United Kingdom (UK) passed legislation that made climate</w:t>
      </w:r>
      <w:r w:rsidR="5939B3AD" w:rsidRPr="00DF1DB0">
        <w:rPr>
          <w:rFonts w:ascii="Calibri Light" w:hAnsi="Calibri Light" w:cs="Calibri Light"/>
        </w:rPr>
        <w:t>-</w:t>
      </w:r>
      <w:r w:rsidRPr="00DF1DB0">
        <w:rPr>
          <w:rFonts w:ascii="Calibri Light" w:hAnsi="Calibri Light" w:cs="Calibri Light"/>
        </w:rPr>
        <w:t xml:space="preserve">related disclosures mandatory for a subset of businesses. </w:t>
      </w:r>
      <w:r w:rsidR="005313D6">
        <w:rPr>
          <w:rFonts w:ascii="Calibri Light" w:hAnsi="Calibri Light" w:cs="Calibri Light"/>
        </w:rPr>
        <w:t>Both New Zealand</w:t>
      </w:r>
      <w:r w:rsidR="001C0336">
        <w:rPr>
          <w:rFonts w:ascii="Calibri Light" w:hAnsi="Calibri Light" w:cs="Calibri Light"/>
        </w:rPr>
        <w:t xml:space="preserve"> and the UK have mandated that companies report against standards that are TCFD aligned.</w:t>
      </w:r>
      <w:r w:rsidR="005F676A">
        <w:rPr>
          <w:rFonts w:ascii="Calibri Light" w:hAnsi="Calibri Light" w:cs="Calibri Light"/>
        </w:rPr>
        <w:t xml:space="preserve"> </w:t>
      </w:r>
      <w:r w:rsidR="00B82EF1">
        <w:rPr>
          <w:rFonts w:ascii="Calibri Light" w:hAnsi="Calibri Light" w:cs="Calibri Light"/>
        </w:rPr>
        <w:t>On 2 August 2023</w:t>
      </w:r>
      <w:r w:rsidR="003C784D">
        <w:rPr>
          <w:rFonts w:ascii="Calibri Light" w:hAnsi="Calibri Light" w:cs="Calibri Light"/>
        </w:rPr>
        <w:t>, t</w:t>
      </w:r>
      <w:r w:rsidR="00B73084">
        <w:rPr>
          <w:rFonts w:ascii="Calibri Light" w:hAnsi="Calibri Light" w:cs="Calibri Light"/>
        </w:rPr>
        <w:t xml:space="preserve">he UK </w:t>
      </w:r>
      <w:r w:rsidR="00B82EF1">
        <w:rPr>
          <w:rFonts w:ascii="Calibri Light" w:hAnsi="Calibri Light" w:cs="Calibri Light"/>
        </w:rPr>
        <w:t xml:space="preserve">Government </w:t>
      </w:r>
      <w:r w:rsidR="003C784D">
        <w:rPr>
          <w:rFonts w:ascii="Calibri Light" w:hAnsi="Calibri Light" w:cs="Calibri Light"/>
        </w:rPr>
        <w:t xml:space="preserve">announced that </w:t>
      </w:r>
      <w:r w:rsidR="00CE2138">
        <w:rPr>
          <w:rFonts w:ascii="Calibri Light" w:hAnsi="Calibri Light" w:cs="Calibri Light"/>
        </w:rPr>
        <w:t xml:space="preserve">it </w:t>
      </w:r>
      <w:r w:rsidR="000022F4">
        <w:rPr>
          <w:rFonts w:ascii="Calibri Light" w:hAnsi="Calibri Light" w:cs="Calibri Light"/>
        </w:rPr>
        <w:t>would develop</w:t>
      </w:r>
      <w:r w:rsidR="000022F4" w:rsidDel="00DB66DB">
        <w:rPr>
          <w:rFonts w:ascii="Calibri Light" w:hAnsi="Calibri Light" w:cs="Calibri Light"/>
        </w:rPr>
        <w:t xml:space="preserve"> </w:t>
      </w:r>
      <w:r w:rsidR="00DB66DB">
        <w:rPr>
          <w:rFonts w:ascii="Calibri Light" w:hAnsi="Calibri Light" w:cs="Calibri Light"/>
        </w:rPr>
        <w:t xml:space="preserve">its </w:t>
      </w:r>
      <w:r w:rsidR="000022F4">
        <w:rPr>
          <w:rFonts w:ascii="Calibri Light" w:hAnsi="Calibri Light" w:cs="Calibri Light"/>
        </w:rPr>
        <w:t>own</w:t>
      </w:r>
      <w:r w:rsidR="00266861">
        <w:rPr>
          <w:rFonts w:ascii="Calibri Light" w:hAnsi="Calibri Light" w:cs="Calibri Light"/>
        </w:rPr>
        <w:t xml:space="preserve"> </w:t>
      </w:r>
      <w:r w:rsidR="00E76DBC">
        <w:rPr>
          <w:rFonts w:ascii="Calibri Light" w:hAnsi="Calibri Light" w:cs="Calibri Light"/>
        </w:rPr>
        <w:t>UK specific</w:t>
      </w:r>
      <w:r w:rsidR="00567FFD">
        <w:rPr>
          <w:rFonts w:ascii="Calibri Light" w:hAnsi="Calibri Light" w:cs="Calibri Light"/>
        </w:rPr>
        <w:t xml:space="preserve"> sustainability</w:t>
      </w:r>
      <w:r w:rsidR="00E76DBC">
        <w:rPr>
          <w:rFonts w:ascii="Calibri Light" w:hAnsi="Calibri Light" w:cs="Calibri Light"/>
        </w:rPr>
        <w:t xml:space="preserve"> standards</w:t>
      </w:r>
      <w:r w:rsidR="00724D8B">
        <w:rPr>
          <w:rFonts w:ascii="Calibri Light" w:hAnsi="Calibri Light" w:cs="Calibri Light"/>
        </w:rPr>
        <w:t>, based on the final ISSB standards,</w:t>
      </w:r>
      <w:r w:rsidR="003C784D">
        <w:rPr>
          <w:rFonts w:ascii="Calibri Light" w:hAnsi="Calibri Light" w:cs="Calibri Light"/>
        </w:rPr>
        <w:t xml:space="preserve"> </w:t>
      </w:r>
      <w:r w:rsidR="007D6538">
        <w:rPr>
          <w:rFonts w:ascii="Calibri Light" w:hAnsi="Calibri Light" w:cs="Calibri Light"/>
        </w:rPr>
        <w:t xml:space="preserve">for companies to report </w:t>
      </w:r>
      <w:r w:rsidR="002628AF">
        <w:rPr>
          <w:rFonts w:ascii="Calibri Light" w:hAnsi="Calibri Light" w:cs="Calibri Light"/>
        </w:rPr>
        <w:t>sustainability-related risks and opportunities</w:t>
      </w:r>
      <w:r w:rsidR="000C7284">
        <w:rPr>
          <w:rFonts w:ascii="Calibri Light" w:hAnsi="Calibri Light" w:cs="Calibri Light"/>
        </w:rPr>
        <w:t xml:space="preserve"> by July 2024</w:t>
      </w:r>
      <w:r w:rsidR="002628AF">
        <w:rPr>
          <w:rFonts w:ascii="Calibri Light" w:hAnsi="Calibri Light" w:cs="Calibri Light"/>
        </w:rPr>
        <w:t xml:space="preserve">. </w:t>
      </w:r>
      <w:r w:rsidRPr="00DF1DB0">
        <w:rPr>
          <w:rFonts w:ascii="Calibri Light" w:hAnsi="Calibri Light" w:cs="Calibri Light"/>
        </w:rPr>
        <w:t>The United States of America (US), Switzerland and Singapore are also developing mandatory climate disclosure requirements.</w:t>
      </w:r>
      <w:r w:rsidR="00F937BC">
        <w:rPr>
          <w:rFonts w:ascii="Calibri Light" w:hAnsi="Calibri Light" w:cs="Calibri Light"/>
        </w:rPr>
        <w:t xml:space="preserve"> </w:t>
      </w:r>
      <w:r w:rsidR="00240727">
        <w:rPr>
          <w:rFonts w:ascii="Calibri Light" w:hAnsi="Calibri Light" w:cs="Calibri Light"/>
        </w:rPr>
        <w:t>Singapore</w:t>
      </w:r>
      <w:r w:rsidR="00D110CC">
        <w:rPr>
          <w:rFonts w:ascii="Calibri Light" w:hAnsi="Calibri Light" w:cs="Calibri Light"/>
        </w:rPr>
        <w:t xml:space="preserve"> has recently announced that it will require</w:t>
      </w:r>
      <w:r w:rsidR="00046C72">
        <w:rPr>
          <w:rFonts w:ascii="Calibri Light" w:hAnsi="Calibri Light" w:cs="Calibri Light"/>
        </w:rPr>
        <w:t xml:space="preserve"> listed entities</w:t>
      </w:r>
      <w:r w:rsidR="00C37E25">
        <w:rPr>
          <w:rFonts w:ascii="Calibri Light" w:hAnsi="Calibri Light" w:cs="Calibri Light"/>
        </w:rPr>
        <w:t xml:space="preserve"> to report against the </w:t>
      </w:r>
      <w:r w:rsidR="002D7A15">
        <w:rPr>
          <w:rFonts w:ascii="Calibri Light" w:hAnsi="Calibri Light" w:cs="Calibri Light"/>
        </w:rPr>
        <w:t xml:space="preserve">ISSB </w:t>
      </w:r>
      <w:r w:rsidR="003664C4">
        <w:rPr>
          <w:rFonts w:ascii="Calibri Light" w:hAnsi="Calibri Light" w:cs="Calibri Light"/>
        </w:rPr>
        <w:t>climate standards</w:t>
      </w:r>
      <w:r w:rsidR="003528B2">
        <w:rPr>
          <w:rFonts w:ascii="Calibri Light" w:hAnsi="Calibri Light" w:cs="Calibri Light"/>
        </w:rPr>
        <w:t>, starting from 2025.</w:t>
      </w:r>
      <w:r w:rsidR="00240727">
        <w:rPr>
          <w:rFonts w:ascii="Calibri Light" w:hAnsi="Calibri Light" w:cs="Calibri Light"/>
        </w:rPr>
        <w:t xml:space="preserve"> </w:t>
      </w:r>
      <w:r w:rsidR="007B2B2F">
        <w:rPr>
          <w:rFonts w:ascii="Calibri Light" w:hAnsi="Calibri Light" w:cs="Calibri Light"/>
        </w:rPr>
        <w:t>Re</w:t>
      </w:r>
      <w:r w:rsidR="004E49E4">
        <w:rPr>
          <w:rFonts w:ascii="Calibri Light" w:hAnsi="Calibri Light" w:cs="Calibri Light"/>
        </w:rPr>
        <w:t xml:space="preserve">ducing information asymmetry </w:t>
      </w:r>
      <w:r w:rsidR="00470D6C">
        <w:rPr>
          <w:rFonts w:ascii="Calibri Light" w:hAnsi="Calibri Light" w:cs="Calibri Light"/>
        </w:rPr>
        <w:t xml:space="preserve">for investors </w:t>
      </w:r>
      <w:r w:rsidR="004E49E4">
        <w:rPr>
          <w:rFonts w:ascii="Calibri Light" w:hAnsi="Calibri Light" w:cs="Calibri Light"/>
        </w:rPr>
        <w:t xml:space="preserve">through </w:t>
      </w:r>
      <w:r w:rsidR="00457D1A">
        <w:rPr>
          <w:rFonts w:ascii="Calibri Light" w:hAnsi="Calibri Light" w:cs="Calibri Light"/>
        </w:rPr>
        <w:t xml:space="preserve">improved climate disclosure practices remains </w:t>
      </w:r>
      <w:r w:rsidR="00522A12">
        <w:rPr>
          <w:rFonts w:ascii="Calibri Light" w:hAnsi="Calibri Light" w:cs="Calibri Light"/>
        </w:rPr>
        <w:t xml:space="preserve">key </w:t>
      </w:r>
      <w:r w:rsidR="008D6DD1">
        <w:rPr>
          <w:rFonts w:ascii="Calibri Light" w:hAnsi="Calibri Light" w:cs="Calibri Light"/>
        </w:rPr>
        <w:t xml:space="preserve">to </w:t>
      </w:r>
      <w:r w:rsidR="00C558B2">
        <w:rPr>
          <w:rFonts w:ascii="Calibri Light" w:hAnsi="Calibri Light" w:cs="Calibri Light"/>
        </w:rPr>
        <w:t xml:space="preserve">ensuring Australia remains an </w:t>
      </w:r>
      <w:r w:rsidR="00171491">
        <w:rPr>
          <w:rFonts w:ascii="Calibri Light" w:hAnsi="Calibri Light" w:cs="Calibri Light"/>
        </w:rPr>
        <w:t xml:space="preserve">attractive </w:t>
      </w:r>
      <w:r w:rsidR="00C558B2">
        <w:rPr>
          <w:rFonts w:ascii="Calibri Light" w:hAnsi="Calibri Light" w:cs="Calibri Light"/>
        </w:rPr>
        <w:t xml:space="preserve">destination for </w:t>
      </w:r>
      <w:r w:rsidR="00D331F0">
        <w:rPr>
          <w:rFonts w:ascii="Calibri Light" w:hAnsi="Calibri Light" w:cs="Calibri Light"/>
        </w:rPr>
        <w:t xml:space="preserve">global </w:t>
      </w:r>
      <w:r w:rsidR="00B5180B">
        <w:rPr>
          <w:rFonts w:ascii="Calibri Light" w:hAnsi="Calibri Light" w:cs="Calibri Light"/>
        </w:rPr>
        <w:t>capital.</w:t>
      </w:r>
      <w:r w:rsidR="0065619A">
        <w:rPr>
          <w:rFonts w:ascii="Calibri Light" w:hAnsi="Calibri Light" w:cs="Calibri Light"/>
        </w:rPr>
        <w:t xml:space="preserve"> </w:t>
      </w:r>
    </w:p>
    <w:p w14:paraId="328D4744" w14:textId="22F2284E" w:rsidR="001E2D70" w:rsidRDefault="001E2D70" w:rsidP="001E2D70">
      <w:pPr>
        <w:pStyle w:val="Heading3"/>
      </w:pPr>
      <w:bookmarkStart w:id="8" w:name="_Toc144742101"/>
      <w:r>
        <w:t>Lack of comparability in current reporting formats</w:t>
      </w:r>
      <w:bookmarkEnd w:id="8"/>
    </w:p>
    <w:p w14:paraId="1203CDE2" w14:textId="01FBF622" w:rsidR="001E2D70" w:rsidRPr="00204DA8" w:rsidRDefault="001E2D70" w:rsidP="001E2D70">
      <w:pPr>
        <w:pStyle w:val="BodyText"/>
        <w:rPr>
          <w:rFonts w:ascii="Calibri Light" w:hAnsi="Calibri Light" w:cs="Calibri Light"/>
        </w:rPr>
      </w:pPr>
      <w:r>
        <w:rPr>
          <w:rFonts w:ascii="Calibri Light" w:hAnsi="Calibri Light" w:cs="Calibri Light"/>
        </w:rPr>
        <w:t>The</w:t>
      </w:r>
      <w:r w:rsidRPr="00204DA8">
        <w:rPr>
          <w:rFonts w:ascii="Calibri Light" w:hAnsi="Calibri Light" w:cs="Calibri Light"/>
        </w:rPr>
        <w:t xml:space="preserve"> use of multiple frameworks, some voluntary and some mandatory, alongside different reporting formats without any benchmark for quality, means that users face a harder task in analysing sustainability information. This ultimately leads to increased costs for users and introduces inefficiencies into processes and eventually the market – leading to misallocation of capital.</w:t>
      </w:r>
      <w:r w:rsidR="00AA402B">
        <w:rPr>
          <w:rFonts w:ascii="Calibri Light" w:hAnsi="Calibri Light" w:cs="Calibri Light"/>
        </w:rPr>
        <w:t xml:space="preserve"> Below are some key issues that act as barriers for comparability.</w:t>
      </w:r>
    </w:p>
    <w:p w14:paraId="0DB879E6" w14:textId="77777777" w:rsidR="00197F54" w:rsidRPr="005B7429" w:rsidRDefault="00197F54" w:rsidP="00197F54">
      <w:pPr>
        <w:pStyle w:val="Heading4"/>
      </w:pPr>
      <w:r>
        <w:t>Multiple frameworks</w:t>
      </w:r>
    </w:p>
    <w:p w14:paraId="2129B91B" w14:textId="4BD2AEF9" w:rsidR="00CE4507" w:rsidRDefault="00197F54" w:rsidP="00C07639">
      <w:pPr>
        <w:pStyle w:val="BodyText"/>
        <w:rPr>
          <w:rFonts w:ascii="Calibri Light" w:hAnsi="Calibri Light" w:cs="Calibri Light"/>
        </w:rPr>
      </w:pPr>
      <w:r w:rsidRPr="00205E11">
        <w:rPr>
          <w:rFonts w:ascii="Calibri Light" w:hAnsi="Calibri Light" w:cs="Calibri Light"/>
        </w:rPr>
        <w:t>Globally,</w:t>
      </w:r>
      <w:r>
        <w:rPr>
          <w:rFonts w:ascii="Calibri Light" w:hAnsi="Calibri Light" w:cs="Calibri Light"/>
        </w:rPr>
        <w:t xml:space="preserve"> </w:t>
      </w:r>
      <w:r w:rsidR="00EF0D8A">
        <w:rPr>
          <w:rFonts w:ascii="Calibri Light" w:hAnsi="Calibri Light" w:cs="Calibri Light"/>
        </w:rPr>
        <w:t xml:space="preserve">TCFD is not the only framework that is used in climate-risk reporting. </w:t>
      </w:r>
      <w:r w:rsidRPr="00205E11">
        <w:rPr>
          <w:rFonts w:ascii="Calibri Light" w:hAnsi="Calibri Light" w:cs="Calibri Light"/>
        </w:rPr>
        <w:t>In Australia, the TCFD framework, S</w:t>
      </w:r>
      <w:r w:rsidR="00FD466C">
        <w:rPr>
          <w:rFonts w:ascii="Calibri Light" w:hAnsi="Calibri Light" w:cs="Calibri Light"/>
        </w:rPr>
        <w:t xml:space="preserve">ustainability Accounting Standards Board (SASB) </w:t>
      </w:r>
      <w:r w:rsidRPr="00205E11">
        <w:rPr>
          <w:rFonts w:ascii="Calibri Light" w:hAnsi="Calibri Light" w:cs="Calibri Light"/>
        </w:rPr>
        <w:t xml:space="preserve">standards, GRI standards and </w:t>
      </w:r>
      <w:r>
        <w:rPr>
          <w:rFonts w:ascii="Calibri Light" w:hAnsi="Calibri Light" w:cs="Calibri Light"/>
        </w:rPr>
        <w:t>sustainable development</w:t>
      </w:r>
      <w:r w:rsidRPr="00205E11">
        <w:rPr>
          <w:rFonts w:ascii="Calibri Light" w:hAnsi="Calibri Light" w:cs="Calibri Light"/>
        </w:rPr>
        <w:t xml:space="preserve"> goals </w:t>
      </w:r>
      <w:r>
        <w:rPr>
          <w:rFonts w:ascii="Calibri Light" w:hAnsi="Calibri Light" w:cs="Calibri Light"/>
        </w:rPr>
        <w:t xml:space="preserve">(SDG) </w:t>
      </w:r>
      <w:r w:rsidRPr="00205E11">
        <w:rPr>
          <w:rFonts w:ascii="Calibri Light" w:hAnsi="Calibri Light" w:cs="Calibri Light"/>
        </w:rPr>
        <w:t>are used to varying levels.</w:t>
      </w:r>
      <w:r w:rsidRPr="00B62734">
        <w:rPr>
          <w:rFonts w:ascii="Calibri Light" w:hAnsi="Calibri Light" w:cs="Calibri Light"/>
          <w:vertAlign w:val="superscript"/>
        </w:rPr>
        <w:footnoteReference w:id="17"/>
      </w:r>
      <w:r w:rsidRPr="00205E11">
        <w:rPr>
          <w:rFonts w:ascii="Calibri Light" w:hAnsi="Calibri Light" w:cs="Calibri Light"/>
        </w:rPr>
        <w:t xml:space="preserve"> </w:t>
      </w:r>
      <w:r w:rsidR="00FD7FA8">
        <w:rPr>
          <w:rFonts w:ascii="Calibri Light" w:hAnsi="Calibri Light" w:cs="Calibri Light"/>
        </w:rPr>
        <w:t>Maintaining understanding of multiple frameworks and methodologies is cost intensive</w:t>
      </w:r>
      <w:r w:rsidR="00616326">
        <w:rPr>
          <w:rFonts w:ascii="Calibri Light" w:hAnsi="Calibri Light" w:cs="Calibri Light"/>
        </w:rPr>
        <w:t xml:space="preserve"> for investors</w:t>
      </w:r>
      <w:r w:rsidR="00FD7FA8">
        <w:rPr>
          <w:rFonts w:ascii="Calibri Light" w:hAnsi="Calibri Light" w:cs="Calibri Light"/>
        </w:rPr>
        <w:t xml:space="preserve"> and </w:t>
      </w:r>
      <w:r w:rsidR="00E434CC">
        <w:rPr>
          <w:rFonts w:ascii="Calibri Light" w:hAnsi="Calibri Light" w:cs="Calibri Light"/>
        </w:rPr>
        <w:t>reduces</w:t>
      </w:r>
      <w:r w:rsidR="00FD7FA8">
        <w:rPr>
          <w:rFonts w:ascii="Calibri Light" w:hAnsi="Calibri Light" w:cs="Calibri Light"/>
        </w:rPr>
        <w:t xml:space="preserve"> comparability of</w:t>
      </w:r>
      <w:r w:rsidR="001836B1">
        <w:rPr>
          <w:rFonts w:ascii="Calibri Light" w:hAnsi="Calibri Light" w:cs="Calibri Light"/>
        </w:rPr>
        <w:t xml:space="preserve"> disclosures </w:t>
      </w:r>
      <w:r w:rsidR="00FD7FA8">
        <w:rPr>
          <w:rFonts w:ascii="Calibri Light" w:hAnsi="Calibri Light" w:cs="Calibri Light"/>
        </w:rPr>
        <w:t>between</w:t>
      </w:r>
      <w:r w:rsidR="001836B1">
        <w:rPr>
          <w:rFonts w:ascii="Calibri Light" w:hAnsi="Calibri Light" w:cs="Calibri Light"/>
        </w:rPr>
        <w:t xml:space="preserve"> </w:t>
      </w:r>
      <w:r w:rsidR="00A9376D">
        <w:rPr>
          <w:rFonts w:ascii="Calibri Light" w:hAnsi="Calibri Light" w:cs="Calibri Light"/>
        </w:rPr>
        <w:t>companies and/or industries</w:t>
      </w:r>
      <w:r w:rsidR="00FD7FA8">
        <w:rPr>
          <w:rFonts w:ascii="Calibri Light" w:hAnsi="Calibri Light" w:cs="Calibri Light"/>
        </w:rPr>
        <w:t xml:space="preserve">. </w:t>
      </w:r>
      <w:r>
        <w:rPr>
          <w:rFonts w:ascii="Calibri Light" w:hAnsi="Calibri Light" w:cs="Calibri Light"/>
        </w:rPr>
        <w:t>Table 1</w:t>
      </w:r>
      <w:r w:rsidR="00FD7FA8">
        <w:rPr>
          <w:rFonts w:ascii="Calibri Light" w:hAnsi="Calibri Light" w:cs="Calibri Light"/>
        </w:rPr>
        <w:t xml:space="preserve"> below illustrates</w:t>
      </w:r>
      <w:r w:rsidR="007E7A4A">
        <w:rPr>
          <w:rFonts w:ascii="Calibri Light" w:hAnsi="Calibri Light" w:cs="Calibri Light"/>
        </w:rPr>
        <w:t xml:space="preserve"> </w:t>
      </w:r>
      <w:r w:rsidR="00616326">
        <w:rPr>
          <w:rFonts w:ascii="Calibri Light" w:hAnsi="Calibri Light" w:cs="Calibri Light"/>
        </w:rPr>
        <w:t xml:space="preserve">the differences in </w:t>
      </w:r>
      <w:r w:rsidR="007E7A4A">
        <w:rPr>
          <w:rFonts w:ascii="Calibri Light" w:hAnsi="Calibri Light" w:cs="Calibri Light"/>
        </w:rPr>
        <w:t>information published by two Australian mining companies</w:t>
      </w:r>
      <w:r w:rsidR="00616326">
        <w:rPr>
          <w:rFonts w:ascii="Calibri Light" w:hAnsi="Calibri Light" w:cs="Calibri Light"/>
        </w:rPr>
        <w:t>.</w:t>
      </w:r>
    </w:p>
    <w:p w14:paraId="152196AE" w14:textId="7927DD07" w:rsidR="00197F54" w:rsidRPr="00CE4507" w:rsidRDefault="00197F54" w:rsidP="00AF4D2B">
      <w:pPr>
        <w:pStyle w:val="BodyText"/>
        <w:keepNext/>
        <w:rPr>
          <w:rFonts w:ascii="Calibri Light" w:hAnsi="Calibri Light" w:cs="Calibri Light"/>
        </w:rPr>
      </w:pPr>
      <w:r w:rsidRPr="00205E11">
        <w:rPr>
          <w:rFonts w:ascii="Calibri Light" w:hAnsi="Calibri Light" w:cs="Calibri Light"/>
          <w:b/>
          <w:bCs/>
        </w:rPr>
        <w:t xml:space="preserve">Table </w:t>
      </w:r>
      <w:r w:rsidRPr="00205E11">
        <w:rPr>
          <w:rFonts w:ascii="Calibri Light" w:hAnsi="Calibri Light" w:cs="Calibri Light"/>
          <w:b/>
          <w:bCs/>
        </w:rPr>
        <w:fldChar w:fldCharType="begin"/>
      </w:r>
      <w:r w:rsidRPr="00205E11">
        <w:rPr>
          <w:rFonts w:ascii="Calibri Light" w:hAnsi="Calibri Light" w:cs="Calibri Light"/>
          <w:b/>
          <w:bCs/>
        </w:rPr>
        <w:instrText xml:space="preserve"> SEQ Table \* ARABIC </w:instrText>
      </w:r>
      <w:r w:rsidRPr="00205E11">
        <w:rPr>
          <w:rFonts w:ascii="Calibri Light" w:hAnsi="Calibri Light" w:cs="Calibri Light"/>
          <w:b/>
          <w:bCs/>
        </w:rPr>
        <w:fldChar w:fldCharType="separate"/>
      </w:r>
      <w:r w:rsidR="006F39F1">
        <w:rPr>
          <w:rFonts w:ascii="Calibri Light" w:hAnsi="Calibri Light" w:cs="Calibri Light"/>
          <w:b/>
          <w:bCs/>
          <w:noProof/>
        </w:rPr>
        <w:t>1</w:t>
      </w:r>
      <w:r w:rsidRPr="00205E11">
        <w:rPr>
          <w:rFonts w:ascii="Calibri Light" w:hAnsi="Calibri Light" w:cs="Calibri Light"/>
          <w:b/>
          <w:bCs/>
        </w:rPr>
        <w:fldChar w:fldCharType="end"/>
      </w:r>
      <w:r w:rsidRPr="00205E11">
        <w:rPr>
          <w:rFonts w:ascii="Calibri Light" w:hAnsi="Calibri Light" w:cs="Calibri Light"/>
        </w:rPr>
        <w:t xml:space="preserve">: </w:t>
      </w:r>
      <w:r w:rsidRPr="00205E11">
        <w:rPr>
          <w:rFonts w:ascii="Calibri Light" w:hAnsi="Calibri Light" w:cs="Calibri Light"/>
          <w:b/>
          <w:bCs/>
        </w:rPr>
        <w:t xml:space="preserve">Comparison of </w:t>
      </w:r>
      <w:r w:rsidR="0062676A">
        <w:rPr>
          <w:rFonts w:ascii="Calibri Light" w:hAnsi="Calibri Light" w:cs="Calibri Light"/>
          <w:b/>
          <w:bCs/>
        </w:rPr>
        <w:t xml:space="preserve">climate risk </w:t>
      </w:r>
      <w:r w:rsidRPr="00205E11">
        <w:rPr>
          <w:rFonts w:ascii="Calibri Light" w:hAnsi="Calibri Light" w:cs="Calibri Light"/>
          <w:b/>
          <w:bCs/>
        </w:rPr>
        <w:t>information released by two Australian companies</w:t>
      </w:r>
      <w:r w:rsidR="00050C2B">
        <w:rPr>
          <w:rFonts w:ascii="Calibri Light" w:hAnsi="Calibri Light" w:cs="Calibri Light"/>
          <w:b/>
          <w:bCs/>
        </w:rPr>
        <w:t>.</w:t>
      </w:r>
      <w:r w:rsidRPr="00205E11">
        <w:rPr>
          <w:rFonts w:ascii="Calibri Light" w:hAnsi="Calibri Light" w:cs="Calibri Light"/>
          <w:b/>
          <w:bCs/>
        </w:rPr>
        <w:t xml:space="preserve"> </w:t>
      </w:r>
    </w:p>
    <w:tbl>
      <w:tblPr>
        <w:tblStyle w:val="GridTable5Dark-Accent1"/>
        <w:tblW w:w="9576" w:type="dxa"/>
        <w:tblLook w:val="04A0" w:firstRow="1" w:lastRow="0" w:firstColumn="1" w:lastColumn="0" w:noHBand="0" w:noVBand="1"/>
      </w:tblPr>
      <w:tblGrid>
        <w:gridCol w:w="2392"/>
        <w:gridCol w:w="3991"/>
        <w:gridCol w:w="3193"/>
      </w:tblGrid>
      <w:tr w:rsidR="00C07639" w14:paraId="7BD947B3" w14:textId="77777777" w:rsidTr="00C07639">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392" w:type="dxa"/>
          </w:tcPr>
          <w:p w14:paraId="449E4669" w14:textId="77777777" w:rsidR="00197F54" w:rsidRPr="00321645" w:rsidRDefault="00197F54" w:rsidP="0071761D">
            <w:pPr>
              <w:pStyle w:val="BodyText"/>
              <w:keepNext/>
              <w:rPr>
                <w:rFonts w:ascii="Calibri Light" w:hAnsi="Calibri Light" w:cs="Calibri Light"/>
              </w:rPr>
            </w:pPr>
          </w:p>
        </w:tc>
        <w:tc>
          <w:tcPr>
            <w:tcW w:w="3991" w:type="dxa"/>
          </w:tcPr>
          <w:p w14:paraId="070002A3" w14:textId="77777777" w:rsidR="00197F54" w:rsidRPr="00321645" w:rsidRDefault="00197F54" w:rsidP="0071761D">
            <w:pPr>
              <w:pStyle w:val="BodyText"/>
              <w:keepNext/>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color w:val="FFFFFF" w:themeColor="background1"/>
              </w:rPr>
              <w:t>Company A</w:t>
            </w:r>
          </w:p>
        </w:tc>
        <w:tc>
          <w:tcPr>
            <w:tcW w:w="3193" w:type="dxa"/>
          </w:tcPr>
          <w:p w14:paraId="2671EE8C" w14:textId="77777777" w:rsidR="00197F54" w:rsidRPr="00321645" w:rsidRDefault="00197F54" w:rsidP="0071761D">
            <w:pPr>
              <w:pStyle w:val="BodyText"/>
              <w:keepNext/>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color w:val="FFFFFF" w:themeColor="background1"/>
              </w:rPr>
              <w:t>Company B</w:t>
            </w:r>
          </w:p>
        </w:tc>
      </w:tr>
      <w:tr w:rsidR="00C07639" w14:paraId="5909EA08" w14:textId="77777777" w:rsidTr="00C07639">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2392" w:type="dxa"/>
          </w:tcPr>
          <w:p w14:paraId="59A08BDF" w14:textId="77777777" w:rsidR="00197F54" w:rsidRPr="00321645" w:rsidRDefault="00197F54" w:rsidP="0071761D">
            <w:pPr>
              <w:pStyle w:val="BodyText"/>
              <w:keepNext/>
              <w:rPr>
                <w:rFonts w:ascii="Calibri Light" w:hAnsi="Calibri Light" w:cs="Calibri Light"/>
              </w:rPr>
            </w:pPr>
            <w:r w:rsidRPr="00321645">
              <w:rPr>
                <w:rFonts w:ascii="Calibri Light" w:hAnsi="Calibri Light" w:cs="Calibri Light"/>
                <w:color w:val="FFFFFF" w:themeColor="background1"/>
              </w:rPr>
              <w:t>Disclosure Frameworks</w:t>
            </w:r>
          </w:p>
        </w:tc>
        <w:tc>
          <w:tcPr>
            <w:tcW w:w="3991" w:type="dxa"/>
          </w:tcPr>
          <w:p w14:paraId="7F22CEF0"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TCFD framework</w:t>
            </w:r>
          </w:p>
          <w:p w14:paraId="7569C0B9"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GRI standards</w:t>
            </w:r>
          </w:p>
          <w:p w14:paraId="75137D01"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SASB</w:t>
            </w:r>
          </w:p>
          <w:p w14:paraId="07AF7CB0"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UN Global Compact</w:t>
            </w:r>
          </w:p>
        </w:tc>
        <w:tc>
          <w:tcPr>
            <w:tcW w:w="3193" w:type="dxa"/>
          </w:tcPr>
          <w:p w14:paraId="724F2003"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TCFD framework</w:t>
            </w:r>
          </w:p>
          <w:p w14:paraId="608BF625"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GRI standards</w:t>
            </w:r>
          </w:p>
          <w:p w14:paraId="746EC85F"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Sustainable Development Goals</w:t>
            </w:r>
          </w:p>
        </w:tc>
      </w:tr>
      <w:tr w:rsidR="00C07639" w14:paraId="19EE4517" w14:textId="77777777" w:rsidTr="00C07639">
        <w:trPr>
          <w:trHeight w:val="1848"/>
        </w:trPr>
        <w:tc>
          <w:tcPr>
            <w:cnfStyle w:val="001000000000" w:firstRow="0" w:lastRow="0" w:firstColumn="1" w:lastColumn="0" w:oddVBand="0" w:evenVBand="0" w:oddHBand="0" w:evenHBand="0" w:firstRowFirstColumn="0" w:firstRowLastColumn="0" w:lastRowFirstColumn="0" w:lastRowLastColumn="0"/>
            <w:tcW w:w="2392" w:type="dxa"/>
          </w:tcPr>
          <w:p w14:paraId="6C64291E" w14:textId="77777777" w:rsidR="00197F54" w:rsidRPr="00321645" w:rsidRDefault="00197F54" w:rsidP="0071761D">
            <w:pPr>
              <w:pStyle w:val="BodyText"/>
              <w:keepNext/>
              <w:rPr>
                <w:rFonts w:ascii="Calibri Light" w:hAnsi="Calibri Light" w:cs="Calibri Light"/>
              </w:rPr>
            </w:pPr>
            <w:r w:rsidRPr="00321645">
              <w:rPr>
                <w:rFonts w:ascii="Calibri Light" w:hAnsi="Calibri Light" w:cs="Calibri Light"/>
                <w:color w:val="FFFFFF" w:themeColor="background1"/>
              </w:rPr>
              <w:t>Reporting format</w:t>
            </w:r>
          </w:p>
        </w:tc>
        <w:tc>
          <w:tcPr>
            <w:tcW w:w="3991" w:type="dxa"/>
          </w:tcPr>
          <w:p w14:paraId="598A5989" w14:textId="77777777" w:rsidR="00197F54" w:rsidRPr="00321645" w:rsidRDefault="00197F54" w:rsidP="00044A41">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Annual report</w:t>
            </w:r>
          </w:p>
          <w:p w14:paraId="2B99BD81"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Climate Targets and Goals Report</w:t>
            </w:r>
          </w:p>
          <w:p w14:paraId="4407C472"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Climate transition action plan</w:t>
            </w:r>
          </w:p>
          <w:p w14:paraId="7908274C"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GHG Emissions Calculation Methodology report</w:t>
            </w:r>
          </w:p>
          <w:p w14:paraId="48D87F4D"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Modern Slavery Statement</w:t>
            </w:r>
          </w:p>
          <w:p w14:paraId="34988E01"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Release date - August</w:t>
            </w:r>
          </w:p>
          <w:p w14:paraId="5B8C9ED1"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3193" w:type="dxa"/>
          </w:tcPr>
          <w:p w14:paraId="3CB5ABB1"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Annual report</w:t>
            </w:r>
          </w:p>
          <w:p w14:paraId="20887121"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Sustainability report</w:t>
            </w:r>
          </w:p>
          <w:p w14:paraId="2D68D1EF"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Climate Change report</w:t>
            </w:r>
          </w:p>
          <w:p w14:paraId="294A9A96"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Modern Slavery Statement</w:t>
            </w:r>
          </w:p>
          <w:p w14:paraId="2E194163"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Release date - August</w:t>
            </w:r>
          </w:p>
        </w:tc>
      </w:tr>
      <w:tr w:rsidR="00C07639" w14:paraId="25F46CCE" w14:textId="77777777" w:rsidTr="00C07639">
        <w:trPr>
          <w:cnfStyle w:val="000000100000" w:firstRow="0" w:lastRow="0" w:firstColumn="0" w:lastColumn="0" w:oddVBand="0" w:evenVBand="0" w:oddHBand="1" w:evenHBand="0" w:firstRowFirstColumn="0" w:firstRowLastColumn="0" w:lastRowFirstColumn="0" w:lastRowLastColumn="0"/>
          <w:trHeight w:val="1532"/>
        </w:trPr>
        <w:tc>
          <w:tcPr>
            <w:cnfStyle w:val="001000000000" w:firstRow="0" w:lastRow="0" w:firstColumn="1" w:lastColumn="0" w:oddVBand="0" w:evenVBand="0" w:oddHBand="0" w:evenHBand="0" w:firstRowFirstColumn="0" w:firstRowLastColumn="0" w:lastRowFirstColumn="0" w:lastRowLastColumn="0"/>
            <w:tcW w:w="2392" w:type="dxa"/>
          </w:tcPr>
          <w:p w14:paraId="64DD39D4" w14:textId="77777777" w:rsidR="00197F54" w:rsidRPr="00321645" w:rsidRDefault="00197F54" w:rsidP="0071761D">
            <w:pPr>
              <w:pStyle w:val="BodyText"/>
              <w:keepNext/>
              <w:rPr>
                <w:rFonts w:ascii="Calibri Light" w:hAnsi="Calibri Light" w:cs="Calibri Light"/>
              </w:rPr>
            </w:pPr>
            <w:r w:rsidRPr="00321645">
              <w:rPr>
                <w:rFonts w:ascii="Calibri Light" w:hAnsi="Calibri Light" w:cs="Calibri Light"/>
                <w:color w:val="FFFFFF" w:themeColor="background1"/>
              </w:rPr>
              <w:t>Disclosure content</w:t>
            </w:r>
          </w:p>
        </w:tc>
        <w:tc>
          <w:tcPr>
            <w:tcW w:w="3991" w:type="dxa"/>
          </w:tcPr>
          <w:p w14:paraId="160055E1" w14:textId="0FC85D7E"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 xml:space="preserve">Annual report – Has a full report as part of the </w:t>
            </w:r>
            <w:r w:rsidR="0041530A" w:rsidRPr="00321645">
              <w:rPr>
                <w:rFonts w:ascii="Calibri Light" w:hAnsi="Calibri Light" w:cs="Calibri Light"/>
              </w:rPr>
              <w:t>operating and financial review (</w:t>
            </w:r>
            <w:r w:rsidRPr="00321645">
              <w:rPr>
                <w:rFonts w:ascii="Calibri Light" w:hAnsi="Calibri Light" w:cs="Calibri Light"/>
              </w:rPr>
              <w:t>OFR</w:t>
            </w:r>
            <w:r w:rsidR="0041530A" w:rsidRPr="00321645">
              <w:rPr>
                <w:rFonts w:ascii="Calibri Light" w:hAnsi="Calibri Light" w:cs="Calibri Light"/>
              </w:rPr>
              <w:t>)</w:t>
            </w:r>
            <w:r w:rsidRPr="00321645">
              <w:rPr>
                <w:rFonts w:ascii="Calibri Light" w:hAnsi="Calibri Light" w:cs="Calibri Light"/>
              </w:rPr>
              <w:t>. Includes all aspects of sustainability, disclosed using materiality assessments and under the TCFD.</w:t>
            </w:r>
          </w:p>
          <w:p w14:paraId="25EB66BE"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Climate Targets report – Separated out clear targets.</w:t>
            </w:r>
          </w:p>
          <w:p w14:paraId="52D13DDF"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Climate Transition action plan – Separated out transition plan.</w:t>
            </w:r>
          </w:p>
        </w:tc>
        <w:tc>
          <w:tcPr>
            <w:tcW w:w="3193" w:type="dxa"/>
          </w:tcPr>
          <w:p w14:paraId="403F6C5A"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Annual report – short statement on each sustainability area.</w:t>
            </w:r>
          </w:p>
          <w:p w14:paraId="5C2C9874"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Sustainability report – uses SDGs to discuss all sustainability areas except climate.</w:t>
            </w:r>
          </w:p>
          <w:p w14:paraId="35E1793A" w14:textId="77777777" w:rsidR="00197F54" w:rsidRPr="00321645" w:rsidRDefault="00197F54" w:rsidP="0071761D">
            <w:pPr>
              <w:pStyle w:val="BodyText"/>
              <w:keepN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321645">
              <w:rPr>
                <w:rFonts w:ascii="Calibri Light" w:hAnsi="Calibri Light" w:cs="Calibri Light"/>
              </w:rPr>
              <w:t xml:space="preserve">Climate-change report – Uses TCFD to discuss climate risk and plans. </w:t>
            </w:r>
          </w:p>
        </w:tc>
      </w:tr>
      <w:tr w:rsidR="00C07639" w14:paraId="2BD0F3D4" w14:textId="77777777" w:rsidTr="00C07639">
        <w:trPr>
          <w:trHeight w:val="571"/>
        </w:trPr>
        <w:tc>
          <w:tcPr>
            <w:cnfStyle w:val="001000000000" w:firstRow="0" w:lastRow="0" w:firstColumn="1" w:lastColumn="0" w:oddVBand="0" w:evenVBand="0" w:oddHBand="0" w:evenHBand="0" w:firstRowFirstColumn="0" w:firstRowLastColumn="0" w:lastRowFirstColumn="0" w:lastRowLastColumn="0"/>
            <w:tcW w:w="2392" w:type="dxa"/>
          </w:tcPr>
          <w:p w14:paraId="2CFEE04C" w14:textId="77777777" w:rsidR="00197F54" w:rsidRPr="00321645" w:rsidRDefault="00197F54" w:rsidP="0071761D">
            <w:pPr>
              <w:pStyle w:val="BodyText"/>
              <w:keepNext/>
              <w:rPr>
                <w:rFonts w:ascii="Calibri Light" w:hAnsi="Calibri Light" w:cs="Calibri Light"/>
              </w:rPr>
            </w:pPr>
            <w:r w:rsidRPr="00321645">
              <w:rPr>
                <w:rFonts w:ascii="Calibri Light" w:hAnsi="Calibri Light" w:cs="Calibri Light"/>
                <w:color w:val="FFFFFF" w:themeColor="background1"/>
              </w:rPr>
              <w:t>Assurance of disclosed information</w:t>
            </w:r>
          </w:p>
        </w:tc>
        <w:tc>
          <w:tcPr>
            <w:tcW w:w="3991" w:type="dxa"/>
          </w:tcPr>
          <w:p w14:paraId="48EF85B2"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Independent limited assurance by audit firm</w:t>
            </w:r>
          </w:p>
        </w:tc>
        <w:tc>
          <w:tcPr>
            <w:tcW w:w="3193" w:type="dxa"/>
          </w:tcPr>
          <w:p w14:paraId="27E8DF73" w14:textId="77777777" w:rsidR="00197F54" w:rsidRPr="00321645" w:rsidRDefault="00197F54" w:rsidP="0071761D">
            <w:pPr>
              <w:pStyle w:val="BodyText"/>
              <w:keepN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321645">
              <w:rPr>
                <w:rFonts w:ascii="Calibri Light" w:hAnsi="Calibri Light" w:cs="Calibri Light"/>
              </w:rPr>
              <w:t>Independent assurance by audit firm – level of assurance unspecified.</w:t>
            </w:r>
          </w:p>
        </w:tc>
      </w:tr>
    </w:tbl>
    <w:p w14:paraId="0A26D693" w14:textId="671E495C" w:rsidR="00197F54" w:rsidRPr="00457EE7" w:rsidRDefault="00197F54" w:rsidP="00197F54">
      <w:pPr>
        <w:pStyle w:val="BodyText"/>
        <w:keepNext/>
        <w:rPr>
          <w:rFonts w:ascii="Calibri Light" w:hAnsi="Calibri Light" w:cs="Calibri Light"/>
          <w:sz w:val="20"/>
          <w:szCs w:val="20"/>
        </w:rPr>
      </w:pPr>
      <w:r w:rsidRPr="00EF6E30">
        <w:rPr>
          <w:rFonts w:ascii="Calibri Light" w:hAnsi="Calibri Light" w:cs="Calibri Light"/>
          <w:sz w:val="20"/>
          <w:szCs w:val="20"/>
        </w:rPr>
        <w:t>Source:</w:t>
      </w:r>
      <w:r w:rsidR="00FB30DB">
        <w:rPr>
          <w:rFonts w:ascii="Calibri Light" w:hAnsi="Calibri Light" w:cs="Calibri Light"/>
          <w:sz w:val="20"/>
          <w:szCs w:val="20"/>
        </w:rPr>
        <w:t xml:space="preserve"> Treasury analysis 2023</w:t>
      </w:r>
    </w:p>
    <w:p w14:paraId="6B5A5320" w14:textId="13D56E4B" w:rsidR="00197F54" w:rsidRPr="00205E11" w:rsidRDefault="00197F54" w:rsidP="00197F54">
      <w:pPr>
        <w:pStyle w:val="BodyText"/>
        <w:rPr>
          <w:rFonts w:ascii="Calibri Light" w:hAnsi="Calibri Light" w:cs="Calibri Light"/>
        </w:rPr>
      </w:pPr>
      <w:r w:rsidRPr="00205E11">
        <w:rPr>
          <w:rFonts w:ascii="Calibri Light" w:hAnsi="Calibri Light" w:cs="Calibri Light"/>
        </w:rPr>
        <w:t xml:space="preserve">In response, multilateral regulatory bodies, such as the Financial Stability Board (FSB) and the International Organisation of Securities Commissions (IOSCO), have </w:t>
      </w:r>
      <w:r w:rsidR="00A20820">
        <w:rPr>
          <w:rFonts w:ascii="Calibri Light" w:hAnsi="Calibri Light" w:cs="Calibri Light"/>
        </w:rPr>
        <w:t>increased</w:t>
      </w:r>
      <w:r w:rsidR="00A20820" w:rsidRPr="00205E11">
        <w:rPr>
          <w:rFonts w:ascii="Calibri Light" w:hAnsi="Calibri Light" w:cs="Calibri Light"/>
        </w:rPr>
        <w:t xml:space="preserve"> </w:t>
      </w:r>
      <w:r w:rsidRPr="00205E11">
        <w:rPr>
          <w:rFonts w:ascii="Calibri Light" w:hAnsi="Calibri Light" w:cs="Calibri Light"/>
        </w:rPr>
        <w:t xml:space="preserve">their focus on the quality and standardisation of disclosures. </w:t>
      </w:r>
      <w:r w:rsidR="00A72D39">
        <w:rPr>
          <w:rFonts w:ascii="Calibri Light" w:hAnsi="Calibri Light" w:cs="Calibri Light"/>
        </w:rPr>
        <w:t>Reflecting this</w:t>
      </w:r>
      <w:r w:rsidRPr="00205E11">
        <w:rPr>
          <w:rFonts w:ascii="Calibri Light" w:hAnsi="Calibri Light" w:cs="Calibri Light"/>
        </w:rPr>
        <w:t>, the</w:t>
      </w:r>
      <w:r>
        <w:rPr>
          <w:rFonts w:ascii="Calibri Light" w:hAnsi="Calibri Light" w:cs="Calibri Light"/>
        </w:rPr>
        <w:t xml:space="preserve"> International Sustainability Standards Board</w:t>
      </w:r>
      <w:r w:rsidRPr="00205E11">
        <w:rPr>
          <w:rFonts w:ascii="Calibri Light" w:hAnsi="Calibri Light" w:cs="Calibri Light"/>
        </w:rPr>
        <w:t xml:space="preserve"> </w:t>
      </w:r>
      <w:r>
        <w:rPr>
          <w:rFonts w:ascii="Calibri Light" w:hAnsi="Calibri Light" w:cs="Calibri Light"/>
        </w:rPr>
        <w:t>(</w:t>
      </w:r>
      <w:r w:rsidRPr="00205E11">
        <w:rPr>
          <w:rFonts w:ascii="Calibri Light" w:hAnsi="Calibri Light" w:cs="Calibri Light"/>
        </w:rPr>
        <w:t>ISSB</w:t>
      </w:r>
      <w:r>
        <w:rPr>
          <w:rFonts w:ascii="Calibri Light" w:hAnsi="Calibri Light" w:cs="Calibri Light"/>
        </w:rPr>
        <w:t>)</w:t>
      </w:r>
      <w:r w:rsidR="00A72D39">
        <w:rPr>
          <w:rFonts w:ascii="Calibri Light" w:hAnsi="Calibri Light" w:cs="Calibri Light"/>
        </w:rPr>
        <w:t>, in June 2023,</w:t>
      </w:r>
      <w:r w:rsidRPr="00205E11">
        <w:rPr>
          <w:rFonts w:ascii="Calibri Light" w:hAnsi="Calibri Light" w:cs="Calibri Light"/>
        </w:rPr>
        <w:t xml:space="preserve"> </w:t>
      </w:r>
      <w:r w:rsidR="00A72D39">
        <w:rPr>
          <w:rFonts w:ascii="Calibri Light" w:hAnsi="Calibri Light" w:cs="Calibri Light"/>
        </w:rPr>
        <w:t>released standards that are considered to be the global baseline for climate-risk reporting.</w:t>
      </w:r>
      <w:r w:rsidR="00312207">
        <w:rPr>
          <w:rFonts w:ascii="Calibri Light" w:hAnsi="Calibri Light" w:cs="Calibri Light"/>
        </w:rPr>
        <w:t xml:space="preserve"> The ISSB standards were developed after extensive market feedback and are supported by the G20, the </w:t>
      </w:r>
      <w:r w:rsidR="00E82733">
        <w:rPr>
          <w:rFonts w:ascii="Calibri Light" w:hAnsi="Calibri Light" w:cs="Calibri Light"/>
        </w:rPr>
        <w:t>FSB</w:t>
      </w:r>
      <w:r w:rsidR="00312207">
        <w:rPr>
          <w:rFonts w:ascii="Calibri Light" w:hAnsi="Calibri Light" w:cs="Calibri Light"/>
        </w:rPr>
        <w:t xml:space="preserve"> and the IOSCO</w:t>
      </w:r>
      <w:r w:rsidR="00E82733">
        <w:rPr>
          <w:rFonts w:ascii="Calibri Light" w:hAnsi="Calibri Light" w:cs="Calibri Light"/>
        </w:rPr>
        <w:t>.</w:t>
      </w:r>
      <w:r w:rsidR="007474B4" w:rsidRPr="007474B4">
        <w:rPr>
          <w:rStyle w:val="FootnoteReference"/>
          <w:rFonts w:ascii="Calibri Light" w:hAnsi="Calibri Light" w:cs="Calibri Light"/>
          <w:position w:val="6"/>
          <w:vertAlign w:val="superscript"/>
        </w:rPr>
        <w:footnoteReference w:id="18"/>
      </w:r>
    </w:p>
    <w:p w14:paraId="0333E784" w14:textId="6EEE19D4" w:rsidR="00197F54" w:rsidRPr="001448AB" w:rsidRDefault="00197F54" w:rsidP="00197F54">
      <w:pPr>
        <w:pStyle w:val="Heading4"/>
      </w:pPr>
      <w:r w:rsidRPr="001448AB">
        <w:t>Quality of disclosures</w:t>
      </w:r>
      <w:r w:rsidR="004074AA">
        <w:t xml:space="preserve"> and greenwashing</w:t>
      </w:r>
    </w:p>
    <w:p w14:paraId="79457436" w14:textId="4A77C607" w:rsidR="00197F54" w:rsidRPr="00204DA8" w:rsidRDefault="008D04F1" w:rsidP="00197F54">
      <w:pPr>
        <w:pStyle w:val="BodyText"/>
        <w:rPr>
          <w:rFonts w:ascii="Calibri Light" w:hAnsi="Calibri Light" w:cs="Calibri Light"/>
        </w:rPr>
      </w:pPr>
      <w:r>
        <w:rPr>
          <w:rFonts w:ascii="Calibri Light" w:hAnsi="Calibri Light" w:cs="Calibri Light"/>
        </w:rPr>
        <w:t>Further, t</w:t>
      </w:r>
      <w:r w:rsidR="00197F54" w:rsidRPr="00204DA8">
        <w:rPr>
          <w:rFonts w:ascii="Calibri Light" w:hAnsi="Calibri Light" w:cs="Calibri Light"/>
        </w:rPr>
        <w:t xml:space="preserve">he multitude of frameworks and ambiguity around voluntary disclosures contribute to lower-quality disclosures. </w:t>
      </w:r>
      <w:r w:rsidR="00FC57A6">
        <w:rPr>
          <w:rFonts w:ascii="Calibri Light" w:hAnsi="Calibri Light" w:cs="Calibri Light"/>
        </w:rPr>
        <w:t xml:space="preserve">In a recent </w:t>
      </w:r>
      <w:r w:rsidR="00AA4114">
        <w:rPr>
          <w:rFonts w:ascii="Calibri Light" w:hAnsi="Calibri Light" w:cs="Calibri Light"/>
        </w:rPr>
        <w:t xml:space="preserve">internet sweep, the Australian </w:t>
      </w:r>
      <w:r w:rsidR="002B5E93">
        <w:rPr>
          <w:rFonts w:ascii="Calibri Light" w:hAnsi="Calibri Light" w:cs="Calibri Light"/>
        </w:rPr>
        <w:t xml:space="preserve">Competition &amp; Consumer Commission (ACCC) </w:t>
      </w:r>
      <w:r w:rsidR="00604334">
        <w:rPr>
          <w:rFonts w:ascii="Calibri Light" w:hAnsi="Calibri Light" w:cs="Calibri Light"/>
        </w:rPr>
        <w:t>found that over 57</w:t>
      </w:r>
      <w:r>
        <w:rPr>
          <w:rFonts w:ascii="Calibri Light" w:hAnsi="Calibri Light" w:cs="Calibri Light"/>
        </w:rPr>
        <w:t xml:space="preserve"> per cent</w:t>
      </w:r>
      <w:r w:rsidR="00E31C06">
        <w:rPr>
          <w:rFonts w:ascii="Calibri Light" w:hAnsi="Calibri Light" w:cs="Calibri Light"/>
        </w:rPr>
        <w:t xml:space="preserve"> </w:t>
      </w:r>
      <w:r w:rsidR="00FC7D6B">
        <w:rPr>
          <w:rFonts w:ascii="Calibri Light" w:hAnsi="Calibri Light" w:cs="Calibri Light"/>
        </w:rPr>
        <w:t xml:space="preserve">of 247 </w:t>
      </w:r>
      <w:r w:rsidR="000D103E">
        <w:rPr>
          <w:rFonts w:ascii="Calibri Light" w:hAnsi="Calibri Light" w:cs="Calibri Light"/>
        </w:rPr>
        <w:t>businesses</w:t>
      </w:r>
      <w:r w:rsidR="00FC7D6B">
        <w:rPr>
          <w:rFonts w:ascii="Calibri Light" w:hAnsi="Calibri Light" w:cs="Calibri Light"/>
        </w:rPr>
        <w:t xml:space="preserve"> reviewed, contained </w:t>
      </w:r>
      <w:r w:rsidR="00584F53">
        <w:rPr>
          <w:rFonts w:ascii="Calibri Light" w:hAnsi="Calibri Light" w:cs="Calibri Light"/>
        </w:rPr>
        <w:t>false</w:t>
      </w:r>
      <w:r w:rsidR="001A6DEA">
        <w:rPr>
          <w:rFonts w:ascii="Calibri Light" w:hAnsi="Calibri Light" w:cs="Calibri Light"/>
        </w:rPr>
        <w:t xml:space="preserve">, misleading, </w:t>
      </w:r>
      <w:proofErr w:type="gramStart"/>
      <w:r w:rsidR="001A6DEA">
        <w:rPr>
          <w:rFonts w:ascii="Calibri Light" w:hAnsi="Calibri Light" w:cs="Calibri Light"/>
        </w:rPr>
        <w:t>unclear</w:t>
      </w:r>
      <w:proofErr w:type="gramEnd"/>
      <w:r w:rsidR="001A6DEA">
        <w:rPr>
          <w:rFonts w:ascii="Calibri Light" w:hAnsi="Calibri Light" w:cs="Calibri Light"/>
        </w:rPr>
        <w:t xml:space="preserve"> or unsubstantiated </w:t>
      </w:r>
      <w:r w:rsidR="00F32858">
        <w:rPr>
          <w:rFonts w:ascii="Calibri Light" w:hAnsi="Calibri Light" w:cs="Calibri Light"/>
        </w:rPr>
        <w:t>‘green’ or ‘sustainable’ claims</w:t>
      </w:r>
      <w:r w:rsidR="000D103E" w:rsidRPr="008D04F1">
        <w:rPr>
          <w:rStyle w:val="FootnoteReference"/>
          <w:rFonts w:ascii="Calibri Light" w:hAnsi="Calibri Light" w:cs="Calibri Light"/>
          <w:position w:val="6"/>
          <w:vertAlign w:val="superscript"/>
        </w:rPr>
        <w:footnoteReference w:id="19"/>
      </w:r>
      <w:r w:rsidR="00F32858">
        <w:rPr>
          <w:rFonts w:ascii="Calibri Light" w:hAnsi="Calibri Light" w:cs="Calibri Light"/>
        </w:rPr>
        <w:t xml:space="preserve">. </w:t>
      </w:r>
      <w:r w:rsidR="00CF2FC7">
        <w:rPr>
          <w:rFonts w:ascii="Calibri Light" w:hAnsi="Calibri Light" w:cs="Calibri Light"/>
        </w:rPr>
        <w:t>From an investor point of view</w:t>
      </w:r>
      <w:r w:rsidR="004E1A2B">
        <w:rPr>
          <w:rFonts w:ascii="Calibri Light" w:hAnsi="Calibri Light" w:cs="Calibri Light"/>
        </w:rPr>
        <w:t>,</w:t>
      </w:r>
      <w:r w:rsidR="007F1CC5">
        <w:rPr>
          <w:rFonts w:ascii="Calibri Light" w:hAnsi="Calibri Light" w:cs="Calibri Light"/>
        </w:rPr>
        <w:t xml:space="preserve"> </w:t>
      </w:r>
      <w:r w:rsidR="004E1A2B">
        <w:rPr>
          <w:rFonts w:ascii="Calibri Light" w:hAnsi="Calibri Light" w:cs="Calibri Light"/>
        </w:rPr>
        <w:t xml:space="preserve">the </w:t>
      </w:r>
      <w:r w:rsidR="004254C6">
        <w:rPr>
          <w:rFonts w:ascii="Calibri Light" w:hAnsi="Calibri Light" w:cs="Calibri Light"/>
        </w:rPr>
        <w:t>EY</w:t>
      </w:r>
      <w:r w:rsidR="00022FAA">
        <w:rPr>
          <w:rFonts w:ascii="Calibri Light" w:hAnsi="Calibri Light" w:cs="Calibri Light"/>
        </w:rPr>
        <w:t>’</w:t>
      </w:r>
      <w:r w:rsidR="004254C6" w:rsidRPr="00204DA8">
        <w:rPr>
          <w:rFonts w:ascii="Calibri Light" w:hAnsi="Calibri Light" w:cs="Calibri Light"/>
        </w:rPr>
        <w:t xml:space="preserve">s </w:t>
      </w:r>
      <w:r w:rsidR="00197F54" w:rsidRPr="00204DA8">
        <w:rPr>
          <w:rFonts w:ascii="Calibri Light" w:hAnsi="Calibri Light" w:cs="Calibri Light"/>
        </w:rPr>
        <w:t xml:space="preserve">2022 Global </w:t>
      </w:r>
      <w:r w:rsidR="00DD57A8">
        <w:rPr>
          <w:rFonts w:ascii="Calibri Light" w:hAnsi="Calibri Light" w:cs="Calibri Light"/>
        </w:rPr>
        <w:t xml:space="preserve">Corporate Reporting and Institutional </w:t>
      </w:r>
      <w:r w:rsidR="00197F54" w:rsidRPr="00204DA8">
        <w:rPr>
          <w:rFonts w:ascii="Calibri Light" w:hAnsi="Calibri Light" w:cs="Calibri Light"/>
        </w:rPr>
        <w:t xml:space="preserve">Investor Survey </w:t>
      </w:r>
      <w:r w:rsidR="003F21DA">
        <w:rPr>
          <w:rFonts w:ascii="Calibri Light" w:hAnsi="Calibri Light" w:cs="Calibri Light"/>
        </w:rPr>
        <w:t xml:space="preserve">of </w:t>
      </w:r>
      <w:r w:rsidR="00336AF0">
        <w:rPr>
          <w:rFonts w:ascii="Calibri Light" w:hAnsi="Calibri Light" w:cs="Calibri Light"/>
        </w:rPr>
        <w:t>320</w:t>
      </w:r>
      <w:r w:rsidR="00793E17">
        <w:rPr>
          <w:rFonts w:ascii="Calibri Light" w:hAnsi="Calibri Light" w:cs="Calibri Light"/>
        </w:rPr>
        <w:t xml:space="preserve"> </w:t>
      </w:r>
      <w:r w:rsidR="003F21DA">
        <w:rPr>
          <w:rFonts w:ascii="Calibri Light" w:hAnsi="Calibri Light" w:cs="Calibri Light"/>
        </w:rPr>
        <w:t>investment professional</w:t>
      </w:r>
      <w:r w:rsidR="00EB6B1A">
        <w:rPr>
          <w:rFonts w:ascii="Calibri Light" w:hAnsi="Calibri Light" w:cs="Calibri Light"/>
        </w:rPr>
        <w:t>s</w:t>
      </w:r>
      <w:r w:rsidR="003F21DA">
        <w:rPr>
          <w:rFonts w:ascii="Calibri Light" w:hAnsi="Calibri Light" w:cs="Calibri Light"/>
        </w:rPr>
        <w:t xml:space="preserve"> </w:t>
      </w:r>
      <w:r w:rsidR="00197F54" w:rsidRPr="00204DA8">
        <w:rPr>
          <w:rFonts w:ascii="Calibri Light" w:hAnsi="Calibri Light" w:cs="Calibri Light"/>
        </w:rPr>
        <w:t xml:space="preserve">found that </w:t>
      </w:r>
      <w:r w:rsidR="00ED79C4">
        <w:rPr>
          <w:rFonts w:ascii="Calibri Light" w:hAnsi="Calibri Light" w:cs="Calibri Light"/>
        </w:rPr>
        <w:t>while 99</w:t>
      </w:r>
      <w:r w:rsidR="00197F54" w:rsidRPr="00204DA8">
        <w:rPr>
          <w:rFonts w:ascii="Calibri Light" w:hAnsi="Calibri Light" w:cs="Calibri Light"/>
        </w:rPr>
        <w:t xml:space="preserve"> per cent </w:t>
      </w:r>
      <w:r w:rsidR="00ED79C4">
        <w:rPr>
          <w:rFonts w:ascii="Calibri Light" w:hAnsi="Calibri Light" w:cs="Calibri Light"/>
        </w:rPr>
        <w:t xml:space="preserve">of investors </w:t>
      </w:r>
      <w:r w:rsidR="002152EC">
        <w:rPr>
          <w:rFonts w:ascii="Calibri Light" w:hAnsi="Calibri Light" w:cs="Calibri Light"/>
        </w:rPr>
        <w:t>considered ESG in their investment decision making</w:t>
      </w:r>
      <w:r w:rsidR="00641163">
        <w:rPr>
          <w:rFonts w:ascii="Calibri Light" w:hAnsi="Calibri Light" w:cs="Calibri Light"/>
        </w:rPr>
        <w:t>,</w:t>
      </w:r>
      <w:r w:rsidR="00197F54" w:rsidRPr="00204DA8">
        <w:rPr>
          <w:rFonts w:ascii="Calibri Light" w:hAnsi="Calibri Light" w:cs="Calibri Light"/>
        </w:rPr>
        <w:t xml:space="preserve"> </w:t>
      </w:r>
      <w:r w:rsidR="00336AF0">
        <w:rPr>
          <w:rFonts w:ascii="Calibri Light" w:hAnsi="Calibri Light" w:cs="Calibri Light"/>
        </w:rPr>
        <w:t>76</w:t>
      </w:r>
      <w:r w:rsidR="00197F54" w:rsidRPr="00204DA8">
        <w:rPr>
          <w:rFonts w:ascii="Calibri Light" w:hAnsi="Calibri Light" w:cs="Calibri Light"/>
        </w:rPr>
        <w:t xml:space="preserve"> per cent believe</w:t>
      </w:r>
      <w:r w:rsidR="00D32489">
        <w:rPr>
          <w:rFonts w:ascii="Calibri Light" w:hAnsi="Calibri Light" w:cs="Calibri Light"/>
        </w:rPr>
        <w:t>d</w:t>
      </w:r>
      <w:r w:rsidR="00197F54" w:rsidRPr="00204DA8">
        <w:rPr>
          <w:rFonts w:ascii="Calibri Light" w:hAnsi="Calibri Light" w:cs="Calibri Light"/>
        </w:rPr>
        <w:t xml:space="preserve"> current corporate disclosures </w:t>
      </w:r>
      <w:r w:rsidR="00641163">
        <w:rPr>
          <w:rFonts w:ascii="Calibri Light" w:hAnsi="Calibri Light" w:cs="Calibri Light"/>
        </w:rPr>
        <w:t>were</w:t>
      </w:r>
      <w:r w:rsidR="00641163" w:rsidRPr="00204DA8">
        <w:rPr>
          <w:rFonts w:ascii="Calibri Light" w:hAnsi="Calibri Light" w:cs="Calibri Light"/>
        </w:rPr>
        <w:t xml:space="preserve"> </w:t>
      </w:r>
      <w:r w:rsidR="00197F54" w:rsidRPr="00204DA8">
        <w:rPr>
          <w:rFonts w:ascii="Calibri Light" w:hAnsi="Calibri Light" w:cs="Calibri Light"/>
        </w:rPr>
        <w:t>likely to have some degree of greenwashing</w:t>
      </w:r>
      <w:r w:rsidR="00641163">
        <w:rPr>
          <w:rFonts w:ascii="Calibri Light" w:hAnsi="Calibri Light" w:cs="Calibri Light"/>
        </w:rPr>
        <w:t>.</w:t>
      </w:r>
      <w:r w:rsidR="00135570" w:rsidRPr="00135570">
        <w:rPr>
          <w:rFonts w:ascii="Calibri Light" w:hAnsi="Calibri Light" w:cs="Calibri Light"/>
          <w:vertAlign w:val="superscript"/>
        </w:rPr>
        <w:t xml:space="preserve"> </w:t>
      </w:r>
      <w:r w:rsidR="00135570" w:rsidRPr="00B62734">
        <w:rPr>
          <w:rFonts w:ascii="Calibri Light" w:hAnsi="Calibri Light" w:cs="Calibri Light"/>
          <w:vertAlign w:val="superscript"/>
        </w:rPr>
        <w:footnoteReference w:id="20"/>
      </w:r>
      <w:r w:rsidR="00197F54" w:rsidRPr="00204DA8">
        <w:rPr>
          <w:rFonts w:ascii="Calibri Light" w:hAnsi="Calibri Light" w:cs="Calibri Light"/>
        </w:rPr>
        <w:t xml:space="preserve"> </w:t>
      </w:r>
      <w:r w:rsidR="00433213">
        <w:rPr>
          <w:rFonts w:ascii="Calibri Light" w:hAnsi="Calibri Light" w:cs="Calibri Light"/>
        </w:rPr>
        <w:t>This</w:t>
      </w:r>
      <w:r w:rsidR="00197F54" w:rsidRPr="00204DA8">
        <w:rPr>
          <w:rFonts w:ascii="Calibri Light" w:hAnsi="Calibri Light" w:cs="Calibri Light"/>
        </w:rPr>
        <w:t xml:space="preserve"> </w:t>
      </w:r>
      <w:r w:rsidR="00433213">
        <w:rPr>
          <w:rFonts w:ascii="Calibri Light" w:hAnsi="Calibri Light" w:cs="Calibri Light"/>
        </w:rPr>
        <w:t>results</w:t>
      </w:r>
      <w:r w:rsidR="00197F54">
        <w:rPr>
          <w:rFonts w:ascii="Calibri Light" w:hAnsi="Calibri Light" w:cs="Calibri Light"/>
        </w:rPr>
        <w:t xml:space="preserve"> in</w:t>
      </w:r>
      <w:r w:rsidR="00197F54" w:rsidRPr="00204DA8">
        <w:rPr>
          <w:rFonts w:ascii="Calibri Light" w:hAnsi="Calibri Light" w:cs="Calibri Light"/>
        </w:rPr>
        <w:t xml:space="preserve"> users of general-purpose financial reports placing less value on sustainability disclosures relative to other information.</w:t>
      </w:r>
      <w:r w:rsidR="00D24EAC">
        <w:rPr>
          <w:rFonts w:ascii="Calibri Light" w:hAnsi="Calibri Light" w:cs="Calibri Light"/>
        </w:rPr>
        <w:t xml:space="preserve"> This </w:t>
      </w:r>
      <w:r w:rsidR="00D45AEB">
        <w:rPr>
          <w:rFonts w:ascii="Calibri Light" w:hAnsi="Calibri Light" w:cs="Calibri Light"/>
        </w:rPr>
        <w:t xml:space="preserve">uncertainty </w:t>
      </w:r>
      <w:r w:rsidR="00D24EAC">
        <w:rPr>
          <w:rFonts w:ascii="Calibri Light" w:hAnsi="Calibri Light" w:cs="Calibri Light"/>
        </w:rPr>
        <w:t xml:space="preserve">has </w:t>
      </w:r>
      <w:r w:rsidR="00FC7ACB">
        <w:rPr>
          <w:rFonts w:ascii="Calibri Light" w:hAnsi="Calibri Light" w:cs="Calibri Light"/>
        </w:rPr>
        <w:t>ramifications</w:t>
      </w:r>
      <w:r w:rsidR="00D45AEB">
        <w:rPr>
          <w:rFonts w:ascii="Calibri Light" w:hAnsi="Calibri Light" w:cs="Calibri Light"/>
        </w:rPr>
        <w:t xml:space="preserve"> for how </w:t>
      </w:r>
      <w:r w:rsidR="00EA6D0C">
        <w:rPr>
          <w:rFonts w:ascii="Calibri Light" w:hAnsi="Calibri Light" w:cs="Calibri Light"/>
        </w:rPr>
        <w:t>investors</w:t>
      </w:r>
      <w:r w:rsidR="00374AB1">
        <w:rPr>
          <w:rFonts w:ascii="Calibri Light" w:hAnsi="Calibri Light" w:cs="Calibri Light"/>
        </w:rPr>
        <w:t xml:space="preserve"> (global and domestic)</w:t>
      </w:r>
      <w:r w:rsidR="00EA6D0C">
        <w:rPr>
          <w:rFonts w:ascii="Calibri Light" w:hAnsi="Calibri Light" w:cs="Calibri Light"/>
        </w:rPr>
        <w:t xml:space="preserve"> </w:t>
      </w:r>
      <w:r w:rsidR="002A2E3E">
        <w:rPr>
          <w:rFonts w:ascii="Calibri Light" w:hAnsi="Calibri Light" w:cs="Calibri Light"/>
        </w:rPr>
        <w:t>price climate risk</w:t>
      </w:r>
      <w:r w:rsidR="00245024">
        <w:rPr>
          <w:rFonts w:ascii="Calibri Light" w:hAnsi="Calibri Light" w:cs="Calibri Light"/>
        </w:rPr>
        <w:t>, likely favouring</w:t>
      </w:r>
      <w:r w:rsidR="007D7175">
        <w:rPr>
          <w:rFonts w:ascii="Calibri Light" w:hAnsi="Calibri Light" w:cs="Calibri Light"/>
        </w:rPr>
        <w:t xml:space="preserve"> destinations w</w:t>
      </w:r>
      <w:r w:rsidR="009252C1">
        <w:rPr>
          <w:rFonts w:ascii="Calibri Light" w:hAnsi="Calibri Light" w:cs="Calibri Light"/>
        </w:rPr>
        <w:t xml:space="preserve">ith greater transparency achieved through better disclosure practices. </w:t>
      </w:r>
      <w:r w:rsidR="00245024">
        <w:rPr>
          <w:rFonts w:ascii="Calibri Light" w:hAnsi="Calibri Light" w:cs="Calibri Light"/>
        </w:rPr>
        <w:t xml:space="preserve"> </w:t>
      </w:r>
      <w:r w:rsidR="00FC7ACB">
        <w:rPr>
          <w:rFonts w:ascii="Calibri Light" w:hAnsi="Calibri Light" w:cs="Calibri Light"/>
        </w:rPr>
        <w:t xml:space="preserve"> </w:t>
      </w:r>
      <w:r w:rsidR="00197F54" w:rsidRPr="00204DA8">
        <w:rPr>
          <w:rFonts w:ascii="Calibri Light" w:hAnsi="Calibri Light" w:cs="Calibri Light"/>
        </w:rPr>
        <w:t xml:space="preserve"> </w:t>
      </w:r>
    </w:p>
    <w:p w14:paraId="788843D6" w14:textId="2AF1F195" w:rsidR="00197F54" w:rsidRPr="005C2595" w:rsidRDefault="00197F54" w:rsidP="00197F54">
      <w:pPr>
        <w:pStyle w:val="BodyText"/>
        <w:rPr>
          <w:rFonts w:ascii="Calibri Light" w:hAnsi="Calibri Light" w:cs="Calibri Light"/>
        </w:rPr>
      </w:pPr>
      <w:r w:rsidRPr="00204DA8">
        <w:rPr>
          <w:rFonts w:ascii="Calibri Light" w:hAnsi="Calibri Light" w:cs="Calibri Light"/>
        </w:rPr>
        <w:t xml:space="preserve">A major concern with current corporate sustainability disclosure practices is the lack of assurance, which the PwC survey suggests is a reason for the mistrust in such disclosures. In 2021, </w:t>
      </w:r>
      <w:r w:rsidR="0027395B">
        <w:rPr>
          <w:rFonts w:ascii="Calibri Light" w:hAnsi="Calibri Light" w:cs="Calibri Light"/>
        </w:rPr>
        <w:t xml:space="preserve">the </w:t>
      </w:r>
      <w:r w:rsidRPr="00D75419">
        <w:rPr>
          <w:rFonts w:ascii="Calibri Light" w:hAnsi="Calibri Light" w:cs="Calibri Light"/>
        </w:rPr>
        <w:t>I</w:t>
      </w:r>
      <w:r w:rsidR="0027395B" w:rsidRPr="00D75419">
        <w:rPr>
          <w:rFonts w:ascii="Calibri Light" w:hAnsi="Calibri Light" w:cs="Calibri Light"/>
        </w:rPr>
        <w:t xml:space="preserve">nternational </w:t>
      </w:r>
      <w:r w:rsidRPr="00D75419">
        <w:rPr>
          <w:rFonts w:ascii="Calibri Light" w:hAnsi="Calibri Light" w:cs="Calibri Light"/>
        </w:rPr>
        <w:t>F</w:t>
      </w:r>
      <w:r w:rsidR="0027395B" w:rsidRPr="00D75419">
        <w:rPr>
          <w:rFonts w:ascii="Calibri Light" w:hAnsi="Calibri Light" w:cs="Calibri Light"/>
        </w:rPr>
        <w:t xml:space="preserve">ederation of </w:t>
      </w:r>
      <w:r w:rsidRPr="00D75419">
        <w:rPr>
          <w:rFonts w:ascii="Calibri Light" w:hAnsi="Calibri Light" w:cs="Calibri Light"/>
        </w:rPr>
        <w:t>A</w:t>
      </w:r>
      <w:r w:rsidR="0027395B" w:rsidRPr="00D75419">
        <w:rPr>
          <w:rFonts w:ascii="Calibri Light" w:hAnsi="Calibri Light" w:cs="Calibri Light"/>
        </w:rPr>
        <w:t>ccountants (IFA</w:t>
      </w:r>
      <w:r w:rsidRPr="00D75419">
        <w:rPr>
          <w:rFonts w:ascii="Calibri Light" w:hAnsi="Calibri Light" w:cs="Calibri Light"/>
        </w:rPr>
        <w:t>C</w:t>
      </w:r>
      <w:r w:rsidR="00D75419" w:rsidRPr="00D75419">
        <w:rPr>
          <w:rFonts w:ascii="Calibri Light" w:hAnsi="Calibri Light" w:cs="Calibri Light"/>
        </w:rPr>
        <w:t>)</w:t>
      </w:r>
      <w:r>
        <w:rPr>
          <w:rFonts w:ascii="Calibri Light" w:hAnsi="Calibri Light" w:cs="Calibri Light"/>
        </w:rPr>
        <w:t xml:space="preserve"> </w:t>
      </w:r>
      <w:r w:rsidRPr="00204DA8">
        <w:rPr>
          <w:rFonts w:ascii="Calibri Light" w:hAnsi="Calibri Light" w:cs="Calibri Light"/>
        </w:rPr>
        <w:t>released a study finding that 56 per cent of companies obtained sustainability assurance for the disclosure of ESG data.</w:t>
      </w:r>
      <w:r w:rsidR="00446A09" w:rsidRPr="00BC2FF1">
        <w:rPr>
          <w:rStyle w:val="FootnoteReference"/>
          <w:rFonts w:ascii="Calibri Light" w:hAnsi="Calibri Light" w:cs="Calibri Light"/>
          <w:position w:val="6"/>
          <w:vertAlign w:val="superscript"/>
        </w:rPr>
        <w:footnoteReference w:id="21"/>
      </w:r>
      <w:r w:rsidRPr="00204DA8">
        <w:rPr>
          <w:rFonts w:ascii="Calibri Light" w:hAnsi="Calibri Light" w:cs="Calibri Light"/>
        </w:rPr>
        <w:t xml:space="preserve"> </w:t>
      </w:r>
      <w:r w:rsidR="0079209F" w:rsidRPr="00204DA8">
        <w:rPr>
          <w:rFonts w:ascii="Calibri Light" w:hAnsi="Calibri Light" w:cs="Calibri Light"/>
        </w:rPr>
        <w:t>This assurance only reached the ‘limited’ level, with audit firms contributing 100 per cent of the assurance.</w:t>
      </w:r>
      <w:r w:rsidR="0079209F" w:rsidRPr="00B62734">
        <w:rPr>
          <w:rFonts w:ascii="Calibri Light" w:hAnsi="Calibri Light" w:cs="Calibri Light"/>
          <w:vertAlign w:val="superscript"/>
        </w:rPr>
        <w:footnoteReference w:id="22"/>
      </w:r>
      <w:r w:rsidR="0079209F">
        <w:rPr>
          <w:rFonts w:ascii="Calibri Light" w:hAnsi="Calibri Light" w:cs="Calibri Light"/>
        </w:rPr>
        <w:t xml:space="preserve"> </w:t>
      </w:r>
      <w:r w:rsidR="00375F71">
        <w:rPr>
          <w:rFonts w:ascii="Calibri Light" w:hAnsi="Calibri Light" w:cs="Calibri Light"/>
        </w:rPr>
        <w:t xml:space="preserve">In contrast to this, the </w:t>
      </w:r>
      <w:r w:rsidR="0036341C">
        <w:rPr>
          <w:rFonts w:ascii="Calibri Light" w:hAnsi="Calibri Light" w:cs="Calibri Light"/>
        </w:rPr>
        <w:t>AASB</w:t>
      </w:r>
      <w:r w:rsidR="00E8556A">
        <w:rPr>
          <w:rFonts w:ascii="Calibri Light" w:hAnsi="Calibri Light" w:cs="Calibri Light"/>
        </w:rPr>
        <w:t xml:space="preserve"> and AUASB</w:t>
      </w:r>
      <w:r w:rsidR="00570BAB">
        <w:rPr>
          <w:rFonts w:ascii="Calibri Light" w:hAnsi="Calibri Light" w:cs="Calibri Light"/>
        </w:rPr>
        <w:t xml:space="preserve"> </w:t>
      </w:r>
      <w:r w:rsidR="00054ED2">
        <w:rPr>
          <w:rFonts w:ascii="Calibri Light" w:hAnsi="Calibri Light" w:cs="Calibri Light"/>
        </w:rPr>
        <w:t>released joint research</w:t>
      </w:r>
      <w:r w:rsidR="00CB3B95">
        <w:rPr>
          <w:rFonts w:ascii="Calibri Light" w:hAnsi="Calibri Light" w:cs="Calibri Light"/>
        </w:rPr>
        <w:t xml:space="preserve"> </w:t>
      </w:r>
      <w:r w:rsidR="00936FA9">
        <w:rPr>
          <w:rFonts w:ascii="Calibri Light" w:hAnsi="Calibri Light" w:cs="Calibri Light"/>
        </w:rPr>
        <w:t>finding that only 5.2</w:t>
      </w:r>
      <w:r w:rsidR="00FD06EC">
        <w:rPr>
          <w:rFonts w:ascii="Calibri Light" w:hAnsi="Calibri Light" w:cs="Calibri Light"/>
        </w:rPr>
        <w:t xml:space="preserve"> per cent</w:t>
      </w:r>
      <w:r w:rsidR="00936FA9">
        <w:rPr>
          <w:rFonts w:ascii="Calibri Light" w:hAnsi="Calibri Light" w:cs="Calibri Light"/>
        </w:rPr>
        <w:t xml:space="preserve"> of </w:t>
      </w:r>
      <w:r w:rsidR="00C2732B">
        <w:rPr>
          <w:rFonts w:ascii="Calibri Light" w:hAnsi="Calibri Light" w:cs="Calibri Light"/>
        </w:rPr>
        <w:t xml:space="preserve">companies </w:t>
      </w:r>
      <w:r w:rsidR="00C16B0E">
        <w:rPr>
          <w:rFonts w:ascii="Calibri Light" w:hAnsi="Calibri Light" w:cs="Calibri Light"/>
        </w:rPr>
        <w:t xml:space="preserve">referenced a </w:t>
      </w:r>
      <w:r w:rsidR="00BD57AD">
        <w:rPr>
          <w:rFonts w:ascii="Calibri Light" w:hAnsi="Calibri Light" w:cs="Calibri Light"/>
        </w:rPr>
        <w:t>third-party</w:t>
      </w:r>
      <w:r w:rsidR="00C16B0E">
        <w:rPr>
          <w:rFonts w:ascii="Calibri Light" w:hAnsi="Calibri Light" w:cs="Calibri Light"/>
        </w:rPr>
        <w:t xml:space="preserve"> assurance engagement in their annual report in 2021</w:t>
      </w:r>
      <w:r w:rsidR="0079209F">
        <w:rPr>
          <w:rFonts w:ascii="Calibri Light" w:hAnsi="Calibri Light" w:cs="Calibri Light"/>
        </w:rPr>
        <w:t>.</w:t>
      </w:r>
      <w:r w:rsidR="00BD57AD" w:rsidRPr="0079209F">
        <w:rPr>
          <w:rStyle w:val="FootnoteReference"/>
          <w:rFonts w:ascii="Calibri Light" w:hAnsi="Calibri Light" w:cs="Calibri Light"/>
          <w:vertAlign w:val="superscript"/>
        </w:rPr>
        <w:footnoteReference w:id="23"/>
      </w:r>
      <w:r w:rsidR="005C2595">
        <w:rPr>
          <w:rFonts w:ascii="Calibri Light" w:hAnsi="Calibri Light" w:cs="Calibri Light"/>
        </w:rPr>
        <w:t xml:space="preserve"> This number may under</w:t>
      </w:r>
      <w:r w:rsidR="00FD06EC">
        <w:rPr>
          <w:rFonts w:ascii="Calibri Light" w:hAnsi="Calibri Light" w:cs="Calibri Light"/>
        </w:rPr>
        <w:t>estimate</w:t>
      </w:r>
      <w:r w:rsidR="005C2595">
        <w:rPr>
          <w:rFonts w:ascii="Calibri Light" w:hAnsi="Calibri Light" w:cs="Calibri Light"/>
        </w:rPr>
        <w:t xml:space="preserve"> the </w:t>
      </w:r>
      <w:r w:rsidR="00AC0FDF">
        <w:rPr>
          <w:rFonts w:ascii="Calibri Light" w:hAnsi="Calibri Light" w:cs="Calibri Light"/>
        </w:rPr>
        <w:t xml:space="preserve">total amount of </w:t>
      </w:r>
      <w:r w:rsidR="003A443B">
        <w:rPr>
          <w:rFonts w:ascii="Calibri Light" w:hAnsi="Calibri Light" w:cs="Calibri Light"/>
        </w:rPr>
        <w:t>assurance engagement</w:t>
      </w:r>
      <w:r w:rsidR="00614460">
        <w:rPr>
          <w:rFonts w:ascii="Calibri Light" w:hAnsi="Calibri Light" w:cs="Calibri Light"/>
        </w:rPr>
        <w:t>s</w:t>
      </w:r>
      <w:r w:rsidR="003A443B">
        <w:rPr>
          <w:rFonts w:ascii="Calibri Light" w:hAnsi="Calibri Light" w:cs="Calibri Light"/>
        </w:rPr>
        <w:t xml:space="preserve">, given it only analysed </w:t>
      </w:r>
      <w:r w:rsidR="009E419C">
        <w:rPr>
          <w:rFonts w:ascii="Calibri Light" w:hAnsi="Calibri Light" w:cs="Calibri Light"/>
        </w:rPr>
        <w:t xml:space="preserve">annual reports </w:t>
      </w:r>
      <w:r w:rsidR="00AE7AD0">
        <w:rPr>
          <w:rFonts w:ascii="Calibri Light" w:hAnsi="Calibri Light" w:cs="Calibri Light"/>
        </w:rPr>
        <w:t xml:space="preserve">and </w:t>
      </w:r>
      <w:r w:rsidR="00DA0238">
        <w:rPr>
          <w:rFonts w:ascii="Calibri Light" w:hAnsi="Calibri Light" w:cs="Calibri Light"/>
        </w:rPr>
        <w:t xml:space="preserve">only </w:t>
      </w:r>
      <w:r w:rsidR="007648BE">
        <w:rPr>
          <w:rFonts w:ascii="Calibri Light" w:hAnsi="Calibri Light" w:cs="Calibri Light"/>
        </w:rPr>
        <w:t xml:space="preserve">counted </w:t>
      </w:r>
      <w:r w:rsidR="00DC0EC0">
        <w:rPr>
          <w:rFonts w:ascii="Calibri Light" w:hAnsi="Calibri Light" w:cs="Calibri Light"/>
        </w:rPr>
        <w:t>times when this assuran</w:t>
      </w:r>
      <w:r w:rsidR="00624B2D">
        <w:rPr>
          <w:rFonts w:ascii="Calibri Light" w:hAnsi="Calibri Light" w:cs="Calibri Light"/>
        </w:rPr>
        <w:t>ce was self-reported.</w:t>
      </w:r>
      <w:r w:rsidR="00117563">
        <w:rPr>
          <w:rFonts w:ascii="Calibri Light" w:hAnsi="Calibri Light" w:cs="Calibri Light"/>
        </w:rPr>
        <w:t xml:space="preserve"> In the absence of a mandate, disclosures can happen in any format outside of the annual report</w:t>
      </w:r>
      <w:r w:rsidR="00C856E1">
        <w:rPr>
          <w:rFonts w:ascii="Calibri Light" w:hAnsi="Calibri Light" w:cs="Calibri Light"/>
        </w:rPr>
        <w:t xml:space="preserve"> and </w:t>
      </w:r>
      <w:r w:rsidR="00A714FD">
        <w:rPr>
          <w:rFonts w:ascii="Calibri Light" w:hAnsi="Calibri Light" w:cs="Calibri Light"/>
        </w:rPr>
        <w:t xml:space="preserve">practices for revealing assurance engagement may vary. </w:t>
      </w:r>
      <w:r w:rsidR="00CE2868">
        <w:rPr>
          <w:rFonts w:ascii="Calibri Light" w:hAnsi="Calibri Light" w:cs="Calibri Light"/>
        </w:rPr>
        <w:t>Despite this,</w:t>
      </w:r>
      <w:r w:rsidR="006B01D4">
        <w:rPr>
          <w:rFonts w:ascii="Calibri Light" w:hAnsi="Calibri Light" w:cs="Calibri Light"/>
        </w:rPr>
        <w:t xml:space="preserve"> </w:t>
      </w:r>
      <w:r w:rsidR="00561903">
        <w:rPr>
          <w:rFonts w:ascii="Calibri Light" w:hAnsi="Calibri Light" w:cs="Calibri Light"/>
        </w:rPr>
        <w:t xml:space="preserve">Australia </w:t>
      </w:r>
      <w:r w:rsidR="0087372D">
        <w:rPr>
          <w:rFonts w:ascii="Calibri Light" w:hAnsi="Calibri Light" w:cs="Calibri Light"/>
        </w:rPr>
        <w:t>could</w:t>
      </w:r>
      <w:r w:rsidR="00561903">
        <w:rPr>
          <w:rFonts w:ascii="Calibri Light" w:hAnsi="Calibri Light" w:cs="Calibri Light"/>
        </w:rPr>
        <w:t xml:space="preserve"> be underperforming </w:t>
      </w:r>
      <w:r w:rsidR="00A87F2A">
        <w:rPr>
          <w:rFonts w:ascii="Calibri Light" w:hAnsi="Calibri Light" w:cs="Calibri Light"/>
        </w:rPr>
        <w:t xml:space="preserve">in providing </w:t>
      </w:r>
      <w:r w:rsidR="006975B5">
        <w:rPr>
          <w:rFonts w:ascii="Calibri Light" w:hAnsi="Calibri Light" w:cs="Calibri Light"/>
        </w:rPr>
        <w:t>assurance fo</w:t>
      </w:r>
      <w:r w:rsidR="00996B9E">
        <w:rPr>
          <w:rFonts w:ascii="Calibri Light" w:hAnsi="Calibri Light" w:cs="Calibri Light"/>
        </w:rPr>
        <w:t>r disclo</w:t>
      </w:r>
      <w:r w:rsidR="007767F4">
        <w:rPr>
          <w:rFonts w:ascii="Calibri Light" w:hAnsi="Calibri Light" w:cs="Calibri Light"/>
        </w:rPr>
        <w:t>sures, which may affect the quality of disclosures.</w:t>
      </w:r>
    </w:p>
    <w:p w14:paraId="1E9F6234" w14:textId="52F1A6C6" w:rsidR="00197F54" w:rsidRPr="00204DA8" w:rsidRDefault="00197F54" w:rsidP="00197F54">
      <w:pPr>
        <w:rPr>
          <w:rFonts w:eastAsiaTheme="minorHAnsi" w:cs="Calibri Light"/>
          <w:color w:val="262626" w:themeColor="text1" w:themeTint="D9"/>
          <w:szCs w:val="22"/>
          <w:lang w:eastAsia="en-US"/>
        </w:rPr>
      </w:pPr>
      <w:r w:rsidRPr="442A2D2B">
        <w:rPr>
          <w:rFonts w:eastAsiaTheme="minorEastAsia" w:cs="Calibri Light"/>
          <w:color w:val="262626" w:themeColor="text1" w:themeTint="D9"/>
          <w:lang w:eastAsia="en-US"/>
        </w:rPr>
        <w:t>Users of general-purpose financial reports report that disclosures still do not meet their needs as they tend to be either qualitative in nature or use metrics which are not comparable across companies or jurisdictions. A 2022 ACSI report</w:t>
      </w:r>
      <w:r w:rsidRPr="442A2D2B">
        <w:rPr>
          <w:rFonts w:eastAsiaTheme="minorEastAsia" w:cs="Calibri Light"/>
          <w:color w:val="262626" w:themeColor="text1" w:themeTint="D9"/>
          <w:vertAlign w:val="superscript"/>
          <w:lang w:eastAsia="en-US"/>
        </w:rPr>
        <w:footnoteReference w:id="24"/>
      </w:r>
      <w:r w:rsidRPr="442A2D2B">
        <w:rPr>
          <w:rFonts w:eastAsiaTheme="minorEastAsia" w:cs="Calibri Light"/>
          <w:color w:val="262626" w:themeColor="text1" w:themeTint="D9"/>
          <w:lang w:eastAsia="en-US"/>
        </w:rPr>
        <w:t xml:space="preserve"> highlighted the key areas of disclosure in which users of general-purpose financial reports face these challenges, including: </w:t>
      </w:r>
    </w:p>
    <w:p w14:paraId="6387294C" w14:textId="75EBA5E3" w:rsidR="00197F54" w:rsidRPr="00197F54" w:rsidRDefault="00197F54" w:rsidP="0092357C">
      <w:pPr>
        <w:pStyle w:val="Bullet"/>
      </w:pPr>
      <w:r w:rsidRPr="00197F54">
        <w:t xml:space="preserve">Varied disclosure of Scope 1, 2 and 3 emissions in particular the limited focus on Scope 3 emissions. </w:t>
      </w:r>
    </w:p>
    <w:p w14:paraId="53484297" w14:textId="77777777" w:rsidR="00197F54" w:rsidRPr="00197F54" w:rsidRDefault="00197F54" w:rsidP="0092357C">
      <w:pPr>
        <w:pStyle w:val="Bullet"/>
      </w:pPr>
      <w:r w:rsidRPr="00197F54">
        <w:t xml:space="preserve">Limited evidence of whether and how climate change-related assumptions are integrated into capital allocation decisions. </w:t>
      </w:r>
    </w:p>
    <w:p w14:paraId="162F8FF9" w14:textId="27A2A0C2" w:rsidR="00197F54" w:rsidRPr="00197F54" w:rsidRDefault="00197F54" w:rsidP="0092357C">
      <w:pPr>
        <w:pStyle w:val="Bullet"/>
      </w:pPr>
      <w:r w:rsidRPr="00197F54">
        <w:t>Few companies provide disclosure on physical risk analysis</w:t>
      </w:r>
      <w:r w:rsidR="00C64527">
        <w:t>;</w:t>
      </w:r>
      <w:r w:rsidRPr="00197F54">
        <w:t xml:space="preserve"> how adaptation and risk mit</w:t>
      </w:r>
      <w:r>
        <w:t>igation</w:t>
      </w:r>
      <w:r w:rsidR="00CB21F0">
        <w:t xml:space="preserve"> </w:t>
      </w:r>
      <w:r w:rsidR="00B81B59">
        <w:t>strat</w:t>
      </w:r>
      <w:r w:rsidR="00766AA1">
        <w:t xml:space="preserve">egies </w:t>
      </w:r>
      <w:r w:rsidR="00CB21F0">
        <w:t>are integrated into assets</w:t>
      </w:r>
      <w:r w:rsidR="00C64527">
        <w:t>;</w:t>
      </w:r>
      <w:r w:rsidR="00CB21F0">
        <w:t xml:space="preserve"> and the cost the company bares from climate inaction</w:t>
      </w:r>
      <w:r w:rsidR="007F61F4">
        <w:t>.</w:t>
      </w:r>
    </w:p>
    <w:p w14:paraId="39B2F343" w14:textId="117C92D9" w:rsidR="00197F54" w:rsidRPr="00197F54" w:rsidRDefault="00197F54" w:rsidP="0092357C">
      <w:pPr>
        <w:pStyle w:val="Bullet"/>
      </w:pPr>
      <w:r>
        <w:t>V</w:t>
      </w:r>
      <w:r w:rsidRPr="00197F54">
        <w:t xml:space="preserve">ariation in scenario analysis disclosure, and limited transparency on the assumptions and inputs driving scenarios. </w:t>
      </w:r>
    </w:p>
    <w:p w14:paraId="4DD56912" w14:textId="1A6D4015" w:rsidR="00197F54" w:rsidRPr="00342B7D" w:rsidRDefault="00197F54" w:rsidP="0092357C">
      <w:pPr>
        <w:pStyle w:val="Bullet"/>
      </w:pPr>
      <w:r w:rsidRPr="00197F54">
        <w:t>Difficulty in assessing the alignment of company targets to global efforts to limit warming to 1.5</w:t>
      </w:r>
      <w:r w:rsidR="00C92E8A">
        <w:t> </w:t>
      </w:r>
      <w:r w:rsidRPr="00197F54">
        <w:t>degrees.</w:t>
      </w:r>
    </w:p>
    <w:p w14:paraId="21DCCD14" w14:textId="77777777" w:rsidR="00E56BE6" w:rsidRPr="007169C7" w:rsidRDefault="00E56BE6" w:rsidP="00E56BE6">
      <w:pPr>
        <w:pStyle w:val="Heading4"/>
      </w:pPr>
      <w:r w:rsidRPr="007169C7">
        <w:t>Reporting location and format</w:t>
      </w:r>
    </w:p>
    <w:p w14:paraId="2EB43E7A" w14:textId="454FDF9D" w:rsidR="00E56BE6" w:rsidRPr="00204DA8" w:rsidRDefault="00E56BE6" w:rsidP="00E56BE6">
      <w:pPr>
        <w:pStyle w:val="BodyText"/>
        <w:rPr>
          <w:rFonts w:ascii="Calibri Light" w:hAnsi="Calibri Light" w:cs="Calibri Light"/>
        </w:rPr>
      </w:pPr>
      <w:r w:rsidRPr="00204DA8">
        <w:rPr>
          <w:rFonts w:ascii="Calibri Light" w:hAnsi="Calibri Light" w:cs="Calibri Light"/>
        </w:rPr>
        <w:t>As it stands, there is no consistency</w:t>
      </w:r>
      <w:r>
        <w:rPr>
          <w:rFonts w:ascii="Calibri Light" w:hAnsi="Calibri Light" w:cs="Calibri Light"/>
        </w:rPr>
        <w:t xml:space="preserve"> required</w:t>
      </w:r>
      <w:r w:rsidRPr="00204DA8">
        <w:rPr>
          <w:rFonts w:ascii="Calibri Light" w:hAnsi="Calibri Light" w:cs="Calibri Light"/>
        </w:rPr>
        <w:t xml:space="preserve"> in the timing or location of sustainability disclosures. Disclosures can be found in any format, from annual reports, to integrated reports or separate sustainability reports. Similarly, reporting can be made on a calendar or financial year basis, or other alternate period for voluntary disclosures. The IFAC report highlights this lack of consistency in reporting formats, with a majority reporting in separate sustainability reports, and a large </w:t>
      </w:r>
      <w:r>
        <w:rPr>
          <w:rFonts w:ascii="Calibri Light" w:hAnsi="Calibri Light" w:cs="Calibri Light"/>
        </w:rPr>
        <w:t>number</w:t>
      </w:r>
      <w:r w:rsidRPr="00204DA8">
        <w:rPr>
          <w:rFonts w:ascii="Calibri Light" w:hAnsi="Calibri Light" w:cs="Calibri Light"/>
        </w:rPr>
        <w:t xml:space="preserve"> reporting as part of the annual report. </w:t>
      </w:r>
      <w:r w:rsidR="00061105">
        <w:rPr>
          <w:rFonts w:ascii="Calibri Light" w:hAnsi="Calibri Light" w:cs="Calibri Light"/>
        </w:rPr>
        <w:t>The IFAC report</w:t>
      </w:r>
      <w:r w:rsidRPr="00204DA8">
        <w:rPr>
          <w:rFonts w:ascii="Calibri Light" w:hAnsi="Calibri Light" w:cs="Calibri Light"/>
        </w:rPr>
        <w:t xml:space="preserve"> shows </w:t>
      </w:r>
      <w:r w:rsidR="00583E46">
        <w:rPr>
          <w:rFonts w:ascii="Calibri Light" w:hAnsi="Calibri Light" w:cs="Calibri Light"/>
        </w:rPr>
        <w:t>that</w:t>
      </w:r>
      <w:r w:rsidRPr="00204DA8">
        <w:rPr>
          <w:rFonts w:ascii="Calibri Light" w:hAnsi="Calibri Light" w:cs="Calibri Light"/>
        </w:rPr>
        <w:t xml:space="preserve"> there is a trend toward integration of sustainability information into the annual report</w:t>
      </w:r>
      <w:r w:rsidR="00061105">
        <w:rPr>
          <w:rFonts w:ascii="Calibri Light" w:hAnsi="Calibri Light" w:cs="Calibri Light"/>
        </w:rPr>
        <w:t xml:space="preserve"> and away from separate sustainability reports</w:t>
      </w:r>
      <w:r w:rsidRPr="00204DA8">
        <w:rPr>
          <w:rFonts w:ascii="Calibri Light" w:hAnsi="Calibri Light" w:cs="Calibri Light"/>
        </w:rPr>
        <w:t>.</w:t>
      </w:r>
      <w:r w:rsidR="00061105" w:rsidRPr="000C47E5">
        <w:rPr>
          <w:rStyle w:val="FootnoteReference"/>
          <w:rFonts w:ascii="Calibri Light" w:hAnsi="Calibri Light" w:cs="Calibri Light"/>
          <w:position w:val="6"/>
          <w:sz w:val="16"/>
          <w:szCs w:val="20"/>
          <w:vertAlign w:val="superscript"/>
        </w:rPr>
        <w:footnoteReference w:id="25"/>
      </w:r>
      <w:r w:rsidRPr="00204DA8">
        <w:rPr>
          <w:rFonts w:ascii="Calibri Light" w:hAnsi="Calibri Light" w:cs="Calibri Light"/>
        </w:rPr>
        <w:t xml:space="preserve"> This is consistent with stakeholder feedback received in Treasury’s first round of consultation on climate-related financial disclosures. </w:t>
      </w:r>
      <w:r w:rsidR="00842A0C">
        <w:rPr>
          <w:rFonts w:ascii="Calibri Light" w:hAnsi="Calibri Light" w:cs="Calibri Light"/>
        </w:rPr>
        <w:t xml:space="preserve">During the discovery consultation, </w:t>
      </w:r>
      <w:r w:rsidRPr="00204DA8">
        <w:rPr>
          <w:rFonts w:ascii="Calibri Light" w:hAnsi="Calibri Light" w:cs="Calibri Light"/>
        </w:rPr>
        <w:t xml:space="preserve">Treasury asked stakeholders about their ideal reporting location and 59 per cent agreed that it would be beneficial to have disclosures as part of the annual report, while 32 per cent wanted flexibility and 7 per cent wanted this reported in a separate report. </w:t>
      </w:r>
    </w:p>
    <w:p w14:paraId="2D9A27A8" w14:textId="77777777" w:rsidR="002F3DB0" w:rsidRPr="00217D9E" w:rsidDel="001A4B65" w:rsidRDefault="002F3DB0" w:rsidP="00D65EB0">
      <w:pPr>
        <w:pStyle w:val="Heading3"/>
      </w:pPr>
      <w:bookmarkStart w:id="9" w:name="_Toc144742102"/>
      <w:r w:rsidRPr="00217D9E" w:rsidDel="001A4B65">
        <w:t>Impact of not transitioning from investor and regulator perspective</w:t>
      </w:r>
      <w:bookmarkEnd w:id="9"/>
    </w:p>
    <w:p w14:paraId="0DF02882" w14:textId="1923CE88" w:rsidR="002F3DB0" w:rsidRPr="00AC2D59" w:rsidDel="001A4B65" w:rsidRDefault="002F3DB0" w:rsidP="002F3DB0">
      <w:pPr>
        <w:pStyle w:val="BodyText"/>
        <w:rPr>
          <w:rFonts w:ascii="Calibri Light" w:hAnsi="Calibri Light" w:cs="Calibri Light"/>
        </w:rPr>
      </w:pPr>
      <w:r w:rsidRPr="00E743F7" w:rsidDel="001A4B65">
        <w:rPr>
          <w:rFonts w:ascii="Calibri Light" w:hAnsi="Calibri Light" w:cs="Calibri Light"/>
        </w:rPr>
        <w:t xml:space="preserve">Companies with material climate risks would still be obliged to report </w:t>
      </w:r>
      <w:r w:rsidR="006955D1">
        <w:rPr>
          <w:rFonts w:ascii="Calibri Light" w:hAnsi="Calibri Light" w:cs="Calibri Light"/>
        </w:rPr>
        <w:t xml:space="preserve">on these risks </w:t>
      </w:r>
      <w:r w:rsidRPr="00E743F7" w:rsidDel="001A4B65">
        <w:rPr>
          <w:rFonts w:ascii="Calibri Light" w:hAnsi="Calibri Light" w:cs="Calibri Light"/>
        </w:rPr>
        <w:t xml:space="preserve">under the </w:t>
      </w:r>
      <w:r w:rsidDel="001A4B65">
        <w:rPr>
          <w:rFonts w:ascii="Calibri Light" w:hAnsi="Calibri Light" w:cs="Calibri Light"/>
        </w:rPr>
        <w:t>C</w:t>
      </w:r>
      <w:r w:rsidRPr="00E743F7" w:rsidDel="001A4B65">
        <w:rPr>
          <w:rFonts w:ascii="Calibri Light" w:hAnsi="Calibri Light" w:cs="Calibri Light"/>
        </w:rPr>
        <w:t xml:space="preserve">orporations </w:t>
      </w:r>
      <w:r w:rsidDel="001A4B65">
        <w:rPr>
          <w:rFonts w:ascii="Calibri Light" w:hAnsi="Calibri Light" w:cs="Calibri Light"/>
        </w:rPr>
        <w:t>A</w:t>
      </w:r>
      <w:r w:rsidRPr="00E743F7" w:rsidDel="001A4B65">
        <w:rPr>
          <w:rFonts w:ascii="Calibri Light" w:hAnsi="Calibri Light" w:cs="Calibri Light"/>
        </w:rPr>
        <w:t xml:space="preserve">ct. </w:t>
      </w:r>
      <w:r w:rsidRPr="00AC2D59" w:rsidDel="001A4B65">
        <w:rPr>
          <w:rFonts w:ascii="Calibri Light" w:hAnsi="Calibri Light" w:cs="Calibri Light"/>
        </w:rPr>
        <w:t xml:space="preserve">The Corporations Act requires Australian firms to disclose information that a ‘reasonable person’ would expect to have a ‘material’ effect on the price of a financial product. Australian listed entities reporting on their climate risks to date have generally done so either through the directors’ report or in a separate sustainability report. ASIC regulatory guidance </w:t>
      </w:r>
      <w:r w:rsidRPr="00AC2D59" w:rsidDel="001A4B65">
        <w:rPr>
          <w:rFonts w:ascii="Calibri Light" w:hAnsi="Calibri Light" w:cs="Calibri Light"/>
          <w:i/>
          <w:iCs/>
        </w:rPr>
        <w:t>RG 247</w:t>
      </w:r>
      <w:r w:rsidRPr="00AC2D59" w:rsidDel="001A4B65">
        <w:rPr>
          <w:rFonts w:ascii="Calibri Light" w:hAnsi="Calibri Light" w:cs="Calibri Light"/>
        </w:rPr>
        <w:t xml:space="preserve"> Effective disclosure in an operating and financial review was updated in 2019 to recommend that, where climate change represents a material risk, it should be disclosed in the directors’ report as part of an operating and financial review, as required under s299(1)(a)(c) of the Corporations Act. </w:t>
      </w:r>
    </w:p>
    <w:p w14:paraId="514EB9D9" w14:textId="77777777" w:rsidR="002F3DB0" w:rsidRPr="00AC2D59" w:rsidDel="001A4B65" w:rsidRDefault="002F3DB0" w:rsidP="002F3DB0">
      <w:pPr>
        <w:rPr>
          <w:rFonts w:eastAsiaTheme="minorHAnsi" w:cs="Calibri Light"/>
          <w:color w:val="262626" w:themeColor="text1" w:themeTint="D9"/>
          <w:szCs w:val="22"/>
          <w:lang w:eastAsia="en-US"/>
        </w:rPr>
      </w:pPr>
      <w:r w:rsidRPr="00AC2D59" w:rsidDel="001A4B65">
        <w:rPr>
          <w:rFonts w:eastAsiaTheme="minorHAnsi" w:cs="Calibri Light"/>
          <w:color w:val="262626" w:themeColor="text1" w:themeTint="D9"/>
          <w:szCs w:val="22"/>
          <w:lang w:eastAsia="en-US"/>
        </w:rPr>
        <w:t>Depending on the circumstances, disclosure of climate risk may also be required by the law in other contexts, such as a prospectus or continuous disclosure announcement. Boards should ask if material climate-related disclosures have been made and updated where necessary and appropriate.</w:t>
      </w:r>
    </w:p>
    <w:p w14:paraId="543CA3A1" w14:textId="77777777" w:rsidR="002F3DB0" w:rsidRPr="00AC2D59" w:rsidDel="001A4B65" w:rsidRDefault="002F3DB0" w:rsidP="002F3DB0">
      <w:pPr>
        <w:rPr>
          <w:rFonts w:eastAsiaTheme="minorHAnsi" w:cs="Calibri Light"/>
          <w:color w:val="262626" w:themeColor="text1" w:themeTint="D9"/>
          <w:szCs w:val="22"/>
          <w:lang w:eastAsia="en-US"/>
        </w:rPr>
      </w:pPr>
      <w:r w:rsidRPr="00AC2D59" w:rsidDel="001A4B65">
        <w:rPr>
          <w:rFonts w:eastAsiaTheme="minorHAnsi" w:cs="Calibri Light"/>
          <w:color w:val="262626" w:themeColor="text1" w:themeTint="D9"/>
          <w:szCs w:val="22"/>
          <w:lang w:eastAsia="en-US"/>
        </w:rPr>
        <w:t>While these provisions have worked well in the past, they:</w:t>
      </w:r>
    </w:p>
    <w:p w14:paraId="355E439C" w14:textId="77777777" w:rsidR="002F3DB0" w:rsidRPr="00933D8C" w:rsidDel="001A4B65" w:rsidRDefault="002F3DB0" w:rsidP="0092357C">
      <w:pPr>
        <w:pStyle w:val="Bullet"/>
      </w:pPr>
      <w:r w:rsidRPr="00AC2D59" w:rsidDel="001A4B65">
        <w:rPr>
          <w:rFonts w:eastAsiaTheme="minorHAnsi"/>
          <w:lang w:eastAsia="en-US"/>
        </w:rPr>
        <w:t>Lack the granularity that produces decision-useful information to users of general</w:t>
      </w:r>
      <w:r w:rsidRPr="00933D8C" w:rsidDel="001A4B65">
        <w:t>-purpose financial reports</w:t>
      </w:r>
      <w:r w:rsidDel="001A4B65">
        <w:t>.</w:t>
      </w:r>
    </w:p>
    <w:p w14:paraId="7C5495A1" w14:textId="77777777" w:rsidR="002F3DB0" w:rsidRPr="00933D8C" w:rsidDel="001A4B65" w:rsidRDefault="002F3DB0" w:rsidP="0092357C">
      <w:pPr>
        <w:pStyle w:val="Bullet"/>
      </w:pPr>
      <w:r w:rsidRPr="00933D8C" w:rsidDel="001A4B65">
        <w:t>Lack the certainty that allows our regulators to act and manage systemic risks</w:t>
      </w:r>
      <w:r w:rsidDel="001A4B65">
        <w:t>.</w:t>
      </w:r>
    </w:p>
    <w:p w14:paraId="53FD3926" w14:textId="717E4261" w:rsidR="002F3DB0" w:rsidRPr="00CD6E08" w:rsidDel="001A4B65" w:rsidRDefault="00687DFB" w:rsidP="002F3DB0">
      <w:r>
        <w:rPr>
          <w:rFonts w:cs="Calibri Light"/>
        </w:rPr>
        <w:t xml:space="preserve">In the absence of a </w:t>
      </w:r>
      <w:r w:rsidR="00A37396">
        <w:rPr>
          <w:rFonts w:cs="Calibri Light"/>
        </w:rPr>
        <w:t xml:space="preserve">tailored </w:t>
      </w:r>
      <w:r>
        <w:rPr>
          <w:rFonts w:cs="Calibri Light"/>
        </w:rPr>
        <w:t>framework</w:t>
      </w:r>
      <w:r w:rsidR="00960E8B">
        <w:rPr>
          <w:rFonts w:cs="Calibri Light"/>
        </w:rPr>
        <w:t>:</w:t>
      </w:r>
    </w:p>
    <w:p w14:paraId="348643CB" w14:textId="7AC60F26" w:rsidR="002F3DB0" w:rsidRPr="00A253FE" w:rsidDel="001A4B65" w:rsidRDefault="00996F39" w:rsidP="0092357C">
      <w:pPr>
        <w:pStyle w:val="Bullet"/>
        <w:rPr>
          <w:rFonts w:eastAsiaTheme="minorHAnsi"/>
          <w:lang w:eastAsia="en-US"/>
        </w:rPr>
      </w:pPr>
      <w:r>
        <w:rPr>
          <w:rFonts w:eastAsiaTheme="minorHAnsi"/>
          <w:lang w:eastAsia="en-US"/>
        </w:rPr>
        <w:t>I</w:t>
      </w:r>
      <w:r w:rsidR="002F3DB0" w:rsidRPr="00A253FE" w:rsidDel="001A4B65">
        <w:rPr>
          <w:rFonts w:eastAsiaTheme="minorHAnsi"/>
          <w:lang w:eastAsia="en-US"/>
        </w:rPr>
        <w:t xml:space="preserve">t would be costly for companies to design their own reporting standards </w:t>
      </w:r>
      <w:r w:rsidR="002F3DB0" w:rsidDel="001A4B65">
        <w:rPr>
          <w:rFonts w:eastAsiaTheme="minorHAnsi"/>
          <w:lang w:eastAsia="en-US"/>
        </w:rPr>
        <w:t>to align</w:t>
      </w:r>
      <w:r w:rsidR="002F3DB0" w:rsidRPr="00A253FE" w:rsidDel="001A4B65">
        <w:rPr>
          <w:rFonts w:eastAsiaTheme="minorHAnsi"/>
          <w:lang w:eastAsia="en-US"/>
        </w:rPr>
        <w:t xml:space="preserve"> with well-designed international standards. It would also result in standards that </w:t>
      </w:r>
      <w:r w:rsidR="002F3DB0" w:rsidDel="001A4B65">
        <w:rPr>
          <w:rFonts w:eastAsiaTheme="minorHAnsi"/>
          <w:lang w:eastAsia="en-US"/>
        </w:rPr>
        <w:t xml:space="preserve">may </w:t>
      </w:r>
      <w:r w:rsidR="002F3DB0" w:rsidRPr="00A253FE" w:rsidDel="001A4B65">
        <w:rPr>
          <w:rFonts w:eastAsiaTheme="minorHAnsi"/>
          <w:lang w:eastAsia="en-US"/>
        </w:rPr>
        <w:t xml:space="preserve">not </w:t>
      </w:r>
      <w:r w:rsidR="002F3DB0" w:rsidDel="001A4B65">
        <w:rPr>
          <w:rFonts w:eastAsiaTheme="minorHAnsi"/>
          <w:lang w:eastAsia="en-US"/>
        </w:rPr>
        <w:t xml:space="preserve">have all the </w:t>
      </w:r>
      <w:r w:rsidR="002F3DB0" w:rsidRPr="00A253FE" w:rsidDel="001A4B65">
        <w:rPr>
          <w:rFonts w:eastAsiaTheme="minorHAnsi"/>
          <w:lang w:eastAsia="en-US"/>
        </w:rPr>
        <w:t xml:space="preserve">useful </w:t>
      </w:r>
      <w:r w:rsidR="002F3DB0" w:rsidDel="001A4B65">
        <w:rPr>
          <w:rFonts w:eastAsiaTheme="minorHAnsi"/>
          <w:lang w:eastAsia="en-US"/>
        </w:rPr>
        <w:t xml:space="preserve">information demanded by </w:t>
      </w:r>
      <w:r w:rsidR="002F3DB0" w:rsidRPr="00A253FE" w:rsidDel="001A4B65">
        <w:rPr>
          <w:rFonts w:eastAsiaTheme="minorHAnsi"/>
          <w:lang w:eastAsia="en-US"/>
        </w:rPr>
        <w:t>investors</w:t>
      </w:r>
      <w:r w:rsidR="002F3DB0" w:rsidDel="001A4B65">
        <w:rPr>
          <w:rFonts w:eastAsiaTheme="minorHAnsi"/>
          <w:lang w:eastAsia="en-US"/>
        </w:rPr>
        <w:t xml:space="preserve"> and that would assist </w:t>
      </w:r>
      <w:r w:rsidR="002F3DB0" w:rsidRPr="00A253FE" w:rsidDel="001A4B65">
        <w:rPr>
          <w:rFonts w:eastAsiaTheme="minorHAnsi"/>
          <w:lang w:eastAsia="en-US"/>
        </w:rPr>
        <w:t>regulators</w:t>
      </w:r>
      <w:r w:rsidR="002F3DB0" w:rsidDel="001A4B65">
        <w:rPr>
          <w:rFonts w:eastAsiaTheme="minorHAnsi"/>
          <w:lang w:eastAsia="en-US"/>
        </w:rPr>
        <w:t xml:space="preserve"> in assessing systemic risk.</w:t>
      </w:r>
      <w:r w:rsidR="002F3DB0" w:rsidRPr="00A253FE" w:rsidDel="001A4B65">
        <w:rPr>
          <w:rFonts w:eastAsiaTheme="minorHAnsi"/>
          <w:lang w:eastAsia="en-US"/>
        </w:rPr>
        <w:t xml:space="preserve"> </w:t>
      </w:r>
      <w:r w:rsidR="002F3DB0" w:rsidDel="001A4B65">
        <w:rPr>
          <w:rFonts w:eastAsiaTheme="minorHAnsi"/>
          <w:lang w:eastAsia="en-US"/>
        </w:rPr>
        <w:t xml:space="preserve">It </w:t>
      </w:r>
      <w:r w:rsidR="002F3DB0" w:rsidRPr="00A253FE" w:rsidDel="001A4B65">
        <w:rPr>
          <w:rFonts w:eastAsiaTheme="minorHAnsi"/>
          <w:lang w:eastAsia="en-US"/>
        </w:rPr>
        <w:t>would</w:t>
      </w:r>
      <w:r w:rsidR="002F3DB0" w:rsidDel="001A4B65">
        <w:rPr>
          <w:rFonts w:eastAsiaTheme="minorHAnsi"/>
          <w:lang w:eastAsia="en-US"/>
        </w:rPr>
        <w:t xml:space="preserve"> also</w:t>
      </w:r>
      <w:r w:rsidR="002F3DB0" w:rsidRPr="00A253FE" w:rsidDel="001A4B65">
        <w:rPr>
          <w:rFonts w:eastAsiaTheme="minorHAnsi"/>
          <w:lang w:eastAsia="en-US"/>
        </w:rPr>
        <w:t xml:space="preserve"> result in Australia having a fragmented and inconsistent set of corporate climate disclosures. This may be reflected in a higher risk premium embedded in capital relative to international counterparts. </w:t>
      </w:r>
    </w:p>
    <w:p w14:paraId="1DE3862F" w14:textId="2CF43D82" w:rsidR="002F3DB0" w:rsidRDefault="002F3DB0" w:rsidP="0092357C">
      <w:pPr>
        <w:pStyle w:val="Bullet"/>
      </w:pPr>
      <w:r w:rsidRPr="00C153AF" w:rsidDel="001A4B65">
        <w:t xml:space="preserve">Poor quality disclosures also increase the risk of greenwashing. This would inhibit ASIC and potentially lead to an inappropriate allocation of capital. </w:t>
      </w:r>
      <w:r w:rsidDel="001A4B65">
        <w:t>As noted above, ASIC is currently relying on guidance and broadly drafted provisions. This makes enforcement more difficult as the regulator has to spend additional resources to reach its outcome. ASIC has recently begun ramping up investigations into greenwashing, finding it had to intervene in 35 cases in a 9</w:t>
      </w:r>
      <w:r w:rsidDel="001A4B65">
        <w:noBreakHyphen/>
        <w:t>month period to ensure companies met their disclosure obligations.</w:t>
      </w:r>
      <w:r w:rsidRPr="00D475DB" w:rsidDel="001A4B65">
        <w:rPr>
          <w:rStyle w:val="FootnoteReference"/>
          <w:rFonts w:cs="Calibri Light"/>
          <w:position w:val="6"/>
          <w:vertAlign w:val="superscript"/>
        </w:rPr>
        <w:footnoteReference w:id="26"/>
      </w:r>
    </w:p>
    <w:p w14:paraId="458B4B49" w14:textId="24F80B08" w:rsidR="004D42F0" w:rsidRPr="00C153AF" w:rsidDel="001A4B65" w:rsidRDefault="004D42F0" w:rsidP="004D42F0">
      <w:pPr>
        <w:pStyle w:val="Dash"/>
      </w:pPr>
      <w:r>
        <w:t>The same could be said about ‘</w:t>
      </w:r>
      <w:proofErr w:type="spellStart"/>
      <w:r>
        <w:t>greenhushing</w:t>
      </w:r>
      <w:proofErr w:type="spellEnd"/>
      <w:r>
        <w:t xml:space="preserve">’ whereby firms claim they have good ESG credentials but refuse to </w:t>
      </w:r>
      <w:r w:rsidR="001343AD">
        <w:t xml:space="preserve">disclose them, citing greenwashing risks. ASIC describes this phenomenon as “just another form of greenwashing; an attempt to garner a ‘green halo’ effect without having to do the work.” Taken </w:t>
      </w:r>
      <w:r w:rsidR="00233A81">
        <w:t>together</w:t>
      </w:r>
      <w:r w:rsidR="001343AD">
        <w:t>, greater levels of greenwashing can lead to misallocation of capital</w:t>
      </w:r>
      <w:r w:rsidR="00233A81">
        <w:t>, reducing benefits for stakeholders.</w:t>
      </w:r>
      <w:r w:rsidR="001343AD">
        <w:t xml:space="preserve"> </w:t>
      </w:r>
    </w:p>
    <w:p w14:paraId="3C9F7ED5" w14:textId="5E5243BE" w:rsidR="002F3DB0" w:rsidRPr="00F52039" w:rsidDel="001A4B65" w:rsidRDefault="002F3DB0" w:rsidP="0092357C">
      <w:pPr>
        <w:pStyle w:val="Bullet"/>
      </w:pPr>
      <w:r w:rsidRPr="00304448" w:rsidDel="001A4B65">
        <w:t>Climate change is a systemic risk to the financial sector that warrants heightened scrutiny. Inadequate disclosure</w:t>
      </w:r>
      <w:r w:rsidR="0092357C">
        <w:t xml:space="preserve"> requirements</w:t>
      </w:r>
      <w:r w:rsidRPr="00304448" w:rsidDel="001A4B65">
        <w:t xml:space="preserve"> </w:t>
      </w:r>
      <w:r w:rsidDel="001A4B65">
        <w:t>would</w:t>
      </w:r>
      <w:r w:rsidRPr="00304448" w:rsidDel="001A4B65">
        <w:t xml:space="preserve"> make it difficult to identify and manage risks in individual entities and in the s</w:t>
      </w:r>
      <w:r w:rsidDel="001A4B65">
        <w:t>ystem, potentially leading</w:t>
      </w:r>
      <w:r w:rsidRPr="00304448" w:rsidDel="001A4B65">
        <w:t xml:space="preserve"> to </w:t>
      </w:r>
      <w:r w:rsidR="005D58A2">
        <w:t xml:space="preserve">violations of the existing requirement for companies to report material risks and </w:t>
      </w:r>
      <w:r w:rsidRPr="00304448" w:rsidDel="001A4B65">
        <w:t>negative consequences for the real economy. Treasury consultation has revealed strong support for the new regime because of the benefits it would bring and the costs of not aligning. Not mandating climate-related financial disclosures would lead to significant disappointment in the corporate sector and financial markets.</w:t>
      </w:r>
    </w:p>
    <w:p w14:paraId="4DD18F57" w14:textId="77777777" w:rsidR="002F3DB0" w:rsidRPr="000C494F" w:rsidDel="001A4B65" w:rsidRDefault="002F3DB0" w:rsidP="0092357C">
      <w:pPr>
        <w:pStyle w:val="Bullet"/>
      </w:pPr>
      <w:r w:rsidDel="001A4B65">
        <w:t xml:space="preserve">As discussed above, some Australian entities are already reporting under their Corporations Act obligations. However, Treasury consultation suggests deficiencies remain in corporate disclosure on the risks and opportunities faced from climate change. Investors have noted they need more in-depth information on a broader range of parameters to make efficient capital allocation decisions. </w:t>
      </w:r>
    </w:p>
    <w:p w14:paraId="785F0ACA" w14:textId="7A7A25C8" w:rsidR="00EA5697" w:rsidRDefault="00EA5697" w:rsidP="007835B0">
      <w:pPr>
        <w:pStyle w:val="Heading1"/>
      </w:pPr>
      <w:bookmarkStart w:id="10" w:name="_Toc144742103"/>
      <w:r>
        <w:t>Case for government action</w:t>
      </w:r>
      <w:bookmarkEnd w:id="10"/>
    </w:p>
    <w:p w14:paraId="2789FC1B" w14:textId="77777777" w:rsidR="007C2D21" w:rsidRDefault="362833DF" w:rsidP="007C2D21">
      <w:bookmarkStart w:id="11" w:name="_Toc141895085"/>
      <w:r>
        <w:t>As noted</w:t>
      </w:r>
      <w:r w:rsidR="00D96C42">
        <w:t xml:space="preserve"> in the sections</w:t>
      </w:r>
      <w:r>
        <w:t xml:space="preserve"> above, </w:t>
      </w:r>
      <w:r w:rsidR="4701F4F1">
        <w:t xml:space="preserve">while </w:t>
      </w:r>
      <w:r>
        <w:t xml:space="preserve">existing </w:t>
      </w:r>
      <w:r w:rsidR="002F08D6">
        <w:t xml:space="preserve">guidance from regulators </w:t>
      </w:r>
      <w:r w:rsidR="0DF40194">
        <w:t xml:space="preserve">in </w:t>
      </w:r>
      <w:r w:rsidR="00A625B3">
        <w:t xml:space="preserve">Australia </w:t>
      </w:r>
      <w:r w:rsidR="1C191F56">
        <w:t>has led to an increase in the number of companies disclosing climate-related risks</w:t>
      </w:r>
      <w:r w:rsidR="23083623">
        <w:t xml:space="preserve"> it has not</w:t>
      </w:r>
      <w:r w:rsidR="0C41FE2E">
        <w:t xml:space="preserve"> </w:t>
      </w:r>
      <w:r w:rsidR="23083623">
        <w:t xml:space="preserve">produced </w:t>
      </w:r>
      <w:r w:rsidR="002F0629">
        <w:t xml:space="preserve">disclosures that are useful for investors; </w:t>
      </w:r>
      <w:r w:rsidR="23083623">
        <w:t xml:space="preserve">consistency in reporting across companies; and take up across </w:t>
      </w:r>
      <w:r w:rsidR="00932A2F">
        <w:t>majority of corporates</w:t>
      </w:r>
      <w:r w:rsidR="69EB002C">
        <w:t>.</w:t>
      </w:r>
      <w:r w:rsidR="0C41FE2E">
        <w:t xml:space="preserve"> </w:t>
      </w:r>
      <w:r w:rsidR="00932A2F">
        <w:t>Without Government intervention</w:t>
      </w:r>
      <w:r w:rsidR="00A625B3">
        <w:t xml:space="preserve">, entities will continue to use different frameworks or report in ad-hoc ways, </w:t>
      </w:r>
      <w:r w:rsidR="00E271D5">
        <w:t>hampering</w:t>
      </w:r>
      <w:r w:rsidR="00A625B3">
        <w:t xml:space="preserve"> investor ability to compare and make informed capital allocation decisions. </w:t>
      </w:r>
      <w:r w:rsidR="004A6D96">
        <w:t>The</w:t>
      </w:r>
      <w:r w:rsidR="007C2D21">
        <w:t xml:space="preserve"> primary purpose of this proposed regime is to: </w:t>
      </w:r>
    </w:p>
    <w:p w14:paraId="3D8B34CF" w14:textId="03AA348E" w:rsidR="006B1E6A" w:rsidRDefault="006B1E6A" w:rsidP="0092357C">
      <w:pPr>
        <w:pStyle w:val="Bullet"/>
      </w:pPr>
      <w:r>
        <w:t xml:space="preserve">Provide a consistent reporting framework </w:t>
      </w:r>
      <w:r w:rsidR="007C2D21">
        <w:t>to partially</w:t>
      </w:r>
      <w:r>
        <w:t xml:space="preserve"> correct a market failure that </w:t>
      </w:r>
      <w:r w:rsidR="00316779">
        <w:t xml:space="preserve">results in </w:t>
      </w:r>
      <w:r w:rsidR="00F35C2D">
        <w:t xml:space="preserve">information asymmetry. Such information asymmetry results in </w:t>
      </w:r>
      <w:r w:rsidR="00316779">
        <w:t>the costs of climate change not being internalised in businesses’ financial analysis and are therefore not considered in business and investment decision-making</w:t>
      </w:r>
      <w:r>
        <w:t>.</w:t>
      </w:r>
    </w:p>
    <w:p w14:paraId="0F773C4B" w14:textId="5A0644D3" w:rsidR="00971CC1" w:rsidRDefault="00A8061D" w:rsidP="0092357C">
      <w:pPr>
        <w:pStyle w:val="Bullet"/>
      </w:pPr>
      <w:r>
        <w:t>I</w:t>
      </w:r>
      <w:r w:rsidR="004A6D96">
        <w:t xml:space="preserve">mprove the quality of climate-related financial disclosures and align Australia’s approach with global practices, which will allow the market to operate </w:t>
      </w:r>
      <w:r>
        <w:t xml:space="preserve">more </w:t>
      </w:r>
      <w:r w:rsidR="004A6D96">
        <w:t xml:space="preserve">efficiently. </w:t>
      </w:r>
    </w:p>
    <w:p w14:paraId="2618DA17" w14:textId="59E51855" w:rsidR="00A625B3" w:rsidRDefault="00A625B3" w:rsidP="00A625B3">
      <w:r>
        <w:t xml:space="preserve">The Government is well placed to give effect to this objective through primary legislation and by empowering standard setting bodies to set a </w:t>
      </w:r>
      <w:r w:rsidR="00434402">
        <w:t xml:space="preserve">tailored </w:t>
      </w:r>
      <w:r>
        <w:t>Australian standard</w:t>
      </w:r>
      <w:r w:rsidR="002F6166">
        <w:t xml:space="preserve"> that meet</w:t>
      </w:r>
      <w:r w:rsidR="00971CC1">
        <w:t>s</w:t>
      </w:r>
      <w:r w:rsidR="002F6166">
        <w:t xml:space="preserve"> </w:t>
      </w:r>
      <w:r w:rsidR="00005917">
        <w:t>the global baseline</w:t>
      </w:r>
      <w:r w:rsidR="00E0316F">
        <w:t xml:space="preserve"> set by the ISSB</w:t>
      </w:r>
      <w:r>
        <w:t xml:space="preserve">. </w:t>
      </w:r>
    </w:p>
    <w:p w14:paraId="69C0670A" w14:textId="428E4AED" w:rsidR="00EA5697" w:rsidRDefault="00EA5697" w:rsidP="007835B0">
      <w:pPr>
        <w:pStyle w:val="Heading1"/>
      </w:pPr>
      <w:bookmarkStart w:id="12" w:name="_Toc144742104"/>
      <w:bookmarkEnd w:id="11"/>
      <w:r>
        <w:t>Policy options</w:t>
      </w:r>
      <w:bookmarkEnd w:id="12"/>
    </w:p>
    <w:p w14:paraId="7412AC26" w14:textId="77777777" w:rsidR="002B00CF" w:rsidRDefault="002B00CF" w:rsidP="002B00CF">
      <w:pPr>
        <w:rPr>
          <w:szCs w:val="22"/>
        </w:rPr>
      </w:pPr>
      <w:r>
        <w:rPr>
          <w:szCs w:val="22"/>
        </w:rPr>
        <w:t>Given the proposed policy intervention is an election commitment, Treasury has only considered the option of retaining the status quo and different options to implement the proposed policy reform. This is consistent with guidance from the Office of Impact Analysis.</w:t>
      </w:r>
    </w:p>
    <w:p w14:paraId="6F44A38D" w14:textId="77777777" w:rsidR="0048544A" w:rsidRDefault="0048544A" w:rsidP="0048544A">
      <w:pPr>
        <w:pStyle w:val="Heading3"/>
        <w:rPr>
          <w:rFonts w:eastAsiaTheme="minorHAnsi"/>
        </w:rPr>
      </w:pPr>
      <w:bookmarkStart w:id="13" w:name="_Toc141895087"/>
      <w:bookmarkStart w:id="14" w:name="_Toc144742105"/>
      <w:r>
        <w:rPr>
          <w:rFonts w:eastAsiaTheme="minorHAnsi"/>
        </w:rPr>
        <w:t>Status Quo</w:t>
      </w:r>
      <w:bookmarkEnd w:id="13"/>
      <w:bookmarkEnd w:id="14"/>
    </w:p>
    <w:p w14:paraId="0641FD37" w14:textId="21737F05" w:rsidR="00601F9E" w:rsidRDefault="0048544A" w:rsidP="0048544A">
      <w:pPr>
        <w:rPr>
          <w:szCs w:val="22"/>
        </w:rPr>
      </w:pPr>
      <w:r>
        <w:rPr>
          <w:szCs w:val="22"/>
        </w:rPr>
        <w:t xml:space="preserve">The status quo </w:t>
      </w:r>
      <w:r w:rsidR="00D04CDF">
        <w:rPr>
          <w:szCs w:val="22"/>
        </w:rPr>
        <w:t xml:space="preserve">will continue to use </w:t>
      </w:r>
      <w:r w:rsidR="00B22FBF">
        <w:rPr>
          <w:szCs w:val="22"/>
        </w:rPr>
        <w:t xml:space="preserve">the Corporations Act, regulatory </w:t>
      </w:r>
      <w:proofErr w:type="gramStart"/>
      <w:r w:rsidR="00B22FBF">
        <w:rPr>
          <w:szCs w:val="22"/>
        </w:rPr>
        <w:t>guidance</w:t>
      </w:r>
      <w:proofErr w:type="gramEnd"/>
      <w:r w:rsidR="00B22FBF">
        <w:rPr>
          <w:szCs w:val="22"/>
        </w:rPr>
        <w:t xml:space="preserve"> and </w:t>
      </w:r>
      <w:r w:rsidR="00D04CDF">
        <w:rPr>
          <w:szCs w:val="22"/>
        </w:rPr>
        <w:t>market discipl</w:t>
      </w:r>
      <w:r w:rsidR="00765699">
        <w:rPr>
          <w:szCs w:val="22"/>
        </w:rPr>
        <w:t xml:space="preserve">ine to </w:t>
      </w:r>
      <w:r w:rsidR="00D06662">
        <w:rPr>
          <w:szCs w:val="22"/>
        </w:rPr>
        <w:t xml:space="preserve">achieve transparency goals. </w:t>
      </w:r>
      <w:r w:rsidR="008B0FDE">
        <w:rPr>
          <w:szCs w:val="22"/>
        </w:rPr>
        <w:t>In this case,</w:t>
      </w:r>
      <w:r>
        <w:rPr>
          <w:szCs w:val="22"/>
        </w:rPr>
        <w:t xml:space="preserve"> Australian companies </w:t>
      </w:r>
      <w:r w:rsidR="008B0FDE">
        <w:rPr>
          <w:szCs w:val="22"/>
        </w:rPr>
        <w:t>will</w:t>
      </w:r>
      <w:r>
        <w:rPr>
          <w:szCs w:val="22"/>
        </w:rPr>
        <w:t xml:space="preserve"> continue to disclose their material climate risk, as per ASIC guidance and </w:t>
      </w:r>
      <w:r>
        <w:rPr>
          <w:rFonts w:cstheme="minorHAnsi"/>
          <w:szCs w:val="22"/>
        </w:rPr>
        <w:t xml:space="preserve">s299(1)(a)(c) of </w:t>
      </w:r>
      <w:r w:rsidRPr="00186398">
        <w:rPr>
          <w:rFonts w:cstheme="minorHAnsi"/>
          <w:szCs w:val="22"/>
        </w:rPr>
        <w:t>the Corporations Act</w:t>
      </w:r>
      <w:r>
        <w:rPr>
          <w:rFonts w:cstheme="minorHAnsi"/>
          <w:szCs w:val="22"/>
        </w:rPr>
        <w:t>. Under the status quo, firms have flexibility to choose which climate risk disclosure framework t</w:t>
      </w:r>
      <w:r w:rsidR="00802B8E">
        <w:rPr>
          <w:rFonts w:cstheme="minorHAnsi"/>
          <w:szCs w:val="22"/>
        </w:rPr>
        <w:t>o</w:t>
      </w:r>
      <w:r>
        <w:rPr>
          <w:rFonts w:cstheme="minorHAnsi"/>
          <w:szCs w:val="22"/>
        </w:rPr>
        <w:t xml:space="preserve"> use and </w:t>
      </w:r>
      <w:r>
        <w:rPr>
          <w:szCs w:val="22"/>
        </w:rPr>
        <w:t xml:space="preserve">the content, location and parameters disclosed. </w:t>
      </w:r>
      <w:r w:rsidR="00A33297" w:rsidRPr="00A33297">
        <w:rPr>
          <w:szCs w:val="22"/>
        </w:rPr>
        <w:t xml:space="preserve">Firms would incur costs under the status quo, with the extent of the costs determined by what individual firms decide are appropriate disclosures. </w:t>
      </w:r>
      <w:r w:rsidR="00361042">
        <w:rPr>
          <w:szCs w:val="22"/>
        </w:rPr>
        <w:t xml:space="preserve">It is </w:t>
      </w:r>
      <w:r w:rsidR="00742208">
        <w:rPr>
          <w:szCs w:val="22"/>
        </w:rPr>
        <w:t>possible</w:t>
      </w:r>
      <w:r w:rsidR="00361042">
        <w:rPr>
          <w:szCs w:val="22"/>
        </w:rPr>
        <w:t xml:space="preserve"> that m</w:t>
      </w:r>
      <w:r w:rsidR="00A33297" w:rsidRPr="00A33297">
        <w:rPr>
          <w:szCs w:val="22"/>
        </w:rPr>
        <w:t xml:space="preserve">arket discipline </w:t>
      </w:r>
      <w:r w:rsidR="000B5FE1">
        <w:rPr>
          <w:szCs w:val="22"/>
        </w:rPr>
        <w:t>would</w:t>
      </w:r>
      <w:r w:rsidR="00A33297" w:rsidRPr="00A33297">
        <w:rPr>
          <w:szCs w:val="22"/>
        </w:rPr>
        <w:t xml:space="preserve"> result in the need for more rigorous disclosures than currently produced, increasing the costs for firms.</w:t>
      </w:r>
      <w:r w:rsidR="00601F9E">
        <w:rPr>
          <w:szCs w:val="22"/>
        </w:rPr>
        <w:t xml:space="preserve"> As a result, retaining the status quo is not a costless option.</w:t>
      </w:r>
    </w:p>
    <w:p w14:paraId="51A9C688" w14:textId="6C0D1895" w:rsidR="000E32EA" w:rsidRPr="00A0058D" w:rsidRDefault="000E32EA" w:rsidP="0048544A">
      <w:r>
        <w:t>Presently, ASIC and the ASX provide guidance to organisations that they should follow TCFD recommendations. There has been steady uptake of TCFD in Australia. However, the TCFD framework is flexible, firm capabilities vary, and Australia’s legal framework allows considerable variation in how risks are reported. As a result, there are shortcomings with the quality of analysis, consistency, depth, and comparability of disclosures.</w:t>
      </w:r>
    </w:p>
    <w:p w14:paraId="49B73772" w14:textId="6F6ABEDF" w:rsidR="0048544A" w:rsidRDefault="0048544A" w:rsidP="0048544A">
      <w:pPr>
        <w:rPr>
          <w:szCs w:val="22"/>
        </w:rPr>
      </w:pPr>
      <w:r>
        <w:rPr>
          <w:szCs w:val="22"/>
        </w:rPr>
        <w:t xml:space="preserve">Investors </w:t>
      </w:r>
      <w:r w:rsidR="00C11B34">
        <w:rPr>
          <w:szCs w:val="22"/>
        </w:rPr>
        <w:t>would</w:t>
      </w:r>
      <w:r>
        <w:rPr>
          <w:szCs w:val="22"/>
        </w:rPr>
        <w:t xml:space="preserve"> receive some information on ‘material’ climate risk but incur costs associated with lack of consistency or comparability of that information. Investors may not receive enough information to make fully informed capital allocation decisions. </w:t>
      </w:r>
      <w:r w:rsidR="007671FA">
        <w:rPr>
          <w:szCs w:val="22"/>
        </w:rPr>
        <w:t>While take up of disclosure against TCFD guidelines has been good, a large number of firms still do not disclose their climate risks</w:t>
      </w:r>
      <w:r w:rsidR="0022088D">
        <w:rPr>
          <w:szCs w:val="22"/>
        </w:rPr>
        <w:t xml:space="preserve"> in</w:t>
      </w:r>
      <w:r w:rsidR="001207AE">
        <w:rPr>
          <w:szCs w:val="22"/>
        </w:rPr>
        <w:t xml:space="preserve"> sufficient detail</w:t>
      </w:r>
      <w:r w:rsidR="007671FA">
        <w:rPr>
          <w:szCs w:val="22"/>
        </w:rPr>
        <w:t xml:space="preserve">. </w:t>
      </w:r>
      <w:r w:rsidR="00AF4567">
        <w:rPr>
          <w:szCs w:val="22"/>
        </w:rPr>
        <w:t xml:space="preserve">This means that investors are not </w:t>
      </w:r>
      <w:r w:rsidR="006A46B9">
        <w:rPr>
          <w:szCs w:val="22"/>
        </w:rPr>
        <w:t>informed about the climate risks across the breadth of the Australian corporate sector.</w:t>
      </w:r>
      <w:r>
        <w:rPr>
          <w:szCs w:val="22"/>
        </w:rPr>
        <w:t xml:space="preserve"> </w:t>
      </w:r>
    </w:p>
    <w:p w14:paraId="12B4DEFF" w14:textId="5CCF68E7" w:rsidR="0048544A" w:rsidRPr="00C92434" w:rsidRDefault="0048544A" w:rsidP="0048544A">
      <w:pPr>
        <w:pStyle w:val="Heading3"/>
        <w:rPr>
          <w:rFonts w:eastAsiaTheme="minorHAnsi"/>
        </w:rPr>
      </w:pPr>
      <w:bookmarkStart w:id="15" w:name="_Toc141895088"/>
      <w:bookmarkStart w:id="16" w:name="_Toc144742106"/>
      <w:r>
        <w:rPr>
          <w:rFonts w:eastAsiaTheme="minorHAnsi"/>
        </w:rPr>
        <w:t>Implementation Options</w:t>
      </w:r>
      <w:bookmarkEnd w:id="15"/>
      <w:bookmarkEnd w:id="16"/>
    </w:p>
    <w:p w14:paraId="3FDB9E80" w14:textId="6343A640" w:rsidR="0048544A" w:rsidRDefault="0048544A" w:rsidP="0048544A">
      <w:pPr>
        <w:rPr>
          <w:szCs w:val="22"/>
        </w:rPr>
      </w:pPr>
      <w:r>
        <w:rPr>
          <w:szCs w:val="22"/>
        </w:rPr>
        <w:t>Treasury sought initial views on key considerations for the design and implementation of the Government’s commitment to standardised, internationally</w:t>
      </w:r>
      <w:r w:rsidR="00C449BE">
        <w:rPr>
          <w:szCs w:val="22"/>
        </w:rPr>
        <w:t xml:space="preserve"> </w:t>
      </w:r>
      <w:r>
        <w:rPr>
          <w:szCs w:val="22"/>
        </w:rPr>
        <w:t xml:space="preserve">aligned requirements for disclosure of climate-related financial risks and opportunities in Australia between December 2022 and February 2023. </w:t>
      </w:r>
    </w:p>
    <w:p w14:paraId="675C6160" w14:textId="04CD8EF8" w:rsidR="0048544A" w:rsidRPr="000F3AA4" w:rsidRDefault="0048544A" w:rsidP="0048544A">
      <w:pPr>
        <w:rPr>
          <w:szCs w:val="22"/>
        </w:rPr>
      </w:pPr>
      <w:r w:rsidRPr="000F3AA4">
        <w:rPr>
          <w:szCs w:val="22"/>
        </w:rPr>
        <w:t>In considering implementation options for the Government’s election commitment, Treasury considered four key design criteria:</w:t>
      </w:r>
    </w:p>
    <w:p w14:paraId="5E1087A6" w14:textId="77777777" w:rsidR="0048544A" w:rsidRDefault="0048544A" w:rsidP="00041207">
      <w:pPr>
        <w:pStyle w:val="ListParagraph"/>
        <w:numPr>
          <w:ilvl w:val="0"/>
          <w:numId w:val="13"/>
        </w:numPr>
        <w:rPr>
          <w:szCs w:val="22"/>
        </w:rPr>
      </w:pPr>
      <w:r w:rsidRPr="000F3AA4">
        <w:rPr>
          <w:szCs w:val="22"/>
        </w:rPr>
        <w:t>The appropriate coverage of entities that would be captured</w:t>
      </w:r>
      <w:r>
        <w:rPr>
          <w:szCs w:val="22"/>
        </w:rPr>
        <w:t xml:space="preserve"> by these requirements.</w:t>
      </w:r>
    </w:p>
    <w:p w14:paraId="3B30DB19" w14:textId="77777777" w:rsidR="0048544A" w:rsidRDefault="0048544A" w:rsidP="00041207">
      <w:pPr>
        <w:pStyle w:val="ListParagraph"/>
        <w:numPr>
          <w:ilvl w:val="0"/>
          <w:numId w:val="13"/>
        </w:numPr>
        <w:rPr>
          <w:szCs w:val="22"/>
        </w:rPr>
      </w:pPr>
      <w:r>
        <w:rPr>
          <w:szCs w:val="22"/>
        </w:rPr>
        <w:t>The reporting content of these disclosures</w:t>
      </w:r>
    </w:p>
    <w:p w14:paraId="5C522838" w14:textId="77777777" w:rsidR="0048544A" w:rsidRDefault="0048544A" w:rsidP="00041207">
      <w:pPr>
        <w:pStyle w:val="ListParagraph"/>
        <w:numPr>
          <w:ilvl w:val="0"/>
          <w:numId w:val="13"/>
        </w:numPr>
        <w:rPr>
          <w:szCs w:val="22"/>
        </w:rPr>
      </w:pPr>
      <w:r>
        <w:rPr>
          <w:szCs w:val="22"/>
        </w:rPr>
        <w:t>The assurance framework</w:t>
      </w:r>
    </w:p>
    <w:p w14:paraId="56DDD9E3" w14:textId="77777777" w:rsidR="0048544A" w:rsidRDefault="0048544A" w:rsidP="00041207">
      <w:pPr>
        <w:pStyle w:val="ListParagraph"/>
        <w:numPr>
          <w:ilvl w:val="0"/>
          <w:numId w:val="13"/>
        </w:numPr>
        <w:rPr>
          <w:szCs w:val="22"/>
        </w:rPr>
      </w:pPr>
      <w:r>
        <w:rPr>
          <w:szCs w:val="22"/>
        </w:rPr>
        <w:t>Appropriate timeframes for introducing mandatory disclosures.</w:t>
      </w:r>
    </w:p>
    <w:p w14:paraId="57ADA405" w14:textId="6C4A3A5B" w:rsidR="0048544A" w:rsidRDefault="0048544A" w:rsidP="0048544A">
      <w:pPr>
        <w:pStyle w:val="Heading4"/>
      </w:pPr>
      <w:r>
        <w:t>Option 1:  Design Consultation Policy</w:t>
      </w:r>
    </w:p>
    <w:p w14:paraId="3B7A37D9" w14:textId="4001EAC0" w:rsidR="0048544A" w:rsidRPr="00EE4134" w:rsidRDefault="0048544A" w:rsidP="0048544A">
      <w:r>
        <w:rPr>
          <w:b/>
          <w:bCs/>
        </w:rPr>
        <w:t xml:space="preserve">Timeframe of introduction: </w:t>
      </w:r>
      <w:r>
        <w:t>This option propose</w:t>
      </w:r>
      <w:r w:rsidR="007D2362">
        <w:t>s</w:t>
      </w:r>
      <w:r>
        <w:t xml:space="preserve"> a three-phased approach, starting with a relatively limited group of very large entities that expands over two years to apply to progressively smaller entities. </w:t>
      </w:r>
    </w:p>
    <w:p w14:paraId="5ABD461D" w14:textId="29D3556F" w:rsidR="0048544A" w:rsidRPr="00C72DEB" w:rsidRDefault="0048544A" w:rsidP="0048544A">
      <w:r w:rsidRPr="002F27EF">
        <w:rPr>
          <w:b/>
          <w:bCs/>
        </w:rPr>
        <w:t xml:space="preserve">Coverage: </w:t>
      </w:r>
      <w:r w:rsidR="006B29BD">
        <w:t>This</w:t>
      </w:r>
      <w:r w:rsidRPr="00C72DEB">
        <w:t xml:space="preserve"> option </w:t>
      </w:r>
      <w:r>
        <w:t xml:space="preserve">would </w:t>
      </w:r>
      <w:r w:rsidRPr="00C72DEB">
        <w:t xml:space="preserve">include large, </w:t>
      </w:r>
      <w:proofErr w:type="gramStart"/>
      <w:r w:rsidRPr="00C72DEB">
        <w:t>listed</w:t>
      </w:r>
      <w:proofErr w:type="gramEnd"/>
      <w:r w:rsidRPr="00C72DEB">
        <w:t xml:space="preserve"> and unlisted entities (including financial institutions) phased-in over time. This </w:t>
      </w:r>
      <w:r>
        <w:t xml:space="preserve">removes </w:t>
      </w:r>
      <w:r w:rsidRPr="00C72DEB">
        <w:t>any perverse incentives to list or delist for regulatory arbitrage.</w:t>
      </w:r>
      <w:r w:rsidRPr="000C3B94">
        <w:t xml:space="preserve"> </w:t>
      </w:r>
      <w:r w:rsidRPr="007D3467">
        <w:t>Entities covered by this reform would be grouped into three phases. Group 1 would commence reporting from 2024-25, Group 2 from 2026-27 onwards and Group 3 from 2027-28 onwards.</w:t>
      </w:r>
    </w:p>
    <w:p w14:paraId="2A37AEE9" w14:textId="6508442B" w:rsidR="0048544A" w:rsidRPr="00CD4F46" w:rsidRDefault="0048544A" w:rsidP="0048544A">
      <w:r>
        <w:t>U</w:t>
      </w:r>
      <w:r w:rsidRPr="00C72DEB">
        <w:t xml:space="preserve">nder this option, </w:t>
      </w:r>
      <w:r w:rsidR="00DA5DFC">
        <w:t>a</w:t>
      </w:r>
      <w:r w:rsidR="00155606" w:rsidRPr="00381939">
        <w:t xml:space="preserve">pproximately </w:t>
      </w:r>
      <w:r w:rsidR="0062291E" w:rsidRPr="00381939">
        <w:t>7</w:t>
      </w:r>
      <w:r w:rsidR="00155606" w:rsidRPr="00381939">
        <w:t>23</w:t>
      </w:r>
      <w:r w:rsidRPr="00381939">
        <w:t xml:space="preserve"> entities would be included initially. These requirements would </w:t>
      </w:r>
      <w:r w:rsidR="0062291E" w:rsidRPr="00381939">
        <w:t xml:space="preserve">include </w:t>
      </w:r>
      <w:r w:rsidR="00692EA9" w:rsidRPr="00381939">
        <w:t>7</w:t>
      </w:r>
      <w:r w:rsidR="00155606" w:rsidRPr="00381939">
        <w:t>55</w:t>
      </w:r>
      <w:r w:rsidR="00692EA9" w:rsidRPr="00381939">
        <w:t xml:space="preserve"> entities </w:t>
      </w:r>
      <w:r w:rsidR="0043441C" w:rsidRPr="00381939">
        <w:t>in the second phase</w:t>
      </w:r>
      <w:r w:rsidR="00CF22AA" w:rsidRPr="00381939">
        <w:t xml:space="preserve"> and an additional 362 NGER reporters</w:t>
      </w:r>
      <w:r w:rsidR="00D20791" w:rsidRPr="00381939">
        <w:t xml:space="preserve"> and </w:t>
      </w:r>
      <w:r w:rsidR="00B7169A" w:rsidRPr="00381939">
        <w:t xml:space="preserve">could </w:t>
      </w:r>
      <w:r w:rsidRPr="00381939">
        <w:t xml:space="preserve">be </w:t>
      </w:r>
      <w:r w:rsidR="00B7169A" w:rsidRPr="00381939">
        <w:t>expanded</w:t>
      </w:r>
      <w:r w:rsidRPr="00381939">
        <w:t xml:space="preserve"> to as many as </w:t>
      </w:r>
      <w:r w:rsidR="00AB301B" w:rsidRPr="00381939">
        <w:t>4</w:t>
      </w:r>
      <w:r w:rsidR="0060013E" w:rsidRPr="00381939">
        <w:t>,</w:t>
      </w:r>
      <w:r w:rsidR="00AB301B" w:rsidRPr="00381939">
        <w:t>555</w:t>
      </w:r>
      <w:r w:rsidR="0060013E" w:rsidRPr="00381939">
        <w:t xml:space="preserve"> entities </w:t>
      </w:r>
      <w:r w:rsidR="00884CA3" w:rsidRPr="00381939">
        <w:t>in the third phase</w:t>
      </w:r>
      <w:r w:rsidRPr="00381939">
        <w:t xml:space="preserve"> by 2027, based on currently available data</w:t>
      </w:r>
      <w:r w:rsidRPr="00C72DEB">
        <w:t>.</w:t>
      </w:r>
      <w:r>
        <w:t xml:space="preserve"> </w:t>
      </w:r>
      <w:r w:rsidR="00B53466">
        <w:t>Th</w:t>
      </w:r>
      <w:r w:rsidR="00CF22AA">
        <w:t>ere is significant uncertainty</w:t>
      </w:r>
      <w:r w:rsidRPr="00C72DEB">
        <w:rPr>
          <w:b/>
          <w:bCs/>
        </w:rPr>
        <w:t xml:space="preserve"> </w:t>
      </w:r>
      <w:r w:rsidR="00CD4F46">
        <w:t>in entities in the third phase due to a lack of available data.</w:t>
      </w:r>
    </w:p>
    <w:p w14:paraId="353DFB75" w14:textId="77777777" w:rsidR="0048544A" w:rsidRDefault="0048544A" w:rsidP="0048544A">
      <w:r w:rsidRPr="003640D6">
        <w:t>By 2027-28</w:t>
      </w:r>
      <w:r>
        <w:t xml:space="preserve">, this option would cover all entities (including financial institutions) that lodge financial reports under Chapter 2M of the Corporations Act and that meet two of the following criteria:  </w:t>
      </w:r>
    </w:p>
    <w:p w14:paraId="25E4970A" w14:textId="4D328DD6" w:rsidR="0048544A" w:rsidRPr="0048544A" w:rsidRDefault="0048544A" w:rsidP="0092357C">
      <w:pPr>
        <w:pStyle w:val="Bullet"/>
      </w:pPr>
      <w:r w:rsidRPr="0048544A">
        <w:t>the consolidated revenue for the financial year of the company and any entities it controls is $50</w:t>
      </w:r>
      <w:r w:rsidR="00791138">
        <w:t> </w:t>
      </w:r>
      <w:r w:rsidRPr="0048544A">
        <w:t>million or more.</w:t>
      </w:r>
    </w:p>
    <w:p w14:paraId="4D8324D0" w14:textId="77777777" w:rsidR="0048544A" w:rsidRPr="0048544A" w:rsidRDefault="0048544A" w:rsidP="0092357C">
      <w:pPr>
        <w:pStyle w:val="Bullet"/>
      </w:pPr>
      <w:r w:rsidRPr="0048544A">
        <w:t>the value of the consolidated gross assets at the end of the financial year of the company and any entities it controls is $25 million or more.</w:t>
      </w:r>
    </w:p>
    <w:p w14:paraId="3B2812A9" w14:textId="77777777" w:rsidR="0048544A" w:rsidRPr="0048544A" w:rsidRDefault="0048544A" w:rsidP="0092357C">
      <w:pPr>
        <w:pStyle w:val="Bullet"/>
      </w:pPr>
      <w:r w:rsidRPr="0048544A">
        <w:t xml:space="preserve">the company and any entities it </w:t>
      </w:r>
      <w:proofErr w:type="gramStart"/>
      <w:r w:rsidRPr="0048544A">
        <w:t>controls</w:t>
      </w:r>
      <w:proofErr w:type="gramEnd"/>
      <w:r w:rsidRPr="0048544A">
        <w:t xml:space="preserve"> have 100 or more employees at the end of the financial year. </w:t>
      </w:r>
    </w:p>
    <w:p w14:paraId="0B60A1BC" w14:textId="76AD9616" w:rsidR="0048544A" w:rsidRPr="0048544A" w:rsidRDefault="0048544A" w:rsidP="0092357C">
      <w:pPr>
        <w:pStyle w:val="Bullet"/>
      </w:pPr>
      <w:r w:rsidRPr="0048544A">
        <w:t xml:space="preserve">In addition, all entities that are required to report under Chapter 2M of the Corporations Act that are registered as a ‘Controlling Corporation’ reporting under the </w:t>
      </w:r>
      <w:r w:rsidRPr="00795E8B">
        <w:rPr>
          <w:i/>
        </w:rPr>
        <w:t>National Greenhouse and Energy Reporting Act 2007</w:t>
      </w:r>
      <w:r w:rsidRPr="0048544A">
        <w:t xml:space="preserve"> (</w:t>
      </w:r>
      <w:proofErr w:type="spellStart"/>
      <w:r w:rsidRPr="0048544A">
        <w:t>Cth</w:t>
      </w:r>
      <w:proofErr w:type="spellEnd"/>
      <w:r w:rsidRPr="0048544A">
        <w:t>) would be covered under climate-related risk disclosures requirements, even if they do not meet the threshold criteria above.</w:t>
      </w:r>
    </w:p>
    <w:p w14:paraId="15294F97" w14:textId="77777777" w:rsidR="0048544A" w:rsidRDefault="0048544A" w:rsidP="0048544A">
      <w:r>
        <w:rPr>
          <w:b/>
          <w:bCs/>
        </w:rPr>
        <w:t xml:space="preserve">Reporting content: </w:t>
      </w:r>
      <w:r w:rsidRPr="00E61017">
        <w:t xml:space="preserve">Requirements would aim to provide clarity to reporting entities about </w:t>
      </w:r>
      <w:r>
        <w:t>the</w:t>
      </w:r>
      <w:r w:rsidRPr="00E61017">
        <w:t xml:space="preserve"> types of information </w:t>
      </w:r>
      <w:r>
        <w:t>to</w:t>
      </w:r>
      <w:r w:rsidRPr="00E61017">
        <w:t xml:space="preserve"> be disclosed and to ensure the requirements improve access to decision-useful information for users of financial reporting.</w:t>
      </w:r>
      <w:r>
        <w:t xml:space="preserve"> Reporting entities would be required to:</w:t>
      </w:r>
    </w:p>
    <w:p w14:paraId="6CDF005C" w14:textId="77777777" w:rsidR="0048544A" w:rsidRPr="00E54B2D" w:rsidRDefault="0048544A" w:rsidP="0092357C">
      <w:pPr>
        <w:pStyle w:val="Bullet"/>
      </w:pPr>
      <w:r w:rsidRPr="00E54B2D">
        <w:t>Disclose information about governance processes, controls and procedures used to monitor and manage climate-related financial risks and opportunities.</w:t>
      </w:r>
    </w:p>
    <w:p w14:paraId="421DC594" w14:textId="77777777" w:rsidR="0048544A" w:rsidRPr="00E54B2D" w:rsidRDefault="0048544A" w:rsidP="0092357C">
      <w:pPr>
        <w:pStyle w:val="Bullet"/>
      </w:pPr>
      <w:r w:rsidRPr="00E54B2D">
        <w:t>Use qualitative scenario analysis to inform their disclosures, moving to quantitative scenario analysis by end state.</w:t>
      </w:r>
    </w:p>
    <w:p w14:paraId="0B3197DC" w14:textId="77777777" w:rsidR="0048544A" w:rsidRPr="00E54B2D" w:rsidRDefault="0048544A" w:rsidP="0092357C">
      <w:pPr>
        <w:pStyle w:val="Bullet"/>
      </w:pPr>
      <w:r w:rsidRPr="00E54B2D">
        <w:t xml:space="preserve">Disclose climate resilience assessments against at least two possible future states, one of which must be consistent with the global temperature goal set out in the </w:t>
      </w:r>
      <w:r w:rsidRPr="00E54B2D">
        <w:rPr>
          <w:i/>
        </w:rPr>
        <w:t>Climate Change Act (2022)</w:t>
      </w:r>
      <w:r w:rsidRPr="00E54B2D">
        <w:t>.</w:t>
      </w:r>
    </w:p>
    <w:p w14:paraId="089B8547" w14:textId="77777777" w:rsidR="0048544A" w:rsidRPr="00E54B2D" w:rsidRDefault="0048544A" w:rsidP="0092357C">
      <w:pPr>
        <w:pStyle w:val="Bullet"/>
      </w:pPr>
      <w:r w:rsidRPr="00E54B2D">
        <w:t>Disclose transition plans, including information about offsets, target setting and mitigation strategies.</w:t>
      </w:r>
    </w:p>
    <w:p w14:paraId="5154AAAA" w14:textId="77777777" w:rsidR="0048544A" w:rsidRPr="00E54B2D" w:rsidRDefault="0048544A" w:rsidP="0092357C">
      <w:pPr>
        <w:pStyle w:val="Bullet"/>
      </w:pPr>
      <w:r w:rsidRPr="00E54B2D">
        <w:t>Disclose information about any climate-related targets (if they have them) and progress towards these targets.</w:t>
      </w:r>
    </w:p>
    <w:p w14:paraId="38242C9A" w14:textId="77777777" w:rsidR="0048544A" w:rsidRPr="00E54B2D" w:rsidRDefault="0048544A" w:rsidP="0092357C">
      <w:pPr>
        <w:pStyle w:val="Bullet"/>
      </w:pPr>
      <w:r w:rsidRPr="00E54B2D">
        <w:t xml:space="preserve">Disclose information about material climate-related risks and opportunities to their business, as well as how the entity identifies, </w:t>
      </w:r>
      <w:proofErr w:type="gramStart"/>
      <w:r w:rsidRPr="00E54B2D">
        <w:t>assesses</w:t>
      </w:r>
      <w:proofErr w:type="gramEnd"/>
      <w:r w:rsidRPr="00E54B2D">
        <w:t xml:space="preserve"> and manages risk and opportunities.</w:t>
      </w:r>
    </w:p>
    <w:p w14:paraId="5ECFD88D" w14:textId="77777777" w:rsidR="0048544A" w:rsidRPr="00E54B2D" w:rsidRDefault="0048544A" w:rsidP="0092357C">
      <w:pPr>
        <w:pStyle w:val="Bullet"/>
      </w:pPr>
      <w:r w:rsidRPr="00E54B2D">
        <w:t>Disclose scope 1 and 2 emissions for the reporting period.</w:t>
      </w:r>
    </w:p>
    <w:p w14:paraId="66B3736F" w14:textId="7C63D2E2" w:rsidR="0048544A" w:rsidRPr="00E54B2D" w:rsidRDefault="0048544A" w:rsidP="0092357C">
      <w:pPr>
        <w:pStyle w:val="Bullet"/>
      </w:pPr>
      <w:r w:rsidRPr="00E54B2D">
        <w:t xml:space="preserve">Disclose material scope 3 emissions from their second reporting year onwards. Scope 3 emissions disclosures made could be in relation to </w:t>
      </w:r>
      <w:proofErr w:type="gramStart"/>
      <w:r w:rsidRPr="00E54B2D">
        <w:t>any one</w:t>
      </w:r>
      <w:proofErr w:type="gramEnd"/>
      <w:r w:rsidRPr="00E54B2D">
        <w:t>-year period that ended up to 12 months prior to the current reporting period.</w:t>
      </w:r>
    </w:p>
    <w:p w14:paraId="0D605DD7" w14:textId="77777777" w:rsidR="0048544A" w:rsidRPr="00E54B2D" w:rsidRDefault="0048544A" w:rsidP="0092357C">
      <w:pPr>
        <w:pStyle w:val="Bullet"/>
      </w:pPr>
      <w:r w:rsidRPr="00E54B2D">
        <w:t>Have regard to disclosing industry-based metrics, where there are well-established and understood metrics available for the reporting entity.</w:t>
      </w:r>
    </w:p>
    <w:p w14:paraId="30408BEE" w14:textId="09D7FBD8" w:rsidR="0048544A" w:rsidRDefault="0048544A" w:rsidP="0037455A">
      <w:r>
        <w:rPr>
          <w:b/>
          <w:bCs/>
        </w:rPr>
        <w:t xml:space="preserve">Assurance framework: </w:t>
      </w:r>
      <w:r w:rsidR="0037455A">
        <w:rPr>
          <w:rStyle w:val="ui-provider"/>
        </w:rPr>
        <w:t>Assurance</w:t>
      </w:r>
      <w:r w:rsidR="0037455A">
        <w:rPr>
          <w:rStyle w:val="Strong"/>
          <w:rFonts w:eastAsiaTheme="majorEastAsia"/>
        </w:rPr>
        <w:t> </w:t>
      </w:r>
      <w:r w:rsidR="0037455A">
        <w:rPr>
          <w:rStyle w:val="ui-provider"/>
        </w:rPr>
        <w:t>requirements</w:t>
      </w:r>
      <w:r>
        <w:rPr>
          <w:rStyle w:val="ui-provider"/>
        </w:rPr>
        <w:t xml:space="preserve"> would be phased in </w:t>
      </w:r>
      <w:r w:rsidR="0037455A">
        <w:rPr>
          <w:rStyle w:val="ui-provider"/>
        </w:rPr>
        <w:t xml:space="preserve">and scaled up </w:t>
      </w:r>
      <w:r>
        <w:rPr>
          <w:rStyle w:val="ui-provider"/>
        </w:rPr>
        <w:t xml:space="preserve">over time </w:t>
      </w:r>
      <w:r w:rsidR="0037455A">
        <w:rPr>
          <w:rStyle w:val="ui-provider"/>
        </w:rPr>
        <w:t>to allow</w:t>
      </w:r>
      <w:r>
        <w:rPr>
          <w:rStyle w:val="ui-provider"/>
        </w:rPr>
        <w:t xml:space="preserve"> capability </w:t>
      </w:r>
      <w:r w:rsidR="0037455A">
        <w:rPr>
          <w:rStyle w:val="ui-provider"/>
        </w:rPr>
        <w:t xml:space="preserve">and capacity </w:t>
      </w:r>
      <w:r>
        <w:rPr>
          <w:rStyle w:val="ui-provider"/>
        </w:rPr>
        <w:t xml:space="preserve">uplift in the </w:t>
      </w:r>
      <w:r w:rsidR="0037455A">
        <w:rPr>
          <w:rStyle w:val="ui-provider"/>
        </w:rPr>
        <w:t xml:space="preserve">audit and </w:t>
      </w:r>
      <w:r>
        <w:rPr>
          <w:rStyle w:val="ui-provider"/>
        </w:rPr>
        <w:t xml:space="preserve">assurance industry. </w:t>
      </w:r>
      <w:r w:rsidR="0037455A">
        <w:rPr>
          <w:rStyle w:val="ui-provider"/>
        </w:rPr>
        <w:t>Phasing would occur based on when the entity commenced reporting, and the gradual scaling up of requirements would occur based on the complexity of the underlying disclosures and the ability to undertake assurance on those disclosures.  </w:t>
      </w:r>
      <w:r>
        <w:rPr>
          <w:rStyle w:val="ui-provider"/>
        </w:rPr>
        <w:t>This option proposes:</w:t>
      </w:r>
    </w:p>
    <w:p w14:paraId="4FD53335" w14:textId="6511E4FE" w:rsidR="00C109D5" w:rsidRDefault="00C109D5" w:rsidP="0092357C">
      <w:pPr>
        <w:pStyle w:val="Bullet"/>
      </w:pPr>
      <w:r>
        <w:t>Year 1 of reporting: Limited assurance of scope 1 and 2 emissions. Reasonable assurance of governance disclosures</w:t>
      </w:r>
    </w:p>
    <w:p w14:paraId="3744E39B" w14:textId="041C6181" w:rsidR="0048544A" w:rsidRDefault="0048544A" w:rsidP="0092357C">
      <w:pPr>
        <w:pStyle w:val="Bullet"/>
      </w:pPr>
      <w:r>
        <w:t>Year 2 of reporting onwards: Reasonable assurance of scope 1 and 2 emissions and governance. Limited assurance of scope 3 emissions, scenario analysis and transition plans (specific requirements – process/ methodology/assumption assurance)</w:t>
      </w:r>
      <w:r w:rsidRPr="00A43A47">
        <w:t xml:space="preserve"> </w:t>
      </w:r>
    </w:p>
    <w:p w14:paraId="68DC8959" w14:textId="4F4F8677" w:rsidR="0048544A" w:rsidRDefault="0048544A" w:rsidP="0092357C">
      <w:pPr>
        <w:pStyle w:val="Bullet"/>
      </w:pPr>
      <w:r>
        <w:t xml:space="preserve">Year 3 of reporting onwards: Reasonable assurance </w:t>
      </w:r>
      <w:r w:rsidR="00BC6F3E">
        <w:t>(</w:t>
      </w:r>
      <w:r>
        <w:t>except for items specified as limited assurance</w:t>
      </w:r>
      <w:r w:rsidR="00BC6F3E">
        <w:t>)</w:t>
      </w:r>
      <w:r>
        <w:t>. Limited assurance of scope 3 emissions, scenario analysis and transition plans (full quantitative assurance).</w:t>
      </w:r>
    </w:p>
    <w:p w14:paraId="6F8E0594" w14:textId="77777777" w:rsidR="0048544A" w:rsidRDefault="0048544A" w:rsidP="0092357C">
      <w:pPr>
        <w:pStyle w:val="Bullet"/>
      </w:pPr>
      <w:r>
        <w:t>Year 4 of reporting onwards: Reasonable assurance of all climate disclosures.</w:t>
      </w:r>
    </w:p>
    <w:p w14:paraId="610CE1BC" w14:textId="37F64230" w:rsidR="0048544A" w:rsidRDefault="0048544A" w:rsidP="0048544A">
      <w:r>
        <w:t>Options 1a</w:t>
      </w:r>
      <w:r w:rsidR="00A6709A">
        <w:t xml:space="preserve"> and</w:t>
      </w:r>
      <w:r>
        <w:t xml:space="preserve"> 1b discussed below are variations on this option</w:t>
      </w:r>
      <w:r w:rsidR="0084615E">
        <w:t>.</w:t>
      </w:r>
    </w:p>
    <w:p w14:paraId="463CD352" w14:textId="4253D3BF" w:rsidR="0048544A" w:rsidRDefault="0048544A" w:rsidP="0048544A">
      <w:pPr>
        <w:pStyle w:val="Heading4"/>
      </w:pPr>
      <w:r>
        <w:t xml:space="preserve">Option 1a – </w:t>
      </w:r>
      <w:r w:rsidR="004B0B64">
        <w:t>Narrower coverage with Group 3 only required to report if there are material climate risks</w:t>
      </w:r>
      <w:r w:rsidR="0076402C">
        <w:t xml:space="preserve"> and specific thresholds for asset </w:t>
      </w:r>
      <w:r w:rsidR="00F44D19">
        <w:t>owners</w:t>
      </w:r>
    </w:p>
    <w:p w14:paraId="2683CB74" w14:textId="77777777" w:rsidR="0048544A" w:rsidRDefault="0048544A" w:rsidP="0048544A">
      <w:r>
        <w:t>This option is a variation on Option 1 in that it amends the breadth of coverage of these reforms. Under this option, only entities in Groups 1 and 2 would be mandated to disclose their climate risks. Compared with option 1, this option does not propose changes to the timing of introduction, the reporting content, or the assurance framework. The option will have the following coverage thresholds:</w:t>
      </w:r>
    </w:p>
    <w:p w14:paraId="2920F2BD" w14:textId="77777777" w:rsidR="0048544A" w:rsidRPr="00C72DEB" w:rsidRDefault="0048544A" w:rsidP="0048544A">
      <w:r w:rsidRPr="002F27EF">
        <w:rPr>
          <w:b/>
          <w:bCs/>
        </w:rPr>
        <w:t xml:space="preserve">Coverage: </w:t>
      </w:r>
      <w:r w:rsidRPr="00AA426C">
        <w:t xml:space="preserve">As with </w:t>
      </w:r>
      <w:r>
        <w:t>o</w:t>
      </w:r>
      <w:r w:rsidRPr="00AA426C">
        <w:t xml:space="preserve">ption 1, </w:t>
      </w:r>
      <w:r w:rsidRPr="00C72DEB">
        <w:t xml:space="preserve">this option includes large, </w:t>
      </w:r>
      <w:proofErr w:type="gramStart"/>
      <w:r w:rsidRPr="00C72DEB">
        <w:t>listed</w:t>
      </w:r>
      <w:proofErr w:type="gramEnd"/>
      <w:r w:rsidRPr="00C72DEB">
        <w:t xml:space="preserve"> and unlisted entities (including financial institutions) phased-in over time. This </w:t>
      </w:r>
      <w:r>
        <w:t xml:space="preserve">removes </w:t>
      </w:r>
      <w:r w:rsidRPr="00C72DEB">
        <w:t>any perverse incentives to list or delist for regulatory arbitrage.</w:t>
      </w:r>
      <w:r w:rsidRPr="000C3B94">
        <w:t xml:space="preserve"> </w:t>
      </w:r>
      <w:r w:rsidRPr="007D3467">
        <w:t xml:space="preserve">Entities covered by this reform would be grouped into </w:t>
      </w:r>
      <w:r>
        <w:t xml:space="preserve">two </w:t>
      </w:r>
      <w:r w:rsidRPr="007D3467">
        <w:t>phases. Group 1 would commence reporting from 2024-25, Group 2 from 2026-27 onwards.</w:t>
      </w:r>
    </w:p>
    <w:p w14:paraId="700D0F14" w14:textId="7FCD8E0E" w:rsidR="0048544A" w:rsidRDefault="0048544A" w:rsidP="0048544A">
      <w:pPr>
        <w:rPr>
          <w:b/>
          <w:bCs/>
        </w:rPr>
      </w:pPr>
      <w:r>
        <w:t>Under</w:t>
      </w:r>
      <w:r w:rsidRPr="00C72DEB">
        <w:t xml:space="preserve"> this option</w:t>
      </w:r>
      <w:r>
        <w:t xml:space="preserve"> around </w:t>
      </w:r>
      <w:r w:rsidRPr="00814DD2">
        <w:t xml:space="preserve">1,800 entities would be </w:t>
      </w:r>
      <w:r w:rsidR="00814DD2" w:rsidRPr="00814DD2">
        <w:t>included. This would include the same amount of Group 1 and Group 2 entities but significantly less Group 3 entities.</w:t>
      </w:r>
      <w:r w:rsidRPr="00814DD2">
        <w:t xml:space="preserve"> Group 2 in this option would include the balance of </w:t>
      </w:r>
      <w:r w:rsidR="00814DD2" w:rsidRPr="00814DD2">
        <w:t xml:space="preserve">remaining NGER </w:t>
      </w:r>
      <w:r w:rsidRPr="00814DD2">
        <w:t>reporting entities</w:t>
      </w:r>
      <w:r>
        <w:t xml:space="preserve">. </w:t>
      </w:r>
      <w:r w:rsidRPr="00C72DEB">
        <w:rPr>
          <w:b/>
          <w:bCs/>
        </w:rPr>
        <w:t xml:space="preserve"> </w:t>
      </w:r>
    </w:p>
    <w:p w14:paraId="40086AFA" w14:textId="77777777" w:rsidR="0048544A" w:rsidRDefault="0048544A" w:rsidP="0048544A">
      <w:r w:rsidRPr="003640D6">
        <w:t>By 202</w:t>
      </w:r>
      <w:r>
        <w:t>6</w:t>
      </w:r>
      <w:r w:rsidRPr="003640D6">
        <w:t>-2</w:t>
      </w:r>
      <w:r>
        <w:t xml:space="preserve">7, this option would cover all entities (including financial institutions) that lodge financial reports under Chapter 2M of the Corporations Act that meet two of the following criteria:  </w:t>
      </w:r>
    </w:p>
    <w:p w14:paraId="1DFCC447" w14:textId="77777777" w:rsidR="0048544A" w:rsidRPr="00E54B2D" w:rsidRDefault="0048544A" w:rsidP="0092357C">
      <w:pPr>
        <w:pStyle w:val="Bullet"/>
      </w:pPr>
      <w:r w:rsidRPr="00E54B2D">
        <w:t>the consolidated revenue for the financial year of the company and any entities it controls is $500 million or more.</w:t>
      </w:r>
    </w:p>
    <w:p w14:paraId="050287E7" w14:textId="77777777" w:rsidR="0048544A" w:rsidRPr="00E54B2D" w:rsidRDefault="0048544A" w:rsidP="0092357C">
      <w:pPr>
        <w:pStyle w:val="Bullet"/>
      </w:pPr>
      <w:r w:rsidRPr="00E54B2D">
        <w:t>the value of the consolidated gross assets at the end of the financial year of the company and any entities it controls is $200 million or more.</w:t>
      </w:r>
    </w:p>
    <w:p w14:paraId="4D244D8F" w14:textId="77777777" w:rsidR="0048544A" w:rsidRDefault="0048544A" w:rsidP="0092357C">
      <w:pPr>
        <w:pStyle w:val="Bullet"/>
      </w:pPr>
      <w:r w:rsidRPr="00E54B2D">
        <w:t xml:space="preserve">the company and any entities it </w:t>
      </w:r>
      <w:proofErr w:type="gramStart"/>
      <w:r w:rsidRPr="00E54B2D">
        <w:t>controls</w:t>
      </w:r>
      <w:proofErr w:type="gramEnd"/>
      <w:r w:rsidRPr="00E54B2D">
        <w:t xml:space="preserve"> have 250 or more employees at the end of the financial year</w:t>
      </w:r>
      <w:r>
        <w:t xml:space="preserve">. </w:t>
      </w:r>
    </w:p>
    <w:p w14:paraId="04C039F9" w14:textId="77777777" w:rsidR="0048544A" w:rsidRDefault="0048544A" w:rsidP="0048544A">
      <w:r>
        <w:t>In addition, all entities that are required to report under Chapter 2M of the Corporations Act that are registered as a ‘Controlling Corporation’ reporting under the National Greenhouse and Energy Reporting Act 2007 (</w:t>
      </w:r>
      <w:proofErr w:type="spellStart"/>
      <w:r>
        <w:t>Cth</w:t>
      </w:r>
      <w:proofErr w:type="spellEnd"/>
      <w:r>
        <w:t>) would be covered under climate-related risk disclosures requirements, even if they do not meet the threshold criteria above.</w:t>
      </w:r>
    </w:p>
    <w:p w14:paraId="5D7CC2D2" w14:textId="77777777" w:rsidR="0048544A" w:rsidRDefault="0048544A" w:rsidP="0048544A">
      <w:r>
        <w:t>Further from 2027-28, entities that would be captured by Group 3</w:t>
      </w:r>
      <w:r w:rsidDel="00777CAE">
        <w:t xml:space="preserve"> </w:t>
      </w:r>
      <w:r>
        <w:t xml:space="preserve">would be required to do a materiality assessment. If the entity determines it does not have material climate-related financial risks or opportunities, they would be required to include a statement in their annual report attesting this. Where the entity does have material risks, disclosure would be required in line with the relevant Australian standard as per entities in Groups 1 and 2. </w:t>
      </w:r>
    </w:p>
    <w:p w14:paraId="0F7731DF" w14:textId="7839DEB1" w:rsidR="0076402C" w:rsidRDefault="15A8F03E" w:rsidP="0048544A">
      <w:r>
        <w:t xml:space="preserve">This option </w:t>
      </w:r>
      <w:r w:rsidR="548FA474">
        <w:t>also</w:t>
      </w:r>
      <w:r>
        <w:t xml:space="preserve"> introduce</w:t>
      </w:r>
      <w:r w:rsidR="548FA474">
        <w:t>s</w:t>
      </w:r>
      <w:r>
        <w:t xml:space="preserve"> a specific threshold </w:t>
      </w:r>
      <w:r w:rsidR="548FA474">
        <w:t>for asset</w:t>
      </w:r>
      <w:r w:rsidR="419EE2C7">
        <w:t xml:space="preserve"> </w:t>
      </w:r>
      <w:r w:rsidR="548FA474">
        <w:t>owners.</w:t>
      </w:r>
    </w:p>
    <w:p w14:paraId="6E6DEB08" w14:textId="3F552751" w:rsidR="0048544A" w:rsidRDefault="0048544A" w:rsidP="0048544A">
      <w:pPr>
        <w:pStyle w:val="Heading4"/>
      </w:pPr>
      <w:r>
        <w:t>Option 1b</w:t>
      </w:r>
      <w:r w:rsidR="004B0B64">
        <w:t xml:space="preserve"> - Narrower coverage and c</w:t>
      </w:r>
      <w:r w:rsidR="004B0B64" w:rsidRPr="00A54CC7">
        <w:t>hanges to assurance framework</w:t>
      </w:r>
    </w:p>
    <w:p w14:paraId="33027E9C" w14:textId="37D853E6" w:rsidR="00F03EA8" w:rsidRDefault="00F03EA8" w:rsidP="00F03EA8">
      <w:r>
        <w:t xml:space="preserve">This option is a further variation of Option 1a. </w:t>
      </w:r>
      <w:r w:rsidR="00A759CD">
        <w:t>It</w:t>
      </w:r>
      <w:r>
        <w:t xml:space="preserve"> amends the assurance framework </w:t>
      </w:r>
      <w:r w:rsidR="00FB1E19">
        <w:t>such that the Government</w:t>
      </w:r>
      <w:r>
        <w:t xml:space="preserve"> would not mandate a roadmap for the phasing in and scaling up of assurance requirements for climate disclosures. Instead, the Government would require limited assurance of Scope 1 and 2 emissions from commencement of the reform and </w:t>
      </w:r>
      <w:r w:rsidR="00CA267D">
        <w:t>reasonable</w:t>
      </w:r>
      <w:r>
        <w:t xml:space="preserve"> assurance of climate-related financial disclosures by 2030, with the roadmap to </w:t>
      </w:r>
      <w:r w:rsidR="00A47F81">
        <w:t>reasonable</w:t>
      </w:r>
      <w:r>
        <w:t xml:space="preserve"> assurance to be flexibly determined by the AUASB.</w:t>
      </w:r>
    </w:p>
    <w:p w14:paraId="3BC9CB51" w14:textId="39F01570" w:rsidR="00F03EA8" w:rsidRDefault="00F03EA8" w:rsidP="00F03EA8">
      <w:r>
        <w:t>Limited assurance of Scope 1 and 2 emissions would be required as a minimum requirement. This requirement would increase the credibility of Scope 1 and 2 emissions disclosures, while being in line with market capability. Currently, voluntary assurance of climate-related information is predominantly at the limited assurance level, however some entities have obtained reasonable assurance on Scope 1 and 2 emissions</w:t>
      </w:r>
      <w:r w:rsidR="00372323" w:rsidRPr="00C52BF5">
        <w:rPr>
          <w:rStyle w:val="FootnoteReference"/>
          <w:position w:val="6"/>
          <w:vertAlign w:val="superscript"/>
        </w:rPr>
        <w:footnoteReference w:id="27"/>
      </w:r>
      <w:r>
        <w:t>.</w:t>
      </w:r>
    </w:p>
    <w:p w14:paraId="3CAB021E" w14:textId="2002223A" w:rsidR="00F03EA8" w:rsidRDefault="00F03EA8" w:rsidP="00F03EA8">
      <w:r>
        <w:t>This option recognises the capability uplift required in the assurance and audit industry and the uncertainty in determining how long this could take. It also considers the timing of international assurance standards. Development of an international standard on sustainability assurance</w:t>
      </w:r>
      <w:r w:rsidR="00FC5BE7" w:rsidRPr="00BB62A1">
        <w:rPr>
          <w:rStyle w:val="FootnoteReference"/>
          <w:position w:val="6"/>
          <w:vertAlign w:val="superscript"/>
        </w:rPr>
        <w:footnoteReference w:id="28"/>
      </w:r>
      <w:r>
        <w:t xml:space="preserve"> is currently underway, however this is not expected to be finalised until the end of 2024.</w:t>
      </w:r>
    </w:p>
    <w:p w14:paraId="0E9DD1B6" w14:textId="486153C9" w:rsidR="00EB1629" w:rsidRDefault="00EB1629" w:rsidP="004A26A6">
      <w:pPr>
        <w:pStyle w:val="Heading2"/>
      </w:pPr>
      <w:bookmarkStart w:id="17" w:name="_Toc144742107"/>
      <w:bookmarkStart w:id="18" w:name="_Toc141895089"/>
      <w:r>
        <w:t>Cost-benefit analysis</w:t>
      </w:r>
      <w:bookmarkEnd w:id="17"/>
      <w:r>
        <w:t xml:space="preserve"> </w:t>
      </w:r>
      <w:bookmarkEnd w:id="18"/>
    </w:p>
    <w:p w14:paraId="53B58850" w14:textId="2E88B42A" w:rsidR="00EB1629" w:rsidRDefault="00EB1629" w:rsidP="007C478F">
      <w:pPr>
        <w:pStyle w:val="BodyText"/>
        <w:rPr>
          <w:rFonts w:ascii="Calibri Light" w:eastAsia="Times New Roman" w:hAnsi="Calibri Light" w:cs="Times New Roman"/>
          <w:color w:val="auto"/>
          <w:lang w:eastAsia="en-AU"/>
        </w:rPr>
      </w:pPr>
      <w:r w:rsidRPr="70896A41">
        <w:rPr>
          <w:rFonts w:ascii="Calibri Light" w:eastAsia="Times New Roman" w:hAnsi="Calibri Light" w:cs="Times New Roman"/>
          <w:color w:val="auto"/>
          <w:lang w:eastAsia="en-AU"/>
        </w:rPr>
        <w:t>This cost-benefit analysis assesses the likely benefits</w:t>
      </w:r>
      <w:r w:rsidR="00C73DB3" w:rsidRPr="004F66CC">
        <w:rPr>
          <w:rFonts w:ascii="Calibri Light" w:hAnsi="Calibri Light"/>
          <w:color w:val="auto"/>
        </w:rPr>
        <w:t xml:space="preserve"> and </w:t>
      </w:r>
      <w:r w:rsidRPr="70896A41">
        <w:rPr>
          <w:rFonts w:ascii="Calibri Light" w:eastAsia="Times New Roman" w:hAnsi="Calibri Light" w:cs="Times New Roman"/>
          <w:color w:val="auto"/>
          <w:lang w:eastAsia="en-AU"/>
        </w:rPr>
        <w:t>costs to preparers, users of general-purpose financial reports</w:t>
      </w:r>
      <w:r w:rsidR="00C73DB3" w:rsidRPr="004F66CC">
        <w:rPr>
          <w:rFonts w:ascii="Calibri Light" w:hAnsi="Calibri Light"/>
          <w:color w:val="auto"/>
        </w:rPr>
        <w:t xml:space="preserve"> and </w:t>
      </w:r>
      <w:r w:rsidRPr="70896A41">
        <w:rPr>
          <w:rFonts w:ascii="Calibri Light" w:eastAsia="Times New Roman" w:hAnsi="Calibri Light" w:cs="Times New Roman"/>
          <w:color w:val="auto"/>
          <w:lang w:eastAsia="en-AU"/>
        </w:rPr>
        <w:t xml:space="preserve">the wider market. The analysis will look at the ‘likely’ costs and benefits rather than actual </w:t>
      </w:r>
      <w:r w:rsidR="00C73DB3" w:rsidRPr="004F66CC">
        <w:rPr>
          <w:rFonts w:ascii="Calibri Light" w:hAnsi="Calibri Light"/>
          <w:color w:val="auto"/>
        </w:rPr>
        <w:t xml:space="preserve">costs and benefits as </w:t>
      </w:r>
      <w:r w:rsidRPr="70896A41">
        <w:rPr>
          <w:rFonts w:ascii="Calibri Light" w:eastAsia="Times New Roman" w:hAnsi="Calibri Light" w:cs="Times New Roman"/>
          <w:color w:val="auto"/>
          <w:lang w:eastAsia="en-AU"/>
        </w:rPr>
        <w:t xml:space="preserve">many of these effects cannot be known or reasonably estimated at this time. </w:t>
      </w:r>
      <w:r w:rsidR="002D4755" w:rsidRPr="70896A41">
        <w:rPr>
          <w:rFonts w:ascii="Calibri Light" w:eastAsia="Times New Roman" w:hAnsi="Calibri Light" w:cs="Times New Roman"/>
          <w:color w:val="auto"/>
          <w:lang w:eastAsia="en-AU"/>
        </w:rPr>
        <w:t xml:space="preserve">The costs and benefits of these mandatory climate disclosures will be spread unevenly across the economy, with some companies and sectors experiencing greater costs and/or benefits than others. </w:t>
      </w:r>
      <w:r w:rsidR="00035635" w:rsidRPr="70896A41">
        <w:rPr>
          <w:rFonts w:ascii="Calibri Light" w:eastAsia="Times New Roman" w:hAnsi="Calibri Light" w:cs="Times New Roman"/>
          <w:color w:val="auto"/>
          <w:lang w:eastAsia="en-AU"/>
        </w:rPr>
        <w:t>Q</w:t>
      </w:r>
      <w:r w:rsidRPr="70896A41">
        <w:rPr>
          <w:rFonts w:ascii="Calibri Light" w:eastAsia="Times New Roman" w:hAnsi="Calibri Light" w:cs="Times New Roman"/>
          <w:color w:val="auto"/>
          <w:lang w:eastAsia="en-AU"/>
        </w:rPr>
        <w:t xml:space="preserve">uantification of costs and benefits (which occur over a larger time horizon) </w:t>
      </w:r>
      <w:r w:rsidR="00035635" w:rsidRPr="70896A41">
        <w:rPr>
          <w:rFonts w:ascii="Calibri Light" w:eastAsia="Times New Roman" w:hAnsi="Calibri Light" w:cs="Times New Roman"/>
          <w:color w:val="auto"/>
          <w:lang w:eastAsia="en-AU"/>
        </w:rPr>
        <w:t xml:space="preserve">is inherently </w:t>
      </w:r>
      <w:r w:rsidR="001F51BE" w:rsidRPr="70896A41">
        <w:rPr>
          <w:rFonts w:ascii="Calibri Light" w:eastAsia="Times New Roman" w:hAnsi="Calibri Light" w:cs="Times New Roman"/>
          <w:color w:val="auto"/>
          <w:lang w:eastAsia="en-AU"/>
        </w:rPr>
        <w:t>difficult</w:t>
      </w:r>
      <w:r w:rsidR="00035635" w:rsidRPr="70896A41">
        <w:rPr>
          <w:rFonts w:ascii="Calibri Light" w:eastAsia="Times New Roman" w:hAnsi="Calibri Light" w:cs="Times New Roman"/>
          <w:color w:val="auto"/>
          <w:lang w:eastAsia="en-AU"/>
        </w:rPr>
        <w:t xml:space="preserve"> as this is influenced by </w:t>
      </w:r>
      <w:r w:rsidR="00321874" w:rsidRPr="70896A41">
        <w:rPr>
          <w:rFonts w:ascii="Calibri Light" w:eastAsia="Times New Roman" w:hAnsi="Calibri Light" w:cs="Times New Roman"/>
          <w:color w:val="auto"/>
          <w:lang w:eastAsia="en-AU"/>
        </w:rPr>
        <w:t xml:space="preserve">the size of </w:t>
      </w:r>
      <w:r w:rsidR="00880CEF" w:rsidRPr="70896A41">
        <w:rPr>
          <w:rFonts w:ascii="Calibri Light" w:eastAsia="Times New Roman" w:hAnsi="Calibri Light" w:cs="Times New Roman"/>
          <w:color w:val="auto"/>
          <w:lang w:eastAsia="en-AU"/>
        </w:rPr>
        <w:t>individual entities</w:t>
      </w:r>
      <w:r w:rsidR="00321874" w:rsidRPr="70896A41">
        <w:rPr>
          <w:rFonts w:ascii="Calibri Light" w:eastAsia="Times New Roman" w:hAnsi="Calibri Light" w:cs="Times New Roman"/>
          <w:color w:val="auto"/>
          <w:lang w:eastAsia="en-AU"/>
        </w:rPr>
        <w:t>,</w:t>
      </w:r>
      <w:r w:rsidR="00880CEF" w:rsidRPr="70896A41">
        <w:rPr>
          <w:rFonts w:ascii="Calibri Light" w:eastAsia="Times New Roman" w:hAnsi="Calibri Light" w:cs="Times New Roman"/>
          <w:color w:val="auto"/>
          <w:lang w:eastAsia="en-AU"/>
        </w:rPr>
        <w:t xml:space="preserve"> </w:t>
      </w:r>
      <w:r w:rsidR="00321874" w:rsidRPr="70896A41">
        <w:rPr>
          <w:rFonts w:ascii="Calibri Light" w:eastAsia="Times New Roman" w:hAnsi="Calibri Light" w:cs="Times New Roman"/>
          <w:color w:val="auto"/>
          <w:lang w:eastAsia="en-AU"/>
        </w:rPr>
        <w:t xml:space="preserve">their </w:t>
      </w:r>
      <w:r w:rsidR="00880CEF" w:rsidRPr="70896A41">
        <w:rPr>
          <w:rFonts w:ascii="Calibri Light" w:eastAsia="Times New Roman" w:hAnsi="Calibri Light" w:cs="Times New Roman"/>
          <w:color w:val="auto"/>
          <w:lang w:eastAsia="en-AU"/>
        </w:rPr>
        <w:t>exposure to climate risks and opportunities a</w:t>
      </w:r>
      <w:r w:rsidR="002D4755" w:rsidRPr="70896A41">
        <w:rPr>
          <w:rFonts w:ascii="Calibri Light" w:eastAsia="Times New Roman" w:hAnsi="Calibri Light" w:cs="Times New Roman"/>
          <w:color w:val="auto"/>
          <w:lang w:eastAsia="en-AU"/>
        </w:rPr>
        <w:t xml:space="preserve">s well as </w:t>
      </w:r>
      <w:r w:rsidR="00880CEF" w:rsidRPr="70896A41">
        <w:rPr>
          <w:rFonts w:ascii="Calibri Light" w:eastAsia="Times New Roman" w:hAnsi="Calibri Light" w:cs="Times New Roman"/>
          <w:color w:val="auto"/>
          <w:lang w:eastAsia="en-AU"/>
        </w:rPr>
        <w:t>thei</w:t>
      </w:r>
      <w:r w:rsidR="002157FA" w:rsidRPr="70896A41">
        <w:rPr>
          <w:rFonts w:ascii="Calibri Light" w:eastAsia="Times New Roman" w:hAnsi="Calibri Light" w:cs="Times New Roman"/>
          <w:color w:val="auto"/>
          <w:lang w:eastAsia="en-AU"/>
        </w:rPr>
        <w:t xml:space="preserve">r readiness in engaging with this level of reporting (for example, if the entity is an early adopter of TCFD standards, it may </w:t>
      </w:r>
      <w:r w:rsidR="00127438" w:rsidRPr="70896A41">
        <w:rPr>
          <w:rFonts w:ascii="Calibri Light" w:eastAsia="Times New Roman" w:hAnsi="Calibri Light" w:cs="Times New Roman"/>
          <w:color w:val="auto"/>
          <w:lang w:eastAsia="en-AU"/>
        </w:rPr>
        <w:t xml:space="preserve">cost less to establish </w:t>
      </w:r>
      <w:r w:rsidR="00857874" w:rsidRPr="70896A41">
        <w:rPr>
          <w:rFonts w:ascii="Calibri Light" w:eastAsia="Times New Roman" w:hAnsi="Calibri Light" w:cs="Times New Roman"/>
          <w:color w:val="auto"/>
          <w:lang w:eastAsia="en-AU"/>
        </w:rPr>
        <w:t>system and governance changes to comply with mandatory climate-risk reporting</w:t>
      </w:r>
      <w:r w:rsidR="4E9486A0" w:rsidRPr="70896A41">
        <w:rPr>
          <w:rFonts w:ascii="Calibri Light" w:eastAsia="Times New Roman" w:hAnsi="Calibri Light" w:cs="Times New Roman"/>
          <w:color w:val="auto"/>
          <w:lang w:eastAsia="en-AU"/>
        </w:rPr>
        <w:t>)</w:t>
      </w:r>
      <w:r w:rsidR="006F320A" w:rsidRPr="70896A41">
        <w:rPr>
          <w:rFonts w:ascii="Calibri Light" w:eastAsia="Times New Roman" w:hAnsi="Calibri Light" w:cs="Times New Roman"/>
          <w:color w:val="auto"/>
          <w:lang w:eastAsia="en-AU"/>
        </w:rPr>
        <w:t>.</w:t>
      </w:r>
    </w:p>
    <w:p w14:paraId="03885169" w14:textId="1E685DC7" w:rsidR="00EB1629" w:rsidRDefault="00AF3176" w:rsidP="0098246E">
      <w:pPr>
        <w:pStyle w:val="Heading2"/>
      </w:pPr>
      <w:bookmarkStart w:id="19" w:name="_Toc144742108"/>
      <w:r>
        <w:t>Policy benefits</w:t>
      </w:r>
      <w:bookmarkEnd w:id="19"/>
    </w:p>
    <w:p w14:paraId="4EA5BB4D" w14:textId="2F0C3C60" w:rsidR="003617BB" w:rsidRDefault="003617BB" w:rsidP="70896A41">
      <w:pPr>
        <w:pStyle w:val="BodyText"/>
        <w:rPr>
          <w:rFonts w:ascii="Calibri Light" w:eastAsia="Times New Roman" w:hAnsi="Calibri Light" w:cs="Times New Roman"/>
          <w:color w:val="auto"/>
          <w:lang w:eastAsia="en-AU"/>
        </w:rPr>
      </w:pPr>
      <w:r w:rsidRPr="5EAB74B3">
        <w:rPr>
          <w:rFonts w:ascii="Calibri Light" w:eastAsia="Times New Roman" w:hAnsi="Calibri Light" w:cs="Times New Roman"/>
          <w:color w:val="auto"/>
          <w:lang w:eastAsia="en-AU"/>
        </w:rPr>
        <w:t xml:space="preserve">The presence of reporting standards provides a baseline for companies to disclose against, helping to improve comparability while also </w:t>
      </w:r>
      <w:r w:rsidR="00D7594B">
        <w:rPr>
          <w:rFonts w:ascii="Calibri Light" w:eastAsia="Times New Roman" w:hAnsi="Calibri Light" w:cs="Times New Roman"/>
          <w:color w:val="auto"/>
          <w:lang w:eastAsia="en-AU"/>
        </w:rPr>
        <w:t>improving</w:t>
      </w:r>
      <w:r w:rsidRPr="5EAB74B3">
        <w:rPr>
          <w:rFonts w:ascii="Calibri Light" w:eastAsia="Times New Roman" w:hAnsi="Calibri Light" w:cs="Times New Roman"/>
          <w:color w:val="auto"/>
          <w:lang w:eastAsia="en-AU"/>
        </w:rPr>
        <w:t xml:space="preserve"> quality. Reducing information asymmetry between preparers and users of general-purpose financial reports aims to reduce uncertainty, in turn </w:t>
      </w:r>
      <w:r w:rsidR="4BE89A24" w:rsidRPr="5EAB74B3">
        <w:rPr>
          <w:rFonts w:ascii="Calibri Light" w:eastAsia="Times New Roman" w:hAnsi="Calibri Light" w:cs="Times New Roman"/>
          <w:color w:val="auto"/>
          <w:lang w:eastAsia="en-AU"/>
        </w:rPr>
        <w:t xml:space="preserve">potentially </w:t>
      </w:r>
      <w:r w:rsidRPr="5EAB74B3">
        <w:rPr>
          <w:rFonts w:ascii="Calibri Light" w:eastAsia="Times New Roman" w:hAnsi="Calibri Light" w:cs="Times New Roman"/>
          <w:color w:val="auto"/>
          <w:lang w:eastAsia="en-AU"/>
        </w:rPr>
        <w:t xml:space="preserve">reducing the cost of capital. </w:t>
      </w:r>
    </w:p>
    <w:p w14:paraId="1B6C9943" w14:textId="279AFFDB" w:rsidR="00942424" w:rsidRDefault="118205F2" w:rsidP="049E2615">
      <w:pPr>
        <w:pStyle w:val="BodyText"/>
        <w:rPr>
          <w:rFonts w:ascii="Calibri Light" w:eastAsia="Times New Roman" w:hAnsi="Calibri Light" w:cs="Times New Roman"/>
          <w:color w:val="auto"/>
          <w:lang w:eastAsia="en-AU"/>
        </w:rPr>
      </w:pPr>
      <w:r w:rsidRPr="092B4C7A">
        <w:rPr>
          <w:rFonts w:ascii="Calibri Light" w:eastAsia="Times New Roman" w:hAnsi="Calibri Light" w:cs="Times New Roman"/>
          <w:color w:val="auto"/>
          <w:lang w:eastAsia="en-AU"/>
        </w:rPr>
        <w:t>At a high level, t</w:t>
      </w:r>
      <w:r w:rsidR="00ED4817" w:rsidRPr="092B4C7A">
        <w:rPr>
          <w:rFonts w:ascii="Calibri Light" w:eastAsia="Times New Roman" w:hAnsi="Calibri Light" w:cs="Times New Roman"/>
          <w:color w:val="auto"/>
          <w:lang w:eastAsia="en-AU"/>
        </w:rPr>
        <w:t xml:space="preserve">he </w:t>
      </w:r>
      <w:r w:rsidR="002E1900" w:rsidRPr="092B4C7A">
        <w:rPr>
          <w:rFonts w:ascii="Calibri Light" w:eastAsia="Times New Roman" w:hAnsi="Calibri Light" w:cs="Times New Roman"/>
          <w:color w:val="auto"/>
          <w:lang w:eastAsia="en-AU"/>
        </w:rPr>
        <w:t xml:space="preserve">benefits of this policy </w:t>
      </w:r>
      <w:r w:rsidR="65DABD12" w:rsidRPr="092B4C7A">
        <w:rPr>
          <w:rFonts w:ascii="Calibri Light" w:eastAsia="Times New Roman" w:hAnsi="Calibri Light" w:cs="Times New Roman"/>
          <w:color w:val="auto"/>
          <w:lang w:eastAsia="en-AU"/>
        </w:rPr>
        <w:t xml:space="preserve">will </w:t>
      </w:r>
      <w:r w:rsidR="6AA73DC9" w:rsidRPr="092B4C7A">
        <w:rPr>
          <w:rFonts w:ascii="Calibri Light" w:eastAsia="Times New Roman" w:hAnsi="Calibri Light" w:cs="Times New Roman"/>
          <w:color w:val="auto"/>
          <w:lang w:eastAsia="en-AU"/>
        </w:rPr>
        <w:t>flow f</w:t>
      </w:r>
      <w:r w:rsidR="1A355816" w:rsidRPr="092B4C7A">
        <w:rPr>
          <w:rFonts w:ascii="Calibri Light" w:eastAsia="Times New Roman" w:hAnsi="Calibri Light" w:cs="Times New Roman"/>
          <w:color w:val="auto"/>
          <w:lang w:eastAsia="en-AU"/>
        </w:rPr>
        <w:t>ro</w:t>
      </w:r>
      <w:r w:rsidR="6AA73DC9" w:rsidRPr="092B4C7A">
        <w:rPr>
          <w:rFonts w:ascii="Calibri Light" w:eastAsia="Times New Roman" w:hAnsi="Calibri Light" w:cs="Times New Roman"/>
          <w:color w:val="auto"/>
          <w:lang w:eastAsia="en-AU"/>
        </w:rPr>
        <w:t xml:space="preserve">m a </w:t>
      </w:r>
      <w:r w:rsidR="002E343B" w:rsidRPr="092B4C7A">
        <w:rPr>
          <w:rFonts w:ascii="Calibri Light" w:eastAsia="Times New Roman" w:hAnsi="Calibri Light" w:cs="Times New Roman"/>
          <w:color w:val="auto"/>
          <w:lang w:eastAsia="en-AU"/>
        </w:rPr>
        <w:t>better-informed</w:t>
      </w:r>
      <w:r w:rsidR="6AA73DC9" w:rsidRPr="092B4C7A">
        <w:rPr>
          <w:rFonts w:ascii="Calibri Light" w:eastAsia="Times New Roman" w:hAnsi="Calibri Light" w:cs="Times New Roman"/>
          <w:color w:val="auto"/>
          <w:lang w:eastAsia="en-AU"/>
        </w:rPr>
        <w:t xml:space="preserve"> market. This may be reflected in a lower cost of capital faced by firms and a more efficient allocation of resources, aligned with the transition to net zero.</w:t>
      </w:r>
    </w:p>
    <w:p w14:paraId="09D7F7D8" w14:textId="38DA37CF" w:rsidR="00942424" w:rsidRDefault="6AA73DC9" w:rsidP="5EAB74B3">
      <w:pPr>
        <w:pStyle w:val="BodyText"/>
        <w:rPr>
          <w:rFonts w:ascii="Calibri Light" w:eastAsia="Times New Roman" w:hAnsi="Calibri Light" w:cs="Times New Roman"/>
          <w:color w:val="auto"/>
          <w:lang w:eastAsia="en-AU"/>
        </w:rPr>
      </w:pPr>
      <w:r w:rsidRPr="092B4C7A">
        <w:rPr>
          <w:rFonts w:ascii="Calibri Light" w:eastAsia="Times New Roman" w:hAnsi="Calibri Light" w:cs="Times New Roman"/>
          <w:color w:val="auto"/>
          <w:lang w:eastAsia="en-AU"/>
        </w:rPr>
        <w:t xml:space="preserve">However, these benefits </w:t>
      </w:r>
      <w:r w:rsidR="002E1900" w:rsidRPr="092B4C7A">
        <w:rPr>
          <w:rFonts w:ascii="Calibri Light" w:eastAsia="Times New Roman" w:hAnsi="Calibri Light" w:cs="Times New Roman"/>
          <w:color w:val="auto"/>
          <w:lang w:eastAsia="en-AU"/>
        </w:rPr>
        <w:t>are hard to quantify</w:t>
      </w:r>
      <w:r w:rsidR="002F7079" w:rsidRPr="092B4C7A">
        <w:rPr>
          <w:rFonts w:ascii="Calibri Light" w:eastAsia="Times New Roman" w:hAnsi="Calibri Light" w:cs="Times New Roman"/>
          <w:color w:val="auto"/>
          <w:lang w:eastAsia="en-AU"/>
        </w:rPr>
        <w:t xml:space="preserve">. </w:t>
      </w:r>
      <w:r w:rsidR="007677BD" w:rsidRPr="092B4C7A">
        <w:rPr>
          <w:rFonts w:ascii="Calibri Light" w:eastAsia="Times New Roman" w:hAnsi="Calibri Light" w:cs="Times New Roman"/>
          <w:color w:val="auto"/>
          <w:lang w:eastAsia="en-AU"/>
        </w:rPr>
        <w:t xml:space="preserve">Due to these limitations, </w:t>
      </w:r>
      <w:r w:rsidR="00C22001" w:rsidRPr="092B4C7A">
        <w:rPr>
          <w:rFonts w:ascii="Calibri Light" w:eastAsia="Times New Roman" w:hAnsi="Calibri Light" w:cs="Times New Roman"/>
          <w:color w:val="auto"/>
          <w:lang w:eastAsia="en-AU"/>
        </w:rPr>
        <w:t>th</w:t>
      </w:r>
      <w:r w:rsidR="003E08C1" w:rsidRPr="092B4C7A">
        <w:rPr>
          <w:rFonts w:ascii="Calibri Light" w:eastAsia="Times New Roman" w:hAnsi="Calibri Light" w:cs="Times New Roman"/>
          <w:color w:val="auto"/>
          <w:lang w:eastAsia="en-AU"/>
        </w:rPr>
        <w:t>is</w:t>
      </w:r>
      <w:r w:rsidR="00C22001" w:rsidRPr="092B4C7A">
        <w:rPr>
          <w:rFonts w:ascii="Calibri Light" w:eastAsia="Times New Roman" w:hAnsi="Calibri Light" w:cs="Times New Roman"/>
          <w:color w:val="auto"/>
          <w:lang w:eastAsia="en-AU"/>
        </w:rPr>
        <w:t xml:space="preserve"> discussion </w:t>
      </w:r>
      <w:r w:rsidR="003E08C1" w:rsidRPr="092B4C7A">
        <w:rPr>
          <w:rFonts w:ascii="Calibri Light" w:eastAsia="Times New Roman" w:hAnsi="Calibri Light" w:cs="Times New Roman"/>
          <w:color w:val="auto"/>
          <w:lang w:eastAsia="en-AU"/>
        </w:rPr>
        <w:t xml:space="preserve">of policy benefits </w:t>
      </w:r>
      <w:r w:rsidR="00C22001" w:rsidRPr="092B4C7A">
        <w:rPr>
          <w:rFonts w:ascii="Calibri Light" w:eastAsia="Times New Roman" w:hAnsi="Calibri Light" w:cs="Times New Roman"/>
          <w:color w:val="auto"/>
          <w:lang w:eastAsia="en-AU"/>
        </w:rPr>
        <w:t xml:space="preserve">is based on academic studies that </w:t>
      </w:r>
      <w:r w:rsidR="00231AAB" w:rsidRPr="092B4C7A">
        <w:rPr>
          <w:rFonts w:ascii="Calibri Light" w:eastAsia="Times New Roman" w:hAnsi="Calibri Light" w:cs="Times New Roman"/>
          <w:color w:val="auto"/>
          <w:lang w:eastAsia="en-AU"/>
        </w:rPr>
        <w:t>have found the impact of mandat</w:t>
      </w:r>
      <w:r w:rsidR="00E0421C" w:rsidRPr="092B4C7A">
        <w:rPr>
          <w:rFonts w:ascii="Calibri Light" w:eastAsia="Times New Roman" w:hAnsi="Calibri Light" w:cs="Times New Roman"/>
          <w:color w:val="auto"/>
          <w:lang w:eastAsia="en-AU"/>
        </w:rPr>
        <w:t>ing disclosures</w:t>
      </w:r>
      <w:r w:rsidR="00443AD9" w:rsidRPr="092B4C7A">
        <w:rPr>
          <w:rFonts w:ascii="Calibri Light" w:eastAsia="Times New Roman" w:hAnsi="Calibri Light" w:cs="Times New Roman"/>
          <w:color w:val="auto"/>
          <w:lang w:eastAsia="en-AU"/>
        </w:rPr>
        <w:t xml:space="preserve"> (climate or other disclosure requirements in the economy)</w:t>
      </w:r>
      <w:r w:rsidR="00E0421C" w:rsidRPr="092B4C7A">
        <w:rPr>
          <w:rFonts w:ascii="Calibri Light" w:eastAsia="Times New Roman" w:hAnsi="Calibri Light" w:cs="Times New Roman"/>
          <w:color w:val="auto"/>
          <w:lang w:eastAsia="en-AU"/>
        </w:rPr>
        <w:t xml:space="preserve"> to be a net positive on entities. </w:t>
      </w:r>
    </w:p>
    <w:p w14:paraId="34981001" w14:textId="7075E98E" w:rsidR="008A15D8" w:rsidRDefault="00942424" w:rsidP="00EB1629">
      <w:pPr>
        <w:pStyle w:val="BodyText"/>
        <w:rPr>
          <w:rFonts w:ascii="Calibri Light" w:eastAsia="Times New Roman" w:hAnsi="Calibri Light" w:cs="Times New Roman"/>
          <w:color w:val="auto"/>
          <w:szCs w:val="20"/>
          <w:lang w:eastAsia="en-AU"/>
        </w:rPr>
      </w:pPr>
      <w:r w:rsidRPr="26A0AA83">
        <w:rPr>
          <w:rFonts w:ascii="Calibri Light" w:eastAsia="Times New Roman" w:hAnsi="Calibri Light" w:cs="Times New Roman"/>
          <w:color w:val="auto"/>
          <w:lang w:eastAsia="en-AU"/>
        </w:rPr>
        <w:t>For</w:t>
      </w:r>
      <w:r w:rsidR="008A15D8" w:rsidRPr="26A0AA83">
        <w:rPr>
          <w:rFonts w:ascii="Calibri Light" w:eastAsia="Times New Roman" w:hAnsi="Calibri Light" w:cs="Times New Roman"/>
          <w:color w:val="auto"/>
          <w:lang w:eastAsia="en-AU"/>
        </w:rPr>
        <w:t xml:space="preserve"> example</w:t>
      </w:r>
      <w:r w:rsidRPr="26A0AA83">
        <w:rPr>
          <w:rFonts w:ascii="Calibri Light" w:eastAsia="Times New Roman" w:hAnsi="Calibri Light" w:cs="Times New Roman"/>
          <w:color w:val="auto"/>
          <w:lang w:eastAsia="en-AU"/>
        </w:rPr>
        <w:t>, consider</w:t>
      </w:r>
      <w:r w:rsidR="008A15D8" w:rsidRPr="26A0AA83">
        <w:rPr>
          <w:rFonts w:ascii="Calibri Light" w:eastAsia="Times New Roman" w:hAnsi="Calibri Light" w:cs="Times New Roman"/>
          <w:color w:val="auto"/>
          <w:lang w:eastAsia="en-AU"/>
        </w:rPr>
        <w:t xml:space="preserve"> </w:t>
      </w:r>
      <w:r w:rsidR="008F03ED" w:rsidRPr="26A0AA83">
        <w:rPr>
          <w:rFonts w:ascii="Calibri Light" w:eastAsia="Times New Roman" w:hAnsi="Calibri Light" w:cs="Times New Roman"/>
          <w:color w:val="auto"/>
          <w:lang w:eastAsia="en-AU"/>
        </w:rPr>
        <w:t xml:space="preserve">the benefits of using </w:t>
      </w:r>
      <w:r w:rsidR="008A15D8" w:rsidRPr="26A0AA83">
        <w:rPr>
          <w:rFonts w:ascii="Calibri Light" w:eastAsia="Times New Roman" w:hAnsi="Calibri Light" w:cs="Times New Roman"/>
          <w:color w:val="auto"/>
          <w:lang w:eastAsia="en-AU"/>
        </w:rPr>
        <w:t>IFRS Account</w:t>
      </w:r>
      <w:r w:rsidR="00537BBF">
        <w:rPr>
          <w:rFonts w:ascii="Calibri Light" w:eastAsia="Times New Roman" w:hAnsi="Calibri Light" w:cs="Times New Roman"/>
          <w:color w:val="auto"/>
          <w:lang w:eastAsia="en-AU"/>
        </w:rPr>
        <w:t>ing</w:t>
      </w:r>
      <w:r w:rsidR="008A15D8" w:rsidRPr="26A0AA83">
        <w:rPr>
          <w:rFonts w:ascii="Calibri Light" w:eastAsia="Times New Roman" w:hAnsi="Calibri Light" w:cs="Times New Roman"/>
          <w:color w:val="auto"/>
          <w:lang w:eastAsia="en-AU"/>
        </w:rPr>
        <w:t xml:space="preserve"> </w:t>
      </w:r>
      <w:r w:rsidR="00537BBF">
        <w:rPr>
          <w:rFonts w:ascii="Calibri Light" w:eastAsia="Times New Roman" w:hAnsi="Calibri Light" w:cs="Times New Roman"/>
          <w:color w:val="auto"/>
          <w:lang w:eastAsia="en-AU"/>
        </w:rPr>
        <w:t>S</w:t>
      </w:r>
      <w:r w:rsidR="008A15D8" w:rsidRPr="26A0AA83">
        <w:rPr>
          <w:rFonts w:ascii="Calibri Light" w:eastAsia="Times New Roman" w:hAnsi="Calibri Light" w:cs="Times New Roman"/>
          <w:color w:val="auto"/>
          <w:lang w:eastAsia="en-AU"/>
        </w:rPr>
        <w:t>tandards</w:t>
      </w:r>
      <w:r w:rsidR="008F03ED" w:rsidRPr="26A0AA83">
        <w:rPr>
          <w:rFonts w:ascii="Calibri Light" w:eastAsia="Times New Roman" w:hAnsi="Calibri Light" w:cs="Times New Roman"/>
          <w:color w:val="auto"/>
          <w:lang w:eastAsia="en-AU"/>
        </w:rPr>
        <w:t xml:space="preserve">, which are used in more than 140 jurisdictions. </w:t>
      </w:r>
      <w:r w:rsidR="00926071" w:rsidRPr="26A0AA83">
        <w:rPr>
          <w:rFonts w:ascii="Calibri Light" w:eastAsia="Times New Roman" w:hAnsi="Calibri Light" w:cs="Times New Roman"/>
          <w:color w:val="auto"/>
          <w:lang w:eastAsia="en-AU"/>
        </w:rPr>
        <w:t>A literature review of close to 200 academic studies on the effects of mandatory adoption of IFRS Accounting Standards in the EU found that</w:t>
      </w:r>
      <w:r w:rsidR="00444A4D" w:rsidRPr="26A0AA83">
        <w:rPr>
          <w:rFonts w:ascii="Calibri Light" w:eastAsia="Times New Roman" w:hAnsi="Calibri Light" w:cs="Times New Roman"/>
          <w:color w:val="auto"/>
          <w:lang w:eastAsia="en-AU"/>
        </w:rPr>
        <w:t xml:space="preserve"> on average there were benefits to applying these global standards across jurisdictions. </w:t>
      </w:r>
      <w:r w:rsidR="00E863C6" w:rsidRPr="26A0AA83">
        <w:rPr>
          <w:rFonts w:ascii="Calibri Light" w:eastAsia="Times New Roman" w:hAnsi="Calibri Light" w:cs="Times New Roman"/>
          <w:color w:val="auto"/>
          <w:lang w:eastAsia="en-AU"/>
        </w:rPr>
        <w:t>Some</w:t>
      </w:r>
      <w:r w:rsidR="00444A4D" w:rsidRPr="26A0AA83">
        <w:rPr>
          <w:rFonts w:ascii="Calibri Light" w:eastAsia="Times New Roman" w:hAnsi="Calibri Light" w:cs="Times New Roman"/>
          <w:color w:val="auto"/>
          <w:lang w:eastAsia="en-AU"/>
        </w:rPr>
        <w:t xml:space="preserve"> benefits included increased transparency and comparability, lower cost of capital, increased market liquidity, improved corporate investment efficiency and improved international capital flows.</w:t>
      </w:r>
      <w:r w:rsidR="00444A4D" w:rsidRPr="26A0AA83">
        <w:rPr>
          <w:rFonts w:ascii="Calibri Light" w:eastAsia="Times New Roman" w:hAnsi="Calibri Light" w:cs="Times New Roman"/>
          <w:color w:val="auto"/>
          <w:position w:val="6"/>
          <w:vertAlign w:val="superscript"/>
          <w:lang w:eastAsia="en-AU"/>
        </w:rPr>
        <w:t xml:space="preserve"> </w:t>
      </w:r>
      <w:r w:rsidR="00241EC5" w:rsidRPr="26A0AA83">
        <w:rPr>
          <w:rStyle w:val="FootnoteReference"/>
          <w:rFonts w:ascii="Calibri Light" w:eastAsia="Times New Roman" w:hAnsi="Calibri Light" w:cs="Times New Roman"/>
          <w:color w:val="auto"/>
          <w:position w:val="6"/>
          <w:vertAlign w:val="superscript"/>
          <w:lang w:eastAsia="en-AU"/>
        </w:rPr>
        <w:footnoteReference w:id="29"/>
      </w:r>
    </w:p>
    <w:p w14:paraId="0808380A" w14:textId="7C4C4EDC" w:rsidR="007D1BD3" w:rsidRDefault="007D1BD3" w:rsidP="00EB1629">
      <w:pPr>
        <w:pStyle w:val="BodyText"/>
        <w:rPr>
          <w:rFonts w:ascii="Calibri Light" w:eastAsia="Times New Roman" w:hAnsi="Calibri Light" w:cs="Times New Roman"/>
          <w:color w:val="auto"/>
          <w:szCs w:val="20"/>
          <w:lang w:eastAsia="en-AU"/>
        </w:rPr>
      </w:pPr>
      <w:r w:rsidRPr="26A0AA83">
        <w:rPr>
          <w:rFonts w:ascii="Calibri Light" w:eastAsia="Times New Roman" w:hAnsi="Calibri Light" w:cs="Times New Roman"/>
          <w:color w:val="auto"/>
          <w:lang w:eastAsia="en-AU"/>
        </w:rPr>
        <w:t xml:space="preserve">A number of academic studies have examined the impact of sustainability </w:t>
      </w:r>
      <w:r w:rsidR="00AE6431" w:rsidRPr="26A0AA83">
        <w:rPr>
          <w:rFonts w:ascii="Calibri Light" w:eastAsia="Times New Roman" w:hAnsi="Calibri Light" w:cs="Times New Roman"/>
          <w:color w:val="auto"/>
          <w:lang w:eastAsia="en-AU"/>
        </w:rPr>
        <w:t xml:space="preserve">standards and mandatory reporting on disclosures and company actions. </w:t>
      </w:r>
      <w:r w:rsidR="00E342DF" w:rsidRPr="26A0AA83">
        <w:rPr>
          <w:rFonts w:ascii="Calibri Light" w:eastAsia="Times New Roman" w:hAnsi="Calibri Light" w:cs="Times New Roman"/>
          <w:color w:val="auto"/>
          <w:lang w:eastAsia="en-AU"/>
        </w:rPr>
        <w:t>Thes</w:t>
      </w:r>
      <w:r w:rsidR="009B61C1" w:rsidRPr="26A0AA83">
        <w:rPr>
          <w:rFonts w:ascii="Calibri Light" w:eastAsia="Times New Roman" w:hAnsi="Calibri Light" w:cs="Times New Roman"/>
          <w:color w:val="auto"/>
          <w:lang w:eastAsia="en-AU"/>
        </w:rPr>
        <w:t>e studies found that</w:t>
      </w:r>
      <w:r w:rsidR="007425DC" w:rsidRPr="26A0AA83">
        <w:rPr>
          <w:rFonts w:ascii="Calibri Light" w:eastAsia="Times New Roman" w:hAnsi="Calibri Light" w:cs="Times New Roman"/>
          <w:color w:val="auto"/>
          <w:lang w:eastAsia="en-AU"/>
        </w:rPr>
        <w:t xml:space="preserve"> following the release of the SASB standards, publicly traded companies in the US improved their disclosures of material sustainability information on average. Further, there were significant improvements in companies’ sustainability performance among companies applying the SASB standards. </w:t>
      </w:r>
      <w:r w:rsidR="00094BA0" w:rsidRPr="26A0AA83">
        <w:rPr>
          <w:rStyle w:val="FootnoteReference"/>
          <w:rFonts w:ascii="Calibri Light" w:eastAsia="Times New Roman" w:hAnsi="Calibri Light" w:cs="Times New Roman"/>
          <w:color w:val="auto"/>
          <w:position w:val="6"/>
          <w:vertAlign w:val="superscript"/>
          <w:lang w:eastAsia="en-AU"/>
        </w:rPr>
        <w:footnoteReference w:id="30"/>
      </w:r>
      <w:r w:rsidR="001B6E9C" w:rsidRPr="26A0AA83">
        <w:rPr>
          <w:rFonts w:ascii="Calibri Light" w:eastAsia="Times New Roman" w:hAnsi="Calibri Light" w:cs="Times New Roman"/>
          <w:color w:val="auto"/>
          <w:lang w:eastAsia="en-AU"/>
        </w:rPr>
        <w:t xml:space="preserve"> Analysis of sustainability disclosure mandates around the world found mandatory ESG disclosures have beneficial informational </w:t>
      </w:r>
      <w:r w:rsidR="008816C1" w:rsidRPr="26A0AA83">
        <w:rPr>
          <w:rFonts w:ascii="Calibri Light" w:eastAsia="Times New Roman" w:hAnsi="Calibri Light" w:cs="Times New Roman"/>
          <w:color w:val="auto"/>
          <w:lang w:eastAsia="en-AU"/>
        </w:rPr>
        <w:t xml:space="preserve">and real effects. The analysis included a sample of 17,680 companies across 65 countries and found that mandating ESG disclosures increases the availability </w:t>
      </w:r>
      <w:r w:rsidR="00B876E5" w:rsidRPr="26A0AA83">
        <w:rPr>
          <w:rFonts w:ascii="Calibri Light" w:eastAsia="Times New Roman" w:hAnsi="Calibri Light" w:cs="Times New Roman"/>
          <w:color w:val="auto"/>
          <w:lang w:eastAsia="en-AU"/>
        </w:rPr>
        <w:t xml:space="preserve">and quality of ESG reporting (especially for poor performing companies) and reduces the likelihood of negative ESG-related incidents and the risk of </w:t>
      </w:r>
      <w:r w:rsidR="003A09D1" w:rsidRPr="26A0AA83">
        <w:rPr>
          <w:rFonts w:ascii="Calibri Light" w:eastAsia="Times New Roman" w:hAnsi="Calibri Light" w:cs="Times New Roman"/>
          <w:color w:val="auto"/>
          <w:lang w:eastAsia="en-AU"/>
        </w:rPr>
        <w:t xml:space="preserve">a stock price crash. </w:t>
      </w:r>
      <w:r w:rsidR="00644FB9" w:rsidRPr="26A0AA83">
        <w:rPr>
          <w:rStyle w:val="FootnoteReference"/>
          <w:rFonts w:ascii="Calibri Light" w:eastAsia="Times New Roman" w:hAnsi="Calibri Light" w:cs="Times New Roman"/>
          <w:color w:val="auto"/>
          <w:position w:val="6"/>
          <w:vertAlign w:val="superscript"/>
          <w:lang w:eastAsia="en-AU"/>
        </w:rPr>
        <w:footnoteReference w:id="31"/>
      </w:r>
    </w:p>
    <w:p w14:paraId="19B6D5B1" w14:textId="564D7A4B" w:rsidR="00EB1629" w:rsidRPr="0030627C" w:rsidRDefault="00EB1629" w:rsidP="00EB1629">
      <w:pPr>
        <w:pStyle w:val="BodyText"/>
        <w:rPr>
          <w:rFonts w:ascii="Calibri Light" w:eastAsia="Times New Roman" w:hAnsi="Calibri Light" w:cs="Times New Roman"/>
          <w:color w:val="auto"/>
          <w:lang w:eastAsia="en-AU"/>
        </w:rPr>
      </w:pPr>
      <w:r w:rsidRPr="04E51014">
        <w:rPr>
          <w:rFonts w:ascii="Calibri Light" w:eastAsia="Times New Roman" w:hAnsi="Calibri Light" w:cs="Times New Roman"/>
          <w:color w:val="auto"/>
          <w:lang w:eastAsia="en-AU"/>
        </w:rPr>
        <w:t>While t</w:t>
      </w:r>
      <w:r w:rsidR="00E17448" w:rsidRPr="04E51014">
        <w:rPr>
          <w:rFonts w:ascii="Calibri Light" w:eastAsia="Times New Roman" w:hAnsi="Calibri Light" w:cs="Times New Roman"/>
          <w:color w:val="auto"/>
          <w:lang w:eastAsia="en-AU"/>
        </w:rPr>
        <w:t xml:space="preserve">his policy is likely to </w:t>
      </w:r>
      <w:r w:rsidR="768D1048" w:rsidRPr="04E51014">
        <w:rPr>
          <w:rFonts w:ascii="Calibri Light" w:eastAsia="Times New Roman" w:hAnsi="Calibri Light" w:cs="Times New Roman"/>
          <w:color w:val="auto"/>
          <w:lang w:eastAsia="en-AU"/>
        </w:rPr>
        <w:t>incur</w:t>
      </w:r>
      <w:r w:rsidRPr="04E51014">
        <w:rPr>
          <w:rFonts w:ascii="Calibri Light" w:eastAsia="Times New Roman" w:hAnsi="Calibri Light" w:cs="Times New Roman"/>
          <w:color w:val="auto"/>
          <w:lang w:eastAsia="en-AU"/>
        </w:rPr>
        <w:t xml:space="preserve"> implementation costs, the alternative is the status quo where reporting is variable</w:t>
      </w:r>
      <w:r w:rsidR="00343494" w:rsidRPr="04E51014">
        <w:rPr>
          <w:rFonts w:ascii="Calibri Light" w:eastAsia="Times New Roman" w:hAnsi="Calibri Light" w:cs="Times New Roman"/>
          <w:color w:val="auto"/>
          <w:lang w:eastAsia="en-AU"/>
        </w:rPr>
        <w:t xml:space="preserve"> and inconsistent</w:t>
      </w:r>
      <w:r w:rsidRPr="04E51014">
        <w:rPr>
          <w:rFonts w:ascii="Calibri Light" w:eastAsia="Times New Roman" w:hAnsi="Calibri Light" w:cs="Times New Roman"/>
          <w:color w:val="auto"/>
          <w:lang w:eastAsia="en-AU"/>
        </w:rPr>
        <w:t xml:space="preserve">. Users of </w:t>
      </w:r>
      <w:proofErr w:type="gramStart"/>
      <w:r w:rsidRPr="04E51014">
        <w:rPr>
          <w:rFonts w:ascii="Calibri Light" w:eastAsia="Times New Roman" w:hAnsi="Calibri Light" w:cs="Times New Roman"/>
          <w:color w:val="auto"/>
          <w:lang w:eastAsia="en-AU"/>
        </w:rPr>
        <w:t>general</w:t>
      </w:r>
      <w:r w:rsidR="2FEFD4A6" w:rsidRPr="04E51014">
        <w:rPr>
          <w:rFonts w:ascii="Calibri Light" w:eastAsia="Times New Roman" w:hAnsi="Calibri Light" w:cs="Times New Roman"/>
          <w:color w:val="auto"/>
          <w:lang w:eastAsia="en-AU"/>
        </w:rPr>
        <w:t xml:space="preserve"> </w:t>
      </w:r>
      <w:r w:rsidRPr="04E51014">
        <w:rPr>
          <w:rFonts w:ascii="Calibri Light" w:eastAsia="Times New Roman" w:hAnsi="Calibri Light" w:cs="Times New Roman"/>
          <w:color w:val="auto"/>
          <w:lang w:eastAsia="en-AU"/>
        </w:rPr>
        <w:t>purpose</w:t>
      </w:r>
      <w:proofErr w:type="gramEnd"/>
      <w:r w:rsidRPr="04E51014">
        <w:rPr>
          <w:rFonts w:ascii="Calibri Light" w:eastAsia="Times New Roman" w:hAnsi="Calibri Light" w:cs="Times New Roman"/>
          <w:color w:val="auto"/>
          <w:lang w:eastAsia="en-AU"/>
        </w:rPr>
        <w:t xml:space="preserve"> financial reports would have to continue sourcing and carefully analysing the information from numerous, differing reports.</w:t>
      </w:r>
    </w:p>
    <w:p w14:paraId="62DF4841" w14:textId="7C001DBF" w:rsidR="00EB1629" w:rsidRDefault="00EB1629" w:rsidP="00EB1629">
      <w:pPr>
        <w:pStyle w:val="BodyText"/>
        <w:rPr>
          <w:rFonts w:ascii="Calibri Light" w:eastAsia="Times New Roman" w:hAnsi="Calibri Light" w:cs="Times New Roman"/>
          <w:color w:val="auto"/>
          <w:szCs w:val="20"/>
          <w:lang w:eastAsia="en-AU"/>
        </w:rPr>
      </w:pPr>
      <w:r w:rsidRPr="0030627C">
        <w:rPr>
          <w:rFonts w:ascii="Calibri Light" w:eastAsia="Times New Roman" w:hAnsi="Calibri Light" w:cs="Times New Roman"/>
          <w:color w:val="auto"/>
          <w:szCs w:val="20"/>
          <w:lang w:eastAsia="en-AU"/>
        </w:rPr>
        <w:t xml:space="preserve">In consultation, </w:t>
      </w:r>
      <w:r w:rsidR="00E17448">
        <w:rPr>
          <w:rFonts w:ascii="Calibri Light" w:eastAsia="Times New Roman" w:hAnsi="Calibri Light" w:cs="Times New Roman"/>
          <w:color w:val="auto"/>
          <w:szCs w:val="20"/>
          <w:lang w:eastAsia="en-AU"/>
        </w:rPr>
        <w:t xml:space="preserve">majority of </w:t>
      </w:r>
      <w:r w:rsidRPr="0030627C">
        <w:rPr>
          <w:rFonts w:ascii="Calibri Light" w:eastAsia="Times New Roman" w:hAnsi="Calibri Light" w:cs="Times New Roman"/>
          <w:color w:val="auto"/>
          <w:szCs w:val="20"/>
          <w:lang w:eastAsia="en-AU"/>
        </w:rPr>
        <w:t xml:space="preserve">stakeholders agreed </w:t>
      </w:r>
      <w:r>
        <w:rPr>
          <w:rFonts w:ascii="Calibri Light" w:eastAsia="Times New Roman" w:hAnsi="Calibri Light" w:cs="Times New Roman"/>
          <w:color w:val="auto"/>
          <w:szCs w:val="20"/>
          <w:lang w:eastAsia="en-AU"/>
        </w:rPr>
        <w:t xml:space="preserve">there are </w:t>
      </w:r>
      <w:r w:rsidRPr="0030627C">
        <w:rPr>
          <w:rFonts w:ascii="Calibri Light" w:eastAsia="Times New Roman" w:hAnsi="Calibri Light" w:cs="Times New Roman"/>
          <w:color w:val="auto"/>
          <w:szCs w:val="20"/>
          <w:lang w:eastAsia="en-AU"/>
        </w:rPr>
        <w:t xml:space="preserve">benefits </w:t>
      </w:r>
      <w:r>
        <w:rPr>
          <w:rFonts w:ascii="Calibri Light" w:eastAsia="Times New Roman" w:hAnsi="Calibri Light" w:cs="Times New Roman"/>
          <w:color w:val="auto"/>
          <w:szCs w:val="20"/>
          <w:lang w:eastAsia="en-AU"/>
        </w:rPr>
        <w:t>from</w:t>
      </w:r>
      <w:r w:rsidRPr="0030627C">
        <w:rPr>
          <w:rFonts w:ascii="Calibri Light" w:eastAsia="Times New Roman" w:hAnsi="Calibri Light" w:cs="Times New Roman"/>
          <w:color w:val="auto"/>
          <w:szCs w:val="20"/>
          <w:lang w:eastAsia="en-AU"/>
        </w:rPr>
        <w:t xml:space="preserve"> climate-related financial disclosures, particularly for investors who would have better access to information</w:t>
      </w:r>
      <w:r w:rsidR="00AD41C5">
        <w:rPr>
          <w:rFonts w:ascii="Calibri Light" w:eastAsia="Times New Roman" w:hAnsi="Calibri Light" w:cs="Times New Roman"/>
          <w:color w:val="auto"/>
          <w:szCs w:val="20"/>
          <w:lang w:eastAsia="en-AU"/>
        </w:rPr>
        <w:t>,</w:t>
      </w:r>
      <w:r w:rsidRPr="0030627C">
        <w:rPr>
          <w:rFonts w:ascii="Calibri Light" w:eastAsia="Times New Roman" w:hAnsi="Calibri Light" w:cs="Times New Roman"/>
          <w:color w:val="auto"/>
          <w:szCs w:val="20"/>
          <w:lang w:eastAsia="en-AU"/>
        </w:rPr>
        <w:t xml:space="preserve"> reducing costs, </w:t>
      </w:r>
      <w:proofErr w:type="gramStart"/>
      <w:r w:rsidRPr="0030627C">
        <w:rPr>
          <w:rFonts w:ascii="Calibri Light" w:eastAsia="Times New Roman" w:hAnsi="Calibri Light" w:cs="Times New Roman"/>
          <w:color w:val="auto"/>
          <w:szCs w:val="20"/>
          <w:lang w:eastAsia="en-AU"/>
        </w:rPr>
        <w:t>complexity</w:t>
      </w:r>
      <w:proofErr w:type="gramEnd"/>
      <w:r w:rsidRPr="0030627C">
        <w:rPr>
          <w:rFonts w:ascii="Calibri Light" w:eastAsia="Times New Roman" w:hAnsi="Calibri Light" w:cs="Times New Roman"/>
          <w:color w:val="auto"/>
          <w:szCs w:val="20"/>
          <w:lang w:eastAsia="en-AU"/>
        </w:rPr>
        <w:t xml:space="preserve"> and confusion. This would in turn </w:t>
      </w:r>
      <w:r w:rsidR="00F62D58">
        <w:rPr>
          <w:rFonts w:ascii="Calibri Light" w:eastAsia="Times New Roman" w:hAnsi="Calibri Light" w:cs="Times New Roman"/>
          <w:color w:val="auto"/>
          <w:szCs w:val="20"/>
          <w:lang w:eastAsia="en-AU"/>
        </w:rPr>
        <w:t>improve access to capital or reduce the risk premium on capital.</w:t>
      </w:r>
      <w:r w:rsidR="00B04B9E">
        <w:rPr>
          <w:rFonts w:ascii="Calibri Light" w:eastAsia="Times New Roman" w:hAnsi="Calibri Light" w:cs="Times New Roman"/>
          <w:color w:val="auto"/>
          <w:szCs w:val="20"/>
          <w:lang w:eastAsia="en-AU"/>
        </w:rPr>
        <w:t xml:space="preserve"> </w:t>
      </w:r>
      <w:r w:rsidR="00F62D58">
        <w:rPr>
          <w:rFonts w:ascii="Calibri Light" w:eastAsia="Times New Roman" w:hAnsi="Calibri Light" w:cs="Times New Roman"/>
          <w:color w:val="auto"/>
          <w:szCs w:val="20"/>
          <w:lang w:eastAsia="en-AU"/>
        </w:rPr>
        <w:t>It would also level</w:t>
      </w:r>
      <w:r w:rsidR="00F62D58" w:rsidRPr="0030627C">
        <w:rPr>
          <w:rFonts w:ascii="Calibri Light" w:eastAsia="Times New Roman" w:hAnsi="Calibri Light" w:cs="Times New Roman"/>
          <w:color w:val="auto"/>
          <w:szCs w:val="20"/>
          <w:lang w:eastAsia="en-AU"/>
        </w:rPr>
        <w:t xml:space="preserve"> </w:t>
      </w:r>
      <w:r w:rsidRPr="0030627C">
        <w:rPr>
          <w:rFonts w:ascii="Calibri Light" w:eastAsia="Times New Roman" w:hAnsi="Calibri Light" w:cs="Times New Roman"/>
          <w:color w:val="auto"/>
          <w:szCs w:val="20"/>
          <w:lang w:eastAsia="en-AU"/>
        </w:rPr>
        <w:t>the playing field for companies who are and are</w:t>
      </w:r>
      <w:r w:rsidR="00F62D58">
        <w:rPr>
          <w:rFonts w:ascii="Calibri Light" w:eastAsia="Times New Roman" w:hAnsi="Calibri Light" w:cs="Times New Roman"/>
          <w:color w:val="auto"/>
          <w:szCs w:val="20"/>
          <w:lang w:eastAsia="en-AU"/>
        </w:rPr>
        <w:t xml:space="preserve"> not</w:t>
      </w:r>
      <w:r w:rsidRPr="0030627C">
        <w:rPr>
          <w:rFonts w:ascii="Calibri Light" w:eastAsia="Times New Roman" w:hAnsi="Calibri Light" w:cs="Times New Roman"/>
          <w:color w:val="auto"/>
          <w:szCs w:val="20"/>
          <w:lang w:eastAsia="en-AU"/>
        </w:rPr>
        <w:t xml:space="preserve"> reporting</w:t>
      </w:r>
      <w:r w:rsidR="005C2769">
        <w:rPr>
          <w:rFonts w:ascii="Calibri Light" w:eastAsia="Times New Roman" w:hAnsi="Calibri Light" w:cs="Times New Roman"/>
          <w:color w:val="auto"/>
          <w:szCs w:val="20"/>
          <w:lang w:eastAsia="en-AU"/>
        </w:rPr>
        <w:t xml:space="preserve">. </w:t>
      </w:r>
    </w:p>
    <w:p w14:paraId="084458A9" w14:textId="401A6F86" w:rsidR="006D5836" w:rsidRPr="00B30F96" w:rsidRDefault="5CE9646B" w:rsidP="006D5836">
      <w:pPr>
        <w:pStyle w:val="BodyText"/>
        <w:rPr>
          <w:rFonts w:ascii="Calibri Light" w:eastAsia="Times New Roman" w:hAnsi="Calibri Light" w:cs="Times New Roman"/>
          <w:color w:val="auto"/>
          <w:lang w:eastAsia="en-AU"/>
        </w:rPr>
      </w:pPr>
      <w:r w:rsidRPr="5ADB9F99">
        <w:rPr>
          <w:rFonts w:ascii="Calibri Light" w:eastAsia="Times New Roman" w:hAnsi="Calibri Light" w:cs="Times New Roman"/>
          <w:color w:val="auto"/>
          <w:lang w:eastAsia="en-AU"/>
        </w:rPr>
        <w:t>T</w:t>
      </w:r>
      <w:r w:rsidR="006D5836" w:rsidRPr="5ADB9F99">
        <w:rPr>
          <w:rFonts w:ascii="Calibri Light" w:eastAsia="Times New Roman" w:hAnsi="Calibri Light" w:cs="Times New Roman"/>
          <w:color w:val="auto"/>
          <w:lang w:eastAsia="en-AU"/>
        </w:rPr>
        <w:t>he primary objective of this policy is to improve decision-useful information</w:t>
      </w:r>
      <w:r w:rsidR="642FDCE9" w:rsidRPr="5ADB9F99">
        <w:rPr>
          <w:rFonts w:ascii="Calibri Light" w:eastAsia="Times New Roman" w:hAnsi="Calibri Light" w:cs="Times New Roman"/>
          <w:color w:val="auto"/>
          <w:lang w:eastAsia="en-AU"/>
        </w:rPr>
        <w:t>. In time, this will reduce the cost to investors of sourcing and analysing the information. Under current arrangements investors need to consider a rang</w:t>
      </w:r>
      <w:r w:rsidR="7B526DC2" w:rsidRPr="5ADB9F99">
        <w:rPr>
          <w:rFonts w:ascii="Calibri Light" w:eastAsia="Times New Roman" w:hAnsi="Calibri Light" w:cs="Times New Roman"/>
          <w:color w:val="auto"/>
          <w:lang w:eastAsia="en-AU"/>
        </w:rPr>
        <w:t xml:space="preserve">e of sometimes inconsistent approaches to disclosure across companies. </w:t>
      </w:r>
      <w:r w:rsidR="642FDCE9" w:rsidRPr="5ADB9F99">
        <w:rPr>
          <w:rFonts w:ascii="Calibri Light" w:eastAsia="Times New Roman" w:hAnsi="Calibri Light" w:cs="Times New Roman"/>
          <w:color w:val="auto"/>
          <w:lang w:eastAsia="en-AU"/>
        </w:rPr>
        <w:t xml:space="preserve"> </w:t>
      </w:r>
    </w:p>
    <w:p w14:paraId="58DA9588" w14:textId="18AF7D50" w:rsidR="006D5836" w:rsidRDefault="002D4DB7" w:rsidP="00EB1629">
      <w:pPr>
        <w:pStyle w:val="BodyText"/>
        <w:rPr>
          <w:rFonts w:ascii="Calibri Light" w:eastAsia="Times New Roman" w:hAnsi="Calibri Light" w:cs="Times New Roman"/>
          <w:color w:val="auto"/>
          <w:lang w:eastAsia="en-AU"/>
        </w:rPr>
      </w:pPr>
      <w:r w:rsidRPr="722507D1">
        <w:rPr>
          <w:rFonts w:ascii="Calibri Light" w:eastAsia="Times New Roman" w:hAnsi="Calibri Light" w:cs="Times New Roman"/>
          <w:color w:val="auto"/>
          <w:lang w:eastAsia="en-AU"/>
        </w:rPr>
        <w:t>Improving consistency, particularly in reporting formats</w:t>
      </w:r>
      <w:r w:rsidR="003679F9" w:rsidRPr="722507D1">
        <w:rPr>
          <w:rFonts w:ascii="Calibri Light" w:eastAsia="Times New Roman" w:hAnsi="Calibri Light" w:cs="Times New Roman"/>
          <w:color w:val="auto"/>
          <w:lang w:eastAsia="en-AU"/>
        </w:rPr>
        <w:t>, periods a</w:t>
      </w:r>
      <w:r w:rsidR="000A2C4B" w:rsidRPr="722507D1">
        <w:rPr>
          <w:rFonts w:ascii="Calibri Light" w:eastAsia="Times New Roman" w:hAnsi="Calibri Light" w:cs="Times New Roman"/>
          <w:color w:val="auto"/>
          <w:lang w:eastAsia="en-AU"/>
        </w:rPr>
        <w:t xml:space="preserve">nd </w:t>
      </w:r>
      <w:r w:rsidR="003E05E6" w:rsidRPr="722507D1">
        <w:rPr>
          <w:rFonts w:ascii="Calibri Light" w:eastAsia="Times New Roman" w:hAnsi="Calibri Light" w:cs="Times New Roman"/>
          <w:color w:val="auto"/>
          <w:lang w:eastAsia="en-AU"/>
        </w:rPr>
        <w:t>styles</w:t>
      </w:r>
      <w:r w:rsidR="000A2C4B" w:rsidRPr="722507D1">
        <w:rPr>
          <w:rFonts w:ascii="Calibri Light" w:eastAsia="Times New Roman" w:hAnsi="Calibri Light" w:cs="Times New Roman"/>
          <w:color w:val="auto"/>
          <w:lang w:eastAsia="en-AU"/>
        </w:rPr>
        <w:t xml:space="preserve"> could </w:t>
      </w:r>
      <w:r w:rsidR="002B51A3" w:rsidRPr="722507D1">
        <w:rPr>
          <w:rFonts w:ascii="Calibri Light" w:eastAsia="Times New Roman" w:hAnsi="Calibri Light" w:cs="Times New Roman"/>
          <w:color w:val="auto"/>
          <w:lang w:eastAsia="en-AU"/>
        </w:rPr>
        <w:t xml:space="preserve">reduce </w:t>
      </w:r>
      <w:r w:rsidR="003E05E6" w:rsidRPr="722507D1">
        <w:rPr>
          <w:rFonts w:ascii="Calibri Light" w:eastAsia="Times New Roman" w:hAnsi="Calibri Light" w:cs="Times New Roman"/>
          <w:color w:val="auto"/>
          <w:lang w:eastAsia="en-AU"/>
        </w:rPr>
        <w:t xml:space="preserve">the costs </w:t>
      </w:r>
      <w:r w:rsidR="00874948" w:rsidRPr="722507D1">
        <w:rPr>
          <w:rFonts w:ascii="Calibri Light" w:eastAsia="Times New Roman" w:hAnsi="Calibri Light" w:cs="Times New Roman"/>
          <w:color w:val="auto"/>
          <w:lang w:eastAsia="en-AU"/>
        </w:rPr>
        <w:t>through automation</w:t>
      </w:r>
      <w:r w:rsidR="00DE3C99" w:rsidRPr="722507D1">
        <w:rPr>
          <w:rFonts w:ascii="Calibri Light" w:eastAsia="Times New Roman" w:hAnsi="Calibri Light" w:cs="Times New Roman"/>
          <w:color w:val="auto"/>
          <w:lang w:eastAsia="en-AU"/>
        </w:rPr>
        <w:t xml:space="preserve"> </w:t>
      </w:r>
      <w:r w:rsidR="43A96780" w:rsidRPr="722507D1">
        <w:rPr>
          <w:rFonts w:ascii="Calibri Light" w:eastAsia="Times New Roman" w:hAnsi="Calibri Light" w:cs="Times New Roman"/>
          <w:color w:val="auto"/>
          <w:lang w:eastAsia="en-AU"/>
        </w:rPr>
        <w:t>of</w:t>
      </w:r>
      <w:r w:rsidR="003E05E6" w:rsidRPr="722507D1">
        <w:rPr>
          <w:rFonts w:ascii="Calibri Light" w:eastAsia="Times New Roman" w:hAnsi="Calibri Light" w:cs="Times New Roman"/>
          <w:color w:val="auto"/>
          <w:lang w:eastAsia="en-AU"/>
        </w:rPr>
        <w:t xml:space="preserve"> collection and analysis of data</w:t>
      </w:r>
      <w:r w:rsidR="00874948" w:rsidRPr="722507D1">
        <w:rPr>
          <w:rFonts w:ascii="Calibri Light" w:eastAsia="Times New Roman" w:hAnsi="Calibri Light" w:cs="Times New Roman"/>
          <w:color w:val="auto"/>
          <w:lang w:eastAsia="en-AU"/>
        </w:rPr>
        <w:t>.</w:t>
      </w:r>
      <w:r w:rsidR="00C37FA3" w:rsidRPr="722507D1">
        <w:rPr>
          <w:rFonts w:ascii="Calibri Light" w:eastAsia="Times New Roman" w:hAnsi="Calibri Light" w:cs="Times New Roman"/>
          <w:color w:val="auto"/>
          <w:lang w:eastAsia="en-AU"/>
        </w:rPr>
        <w:t xml:space="preserve"> Should one style of standard become the predominant force in Australia, greater investment could be made in that standard to internalise</w:t>
      </w:r>
      <w:r w:rsidR="00570475" w:rsidRPr="722507D1">
        <w:rPr>
          <w:rFonts w:ascii="Calibri Light" w:eastAsia="Times New Roman" w:hAnsi="Calibri Light" w:cs="Times New Roman"/>
          <w:color w:val="auto"/>
          <w:lang w:eastAsia="en-AU"/>
        </w:rPr>
        <w:t xml:space="preserve"> capability uplift, therefore reducing reliance on</w:t>
      </w:r>
      <w:r w:rsidR="00C37FA3" w:rsidRPr="722507D1">
        <w:rPr>
          <w:rFonts w:ascii="Calibri Light" w:eastAsia="Times New Roman" w:hAnsi="Calibri Light" w:cs="Times New Roman"/>
          <w:color w:val="auto"/>
          <w:lang w:eastAsia="en-AU"/>
        </w:rPr>
        <w:t xml:space="preserve"> external </w:t>
      </w:r>
      <w:r w:rsidR="00570475" w:rsidRPr="722507D1">
        <w:rPr>
          <w:rFonts w:ascii="Calibri Light" w:eastAsia="Times New Roman" w:hAnsi="Calibri Light" w:cs="Times New Roman"/>
          <w:color w:val="auto"/>
          <w:lang w:eastAsia="en-AU"/>
        </w:rPr>
        <w:t>providers.</w:t>
      </w:r>
      <w:r w:rsidR="004B60AE" w:rsidRPr="722507D1">
        <w:rPr>
          <w:rFonts w:ascii="Calibri Light" w:eastAsia="Times New Roman" w:hAnsi="Calibri Light" w:cs="Times New Roman"/>
          <w:color w:val="auto"/>
          <w:lang w:eastAsia="en-AU"/>
        </w:rPr>
        <w:t xml:space="preserve"> This is a view that was reinforced through consultation.</w:t>
      </w:r>
    </w:p>
    <w:p w14:paraId="54BAA5DC" w14:textId="021687D2" w:rsidR="008244CA" w:rsidRDefault="004A5C2E" w:rsidP="00EB1629">
      <w:pPr>
        <w:pStyle w:val="BodyText"/>
        <w:rPr>
          <w:rFonts w:ascii="Calibri Light" w:eastAsia="Times New Roman" w:hAnsi="Calibri Light" w:cs="Times New Roman"/>
          <w:color w:val="auto"/>
          <w:lang w:eastAsia="en-AU"/>
        </w:rPr>
      </w:pPr>
      <w:r w:rsidRPr="56B9585A">
        <w:rPr>
          <w:rFonts w:ascii="Calibri Light" w:eastAsia="Times New Roman" w:hAnsi="Calibri Light" w:cs="Times New Roman"/>
          <w:color w:val="auto"/>
          <w:lang w:eastAsia="en-AU"/>
        </w:rPr>
        <w:t xml:space="preserve">Treasury expects that </w:t>
      </w:r>
      <w:r w:rsidR="009917F6" w:rsidRPr="56B9585A">
        <w:rPr>
          <w:rFonts w:ascii="Calibri Light" w:eastAsia="Times New Roman" w:hAnsi="Calibri Light" w:cs="Times New Roman"/>
          <w:color w:val="auto"/>
          <w:lang w:eastAsia="en-AU"/>
        </w:rPr>
        <w:t xml:space="preserve">mandating financial reporting will </w:t>
      </w:r>
      <w:r w:rsidR="00887C99" w:rsidRPr="56B9585A">
        <w:rPr>
          <w:rFonts w:ascii="Calibri Light" w:eastAsia="Times New Roman" w:hAnsi="Calibri Light" w:cs="Times New Roman"/>
          <w:color w:val="auto"/>
          <w:lang w:eastAsia="en-AU"/>
        </w:rPr>
        <w:t xml:space="preserve">change the financial reporting </w:t>
      </w:r>
      <w:r w:rsidR="003F1F74" w:rsidRPr="56B9585A">
        <w:rPr>
          <w:rFonts w:ascii="Calibri Light" w:eastAsia="Times New Roman" w:hAnsi="Calibri Light" w:cs="Times New Roman"/>
          <w:color w:val="auto"/>
          <w:lang w:eastAsia="en-AU"/>
        </w:rPr>
        <w:t>system</w:t>
      </w:r>
      <w:r w:rsidR="1240AC07" w:rsidRPr="56B9585A">
        <w:rPr>
          <w:rFonts w:ascii="Calibri Light" w:eastAsia="Times New Roman" w:hAnsi="Calibri Light" w:cs="Times New Roman"/>
          <w:color w:val="auto"/>
          <w:lang w:eastAsia="en-AU"/>
        </w:rPr>
        <w:t xml:space="preserve"> and will encourage firms to invest in the necessary skill</w:t>
      </w:r>
      <w:r w:rsidR="0777DA5C" w:rsidRPr="56B9585A">
        <w:rPr>
          <w:rFonts w:ascii="Calibri Light" w:eastAsia="Times New Roman" w:hAnsi="Calibri Light" w:cs="Times New Roman"/>
          <w:color w:val="auto"/>
          <w:lang w:eastAsia="en-AU"/>
        </w:rPr>
        <w:t xml:space="preserve">s to enhance the quality and efficiency of reporting. </w:t>
      </w:r>
    </w:p>
    <w:p w14:paraId="1D5B94D8" w14:textId="6984E5A4" w:rsidR="00EB1629" w:rsidRDefault="00BC58BA" w:rsidP="004A01F1">
      <w:pPr>
        <w:pStyle w:val="Heading2"/>
      </w:pPr>
      <w:bookmarkStart w:id="20" w:name="_Toc144742109"/>
      <w:r>
        <w:t>Estimated costs</w:t>
      </w:r>
      <w:r w:rsidR="00361E9E">
        <w:t xml:space="preserve"> </w:t>
      </w:r>
      <w:r w:rsidR="002E29F9">
        <w:t>of implementation</w:t>
      </w:r>
      <w:bookmarkEnd w:id="20"/>
    </w:p>
    <w:p w14:paraId="0C1E76D2" w14:textId="410FAB91" w:rsidR="00BC58BA" w:rsidRPr="0030627C" w:rsidRDefault="00BC58BA" w:rsidP="00BC58BA">
      <w:pPr>
        <w:pStyle w:val="BodyText"/>
        <w:rPr>
          <w:rFonts w:ascii="Calibri Light" w:eastAsia="Times New Roman" w:hAnsi="Calibri Light" w:cs="Times New Roman"/>
          <w:color w:val="auto"/>
          <w:szCs w:val="20"/>
          <w:lang w:eastAsia="en-AU"/>
        </w:rPr>
      </w:pPr>
      <w:r w:rsidRPr="442A2D2B">
        <w:rPr>
          <w:rFonts w:ascii="Calibri Light" w:eastAsia="Times New Roman" w:hAnsi="Calibri Light" w:cs="Times New Roman"/>
          <w:color w:val="auto"/>
          <w:lang w:eastAsia="en-AU"/>
        </w:rPr>
        <w:t xml:space="preserve">The adoption of new standards for climate reporting </w:t>
      </w:r>
      <w:r w:rsidR="00B65D22">
        <w:rPr>
          <w:rFonts w:ascii="Calibri Light" w:eastAsia="Times New Roman" w:hAnsi="Calibri Light" w:cs="Times New Roman"/>
          <w:color w:val="auto"/>
          <w:lang w:eastAsia="en-AU"/>
        </w:rPr>
        <w:t xml:space="preserve">will </w:t>
      </w:r>
      <w:r w:rsidR="0036255C">
        <w:rPr>
          <w:rFonts w:ascii="Calibri Light" w:eastAsia="Times New Roman" w:hAnsi="Calibri Light" w:cs="Times New Roman"/>
          <w:color w:val="auto"/>
          <w:lang w:eastAsia="en-AU"/>
        </w:rPr>
        <w:t xml:space="preserve">increase </w:t>
      </w:r>
      <w:r w:rsidR="00310D4B">
        <w:rPr>
          <w:rFonts w:ascii="Calibri Light" w:eastAsia="Times New Roman" w:hAnsi="Calibri Light" w:cs="Times New Roman"/>
          <w:color w:val="auto"/>
          <w:lang w:eastAsia="en-AU"/>
        </w:rPr>
        <w:t xml:space="preserve">compliance </w:t>
      </w:r>
      <w:r w:rsidR="0036255C">
        <w:rPr>
          <w:rFonts w:ascii="Calibri Light" w:eastAsia="Times New Roman" w:hAnsi="Calibri Light" w:cs="Times New Roman"/>
          <w:color w:val="auto"/>
          <w:lang w:eastAsia="en-AU"/>
        </w:rPr>
        <w:t xml:space="preserve">costs as well as </w:t>
      </w:r>
      <w:r w:rsidR="00B65D22">
        <w:rPr>
          <w:rFonts w:ascii="Calibri Light" w:eastAsia="Times New Roman" w:hAnsi="Calibri Light" w:cs="Times New Roman"/>
          <w:color w:val="auto"/>
          <w:lang w:eastAsia="en-AU"/>
        </w:rPr>
        <w:t>bringing benefits to reporting entities and the broader economy</w:t>
      </w:r>
      <w:r w:rsidRPr="442A2D2B">
        <w:rPr>
          <w:rFonts w:ascii="Calibri Light" w:eastAsia="Times New Roman" w:hAnsi="Calibri Light" w:cs="Times New Roman"/>
          <w:color w:val="auto"/>
          <w:lang w:eastAsia="en-AU"/>
        </w:rPr>
        <w:t xml:space="preserve">. </w:t>
      </w:r>
      <w:r>
        <w:rPr>
          <w:rFonts w:ascii="Calibri Light" w:eastAsia="Times New Roman" w:hAnsi="Calibri Light" w:cs="Times New Roman"/>
          <w:color w:val="auto"/>
          <w:lang w:eastAsia="en-AU"/>
        </w:rPr>
        <w:t>For example, i</w:t>
      </w:r>
      <w:r w:rsidRPr="442A2D2B">
        <w:rPr>
          <w:rFonts w:ascii="Calibri Light" w:eastAsia="Times New Roman" w:hAnsi="Calibri Light" w:cs="Times New Roman"/>
          <w:color w:val="auto"/>
          <w:lang w:eastAsia="en-AU"/>
        </w:rPr>
        <w:t>n Australia, converting to new accounting standards has been approximated to cost between $</w:t>
      </w:r>
      <w:r w:rsidR="000C22E1">
        <w:rPr>
          <w:rFonts w:ascii="Calibri Light" w:eastAsia="Times New Roman" w:hAnsi="Calibri Light" w:cs="Times New Roman"/>
          <w:color w:val="auto"/>
          <w:lang w:eastAsia="en-AU"/>
        </w:rPr>
        <w:t>78</w:t>
      </w:r>
      <w:r w:rsidR="00363D2C">
        <w:rPr>
          <w:rFonts w:ascii="Calibri Light" w:eastAsia="Times New Roman" w:hAnsi="Calibri Light" w:cs="Times New Roman"/>
          <w:color w:val="auto"/>
          <w:lang w:eastAsia="en-AU"/>
        </w:rPr>
        <w:t>4</w:t>
      </w:r>
      <w:r w:rsidR="007547EA">
        <w:rPr>
          <w:rFonts w:ascii="Calibri Light" w:eastAsia="Times New Roman" w:hAnsi="Calibri Light" w:cs="Times New Roman"/>
          <w:color w:val="auto"/>
          <w:lang w:eastAsia="en-AU"/>
        </w:rPr>
        <w:t>,648</w:t>
      </w:r>
      <w:r w:rsidRPr="442A2D2B">
        <w:rPr>
          <w:rFonts w:ascii="Calibri Light" w:eastAsia="Times New Roman" w:hAnsi="Calibri Light" w:cs="Times New Roman"/>
          <w:color w:val="auto"/>
          <w:lang w:eastAsia="en-AU"/>
        </w:rPr>
        <w:t xml:space="preserve"> </w:t>
      </w:r>
      <w:r>
        <w:rPr>
          <w:rFonts w:ascii="Calibri Light" w:eastAsia="Times New Roman" w:hAnsi="Calibri Light" w:cs="Times New Roman"/>
          <w:color w:val="auto"/>
          <w:lang w:eastAsia="en-AU"/>
        </w:rPr>
        <w:t>and</w:t>
      </w:r>
      <w:r w:rsidRPr="442A2D2B">
        <w:rPr>
          <w:rFonts w:ascii="Calibri Light" w:eastAsia="Times New Roman" w:hAnsi="Calibri Light" w:cs="Times New Roman"/>
          <w:color w:val="auto"/>
          <w:lang w:eastAsia="en-AU"/>
        </w:rPr>
        <w:t xml:space="preserve"> $1</w:t>
      </w:r>
      <w:r w:rsidR="007F1F1C">
        <w:rPr>
          <w:rFonts w:ascii="Calibri Light" w:eastAsia="Times New Roman" w:hAnsi="Calibri Light" w:cs="Times New Roman"/>
          <w:color w:val="auto"/>
          <w:lang w:eastAsia="en-AU"/>
        </w:rPr>
        <w:t>,569,295</w:t>
      </w:r>
      <w:r w:rsidR="000F1465">
        <w:rPr>
          <w:rFonts w:ascii="Calibri Light" w:eastAsia="Times New Roman" w:hAnsi="Calibri Light" w:cs="Times New Roman"/>
          <w:color w:val="auto"/>
          <w:lang w:eastAsia="en-AU"/>
        </w:rPr>
        <w:t xml:space="preserve"> </w:t>
      </w:r>
      <w:r w:rsidRPr="442A2D2B">
        <w:rPr>
          <w:rFonts w:ascii="Calibri Light" w:eastAsia="Times New Roman" w:hAnsi="Calibri Light" w:cs="Times New Roman"/>
          <w:color w:val="auto"/>
          <w:lang w:eastAsia="en-AU"/>
        </w:rPr>
        <w:t>per company</w:t>
      </w:r>
      <w:r w:rsidR="00BC6AFE">
        <w:rPr>
          <w:rFonts w:ascii="Calibri Light" w:eastAsia="Times New Roman" w:hAnsi="Calibri Light" w:cs="Times New Roman"/>
          <w:color w:val="auto"/>
          <w:lang w:eastAsia="en-AU"/>
        </w:rPr>
        <w:t xml:space="preserve"> (1AUD = 0.64 USD)</w:t>
      </w:r>
      <w:r w:rsidRPr="442A2D2B">
        <w:rPr>
          <w:rFonts w:ascii="Calibri Light" w:eastAsia="Times New Roman" w:hAnsi="Calibri Light" w:cs="Times New Roman"/>
          <w:color w:val="auto"/>
          <w:lang w:eastAsia="en-AU"/>
        </w:rPr>
        <w:t>. Additionally, a study using publicly traded Australian companies has shown that adoption of IFRS</w:t>
      </w:r>
      <w:r>
        <w:t xml:space="preserve"> </w:t>
      </w:r>
      <w:r w:rsidRPr="442A2D2B">
        <w:rPr>
          <w:rFonts w:ascii="Calibri Light" w:eastAsia="Times New Roman" w:hAnsi="Calibri Light" w:cs="Times New Roman"/>
          <w:color w:val="auto"/>
          <w:lang w:eastAsia="en-AU"/>
        </w:rPr>
        <w:t>standards increased the mean level of audit costs by 23 percent</w:t>
      </w:r>
      <w:r w:rsidRPr="442A2D2B">
        <w:rPr>
          <w:rFonts w:ascii="Calibri Light" w:eastAsia="Times New Roman" w:hAnsi="Calibri Light" w:cs="Times New Roman"/>
          <w:color w:val="auto"/>
          <w:vertAlign w:val="superscript"/>
          <w:lang w:eastAsia="en-AU"/>
        </w:rPr>
        <w:footnoteReference w:id="32"/>
      </w:r>
      <w:r w:rsidRPr="442A2D2B">
        <w:rPr>
          <w:rFonts w:ascii="Calibri Light" w:eastAsia="Times New Roman" w:hAnsi="Calibri Light" w:cs="Times New Roman"/>
          <w:color w:val="auto"/>
          <w:lang w:eastAsia="en-AU"/>
        </w:rPr>
        <w:t>. As expected, this study finds that greater audit complexity leads to increases in compliance costs during the transition to new accounting standards.</w:t>
      </w:r>
      <w:r>
        <w:rPr>
          <w:rFonts w:ascii="Calibri Light" w:eastAsia="Times New Roman" w:hAnsi="Calibri Light" w:cs="Times New Roman"/>
          <w:color w:val="auto"/>
          <w:lang w:eastAsia="en-AU"/>
        </w:rPr>
        <w:t xml:space="preserve"> </w:t>
      </w:r>
      <w:r w:rsidRPr="00F630EE">
        <w:rPr>
          <w:rFonts w:ascii="Calibri Light" w:eastAsia="Times New Roman" w:hAnsi="Calibri Light" w:cs="Times New Roman"/>
          <w:b/>
          <w:bCs/>
          <w:color w:val="auto"/>
          <w:lang w:eastAsia="en-AU"/>
        </w:rPr>
        <w:t xml:space="preserve">Appendix </w:t>
      </w:r>
      <w:r w:rsidR="008E7286">
        <w:rPr>
          <w:rFonts w:ascii="Calibri Light" w:eastAsia="Times New Roman" w:hAnsi="Calibri Light" w:cs="Times New Roman"/>
          <w:b/>
          <w:bCs/>
          <w:color w:val="auto"/>
          <w:lang w:eastAsia="en-AU"/>
        </w:rPr>
        <w:t>A</w:t>
      </w:r>
      <w:r>
        <w:rPr>
          <w:rFonts w:ascii="Calibri Light" w:eastAsia="Times New Roman" w:hAnsi="Calibri Light" w:cs="Times New Roman"/>
          <w:color w:val="auto"/>
          <w:lang w:eastAsia="en-AU"/>
        </w:rPr>
        <w:t xml:space="preserve"> provides an overview of costs estimated by other jurisdictions that are considering</w:t>
      </w:r>
      <w:r w:rsidR="00310D4B">
        <w:rPr>
          <w:rFonts w:ascii="Calibri Light" w:eastAsia="Times New Roman" w:hAnsi="Calibri Light" w:cs="Times New Roman"/>
          <w:color w:val="auto"/>
          <w:lang w:eastAsia="en-AU"/>
        </w:rPr>
        <w:t xml:space="preserve"> or </w:t>
      </w:r>
      <w:r>
        <w:rPr>
          <w:rFonts w:ascii="Calibri Light" w:eastAsia="Times New Roman" w:hAnsi="Calibri Light" w:cs="Times New Roman"/>
          <w:color w:val="auto"/>
          <w:lang w:eastAsia="en-AU"/>
        </w:rPr>
        <w:t xml:space="preserve">have </w:t>
      </w:r>
      <w:r w:rsidR="00310D4B">
        <w:rPr>
          <w:rFonts w:ascii="Calibri Light" w:eastAsia="Times New Roman" w:hAnsi="Calibri Light" w:cs="Times New Roman"/>
          <w:color w:val="auto"/>
          <w:lang w:eastAsia="en-AU"/>
        </w:rPr>
        <w:t xml:space="preserve">already </w:t>
      </w:r>
      <w:r>
        <w:rPr>
          <w:rFonts w:ascii="Calibri Light" w:eastAsia="Times New Roman" w:hAnsi="Calibri Light" w:cs="Times New Roman"/>
          <w:color w:val="auto"/>
          <w:lang w:eastAsia="en-AU"/>
        </w:rPr>
        <w:t>mandated climate-related financial disclosures on a subset of reporting entities.</w:t>
      </w:r>
    </w:p>
    <w:p w14:paraId="7D3F8D91" w14:textId="77777777" w:rsidR="00BC58BA" w:rsidRDefault="00BC58BA" w:rsidP="004A01F1">
      <w:pPr>
        <w:pStyle w:val="Heading3"/>
      </w:pPr>
      <w:bookmarkStart w:id="21" w:name="_Toc144742110"/>
      <w:r>
        <w:t>Data sources</w:t>
      </w:r>
      <w:bookmarkEnd w:id="21"/>
    </w:p>
    <w:p w14:paraId="0A26E14D" w14:textId="77777777" w:rsidR="00BC58BA" w:rsidRDefault="00BC58BA" w:rsidP="00BC58BA">
      <w:pPr>
        <w:pStyle w:val="BodyText"/>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Data for entities captured under implementation options</w:t>
      </w:r>
      <w:r w:rsidRPr="007C5D91">
        <w:rPr>
          <w:rFonts w:ascii="Calibri Light" w:eastAsia="Times New Roman" w:hAnsi="Calibri Light" w:cs="Times New Roman"/>
          <w:color w:val="auto"/>
          <w:szCs w:val="20"/>
          <w:lang w:eastAsia="en-AU"/>
        </w:rPr>
        <w:t xml:space="preserve"> </w:t>
      </w:r>
      <w:r>
        <w:rPr>
          <w:rFonts w:ascii="Calibri Light" w:eastAsia="Times New Roman" w:hAnsi="Calibri Light" w:cs="Times New Roman"/>
          <w:color w:val="auto"/>
          <w:szCs w:val="20"/>
          <w:lang w:eastAsia="en-AU"/>
        </w:rPr>
        <w:t>was</w:t>
      </w:r>
      <w:r w:rsidRPr="007C5D91">
        <w:rPr>
          <w:rFonts w:ascii="Calibri Light" w:eastAsia="Times New Roman" w:hAnsi="Calibri Light" w:cs="Times New Roman"/>
          <w:color w:val="auto"/>
          <w:szCs w:val="20"/>
          <w:lang w:eastAsia="en-AU"/>
        </w:rPr>
        <w:t xml:space="preserve"> sourced from the Australian Bureau of Statistic’s Business Longitudinal Analysis Data Environment (BLADE), the Australian Tax Office’s Pay as you go (PAYG), Business Activity Statement (BAS), Business Income Tax (BIT) and the Clean Energy Regulator’s NGER data. Despite the number of data sources, there is still significant uncertainty in the number of covered entities as many of these data sets are </w:t>
      </w:r>
      <w:r>
        <w:rPr>
          <w:rFonts w:ascii="Calibri Light" w:eastAsia="Times New Roman" w:hAnsi="Calibri Light" w:cs="Times New Roman"/>
          <w:color w:val="auto"/>
          <w:szCs w:val="20"/>
          <w:lang w:eastAsia="en-AU"/>
        </w:rPr>
        <w:t>incomplete</w:t>
      </w:r>
      <w:r w:rsidRPr="007C5D91">
        <w:rPr>
          <w:rFonts w:ascii="Calibri Light" w:eastAsia="Times New Roman" w:hAnsi="Calibri Light" w:cs="Times New Roman"/>
          <w:color w:val="auto"/>
          <w:szCs w:val="20"/>
          <w:lang w:eastAsia="en-AU"/>
        </w:rPr>
        <w:t xml:space="preserve">. </w:t>
      </w:r>
      <w:r>
        <w:rPr>
          <w:rFonts w:ascii="Calibri Light" w:eastAsia="Times New Roman" w:hAnsi="Calibri Light" w:cs="Times New Roman"/>
          <w:color w:val="auto"/>
          <w:szCs w:val="20"/>
          <w:lang w:eastAsia="en-AU"/>
        </w:rPr>
        <w:t>The thresholds for inclusion in Group 1 are broadly equivalent to the characteristics of the 200</w:t>
      </w:r>
      <w:r w:rsidRPr="0016485E">
        <w:rPr>
          <w:rFonts w:ascii="Calibri Light" w:eastAsia="Times New Roman" w:hAnsi="Calibri Light" w:cs="Times New Roman"/>
          <w:color w:val="auto"/>
          <w:szCs w:val="20"/>
          <w:vertAlign w:val="superscript"/>
          <w:lang w:eastAsia="en-AU"/>
        </w:rPr>
        <w:t>th</w:t>
      </w:r>
      <w:r>
        <w:rPr>
          <w:rFonts w:ascii="Calibri Light" w:eastAsia="Times New Roman" w:hAnsi="Calibri Light" w:cs="Times New Roman"/>
          <w:color w:val="auto"/>
          <w:szCs w:val="20"/>
          <w:lang w:eastAsia="en-AU"/>
        </w:rPr>
        <w:t xml:space="preserve"> company in the ASX200, while the thresholds for Group 2 are broadly equivalent to the characteristics of the 300</w:t>
      </w:r>
      <w:r w:rsidRPr="0016485E">
        <w:rPr>
          <w:rFonts w:ascii="Calibri Light" w:eastAsia="Times New Roman" w:hAnsi="Calibri Light" w:cs="Times New Roman"/>
          <w:color w:val="auto"/>
          <w:szCs w:val="20"/>
          <w:vertAlign w:val="superscript"/>
          <w:lang w:eastAsia="en-AU"/>
        </w:rPr>
        <w:t>th</w:t>
      </w:r>
      <w:r>
        <w:rPr>
          <w:rFonts w:ascii="Calibri Light" w:eastAsia="Times New Roman" w:hAnsi="Calibri Light" w:cs="Times New Roman"/>
          <w:color w:val="auto"/>
          <w:szCs w:val="20"/>
          <w:lang w:eastAsia="en-AU"/>
        </w:rPr>
        <w:t xml:space="preserve"> company in the ASX 300. For the purposes of this analysis, we extrapolate from ASX100 and ASX200 data to estimate the number of companies already voluntarily reporting and those that will be additional under a mandatory regime.</w:t>
      </w:r>
    </w:p>
    <w:p w14:paraId="109DF090" w14:textId="77777777" w:rsidR="00BC58BA" w:rsidRDefault="00BC58BA" w:rsidP="00BC58BA">
      <w:pPr>
        <w:pStyle w:val="BodyText"/>
        <w:rPr>
          <w:rFonts w:ascii="Calibri Light" w:hAnsi="Calibri Light" w:cs="Calibri Light"/>
        </w:rPr>
      </w:pPr>
      <w:r>
        <w:rPr>
          <w:rFonts w:ascii="Calibri Light" w:eastAsia="Times New Roman" w:hAnsi="Calibri Light" w:cs="Times New Roman"/>
          <w:color w:val="auto"/>
          <w:szCs w:val="20"/>
          <w:lang w:eastAsia="en-AU"/>
        </w:rPr>
        <w:t xml:space="preserve">Regulatory </w:t>
      </w:r>
      <w:r w:rsidRPr="007C5D91">
        <w:rPr>
          <w:rFonts w:ascii="Calibri Light" w:eastAsia="Times New Roman" w:hAnsi="Calibri Light" w:cs="Times New Roman"/>
          <w:color w:val="auto"/>
          <w:szCs w:val="20"/>
          <w:lang w:eastAsia="en-AU"/>
        </w:rPr>
        <w:t>burden estimates</w:t>
      </w:r>
      <w:r>
        <w:rPr>
          <w:rFonts w:ascii="Calibri Light" w:eastAsia="Times New Roman" w:hAnsi="Calibri Light" w:cs="Times New Roman"/>
          <w:color w:val="auto"/>
          <w:szCs w:val="20"/>
          <w:lang w:eastAsia="en-AU"/>
        </w:rPr>
        <w:t xml:space="preserve"> have been informed by</w:t>
      </w:r>
      <w:r w:rsidRPr="007C5D91">
        <w:rPr>
          <w:rFonts w:ascii="Calibri Light" w:eastAsia="Times New Roman" w:hAnsi="Calibri Light" w:cs="Times New Roman"/>
          <w:color w:val="auto"/>
          <w:szCs w:val="20"/>
          <w:lang w:eastAsia="en-AU"/>
        </w:rPr>
        <w:t xml:space="preserve"> submissions and consultation,</w:t>
      </w:r>
      <w:r>
        <w:t xml:space="preserve"> </w:t>
      </w:r>
      <w:r w:rsidRPr="007C5D91">
        <w:rPr>
          <w:rFonts w:ascii="Calibri Light" w:hAnsi="Calibri Light" w:cs="Calibri Light"/>
        </w:rPr>
        <w:t xml:space="preserve">the </w:t>
      </w:r>
      <w:r w:rsidRPr="007C5D91">
        <w:rPr>
          <w:rFonts w:ascii="Calibri Light" w:hAnsi="Calibri Light" w:cs="Calibri Light"/>
          <w:i/>
        </w:rPr>
        <w:t>UK Impact Analysis</w:t>
      </w:r>
      <w:r w:rsidRPr="007C5D91">
        <w:rPr>
          <w:rFonts w:ascii="Calibri Light" w:hAnsi="Calibri Light" w:cs="Calibri Light"/>
        </w:rPr>
        <w:t xml:space="preserve">, the SEC’s </w:t>
      </w:r>
      <w:r w:rsidRPr="007C5D91">
        <w:rPr>
          <w:rFonts w:ascii="Calibri Light" w:hAnsi="Calibri Light" w:cs="Calibri Light"/>
          <w:i/>
        </w:rPr>
        <w:t>Proposed Rule: The Enhancement and Standardization of Climate-Related Disclosures</w:t>
      </w:r>
      <w:r w:rsidRPr="004F66CC">
        <w:rPr>
          <w:rFonts w:ascii="Calibri Light" w:hAnsi="Calibri Light"/>
          <w:i/>
        </w:rPr>
        <w:t xml:space="preserve"> for </w:t>
      </w:r>
      <w:r w:rsidRPr="007C5D91">
        <w:rPr>
          <w:rFonts w:ascii="Calibri Light" w:hAnsi="Calibri Light" w:cs="Calibri Light"/>
          <w:i/>
        </w:rPr>
        <w:t>Investors</w:t>
      </w:r>
      <w:r w:rsidRPr="007C5D91">
        <w:rPr>
          <w:rFonts w:ascii="Calibri Light" w:hAnsi="Calibri Light" w:cs="Calibri Light"/>
        </w:rPr>
        <w:t xml:space="preserve"> and various academic studies – underpinned by </w:t>
      </w:r>
      <w:r w:rsidRPr="004F66CC">
        <w:rPr>
          <w:rFonts w:ascii="Calibri Light" w:hAnsi="Calibri Light"/>
        </w:rPr>
        <w:t xml:space="preserve">the </w:t>
      </w:r>
      <w:r w:rsidRPr="004F66CC">
        <w:rPr>
          <w:rFonts w:ascii="Calibri Light" w:hAnsi="Calibri Light"/>
          <w:i/>
        </w:rPr>
        <w:t xml:space="preserve">Regulatory Burden Measurement </w:t>
      </w:r>
      <w:r w:rsidRPr="007C5D91">
        <w:rPr>
          <w:rFonts w:ascii="Calibri Light" w:hAnsi="Calibri Light" w:cs="Calibri Light"/>
          <w:i/>
        </w:rPr>
        <w:t>Framework</w:t>
      </w:r>
      <w:r w:rsidRPr="007C5D91">
        <w:rPr>
          <w:rFonts w:ascii="Calibri Light" w:hAnsi="Calibri Light" w:cs="Calibri Light"/>
        </w:rPr>
        <w:t>.</w:t>
      </w:r>
    </w:p>
    <w:p w14:paraId="5D69F1E4" w14:textId="2023A4D7" w:rsidR="00EB1629" w:rsidRDefault="00361E9E" w:rsidP="004A01F1">
      <w:pPr>
        <w:pStyle w:val="Heading3"/>
      </w:pPr>
      <w:bookmarkStart w:id="22" w:name="_Toc144742111"/>
      <w:r>
        <w:t>Methodology</w:t>
      </w:r>
      <w:bookmarkEnd w:id="22"/>
    </w:p>
    <w:p w14:paraId="4471A659" w14:textId="77777777" w:rsidR="00EB1629" w:rsidRPr="0030627C" w:rsidRDefault="00EB1629" w:rsidP="00EB1629">
      <w:pPr>
        <w:pStyle w:val="BodyText"/>
        <w:rPr>
          <w:rFonts w:ascii="Calibri Light" w:eastAsia="Times New Roman" w:hAnsi="Calibri Light" w:cs="Times New Roman"/>
          <w:color w:val="auto"/>
          <w:szCs w:val="20"/>
          <w:lang w:eastAsia="en-AU"/>
        </w:rPr>
      </w:pPr>
      <w:r w:rsidRPr="442A2D2B">
        <w:rPr>
          <w:rFonts w:ascii="Calibri Light" w:eastAsia="Times New Roman" w:hAnsi="Calibri Light" w:cs="Times New Roman"/>
          <w:color w:val="auto"/>
          <w:lang w:eastAsia="en-AU"/>
        </w:rPr>
        <w:t>Much of the costs in this policy impact analysis are based on the ‘UK Impact Analysis’</w:t>
      </w:r>
      <w:r w:rsidRPr="442A2D2B">
        <w:rPr>
          <w:rFonts w:ascii="Calibri Light" w:eastAsia="Times New Roman" w:hAnsi="Calibri Light" w:cs="Times New Roman"/>
          <w:color w:val="auto"/>
          <w:vertAlign w:val="superscript"/>
          <w:lang w:eastAsia="en-AU"/>
        </w:rPr>
        <w:footnoteReference w:id="33"/>
      </w:r>
      <w:r w:rsidRPr="442A2D2B">
        <w:rPr>
          <w:rFonts w:ascii="Calibri Light" w:eastAsia="Times New Roman" w:hAnsi="Calibri Light" w:cs="Times New Roman"/>
          <w:color w:val="auto"/>
          <w:lang w:eastAsia="en-AU"/>
        </w:rPr>
        <w:t>, which provides a more granular breakdown of initial and ongoing costs compared to more general costings provided in surveys, analysis and submissions to the US, NZ and to Treasury. Where relevant and available we have used data from submissions.</w:t>
      </w:r>
    </w:p>
    <w:p w14:paraId="57077B19" w14:textId="5B5762EB" w:rsidR="00EB1629" w:rsidRPr="0030627C" w:rsidRDefault="00EB1629" w:rsidP="00EB1629">
      <w:pPr>
        <w:pStyle w:val="BodyText"/>
        <w:rPr>
          <w:rFonts w:ascii="Calibri Light" w:eastAsia="Times New Roman" w:hAnsi="Calibri Light" w:cs="Times New Roman"/>
          <w:color w:val="auto"/>
          <w:szCs w:val="20"/>
          <w:lang w:eastAsia="en-AU"/>
        </w:rPr>
      </w:pPr>
      <w:r w:rsidRPr="442A2D2B">
        <w:rPr>
          <w:rFonts w:ascii="Calibri Light" w:eastAsia="Times New Roman" w:hAnsi="Calibri Light" w:cs="Times New Roman"/>
          <w:color w:val="auto"/>
          <w:lang w:eastAsia="en-AU"/>
        </w:rPr>
        <w:t>While the UK’s analysis was based on mandating the recommendations by the TCFD, Australia’s standards are expected to align most closely with the ISSB, going further in areas such as climate</w:t>
      </w:r>
      <w:r w:rsidR="00CD4A9D">
        <w:rPr>
          <w:rFonts w:ascii="Calibri Light" w:eastAsia="Times New Roman" w:hAnsi="Calibri Light" w:cs="Times New Roman"/>
          <w:color w:val="auto"/>
          <w:lang w:eastAsia="en-AU"/>
        </w:rPr>
        <w:noBreakHyphen/>
      </w:r>
      <w:r w:rsidRPr="442A2D2B">
        <w:rPr>
          <w:rFonts w:ascii="Calibri Light" w:eastAsia="Times New Roman" w:hAnsi="Calibri Light" w:cs="Times New Roman"/>
          <w:color w:val="auto"/>
          <w:lang w:eastAsia="en-AU"/>
        </w:rPr>
        <w:t xml:space="preserve">related scenario analysis, while mitigating some of the burden through relief mechanisms described below. It is expected that Australia’s requirements will be more costly to comply with than for the TCFD in the UK and this has been reflected in the breakdown of costs. While staffing requirements are at the analyst, </w:t>
      </w:r>
      <w:proofErr w:type="gramStart"/>
      <w:r w:rsidRPr="442A2D2B">
        <w:rPr>
          <w:rFonts w:ascii="Calibri Light" w:eastAsia="Times New Roman" w:hAnsi="Calibri Light" w:cs="Times New Roman"/>
          <w:color w:val="auto"/>
          <w:lang w:eastAsia="en-AU"/>
        </w:rPr>
        <w:t>manager</w:t>
      </w:r>
      <w:proofErr w:type="gramEnd"/>
      <w:r w:rsidRPr="442A2D2B">
        <w:rPr>
          <w:rFonts w:ascii="Calibri Light" w:eastAsia="Times New Roman" w:hAnsi="Calibri Light" w:cs="Times New Roman"/>
          <w:color w:val="auto"/>
          <w:lang w:eastAsia="en-AU"/>
        </w:rPr>
        <w:t xml:space="preserve"> and executive level, we have blended various salaries based on roles and responsibilities (this includes roles such as financial controller, finance manager, group accountant, commercial analyst, financial accountant, systems accountant etc.). The blended salary is close to $140,000 according to the 2023 Hays Salary Guide</w:t>
      </w:r>
      <w:r w:rsidRPr="442A2D2B">
        <w:rPr>
          <w:rFonts w:ascii="Calibri Light" w:eastAsia="Times New Roman" w:hAnsi="Calibri Light" w:cs="Times New Roman"/>
          <w:color w:val="auto"/>
          <w:vertAlign w:val="superscript"/>
          <w:lang w:eastAsia="en-AU"/>
        </w:rPr>
        <w:footnoteReference w:id="34"/>
      </w:r>
      <w:r w:rsidRPr="442A2D2B">
        <w:rPr>
          <w:rFonts w:ascii="Calibri Light" w:eastAsia="Times New Roman" w:hAnsi="Calibri Light" w:cs="Times New Roman"/>
          <w:color w:val="auto"/>
          <w:lang w:eastAsia="en-AU"/>
        </w:rPr>
        <w:t>.</w:t>
      </w:r>
    </w:p>
    <w:p w14:paraId="550A54F5" w14:textId="1C9E22E9" w:rsidR="00EB1629" w:rsidRDefault="00EB1629" w:rsidP="004A01F1">
      <w:pPr>
        <w:pStyle w:val="Heading3"/>
      </w:pPr>
      <w:bookmarkStart w:id="23" w:name="_Toc141895097"/>
      <w:bookmarkStart w:id="24" w:name="_Toc144742112"/>
      <w:r>
        <w:t>Status quo</w:t>
      </w:r>
      <w:bookmarkEnd w:id="23"/>
      <w:bookmarkEnd w:id="24"/>
    </w:p>
    <w:p w14:paraId="390FE70A" w14:textId="559E4EEE" w:rsidR="00560309" w:rsidRPr="004A01F1" w:rsidRDefault="00560309" w:rsidP="004A01F1">
      <w:pPr>
        <w:pStyle w:val="Heading4"/>
      </w:pPr>
      <w:r w:rsidRPr="004A01F1">
        <w:t>Affected cohort</w:t>
      </w:r>
    </w:p>
    <w:p w14:paraId="13696BC0" w14:textId="777EDE3A" w:rsidR="00560309" w:rsidRDefault="00560309" w:rsidP="00560309">
      <w:pPr>
        <w:pStyle w:val="BodyText"/>
        <w:rPr>
          <w:rFonts w:ascii="Calibri Light" w:eastAsia="Times New Roman" w:hAnsi="Calibri Light" w:cs="Times New Roman"/>
          <w:color w:val="auto"/>
          <w:szCs w:val="20"/>
          <w:lang w:eastAsia="en-AU"/>
        </w:rPr>
      </w:pPr>
      <w:r w:rsidRPr="00B012BB">
        <w:rPr>
          <w:rFonts w:ascii="Calibri Light" w:eastAsia="Times New Roman" w:hAnsi="Calibri Light" w:cs="Times New Roman"/>
          <w:color w:val="auto"/>
          <w:szCs w:val="20"/>
          <w:lang w:eastAsia="en-AU"/>
        </w:rPr>
        <w:t>The number of affected entities var</w:t>
      </w:r>
      <w:r>
        <w:rPr>
          <w:rFonts w:ascii="Calibri Light" w:eastAsia="Times New Roman" w:hAnsi="Calibri Light" w:cs="Times New Roman"/>
          <w:color w:val="auto"/>
          <w:szCs w:val="20"/>
          <w:lang w:eastAsia="en-AU"/>
        </w:rPr>
        <w:t>ies</w:t>
      </w:r>
      <w:r w:rsidRPr="00B012BB">
        <w:rPr>
          <w:rFonts w:ascii="Calibri Light" w:eastAsia="Times New Roman" w:hAnsi="Calibri Light" w:cs="Times New Roman"/>
          <w:color w:val="auto"/>
          <w:szCs w:val="20"/>
          <w:lang w:eastAsia="en-AU"/>
        </w:rPr>
        <w:t xml:space="preserve"> depending on the option</w:t>
      </w:r>
      <w:r>
        <w:rPr>
          <w:rFonts w:ascii="Calibri Light" w:eastAsia="Times New Roman" w:hAnsi="Calibri Light" w:cs="Times New Roman"/>
          <w:color w:val="auto"/>
          <w:szCs w:val="20"/>
          <w:lang w:eastAsia="en-AU"/>
        </w:rPr>
        <w:t xml:space="preserve"> and also has an impact on the total regulatory burden. The sensitivity analysis at </w:t>
      </w:r>
      <w:r w:rsidRPr="00563309">
        <w:rPr>
          <w:rFonts w:ascii="Calibri Light" w:eastAsia="Times New Roman" w:hAnsi="Calibri Light" w:cs="Times New Roman"/>
          <w:b/>
          <w:bCs/>
          <w:color w:val="auto"/>
          <w:szCs w:val="20"/>
          <w:lang w:eastAsia="en-AU"/>
        </w:rPr>
        <w:t xml:space="preserve">Appendix </w:t>
      </w:r>
      <w:r w:rsidR="008E7286">
        <w:rPr>
          <w:rFonts w:ascii="Calibri Light" w:eastAsia="Times New Roman" w:hAnsi="Calibri Light" w:cs="Times New Roman"/>
          <w:b/>
          <w:bCs/>
          <w:color w:val="auto"/>
          <w:szCs w:val="20"/>
          <w:lang w:eastAsia="en-AU"/>
        </w:rPr>
        <w:t>B</w:t>
      </w:r>
      <w:r>
        <w:rPr>
          <w:rFonts w:ascii="Calibri Light" w:eastAsia="Times New Roman" w:hAnsi="Calibri Light" w:cs="Times New Roman"/>
          <w:color w:val="auto"/>
          <w:szCs w:val="20"/>
          <w:lang w:eastAsia="en-AU"/>
        </w:rPr>
        <w:t xml:space="preserve"> tests the impact of higher and lower affected cohorts on regulatory burden</w:t>
      </w:r>
      <w:r w:rsidR="008E7286">
        <w:rPr>
          <w:rFonts w:ascii="Calibri Light" w:eastAsia="Times New Roman" w:hAnsi="Calibri Light" w:cs="Times New Roman"/>
          <w:color w:val="auto"/>
          <w:szCs w:val="20"/>
          <w:lang w:eastAsia="en-AU"/>
        </w:rPr>
        <w:t xml:space="preserve"> under status quo and all three implementation options.</w:t>
      </w:r>
    </w:p>
    <w:p w14:paraId="0A5BBE2A" w14:textId="2BA2E8DA" w:rsidR="00560309" w:rsidRDefault="00560309" w:rsidP="00560309">
      <w:pPr>
        <w:pStyle w:val="BodyText"/>
      </w:pPr>
      <w:r w:rsidRPr="26A0AA83">
        <w:rPr>
          <w:rFonts w:ascii="Calibri Light" w:eastAsia="Times New Roman" w:hAnsi="Calibri Light" w:cs="Times New Roman"/>
          <w:color w:val="auto"/>
          <w:lang w:eastAsia="en-AU"/>
        </w:rPr>
        <w:t xml:space="preserve">KPMG reports that </w:t>
      </w:r>
      <w:r w:rsidRPr="00DF2A1B">
        <w:rPr>
          <w:rFonts w:ascii="Calibri Light" w:eastAsia="Times New Roman" w:hAnsi="Calibri Light" w:cs="Times New Roman"/>
          <w:color w:val="auto"/>
          <w:lang w:eastAsia="en-AU"/>
        </w:rPr>
        <w:t>7</w:t>
      </w:r>
      <w:r w:rsidR="00080B32" w:rsidRPr="00DF2A1B">
        <w:rPr>
          <w:rFonts w:ascii="Calibri Light" w:eastAsia="Times New Roman" w:hAnsi="Calibri Light" w:cs="Times New Roman"/>
          <w:color w:val="auto"/>
          <w:lang w:eastAsia="en-AU"/>
        </w:rPr>
        <w:t>8</w:t>
      </w:r>
      <w:r w:rsidRPr="00DF2A1B">
        <w:rPr>
          <w:rFonts w:ascii="Calibri Light" w:eastAsia="Times New Roman" w:hAnsi="Calibri Light" w:cs="Times New Roman"/>
          <w:color w:val="auto"/>
          <w:lang w:eastAsia="en-AU"/>
        </w:rPr>
        <w:t xml:space="preserve"> per cent</w:t>
      </w:r>
      <w:r w:rsidRPr="26A0AA83">
        <w:rPr>
          <w:rFonts w:ascii="Calibri Light" w:eastAsia="Times New Roman" w:hAnsi="Calibri Light" w:cs="Times New Roman"/>
          <w:color w:val="auto"/>
          <w:lang w:eastAsia="en-AU"/>
        </w:rPr>
        <w:t xml:space="preserve"> of the ASX100 currently report using the TCFD and a 2023 ASCI report</w:t>
      </w:r>
      <w:r w:rsidRPr="26A0AA83">
        <w:rPr>
          <w:rStyle w:val="FootnoteReference"/>
          <w:rFonts w:ascii="Calibri Light" w:eastAsia="Times New Roman" w:hAnsi="Calibri Light" w:cs="Times New Roman"/>
          <w:color w:val="auto"/>
          <w:position w:val="6"/>
          <w:vertAlign w:val="superscript"/>
          <w:lang w:eastAsia="en-AU"/>
        </w:rPr>
        <w:footnoteReference w:id="35"/>
      </w:r>
      <w:r w:rsidRPr="26A0AA83">
        <w:rPr>
          <w:rFonts w:ascii="Calibri Light" w:eastAsia="Times New Roman" w:hAnsi="Calibri Light" w:cs="Times New Roman"/>
          <w:color w:val="auto"/>
          <w:lang w:eastAsia="en-AU"/>
        </w:rPr>
        <w:t xml:space="preserve"> shows that 135 of the ASX200 (62.5 per cent) are aligning climate disclosure to the TCFD </w:t>
      </w:r>
      <w:r w:rsidRPr="004F66CC">
        <w:rPr>
          <w:rFonts w:ascii="Calibri Light" w:hAnsi="Calibri Light"/>
          <w:color w:val="auto"/>
        </w:rPr>
        <w:t>framework</w:t>
      </w:r>
      <w:r w:rsidRPr="26A0AA83">
        <w:rPr>
          <w:rFonts w:ascii="Calibri Light" w:eastAsia="Times New Roman" w:hAnsi="Calibri Light" w:cs="Times New Roman"/>
          <w:color w:val="auto"/>
          <w:lang w:eastAsia="en-AU"/>
        </w:rPr>
        <w:t>. The number disclosing is likely to grow in the coming years, regardless of policy intervention</w:t>
      </w:r>
      <w:r w:rsidRPr="004F66CC">
        <w:rPr>
          <w:rFonts w:ascii="Calibri Light" w:hAnsi="Calibri Light"/>
          <w:color w:val="auto"/>
        </w:rPr>
        <w:t xml:space="preserve">. </w:t>
      </w:r>
      <w:r>
        <w:rPr>
          <w:rFonts w:ascii="Calibri Light" w:hAnsi="Calibri Light"/>
          <w:color w:val="auto"/>
        </w:rPr>
        <w:t xml:space="preserve">Without mandated disclosure standards, voluntary reporting results in varying levels of detail which makes comparison difficult. </w:t>
      </w:r>
      <w:r w:rsidRPr="26A0AA83">
        <w:rPr>
          <w:rFonts w:ascii="Calibri Light" w:eastAsia="Times New Roman" w:hAnsi="Calibri Light" w:cs="Times New Roman"/>
          <w:color w:val="auto"/>
          <w:lang w:eastAsia="en-AU"/>
        </w:rPr>
        <w:t>Research has shown there is a large gap between public-private environmental transparency, with reports that in the US, less than 1</w:t>
      </w:r>
      <w:r w:rsidR="00A60825" w:rsidRPr="26A0AA83">
        <w:rPr>
          <w:rFonts w:ascii="Calibri Light" w:eastAsia="Times New Roman" w:hAnsi="Calibri Light" w:cs="Times New Roman"/>
          <w:color w:val="auto"/>
          <w:lang w:eastAsia="en-AU"/>
        </w:rPr>
        <w:t xml:space="preserve"> per cent</w:t>
      </w:r>
      <w:r w:rsidRPr="26A0AA83">
        <w:rPr>
          <w:rFonts w:ascii="Calibri Light" w:eastAsia="Times New Roman" w:hAnsi="Calibri Light" w:cs="Times New Roman"/>
          <w:color w:val="auto"/>
          <w:lang w:eastAsia="en-AU"/>
        </w:rPr>
        <w:t xml:space="preserve"> of private companies are reporting their climate risk</w:t>
      </w:r>
      <w:r w:rsidRPr="26A0AA83">
        <w:rPr>
          <w:rFonts w:ascii="Calibri Light" w:eastAsia="Times New Roman" w:hAnsi="Calibri Light" w:cs="Times New Roman"/>
          <w:color w:val="auto"/>
          <w:vertAlign w:val="superscript"/>
          <w:lang w:eastAsia="en-AU"/>
        </w:rPr>
        <w:footnoteReference w:id="36"/>
      </w:r>
      <w:r w:rsidRPr="26A0AA83">
        <w:rPr>
          <w:rFonts w:ascii="Calibri Light" w:eastAsia="Times New Roman" w:hAnsi="Calibri Light" w:cs="Times New Roman"/>
          <w:color w:val="auto"/>
          <w:lang w:eastAsia="en-AU"/>
        </w:rPr>
        <w:t>.</w:t>
      </w:r>
    </w:p>
    <w:p w14:paraId="7C9B0E3F" w14:textId="24230C43" w:rsidR="00560309" w:rsidRPr="006150F2" w:rsidRDefault="00560309" w:rsidP="003B3BBB">
      <w:pPr>
        <w:pStyle w:val="Caption"/>
      </w:pPr>
      <w:r>
        <w:t xml:space="preserve">Chart </w:t>
      </w:r>
      <w:r w:rsidR="002B113E">
        <w:fldChar w:fldCharType="begin"/>
      </w:r>
      <w:r w:rsidR="002B113E">
        <w:instrText xml:space="preserve"> SEQ Chart \* ARABIC </w:instrText>
      </w:r>
      <w:r w:rsidR="002B113E">
        <w:fldChar w:fldCharType="separate"/>
      </w:r>
      <w:r w:rsidR="006F39F1">
        <w:rPr>
          <w:noProof/>
        </w:rPr>
        <w:t>2</w:t>
      </w:r>
      <w:r w:rsidR="002B113E">
        <w:rPr>
          <w:noProof/>
        </w:rPr>
        <w:fldChar w:fldCharType="end"/>
      </w:r>
      <w:r>
        <w:t xml:space="preserve">: </w:t>
      </w:r>
      <w:r w:rsidRPr="0070318B">
        <w:t xml:space="preserve">ASX companies adopting, </w:t>
      </w:r>
      <w:proofErr w:type="gramStart"/>
      <w:r w:rsidRPr="0070318B">
        <w:t>committing</w:t>
      </w:r>
      <w:proofErr w:type="gramEnd"/>
      <w:r w:rsidRPr="0070318B">
        <w:t xml:space="preserve"> and reviewing the use of TCFD framework over time</w:t>
      </w:r>
    </w:p>
    <w:p w14:paraId="073C98AD" w14:textId="58E01DCA" w:rsidR="00560309" w:rsidRPr="00DF0962" w:rsidRDefault="00560309" w:rsidP="006002C5">
      <w:pPr>
        <w:pStyle w:val="BodyText"/>
        <w:keepNext/>
        <w:rPr>
          <w:rFonts w:ascii="Calibri Light" w:eastAsia="Times New Roman" w:hAnsi="Calibri Light" w:cs="Times New Roman"/>
          <w:color w:val="auto"/>
          <w:sz w:val="20"/>
          <w:szCs w:val="18"/>
          <w:lang w:eastAsia="en-AU"/>
        </w:rPr>
      </w:pPr>
      <w:r w:rsidRPr="00134838">
        <w:rPr>
          <w:noProof/>
        </w:rPr>
        <w:drawing>
          <wp:inline distT="0" distB="0" distL="0" distR="0" wp14:anchorId="73CCC368" wp14:editId="11715DA0">
            <wp:extent cx="5759450" cy="24904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2490470"/>
                    </a:xfrm>
                    <a:prstGeom prst="rect">
                      <a:avLst/>
                    </a:prstGeom>
                  </pic:spPr>
                </pic:pic>
              </a:graphicData>
            </a:graphic>
          </wp:inline>
        </w:drawing>
      </w:r>
      <w:r w:rsidRPr="00DF0962">
        <w:rPr>
          <w:rFonts w:ascii="Calibri Light" w:eastAsia="Times New Roman" w:hAnsi="Calibri Light" w:cs="Times New Roman"/>
          <w:color w:val="auto"/>
          <w:sz w:val="20"/>
          <w:szCs w:val="18"/>
          <w:lang w:eastAsia="en-AU"/>
        </w:rPr>
        <w:t>Source: 202</w:t>
      </w:r>
      <w:r>
        <w:rPr>
          <w:rFonts w:ascii="Calibri Light" w:eastAsia="Times New Roman" w:hAnsi="Calibri Light" w:cs="Times New Roman"/>
          <w:color w:val="auto"/>
          <w:sz w:val="20"/>
          <w:szCs w:val="18"/>
          <w:lang w:eastAsia="en-AU"/>
        </w:rPr>
        <w:t>3</w:t>
      </w:r>
      <w:r w:rsidRPr="00DF0962">
        <w:rPr>
          <w:rFonts w:ascii="Calibri Light" w:eastAsia="Times New Roman" w:hAnsi="Calibri Light" w:cs="Times New Roman"/>
          <w:color w:val="auto"/>
          <w:sz w:val="20"/>
          <w:szCs w:val="18"/>
          <w:lang w:eastAsia="en-AU"/>
        </w:rPr>
        <w:t xml:space="preserve"> ACSI report: Climate disclosure in the ASX200</w:t>
      </w:r>
    </w:p>
    <w:p w14:paraId="3AB9DCE5" w14:textId="68FF7659" w:rsidR="00560309" w:rsidRDefault="0034020C" w:rsidP="00560309">
      <w:pPr>
        <w:pStyle w:val="BodyText"/>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To analyse the costs of status quo we split entities into two cohorts:</w:t>
      </w:r>
      <w:r w:rsidR="00560309">
        <w:rPr>
          <w:rFonts w:ascii="Calibri Light" w:eastAsia="Times New Roman" w:hAnsi="Calibri Light" w:cs="Times New Roman"/>
          <w:color w:val="auto"/>
          <w:szCs w:val="20"/>
          <w:lang w:eastAsia="en-AU"/>
        </w:rPr>
        <w:t xml:space="preserve"> those who are currently disclosing and those will start to disclose in the next 10 years (due to market discipline):</w:t>
      </w:r>
    </w:p>
    <w:p w14:paraId="67B93DC8" w14:textId="132AE0EA" w:rsidR="001D0959" w:rsidRDefault="00560309" w:rsidP="0092357C">
      <w:pPr>
        <w:pStyle w:val="Bullet"/>
      </w:pPr>
      <w:r>
        <w:t xml:space="preserve">For </w:t>
      </w:r>
      <w:r w:rsidR="001D0959">
        <w:t>entities</w:t>
      </w:r>
      <w:r>
        <w:t xml:space="preserve"> that are already disclosing against the TCFD, we assume</w:t>
      </w:r>
      <w:r w:rsidR="001D0959">
        <w:t>:</w:t>
      </w:r>
    </w:p>
    <w:p w14:paraId="075C11F0" w14:textId="337750BB" w:rsidR="00560309" w:rsidRDefault="001D0959" w:rsidP="001D0959">
      <w:pPr>
        <w:pStyle w:val="Dash"/>
      </w:pPr>
      <w:r>
        <w:t>The number of entities reporting under the TCFD framework falls</w:t>
      </w:r>
      <w:r w:rsidR="00560309">
        <w:t xml:space="preserve"> as the size of the company decreases due to a lack of resources and incentives. </w:t>
      </w:r>
    </w:p>
    <w:p w14:paraId="7228E85F" w14:textId="2F925B62" w:rsidR="00560309" w:rsidRDefault="00560309" w:rsidP="00560309">
      <w:pPr>
        <w:pStyle w:val="Dash"/>
      </w:pPr>
      <w:r>
        <w:t>Following the trends described above, we assume 55</w:t>
      </w:r>
      <w:r w:rsidR="001D0959">
        <w:t xml:space="preserve"> per cent </w:t>
      </w:r>
      <w:r>
        <w:t>(165 entities) of publicly listed companies in Group 1 and Group 2 (ASX300) are currently disclosing.</w:t>
      </w:r>
    </w:p>
    <w:p w14:paraId="26676998" w14:textId="766CAC4C" w:rsidR="00560309" w:rsidRDefault="00560309" w:rsidP="00560309">
      <w:pPr>
        <w:pStyle w:val="Dash"/>
      </w:pPr>
      <w:r>
        <w:t>We assume 15</w:t>
      </w:r>
      <w:r w:rsidR="001D0959">
        <w:t xml:space="preserve"> per cent</w:t>
      </w:r>
      <w:r>
        <w:t xml:space="preserve"> (178 entities) of all unlisted companies in Group 1 and Group 2 are disclosing.</w:t>
      </w:r>
    </w:p>
    <w:p w14:paraId="684AA10B" w14:textId="29D6670B" w:rsidR="00560309" w:rsidRDefault="00560309" w:rsidP="00560309">
      <w:pPr>
        <w:pStyle w:val="Dash"/>
      </w:pPr>
      <w:r>
        <w:t xml:space="preserve">We assume </w:t>
      </w:r>
      <w:r w:rsidR="001D0959">
        <w:t>no</w:t>
      </w:r>
      <w:r>
        <w:t xml:space="preserve"> Group 3 entities are disclosing. </w:t>
      </w:r>
    </w:p>
    <w:p w14:paraId="2247A67B" w14:textId="77777777" w:rsidR="00EC7CF3" w:rsidRDefault="000A389E" w:rsidP="0092357C">
      <w:pPr>
        <w:pStyle w:val="Bullet"/>
      </w:pPr>
      <w:r>
        <w:t xml:space="preserve">For the cohort that we expect to begin disclosing </w:t>
      </w:r>
      <w:r w:rsidR="00EC7CF3">
        <w:t xml:space="preserve">due to investor demand and international expectations, we assume: </w:t>
      </w:r>
    </w:p>
    <w:p w14:paraId="1210FF03" w14:textId="2497E5F9" w:rsidR="00560309" w:rsidRDefault="00560309" w:rsidP="00EC7CF3">
      <w:pPr>
        <w:pStyle w:val="Dash"/>
      </w:pPr>
      <w:r w:rsidRPr="00B21796">
        <w:t>most companies in Groups 1 and 2 will be</w:t>
      </w:r>
      <w:r w:rsidR="00EC7CF3">
        <w:t>gin</w:t>
      </w:r>
      <w:r w:rsidRPr="00B21796">
        <w:t xml:space="preserve"> disclosing and a large proportion of unlisted companies will also be disclosing</w:t>
      </w:r>
      <w:r w:rsidR="00EC7CF3">
        <w:t xml:space="preserve"> over the next 10 years</w:t>
      </w:r>
      <w:r w:rsidRPr="00B21796">
        <w:t xml:space="preserve">. </w:t>
      </w:r>
    </w:p>
    <w:p w14:paraId="3113CBAA" w14:textId="79382207" w:rsidR="00560309" w:rsidRDefault="00EC7CF3" w:rsidP="00560309">
      <w:pPr>
        <w:pStyle w:val="Dash"/>
      </w:pPr>
      <w:r>
        <w:t xml:space="preserve">The balance of listed entities currently not disclosing </w:t>
      </w:r>
      <w:r w:rsidR="00560309">
        <w:t>(135 entities) in Group 1 and 2 will begin disclosing.</w:t>
      </w:r>
    </w:p>
    <w:p w14:paraId="5F790DBA" w14:textId="26A05F6B" w:rsidR="00560309" w:rsidRDefault="00560309" w:rsidP="00560309">
      <w:pPr>
        <w:pStyle w:val="Dash"/>
      </w:pPr>
      <w:r>
        <w:t>We assume that 50</w:t>
      </w:r>
      <w:r w:rsidR="00EC7CF3">
        <w:t xml:space="preserve"> per cent</w:t>
      </w:r>
      <w:r w:rsidRPr="00B21796">
        <w:t xml:space="preserve"> </w:t>
      </w:r>
      <w:r>
        <w:t xml:space="preserve">(an additional 414 entities) </w:t>
      </w:r>
      <w:r w:rsidRPr="00B21796">
        <w:t xml:space="preserve">of </w:t>
      </w:r>
      <w:r>
        <w:t>Group</w:t>
      </w:r>
      <w:r w:rsidRPr="00B012BB">
        <w:t xml:space="preserve"> 1 and </w:t>
      </w:r>
      <w:r>
        <w:t xml:space="preserve">Group </w:t>
      </w:r>
      <w:r w:rsidRPr="00B012BB">
        <w:t xml:space="preserve">2 </w:t>
      </w:r>
      <w:r>
        <w:t xml:space="preserve">unlisted </w:t>
      </w:r>
      <w:r w:rsidRPr="00B012BB">
        <w:t>entities</w:t>
      </w:r>
      <w:r>
        <w:t xml:space="preserve"> will begin disclosing</w:t>
      </w:r>
      <w:r w:rsidRPr="00B21796">
        <w:t>.</w:t>
      </w:r>
    </w:p>
    <w:p w14:paraId="421071A9" w14:textId="0CA4F956" w:rsidR="00560309" w:rsidRPr="00B012BB" w:rsidRDefault="00560309" w:rsidP="00560309">
      <w:pPr>
        <w:pStyle w:val="Dash"/>
      </w:pPr>
      <w:r w:rsidRPr="00B012BB">
        <w:t xml:space="preserve">We assume that </w:t>
      </w:r>
      <w:r>
        <w:t>5</w:t>
      </w:r>
      <w:r w:rsidR="00EC7CF3">
        <w:t xml:space="preserve"> per cent</w:t>
      </w:r>
      <w:r>
        <w:t xml:space="preserve"> (an additional 278</w:t>
      </w:r>
      <w:r w:rsidRPr="00B012BB">
        <w:t xml:space="preserve"> entities</w:t>
      </w:r>
      <w:r>
        <w:t>) of Group</w:t>
      </w:r>
      <w:r w:rsidRPr="00B012BB">
        <w:t xml:space="preserve"> 3 </w:t>
      </w:r>
      <w:r>
        <w:t xml:space="preserve">entities </w:t>
      </w:r>
      <w:r w:rsidRPr="00B012BB">
        <w:t>begin disclosing</w:t>
      </w:r>
      <w:r>
        <w:t>.</w:t>
      </w:r>
    </w:p>
    <w:p w14:paraId="0BE5391D" w14:textId="623EEA72" w:rsidR="00560309" w:rsidRDefault="00560309" w:rsidP="00560309">
      <w:pPr>
        <w:pStyle w:val="BodyText"/>
        <w:rPr>
          <w:rFonts w:ascii="Calibri Light" w:eastAsia="Times New Roman" w:hAnsi="Calibri Light" w:cs="Times New Roman"/>
          <w:color w:val="auto"/>
          <w:szCs w:val="20"/>
          <w:lang w:eastAsia="en-AU"/>
        </w:rPr>
      </w:pPr>
      <w:r w:rsidRPr="00B012BB">
        <w:rPr>
          <w:rFonts w:ascii="Calibri Light" w:eastAsia="Times New Roman" w:hAnsi="Calibri Light" w:cs="Times New Roman"/>
          <w:color w:val="auto"/>
          <w:szCs w:val="20"/>
          <w:lang w:eastAsia="en-AU"/>
        </w:rPr>
        <w:t xml:space="preserve">Therefore, we </w:t>
      </w:r>
      <w:r w:rsidR="0006268A">
        <w:rPr>
          <w:rFonts w:ascii="Calibri Light" w:eastAsia="Times New Roman" w:hAnsi="Calibri Light" w:cs="Times New Roman"/>
          <w:color w:val="auto"/>
          <w:szCs w:val="20"/>
          <w:lang w:eastAsia="en-AU"/>
        </w:rPr>
        <w:t>expect</w:t>
      </w:r>
      <w:r w:rsidRPr="00B012BB">
        <w:rPr>
          <w:rFonts w:ascii="Calibri Light" w:eastAsia="Times New Roman" w:hAnsi="Calibri Light" w:cs="Times New Roman"/>
          <w:color w:val="auto"/>
          <w:szCs w:val="20"/>
          <w:lang w:eastAsia="en-AU"/>
        </w:rPr>
        <w:t xml:space="preserve"> </w:t>
      </w:r>
      <w:r w:rsidR="00EC7CF3">
        <w:rPr>
          <w:rFonts w:ascii="Calibri Light" w:eastAsia="Times New Roman" w:hAnsi="Calibri Light" w:cs="Times New Roman"/>
          <w:color w:val="auto"/>
          <w:szCs w:val="20"/>
          <w:lang w:eastAsia="en-AU"/>
        </w:rPr>
        <w:t xml:space="preserve">343 </w:t>
      </w:r>
      <w:r w:rsidRPr="00B012BB">
        <w:rPr>
          <w:rFonts w:ascii="Calibri Light" w:eastAsia="Times New Roman" w:hAnsi="Calibri Light" w:cs="Times New Roman"/>
          <w:color w:val="auto"/>
          <w:szCs w:val="20"/>
          <w:lang w:eastAsia="en-AU"/>
        </w:rPr>
        <w:t xml:space="preserve">voluntarily disclosing entities and expect an additional </w:t>
      </w:r>
      <w:r>
        <w:rPr>
          <w:rFonts w:ascii="Calibri Light" w:eastAsia="Times New Roman" w:hAnsi="Calibri Light" w:cs="Times New Roman"/>
          <w:color w:val="auto"/>
          <w:szCs w:val="20"/>
          <w:lang w:eastAsia="en-AU"/>
        </w:rPr>
        <w:t>777</w:t>
      </w:r>
      <w:r w:rsidRPr="00B012BB">
        <w:rPr>
          <w:rFonts w:ascii="Calibri Light" w:eastAsia="Times New Roman" w:hAnsi="Calibri Light" w:cs="Times New Roman"/>
          <w:color w:val="auto"/>
          <w:szCs w:val="20"/>
          <w:lang w:eastAsia="en-AU"/>
        </w:rPr>
        <w:t xml:space="preserve"> entities to begin disclosing in the next 10 years.</w:t>
      </w:r>
    </w:p>
    <w:p w14:paraId="59D6AB75" w14:textId="03E03837" w:rsidR="00A34E2F" w:rsidRDefault="007B5F24" w:rsidP="00EB1629">
      <w:pPr>
        <w:pStyle w:val="BodyText"/>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 xml:space="preserve">Given the recent release of final ISSB standards, we have assumed status quo </w:t>
      </w:r>
      <w:r w:rsidR="000915DD">
        <w:rPr>
          <w:rFonts w:ascii="Calibri Light" w:eastAsia="Times New Roman" w:hAnsi="Calibri Light" w:cs="Times New Roman"/>
          <w:color w:val="auto"/>
          <w:szCs w:val="20"/>
          <w:lang w:eastAsia="en-AU"/>
        </w:rPr>
        <w:t xml:space="preserve">to be further uptake of the TCFD framework. </w:t>
      </w:r>
      <w:r w:rsidR="00EB1629" w:rsidRPr="0030627C">
        <w:rPr>
          <w:rFonts w:ascii="Calibri Light" w:eastAsia="Times New Roman" w:hAnsi="Calibri Light" w:cs="Times New Roman"/>
          <w:color w:val="auto"/>
          <w:szCs w:val="20"/>
          <w:lang w:eastAsia="en-AU"/>
        </w:rPr>
        <w:t xml:space="preserve">We analyse the ongoing costs that firms are already experiencing through the </w:t>
      </w:r>
      <w:r w:rsidR="00A071A4">
        <w:rPr>
          <w:rFonts w:ascii="Calibri Light" w:eastAsia="Times New Roman" w:hAnsi="Calibri Light" w:cs="Times New Roman"/>
          <w:color w:val="auto"/>
          <w:szCs w:val="20"/>
          <w:lang w:eastAsia="en-AU"/>
        </w:rPr>
        <w:t>further</w:t>
      </w:r>
      <w:r w:rsidR="00A071A4" w:rsidRPr="0030627C">
        <w:rPr>
          <w:rFonts w:ascii="Calibri Light" w:eastAsia="Times New Roman" w:hAnsi="Calibri Light" w:cs="Times New Roman"/>
          <w:color w:val="auto"/>
          <w:szCs w:val="20"/>
          <w:lang w:eastAsia="en-AU"/>
        </w:rPr>
        <w:t xml:space="preserve"> </w:t>
      </w:r>
      <w:r w:rsidR="00EB1629" w:rsidRPr="0030627C">
        <w:rPr>
          <w:rFonts w:ascii="Calibri Light" w:eastAsia="Times New Roman" w:hAnsi="Calibri Light" w:cs="Times New Roman"/>
          <w:color w:val="auto"/>
          <w:szCs w:val="20"/>
          <w:lang w:eastAsia="en-AU"/>
        </w:rPr>
        <w:t>uptake of TCFD. Earlier in</w:t>
      </w:r>
      <w:r w:rsidR="00EB1629">
        <w:rPr>
          <w:rFonts w:ascii="Calibri Light" w:eastAsia="Times New Roman" w:hAnsi="Calibri Light" w:cs="Times New Roman"/>
          <w:color w:val="auto"/>
          <w:szCs w:val="20"/>
          <w:lang w:eastAsia="en-AU"/>
        </w:rPr>
        <w:t xml:space="preserve"> the</w:t>
      </w:r>
      <w:r w:rsidR="00EB1629" w:rsidRPr="0030627C">
        <w:rPr>
          <w:rFonts w:ascii="Calibri Light" w:eastAsia="Times New Roman" w:hAnsi="Calibri Light" w:cs="Times New Roman"/>
          <w:color w:val="auto"/>
          <w:szCs w:val="20"/>
          <w:lang w:eastAsia="en-AU"/>
        </w:rPr>
        <w:t xml:space="preserve"> section, we estimated the number of Australian entities already disclosing the TCFD to be </w:t>
      </w:r>
      <w:r w:rsidR="00E4192A">
        <w:rPr>
          <w:rFonts w:ascii="Calibri Light" w:eastAsia="Times New Roman" w:hAnsi="Calibri Light" w:cs="Times New Roman"/>
          <w:color w:val="auto"/>
          <w:szCs w:val="20"/>
          <w:lang w:eastAsia="en-AU"/>
        </w:rPr>
        <w:t>3</w:t>
      </w:r>
      <w:r w:rsidR="00DC170C">
        <w:rPr>
          <w:rFonts w:ascii="Calibri Light" w:eastAsia="Times New Roman" w:hAnsi="Calibri Light" w:cs="Times New Roman"/>
          <w:color w:val="auto"/>
          <w:szCs w:val="20"/>
          <w:lang w:eastAsia="en-AU"/>
        </w:rPr>
        <w:t>43</w:t>
      </w:r>
      <w:r w:rsidR="00EB1629" w:rsidRPr="0030627C">
        <w:rPr>
          <w:rFonts w:ascii="Calibri Light" w:eastAsia="Times New Roman" w:hAnsi="Calibri Light" w:cs="Times New Roman"/>
          <w:color w:val="auto"/>
          <w:szCs w:val="20"/>
          <w:lang w:eastAsia="en-AU"/>
        </w:rPr>
        <w:t>. Treasury also expects that in the next 10 years</w:t>
      </w:r>
      <w:r w:rsidR="00A34E2F">
        <w:rPr>
          <w:rFonts w:ascii="Calibri Light" w:eastAsia="Times New Roman" w:hAnsi="Calibri Light" w:cs="Times New Roman"/>
          <w:color w:val="auto"/>
          <w:szCs w:val="20"/>
          <w:lang w:eastAsia="en-AU"/>
        </w:rPr>
        <w:t>:</w:t>
      </w:r>
    </w:p>
    <w:p w14:paraId="4BC81E47" w14:textId="546FADBE" w:rsidR="00A34E2F" w:rsidRDefault="00EB1629" w:rsidP="0092357C">
      <w:pPr>
        <w:pStyle w:val="Bullet"/>
      </w:pPr>
      <w:r w:rsidRPr="0030627C">
        <w:t xml:space="preserve">an additional </w:t>
      </w:r>
      <w:r w:rsidR="008B7F41">
        <w:t>777</w:t>
      </w:r>
      <w:r w:rsidRPr="0030627C">
        <w:t xml:space="preserve"> entities will take up </w:t>
      </w:r>
      <w:r w:rsidR="00A071A4">
        <w:t>TCFD</w:t>
      </w:r>
      <w:r w:rsidR="00A071A4" w:rsidRPr="0030627C">
        <w:t xml:space="preserve"> </w:t>
      </w:r>
      <w:r w:rsidRPr="0030627C">
        <w:t>disclosure</w:t>
      </w:r>
      <w:r w:rsidR="00843CE1">
        <w:t>.</w:t>
      </w:r>
    </w:p>
    <w:p w14:paraId="6101D7DA" w14:textId="479F923F" w:rsidR="00215912" w:rsidRPr="0030627C" w:rsidRDefault="00EB1629" w:rsidP="0092357C">
      <w:pPr>
        <w:pStyle w:val="Bullet"/>
      </w:pPr>
      <w:r w:rsidRPr="0030627C">
        <w:t xml:space="preserve">made up of </w:t>
      </w:r>
      <w:r w:rsidR="00C134CF">
        <w:t>5</w:t>
      </w:r>
      <w:r w:rsidR="002E7E05">
        <w:t>49</w:t>
      </w:r>
      <w:r w:rsidRPr="0030627C">
        <w:t xml:space="preserve"> from </w:t>
      </w:r>
      <w:r w:rsidR="008562F9">
        <w:t>G</w:t>
      </w:r>
      <w:r w:rsidRPr="0030627C">
        <w:t>roups 1 and 2</w:t>
      </w:r>
      <w:r w:rsidR="00215912">
        <w:t xml:space="preserve"> and</w:t>
      </w:r>
      <w:r w:rsidR="00CD681F">
        <w:t xml:space="preserve"> </w:t>
      </w:r>
      <w:r w:rsidR="00DC170C">
        <w:t>228</w:t>
      </w:r>
      <w:r w:rsidRPr="0030627C">
        <w:t xml:space="preserve"> from </w:t>
      </w:r>
      <w:r w:rsidR="00E84C5A">
        <w:t>G</w:t>
      </w:r>
      <w:r w:rsidRPr="0030627C">
        <w:t>roup 3.</w:t>
      </w:r>
    </w:p>
    <w:p w14:paraId="6AF03A25" w14:textId="1135A80E" w:rsidR="00EB1629" w:rsidRDefault="00EB1629" w:rsidP="00EB1629">
      <w:pPr>
        <w:pStyle w:val="BodyText"/>
        <w:rPr>
          <w:rFonts w:ascii="Calibri Light" w:eastAsia="Times New Roman" w:hAnsi="Calibri Light" w:cs="Times New Roman"/>
          <w:color w:val="auto"/>
          <w:szCs w:val="20"/>
          <w:lang w:eastAsia="en-AU"/>
        </w:rPr>
      </w:pPr>
      <w:r w:rsidRPr="0030627C">
        <w:rPr>
          <w:rFonts w:ascii="Calibri Light" w:eastAsia="Times New Roman" w:hAnsi="Calibri Light" w:cs="Times New Roman"/>
          <w:color w:val="auto"/>
          <w:szCs w:val="20"/>
          <w:lang w:eastAsia="en-AU"/>
        </w:rPr>
        <w:t>We use the UK Impact Analysis costings o</w:t>
      </w:r>
      <w:r>
        <w:rPr>
          <w:rFonts w:ascii="Calibri Light" w:eastAsia="Times New Roman" w:hAnsi="Calibri Light" w:cs="Times New Roman"/>
          <w:color w:val="auto"/>
          <w:szCs w:val="20"/>
          <w:lang w:eastAsia="en-AU"/>
        </w:rPr>
        <w:t>f</w:t>
      </w:r>
      <w:r w:rsidRPr="0030627C">
        <w:rPr>
          <w:rFonts w:ascii="Calibri Light" w:eastAsia="Times New Roman" w:hAnsi="Calibri Light" w:cs="Times New Roman"/>
          <w:color w:val="auto"/>
          <w:szCs w:val="20"/>
          <w:lang w:eastAsia="en-AU"/>
        </w:rPr>
        <w:t xml:space="preserve"> </w:t>
      </w:r>
      <w:r w:rsidR="00BA4F74">
        <w:rPr>
          <w:rFonts w:ascii="Calibri Light" w:eastAsia="Times New Roman" w:hAnsi="Calibri Light" w:cs="Times New Roman"/>
          <w:color w:val="auto"/>
          <w:szCs w:val="20"/>
          <w:lang w:eastAsia="en-AU"/>
        </w:rPr>
        <w:t xml:space="preserve">compliance with </w:t>
      </w:r>
      <w:r w:rsidRPr="0030627C">
        <w:rPr>
          <w:rFonts w:ascii="Calibri Light" w:eastAsia="Times New Roman" w:hAnsi="Calibri Light" w:cs="Times New Roman"/>
          <w:color w:val="auto"/>
          <w:szCs w:val="20"/>
          <w:lang w:eastAsia="en-AU"/>
        </w:rPr>
        <w:t xml:space="preserve">a TCFD disclosure regime. Converted to $AUD (1 AUD = 0.527 GBP), this </w:t>
      </w:r>
      <w:r>
        <w:rPr>
          <w:rFonts w:ascii="Calibri Light" w:eastAsia="Times New Roman" w:hAnsi="Calibri Light" w:cs="Times New Roman"/>
          <w:color w:val="auto"/>
          <w:szCs w:val="20"/>
          <w:lang w:eastAsia="en-AU"/>
        </w:rPr>
        <w:t>equates to</w:t>
      </w:r>
      <w:r w:rsidRPr="0030627C">
        <w:rPr>
          <w:rFonts w:ascii="Calibri Light" w:eastAsia="Times New Roman" w:hAnsi="Calibri Light" w:cs="Times New Roman"/>
          <w:color w:val="auto"/>
          <w:szCs w:val="20"/>
          <w:lang w:eastAsia="en-AU"/>
        </w:rPr>
        <w:t xml:space="preserve"> $361,443</w:t>
      </w:r>
      <w:r>
        <w:rPr>
          <w:rFonts w:ascii="Calibri Light" w:eastAsia="Times New Roman" w:hAnsi="Calibri Light" w:cs="Times New Roman"/>
          <w:color w:val="auto"/>
          <w:szCs w:val="20"/>
          <w:lang w:eastAsia="en-AU"/>
        </w:rPr>
        <w:t xml:space="preserve"> per company in</w:t>
      </w:r>
      <w:r w:rsidRPr="0030627C">
        <w:rPr>
          <w:rFonts w:ascii="Calibri Light" w:eastAsia="Times New Roman" w:hAnsi="Calibri Light" w:cs="Times New Roman"/>
          <w:color w:val="auto"/>
          <w:szCs w:val="20"/>
          <w:lang w:eastAsia="en-AU"/>
        </w:rPr>
        <w:t xml:space="preserve"> the first year of disclosing</w:t>
      </w:r>
      <w:r>
        <w:rPr>
          <w:rFonts w:ascii="Calibri Light" w:eastAsia="Times New Roman" w:hAnsi="Calibri Light" w:cs="Times New Roman"/>
          <w:color w:val="auto"/>
          <w:szCs w:val="20"/>
          <w:lang w:eastAsia="en-AU"/>
        </w:rPr>
        <w:t>,</w:t>
      </w:r>
      <w:r w:rsidRPr="0030627C">
        <w:rPr>
          <w:rFonts w:ascii="Calibri Light" w:eastAsia="Times New Roman" w:hAnsi="Calibri Light" w:cs="Times New Roman"/>
          <w:color w:val="auto"/>
          <w:szCs w:val="20"/>
          <w:lang w:eastAsia="en-AU"/>
        </w:rPr>
        <w:t xml:space="preserve"> falling to $263,622 in </w:t>
      </w:r>
      <w:r>
        <w:rPr>
          <w:rFonts w:ascii="Calibri Light" w:eastAsia="Times New Roman" w:hAnsi="Calibri Light" w:cs="Times New Roman"/>
          <w:color w:val="auto"/>
          <w:szCs w:val="20"/>
          <w:lang w:eastAsia="en-AU"/>
        </w:rPr>
        <w:t>subsequent</w:t>
      </w:r>
      <w:r w:rsidRPr="0030627C">
        <w:rPr>
          <w:rFonts w:ascii="Calibri Light" w:eastAsia="Times New Roman" w:hAnsi="Calibri Light" w:cs="Times New Roman"/>
          <w:color w:val="auto"/>
          <w:szCs w:val="20"/>
          <w:lang w:eastAsia="en-AU"/>
        </w:rPr>
        <w:t xml:space="preserve"> years. </w:t>
      </w:r>
    </w:p>
    <w:p w14:paraId="6F9FF710" w14:textId="080A49EC" w:rsidR="00EB1629" w:rsidRDefault="00EB1629" w:rsidP="00EB1629">
      <w:pPr>
        <w:pStyle w:val="BodyText"/>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 xml:space="preserve">Under </w:t>
      </w:r>
      <w:r w:rsidR="00A071A4">
        <w:rPr>
          <w:rFonts w:ascii="Calibri Light" w:eastAsia="Times New Roman" w:hAnsi="Calibri Light" w:cs="Times New Roman"/>
          <w:color w:val="auto"/>
          <w:szCs w:val="20"/>
          <w:lang w:eastAsia="en-AU"/>
        </w:rPr>
        <w:t>the status quo</w:t>
      </w:r>
      <w:r>
        <w:rPr>
          <w:rFonts w:ascii="Calibri Light" w:eastAsia="Times New Roman" w:hAnsi="Calibri Light" w:cs="Times New Roman"/>
          <w:color w:val="auto"/>
          <w:szCs w:val="20"/>
          <w:lang w:eastAsia="en-AU"/>
        </w:rPr>
        <w:t xml:space="preserve"> regime, we assume a proportion of companies reporting in each Group implement a subset of the proposed disclosures. To account for this, we discount the cost of implementation for Groups 1 and 2 by 10 per cent, and for Group 3 by </w:t>
      </w:r>
      <w:r w:rsidR="007D409C">
        <w:rPr>
          <w:rFonts w:ascii="Calibri Light" w:eastAsia="Times New Roman" w:hAnsi="Calibri Light" w:cs="Times New Roman"/>
          <w:color w:val="auto"/>
          <w:szCs w:val="20"/>
          <w:lang w:eastAsia="en-AU"/>
        </w:rPr>
        <w:t>7</w:t>
      </w:r>
      <w:r>
        <w:rPr>
          <w:rFonts w:ascii="Calibri Light" w:eastAsia="Times New Roman" w:hAnsi="Calibri Light" w:cs="Times New Roman"/>
          <w:color w:val="auto"/>
          <w:szCs w:val="20"/>
          <w:lang w:eastAsia="en-AU"/>
        </w:rPr>
        <w:t>0 per cent. We assume that once a company has implemented climate-related reporting, they continue to report in all subsequent years.</w:t>
      </w:r>
    </w:p>
    <w:p w14:paraId="1F5C2581" w14:textId="6F13B19E" w:rsidR="00D403D9" w:rsidRPr="00FA0CEF" w:rsidRDefault="00D403D9" w:rsidP="003B3BBB">
      <w:pPr>
        <w:pStyle w:val="Caption"/>
      </w:pPr>
      <w:r w:rsidRPr="00FA0CEF">
        <w:t xml:space="preserve">Table </w:t>
      </w:r>
      <w:r w:rsidR="004B0FBC">
        <w:rPr>
          <w:bCs/>
        </w:rPr>
        <w:t>3</w:t>
      </w:r>
      <w:r w:rsidRPr="00FA0CEF">
        <w:t xml:space="preserve">: Estimated costs of </w:t>
      </w:r>
      <w:r w:rsidR="008136FF">
        <w:t>status quo</w:t>
      </w:r>
      <w:r w:rsidR="008136FF" w:rsidRPr="00FA0CEF">
        <w:t xml:space="preserve"> </w:t>
      </w:r>
      <w:r w:rsidRPr="00FA0CEF">
        <w:t>disclosure in Australia</w:t>
      </w:r>
    </w:p>
    <w:tbl>
      <w:tblPr>
        <w:tblW w:w="8973" w:type="dxa"/>
        <w:tblLook w:val="04A0" w:firstRow="1" w:lastRow="0" w:firstColumn="1" w:lastColumn="0" w:noHBand="0" w:noVBand="1"/>
      </w:tblPr>
      <w:tblGrid>
        <w:gridCol w:w="5944"/>
        <w:gridCol w:w="1393"/>
        <w:gridCol w:w="1636"/>
      </w:tblGrid>
      <w:tr w:rsidR="00E12754" w:rsidRPr="003A30E7" w14:paraId="2BAEEFA8" w14:textId="77777777" w:rsidTr="00977C69">
        <w:trPr>
          <w:trHeight w:val="20"/>
        </w:trPr>
        <w:tc>
          <w:tcPr>
            <w:tcW w:w="5944" w:type="dxa"/>
            <w:tcBorders>
              <w:top w:val="single" w:sz="8" w:space="0" w:color="2C384A"/>
              <w:left w:val="single" w:sz="8" w:space="0" w:color="2C384A"/>
              <w:bottom w:val="single" w:sz="8" w:space="0" w:color="2C384A"/>
              <w:right w:val="nil"/>
            </w:tcBorders>
            <w:shd w:val="clear" w:color="000000" w:fill="2C384A"/>
            <w:vAlign w:val="center"/>
            <w:hideMark/>
          </w:tcPr>
          <w:p w14:paraId="75C2AE59" w14:textId="77777777" w:rsidR="003A30E7" w:rsidRPr="002F2F3B" w:rsidRDefault="003A30E7" w:rsidP="003A30E7">
            <w:pPr>
              <w:spacing w:before="0" w:after="0"/>
              <w:rPr>
                <w:rFonts w:cs="Calibri Light"/>
                <w:color w:val="FFFFFF"/>
                <w:szCs w:val="22"/>
              </w:rPr>
            </w:pPr>
            <w:r w:rsidRPr="002F2F3B">
              <w:rPr>
                <w:rFonts w:cs="Calibri Light"/>
                <w:color w:val="FFFFFF"/>
                <w:szCs w:val="22"/>
              </w:rPr>
              <w:t> </w:t>
            </w:r>
          </w:p>
        </w:tc>
        <w:tc>
          <w:tcPr>
            <w:tcW w:w="1393" w:type="dxa"/>
            <w:tcBorders>
              <w:top w:val="single" w:sz="8" w:space="0" w:color="2C384A"/>
              <w:left w:val="nil"/>
              <w:bottom w:val="single" w:sz="8" w:space="0" w:color="2C384A"/>
              <w:right w:val="single" w:sz="8" w:space="0" w:color="2C384A"/>
            </w:tcBorders>
            <w:shd w:val="clear" w:color="000000" w:fill="2C384A"/>
            <w:vAlign w:val="center"/>
            <w:hideMark/>
          </w:tcPr>
          <w:p w14:paraId="48A77648" w14:textId="77777777" w:rsidR="003A30E7" w:rsidRPr="002F2F3B" w:rsidRDefault="003A30E7" w:rsidP="003A30E7">
            <w:pPr>
              <w:spacing w:before="0" w:after="0"/>
              <w:rPr>
                <w:rFonts w:cs="Calibri Light"/>
                <w:color w:val="FFFFFF"/>
                <w:szCs w:val="22"/>
              </w:rPr>
            </w:pPr>
            <w:r w:rsidRPr="002F2F3B">
              <w:rPr>
                <w:rFonts w:cs="Calibri Light"/>
                <w:color w:val="FFFFFF"/>
                <w:szCs w:val="22"/>
              </w:rPr>
              <w:t>Transitional Cost ($m)</w:t>
            </w:r>
          </w:p>
        </w:tc>
        <w:tc>
          <w:tcPr>
            <w:tcW w:w="1636" w:type="dxa"/>
            <w:tcBorders>
              <w:top w:val="single" w:sz="8" w:space="0" w:color="2C384A"/>
              <w:left w:val="nil"/>
              <w:bottom w:val="single" w:sz="8" w:space="0" w:color="2C384A"/>
              <w:right w:val="single" w:sz="8" w:space="0" w:color="2C384A"/>
            </w:tcBorders>
            <w:shd w:val="clear" w:color="000000" w:fill="2C384A"/>
            <w:vAlign w:val="center"/>
            <w:hideMark/>
          </w:tcPr>
          <w:p w14:paraId="5B717C00" w14:textId="77777777" w:rsidR="003A30E7" w:rsidRPr="002F2F3B" w:rsidRDefault="003A30E7" w:rsidP="003A30E7">
            <w:pPr>
              <w:spacing w:before="0" w:after="0"/>
              <w:rPr>
                <w:rFonts w:cs="Calibri Light"/>
                <w:color w:val="FFFFFF"/>
                <w:szCs w:val="22"/>
              </w:rPr>
            </w:pPr>
            <w:r w:rsidRPr="002F2F3B">
              <w:rPr>
                <w:rFonts w:cs="Calibri Light"/>
                <w:color w:val="FFFFFF"/>
                <w:szCs w:val="22"/>
              </w:rPr>
              <w:t>Ongoing cost ($m)</w:t>
            </w:r>
          </w:p>
        </w:tc>
      </w:tr>
      <w:tr w:rsidR="00E12754" w:rsidRPr="003A30E7" w14:paraId="5B45A990" w14:textId="77777777" w:rsidTr="00977C69">
        <w:trPr>
          <w:trHeight w:val="20"/>
        </w:trPr>
        <w:tc>
          <w:tcPr>
            <w:tcW w:w="5944" w:type="dxa"/>
            <w:tcBorders>
              <w:top w:val="nil"/>
              <w:left w:val="single" w:sz="8" w:space="0" w:color="6B83A7"/>
              <w:bottom w:val="single" w:sz="8" w:space="0" w:color="6B83A7"/>
              <w:right w:val="single" w:sz="8" w:space="0" w:color="6B83A7"/>
            </w:tcBorders>
            <w:shd w:val="clear" w:color="000000" w:fill="CDD5E1"/>
            <w:vAlign w:val="center"/>
            <w:hideMark/>
          </w:tcPr>
          <w:p w14:paraId="712CC9D5" w14:textId="01D6CF81" w:rsidR="003A30E7" w:rsidRPr="002F2F3B" w:rsidRDefault="003A30E7" w:rsidP="003A30E7">
            <w:pPr>
              <w:spacing w:before="0" w:after="0"/>
              <w:rPr>
                <w:rFonts w:cs="Calibri Light"/>
                <w:color w:val="000000"/>
                <w:szCs w:val="22"/>
              </w:rPr>
            </w:pPr>
            <w:r w:rsidRPr="002F2F3B">
              <w:rPr>
                <w:rFonts w:cs="Calibri Light"/>
                <w:color w:val="000000"/>
                <w:szCs w:val="22"/>
              </w:rPr>
              <w:t>TCFD disclosure for Group 1 and 2 discounted at 10</w:t>
            </w:r>
            <w:r w:rsidR="00DD548E" w:rsidRPr="002F2F3B">
              <w:rPr>
                <w:rFonts w:cs="Calibri Light"/>
                <w:color w:val="000000"/>
                <w:szCs w:val="22"/>
              </w:rPr>
              <w:t xml:space="preserve"> per cent</w:t>
            </w:r>
            <w:r w:rsidRPr="002F2F3B">
              <w:rPr>
                <w:rFonts w:cs="Calibri Light"/>
                <w:color w:val="000000"/>
                <w:szCs w:val="22"/>
              </w:rPr>
              <w:t xml:space="preserve"> </w:t>
            </w:r>
          </w:p>
        </w:tc>
        <w:tc>
          <w:tcPr>
            <w:tcW w:w="1393" w:type="dxa"/>
            <w:tcBorders>
              <w:top w:val="nil"/>
              <w:left w:val="nil"/>
              <w:bottom w:val="single" w:sz="8" w:space="0" w:color="6B83A7"/>
              <w:right w:val="single" w:sz="8" w:space="0" w:color="6B83A7"/>
            </w:tcBorders>
            <w:shd w:val="clear" w:color="000000" w:fill="CDD5E1"/>
            <w:vAlign w:val="center"/>
            <w:hideMark/>
          </w:tcPr>
          <w:p w14:paraId="5E47ED5C" w14:textId="37A40880" w:rsidR="003A30E7" w:rsidRPr="002F2F3B" w:rsidRDefault="00D069C9" w:rsidP="003A30E7">
            <w:pPr>
              <w:spacing w:before="0" w:after="0"/>
              <w:jc w:val="right"/>
              <w:rPr>
                <w:rFonts w:cs="Calibri Light"/>
                <w:color w:val="000000"/>
                <w:szCs w:val="22"/>
              </w:rPr>
            </w:pPr>
            <w:r>
              <w:rPr>
                <w:rFonts w:cs="Calibri Light"/>
                <w:color w:val="000000"/>
                <w:szCs w:val="22"/>
              </w:rPr>
              <w:t>1</w:t>
            </w:r>
            <w:r w:rsidR="00DD5262">
              <w:rPr>
                <w:rFonts w:cs="Calibri Light"/>
                <w:color w:val="000000"/>
                <w:szCs w:val="22"/>
              </w:rPr>
              <w:t>78.72</w:t>
            </w:r>
          </w:p>
        </w:tc>
        <w:tc>
          <w:tcPr>
            <w:tcW w:w="1636" w:type="dxa"/>
            <w:tcBorders>
              <w:top w:val="nil"/>
              <w:left w:val="nil"/>
              <w:bottom w:val="single" w:sz="8" w:space="0" w:color="6B83A7"/>
              <w:right w:val="single" w:sz="8" w:space="0" w:color="6B83A7"/>
            </w:tcBorders>
            <w:shd w:val="clear" w:color="000000" w:fill="CDD5E1"/>
            <w:vAlign w:val="center"/>
            <w:hideMark/>
          </w:tcPr>
          <w:p w14:paraId="0869BB5E" w14:textId="30655340" w:rsidR="003A30E7" w:rsidRPr="002F2F3B" w:rsidRDefault="003A30E7" w:rsidP="003A30E7">
            <w:pPr>
              <w:spacing w:before="0" w:after="0"/>
              <w:jc w:val="right"/>
              <w:rPr>
                <w:rFonts w:cs="Calibri Light"/>
                <w:color w:val="000000"/>
                <w:szCs w:val="22"/>
              </w:rPr>
            </w:pPr>
            <w:r w:rsidRPr="002F2F3B">
              <w:rPr>
                <w:rFonts w:cs="Calibri Light"/>
                <w:color w:val="000000"/>
                <w:szCs w:val="22"/>
              </w:rPr>
              <w:t>2</w:t>
            </w:r>
            <w:r w:rsidR="00D91C86">
              <w:rPr>
                <w:rFonts w:cs="Calibri Light"/>
                <w:color w:val="000000"/>
                <w:szCs w:val="22"/>
              </w:rPr>
              <w:t>11</w:t>
            </w:r>
            <w:r w:rsidRPr="002F2F3B">
              <w:rPr>
                <w:rFonts w:cs="Calibri Light"/>
                <w:color w:val="000000"/>
                <w:szCs w:val="22"/>
              </w:rPr>
              <w:t>.</w:t>
            </w:r>
            <w:r w:rsidR="00D91C86">
              <w:rPr>
                <w:rFonts w:cs="Calibri Light"/>
                <w:color w:val="000000"/>
                <w:szCs w:val="22"/>
              </w:rPr>
              <w:t>6</w:t>
            </w:r>
            <w:r w:rsidR="00551BB2">
              <w:rPr>
                <w:rFonts w:cs="Calibri Light"/>
                <w:color w:val="000000"/>
                <w:szCs w:val="22"/>
              </w:rPr>
              <w:t>4</w:t>
            </w:r>
          </w:p>
        </w:tc>
      </w:tr>
      <w:tr w:rsidR="003A30E7" w:rsidRPr="003A30E7" w14:paraId="613F5027" w14:textId="77777777" w:rsidTr="00977C69">
        <w:trPr>
          <w:trHeight w:val="20"/>
        </w:trPr>
        <w:tc>
          <w:tcPr>
            <w:tcW w:w="5944" w:type="dxa"/>
            <w:tcBorders>
              <w:top w:val="nil"/>
              <w:left w:val="single" w:sz="8" w:space="0" w:color="6B83A7"/>
              <w:bottom w:val="single" w:sz="8" w:space="0" w:color="6B83A7"/>
              <w:right w:val="single" w:sz="8" w:space="0" w:color="6B83A7"/>
            </w:tcBorders>
            <w:shd w:val="clear" w:color="auto" w:fill="auto"/>
            <w:vAlign w:val="center"/>
            <w:hideMark/>
          </w:tcPr>
          <w:p w14:paraId="1A86DDCB" w14:textId="4C5A384B" w:rsidR="003A30E7" w:rsidRPr="002F2F3B" w:rsidRDefault="003A30E7" w:rsidP="003A30E7">
            <w:pPr>
              <w:spacing w:before="0" w:after="0"/>
              <w:rPr>
                <w:rFonts w:cs="Calibri Light"/>
                <w:szCs w:val="22"/>
              </w:rPr>
            </w:pPr>
            <w:r w:rsidRPr="002F2F3B">
              <w:rPr>
                <w:rFonts w:cs="Calibri Light"/>
                <w:szCs w:val="22"/>
              </w:rPr>
              <w:t xml:space="preserve">TCFD disclosure for Group 3 discounted at </w:t>
            </w:r>
            <w:r w:rsidR="00627F62" w:rsidRPr="002F2F3B">
              <w:rPr>
                <w:rFonts w:cs="Calibri Light"/>
                <w:szCs w:val="22"/>
              </w:rPr>
              <w:t>7</w:t>
            </w:r>
            <w:r w:rsidRPr="002F2F3B">
              <w:rPr>
                <w:rFonts w:cs="Calibri Light"/>
                <w:szCs w:val="22"/>
              </w:rPr>
              <w:t>0</w:t>
            </w:r>
            <w:r w:rsidR="00DD548E" w:rsidRPr="002F2F3B">
              <w:rPr>
                <w:rFonts w:cs="Calibri Light"/>
                <w:szCs w:val="22"/>
              </w:rPr>
              <w:t xml:space="preserve"> per cent</w:t>
            </w:r>
          </w:p>
        </w:tc>
        <w:tc>
          <w:tcPr>
            <w:tcW w:w="1393" w:type="dxa"/>
            <w:tcBorders>
              <w:top w:val="nil"/>
              <w:left w:val="nil"/>
              <w:bottom w:val="single" w:sz="8" w:space="0" w:color="6B83A7"/>
              <w:right w:val="single" w:sz="8" w:space="0" w:color="6B83A7"/>
            </w:tcBorders>
            <w:shd w:val="clear" w:color="auto" w:fill="auto"/>
            <w:vAlign w:val="center"/>
            <w:hideMark/>
          </w:tcPr>
          <w:p w14:paraId="42F77E7A" w14:textId="22EB4AAA" w:rsidR="003A30E7" w:rsidRPr="002F2F3B" w:rsidRDefault="00BA271D" w:rsidP="003A30E7">
            <w:pPr>
              <w:spacing w:before="0" w:after="0"/>
              <w:jc w:val="right"/>
              <w:rPr>
                <w:rFonts w:cs="Calibri Light"/>
                <w:szCs w:val="22"/>
              </w:rPr>
            </w:pPr>
            <w:r>
              <w:rPr>
                <w:rFonts w:cs="Calibri Light"/>
                <w:szCs w:val="22"/>
              </w:rPr>
              <w:t>24</w:t>
            </w:r>
            <w:r w:rsidR="008B205A">
              <w:rPr>
                <w:rFonts w:cs="Calibri Light"/>
                <w:szCs w:val="22"/>
              </w:rPr>
              <w:t>.70</w:t>
            </w:r>
          </w:p>
        </w:tc>
        <w:tc>
          <w:tcPr>
            <w:tcW w:w="1636" w:type="dxa"/>
            <w:tcBorders>
              <w:top w:val="nil"/>
              <w:left w:val="nil"/>
              <w:bottom w:val="single" w:sz="8" w:space="0" w:color="6B83A7"/>
              <w:right w:val="single" w:sz="8" w:space="0" w:color="6B83A7"/>
            </w:tcBorders>
            <w:shd w:val="clear" w:color="auto" w:fill="auto"/>
            <w:vAlign w:val="center"/>
            <w:hideMark/>
          </w:tcPr>
          <w:p w14:paraId="2BBBDDF8" w14:textId="413BF4E8" w:rsidR="003A30E7" w:rsidRPr="002F2F3B" w:rsidRDefault="00D57CE3" w:rsidP="003A30E7">
            <w:pPr>
              <w:spacing w:before="0" w:after="0"/>
              <w:jc w:val="right"/>
              <w:rPr>
                <w:rFonts w:cs="Calibri Light"/>
                <w:szCs w:val="22"/>
              </w:rPr>
            </w:pPr>
            <w:r>
              <w:rPr>
                <w:rFonts w:cs="Calibri Light"/>
                <w:szCs w:val="22"/>
              </w:rPr>
              <w:t>18</w:t>
            </w:r>
            <w:r w:rsidR="007E4EB3" w:rsidRPr="002F2F3B">
              <w:rPr>
                <w:rFonts w:cs="Calibri Light"/>
                <w:szCs w:val="22"/>
              </w:rPr>
              <w:t>.0</w:t>
            </w:r>
            <w:r>
              <w:rPr>
                <w:rFonts w:cs="Calibri Light"/>
                <w:szCs w:val="22"/>
              </w:rPr>
              <w:t>1</w:t>
            </w:r>
          </w:p>
        </w:tc>
      </w:tr>
      <w:tr w:rsidR="00E12754" w:rsidRPr="003A30E7" w14:paraId="175A73B0" w14:textId="77777777" w:rsidTr="00977C69">
        <w:trPr>
          <w:trHeight w:val="20"/>
        </w:trPr>
        <w:tc>
          <w:tcPr>
            <w:tcW w:w="5944" w:type="dxa"/>
            <w:tcBorders>
              <w:top w:val="nil"/>
              <w:left w:val="single" w:sz="8" w:space="0" w:color="6B83A7"/>
              <w:bottom w:val="single" w:sz="8" w:space="0" w:color="6B83A7"/>
              <w:right w:val="single" w:sz="8" w:space="0" w:color="6B83A7"/>
            </w:tcBorders>
            <w:shd w:val="clear" w:color="000000" w:fill="CDD5E1"/>
            <w:vAlign w:val="center"/>
            <w:hideMark/>
          </w:tcPr>
          <w:p w14:paraId="54F2D8EF" w14:textId="77777777" w:rsidR="003A30E7" w:rsidRPr="002F2F3B" w:rsidRDefault="003A30E7" w:rsidP="003A30E7">
            <w:pPr>
              <w:spacing w:before="0" w:after="0"/>
              <w:rPr>
                <w:rFonts w:cs="Calibri Light"/>
                <w:color w:val="000000"/>
                <w:szCs w:val="22"/>
              </w:rPr>
            </w:pPr>
            <w:r w:rsidRPr="002F2F3B">
              <w:rPr>
                <w:rFonts w:cs="Calibri Light"/>
                <w:color w:val="000000"/>
                <w:szCs w:val="22"/>
              </w:rPr>
              <w:t>Total cost</w:t>
            </w:r>
          </w:p>
        </w:tc>
        <w:tc>
          <w:tcPr>
            <w:tcW w:w="1393" w:type="dxa"/>
            <w:tcBorders>
              <w:top w:val="nil"/>
              <w:left w:val="nil"/>
              <w:bottom w:val="single" w:sz="8" w:space="0" w:color="6B83A7"/>
              <w:right w:val="single" w:sz="8" w:space="0" w:color="6B83A7"/>
            </w:tcBorders>
            <w:shd w:val="clear" w:color="000000" w:fill="CDD5E1"/>
            <w:vAlign w:val="center"/>
            <w:hideMark/>
          </w:tcPr>
          <w:p w14:paraId="037930D4" w14:textId="33C15536" w:rsidR="003A30E7" w:rsidRPr="002F2F3B" w:rsidRDefault="002A76FE" w:rsidP="003A30E7">
            <w:pPr>
              <w:spacing w:before="0" w:after="0"/>
              <w:jc w:val="right"/>
              <w:rPr>
                <w:rFonts w:cs="Calibri Light"/>
                <w:color w:val="000000"/>
                <w:szCs w:val="22"/>
              </w:rPr>
            </w:pPr>
            <w:r>
              <w:rPr>
                <w:rFonts w:cs="Calibri Light"/>
                <w:color w:val="000000"/>
                <w:szCs w:val="22"/>
              </w:rPr>
              <w:t>203.</w:t>
            </w:r>
            <w:r w:rsidR="009D3FDE">
              <w:rPr>
                <w:rFonts w:cs="Calibri Light"/>
                <w:color w:val="000000"/>
                <w:szCs w:val="22"/>
              </w:rPr>
              <w:t>41</w:t>
            </w:r>
          </w:p>
        </w:tc>
        <w:tc>
          <w:tcPr>
            <w:tcW w:w="1636" w:type="dxa"/>
            <w:tcBorders>
              <w:top w:val="nil"/>
              <w:left w:val="nil"/>
              <w:bottom w:val="single" w:sz="8" w:space="0" w:color="6B83A7"/>
              <w:right w:val="single" w:sz="8" w:space="0" w:color="6B83A7"/>
            </w:tcBorders>
            <w:shd w:val="clear" w:color="000000" w:fill="CDD5E1"/>
            <w:vAlign w:val="center"/>
            <w:hideMark/>
          </w:tcPr>
          <w:p w14:paraId="5B52ECFC" w14:textId="6DA9BF15" w:rsidR="003A30E7" w:rsidRPr="002F2F3B" w:rsidRDefault="00E87C3B" w:rsidP="003A30E7">
            <w:pPr>
              <w:spacing w:before="0" w:after="0"/>
              <w:jc w:val="right"/>
              <w:rPr>
                <w:rFonts w:cs="Calibri Light"/>
                <w:color w:val="000000"/>
                <w:szCs w:val="22"/>
              </w:rPr>
            </w:pPr>
            <w:r w:rsidRPr="002F2F3B">
              <w:rPr>
                <w:rFonts w:cs="Calibri Light"/>
                <w:color w:val="000000"/>
                <w:szCs w:val="22"/>
              </w:rPr>
              <w:t>2</w:t>
            </w:r>
            <w:r w:rsidR="00E14A2F">
              <w:rPr>
                <w:rFonts w:cs="Calibri Light"/>
                <w:color w:val="000000"/>
                <w:szCs w:val="22"/>
              </w:rPr>
              <w:t>29.65</w:t>
            </w:r>
          </w:p>
        </w:tc>
      </w:tr>
      <w:tr w:rsidR="003A30E7" w:rsidRPr="003A30E7" w14:paraId="4775680A" w14:textId="77777777" w:rsidTr="00977C69">
        <w:trPr>
          <w:trHeight w:val="20"/>
        </w:trPr>
        <w:tc>
          <w:tcPr>
            <w:tcW w:w="5944" w:type="dxa"/>
            <w:tcBorders>
              <w:top w:val="nil"/>
              <w:left w:val="single" w:sz="8" w:space="0" w:color="6B83A7"/>
              <w:bottom w:val="single" w:sz="8" w:space="0" w:color="6B83A7"/>
              <w:right w:val="single" w:sz="8" w:space="0" w:color="6B83A7"/>
            </w:tcBorders>
            <w:shd w:val="clear" w:color="auto" w:fill="auto"/>
            <w:vAlign w:val="center"/>
            <w:hideMark/>
          </w:tcPr>
          <w:p w14:paraId="0414EF3F" w14:textId="18D39B76" w:rsidR="003A30E7" w:rsidRPr="002F2F3B" w:rsidRDefault="003A30E7" w:rsidP="003A30E7">
            <w:pPr>
              <w:spacing w:before="0" w:after="0"/>
              <w:rPr>
                <w:rFonts w:cs="Calibri Light"/>
                <w:szCs w:val="22"/>
              </w:rPr>
            </w:pPr>
            <w:r w:rsidRPr="002F2F3B">
              <w:rPr>
                <w:rFonts w:cs="Calibri Light"/>
                <w:szCs w:val="22"/>
              </w:rPr>
              <w:t xml:space="preserve">Transitional costs </w:t>
            </w:r>
            <w:r w:rsidR="00C55761">
              <w:rPr>
                <w:rFonts w:cs="Calibri Light"/>
                <w:szCs w:val="22"/>
              </w:rPr>
              <w:t>amortised over</w:t>
            </w:r>
            <w:r w:rsidRPr="002F2F3B">
              <w:rPr>
                <w:rFonts w:cs="Calibri Light"/>
                <w:szCs w:val="22"/>
              </w:rPr>
              <w:t xml:space="preserve"> 10 years</w:t>
            </w:r>
          </w:p>
        </w:tc>
        <w:tc>
          <w:tcPr>
            <w:tcW w:w="1393" w:type="dxa"/>
            <w:tcBorders>
              <w:top w:val="nil"/>
              <w:left w:val="nil"/>
              <w:bottom w:val="single" w:sz="8" w:space="0" w:color="6B83A7"/>
              <w:right w:val="single" w:sz="8" w:space="0" w:color="6B83A7"/>
            </w:tcBorders>
            <w:shd w:val="clear" w:color="auto" w:fill="auto"/>
            <w:vAlign w:val="center"/>
            <w:hideMark/>
          </w:tcPr>
          <w:p w14:paraId="322B023A" w14:textId="72B3282B" w:rsidR="003A30E7" w:rsidRPr="002F2F3B" w:rsidRDefault="008B5648" w:rsidP="003A30E7">
            <w:pPr>
              <w:spacing w:before="0" w:after="0"/>
              <w:jc w:val="right"/>
              <w:rPr>
                <w:rFonts w:cs="Calibri Light"/>
                <w:szCs w:val="22"/>
              </w:rPr>
            </w:pPr>
            <w:r w:rsidRPr="002F2F3B">
              <w:rPr>
                <w:rFonts w:cs="Calibri Light"/>
                <w:szCs w:val="22"/>
              </w:rPr>
              <w:t>2</w:t>
            </w:r>
            <w:r w:rsidR="009D3FDE">
              <w:rPr>
                <w:rFonts w:cs="Calibri Light"/>
                <w:szCs w:val="22"/>
              </w:rPr>
              <w:t>0.34</w:t>
            </w:r>
          </w:p>
        </w:tc>
        <w:tc>
          <w:tcPr>
            <w:tcW w:w="1636" w:type="dxa"/>
            <w:tcBorders>
              <w:top w:val="nil"/>
              <w:left w:val="nil"/>
              <w:bottom w:val="single" w:sz="8" w:space="0" w:color="6B83A7"/>
              <w:right w:val="single" w:sz="8" w:space="0" w:color="6B83A7"/>
            </w:tcBorders>
            <w:shd w:val="clear" w:color="auto" w:fill="auto"/>
            <w:vAlign w:val="center"/>
            <w:hideMark/>
          </w:tcPr>
          <w:p w14:paraId="370149B5" w14:textId="107EF050" w:rsidR="003A30E7" w:rsidRPr="002F2F3B" w:rsidRDefault="00AD4A15" w:rsidP="003A30E7">
            <w:pPr>
              <w:spacing w:before="0" w:after="0"/>
              <w:jc w:val="right"/>
              <w:rPr>
                <w:rFonts w:cs="Calibri Light"/>
                <w:szCs w:val="22"/>
              </w:rPr>
            </w:pPr>
            <w:r w:rsidRPr="002F2F3B">
              <w:rPr>
                <w:rFonts w:cs="Calibri Light"/>
                <w:szCs w:val="22"/>
              </w:rPr>
              <w:t>0</w:t>
            </w:r>
          </w:p>
        </w:tc>
      </w:tr>
    </w:tbl>
    <w:p w14:paraId="54E6C224" w14:textId="025CCEB3" w:rsidR="002F2F3B" w:rsidRPr="009F5E5C" w:rsidRDefault="009F5E5C" w:rsidP="00EB1629">
      <w:pPr>
        <w:pStyle w:val="BodyText"/>
        <w:rPr>
          <w:rFonts w:ascii="Calibri Light" w:eastAsia="Times New Roman" w:hAnsi="Calibri Light" w:cs="Times New Roman"/>
          <w:color w:val="auto"/>
          <w:sz w:val="20"/>
          <w:szCs w:val="18"/>
          <w:lang w:eastAsia="en-AU"/>
        </w:rPr>
      </w:pPr>
      <w:r w:rsidRPr="009F5E5C">
        <w:rPr>
          <w:rFonts w:ascii="Calibri Light" w:eastAsia="Times New Roman" w:hAnsi="Calibri Light" w:cs="Times New Roman"/>
          <w:color w:val="auto"/>
          <w:sz w:val="20"/>
          <w:szCs w:val="18"/>
          <w:lang w:eastAsia="en-AU"/>
        </w:rPr>
        <w:t>Source: Treasury analysis</w:t>
      </w:r>
    </w:p>
    <w:p w14:paraId="66D622D0" w14:textId="0CEDE815" w:rsidR="00EB1629" w:rsidRDefault="00B866F2" w:rsidP="00EB1629">
      <w:pPr>
        <w:pStyle w:val="BodyText"/>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 xml:space="preserve">The total </w:t>
      </w:r>
      <w:r w:rsidR="000219A9">
        <w:rPr>
          <w:rFonts w:ascii="Calibri Light" w:eastAsia="Times New Roman" w:hAnsi="Calibri Light" w:cs="Times New Roman"/>
          <w:color w:val="auto"/>
          <w:szCs w:val="20"/>
          <w:lang w:eastAsia="en-AU"/>
        </w:rPr>
        <w:t xml:space="preserve">ongoing compliance costs </w:t>
      </w:r>
      <w:r w:rsidR="0027031F">
        <w:rPr>
          <w:rFonts w:ascii="Calibri Light" w:eastAsia="Times New Roman" w:hAnsi="Calibri Light" w:cs="Times New Roman"/>
          <w:color w:val="auto"/>
          <w:szCs w:val="20"/>
          <w:lang w:eastAsia="en-AU"/>
        </w:rPr>
        <w:t xml:space="preserve">is the sum of the amortised transitional costs </w:t>
      </w:r>
      <w:r w:rsidR="00E22A54">
        <w:rPr>
          <w:rFonts w:ascii="Calibri Light" w:eastAsia="Times New Roman" w:hAnsi="Calibri Light" w:cs="Times New Roman"/>
          <w:color w:val="auto"/>
          <w:szCs w:val="20"/>
          <w:lang w:eastAsia="en-AU"/>
        </w:rPr>
        <w:t>and ongoing costs</w:t>
      </w:r>
      <w:r w:rsidR="000219A9">
        <w:rPr>
          <w:rFonts w:ascii="Calibri Light" w:eastAsia="Times New Roman" w:hAnsi="Calibri Light" w:cs="Times New Roman"/>
          <w:color w:val="auto"/>
          <w:szCs w:val="20"/>
          <w:lang w:eastAsia="en-AU"/>
        </w:rPr>
        <w:t xml:space="preserve"> equal</w:t>
      </w:r>
      <w:r w:rsidR="006B3835">
        <w:rPr>
          <w:rFonts w:ascii="Calibri Light" w:eastAsia="Times New Roman" w:hAnsi="Calibri Light" w:cs="Times New Roman"/>
          <w:color w:val="auto"/>
          <w:szCs w:val="20"/>
          <w:lang w:eastAsia="en-AU"/>
        </w:rPr>
        <w:t>ling</w:t>
      </w:r>
      <w:r w:rsidR="00F42E64">
        <w:rPr>
          <w:rFonts w:ascii="Calibri Light" w:eastAsia="Times New Roman" w:hAnsi="Calibri Light" w:cs="Times New Roman"/>
          <w:color w:val="auto"/>
          <w:szCs w:val="20"/>
          <w:lang w:eastAsia="en-AU"/>
        </w:rPr>
        <w:t xml:space="preserve"> $</w:t>
      </w:r>
      <w:r w:rsidR="00AD4A15">
        <w:rPr>
          <w:rFonts w:ascii="Calibri Light" w:eastAsia="Times New Roman" w:hAnsi="Calibri Light" w:cs="Times New Roman"/>
          <w:color w:val="auto"/>
          <w:szCs w:val="20"/>
          <w:lang w:eastAsia="en-AU"/>
        </w:rPr>
        <w:t>2</w:t>
      </w:r>
      <w:r w:rsidR="00E14A2F">
        <w:rPr>
          <w:rFonts w:ascii="Calibri Light" w:eastAsia="Times New Roman" w:hAnsi="Calibri Light" w:cs="Times New Roman"/>
          <w:color w:val="auto"/>
          <w:szCs w:val="20"/>
          <w:lang w:eastAsia="en-AU"/>
        </w:rPr>
        <w:t>49</w:t>
      </w:r>
      <w:r w:rsidR="00AD4A15">
        <w:rPr>
          <w:rFonts w:ascii="Calibri Light" w:eastAsia="Times New Roman" w:hAnsi="Calibri Light" w:cs="Times New Roman"/>
          <w:color w:val="auto"/>
          <w:szCs w:val="20"/>
          <w:lang w:eastAsia="en-AU"/>
        </w:rPr>
        <w:t>.</w:t>
      </w:r>
      <w:r w:rsidR="00E14A2F">
        <w:rPr>
          <w:rFonts w:ascii="Calibri Light" w:eastAsia="Times New Roman" w:hAnsi="Calibri Light" w:cs="Times New Roman"/>
          <w:color w:val="auto"/>
          <w:szCs w:val="20"/>
          <w:lang w:eastAsia="en-AU"/>
        </w:rPr>
        <w:t>99</w:t>
      </w:r>
      <w:r w:rsidR="00F42E64">
        <w:rPr>
          <w:rFonts w:ascii="Calibri Light" w:eastAsia="Times New Roman" w:hAnsi="Calibri Light" w:cs="Times New Roman"/>
          <w:color w:val="auto"/>
          <w:szCs w:val="20"/>
          <w:lang w:eastAsia="en-AU"/>
        </w:rPr>
        <w:t xml:space="preserve"> million</w:t>
      </w:r>
      <w:r w:rsidR="00092D5A">
        <w:rPr>
          <w:rFonts w:ascii="Calibri Light" w:eastAsia="Times New Roman" w:hAnsi="Calibri Light" w:cs="Times New Roman"/>
          <w:color w:val="auto"/>
          <w:szCs w:val="20"/>
          <w:lang w:eastAsia="en-AU"/>
        </w:rPr>
        <w:t xml:space="preserve">. </w:t>
      </w:r>
      <w:r w:rsidR="00EB1629" w:rsidRPr="0030627C">
        <w:rPr>
          <w:rFonts w:ascii="Calibri Light" w:eastAsia="Times New Roman" w:hAnsi="Calibri Light" w:cs="Times New Roman"/>
          <w:color w:val="auto"/>
          <w:szCs w:val="20"/>
          <w:lang w:eastAsia="en-AU"/>
        </w:rPr>
        <w:t xml:space="preserve">There is significant uncertainty in this figure as we assume continued disclosure and uptake of one framework (the TCFD framework). It is possible that several other frameworks </w:t>
      </w:r>
      <w:r w:rsidR="0023366A">
        <w:rPr>
          <w:rFonts w:ascii="Calibri Light" w:eastAsia="Times New Roman" w:hAnsi="Calibri Light" w:cs="Times New Roman"/>
          <w:color w:val="auto"/>
          <w:szCs w:val="20"/>
          <w:lang w:eastAsia="en-AU"/>
        </w:rPr>
        <w:t>could</w:t>
      </w:r>
      <w:r w:rsidR="00EB1629" w:rsidRPr="0030627C">
        <w:rPr>
          <w:rFonts w:ascii="Calibri Light" w:eastAsia="Times New Roman" w:hAnsi="Calibri Light" w:cs="Times New Roman"/>
          <w:color w:val="auto"/>
          <w:szCs w:val="20"/>
          <w:lang w:eastAsia="en-AU"/>
        </w:rPr>
        <w:t xml:space="preserve"> be used, particularly the recently released ISSB standards. </w:t>
      </w:r>
      <w:r w:rsidR="0023366A">
        <w:rPr>
          <w:rFonts w:ascii="Calibri Light" w:eastAsia="Times New Roman" w:hAnsi="Calibri Light" w:cs="Times New Roman"/>
          <w:color w:val="auto"/>
          <w:szCs w:val="20"/>
          <w:lang w:eastAsia="en-AU"/>
        </w:rPr>
        <w:t>It is expected that t</w:t>
      </w:r>
      <w:r w:rsidR="00EB1629" w:rsidRPr="0030627C">
        <w:rPr>
          <w:rFonts w:ascii="Calibri Light" w:eastAsia="Times New Roman" w:hAnsi="Calibri Light" w:cs="Times New Roman"/>
          <w:color w:val="auto"/>
          <w:szCs w:val="20"/>
          <w:lang w:eastAsia="en-AU"/>
        </w:rPr>
        <w:t xml:space="preserve">he cost for implementing ISSB </w:t>
      </w:r>
      <w:r w:rsidR="0023366A">
        <w:rPr>
          <w:rFonts w:ascii="Calibri Light" w:eastAsia="Times New Roman" w:hAnsi="Calibri Light" w:cs="Times New Roman"/>
          <w:color w:val="auto"/>
          <w:szCs w:val="20"/>
          <w:lang w:eastAsia="en-AU"/>
        </w:rPr>
        <w:t>would be marginally greater</w:t>
      </w:r>
      <w:r w:rsidR="00EB1629" w:rsidRPr="0030627C">
        <w:rPr>
          <w:rFonts w:ascii="Calibri Light" w:eastAsia="Times New Roman" w:hAnsi="Calibri Light" w:cs="Times New Roman"/>
          <w:color w:val="auto"/>
          <w:szCs w:val="20"/>
          <w:lang w:eastAsia="en-AU"/>
        </w:rPr>
        <w:t xml:space="preserve"> than the TCFD due to </w:t>
      </w:r>
      <w:r w:rsidR="00EB1629">
        <w:rPr>
          <w:rFonts w:ascii="Calibri Light" w:eastAsia="Times New Roman" w:hAnsi="Calibri Light" w:cs="Times New Roman"/>
          <w:color w:val="auto"/>
          <w:szCs w:val="20"/>
          <w:lang w:eastAsia="en-AU"/>
        </w:rPr>
        <w:t>a higher degree of prescription in the requirements</w:t>
      </w:r>
      <w:r w:rsidR="00EB1629" w:rsidRPr="0030627C">
        <w:rPr>
          <w:rFonts w:ascii="Calibri Light" w:eastAsia="Times New Roman" w:hAnsi="Calibri Light" w:cs="Times New Roman"/>
          <w:color w:val="auto"/>
          <w:szCs w:val="20"/>
          <w:lang w:eastAsia="en-AU"/>
        </w:rPr>
        <w:t xml:space="preserve">. This would increase the cost of the status quo.  </w:t>
      </w:r>
    </w:p>
    <w:p w14:paraId="3EE091C5" w14:textId="77777777" w:rsidR="00271989" w:rsidRDefault="00271989" w:rsidP="00271989">
      <w:pPr>
        <w:pStyle w:val="BodyText"/>
        <w:rPr>
          <w:rFonts w:ascii="Calibri Light" w:eastAsia="Times New Roman" w:hAnsi="Calibri Light" w:cs="Times New Roman"/>
          <w:color w:val="auto"/>
          <w:lang w:eastAsia="en-AU"/>
        </w:rPr>
      </w:pPr>
      <w:r w:rsidRPr="26A0AA83">
        <w:rPr>
          <w:rFonts w:ascii="Calibri Light" w:eastAsia="Times New Roman" w:hAnsi="Calibri Light" w:cs="Times New Roman"/>
          <w:color w:val="auto"/>
          <w:lang w:eastAsia="en-AU"/>
        </w:rPr>
        <w:t xml:space="preserve">Further to this, maintaining the status quo will also result in costs for investors. </w:t>
      </w:r>
      <w:r w:rsidRPr="442A2D2B">
        <w:rPr>
          <w:rFonts w:ascii="Calibri Light" w:eastAsia="Times New Roman" w:hAnsi="Calibri Light" w:cs="Times New Roman"/>
          <w:color w:val="auto"/>
          <w:lang w:eastAsia="en-AU"/>
        </w:rPr>
        <w:t>One report with surveyed US institutional investors, approximating the cost of collection and analysis of data to be US $1,249,000 annually</w:t>
      </w:r>
      <w:r w:rsidRPr="442A2D2B">
        <w:rPr>
          <w:rStyle w:val="FootnoteReference"/>
          <w:rFonts w:ascii="Calibri Light" w:eastAsia="Times New Roman" w:hAnsi="Calibri Light" w:cs="Times New Roman"/>
          <w:color w:val="auto"/>
          <w:vertAlign w:val="superscript"/>
          <w:lang w:eastAsia="en-AU"/>
        </w:rPr>
        <w:footnoteReference w:id="37"/>
      </w:r>
      <w:r w:rsidRPr="442A2D2B">
        <w:rPr>
          <w:rFonts w:ascii="Calibri Light" w:eastAsia="Times New Roman" w:hAnsi="Calibri Light" w:cs="Times New Roman"/>
          <w:color w:val="auto"/>
          <w:lang w:eastAsia="en-AU"/>
        </w:rPr>
        <w:t>, with costs split into collection of data, analysis of data and sustainability consultants. It should be noted that the sample size of this survey is relatively small and that costs may vary depending on several factors.</w:t>
      </w:r>
    </w:p>
    <w:p w14:paraId="4B4AEF36" w14:textId="6B5E1D64" w:rsidR="0066272A" w:rsidRDefault="000C140C" w:rsidP="0066272A">
      <w:pPr>
        <w:pStyle w:val="BodyText"/>
        <w:rPr>
          <w:rFonts w:ascii="Calibri Light" w:eastAsia="Times New Roman" w:hAnsi="Calibri Light" w:cs="Times New Roman"/>
          <w:color w:val="auto"/>
          <w:lang w:eastAsia="en-AU"/>
        </w:rPr>
      </w:pPr>
      <w:r>
        <w:rPr>
          <w:rFonts w:ascii="Calibri Light" w:eastAsia="Times New Roman" w:hAnsi="Calibri Light" w:cs="Times New Roman"/>
          <w:color w:val="auto"/>
          <w:lang w:eastAsia="en-AU"/>
        </w:rPr>
        <w:t xml:space="preserve">There are also a number of unquantified costs associated with the </w:t>
      </w:r>
      <w:r w:rsidR="00E80957">
        <w:rPr>
          <w:rFonts w:ascii="Calibri Light" w:eastAsia="Times New Roman" w:hAnsi="Calibri Light" w:cs="Times New Roman"/>
          <w:color w:val="auto"/>
          <w:lang w:eastAsia="en-AU"/>
        </w:rPr>
        <w:t xml:space="preserve">current reporting requirements, including </w:t>
      </w:r>
      <w:r w:rsidR="008475E7">
        <w:rPr>
          <w:rFonts w:ascii="Calibri Light" w:eastAsia="Times New Roman" w:hAnsi="Calibri Light" w:cs="Times New Roman"/>
          <w:color w:val="auto"/>
          <w:lang w:eastAsia="en-AU"/>
        </w:rPr>
        <w:t xml:space="preserve">a higher </w:t>
      </w:r>
      <w:r w:rsidR="0066272A">
        <w:rPr>
          <w:rFonts w:ascii="Calibri Light" w:eastAsia="Times New Roman" w:hAnsi="Calibri Light" w:cs="Times New Roman"/>
          <w:color w:val="auto"/>
          <w:lang w:eastAsia="en-AU"/>
        </w:rPr>
        <w:t xml:space="preserve">risk premium for investors, a higher </w:t>
      </w:r>
      <w:r w:rsidR="008475E7">
        <w:rPr>
          <w:rFonts w:ascii="Calibri Light" w:eastAsia="Times New Roman" w:hAnsi="Calibri Light" w:cs="Times New Roman"/>
          <w:color w:val="auto"/>
          <w:lang w:eastAsia="en-AU"/>
        </w:rPr>
        <w:t>cost of capital for companies and less efficient capital allocation across the economy.</w:t>
      </w:r>
      <w:r w:rsidR="0066272A">
        <w:rPr>
          <w:rFonts w:ascii="Calibri Light" w:eastAsia="Times New Roman" w:hAnsi="Calibri Light" w:cs="Times New Roman"/>
          <w:color w:val="auto"/>
          <w:lang w:eastAsia="en-AU"/>
        </w:rPr>
        <w:t xml:space="preserve"> </w:t>
      </w:r>
      <w:r w:rsidR="0066272A" w:rsidRPr="007D0659">
        <w:rPr>
          <w:rFonts w:ascii="Calibri Light" w:eastAsia="Times New Roman" w:hAnsi="Calibri Light" w:cs="Times New Roman"/>
          <w:color w:val="auto"/>
          <w:lang w:eastAsia="en-AU"/>
        </w:rPr>
        <w:t xml:space="preserve">These costing assumptions are approximate only, and do not account for circumstances where companies would need to meaningfully increase climate risk reporting activities in order to remain compliant with existing obligations under the </w:t>
      </w:r>
      <w:r w:rsidR="0066272A" w:rsidRPr="007D0659">
        <w:rPr>
          <w:rFonts w:ascii="Calibri Light" w:eastAsia="Times New Roman" w:hAnsi="Calibri Light" w:cs="Times New Roman"/>
          <w:i/>
          <w:iCs/>
          <w:color w:val="auto"/>
          <w:lang w:eastAsia="en-AU"/>
        </w:rPr>
        <w:t>Corporations Act 2001</w:t>
      </w:r>
      <w:r w:rsidR="0066272A" w:rsidRPr="007D0659">
        <w:rPr>
          <w:rFonts w:ascii="Calibri Light" w:eastAsia="Times New Roman" w:hAnsi="Calibri Light" w:cs="Times New Roman"/>
          <w:color w:val="auto"/>
          <w:lang w:eastAsia="en-AU"/>
        </w:rPr>
        <w:t xml:space="preserve"> to report on ‘material’ risks.</w:t>
      </w:r>
    </w:p>
    <w:p w14:paraId="439331E2" w14:textId="77777777" w:rsidR="00C005C0" w:rsidRDefault="00C005C0" w:rsidP="0066272A">
      <w:pPr>
        <w:pStyle w:val="BodyText"/>
        <w:rPr>
          <w:rFonts w:ascii="Calibri Light" w:eastAsia="Times New Roman" w:hAnsi="Calibri Light" w:cs="Times New Roman"/>
          <w:color w:val="auto"/>
          <w:lang w:eastAsia="en-AU"/>
        </w:rPr>
      </w:pPr>
    </w:p>
    <w:p w14:paraId="212FFAEE" w14:textId="77777777" w:rsidR="00C005C0" w:rsidRPr="0030627C" w:rsidRDefault="00C005C0" w:rsidP="0066272A">
      <w:pPr>
        <w:pStyle w:val="BodyText"/>
        <w:rPr>
          <w:rFonts w:ascii="Calibri Light" w:eastAsia="Times New Roman" w:hAnsi="Calibri Light" w:cs="Times New Roman"/>
          <w:color w:val="auto"/>
          <w:szCs w:val="20"/>
          <w:lang w:eastAsia="en-AU"/>
        </w:rPr>
      </w:pPr>
    </w:p>
    <w:p w14:paraId="484506EF" w14:textId="7CA4B0A1" w:rsidR="00271989" w:rsidRPr="00D3136F" w:rsidRDefault="008E2706" w:rsidP="003B3BBB">
      <w:pPr>
        <w:pStyle w:val="Caption"/>
      </w:pPr>
      <w:r w:rsidRPr="00D3136F">
        <w:t xml:space="preserve">Table 4: </w:t>
      </w:r>
      <w:r w:rsidR="00271989" w:rsidRPr="00D3136F">
        <w:t xml:space="preserve">Key drivers of </w:t>
      </w:r>
      <w:r w:rsidRPr="00D3136F">
        <w:t>costs to investors</w:t>
      </w:r>
    </w:p>
    <w:tbl>
      <w:tblPr>
        <w:tblStyle w:val="GridTable4-Accent1"/>
        <w:tblW w:w="0" w:type="auto"/>
        <w:tblLook w:val="04A0" w:firstRow="1" w:lastRow="0" w:firstColumn="1" w:lastColumn="0" w:noHBand="0" w:noVBand="1"/>
      </w:tblPr>
      <w:tblGrid>
        <w:gridCol w:w="4673"/>
        <w:gridCol w:w="4387"/>
      </w:tblGrid>
      <w:tr w:rsidR="008E2706" w14:paraId="68D68D07" w14:textId="77777777" w:rsidTr="008E27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851201D" w14:textId="29333CF3" w:rsidR="008E2706" w:rsidRDefault="008E2706" w:rsidP="00271989">
            <w:pPr>
              <w:pStyle w:val="BodyText"/>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Activity</w:t>
            </w:r>
          </w:p>
        </w:tc>
        <w:tc>
          <w:tcPr>
            <w:tcW w:w="4387" w:type="dxa"/>
          </w:tcPr>
          <w:p w14:paraId="4B49C9FB" w14:textId="3579BA0B" w:rsidR="008E2706" w:rsidRDefault="008E2706" w:rsidP="00271989">
            <w:pPr>
              <w:pStyle w:val="BodyText"/>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Cost ($USD)</w:t>
            </w:r>
          </w:p>
        </w:tc>
      </w:tr>
      <w:tr w:rsidR="008E2706" w14:paraId="60DF75BE" w14:textId="77777777" w:rsidTr="008E2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9ED4680" w14:textId="5F9FFFCF" w:rsidR="008E2706" w:rsidRDefault="008E2706" w:rsidP="00271989">
            <w:pPr>
              <w:pStyle w:val="BodyText"/>
              <w:rPr>
                <w:rFonts w:ascii="Calibri Light" w:eastAsia="Times New Roman" w:hAnsi="Calibri Light" w:cs="Times New Roman"/>
                <w:color w:val="auto"/>
                <w:szCs w:val="20"/>
                <w:lang w:eastAsia="en-AU"/>
              </w:rPr>
            </w:pPr>
            <w:r w:rsidRPr="00255459">
              <w:rPr>
                <w:rFonts w:ascii="Calibri Light" w:eastAsia="Times New Roman" w:hAnsi="Calibri Light" w:cs="Times New Roman"/>
                <w:b w:val="0"/>
                <w:bCs w:val="0"/>
                <w:color w:val="auto"/>
                <w:szCs w:val="20"/>
                <w:lang w:eastAsia="en-AU"/>
              </w:rPr>
              <w:t>External ESG ratings, data providers, and consultants</w:t>
            </w:r>
          </w:p>
        </w:tc>
        <w:tc>
          <w:tcPr>
            <w:tcW w:w="4387" w:type="dxa"/>
          </w:tcPr>
          <w:p w14:paraId="6EB640C3" w14:textId="59E0C366" w:rsidR="008E2706" w:rsidRDefault="008E2706" w:rsidP="00271989">
            <w:pPr>
              <w:pStyle w:val="BodyTex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auto"/>
                <w:szCs w:val="20"/>
                <w:lang w:eastAsia="en-AU"/>
              </w:rPr>
            </w:pPr>
            <w:r w:rsidRPr="0030627C">
              <w:rPr>
                <w:rFonts w:ascii="Calibri Light" w:eastAsia="Times New Roman" w:hAnsi="Calibri Light" w:cs="Times New Roman"/>
                <w:color w:val="auto"/>
                <w:szCs w:val="20"/>
                <w:lang w:eastAsia="en-AU"/>
              </w:rPr>
              <w:t>$487,000 average annual</w:t>
            </w:r>
          </w:p>
        </w:tc>
      </w:tr>
      <w:tr w:rsidR="008E2706" w14:paraId="7654D1EE" w14:textId="77777777" w:rsidTr="008E2706">
        <w:tc>
          <w:tcPr>
            <w:cnfStyle w:val="001000000000" w:firstRow="0" w:lastRow="0" w:firstColumn="1" w:lastColumn="0" w:oddVBand="0" w:evenVBand="0" w:oddHBand="0" w:evenHBand="0" w:firstRowFirstColumn="0" w:firstRowLastColumn="0" w:lastRowFirstColumn="0" w:lastRowLastColumn="0"/>
            <w:tcW w:w="4673" w:type="dxa"/>
          </w:tcPr>
          <w:p w14:paraId="77B4F26E" w14:textId="71494D93" w:rsidR="008E2706" w:rsidRPr="008E2706" w:rsidRDefault="008E2706" w:rsidP="00271989">
            <w:pPr>
              <w:pStyle w:val="BodyText"/>
              <w:rPr>
                <w:rFonts w:ascii="Calibri Light" w:eastAsia="Times New Roman" w:hAnsi="Calibri Light" w:cs="Times New Roman"/>
                <w:b w:val="0"/>
                <w:bCs w:val="0"/>
                <w:color w:val="auto"/>
                <w:szCs w:val="20"/>
                <w:lang w:eastAsia="en-AU"/>
              </w:rPr>
            </w:pPr>
            <w:r w:rsidRPr="008E2706">
              <w:rPr>
                <w:rFonts w:ascii="Calibri Light" w:eastAsia="Times New Roman" w:hAnsi="Calibri Light" w:cs="Times New Roman"/>
                <w:b w:val="0"/>
                <w:bCs w:val="0"/>
                <w:color w:val="auto"/>
                <w:szCs w:val="20"/>
                <w:lang w:eastAsia="en-AU"/>
              </w:rPr>
              <w:t>In-house, outside counsel, and proxy solicitor analysis of shareholder voting for ballot items related to gathering climate risk management information</w:t>
            </w:r>
          </w:p>
        </w:tc>
        <w:tc>
          <w:tcPr>
            <w:tcW w:w="4387" w:type="dxa"/>
          </w:tcPr>
          <w:p w14:paraId="73C56230" w14:textId="7BF792BC" w:rsidR="008E2706" w:rsidRDefault="008E2706" w:rsidP="00271989">
            <w:pPr>
              <w:pStyle w:val="BodyText"/>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auto"/>
                <w:szCs w:val="20"/>
                <w:lang w:eastAsia="en-AU"/>
              </w:rPr>
            </w:pPr>
            <w:r w:rsidRPr="0030627C">
              <w:rPr>
                <w:rFonts w:ascii="Calibri Light" w:eastAsia="Times New Roman" w:hAnsi="Calibri Light" w:cs="Times New Roman"/>
                <w:color w:val="auto"/>
                <w:szCs w:val="20"/>
                <w:lang w:eastAsia="en-AU"/>
              </w:rPr>
              <w:t>$405,000 average annual cost</w:t>
            </w:r>
          </w:p>
        </w:tc>
      </w:tr>
      <w:tr w:rsidR="008E2706" w14:paraId="706CF098" w14:textId="77777777" w:rsidTr="008E2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F069976" w14:textId="4303C7D2" w:rsidR="008E2706" w:rsidRDefault="008E2706" w:rsidP="00271989">
            <w:pPr>
              <w:pStyle w:val="BodyText"/>
              <w:rPr>
                <w:rFonts w:ascii="Calibri Light" w:eastAsia="Times New Roman" w:hAnsi="Calibri Light" w:cs="Times New Roman"/>
                <w:color w:val="auto"/>
                <w:szCs w:val="20"/>
                <w:lang w:eastAsia="en-AU"/>
              </w:rPr>
            </w:pPr>
            <w:r w:rsidRPr="00255459">
              <w:rPr>
                <w:rFonts w:ascii="Calibri Light" w:eastAsia="Times New Roman" w:hAnsi="Calibri Light" w:cs="Times New Roman"/>
                <w:b w:val="0"/>
                <w:bCs w:val="0"/>
                <w:color w:val="auto"/>
                <w:szCs w:val="20"/>
                <w:lang w:eastAsia="en-AU"/>
              </w:rPr>
              <w:t>Internal climate-related investment analysis</w:t>
            </w:r>
          </w:p>
        </w:tc>
        <w:tc>
          <w:tcPr>
            <w:tcW w:w="4387" w:type="dxa"/>
          </w:tcPr>
          <w:p w14:paraId="2B3A2367" w14:textId="7660BDB9" w:rsidR="008E2706" w:rsidRDefault="008E2706" w:rsidP="00271989">
            <w:pPr>
              <w:pStyle w:val="BodyText"/>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auto"/>
                <w:szCs w:val="20"/>
                <w:lang w:eastAsia="en-AU"/>
              </w:rPr>
            </w:pPr>
            <w:r w:rsidRPr="0030627C">
              <w:rPr>
                <w:rFonts w:ascii="Calibri Light" w:eastAsia="Times New Roman" w:hAnsi="Calibri Light" w:cs="Times New Roman"/>
                <w:color w:val="auto"/>
                <w:szCs w:val="20"/>
                <w:lang w:eastAsia="en-AU"/>
              </w:rPr>
              <w:t>$357,000 average annual cost</w:t>
            </w:r>
          </w:p>
        </w:tc>
      </w:tr>
    </w:tbl>
    <w:p w14:paraId="7D33A533" w14:textId="1F6D68B9" w:rsidR="00271989" w:rsidRPr="005445A5" w:rsidRDefault="008E2706" w:rsidP="00EB1629">
      <w:pPr>
        <w:pStyle w:val="BodyText"/>
        <w:rPr>
          <w:rFonts w:ascii="Calibri Light" w:eastAsia="Times New Roman" w:hAnsi="Calibri Light" w:cs="Times New Roman"/>
          <w:color w:val="auto"/>
          <w:sz w:val="20"/>
          <w:szCs w:val="18"/>
          <w:lang w:eastAsia="en-AU"/>
        </w:rPr>
      </w:pPr>
      <w:r w:rsidRPr="005445A5">
        <w:rPr>
          <w:rFonts w:ascii="Calibri Light" w:eastAsia="Times New Roman" w:hAnsi="Calibri Light" w:cs="Times New Roman"/>
          <w:color w:val="auto"/>
          <w:sz w:val="20"/>
          <w:szCs w:val="18"/>
          <w:lang w:eastAsia="en-AU"/>
        </w:rPr>
        <w:t>Source:</w:t>
      </w:r>
      <w:r w:rsidR="005445A5" w:rsidRPr="005445A5">
        <w:rPr>
          <w:rFonts w:ascii="Calibri Light" w:eastAsia="Times New Roman" w:hAnsi="Calibri Light" w:cs="Times New Roman"/>
          <w:color w:val="auto"/>
          <w:sz w:val="20"/>
          <w:szCs w:val="18"/>
          <w:lang w:eastAsia="en-AU"/>
        </w:rPr>
        <w:t xml:space="preserve"> </w:t>
      </w:r>
      <w:proofErr w:type="spellStart"/>
      <w:r w:rsidR="005445A5" w:rsidRPr="005445A5">
        <w:rPr>
          <w:rFonts w:ascii="Calibri Light" w:eastAsia="Times New Roman" w:hAnsi="Calibri Light" w:cs="Times New Roman"/>
          <w:color w:val="auto"/>
          <w:sz w:val="20"/>
          <w:szCs w:val="18"/>
          <w:lang w:eastAsia="en-AU"/>
        </w:rPr>
        <w:t>SustainAbility</w:t>
      </w:r>
      <w:proofErr w:type="spellEnd"/>
      <w:r w:rsidR="005445A5" w:rsidRPr="005445A5">
        <w:rPr>
          <w:rFonts w:ascii="Calibri Light" w:eastAsia="Times New Roman" w:hAnsi="Calibri Light" w:cs="Times New Roman"/>
          <w:color w:val="auto"/>
          <w:sz w:val="20"/>
          <w:szCs w:val="18"/>
          <w:lang w:eastAsia="en-AU"/>
        </w:rPr>
        <w:t xml:space="preserve"> Institute </w:t>
      </w:r>
    </w:p>
    <w:p w14:paraId="40026519" w14:textId="77777777" w:rsidR="00EB1629" w:rsidRDefault="00EB1629" w:rsidP="00EB1629">
      <w:pPr>
        <w:pStyle w:val="Heading3"/>
      </w:pPr>
      <w:bookmarkStart w:id="26" w:name="_Toc141895098"/>
      <w:bookmarkStart w:id="27" w:name="_Toc144742113"/>
      <w:r>
        <w:t xml:space="preserve">Option 1: </w:t>
      </w:r>
      <w:bookmarkEnd w:id="26"/>
      <w:r>
        <w:t>Design consultation policy</w:t>
      </w:r>
      <w:bookmarkEnd w:id="27"/>
    </w:p>
    <w:p w14:paraId="1D72B1B0" w14:textId="2A915BD7" w:rsidR="009B5107" w:rsidRPr="00B012BB" w:rsidRDefault="009B5107" w:rsidP="009B5107">
      <w:pPr>
        <w:pStyle w:val="Heading4"/>
      </w:pPr>
      <w:r>
        <w:t>Affected cohort</w:t>
      </w:r>
    </w:p>
    <w:p w14:paraId="54176F9F" w14:textId="40EC556E" w:rsidR="009B5107" w:rsidRDefault="009B5107" w:rsidP="009B5107">
      <w:pPr>
        <w:pStyle w:val="BodyText"/>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 xml:space="preserve">Option 1 has the broadest coverage out of all options. Treasury benchmarked the coverage </w:t>
      </w:r>
      <w:r w:rsidRPr="00B012BB">
        <w:rPr>
          <w:rFonts w:ascii="Calibri Light" w:eastAsia="Times New Roman" w:hAnsi="Calibri Light" w:cs="Times New Roman"/>
          <w:color w:val="auto"/>
          <w:szCs w:val="20"/>
          <w:lang w:eastAsia="en-AU"/>
        </w:rPr>
        <w:t xml:space="preserve">parameters for inclusion </w:t>
      </w:r>
      <w:r>
        <w:rPr>
          <w:rFonts w:ascii="Calibri Light" w:eastAsia="Times New Roman" w:hAnsi="Calibri Light" w:cs="Times New Roman"/>
          <w:color w:val="auto"/>
          <w:szCs w:val="20"/>
          <w:lang w:eastAsia="en-AU"/>
        </w:rPr>
        <w:t>on</w:t>
      </w:r>
      <w:r w:rsidRPr="00B012BB">
        <w:rPr>
          <w:rFonts w:ascii="Calibri Light" w:eastAsia="Times New Roman" w:hAnsi="Calibri Light" w:cs="Times New Roman"/>
          <w:color w:val="auto"/>
          <w:szCs w:val="20"/>
          <w:lang w:eastAsia="en-AU"/>
        </w:rPr>
        <w:t xml:space="preserve"> ASIC’s “large proprietary company” size threshold. Treasury analysis suggests that </w:t>
      </w:r>
      <w:r>
        <w:rPr>
          <w:rFonts w:ascii="Calibri Light" w:eastAsia="Times New Roman" w:hAnsi="Calibri Light" w:cs="Times New Roman"/>
          <w:color w:val="auto"/>
          <w:szCs w:val="20"/>
          <w:lang w:eastAsia="en-AU"/>
        </w:rPr>
        <w:t xml:space="preserve">based on </w:t>
      </w:r>
      <w:r w:rsidRPr="00E51B00">
        <w:rPr>
          <w:rFonts w:ascii="Calibri Light" w:eastAsia="Times New Roman" w:hAnsi="Calibri Light" w:cs="Times New Roman"/>
          <w:color w:val="auto"/>
          <w:szCs w:val="20"/>
          <w:lang w:eastAsia="en-AU"/>
        </w:rPr>
        <w:t>2021 data, the size threshold for Group 1 will capture, at a minimum, 729 entities, Group 2 will capture, at a minimum, 755 entities and Group 3 will capture, at a minimum, 4,555 entities</w:t>
      </w:r>
      <w:r w:rsidRPr="00B012BB">
        <w:rPr>
          <w:rFonts w:ascii="Calibri Light" w:eastAsia="Times New Roman" w:hAnsi="Calibri Light" w:cs="Times New Roman"/>
          <w:color w:val="auto"/>
          <w:szCs w:val="20"/>
          <w:lang w:eastAsia="en-AU"/>
        </w:rPr>
        <w:t xml:space="preserve">. </w:t>
      </w:r>
      <w:r>
        <w:rPr>
          <w:rFonts w:ascii="Calibri Light" w:eastAsia="Times New Roman" w:hAnsi="Calibri Light" w:cs="Times New Roman"/>
          <w:color w:val="auto"/>
          <w:szCs w:val="20"/>
          <w:lang w:eastAsia="en-AU"/>
        </w:rPr>
        <w:t xml:space="preserve">Due to the lack of complete data sets, we consider these </w:t>
      </w:r>
      <w:r w:rsidRPr="00B012BB">
        <w:rPr>
          <w:rFonts w:ascii="Calibri Light" w:eastAsia="Times New Roman" w:hAnsi="Calibri Light" w:cs="Times New Roman"/>
          <w:color w:val="auto"/>
          <w:szCs w:val="20"/>
          <w:lang w:eastAsia="en-AU"/>
        </w:rPr>
        <w:t xml:space="preserve">numbers </w:t>
      </w:r>
      <w:r>
        <w:rPr>
          <w:rFonts w:ascii="Calibri Light" w:eastAsia="Times New Roman" w:hAnsi="Calibri Light" w:cs="Times New Roman"/>
          <w:color w:val="auto"/>
          <w:szCs w:val="20"/>
          <w:lang w:eastAsia="en-AU"/>
        </w:rPr>
        <w:t xml:space="preserve">marginally </w:t>
      </w:r>
      <w:r w:rsidRPr="00B012BB">
        <w:rPr>
          <w:rFonts w:ascii="Calibri Light" w:eastAsia="Times New Roman" w:hAnsi="Calibri Light" w:cs="Times New Roman"/>
          <w:color w:val="auto"/>
          <w:szCs w:val="20"/>
          <w:lang w:eastAsia="en-AU"/>
        </w:rPr>
        <w:t>underestimate the</w:t>
      </w:r>
      <w:r>
        <w:rPr>
          <w:rFonts w:ascii="Calibri Light" w:eastAsia="Times New Roman" w:hAnsi="Calibri Light" w:cs="Times New Roman"/>
          <w:color w:val="auto"/>
          <w:szCs w:val="20"/>
          <w:lang w:eastAsia="en-AU"/>
        </w:rPr>
        <w:t xml:space="preserve"> total</w:t>
      </w:r>
      <w:r w:rsidRPr="00B012BB">
        <w:rPr>
          <w:rFonts w:ascii="Calibri Light" w:eastAsia="Times New Roman" w:hAnsi="Calibri Light" w:cs="Times New Roman"/>
          <w:color w:val="auto"/>
          <w:szCs w:val="20"/>
          <w:lang w:eastAsia="en-AU"/>
        </w:rPr>
        <w:t xml:space="preserve"> number of companies </w:t>
      </w:r>
      <w:r>
        <w:rPr>
          <w:rFonts w:ascii="Calibri Light" w:eastAsia="Times New Roman" w:hAnsi="Calibri Light" w:cs="Times New Roman"/>
          <w:color w:val="auto"/>
          <w:szCs w:val="20"/>
          <w:lang w:eastAsia="en-AU"/>
        </w:rPr>
        <w:t xml:space="preserve">that are likely to be captured. Furthermore, we are unable to project the number of companies that would meet the size thresholds in the future (either due to movement between groups or due to entities falling below the Group 3 size threshold). </w:t>
      </w:r>
    </w:p>
    <w:p w14:paraId="222219EE" w14:textId="17DF34C9" w:rsidR="009B5107" w:rsidRDefault="009B5107" w:rsidP="009B5107">
      <w:pPr>
        <w:pStyle w:val="BodyText"/>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Based on 2021 NGER reporting] a</w:t>
      </w:r>
      <w:r w:rsidRPr="00B012BB">
        <w:rPr>
          <w:rFonts w:ascii="Calibri Light" w:eastAsia="Times New Roman" w:hAnsi="Calibri Light" w:cs="Times New Roman"/>
          <w:color w:val="auto"/>
          <w:szCs w:val="20"/>
          <w:lang w:eastAsia="en-AU"/>
        </w:rPr>
        <w:t xml:space="preserve"> total of 723 entities will be captured under the definition </w:t>
      </w:r>
      <w:r>
        <w:rPr>
          <w:rFonts w:ascii="Calibri Light" w:eastAsia="Times New Roman" w:hAnsi="Calibri Light" w:cs="Times New Roman"/>
          <w:color w:val="auto"/>
          <w:szCs w:val="20"/>
          <w:lang w:eastAsia="en-AU"/>
        </w:rPr>
        <w:t>of an</w:t>
      </w:r>
      <w:r w:rsidRPr="00B012BB">
        <w:rPr>
          <w:rFonts w:ascii="Calibri Light" w:eastAsia="Times New Roman" w:hAnsi="Calibri Light" w:cs="Times New Roman"/>
          <w:color w:val="auto"/>
          <w:szCs w:val="20"/>
          <w:lang w:eastAsia="en-AU"/>
        </w:rPr>
        <w:t xml:space="preserve"> NGER ‘Controlling Corporation’</w:t>
      </w:r>
      <w:r>
        <w:rPr>
          <w:rFonts w:ascii="Calibri Light" w:eastAsia="Times New Roman" w:hAnsi="Calibri Light" w:cs="Times New Roman"/>
          <w:color w:val="auto"/>
          <w:szCs w:val="20"/>
          <w:lang w:eastAsia="en-AU"/>
        </w:rPr>
        <w:t xml:space="preserve">. As at 2021, 361 NGER </w:t>
      </w:r>
      <w:r w:rsidRPr="00B012BB">
        <w:rPr>
          <w:rFonts w:ascii="Calibri Light" w:eastAsia="Times New Roman" w:hAnsi="Calibri Light" w:cs="Times New Roman"/>
          <w:color w:val="auto"/>
          <w:szCs w:val="20"/>
          <w:lang w:eastAsia="en-AU"/>
        </w:rPr>
        <w:t xml:space="preserve">reporters </w:t>
      </w:r>
      <w:r>
        <w:rPr>
          <w:rFonts w:ascii="Calibri Light" w:eastAsia="Times New Roman" w:hAnsi="Calibri Light" w:cs="Times New Roman"/>
          <w:color w:val="auto"/>
          <w:szCs w:val="20"/>
          <w:lang w:eastAsia="en-AU"/>
        </w:rPr>
        <w:t xml:space="preserve">are above the publication threshold, and will therefore be captured in Group 1. A large proportion of </w:t>
      </w:r>
      <w:r w:rsidRPr="00B012BB">
        <w:rPr>
          <w:rFonts w:ascii="Calibri Light" w:eastAsia="Times New Roman" w:hAnsi="Calibri Light" w:cs="Times New Roman"/>
          <w:color w:val="auto"/>
          <w:szCs w:val="20"/>
          <w:lang w:eastAsia="en-AU"/>
        </w:rPr>
        <w:t xml:space="preserve">NGER reporters </w:t>
      </w:r>
      <w:r>
        <w:rPr>
          <w:rFonts w:ascii="Calibri Light" w:eastAsia="Times New Roman" w:hAnsi="Calibri Light" w:cs="Times New Roman"/>
          <w:color w:val="auto"/>
          <w:szCs w:val="20"/>
          <w:lang w:eastAsia="en-AU"/>
        </w:rPr>
        <w:t>are likely to meet at least two of the three size thresholds for Group 1 and are therefore not ‘additional’ reporters in Group</w:t>
      </w:r>
      <w:r w:rsidR="00EA4241">
        <w:rPr>
          <w:rFonts w:ascii="Calibri Light" w:eastAsia="Times New Roman" w:hAnsi="Calibri Light" w:cs="Times New Roman"/>
          <w:color w:val="auto"/>
          <w:szCs w:val="20"/>
          <w:lang w:eastAsia="en-AU"/>
        </w:rPr>
        <w:t> </w:t>
      </w:r>
      <w:r>
        <w:rPr>
          <w:rFonts w:ascii="Calibri Light" w:eastAsia="Times New Roman" w:hAnsi="Calibri Light" w:cs="Times New Roman"/>
          <w:color w:val="auto"/>
          <w:szCs w:val="20"/>
          <w:lang w:eastAsia="en-AU"/>
        </w:rPr>
        <w:t>1</w:t>
      </w:r>
      <w:r w:rsidRPr="00B012BB">
        <w:rPr>
          <w:rFonts w:ascii="Calibri Light" w:eastAsia="Times New Roman" w:hAnsi="Calibri Light" w:cs="Times New Roman"/>
          <w:color w:val="auto"/>
          <w:szCs w:val="20"/>
          <w:lang w:eastAsia="en-AU"/>
        </w:rPr>
        <w:t>.</w:t>
      </w:r>
      <w:r>
        <w:rPr>
          <w:rFonts w:ascii="Calibri Light" w:eastAsia="Times New Roman" w:hAnsi="Calibri Light" w:cs="Times New Roman"/>
          <w:color w:val="auto"/>
          <w:szCs w:val="20"/>
          <w:lang w:eastAsia="en-AU"/>
        </w:rPr>
        <w:t xml:space="preserve"> We assume the remaining 362 NGER reporters that fall below the publication threshold will be captured in either Groups 2 </w:t>
      </w:r>
      <w:proofErr w:type="gramStart"/>
      <w:r>
        <w:rPr>
          <w:rFonts w:ascii="Calibri Light" w:eastAsia="Times New Roman" w:hAnsi="Calibri Light" w:cs="Times New Roman"/>
          <w:color w:val="auto"/>
          <w:szCs w:val="20"/>
          <w:lang w:eastAsia="en-AU"/>
        </w:rPr>
        <w:t>and</w:t>
      </w:r>
      <w:proofErr w:type="gramEnd"/>
      <w:r>
        <w:rPr>
          <w:rFonts w:ascii="Calibri Light" w:eastAsia="Times New Roman" w:hAnsi="Calibri Light" w:cs="Times New Roman"/>
          <w:color w:val="auto"/>
          <w:szCs w:val="20"/>
          <w:lang w:eastAsia="en-AU"/>
        </w:rPr>
        <w:t xml:space="preserve"> 3. As above, we consider this number likely overestimates the number of NGER reports in each group as we are unable to determine those NGER reporters that would have to report under this option due to the size thresholds. </w:t>
      </w:r>
    </w:p>
    <w:p w14:paraId="4F4A7F81" w14:textId="64C4234A" w:rsidR="00807AA6" w:rsidRDefault="00807AA6" w:rsidP="00807AA6">
      <w:pPr>
        <w:pStyle w:val="Heading4"/>
      </w:pPr>
      <w:r>
        <w:t>Costing assumptions</w:t>
      </w:r>
    </w:p>
    <w:p w14:paraId="692A6DEE" w14:textId="4C14A6A9" w:rsidR="00807AA6" w:rsidRDefault="00807AA6" w:rsidP="00807AA6">
      <w:r>
        <w:t xml:space="preserve">To comply with mandatory climate-risk disclosure, we assume there to be two cost profiles for an individual entity – initial costs and ongoing costs. </w:t>
      </w:r>
    </w:p>
    <w:p w14:paraId="1BC8229F" w14:textId="77777777" w:rsidR="00807AA6" w:rsidRDefault="00807AA6" w:rsidP="00807AA6">
      <w:r>
        <w:t xml:space="preserve">Treasury expects most of the effort to transition will be significantly higher in the first year where extra costs are incurred by greater internal labour for systems development, </w:t>
      </w:r>
      <w:proofErr w:type="gramStart"/>
      <w:r>
        <w:t>familiarisation</w:t>
      </w:r>
      <w:proofErr w:type="gramEnd"/>
      <w:r>
        <w:t xml:space="preserve"> and educational costs as well as the initial preparation of the climate report. The costs for implementation of Australian standards have been scaled up compared to the TCFD benchmark used in the </w:t>
      </w:r>
      <w:r w:rsidRPr="0030627C">
        <w:t xml:space="preserve">UK Impact Analysis </w:t>
      </w:r>
      <w:r>
        <w:t>given the greater specificity of ISSB disclosures.</w:t>
      </w:r>
    </w:p>
    <w:p w14:paraId="36ED3A43" w14:textId="4DA8EE28" w:rsidR="00EB1629" w:rsidRDefault="00807AA6" w:rsidP="00EB1629">
      <w:pPr>
        <w:pStyle w:val="Heading4"/>
      </w:pPr>
      <w:r>
        <w:t xml:space="preserve">As capability improves, it is expected fewer resources would be required. A discount of 33 per cent applies to staff collecting and maintaining/improving existing models and analysis. However, a greater discount applies to the preparation of the climate report as it is expected much of the work is repetitive. Assurance costs are expected to increase as companies move toward reasonable assurance. </w:t>
      </w:r>
      <w:r w:rsidR="00EB1629">
        <w:t>Initial costs</w:t>
      </w:r>
    </w:p>
    <w:p w14:paraId="5C9302FA" w14:textId="0F4DDB69" w:rsidR="000A4811" w:rsidRDefault="001D6EDA" w:rsidP="001D6EDA">
      <w:r>
        <w:t xml:space="preserve">Tables </w:t>
      </w:r>
      <w:r w:rsidR="00807AA6">
        <w:t>5</w:t>
      </w:r>
      <w:r>
        <w:t xml:space="preserve"> outlines the detailed breakdown of assumptions used to calculate initial costs at an entity level.</w:t>
      </w:r>
    </w:p>
    <w:p w14:paraId="45E0EF6F" w14:textId="707A5A8F" w:rsidR="00EB1629" w:rsidRPr="00C94194" w:rsidRDefault="00EB1629" w:rsidP="003B3BBB">
      <w:pPr>
        <w:pStyle w:val="Caption"/>
      </w:pPr>
      <w:r w:rsidRPr="00C94194">
        <w:t xml:space="preserve">Table </w:t>
      </w:r>
      <w:r w:rsidR="00807AA6">
        <w:t>5</w:t>
      </w:r>
      <w:r w:rsidRPr="00C94194">
        <w:t xml:space="preserve">: </w:t>
      </w:r>
      <w:r w:rsidR="007A6569">
        <w:t>Assumptions for i</w:t>
      </w:r>
      <w:r w:rsidRPr="00C94194">
        <w:t xml:space="preserve">nitial cost </w:t>
      </w:r>
    </w:p>
    <w:tbl>
      <w:tblPr>
        <w:tblStyle w:val="GridTable4-Accent1"/>
        <w:tblW w:w="0" w:type="auto"/>
        <w:tblLook w:val="04A0" w:firstRow="1" w:lastRow="0" w:firstColumn="1" w:lastColumn="0" w:noHBand="0" w:noVBand="1"/>
      </w:tblPr>
      <w:tblGrid>
        <w:gridCol w:w="2159"/>
        <w:gridCol w:w="6901"/>
      </w:tblGrid>
      <w:tr w:rsidR="00EB1629" w:rsidRPr="008C03E0" w14:paraId="5AFBC840" w14:textId="77777777" w:rsidTr="00807A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9" w:type="dxa"/>
          </w:tcPr>
          <w:p w14:paraId="614E6005" w14:textId="77777777" w:rsidR="00EB1629" w:rsidRPr="008C03E0" w:rsidRDefault="00EB1629" w:rsidP="0092357C">
            <w:pPr>
              <w:pStyle w:val="Bullet"/>
              <w:numPr>
                <w:ilvl w:val="0"/>
                <w:numId w:val="0"/>
              </w:numPr>
              <w:ind w:left="520"/>
            </w:pPr>
            <w:r w:rsidRPr="008C03E0">
              <w:t>Transitional activity</w:t>
            </w:r>
          </w:p>
        </w:tc>
        <w:tc>
          <w:tcPr>
            <w:tcW w:w="6901" w:type="dxa"/>
          </w:tcPr>
          <w:p w14:paraId="16C692D6" w14:textId="77777777" w:rsidR="00EB1629" w:rsidRPr="008C03E0" w:rsidRDefault="00EB1629" w:rsidP="0092357C">
            <w:pPr>
              <w:pStyle w:val="Bullet"/>
              <w:numPr>
                <w:ilvl w:val="0"/>
                <w:numId w:val="0"/>
              </w:numPr>
              <w:ind w:left="520"/>
              <w:cnfStyle w:val="100000000000" w:firstRow="1" w:lastRow="0" w:firstColumn="0" w:lastColumn="0" w:oddVBand="0" w:evenVBand="0" w:oddHBand="0" w:evenHBand="0" w:firstRowFirstColumn="0" w:firstRowLastColumn="0" w:lastRowFirstColumn="0" w:lastRowLastColumn="0"/>
            </w:pPr>
            <w:r w:rsidRPr="008C03E0">
              <w:t>Estimated efforts/costs (very broadly approximated)</w:t>
            </w:r>
          </w:p>
        </w:tc>
      </w:tr>
      <w:tr w:rsidR="00EB1629" w:rsidRPr="008C03E0" w14:paraId="12D9C61A" w14:textId="77777777" w:rsidTr="00807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14:paraId="083E150C" w14:textId="77777777" w:rsidR="00EB1629" w:rsidRPr="00161517" w:rsidRDefault="00EB1629" w:rsidP="0071761D">
            <w:pPr>
              <w:pStyle w:val="BodyText"/>
              <w:rPr>
                <w:rFonts w:ascii="Calibri Light" w:hAnsi="Calibri Light" w:cs="Calibri Light"/>
                <w:sz w:val="22"/>
              </w:rPr>
            </w:pPr>
            <w:r w:rsidRPr="00161517">
              <w:rPr>
                <w:rFonts w:ascii="Calibri Light" w:hAnsi="Calibri Light" w:cs="Calibri Light"/>
                <w:sz w:val="22"/>
              </w:rPr>
              <w:t>Familiarisation and educational costs</w:t>
            </w:r>
          </w:p>
        </w:tc>
        <w:tc>
          <w:tcPr>
            <w:tcW w:w="6901" w:type="dxa"/>
          </w:tcPr>
          <w:p w14:paraId="50BA2003" w14:textId="1FD4FE9F" w:rsidR="00EB1629" w:rsidRPr="00161517"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Familiarisation costs: The UK Impact Analysis and The Climate Financial Risk Forum guidance</w:t>
            </w:r>
            <w:r w:rsidRPr="00161517">
              <w:rPr>
                <w:rFonts w:ascii="Calibri Light" w:hAnsi="Calibri Light" w:cs="Calibri Light"/>
                <w:sz w:val="22"/>
                <w:vertAlign w:val="superscript"/>
              </w:rPr>
              <w:footnoteReference w:id="38"/>
            </w:r>
            <w:r w:rsidRPr="00161517">
              <w:rPr>
                <w:rFonts w:ascii="Calibri Light" w:hAnsi="Calibri Light" w:cs="Calibri Light"/>
                <w:sz w:val="22"/>
              </w:rPr>
              <w:t xml:space="preserve"> assume an average climate reporting guidance of 125 pages, based off the TCFD framework. As Australian standards are expected to be significantly more detailed, we assume relevant regulatory guidance materials will be 200 pages. The analysis assumes 6 minutes reading time per page by 3 executives, 15 managers and 25 analysts. This aligns with research from the SEC that suggests development of a climate report can average 40 staff.</w:t>
            </w:r>
            <w:r w:rsidR="007B4FDA" w:rsidRPr="00161517">
              <w:rPr>
                <w:rFonts w:ascii="Calibri Light" w:hAnsi="Calibri Light" w:cs="Calibri Light"/>
                <w:sz w:val="22"/>
              </w:rPr>
              <w:t xml:space="preserve"> As discussed earlier, </w:t>
            </w:r>
            <w:r w:rsidR="00B35DAA" w:rsidRPr="00161517">
              <w:rPr>
                <w:rFonts w:ascii="Calibri Light" w:hAnsi="Calibri Light" w:cs="Calibri Light"/>
                <w:sz w:val="22"/>
              </w:rPr>
              <w:t xml:space="preserve">we use an hourly </w:t>
            </w:r>
            <w:r w:rsidR="009D10C1" w:rsidRPr="00161517">
              <w:rPr>
                <w:rFonts w:ascii="Calibri Light" w:hAnsi="Calibri Light" w:cs="Calibri Light"/>
                <w:sz w:val="22"/>
              </w:rPr>
              <w:t xml:space="preserve">that includes </w:t>
            </w:r>
            <w:r w:rsidR="002E464D" w:rsidRPr="00161517">
              <w:rPr>
                <w:rFonts w:ascii="Calibri Light" w:hAnsi="Calibri Light" w:cs="Calibri Light"/>
                <w:sz w:val="22"/>
              </w:rPr>
              <w:t>overhead</w:t>
            </w:r>
            <w:r w:rsidR="009D10C1" w:rsidRPr="00161517">
              <w:rPr>
                <w:rFonts w:ascii="Calibri Light" w:hAnsi="Calibri Light" w:cs="Calibri Light"/>
                <w:sz w:val="22"/>
              </w:rPr>
              <w:t xml:space="preserve"> costs</w:t>
            </w:r>
            <w:r w:rsidR="002E464D" w:rsidRPr="00161517">
              <w:rPr>
                <w:rFonts w:ascii="Calibri Light" w:hAnsi="Calibri Light" w:cs="Calibri Light"/>
                <w:sz w:val="22"/>
              </w:rPr>
              <w:t xml:space="preserve"> </w:t>
            </w:r>
            <w:r w:rsidR="009D10C1" w:rsidRPr="00161517">
              <w:rPr>
                <w:rFonts w:ascii="Calibri Light" w:hAnsi="Calibri Light" w:cs="Calibri Light"/>
                <w:sz w:val="22"/>
              </w:rPr>
              <w:t>at</w:t>
            </w:r>
            <w:r w:rsidR="00B35DAA" w:rsidRPr="00161517">
              <w:rPr>
                <w:rFonts w:ascii="Calibri Light" w:hAnsi="Calibri Light" w:cs="Calibri Light"/>
                <w:sz w:val="22"/>
              </w:rPr>
              <w:t xml:space="preserve"> $136/hou</w:t>
            </w:r>
            <w:r w:rsidR="002E464D" w:rsidRPr="00161517">
              <w:rPr>
                <w:rFonts w:ascii="Calibri Light" w:hAnsi="Calibri Light" w:cs="Calibri Light"/>
                <w:sz w:val="22"/>
              </w:rPr>
              <w:t>r.</w:t>
            </w:r>
          </w:p>
          <w:p w14:paraId="0F6AE4D7" w14:textId="77777777" w:rsidR="00EB1629" w:rsidRPr="00161517"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Total hours = 860</w:t>
            </w:r>
          </w:p>
        </w:tc>
      </w:tr>
      <w:tr w:rsidR="00EB1629" w:rsidRPr="008C03E0" w14:paraId="15F7DB73" w14:textId="77777777" w:rsidTr="00807AA6">
        <w:tc>
          <w:tcPr>
            <w:cnfStyle w:val="001000000000" w:firstRow="0" w:lastRow="0" w:firstColumn="1" w:lastColumn="0" w:oddVBand="0" w:evenVBand="0" w:oddHBand="0" w:evenHBand="0" w:firstRowFirstColumn="0" w:firstRowLastColumn="0" w:lastRowFirstColumn="0" w:lastRowLastColumn="0"/>
            <w:tcW w:w="2159" w:type="dxa"/>
          </w:tcPr>
          <w:p w14:paraId="47919D8D" w14:textId="77777777" w:rsidR="00EB1629" w:rsidRPr="00161517" w:rsidRDefault="00EB1629" w:rsidP="0071761D">
            <w:pPr>
              <w:pStyle w:val="BodyText"/>
              <w:rPr>
                <w:rFonts w:ascii="Calibri Light" w:hAnsi="Calibri Light" w:cs="Calibri Light"/>
                <w:sz w:val="22"/>
              </w:rPr>
            </w:pPr>
            <w:r w:rsidRPr="00161517">
              <w:rPr>
                <w:rFonts w:ascii="Calibri Light" w:hAnsi="Calibri Light" w:cs="Calibri Light"/>
                <w:sz w:val="22"/>
              </w:rPr>
              <w:t>Legal review</w:t>
            </w:r>
          </w:p>
        </w:tc>
        <w:tc>
          <w:tcPr>
            <w:tcW w:w="6901" w:type="dxa"/>
          </w:tcPr>
          <w:p w14:paraId="3855F65A" w14:textId="77777777" w:rsidR="00EB1629" w:rsidRPr="00161517" w:rsidRDefault="00EB1629" w:rsidP="0071761D">
            <w:pPr>
              <w:pStyle w:val="Body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 xml:space="preserve">Legal review consisting of one-off costs for reviewing legal text and guidance in-house. We assume 2 solicitors conduct a one-week legal review and a </w:t>
            </w:r>
            <w:proofErr w:type="gramStart"/>
            <w:r w:rsidRPr="00161517">
              <w:rPr>
                <w:rFonts w:ascii="Calibri Light" w:hAnsi="Calibri Light" w:cs="Calibri Light"/>
                <w:sz w:val="22"/>
              </w:rPr>
              <w:t>senior legal professional reads</w:t>
            </w:r>
            <w:proofErr w:type="gramEnd"/>
            <w:r w:rsidRPr="00161517">
              <w:rPr>
                <w:rFonts w:ascii="Calibri Light" w:hAnsi="Calibri Light" w:cs="Calibri Light"/>
                <w:sz w:val="22"/>
              </w:rPr>
              <w:t xml:space="preserve"> and signs off in a day.</w:t>
            </w:r>
          </w:p>
          <w:p w14:paraId="54D8A326" w14:textId="79AE1364" w:rsidR="00EB1629" w:rsidRPr="00161517" w:rsidRDefault="00EB1629" w:rsidP="0071761D">
            <w:pPr>
              <w:pStyle w:val="Body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Total hours = 77</w:t>
            </w:r>
            <w:r w:rsidRPr="00161517">
              <w:rPr>
                <w:rFonts w:ascii="Calibri Light" w:hAnsi="Calibri Light" w:cs="Calibri Light"/>
                <w:sz w:val="22"/>
              </w:rPr>
              <w:tab/>
            </w:r>
          </w:p>
        </w:tc>
      </w:tr>
      <w:tr w:rsidR="00EB1629" w:rsidRPr="008C03E0" w14:paraId="5EB88D8F" w14:textId="77777777" w:rsidTr="00807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Pr>
          <w:p w14:paraId="60AA7ACE" w14:textId="77777777" w:rsidR="00EB1629" w:rsidRPr="00161517" w:rsidRDefault="00EB1629" w:rsidP="0071761D">
            <w:pPr>
              <w:pStyle w:val="BodyText"/>
              <w:rPr>
                <w:rFonts w:ascii="Calibri Light" w:hAnsi="Calibri Light" w:cs="Calibri Light"/>
                <w:sz w:val="22"/>
              </w:rPr>
            </w:pPr>
            <w:r w:rsidRPr="00161517">
              <w:rPr>
                <w:rFonts w:ascii="Calibri Light" w:hAnsi="Calibri Light" w:cs="Calibri Light"/>
                <w:sz w:val="22"/>
              </w:rPr>
              <w:t>Systems changes and initial data collection, scenario analysis and scope 3 modelling build-out</w:t>
            </w:r>
          </w:p>
        </w:tc>
        <w:tc>
          <w:tcPr>
            <w:tcW w:w="6901" w:type="dxa"/>
          </w:tcPr>
          <w:p w14:paraId="07361B3D" w14:textId="77777777" w:rsidR="00EB1629" w:rsidRPr="00161517"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 xml:space="preserve">ICT systems, data collection and related systems upgrades for collecting and processing of climate-related data are expected to be significant. We expect that data collection will be more intensive given the prescriptive nature of the ISSB in mandating scope 3 and in our requirement for quantitative scenario analysis. We benchmark off the UK with the expectation that more resources are required in the initial year. It is expected to take 1 analyst and 1 manager to develop the system. </w:t>
            </w:r>
          </w:p>
          <w:p w14:paraId="41BFA3F0" w14:textId="77777777" w:rsidR="00EB1629" w:rsidRPr="00161517"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 xml:space="preserve">Scenario analysis: While the UK expects one analyst to develop and maintain climate scenarios, full time for 6 months. We expect it will be double this as we expect the greater requirement for eventual quantitative scenario analysis will require extra resources and investment. </w:t>
            </w:r>
          </w:p>
          <w:p w14:paraId="7001118A" w14:textId="4B177CEB" w:rsidR="00EB1629" w:rsidRPr="00161517"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Scope 3 assessment: We expect that the mandatory inclusion of scope 3 will take one analyst full time for the first year to develop boundaries, modelling and estimation.</w:t>
            </w:r>
            <w:r w:rsidR="002E464D" w:rsidRPr="00161517">
              <w:rPr>
                <w:rFonts w:ascii="Calibri Light" w:hAnsi="Calibri Light" w:cs="Calibri Light"/>
                <w:sz w:val="22"/>
              </w:rPr>
              <w:t xml:space="preserve"> As discussed earlier, we use </w:t>
            </w:r>
            <w:proofErr w:type="gramStart"/>
            <w:r w:rsidR="002E464D" w:rsidRPr="00161517">
              <w:rPr>
                <w:rFonts w:ascii="Calibri Light" w:hAnsi="Calibri Light" w:cs="Calibri Light"/>
                <w:sz w:val="22"/>
              </w:rPr>
              <w:t>a</w:t>
            </w:r>
            <w:proofErr w:type="gramEnd"/>
            <w:r w:rsidR="002E464D" w:rsidRPr="00161517">
              <w:rPr>
                <w:rFonts w:ascii="Calibri Light" w:hAnsi="Calibri Light" w:cs="Calibri Light"/>
                <w:sz w:val="22"/>
              </w:rPr>
              <w:t xml:space="preserve"> FTE salary including overheads of $245,000.</w:t>
            </w:r>
          </w:p>
          <w:p w14:paraId="740AD5CA" w14:textId="262ADFDC" w:rsidR="00EB1629" w:rsidRPr="00161517"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Total FTE = 4</w:t>
            </w:r>
          </w:p>
        </w:tc>
      </w:tr>
      <w:tr w:rsidR="00EB1629" w:rsidRPr="008C03E0" w14:paraId="09CDE27E" w14:textId="77777777" w:rsidTr="00807AA6">
        <w:tc>
          <w:tcPr>
            <w:cnfStyle w:val="001000000000" w:firstRow="0" w:lastRow="0" w:firstColumn="1" w:lastColumn="0" w:oddVBand="0" w:evenVBand="0" w:oddHBand="0" w:evenHBand="0" w:firstRowFirstColumn="0" w:firstRowLastColumn="0" w:lastRowFirstColumn="0" w:lastRowLastColumn="0"/>
            <w:tcW w:w="2159" w:type="dxa"/>
            <w:tcBorders>
              <w:bottom w:val="single" w:sz="4" w:space="0" w:color="6B83A7" w:themeColor="accent1" w:themeTint="99"/>
            </w:tcBorders>
          </w:tcPr>
          <w:p w14:paraId="691B856E" w14:textId="77777777" w:rsidR="00EB1629" w:rsidRPr="00161517" w:rsidRDefault="00EB1629" w:rsidP="0071761D">
            <w:pPr>
              <w:pStyle w:val="BodyText"/>
              <w:rPr>
                <w:rFonts w:ascii="Calibri Light" w:hAnsi="Calibri Light" w:cs="Calibri Light"/>
                <w:sz w:val="22"/>
              </w:rPr>
            </w:pPr>
            <w:r w:rsidRPr="00161517">
              <w:rPr>
                <w:rFonts w:ascii="Calibri Light" w:hAnsi="Calibri Light" w:cs="Calibri Light"/>
                <w:sz w:val="22"/>
              </w:rPr>
              <w:t>Preparation of initial climate report</w:t>
            </w:r>
          </w:p>
        </w:tc>
        <w:tc>
          <w:tcPr>
            <w:tcW w:w="6901" w:type="dxa"/>
            <w:tcBorders>
              <w:bottom w:val="single" w:sz="4" w:space="0" w:color="6B83A7" w:themeColor="accent1" w:themeTint="99"/>
            </w:tcBorders>
          </w:tcPr>
          <w:p w14:paraId="684572B2" w14:textId="044D66F9" w:rsidR="00EB1629" w:rsidRPr="00161517" w:rsidRDefault="00EB1629" w:rsidP="0071761D">
            <w:pPr>
              <w:pStyle w:val="Body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The expected length of a TCFD report is 18 pages</w:t>
            </w:r>
            <w:r w:rsidRPr="00161517">
              <w:rPr>
                <w:rFonts w:ascii="Calibri Light" w:hAnsi="Calibri Light" w:cs="Calibri Light"/>
                <w:sz w:val="22"/>
                <w:vertAlign w:val="superscript"/>
              </w:rPr>
              <w:footnoteReference w:id="39"/>
            </w:r>
            <w:r w:rsidRPr="00161517">
              <w:rPr>
                <w:rFonts w:ascii="Calibri Light" w:hAnsi="Calibri Light" w:cs="Calibri Light"/>
                <w:sz w:val="22"/>
              </w:rPr>
              <w:t>. It is expected that the requirements of the Australian standards will result in a lengthier report of 20 pages.</w:t>
            </w:r>
            <w:r w:rsidR="00060F5E">
              <w:rPr>
                <w:rFonts w:ascii="Calibri Light" w:hAnsi="Calibri Light" w:cs="Calibri Light"/>
                <w:sz w:val="22"/>
              </w:rPr>
              <w:t xml:space="preserve"> </w:t>
            </w:r>
            <w:r w:rsidRPr="00161517">
              <w:rPr>
                <w:rFonts w:ascii="Calibri Light" w:hAnsi="Calibri Light" w:cs="Calibri Light"/>
                <w:sz w:val="22"/>
              </w:rPr>
              <w:t xml:space="preserve">We assume that 5 analysts, 3 managers and 3 executives will be involved in the collating, proofing, </w:t>
            </w:r>
            <w:proofErr w:type="gramStart"/>
            <w:r w:rsidRPr="00161517">
              <w:rPr>
                <w:rFonts w:ascii="Calibri Light" w:hAnsi="Calibri Light" w:cs="Calibri Light"/>
                <w:sz w:val="22"/>
              </w:rPr>
              <w:t>drafting</w:t>
            </w:r>
            <w:proofErr w:type="gramEnd"/>
            <w:r w:rsidRPr="00161517">
              <w:rPr>
                <w:rFonts w:ascii="Calibri Light" w:hAnsi="Calibri Light" w:cs="Calibri Light"/>
                <w:sz w:val="22"/>
              </w:rPr>
              <w:t xml:space="preserve"> and signing off the report. Each page is expected to take 5 hours to prepare.</w:t>
            </w:r>
          </w:p>
          <w:p w14:paraId="4B4DFC1E" w14:textId="7CADB173" w:rsidR="00EB1629" w:rsidRPr="00161517" w:rsidRDefault="00EB1629" w:rsidP="0071761D">
            <w:pPr>
              <w:pStyle w:val="Body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Total hours = 1</w:t>
            </w:r>
            <w:r w:rsidR="00622378" w:rsidRPr="00161517">
              <w:rPr>
                <w:rFonts w:ascii="Calibri Light" w:hAnsi="Calibri Light" w:cs="Calibri Light"/>
                <w:sz w:val="22"/>
              </w:rPr>
              <w:t>100</w:t>
            </w:r>
          </w:p>
        </w:tc>
      </w:tr>
      <w:tr w:rsidR="00EB1629" w:rsidRPr="008C03E0" w14:paraId="5FBADB14" w14:textId="77777777" w:rsidTr="00807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9" w:type="dxa"/>
            <w:tcBorders>
              <w:bottom w:val="single" w:sz="4" w:space="0" w:color="auto"/>
            </w:tcBorders>
          </w:tcPr>
          <w:p w14:paraId="3A76BC36" w14:textId="77777777" w:rsidR="00EB1629" w:rsidRPr="00161517" w:rsidRDefault="00EB1629" w:rsidP="0071761D">
            <w:pPr>
              <w:pStyle w:val="BodyText"/>
              <w:rPr>
                <w:rFonts w:ascii="Calibri Light" w:hAnsi="Calibri Light" w:cs="Calibri Light"/>
                <w:sz w:val="22"/>
              </w:rPr>
            </w:pPr>
            <w:r w:rsidRPr="00161517">
              <w:rPr>
                <w:rFonts w:ascii="Calibri Light" w:hAnsi="Calibri Light" w:cs="Calibri Light"/>
                <w:sz w:val="22"/>
              </w:rPr>
              <w:t>Assurance of initial report</w:t>
            </w:r>
          </w:p>
        </w:tc>
        <w:tc>
          <w:tcPr>
            <w:tcW w:w="6901" w:type="dxa"/>
            <w:tcBorders>
              <w:bottom w:val="single" w:sz="4" w:space="0" w:color="auto"/>
            </w:tcBorders>
          </w:tcPr>
          <w:p w14:paraId="781F458C" w14:textId="473B8BD1" w:rsidR="00EB1629" w:rsidRPr="00161517"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Third-party assurance is the norm in Australia. An academic study suggests assurance costs for sustainability reports (where climate-related information is normally disclosed) ranges from 5</w:t>
            </w:r>
            <w:r w:rsidR="00601652">
              <w:rPr>
                <w:rFonts w:ascii="Calibri Light" w:hAnsi="Calibri Light" w:cs="Calibri Light"/>
                <w:sz w:val="22"/>
              </w:rPr>
              <w:t xml:space="preserve"> per cent</w:t>
            </w:r>
            <w:r w:rsidRPr="00161517">
              <w:rPr>
                <w:rFonts w:ascii="Calibri Light" w:hAnsi="Calibri Light" w:cs="Calibri Light"/>
                <w:sz w:val="22"/>
              </w:rPr>
              <w:t xml:space="preserve"> to 10</w:t>
            </w:r>
            <w:r w:rsidR="00601652">
              <w:rPr>
                <w:rFonts w:ascii="Calibri Light" w:hAnsi="Calibri Light" w:cs="Calibri Light"/>
                <w:sz w:val="22"/>
              </w:rPr>
              <w:t xml:space="preserve"> per cent</w:t>
            </w:r>
            <w:r w:rsidRPr="00161517">
              <w:rPr>
                <w:rFonts w:ascii="Calibri Light" w:hAnsi="Calibri Light" w:cs="Calibri Light"/>
                <w:sz w:val="22"/>
              </w:rPr>
              <w:t xml:space="preserve"> of audit fees</w:t>
            </w:r>
            <w:r w:rsidRPr="00161517">
              <w:rPr>
                <w:rFonts w:ascii="Calibri Light" w:hAnsi="Calibri Light" w:cs="Calibri Light"/>
                <w:sz w:val="22"/>
                <w:vertAlign w:val="superscript"/>
              </w:rPr>
              <w:footnoteReference w:id="40"/>
            </w:r>
            <w:r w:rsidRPr="00161517">
              <w:rPr>
                <w:rFonts w:ascii="Calibri Light" w:hAnsi="Calibri Light" w:cs="Calibri Light"/>
                <w:sz w:val="22"/>
                <w:vertAlign w:val="superscript"/>
              </w:rPr>
              <w:t>,</w:t>
            </w:r>
            <w:r w:rsidRPr="00161517">
              <w:rPr>
                <w:rFonts w:ascii="Calibri Light" w:hAnsi="Calibri Light" w:cs="Calibri Light"/>
                <w:sz w:val="22"/>
              </w:rPr>
              <w:t xml:space="preserve"> which ASIC suggests is 0.03</w:t>
            </w:r>
            <w:r w:rsidR="00601652">
              <w:rPr>
                <w:rFonts w:ascii="Calibri Light" w:hAnsi="Calibri Light" w:cs="Calibri Light"/>
                <w:sz w:val="22"/>
              </w:rPr>
              <w:t xml:space="preserve"> per cent</w:t>
            </w:r>
            <w:r w:rsidRPr="00161517">
              <w:rPr>
                <w:rFonts w:ascii="Calibri Light" w:hAnsi="Calibri Light" w:cs="Calibri Light"/>
                <w:sz w:val="22"/>
              </w:rPr>
              <w:t xml:space="preserve"> of ASX300 market capitalisation</w:t>
            </w:r>
            <w:r w:rsidRPr="00161517">
              <w:rPr>
                <w:rFonts w:ascii="Calibri Light" w:hAnsi="Calibri Light" w:cs="Calibri Light"/>
                <w:sz w:val="22"/>
                <w:vertAlign w:val="superscript"/>
              </w:rPr>
              <w:footnoteReference w:id="41"/>
            </w:r>
            <w:r w:rsidRPr="00161517">
              <w:rPr>
                <w:rFonts w:ascii="Calibri Light" w:hAnsi="Calibri Light" w:cs="Calibri Light"/>
                <w:sz w:val="22"/>
              </w:rPr>
              <w:t>. We expect this number fluctuates depending on size of the company, with a higher percentage for smaller companies. We discount this cost because climate is only one part of the sustainability report and apply a 23</w:t>
            </w:r>
            <w:r w:rsidR="00601652">
              <w:rPr>
                <w:rFonts w:ascii="Calibri Light" w:hAnsi="Calibri Light" w:cs="Calibri Light"/>
                <w:sz w:val="22"/>
              </w:rPr>
              <w:t xml:space="preserve"> per cent</w:t>
            </w:r>
            <w:r w:rsidRPr="00161517">
              <w:rPr>
                <w:rFonts w:ascii="Calibri Light" w:hAnsi="Calibri Light" w:cs="Calibri Light"/>
                <w:sz w:val="22"/>
              </w:rPr>
              <w:t xml:space="preserve"> premium for instituting new standards, discussed above</w:t>
            </w:r>
            <w:r w:rsidRPr="00161517">
              <w:rPr>
                <w:rFonts w:ascii="Calibri Light" w:hAnsi="Calibri Light" w:cs="Calibri Light"/>
                <w:sz w:val="22"/>
                <w:vertAlign w:val="superscript"/>
              </w:rPr>
              <w:footnoteReference w:id="42"/>
            </w:r>
            <w:r w:rsidRPr="00161517">
              <w:rPr>
                <w:rFonts w:ascii="Calibri Light" w:hAnsi="Calibri Light" w:cs="Calibri Light"/>
                <w:sz w:val="22"/>
              </w:rPr>
              <w:t xml:space="preserve">. </w:t>
            </w:r>
          </w:p>
          <w:p w14:paraId="62BBF535" w14:textId="77777777" w:rsidR="00EB1629" w:rsidRPr="00161517"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161517">
              <w:rPr>
                <w:rFonts w:ascii="Calibri Light" w:hAnsi="Calibri Light" w:cs="Calibri Light"/>
                <w:sz w:val="22"/>
              </w:rPr>
              <w:t>This would put the median ASX300 company with a market capitalisation of $2.4bn with limited assurance costs between $33,211 and $66,420. It is likely that these estimates underestimate actual costs given they are based on assurance of financial statements and assurance of emissions and other climate information is expected to be more complex, at least initially.</w:t>
            </w:r>
          </w:p>
        </w:tc>
      </w:tr>
      <w:tr w:rsidR="00807AA6" w:rsidRPr="008C03E0" w14:paraId="639BC301" w14:textId="77777777">
        <w:tc>
          <w:tcPr>
            <w:cnfStyle w:val="001000000000" w:firstRow="0" w:lastRow="0" w:firstColumn="1" w:lastColumn="0" w:oddVBand="0" w:evenVBand="0" w:oddHBand="0" w:evenHBand="0" w:firstRowFirstColumn="0" w:firstRowLastColumn="0" w:lastRowFirstColumn="0" w:lastRowLastColumn="0"/>
            <w:tcW w:w="9060" w:type="dxa"/>
            <w:gridSpan w:val="2"/>
            <w:tcBorders>
              <w:top w:val="single" w:sz="4" w:space="0" w:color="auto"/>
              <w:left w:val="nil"/>
              <w:bottom w:val="nil"/>
              <w:right w:val="nil"/>
            </w:tcBorders>
          </w:tcPr>
          <w:p w14:paraId="73A6DDE6" w14:textId="77777777" w:rsidR="00807AA6" w:rsidRPr="00161517" w:rsidRDefault="00807AA6" w:rsidP="0071761D">
            <w:pPr>
              <w:pStyle w:val="BodyText"/>
              <w:rPr>
                <w:rFonts w:ascii="Calibri Light" w:hAnsi="Calibri Light" w:cs="Calibri Light"/>
              </w:rPr>
            </w:pPr>
            <w:r w:rsidRPr="00807AA6">
              <w:rPr>
                <w:rFonts w:ascii="Calibri Light" w:hAnsi="Calibri Light" w:cs="Calibri Light"/>
                <w:b w:val="0"/>
                <w:bCs w:val="0"/>
              </w:rPr>
              <w:t>Source: Treasury analysis</w:t>
            </w:r>
          </w:p>
        </w:tc>
      </w:tr>
    </w:tbl>
    <w:p w14:paraId="1E736C87" w14:textId="77777777" w:rsidR="00EB1629" w:rsidRPr="008636F1" w:rsidRDefault="00EB1629" w:rsidP="00EB1629">
      <w:pPr>
        <w:pStyle w:val="Heading4"/>
        <w:rPr>
          <w:b/>
          <w:bCs/>
        </w:rPr>
      </w:pPr>
      <w:r w:rsidRPr="008636F1">
        <w:rPr>
          <w:b/>
          <w:bCs/>
        </w:rPr>
        <w:t>Ongoing costs</w:t>
      </w:r>
    </w:p>
    <w:p w14:paraId="4D173DDA" w14:textId="55DAD090" w:rsidR="00EB1629" w:rsidRDefault="00EB1629" w:rsidP="00EB1629">
      <w:r w:rsidRPr="00F13846">
        <w:t xml:space="preserve">We have </w:t>
      </w:r>
      <w:r>
        <w:t>internalised</w:t>
      </w:r>
      <w:r w:rsidRPr="00F13846">
        <w:t xml:space="preserve"> the costs </w:t>
      </w:r>
      <w:r>
        <w:t>of</w:t>
      </w:r>
      <w:r w:rsidRPr="00F13846">
        <w:t xml:space="preserve"> </w:t>
      </w:r>
      <w:r w:rsidRPr="0030627C">
        <w:t>consultants</w:t>
      </w:r>
      <w:r w:rsidRPr="00F13846">
        <w:t>, which surveys and research suggest can average US $50,000 to $460,000</w:t>
      </w:r>
      <w:r w:rsidRPr="00000FC6">
        <w:rPr>
          <w:vertAlign w:val="superscript"/>
        </w:rPr>
        <w:footnoteReference w:id="43"/>
      </w:r>
      <w:r w:rsidRPr="00F13846">
        <w:t xml:space="preserve">. The cost for consultants is uncertain, with costs varying depending on the service, from assurance to implementing new ICT systems and scope 3 modelling and scenario analysis. </w:t>
      </w:r>
    </w:p>
    <w:p w14:paraId="0FACA0A0" w14:textId="48A20664" w:rsidR="00EB1629" w:rsidRDefault="00EB1629" w:rsidP="00EB1629">
      <w:r>
        <w:t>Given the long-term nature of climate-related reporting, we assume companies will invest in the long</w:t>
      </w:r>
      <w:r w:rsidR="009F3450">
        <w:noBreakHyphen/>
      </w:r>
      <w:r>
        <w:t xml:space="preserve">term internal capability of their businesses. As such, </w:t>
      </w:r>
      <w:r w:rsidRPr="00F13846">
        <w:t>our analysis</w:t>
      </w:r>
      <w:r>
        <w:t xml:space="preserve"> internalises the costs of for</w:t>
      </w:r>
      <w:r w:rsidRPr="00F13846">
        <w:t xml:space="preserve"> develop</w:t>
      </w:r>
      <w:r>
        <w:t>ing</w:t>
      </w:r>
      <w:r w:rsidRPr="00F13846">
        <w:t xml:space="preserve"> models</w:t>
      </w:r>
      <w:r>
        <w:t xml:space="preserve">, </w:t>
      </w:r>
      <w:proofErr w:type="gramStart"/>
      <w:r>
        <w:t>automation</w:t>
      </w:r>
      <w:proofErr w:type="gramEnd"/>
      <w:r w:rsidRPr="00F13846">
        <w:t xml:space="preserve"> and capability</w:t>
      </w:r>
      <w:r>
        <w:t xml:space="preserve"> uplift</w:t>
      </w:r>
      <w:r w:rsidRPr="00F13846">
        <w:t xml:space="preserve"> (data collection, modelling and scenario analysis)</w:t>
      </w:r>
      <w:r>
        <w:t xml:space="preserve"> within companies. We also expect that models, scenario analysis and transition plans are updated routinely, with major changes to assumptions in these models occurring once every 3 years as entities review their plans and strategies. We introduce a discount rate of 33 per cent that is slightly higher than seen in the </w:t>
      </w:r>
      <w:r w:rsidRPr="0030627C">
        <w:t xml:space="preserve">UK Impact Analysis </w:t>
      </w:r>
      <w:r>
        <w:t xml:space="preserve">as a result. </w:t>
      </w:r>
    </w:p>
    <w:p w14:paraId="537EC109" w14:textId="5EA98AB4" w:rsidR="00AC4BCB" w:rsidRDefault="001D6EDA" w:rsidP="001D6EDA">
      <w:r w:rsidRPr="00440F98">
        <w:t xml:space="preserve">Internal labour rates for activities are expected to be performed by employees based on an annual blended salary of $140,000. In accordance with the </w:t>
      </w:r>
      <w:r w:rsidRPr="0030627C">
        <w:t>Regulatory Burden Measurement</w:t>
      </w:r>
      <w:r w:rsidRPr="00440F98">
        <w:t xml:space="preserve"> </w:t>
      </w:r>
      <w:r w:rsidRPr="0030627C">
        <w:t>Framework</w:t>
      </w:r>
      <w:r w:rsidRPr="00440F98">
        <w:t>, this salary amount is adjusted using a default multiplier of 1.75 to account for overhead and non-wage costs. As a result, internal labour is costed at $</w:t>
      </w:r>
      <w:r w:rsidR="0088642A">
        <w:t>245,000</w:t>
      </w:r>
      <w:r w:rsidRPr="00440F98">
        <w:t xml:space="preserve"> </w:t>
      </w:r>
      <w:r w:rsidR="003E4E34">
        <w:t>or</w:t>
      </w:r>
      <w:r w:rsidRPr="00440F98">
        <w:t xml:space="preserve"> $136 per hour (assuming 4 weeks annual leave and a work week of 37.5 hours)</w:t>
      </w:r>
      <w:r>
        <w:t>.</w:t>
      </w:r>
      <w:r w:rsidR="00BA6E83">
        <w:t xml:space="preserve"> Table </w:t>
      </w:r>
      <w:r w:rsidR="00807AA6">
        <w:t>6</w:t>
      </w:r>
      <w:r w:rsidR="00BA6E83">
        <w:t xml:space="preserve"> below outlines the detailed breakdown of assumptions used to calculate ongoing costs at an entity level.</w:t>
      </w:r>
    </w:p>
    <w:p w14:paraId="293AFF6C" w14:textId="77777777" w:rsidR="00AC4BCB" w:rsidRDefault="00AC4BCB">
      <w:pPr>
        <w:spacing w:before="0" w:after="200" w:line="276" w:lineRule="auto"/>
      </w:pPr>
      <w:r>
        <w:br w:type="page"/>
      </w:r>
    </w:p>
    <w:p w14:paraId="6C9AD817" w14:textId="2F493097" w:rsidR="00EB1629" w:rsidRPr="00C94194" w:rsidRDefault="00EB1629" w:rsidP="003B3BBB">
      <w:pPr>
        <w:pStyle w:val="Caption"/>
      </w:pPr>
      <w:r w:rsidRPr="00C94194">
        <w:t xml:space="preserve">Table </w:t>
      </w:r>
      <w:r w:rsidR="00807AA6">
        <w:t>6</w:t>
      </w:r>
      <w:r w:rsidRPr="00C94194">
        <w:t xml:space="preserve">: </w:t>
      </w:r>
      <w:r w:rsidR="007A6569">
        <w:t>Assumptions for o</w:t>
      </w:r>
      <w:r w:rsidRPr="00C94194">
        <w:t xml:space="preserve">ngoing </w:t>
      </w:r>
      <w:r w:rsidR="007A6569">
        <w:t>costs</w:t>
      </w:r>
    </w:p>
    <w:tbl>
      <w:tblPr>
        <w:tblStyle w:val="GridTable4-Accent1"/>
        <w:tblW w:w="0" w:type="auto"/>
        <w:tblLook w:val="04A0" w:firstRow="1" w:lastRow="0" w:firstColumn="1" w:lastColumn="0" w:noHBand="0" w:noVBand="1"/>
      </w:tblPr>
      <w:tblGrid>
        <w:gridCol w:w="2124"/>
        <w:gridCol w:w="6936"/>
      </w:tblGrid>
      <w:tr w:rsidR="00EB1629" w:rsidRPr="008C03E0" w14:paraId="61832BBC" w14:textId="77777777" w:rsidTr="00717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dxa"/>
          </w:tcPr>
          <w:p w14:paraId="0B60CC84" w14:textId="77777777" w:rsidR="00EB1629" w:rsidRPr="00EC1440" w:rsidRDefault="00EB1629" w:rsidP="0071761D">
            <w:pPr>
              <w:pStyle w:val="BodyText"/>
              <w:rPr>
                <w:rFonts w:ascii="Calibri Light" w:hAnsi="Calibri Light" w:cs="Calibri Light"/>
                <w:sz w:val="22"/>
              </w:rPr>
            </w:pPr>
            <w:r w:rsidRPr="00EC1440">
              <w:rPr>
                <w:rFonts w:ascii="Calibri Light" w:hAnsi="Calibri Light" w:cs="Calibri Light"/>
                <w:color w:val="FFFFFF" w:themeColor="background1"/>
                <w:sz w:val="22"/>
              </w:rPr>
              <w:t>Recurring activity</w:t>
            </w:r>
          </w:p>
        </w:tc>
        <w:tc>
          <w:tcPr>
            <w:tcW w:w="7505" w:type="dxa"/>
          </w:tcPr>
          <w:p w14:paraId="1B9295A2" w14:textId="77777777" w:rsidR="00EB1629" w:rsidRPr="00EC1440" w:rsidRDefault="00EB1629" w:rsidP="0071761D">
            <w:pPr>
              <w:pStyle w:val="BodyText"/>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2"/>
              </w:rPr>
            </w:pPr>
            <w:r w:rsidRPr="00EC1440">
              <w:rPr>
                <w:rFonts w:ascii="Calibri Light" w:hAnsi="Calibri Light" w:cs="Calibri Light"/>
                <w:color w:val="FFFFFF" w:themeColor="background1"/>
                <w:sz w:val="22"/>
              </w:rPr>
              <w:t>Estimated efforts/costs (very broadly approximated)</w:t>
            </w:r>
          </w:p>
        </w:tc>
      </w:tr>
      <w:tr w:rsidR="00EB1629" w:rsidRPr="008C03E0" w14:paraId="1C74B675" w14:textId="77777777" w:rsidTr="00717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dxa"/>
          </w:tcPr>
          <w:p w14:paraId="0031BADF" w14:textId="77777777" w:rsidR="00EB1629" w:rsidRPr="00EC1440" w:rsidRDefault="00EB1629" w:rsidP="0071761D">
            <w:pPr>
              <w:pStyle w:val="BodyText"/>
              <w:rPr>
                <w:rFonts w:ascii="Calibri Light" w:hAnsi="Calibri Light" w:cs="Calibri Light"/>
                <w:sz w:val="22"/>
              </w:rPr>
            </w:pPr>
            <w:r w:rsidRPr="00EC1440">
              <w:rPr>
                <w:rFonts w:ascii="Calibri Light" w:hAnsi="Calibri Light" w:cs="Calibri Light"/>
                <w:sz w:val="22"/>
              </w:rPr>
              <w:t>Legal review</w:t>
            </w:r>
          </w:p>
        </w:tc>
        <w:tc>
          <w:tcPr>
            <w:tcW w:w="7505" w:type="dxa"/>
          </w:tcPr>
          <w:p w14:paraId="0EDA9BE3" w14:textId="1ACF0F64" w:rsidR="00EB1629" w:rsidRPr="00EC1440"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 xml:space="preserve">We assume the same legal review is required each year following implementation, but discount by </w:t>
            </w:r>
            <w:r w:rsidR="006E15D7">
              <w:rPr>
                <w:rFonts w:ascii="Calibri Light" w:hAnsi="Calibri Light" w:cs="Calibri Light"/>
                <w:sz w:val="22"/>
              </w:rPr>
              <w:t>33</w:t>
            </w:r>
            <w:r w:rsidR="00E419A4">
              <w:rPr>
                <w:rFonts w:ascii="Calibri Light" w:hAnsi="Calibri Light" w:cs="Calibri Light"/>
                <w:sz w:val="22"/>
              </w:rPr>
              <w:t xml:space="preserve"> per cent</w:t>
            </w:r>
            <w:r w:rsidRPr="00EC1440">
              <w:rPr>
                <w:rFonts w:ascii="Calibri Light" w:hAnsi="Calibri Light" w:cs="Calibri Light"/>
                <w:sz w:val="22"/>
              </w:rPr>
              <w:t xml:space="preserve"> after the first year.</w:t>
            </w:r>
          </w:p>
          <w:p w14:paraId="739B00A5" w14:textId="77777777" w:rsidR="00EB1629" w:rsidRPr="00EC1440"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Total hours = 77*0.67 = 51.59</w:t>
            </w:r>
          </w:p>
        </w:tc>
      </w:tr>
      <w:tr w:rsidR="00EB1629" w:rsidRPr="008C03E0" w14:paraId="687221E2" w14:textId="77777777" w:rsidTr="0071761D">
        <w:tc>
          <w:tcPr>
            <w:cnfStyle w:val="001000000000" w:firstRow="0" w:lastRow="0" w:firstColumn="1" w:lastColumn="0" w:oddVBand="0" w:evenVBand="0" w:oddHBand="0" w:evenHBand="0" w:firstRowFirstColumn="0" w:firstRowLastColumn="0" w:lastRowFirstColumn="0" w:lastRowLastColumn="0"/>
            <w:tcW w:w="2217" w:type="dxa"/>
          </w:tcPr>
          <w:p w14:paraId="44885D94" w14:textId="77777777" w:rsidR="00EB1629" w:rsidRPr="00EC1440" w:rsidRDefault="00EB1629" w:rsidP="0071761D">
            <w:pPr>
              <w:pStyle w:val="BodyText"/>
              <w:rPr>
                <w:rFonts w:ascii="Calibri Light" w:hAnsi="Calibri Light" w:cs="Calibri Light"/>
                <w:sz w:val="22"/>
              </w:rPr>
            </w:pPr>
            <w:r w:rsidRPr="00EC1440">
              <w:rPr>
                <w:rFonts w:ascii="Calibri Light" w:hAnsi="Calibri Light" w:cs="Calibri Light"/>
                <w:sz w:val="22"/>
              </w:rPr>
              <w:t xml:space="preserve">Data collection, Scenario analysis and Scope 3 modelling </w:t>
            </w:r>
          </w:p>
        </w:tc>
        <w:tc>
          <w:tcPr>
            <w:tcW w:w="7505" w:type="dxa"/>
          </w:tcPr>
          <w:p w14:paraId="3E7ABDA6" w14:textId="60B3EEF8" w:rsidR="00EB1629" w:rsidRPr="00EC1440" w:rsidRDefault="00EB1629" w:rsidP="0071761D">
            <w:pPr>
              <w:pStyle w:val="Body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Data collection: After the first year, we expect that more systems are in place that make data collection easier, decreasing the workload by half a year for a full-time analyst. This brings the total FTE to 1.5. Further improvements (automation and otherwise) in the future also bring down costs by 33</w:t>
            </w:r>
            <w:r w:rsidR="00E419A4">
              <w:rPr>
                <w:rFonts w:ascii="Calibri Light" w:hAnsi="Calibri Light" w:cs="Calibri Light"/>
                <w:sz w:val="22"/>
              </w:rPr>
              <w:t xml:space="preserve"> per cent</w:t>
            </w:r>
            <w:r w:rsidRPr="00EC1440">
              <w:rPr>
                <w:rFonts w:ascii="Calibri Light" w:hAnsi="Calibri Light" w:cs="Calibri Light"/>
                <w:sz w:val="22"/>
              </w:rPr>
              <w:t xml:space="preserve"> after the first year.</w:t>
            </w:r>
          </w:p>
          <w:p w14:paraId="05CA5CB4" w14:textId="21F1EE42" w:rsidR="00EB1629" w:rsidRPr="00EC1440" w:rsidRDefault="00EB1629" w:rsidP="0071761D">
            <w:pPr>
              <w:pStyle w:val="Body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Scenario analysis: While the UK expects one analyst to develop and maintain climate scenarios, full time for 6 months. We expect it will be double this as we expect the greater requirement for eventual quantitative scenario analysis will require extra resources and investment. There is an expectation that the costs will decrease by 33</w:t>
            </w:r>
            <w:r w:rsidR="00E419A4">
              <w:rPr>
                <w:rFonts w:ascii="Calibri Light" w:hAnsi="Calibri Light" w:cs="Calibri Light"/>
                <w:sz w:val="22"/>
              </w:rPr>
              <w:t xml:space="preserve"> per cent</w:t>
            </w:r>
            <w:r w:rsidRPr="00EC1440">
              <w:rPr>
                <w:rFonts w:ascii="Calibri Light" w:hAnsi="Calibri Light" w:cs="Calibri Light"/>
                <w:sz w:val="22"/>
              </w:rPr>
              <w:t xml:space="preserve"> after the first year.</w:t>
            </w:r>
          </w:p>
          <w:p w14:paraId="3F531F3C" w14:textId="1EDA576C" w:rsidR="00EB1629" w:rsidRPr="00EC1440" w:rsidRDefault="00EB1629" w:rsidP="0071761D">
            <w:pPr>
              <w:pStyle w:val="Body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Scope 3 assessment: We expect that the mandatory inclusion of scope 3 will occupy one analyst full time for the first year, decreasing by 33</w:t>
            </w:r>
            <w:r w:rsidR="00E419A4">
              <w:rPr>
                <w:rFonts w:ascii="Calibri Light" w:hAnsi="Calibri Light" w:cs="Calibri Light"/>
                <w:sz w:val="22"/>
              </w:rPr>
              <w:t xml:space="preserve"> per cent</w:t>
            </w:r>
            <w:r w:rsidRPr="00EC1440">
              <w:rPr>
                <w:rFonts w:ascii="Calibri Light" w:hAnsi="Calibri Light" w:cs="Calibri Light"/>
                <w:sz w:val="22"/>
              </w:rPr>
              <w:t xml:space="preserve"> in subsequent years as they become more familiar with boundaries and reporting. </w:t>
            </w:r>
          </w:p>
          <w:p w14:paraId="72E22353" w14:textId="77777777" w:rsidR="00EB1629" w:rsidRPr="00EC1440" w:rsidRDefault="00EB1629" w:rsidP="0071761D">
            <w:pPr>
              <w:pStyle w:val="Body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Total FTE = 3.5*0.67 = 2.31</w:t>
            </w:r>
          </w:p>
        </w:tc>
      </w:tr>
      <w:tr w:rsidR="00EB1629" w:rsidRPr="008C03E0" w14:paraId="0370A69B" w14:textId="77777777" w:rsidTr="00717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dxa"/>
          </w:tcPr>
          <w:p w14:paraId="7D8AC951" w14:textId="77777777" w:rsidR="00EB1629" w:rsidRPr="00EC1440" w:rsidRDefault="00EB1629" w:rsidP="0071761D">
            <w:pPr>
              <w:pStyle w:val="BodyText"/>
              <w:rPr>
                <w:rFonts w:ascii="Calibri Light" w:hAnsi="Calibri Light" w:cs="Calibri Light"/>
                <w:sz w:val="22"/>
              </w:rPr>
            </w:pPr>
            <w:r w:rsidRPr="00EC1440">
              <w:rPr>
                <w:rFonts w:ascii="Calibri Light" w:hAnsi="Calibri Light" w:cs="Calibri Light"/>
                <w:sz w:val="22"/>
              </w:rPr>
              <w:t>Preparation of climate report</w:t>
            </w:r>
          </w:p>
        </w:tc>
        <w:tc>
          <w:tcPr>
            <w:tcW w:w="7505" w:type="dxa"/>
          </w:tcPr>
          <w:p w14:paraId="505A300C" w14:textId="77777777" w:rsidR="00EB1629" w:rsidRPr="00EC1440"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Preparation of additional climate reports will require less time once capability has developed.</w:t>
            </w:r>
          </w:p>
          <w:p w14:paraId="2EF20D82" w14:textId="77777777" w:rsidR="00EB1629" w:rsidRPr="00EC1440"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We assume that 3 analysts, 2 managers and 1 executive will be involved in collating, proofing, drafting and signing-off the report. Each page is expected to take 3 hours to prepare.</w:t>
            </w:r>
          </w:p>
          <w:p w14:paraId="16FD0334" w14:textId="0037DC60" w:rsidR="00EB1629" w:rsidRPr="00EC1440" w:rsidRDefault="00EB1629" w:rsidP="0071761D">
            <w:pPr>
              <w:pStyle w:val="BodyText"/>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 xml:space="preserve">Total hours = </w:t>
            </w:r>
            <w:r w:rsidR="00065385" w:rsidRPr="00EC1440">
              <w:rPr>
                <w:rFonts w:ascii="Calibri Light" w:hAnsi="Calibri Light" w:cs="Calibri Light"/>
                <w:sz w:val="22"/>
              </w:rPr>
              <w:t>360</w:t>
            </w:r>
            <w:r w:rsidRPr="00EC1440">
              <w:rPr>
                <w:rFonts w:ascii="Calibri Light" w:hAnsi="Calibri Light" w:cs="Calibri Light"/>
                <w:sz w:val="22"/>
              </w:rPr>
              <w:t xml:space="preserve"> hours</w:t>
            </w:r>
          </w:p>
        </w:tc>
      </w:tr>
      <w:tr w:rsidR="00EB1629" w:rsidRPr="008C03E0" w14:paraId="5A98914F" w14:textId="77777777" w:rsidTr="0071761D">
        <w:tc>
          <w:tcPr>
            <w:cnfStyle w:val="001000000000" w:firstRow="0" w:lastRow="0" w:firstColumn="1" w:lastColumn="0" w:oddVBand="0" w:evenVBand="0" w:oddHBand="0" w:evenHBand="0" w:firstRowFirstColumn="0" w:firstRowLastColumn="0" w:lastRowFirstColumn="0" w:lastRowLastColumn="0"/>
            <w:tcW w:w="2217" w:type="dxa"/>
          </w:tcPr>
          <w:p w14:paraId="13B42B14" w14:textId="77777777" w:rsidR="00EB1629" w:rsidRPr="00EC1440" w:rsidRDefault="00EB1629" w:rsidP="0071761D">
            <w:pPr>
              <w:pStyle w:val="BodyText"/>
              <w:rPr>
                <w:rFonts w:ascii="Calibri Light" w:hAnsi="Calibri Light" w:cs="Calibri Light"/>
                <w:sz w:val="22"/>
              </w:rPr>
            </w:pPr>
            <w:r w:rsidRPr="00EC1440">
              <w:rPr>
                <w:rFonts w:ascii="Calibri Light" w:hAnsi="Calibri Light" w:cs="Calibri Light"/>
                <w:sz w:val="22"/>
              </w:rPr>
              <w:t>Assurance</w:t>
            </w:r>
          </w:p>
        </w:tc>
        <w:tc>
          <w:tcPr>
            <w:tcW w:w="7505" w:type="dxa"/>
          </w:tcPr>
          <w:p w14:paraId="01E55C89" w14:textId="77777777" w:rsidR="00EB1629" w:rsidRPr="00EC1440" w:rsidRDefault="00EB1629" w:rsidP="0071761D">
            <w:pPr>
              <w:pStyle w:val="Body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 xml:space="preserve">Over time we expect reasonable assurance to be phased in. There is a premium for performing reasonable assurance and we estimate reasonable assurance costs to be 1.66 times higher than limited assurance, similar to the SEC. This puts the cost of reasonable assurance between $55,129 and $110,257. </w:t>
            </w:r>
          </w:p>
          <w:p w14:paraId="571BA512" w14:textId="77777777" w:rsidR="00EB1629" w:rsidRPr="00EC1440" w:rsidRDefault="00EB1629" w:rsidP="0071761D">
            <w:pPr>
              <w:pStyle w:val="Body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EC1440">
              <w:rPr>
                <w:rFonts w:ascii="Calibri Light" w:hAnsi="Calibri Light" w:cs="Calibri Light"/>
                <w:sz w:val="22"/>
              </w:rPr>
              <w:t xml:space="preserve">It is likely that these estimates underestimate actual costs given they are based on assurance of financial statements, where is the assurance of emissions and other climate information is more novel. </w:t>
            </w:r>
          </w:p>
        </w:tc>
      </w:tr>
    </w:tbl>
    <w:p w14:paraId="00ACCE9E" w14:textId="6256CC49" w:rsidR="00AC4BCB" w:rsidRDefault="00807AA6" w:rsidP="00AC4BCB">
      <w:pPr>
        <w:spacing w:before="0" w:after="0"/>
        <w:rPr>
          <w:rFonts w:cs="Calibri Light"/>
          <w:color w:val="262626"/>
          <w:sz w:val="20"/>
        </w:rPr>
      </w:pPr>
      <w:r w:rsidRPr="00AC4BCB">
        <w:rPr>
          <w:rFonts w:cs="Calibri Light"/>
          <w:color w:val="262626"/>
          <w:sz w:val="20"/>
        </w:rPr>
        <w:t>Source: Treasury analysis</w:t>
      </w:r>
    </w:p>
    <w:p w14:paraId="36E804A1" w14:textId="77777777" w:rsidR="00AC4BCB" w:rsidRDefault="00AC4BCB">
      <w:pPr>
        <w:spacing w:before="0" w:after="200" w:line="276" w:lineRule="auto"/>
        <w:rPr>
          <w:rFonts w:cs="Calibri Light"/>
          <w:color w:val="262626"/>
          <w:sz w:val="20"/>
        </w:rPr>
      </w:pPr>
      <w:r>
        <w:rPr>
          <w:rFonts w:cs="Calibri Light"/>
          <w:color w:val="262626"/>
          <w:sz w:val="20"/>
        </w:rPr>
        <w:br w:type="page"/>
      </w:r>
    </w:p>
    <w:p w14:paraId="5E1B80AF" w14:textId="6AC3FB51" w:rsidR="00905B3B" w:rsidRPr="003B3BBB" w:rsidRDefault="00905B3B" w:rsidP="003B3BBB">
      <w:pPr>
        <w:rPr>
          <w:b/>
        </w:rPr>
      </w:pPr>
      <w:r w:rsidRPr="00576B97">
        <w:t xml:space="preserve">Table </w:t>
      </w:r>
      <w:r w:rsidR="00807AA6">
        <w:t>7</w:t>
      </w:r>
      <w:r w:rsidRPr="00576B97">
        <w:t xml:space="preserve"> summarises </w:t>
      </w:r>
      <w:r w:rsidR="00576B97" w:rsidRPr="00576B97">
        <w:t xml:space="preserve">our estimates of </w:t>
      </w:r>
      <w:r w:rsidRPr="00576B97">
        <w:t xml:space="preserve">the </w:t>
      </w:r>
      <w:r w:rsidR="00F63FED" w:rsidRPr="00576B97">
        <w:t xml:space="preserve">initial and ongoing costs </w:t>
      </w:r>
      <w:r w:rsidR="00576B97" w:rsidRPr="00576B97">
        <w:t xml:space="preserve">for an individual entity using assumptions in Tables </w:t>
      </w:r>
      <w:r w:rsidR="00807AA6">
        <w:t>5</w:t>
      </w:r>
      <w:r w:rsidR="00576B97" w:rsidRPr="00576B97">
        <w:t xml:space="preserve"> and </w:t>
      </w:r>
      <w:r w:rsidR="00807AA6">
        <w:t>6</w:t>
      </w:r>
      <w:r w:rsidR="00576B97" w:rsidRPr="00576B97">
        <w:t>.</w:t>
      </w:r>
    </w:p>
    <w:p w14:paraId="3EAD0F33" w14:textId="5CF9D683" w:rsidR="00EB1629" w:rsidRDefault="00EB1629" w:rsidP="003B3BBB">
      <w:pPr>
        <w:pStyle w:val="Caption"/>
      </w:pPr>
      <w:r w:rsidRPr="00C94194">
        <w:t xml:space="preserve">Table </w:t>
      </w:r>
      <w:r w:rsidR="00807AA6">
        <w:t>7</w:t>
      </w:r>
      <w:r w:rsidRPr="00C94194">
        <w:t xml:space="preserve">: Summary </w:t>
      </w:r>
      <w:r w:rsidR="003A6DCB">
        <w:t xml:space="preserve">of </w:t>
      </w:r>
      <w:r>
        <w:t>initial and ongoing costs</w:t>
      </w:r>
      <w:r w:rsidR="003A6DCB">
        <w:t xml:space="preserve"> </w:t>
      </w:r>
      <w:r w:rsidR="003A6DCB" w:rsidRPr="00FB188A">
        <w:t>per firm</w:t>
      </w:r>
      <w:r w:rsidR="003A6DCB">
        <w:t xml:space="preserve"> in Option 1</w:t>
      </w:r>
    </w:p>
    <w:tbl>
      <w:tblPr>
        <w:tblW w:w="8862" w:type="dxa"/>
        <w:tblLook w:val="04A0" w:firstRow="1" w:lastRow="0" w:firstColumn="1" w:lastColumn="0" w:noHBand="0" w:noVBand="1"/>
      </w:tblPr>
      <w:tblGrid>
        <w:gridCol w:w="4733"/>
        <w:gridCol w:w="2240"/>
        <w:gridCol w:w="1889"/>
      </w:tblGrid>
      <w:tr w:rsidR="00684079" w:rsidRPr="00684079" w14:paraId="66AB1746" w14:textId="77777777" w:rsidTr="0072324E">
        <w:trPr>
          <w:trHeight w:val="440"/>
        </w:trPr>
        <w:tc>
          <w:tcPr>
            <w:tcW w:w="4733" w:type="dxa"/>
            <w:tcBorders>
              <w:top w:val="nil"/>
              <w:left w:val="single" w:sz="8" w:space="0" w:color="2C384A"/>
              <w:bottom w:val="nil"/>
              <w:right w:val="nil"/>
            </w:tcBorders>
            <w:shd w:val="clear" w:color="000000" w:fill="2C384A"/>
            <w:vAlign w:val="center"/>
            <w:hideMark/>
          </w:tcPr>
          <w:p w14:paraId="456086CB" w14:textId="77777777" w:rsidR="00684079" w:rsidRPr="008316CD" w:rsidRDefault="00684079" w:rsidP="00684079">
            <w:pPr>
              <w:spacing w:before="0" w:after="0"/>
              <w:rPr>
                <w:rFonts w:cs="Calibri Light"/>
                <w:b/>
                <w:bCs/>
                <w:color w:val="FFFFFF"/>
                <w:szCs w:val="22"/>
              </w:rPr>
            </w:pPr>
            <w:r w:rsidRPr="008316CD">
              <w:rPr>
                <w:rFonts w:cs="Calibri Light"/>
                <w:b/>
                <w:bCs/>
                <w:color w:val="FFFFFF"/>
                <w:szCs w:val="22"/>
              </w:rPr>
              <w:t>Activity</w:t>
            </w:r>
          </w:p>
        </w:tc>
        <w:tc>
          <w:tcPr>
            <w:tcW w:w="2240" w:type="dxa"/>
            <w:tcBorders>
              <w:top w:val="nil"/>
              <w:left w:val="nil"/>
              <w:bottom w:val="nil"/>
              <w:right w:val="single" w:sz="8" w:space="0" w:color="2C384A"/>
            </w:tcBorders>
            <w:shd w:val="clear" w:color="000000" w:fill="2C384A"/>
            <w:vAlign w:val="center"/>
            <w:hideMark/>
          </w:tcPr>
          <w:p w14:paraId="231FF696" w14:textId="77777777" w:rsidR="00684079" w:rsidRPr="008316CD" w:rsidRDefault="00684079" w:rsidP="00684079">
            <w:pPr>
              <w:spacing w:before="0" w:after="0"/>
              <w:rPr>
                <w:rFonts w:cs="Calibri Light"/>
                <w:b/>
                <w:bCs/>
                <w:color w:val="FFFFFF"/>
                <w:szCs w:val="22"/>
              </w:rPr>
            </w:pPr>
            <w:r w:rsidRPr="008316CD">
              <w:rPr>
                <w:rFonts w:cs="Calibri Light"/>
                <w:b/>
                <w:bCs/>
                <w:color w:val="FFFFFF"/>
                <w:szCs w:val="22"/>
              </w:rPr>
              <w:t>Transitional cost ($)</w:t>
            </w:r>
          </w:p>
        </w:tc>
        <w:tc>
          <w:tcPr>
            <w:tcW w:w="1889" w:type="dxa"/>
            <w:tcBorders>
              <w:top w:val="nil"/>
              <w:left w:val="nil"/>
              <w:bottom w:val="nil"/>
              <w:right w:val="single" w:sz="8" w:space="0" w:color="2C384A"/>
            </w:tcBorders>
            <w:shd w:val="clear" w:color="000000" w:fill="2C384A"/>
            <w:vAlign w:val="center"/>
            <w:hideMark/>
          </w:tcPr>
          <w:p w14:paraId="1C438DFE" w14:textId="77777777" w:rsidR="00684079" w:rsidRPr="008316CD" w:rsidRDefault="00684079" w:rsidP="00684079">
            <w:pPr>
              <w:spacing w:before="0" w:after="0"/>
              <w:rPr>
                <w:rFonts w:cs="Calibri Light"/>
                <w:b/>
                <w:bCs/>
                <w:color w:val="FFFFFF"/>
                <w:szCs w:val="22"/>
              </w:rPr>
            </w:pPr>
            <w:r w:rsidRPr="008316CD">
              <w:rPr>
                <w:rFonts w:cs="Calibri Light"/>
                <w:b/>
                <w:bCs/>
                <w:color w:val="FFFFFF"/>
                <w:szCs w:val="22"/>
              </w:rPr>
              <w:t>Ongoing cost ($)</w:t>
            </w:r>
          </w:p>
        </w:tc>
      </w:tr>
      <w:tr w:rsidR="00684079" w:rsidRPr="00684079" w14:paraId="6007B838" w14:textId="77777777" w:rsidTr="0072324E">
        <w:trPr>
          <w:trHeight w:val="20"/>
        </w:trPr>
        <w:tc>
          <w:tcPr>
            <w:tcW w:w="4733" w:type="dxa"/>
            <w:tcBorders>
              <w:top w:val="single" w:sz="4" w:space="0" w:color="auto"/>
              <w:left w:val="single" w:sz="4" w:space="0" w:color="auto"/>
              <w:bottom w:val="single" w:sz="4" w:space="0" w:color="auto"/>
              <w:right w:val="single" w:sz="4" w:space="0" w:color="auto"/>
            </w:tcBorders>
            <w:shd w:val="clear" w:color="000000" w:fill="CDD5E1"/>
            <w:vAlign w:val="center"/>
            <w:hideMark/>
          </w:tcPr>
          <w:p w14:paraId="4CA8B5A4" w14:textId="77777777" w:rsidR="00684079" w:rsidRPr="008316CD" w:rsidRDefault="00684079" w:rsidP="00684079">
            <w:pPr>
              <w:spacing w:before="0" w:after="0"/>
              <w:rPr>
                <w:rFonts w:cs="Calibri Light"/>
                <w:b/>
                <w:bCs/>
                <w:color w:val="262626"/>
                <w:szCs w:val="22"/>
              </w:rPr>
            </w:pPr>
            <w:r w:rsidRPr="008316CD">
              <w:rPr>
                <w:rFonts w:cs="Calibri Light"/>
                <w:b/>
                <w:bCs/>
                <w:color w:val="262626"/>
                <w:szCs w:val="22"/>
              </w:rPr>
              <w:t>Familiarisation and education costs</w:t>
            </w:r>
          </w:p>
        </w:tc>
        <w:tc>
          <w:tcPr>
            <w:tcW w:w="2240" w:type="dxa"/>
            <w:tcBorders>
              <w:top w:val="single" w:sz="4" w:space="0" w:color="auto"/>
              <w:left w:val="nil"/>
              <w:bottom w:val="single" w:sz="4" w:space="0" w:color="auto"/>
              <w:right w:val="single" w:sz="4" w:space="0" w:color="auto"/>
            </w:tcBorders>
            <w:shd w:val="clear" w:color="000000" w:fill="CDD5E1"/>
            <w:vAlign w:val="center"/>
            <w:hideMark/>
          </w:tcPr>
          <w:p w14:paraId="7F4D2CEA"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116,960</w:t>
            </w:r>
          </w:p>
        </w:tc>
        <w:tc>
          <w:tcPr>
            <w:tcW w:w="1889" w:type="dxa"/>
            <w:tcBorders>
              <w:top w:val="single" w:sz="4" w:space="0" w:color="auto"/>
              <w:left w:val="nil"/>
              <w:bottom w:val="single" w:sz="4" w:space="0" w:color="auto"/>
              <w:right w:val="single" w:sz="4" w:space="0" w:color="auto"/>
            </w:tcBorders>
            <w:shd w:val="clear" w:color="000000" w:fill="CDD5E1"/>
            <w:vAlign w:val="center"/>
            <w:hideMark/>
          </w:tcPr>
          <w:p w14:paraId="4EC11321"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0</w:t>
            </w:r>
          </w:p>
        </w:tc>
      </w:tr>
      <w:tr w:rsidR="00684079" w:rsidRPr="00684079" w14:paraId="214D2C59" w14:textId="77777777" w:rsidTr="0072324E">
        <w:trPr>
          <w:trHeight w:val="20"/>
        </w:trPr>
        <w:tc>
          <w:tcPr>
            <w:tcW w:w="4733" w:type="dxa"/>
            <w:tcBorders>
              <w:top w:val="nil"/>
              <w:left w:val="single" w:sz="4" w:space="0" w:color="auto"/>
              <w:bottom w:val="single" w:sz="4" w:space="0" w:color="auto"/>
              <w:right w:val="single" w:sz="4" w:space="0" w:color="auto"/>
            </w:tcBorders>
            <w:shd w:val="clear" w:color="auto" w:fill="auto"/>
            <w:vAlign w:val="center"/>
            <w:hideMark/>
          </w:tcPr>
          <w:p w14:paraId="23333761" w14:textId="77777777" w:rsidR="00684079" w:rsidRPr="008316CD" w:rsidRDefault="00684079" w:rsidP="00684079">
            <w:pPr>
              <w:spacing w:before="0" w:after="0"/>
              <w:rPr>
                <w:rFonts w:cs="Calibri Light"/>
                <w:b/>
                <w:bCs/>
                <w:color w:val="262626"/>
                <w:szCs w:val="22"/>
              </w:rPr>
            </w:pPr>
            <w:r w:rsidRPr="008316CD">
              <w:rPr>
                <w:rFonts w:cs="Calibri Light"/>
                <w:b/>
                <w:bCs/>
                <w:color w:val="262626"/>
                <w:szCs w:val="22"/>
              </w:rPr>
              <w:t>Legal review</w:t>
            </w:r>
          </w:p>
        </w:tc>
        <w:tc>
          <w:tcPr>
            <w:tcW w:w="2240" w:type="dxa"/>
            <w:tcBorders>
              <w:top w:val="nil"/>
              <w:left w:val="nil"/>
              <w:bottom w:val="single" w:sz="4" w:space="0" w:color="auto"/>
              <w:right w:val="single" w:sz="4" w:space="0" w:color="auto"/>
            </w:tcBorders>
            <w:shd w:val="clear" w:color="auto" w:fill="auto"/>
            <w:vAlign w:val="center"/>
            <w:hideMark/>
          </w:tcPr>
          <w:p w14:paraId="7EE04174"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10,472</w:t>
            </w:r>
          </w:p>
        </w:tc>
        <w:tc>
          <w:tcPr>
            <w:tcW w:w="1889" w:type="dxa"/>
            <w:tcBorders>
              <w:top w:val="nil"/>
              <w:left w:val="nil"/>
              <w:bottom w:val="single" w:sz="4" w:space="0" w:color="auto"/>
              <w:right w:val="single" w:sz="4" w:space="0" w:color="auto"/>
            </w:tcBorders>
            <w:shd w:val="clear" w:color="auto" w:fill="auto"/>
            <w:vAlign w:val="center"/>
            <w:hideMark/>
          </w:tcPr>
          <w:p w14:paraId="7C3BE856"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7,854</w:t>
            </w:r>
          </w:p>
        </w:tc>
      </w:tr>
      <w:tr w:rsidR="00684079" w:rsidRPr="00684079" w14:paraId="06E60D67" w14:textId="77777777" w:rsidTr="0072324E">
        <w:trPr>
          <w:trHeight w:val="20"/>
        </w:trPr>
        <w:tc>
          <w:tcPr>
            <w:tcW w:w="4733" w:type="dxa"/>
            <w:tcBorders>
              <w:top w:val="nil"/>
              <w:left w:val="single" w:sz="4" w:space="0" w:color="auto"/>
              <w:bottom w:val="single" w:sz="4" w:space="0" w:color="auto"/>
              <w:right w:val="single" w:sz="4" w:space="0" w:color="auto"/>
            </w:tcBorders>
            <w:shd w:val="clear" w:color="000000" w:fill="CDD5E1"/>
            <w:vAlign w:val="center"/>
            <w:hideMark/>
          </w:tcPr>
          <w:p w14:paraId="28AB049C" w14:textId="77777777" w:rsidR="00684079" w:rsidRPr="008316CD" w:rsidRDefault="00684079" w:rsidP="00684079">
            <w:pPr>
              <w:spacing w:before="0" w:after="0"/>
              <w:rPr>
                <w:rFonts w:cs="Calibri Light"/>
                <w:b/>
                <w:bCs/>
                <w:color w:val="262626"/>
                <w:szCs w:val="22"/>
              </w:rPr>
            </w:pPr>
            <w:r w:rsidRPr="008316CD">
              <w:rPr>
                <w:rFonts w:cs="Calibri Light"/>
                <w:b/>
                <w:bCs/>
                <w:color w:val="262626"/>
                <w:szCs w:val="22"/>
              </w:rPr>
              <w:t>Systems changes</w:t>
            </w:r>
          </w:p>
        </w:tc>
        <w:tc>
          <w:tcPr>
            <w:tcW w:w="2240" w:type="dxa"/>
            <w:tcBorders>
              <w:top w:val="nil"/>
              <w:left w:val="nil"/>
              <w:bottom w:val="single" w:sz="4" w:space="0" w:color="auto"/>
              <w:right w:val="single" w:sz="4" w:space="0" w:color="auto"/>
            </w:tcBorders>
            <w:shd w:val="clear" w:color="000000" w:fill="CDD5E1"/>
            <w:vAlign w:val="center"/>
            <w:hideMark/>
          </w:tcPr>
          <w:p w14:paraId="43DCA9F1"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245,000</w:t>
            </w:r>
          </w:p>
        </w:tc>
        <w:tc>
          <w:tcPr>
            <w:tcW w:w="1889" w:type="dxa"/>
            <w:tcBorders>
              <w:top w:val="nil"/>
              <w:left w:val="nil"/>
              <w:bottom w:val="single" w:sz="4" w:space="0" w:color="auto"/>
              <w:right w:val="single" w:sz="4" w:space="0" w:color="auto"/>
            </w:tcBorders>
            <w:shd w:val="clear" w:color="000000" w:fill="CDD5E1"/>
            <w:vAlign w:val="center"/>
            <w:hideMark/>
          </w:tcPr>
          <w:p w14:paraId="03705128"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0</w:t>
            </w:r>
          </w:p>
        </w:tc>
      </w:tr>
      <w:tr w:rsidR="00684079" w:rsidRPr="00684079" w14:paraId="5447B99E" w14:textId="77777777" w:rsidTr="0072324E">
        <w:trPr>
          <w:trHeight w:val="20"/>
        </w:trPr>
        <w:tc>
          <w:tcPr>
            <w:tcW w:w="4733" w:type="dxa"/>
            <w:tcBorders>
              <w:top w:val="nil"/>
              <w:left w:val="single" w:sz="4" w:space="0" w:color="auto"/>
              <w:bottom w:val="single" w:sz="4" w:space="0" w:color="auto"/>
              <w:right w:val="single" w:sz="4" w:space="0" w:color="auto"/>
            </w:tcBorders>
            <w:shd w:val="clear" w:color="auto" w:fill="auto"/>
            <w:vAlign w:val="center"/>
            <w:hideMark/>
          </w:tcPr>
          <w:p w14:paraId="429CDFCA" w14:textId="77777777" w:rsidR="00684079" w:rsidRPr="008316CD" w:rsidRDefault="00684079" w:rsidP="00684079">
            <w:pPr>
              <w:spacing w:before="0" w:after="0"/>
              <w:rPr>
                <w:rFonts w:cs="Calibri Light"/>
                <w:b/>
                <w:bCs/>
                <w:color w:val="262626"/>
                <w:szCs w:val="22"/>
              </w:rPr>
            </w:pPr>
            <w:r w:rsidRPr="008316CD">
              <w:rPr>
                <w:rFonts w:cs="Calibri Light"/>
                <w:b/>
                <w:bCs/>
                <w:color w:val="262626"/>
                <w:szCs w:val="22"/>
              </w:rPr>
              <w:t>Data collection</w:t>
            </w:r>
          </w:p>
        </w:tc>
        <w:tc>
          <w:tcPr>
            <w:tcW w:w="2240" w:type="dxa"/>
            <w:tcBorders>
              <w:top w:val="nil"/>
              <w:left w:val="nil"/>
              <w:bottom w:val="single" w:sz="4" w:space="0" w:color="auto"/>
              <w:right w:val="single" w:sz="4" w:space="0" w:color="auto"/>
            </w:tcBorders>
            <w:shd w:val="clear" w:color="auto" w:fill="auto"/>
            <w:vAlign w:val="center"/>
            <w:hideMark/>
          </w:tcPr>
          <w:p w14:paraId="17422B24"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245,000</w:t>
            </w:r>
          </w:p>
        </w:tc>
        <w:tc>
          <w:tcPr>
            <w:tcW w:w="1889" w:type="dxa"/>
            <w:tcBorders>
              <w:top w:val="nil"/>
              <w:left w:val="nil"/>
              <w:bottom w:val="single" w:sz="4" w:space="0" w:color="auto"/>
              <w:right w:val="single" w:sz="4" w:space="0" w:color="auto"/>
            </w:tcBorders>
            <w:shd w:val="clear" w:color="auto" w:fill="auto"/>
            <w:vAlign w:val="center"/>
            <w:hideMark/>
          </w:tcPr>
          <w:p w14:paraId="607DC6FD"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242,550</w:t>
            </w:r>
          </w:p>
        </w:tc>
      </w:tr>
      <w:tr w:rsidR="00684079" w:rsidRPr="00684079" w14:paraId="17590232" w14:textId="77777777" w:rsidTr="0072324E">
        <w:trPr>
          <w:trHeight w:val="20"/>
        </w:trPr>
        <w:tc>
          <w:tcPr>
            <w:tcW w:w="4733" w:type="dxa"/>
            <w:tcBorders>
              <w:top w:val="nil"/>
              <w:left w:val="single" w:sz="4" w:space="0" w:color="auto"/>
              <w:bottom w:val="single" w:sz="4" w:space="0" w:color="auto"/>
              <w:right w:val="single" w:sz="4" w:space="0" w:color="auto"/>
            </w:tcBorders>
            <w:shd w:val="clear" w:color="000000" w:fill="CDD5E1"/>
            <w:vAlign w:val="center"/>
            <w:hideMark/>
          </w:tcPr>
          <w:p w14:paraId="5EA8B6D7" w14:textId="77777777" w:rsidR="00684079" w:rsidRPr="008316CD" w:rsidRDefault="00684079" w:rsidP="00684079">
            <w:pPr>
              <w:spacing w:before="0" w:after="0"/>
              <w:rPr>
                <w:rFonts w:cs="Calibri Light"/>
                <w:b/>
                <w:bCs/>
                <w:color w:val="262626"/>
                <w:szCs w:val="22"/>
              </w:rPr>
            </w:pPr>
            <w:r w:rsidRPr="008316CD">
              <w:rPr>
                <w:rFonts w:cs="Calibri Light"/>
                <w:b/>
                <w:bCs/>
                <w:color w:val="262626"/>
                <w:szCs w:val="22"/>
              </w:rPr>
              <w:t>Scenario analysis</w:t>
            </w:r>
          </w:p>
        </w:tc>
        <w:tc>
          <w:tcPr>
            <w:tcW w:w="2240" w:type="dxa"/>
            <w:tcBorders>
              <w:top w:val="nil"/>
              <w:left w:val="nil"/>
              <w:bottom w:val="single" w:sz="4" w:space="0" w:color="auto"/>
              <w:right w:val="single" w:sz="4" w:space="0" w:color="auto"/>
            </w:tcBorders>
            <w:shd w:val="clear" w:color="000000" w:fill="CDD5E1"/>
            <w:vAlign w:val="center"/>
            <w:hideMark/>
          </w:tcPr>
          <w:p w14:paraId="097B4B26"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245,000</w:t>
            </w:r>
          </w:p>
        </w:tc>
        <w:tc>
          <w:tcPr>
            <w:tcW w:w="1889" w:type="dxa"/>
            <w:tcBorders>
              <w:top w:val="nil"/>
              <w:left w:val="nil"/>
              <w:bottom w:val="single" w:sz="4" w:space="0" w:color="auto"/>
              <w:right w:val="single" w:sz="4" w:space="0" w:color="auto"/>
            </w:tcBorders>
            <w:shd w:val="clear" w:color="000000" w:fill="CDD5E1"/>
            <w:vAlign w:val="center"/>
            <w:hideMark/>
          </w:tcPr>
          <w:p w14:paraId="59FE99A4"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161,700</w:t>
            </w:r>
          </w:p>
        </w:tc>
      </w:tr>
      <w:tr w:rsidR="00684079" w:rsidRPr="00684079" w14:paraId="76F5CF05" w14:textId="77777777" w:rsidTr="0072324E">
        <w:trPr>
          <w:trHeight w:val="20"/>
        </w:trPr>
        <w:tc>
          <w:tcPr>
            <w:tcW w:w="4733" w:type="dxa"/>
            <w:tcBorders>
              <w:top w:val="nil"/>
              <w:left w:val="single" w:sz="4" w:space="0" w:color="auto"/>
              <w:bottom w:val="single" w:sz="4" w:space="0" w:color="auto"/>
              <w:right w:val="single" w:sz="4" w:space="0" w:color="auto"/>
            </w:tcBorders>
            <w:shd w:val="clear" w:color="auto" w:fill="auto"/>
            <w:vAlign w:val="center"/>
            <w:hideMark/>
          </w:tcPr>
          <w:p w14:paraId="4CB5F4EE" w14:textId="77777777" w:rsidR="00684079" w:rsidRPr="008316CD" w:rsidRDefault="00684079" w:rsidP="00684079">
            <w:pPr>
              <w:spacing w:before="0" w:after="0"/>
              <w:rPr>
                <w:rFonts w:cs="Calibri Light"/>
                <w:b/>
                <w:bCs/>
                <w:color w:val="262626"/>
                <w:szCs w:val="22"/>
              </w:rPr>
            </w:pPr>
            <w:r w:rsidRPr="008316CD">
              <w:rPr>
                <w:rFonts w:cs="Calibri Light"/>
                <w:b/>
                <w:bCs/>
                <w:color w:val="262626"/>
                <w:szCs w:val="22"/>
              </w:rPr>
              <w:t>Scope 3 modelling</w:t>
            </w:r>
          </w:p>
        </w:tc>
        <w:tc>
          <w:tcPr>
            <w:tcW w:w="2240" w:type="dxa"/>
            <w:tcBorders>
              <w:top w:val="nil"/>
              <w:left w:val="nil"/>
              <w:bottom w:val="single" w:sz="4" w:space="0" w:color="auto"/>
              <w:right w:val="single" w:sz="4" w:space="0" w:color="auto"/>
            </w:tcBorders>
            <w:shd w:val="clear" w:color="auto" w:fill="auto"/>
            <w:vAlign w:val="center"/>
            <w:hideMark/>
          </w:tcPr>
          <w:p w14:paraId="7B823436"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245,000</w:t>
            </w:r>
          </w:p>
        </w:tc>
        <w:tc>
          <w:tcPr>
            <w:tcW w:w="1889" w:type="dxa"/>
            <w:tcBorders>
              <w:top w:val="nil"/>
              <w:left w:val="nil"/>
              <w:bottom w:val="single" w:sz="4" w:space="0" w:color="auto"/>
              <w:right w:val="single" w:sz="4" w:space="0" w:color="auto"/>
            </w:tcBorders>
            <w:shd w:val="clear" w:color="auto" w:fill="auto"/>
            <w:vAlign w:val="center"/>
            <w:hideMark/>
          </w:tcPr>
          <w:p w14:paraId="4D19EF15"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161,700</w:t>
            </w:r>
          </w:p>
        </w:tc>
      </w:tr>
      <w:tr w:rsidR="00684079" w:rsidRPr="00684079" w14:paraId="40CCB7B1" w14:textId="77777777" w:rsidTr="0072324E">
        <w:trPr>
          <w:trHeight w:val="20"/>
        </w:trPr>
        <w:tc>
          <w:tcPr>
            <w:tcW w:w="4733" w:type="dxa"/>
            <w:tcBorders>
              <w:top w:val="nil"/>
              <w:left w:val="single" w:sz="4" w:space="0" w:color="auto"/>
              <w:bottom w:val="single" w:sz="4" w:space="0" w:color="auto"/>
              <w:right w:val="single" w:sz="4" w:space="0" w:color="auto"/>
            </w:tcBorders>
            <w:shd w:val="clear" w:color="000000" w:fill="CDD5E1"/>
            <w:vAlign w:val="center"/>
            <w:hideMark/>
          </w:tcPr>
          <w:p w14:paraId="4F13DD37" w14:textId="77777777" w:rsidR="00684079" w:rsidRPr="008316CD" w:rsidRDefault="00684079" w:rsidP="00684079">
            <w:pPr>
              <w:spacing w:before="0" w:after="0"/>
              <w:rPr>
                <w:rFonts w:cs="Calibri Light"/>
                <w:b/>
                <w:bCs/>
                <w:color w:val="262626"/>
                <w:szCs w:val="22"/>
              </w:rPr>
            </w:pPr>
            <w:r w:rsidRPr="008316CD">
              <w:rPr>
                <w:rFonts w:cs="Calibri Light"/>
                <w:b/>
                <w:bCs/>
                <w:color w:val="262626"/>
                <w:szCs w:val="22"/>
              </w:rPr>
              <w:t>Preparation of climate report</w:t>
            </w:r>
          </w:p>
        </w:tc>
        <w:tc>
          <w:tcPr>
            <w:tcW w:w="2240" w:type="dxa"/>
            <w:tcBorders>
              <w:top w:val="nil"/>
              <w:left w:val="nil"/>
              <w:bottom w:val="single" w:sz="4" w:space="0" w:color="auto"/>
              <w:right w:val="single" w:sz="4" w:space="0" w:color="auto"/>
            </w:tcBorders>
            <w:shd w:val="clear" w:color="000000" w:fill="CDD5E1"/>
            <w:vAlign w:val="center"/>
            <w:hideMark/>
          </w:tcPr>
          <w:p w14:paraId="481A5E1F"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149,600</w:t>
            </w:r>
          </w:p>
        </w:tc>
        <w:tc>
          <w:tcPr>
            <w:tcW w:w="1889" w:type="dxa"/>
            <w:tcBorders>
              <w:top w:val="nil"/>
              <w:left w:val="nil"/>
              <w:bottom w:val="single" w:sz="4" w:space="0" w:color="auto"/>
              <w:right w:val="single" w:sz="4" w:space="0" w:color="auto"/>
            </w:tcBorders>
            <w:shd w:val="clear" w:color="000000" w:fill="CDD5E1"/>
            <w:vAlign w:val="center"/>
            <w:hideMark/>
          </w:tcPr>
          <w:p w14:paraId="3699AE9E"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48,960</w:t>
            </w:r>
          </w:p>
        </w:tc>
      </w:tr>
      <w:tr w:rsidR="00684079" w:rsidRPr="00684079" w14:paraId="7B401731" w14:textId="77777777" w:rsidTr="001F4908">
        <w:trPr>
          <w:trHeight w:val="20"/>
        </w:trPr>
        <w:tc>
          <w:tcPr>
            <w:tcW w:w="4733" w:type="dxa"/>
            <w:tcBorders>
              <w:top w:val="nil"/>
              <w:left w:val="single" w:sz="4" w:space="0" w:color="auto"/>
              <w:bottom w:val="single" w:sz="4" w:space="0" w:color="auto"/>
              <w:right w:val="single" w:sz="4" w:space="0" w:color="auto"/>
            </w:tcBorders>
            <w:shd w:val="clear" w:color="auto" w:fill="auto"/>
            <w:vAlign w:val="center"/>
            <w:hideMark/>
          </w:tcPr>
          <w:p w14:paraId="08AFE868" w14:textId="77777777" w:rsidR="00684079" w:rsidRPr="008316CD" w:rsidRDefault="00684079" w:rsidP="00684079">
            <w:pPr>
              <w:spacing w:before="0" w:after="0"/>
              <w:rPr>
                <w:rFonts w:cs="Calibri Light"/>
                <w:b/>
                <w:bCs/>
                <w:color w:val="262626"/>
                <w:szCs w:val="22"/>
              </w:rPr>
            </w:pPr>
            <w:r w:rsidRPr="008316CD">
              <w:rPr>
                <w:rFonts w:cs="Calibri Light"/>
                <w:b/>
                <w:bCs/>
                <w:color w:val="262626"/>
                <w:szCs w:val="22"/>
              </w:rPr>
              <w:t xml:space="preserve">Assurance </w:t>
            </w:r>
          </w:p>
        </w:tc>
        <w:tc>
          <w:tcPr>
            <w:tcW w:w="2240" w:type="dxa"/>
            <w:tcBorders>
              <w:top w:val="nil"/>
              <w:left w:val="nil"/>
              <w:bottom w:val="single" w:sz="4" w:space="0" w:color="auto"/>
              <w:right w:val="single" w:sz="4" w:space="0" w:color="auto"/>
            </w:tcBorders>
            <w:shd w:val="clear" w:color="auto" w:fill="auto"/>
            <w:vAlign w:val="center"/>
            <w:hideMark/>
          </w:tcPr>
          <w:p w14:paraId="5F738EDC"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49,815</w:t>
            </w:r>
          </w:p>
        </w:tc>
        <w:tc>
          <w:tcPr>
            <w:tcW w:w="1889" w:type="dxa"/>
            <w:tcBorders>
              <w:top w:val="nil"/>
              <w:left w:val="nil"/>
              <w:bottom w:val="single" w:sz="4" w:space="0" w:color="auto"/>
              <w:right w:val="single" w:sz="4" w:space="0" w:color="auto"/>
            </w:tcBorders>
            <w:shd w:val="clear" w:color="auto" w:fill="auto"/>
            <w:vAlign w:val="center"/>
            <w:hideMark/>
          </w:tcPr>
          <w:p w14:paraId="6F3C66C9"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82,693</w:t>
            </w:r>
          </w:p>
        </w:tc>
      </w:tr>
      <w:tr w:rsidR="00684079" w:rsidRPr="00684079" w14:paraId="02668CD9" w14:textId="77777777" w:rsidTr="001F4908">
        <w:trPr>
          <w:trHeight w:val="20"/>
        </w:trPr>
        <w:tc>
          <w:tcPr>
            <w:tcW w:w="4733" w:type="dxa"/>
            <w:tcBorders>
              <w:top w:val="single" w:sz="4" w:space="0" w:color="auto"/>
              <w:left w:val="single" w:sz="4" w:space="0" w:color="auto"/>
              <w:bottom w:val="single" w:sz="4" w:space="0" w:color="auto"/>
              <w:right w:val="single" w:sz="4" w:space="0" w:color="auto"/>
            </w:tcBorders>
            <w:shd w:val="clear" w:color="000000" w:fill="CDD5E1"/>
            <w:vAlign w:val="center"/>
            <w:hideMark/>
          </w:tcPr>
          <w:p w14:paraId="64C69B79" w14:textId="77777777" w:rsidR="00684079" w:rsidRPr="008316CD" w:rsidRDefault="00684079" w:rsidP="00684079">
            <w:pPr>
              <w:spacing w:before="0" w:after="0"/>
              <w:rPr>
                <w:rFonts w:cs="Calibri Light"/>
                <w:b/>
                <w:bCs/>
                <w:color w:val="262626"/>
                <w:szCs w:val="22"/>
              </w:rPr>
            </w:pPr>
            <w:r w:rsidRPr="008316CD">
              <w:rPr>
                <w:rFonts w:cs="Calibri Light"/>
                <w:b/>
                <w:bCs/>
                <w:color w:val="262626"/>
                <w:szCs w:val="22"/>
              </w:rPr>
              <w:t>Total</w:t>
            </w:r>
          </w:p>
        </w:tc>
        <w:tc>
          <w:tcPr>
            <w:tcW w:w="2240" w:type="dxa"/>
            <w:tcBorders>
              <w:top w:val="single" w:sz="4" w:space="0" w:color="auto"/>
              <w:left w:val="nil"/>
              <w:bottom w:val="single" w:sz="4" w:space="0" w:color="auto"/>
              <w:right w:val="single" w:sz="4" w:space="0" w:color="auto"/>
            </w:tcBorders>
            <w:shd w:val="clear" w:color="000000" w:fill="CDD5E1"/>
            <w:vAlign w:val="center"/>
            <w:hideMark/>
          </w:tcPr>
          <w:p w14:paraId="324767B8" w14:textId="77777777" w:rsidR="00684079" w:rsidRPr="008316CD" w:rsidRDefault="00684079" w:rsidP="00684079">
            <w:pPr>
              <w:spacing w:before="0" w:after="0"/>
              <w:jc w:val="right"/>
              <w:rPr>
                <w:rFonts w:cs="Calibri Light"/>
                <w:color w:val="262626"/>
                <w:szCs w:val="22"/>
              </w:rPr>
            </w:pPr>
            <w:r w:rsidRPr="008316CD">
              <w:rPr>
                <w:rFonts w:cs="Calibri Light"/>
                <w:color w:val="262626"/>
                <w:szCs w:val="22"/>
              </w:rPr>
              <w:t>1,306,847</w:t>
            </w:r>
          </w:p>
        </w:tc>
        <w:tc>
          <w:tcPr>
            <w:tcW w:w="1889" w:type="dxa"/>
            <w:tcBorders>
              <w:top w:val="single" w:sz="4" w:space="0" w:color="auto"/>
              <w:left w:val="nil"/>
              <w:bottom w:val="single" w:sz="4" w:space="0" w:color="auto"/>
              <w:right w:val="single" w:sz="4" w:space="0" w:color="auto"/>
            </w:tcBorders>
            <w:shd w:val="clear" w:color="000000" w:fill="CDD5E1"/>
            <w:vAlign w:val="center"/>
            <w:hideMark/>
          </w:tcPr>
          <w:p w14:paraId="7862D3DC" w14:textId="0CD34CD7" w:rsidR="00684079" w:rsidRPr="008316CD" w:rsidRDefault="00684079" w:rsidP="00684079">
            <w:pPr>
              <w:spacing w:before="0" w:after="0"/>
              <w:jc w:val="right"/>
              <w:rPr>
                <w:rFonts w:cs="Calibri Light"/>
                <w:color w:val="262626"/>
                <w:szCs w:val="22"/>
              </w:rPr>
            </w:pPr>
            <w:r w:rsidRPr="008316CD">
              <w:rPr>
                <w:rFonts w:cs="Calibri Light"/>
                <w:color w:val="262626"/>
                <w:szCs w:val="22"/>
              </w:rPr>
              <w:t>7</w:t>
            </w:r>
            <w:r w:rsidR="0027669A">
              <w:rPr>
                <w:rFonts w:cs="Calibri Light"/>
                <w:color w:val="262626"/>
                <w:szCs w:val="22"/>
              </w:rPr>
              <w:t>14</w:t>
            </w:r>
            <w:r w:rsidRPr="008316CD">
              <w:rPr>
                <w:rFonts w:cs="Calibri Light"/>
                <w:color w:val="262626"/>
                <w:szCs w:val="22"/>
              </w:rPr>
              <w:t>,</w:t>
            </w:r>
            <w:r w:rsidR="00EC5046">
              <w:rPr>
                <w:rFonts w:cs="Calibri Light"/>
                <w:color w:val="262626"/>
                <w:szCs w:val="22"/>
              </w:rPr>
              <w:t>032</w:t>
            </w:r>
          </w:p>
        </w:tc>
      </w:tr>
      <w:tr w:rsidR="001F4908" w:rsidRPr="00684079" w14:paraId="35469FDC" w14:textId="77777777" w:rsidTr="001F4908">
        <w:trPr>
          <w:trHeight w:val="20"/>
        </w:trPr>
        <w:tc>
          <w:tcPr>
            <w:tcW w:w="4733" w:type="dxa"/>
            <w:tcBorders>
              <w:top w:val="single" w:sz="4" w:space="0" w:color="auto"/>
            </w:tcBorders>
            <w:shd w:val="clear" w:color="auto" w:fill="auto"/>
            <w:vAlign w:val="center"/>
          </w:tcPr>
          <w:p w14:paraId="0BA7240F" w14:textId="52B2DBB5" w:rsidR="001F4908" w:rsidRPr="001F4908" w:rsidRDefault="001F4908" w:rsidP="00684079">
            <w:pPr>
              <w:spacing w:before="0" w:after="0"/>
              <w:rPr>
                <w:rFonts w:cs="Calibri Light"/>
                <w:color w:val="262626"/>
                <w:szCs w:val="22"/>
              </w:rPr>
            </w:pPr>
            <w:r w:rsidRPr="001F4908">
              <w:rPr>
                <w:rFonts w:cs="Calibri Light"/>
                <w:color w:val="262626"/>
                <w:sz w:val="20"/>
              </w:rPr>
              <w:t>Source: Treasury projections</w:t>
            </w:r>
          </w:p>
        </w:tc>
        <w:tc>
          <w:tcPr>
            <w:tcW w:w="2240" w:type="dxa"/>
            <w:tcBorders>
              <w:top w:val="single" w:sz="4" w:space="0" w:color="auto"/>
            </w:tcBorders>
            <w:shd w:val="clear" w:color="auto" w:fill="auto"/>
            <w:vAlign w:val="center"/>
          </w:tcPr>
          <w:p w14:paraId="261F02E1" w14:textId="77777777" w:rsidR="001F4908" w:rsidRPr="008316CD" w:rsidRDefault="001F4908" w:rsidP="00684079">
            <w:pPr>
              <w:spacing w:before="0" w:after="0"/>
              <w:jc w:val="right"/>
              <w:rPr>
                <w:rFonts w:cs="Calibri Light"/>
                <w:color w:val="262626"/>
                <w:szCs w:val="22"/>
              </w:rPr>
            </w:pPr>
          </w:p>
        </w:tc>
        <w:tc>
          <w:tcPr>
            <w:tcW w:w="1889" w:type="dxa"/>
            <w:tcBorders>
              <w:top w:val="single" w:sz="4" w:space="0" w:color="auto"/>
            </w:tcBorders>
            <w:shd w:val="clear" w:color="auto" w:fill="auto"/>
            <w:vAlign w:val="center"/>
          </w:tcPr>
          <w:p w14:paraId="0EBE4AC2" w14:textId="77777777" w:rsidR="001F4908" w:rsidRPr="008316CD" w:rsidRDefault="001F4908" w:rsidP="00684079">
            <w:pPr>
              <w:spacing w:before="0" w:after="0"/>
              <w:jc w:val="right"/>
              <w:rPr>
                <w:rFonts w:cs="Calibri Light"/>
                <w:color w:val="262626"/>
                <w:szCs w:val="22"/>
              </w:rPr>
            </w:pPr>
          </w:p>
        </w:tc>
      </w:tr>
    </w:tbl>
    <w:p w14:paraId="05675831" w14:textId="420ABB54" w:rsidR="00EB1629" w:rsidRDefault="00EB1629" w:rsidP="00EB1629">
      <w:r>
        <w:t xml:space="preserve">International benchmarking reveals significant compliance burden when compared to the UK, mainly due to mandating a more prescriptive standard (aligned with the ISSB). When compared to the US, we note similar recurring costs. Due to the lack of granularity around the US cost estimate, it is difficult to explain the difference in initial costs. </w:t>
      </w:r>
      <w:r w:rsidR="00315A10">
        <w:t>Our</w:t>
      </w:r>
      <w:r w:rsidR="003A0C2B">
        <w:t xml:space="preserve"> assumption that firms will internalise </w:t>
      </w:r>
      <w:r>
        <w:t>many of the costs</w:t>
      </w:r>
      <w:r w:rsidR="00315A10">
        <w:t xml:space="preserve"> </w:t>
      </w:r>
      <w:r w:rsidR="003A0C2B">
        <w:t>associated with this reform</w:t>
      </w:r>
      <w:r w:rsidR="00F96E04">
        <w:t xml:space="preserve"> </w:t>
      </w:r>
      <w:r>
        <w:t xml:space="preserve">means implementation costs are higher when compared to the US which assumes that external consultants with sufficient experienced are already used. </w:t>
      </w:r>
    </w:p>
    <w:p w14:paraId="68AEF44A" w14:textId="2349B32B" w:rsidR="00EB1629" w:rsidRDefault="00EB1629" w:rsidP="00EB1629">
      <w:r>
        <w:t xml:space="preserve">Feedback from consultation suggested the cost to implement a new climate disclosure system could be as low as a $150,000 to more than $1 million. One submission suggested </w:t>
      </w:r>
      <w:proofErr w:type="gramStart"/>
      <w:r>
        <w:t>costs</w:t>
      </w:r>
      <w:proofErr w:type="gramEnd"/>
      <w:r>
        <w:t xml:space="preserve"> of between 1 and 10 basis points of a company’s financial assets</w:t>
      </w:r>
      <w:r w:rsidR="00537655">
        <w:t>. This suggests that</w:t>
      </w:r>
      <w:r>
        <w:t xml:space="preserve"> for the median ASX300 company with $1,858,000,000 in assets, this would amount to $185,800 to $1,858,000.</w:t>
      </w:r>
    </w:p>
    <w:p w14:paraId="1ADEA655" w14:textId="77777777" w:rsidR="00EB1629" w:rsidRPr="00B05CE4" w:rsidRDefault="00EB1629" w:rsidP="00EB1629">
      <w:r>
        <w:t xml:space="preserve">Overall, these costs acknowledge the ongoing burden that climate reporting places on companies, particularly as costs are still significant on a yearly basis due to the ongoing need to source data, model and perform scenario analysis. </w:t>
      </w:r>
    </w:p>
    <w:p w14:paraId="6A9FD07C" w14:textId="487B4366" w:rsidR="00EB1629" w:rsidRPr="00C7266D" w:rsidRDefault="00EB1629" w:rsidP="003B3BBB">
      <w:pPr>
        <w:pStyle w:val="Caption"/>
      </w:pPr>
      <w:r w:rsidRPr="00C7266D">
        <w:t xml:space="preserve">Table </w:t>
      </w:r>
      <w:r w:rsidR="00402C79">
        <w:t>8</w:t>
      </w:r>
      <w:r w:rsidRPr="00C7266D">
        <w:t>: Cost comparison from overseas ($AUD), 1AUD = 0.527 GBP, 0.677 USD</w:t>
      </w:r>
    </w:p>
    <w:tbl>
      <w:tblPr>
        <w:tblStyle w:val="GridTable4-Accent1"/>
        <w:tblW w:w="5000" w:type="pct"/>
        <w:tblLook w:val="04A0" w:firstRow="1" w:lastRow="0" w:firstColumn="1" w:lastColumn="0" w:noHBand="0" w:noVBand="1"/>
      </w:tblPr>
      <w:tblGrid>
        <w:gridCol w:w="2263"/>
        <w:gridCol w:w="2267"/>
        <w:gridCol w:w="2265"/>
        <w:gridCol w:w="2265"/>
      </w:tblGrid>
      <w:tr w:rsidR="00EB1629" w14:paraId="508F42AF" w14:textId="77777777" w:rsidTr="00B849A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tcPr>
          <w:p w14:paraId="100E1B70" w14:textId="77777777" w:rsidR="00EB1629" w:rsidRPr="003A5D7B" w:rsidRDefault="00EB1629" w:rsidP="007A2399">
            <w:pPr>
              <w:pStyle w:val="BodyText"/>
              <w:spacing w:after="0"/>
              <w:rPr>
                <w:rFonts w:ascii="Calibri Light" w:hAnsi="Calibri Light" w:cs="Calibri Light"/>
                <w:color w:val="FFFFFF" w:themeColor="background1"/>
                <w:sz w:val="22"/>
              </w:rPr>
            </w:pPr>
            <w:r w:rsidRPr="003A5D7B">
              <w:rPr>
                <w:rFonts w:ascii="Calibri Light" w:hAnsi="Calibri Light" w:cs="Calibri Light"/>
                <w:color w:val="FFFFFF" w:themeColor="background1"/>
                <w:sz w:val="22"/>
              </w:rPr>
              <w:t>Country</w:t>
            </w:r>
          </w:p>
        </w:tc>
        <w:tc>
          <w:tcPr>
            <w:tcW w:w="1251" w:type="pct"/>
          </w:tcPr>
          <w:p w14:paraId="083F4ADE" w14:textId="77777777" w:rsidR="00EB1629" w:rsidRPr="003A5D7B" w:rsidRDefault="00EB1629" w:rsidP="007A2399">
            <w:pPr>
              <w:pStyle w:val="BodyText"/>
              <w:spacing w:after="0"/>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22"/>
              </w:rPr>
            </w:pPr>
            <w:r w:rsidRPr="003A5D7B">
              <w:rPr>
                <w:rFonts w:ascii="Calibri Light" w:hAnsi="Calibri Light" w:cs="Calibri Light"/>
                <w:color w:val="FFFFFF" w:themeColor="background1"/>
                <w:sz w:val="22"/>
              </w:rPr>
              <w:t>Australia</w:t>
            </w:r>
          </w:p>
        </w:tc>
        <w:tc>
          <w:tcPr>
            <w:tcW w:w="1250" w:type="pct"/>
          </w:tcPr>
          <w:p w14:paraId="7F27DC72" w14:textId="77777777" w:rsidR="00EB1629" w:rsidRPr="003A5D7B" w:rsidRDefault="00EB1629" w:rsidP="007A2399">
            <w:pPr>
              <w:pStyle w:val="BodyText"/>
              <w:spacing w:after="0"/>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22"/>
              </w:rPr>
            </w:pPr>
            <w:r w:rsidRPr="003A5D7B">
              <w:rPr>
                <w:rFonts w:ascii="Calibri Light" w:hAnsi="Calibri Light" w:cs="Calibri Light"/>
                <w:color w:val="FFFFFF" w:themeColor="background1"/>
                <w:sz w:val="22"/>
              </w:rPr>
              <w:t>UK</w:t>
            </w:r>
          </w:p>
        </w:tc>
        <w:tc>
          <w:tcPr>
            <w:tcW w:w="1250" w:type="pct"/>
          </w:tcPr>
          <w:p w14:paraId="3740EB4A" w14:textId="77777777" w:rsidR="00EB1629" w:rsidRPr="003A5D7B" w:rsidRDefault="00EB1629" w:rsidP="007A2399">
            <w:pPr>
              <w:pStyle w:val="BodyText"/>
              <w:spacing w:after="0"/>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22"/>
              </w:rPr>
            </w:pPr>
            <w:r w:rsidRPr="003A5D7B">
              <w:rPr>
                <w:rFonts w:ascii="Calibri Light" w:hAnsi="Calibri Light" w:cs="Calibri Light"/>
                <w:color w:val="FFFFFF" w:themeColor="background1"/>
                <w:sz w:val="22"/>
              </w:rPr>
              <w:t>US</w:t>
            </w:r>
          </w:p>
        </w:tc>
      </w:tr>
      <w:tr w:rsidR="00EB1629" w14:paraId="23D1258F" w14:textId="77777777" w:rsidTr="00B849A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6B83A7" w:themeColor="accent1" w:themeTint="99"/>
            </w:tcBorders>
          </w:tcPr>
          <w:p w14:paraId="22FE1462" w14:textId="4E7F8FBF" w:rsidR="00EB1629" w:rsidRPr="003A5D7B" w:rsidRDefault="00EB1629" w:rsidP="007A2399">
            <w:pPr>
              <w:pStyle w:val="BodyText"/>
              <w:spacing w:after="0"/>
              <w:rPr>
                <w:rFonts w:ascii="Calibri Light" w:hAnsi="Calibri Light" w:cs="Calibri Light"/>
                <w:sz w:val="22"/>
              </w:rPr>
            </w:pPr>
            <w:r w:rsidRPr="003A5D7B">
              <w:rPr>
                <w:rFonts w:ascii="Calibri Light" w:hAnsi="Calibri Light" w:cs="Calibri Light"/>
                <w:sz w:val="22"/>
              </w:rPr>
              <w:t>Initial cost</w:t>
            </w:r>
          </w:p>
        </w:tc>
        <w:tc>
          <w:tcPr>
            <w:tcW w:w="1251" w:type="pct"/>
            <w:tcBorders>
              <w:bottom w:val="single" w:sz="4" w:space="0" w:color="6B83A7" w:themeColor="accent1" w:themeTint="99"/>
            </w:tcBorders>
          </w:tcPr>
          <w:p w14:paraId="0860C128" w14:textId="0F4FBCC9" w:rsidR="00EB1629" w:rsidRPr="003A5D7B" w:rsidRDefault="00EB1629" w:rsidP="007A2399">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3A5D7B">
              <w:rPr>
                <w:rFonts w:ascii="Calibri Light" w:hAnsi="Calibri Light" w:cs="Calibri Light"/>
                <w:sz w:val="22"/>
              </w:rPr>
              <w:t>1,</w:t>
            </w:r>
            <w:r w:rsidR="00147356" w:rsidRPr="003A5D7B">
              <w:rPr>
                <w:rFonts w:ascii="Calibri Light" w:hAnsi="Calibri Light" w:cs="Calibri Light"/>
                <w:sz w:val="22"/>
              </w:rPr>
              <w:t>306,847</w:t>
            </w:r>
          </w:p>
        </w:tc>
        <w:tc>
          <w:tcPr>
            <w:tcW w:w="1250" w:type="pct"/>
            <w:tcBorders>
              <w:bottom w:val="single" w:sz="4" w:space="0" w:color="6B83A7" w:themeColor="accent1" w:themeTint="99"/>
            </w:tcBorders>
          </w:tcPr>
          <w:p w14:paraId="02DECEF0" w14:textId="77777777" w:rsidR="00EB1629" w:rsidRPr="003A5D7B" w:rsidRDefault="00EB1629" w:rsidP="007A2399">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3A5D7B">
              <w:rPr>
                <w:rFonts w:ascii="Calibri Light" w:hAnsi="Calibri Light" w:cs="Calibri Light"/>
                <w:sz w:val="22"/>
              </w:rPr>
              <w:t>361,443</w:t>
            </w:r>
          </w:p>
        </w:tc>
        <w:tc>
          <w:tcPr>
            <w:tcW w:w="1250" w:type="pct"/>
            <w:tcBorders>
              <w:bottom w:val="single" w:sz="4" w:space="0" w:color="6B83A7" w:themeColor="accent1" w:themeTint="99"/>
            </w:tcBorders>
          </w:tcPr>
          <w:p w14:paraId="38B57187" w14:textId="77777777" w:rsidR="00EB1629" w:rsidRPr="003A5D7B" w:rsidRDefault="00EB1629" w:rsidP="007A2399">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3A5D7B">
              <w:rPr>
                <w:rFonts w:ascii="Calibri Light" w:hAnsi="Calibri Light" w:cs="Calibri Light"/>
                <w:sz w:val="22"/>
              </w:rPr>
              <w:t>945,993</w:t>
            </w:r>
          </w:p>
        </w:tc>
      </w:tr>
      <w:tr w:rsidR="00EB1629" w14:paraId="52EB5FED" w14:textId="77777777" w:rsidTr="00B849AF">
        <w:trPr>
          <w:trHeight w:val="20"/>
        </w:trPr>
        <w:tc>
          <w:tcPr>
            <w:cnfStyle w:val="001000000000" w:firstRow="0" w:lastRow="0" w:firstColumn="1" w:lastColumn="0" w:oddVBand="0" w:evenVBand="0" w:oddHBand="0" w:evenHBand="0" w:firstRowFirstColumn="0" w:firstRowLastColumn="0" w:lastRowFirstColumn="0" w:lastRowLastColumn="0"/>
            <w:tcW w:w="1249" w:type="pct"/>
            <w:tcBorders>
              <w:bottom w:val="single" w:sz="4" w:space="0" w:color="auto"/>
            </w:tcBorders>
          </w:tcPr>
          <w:p w14:paraId="299A9D71" w14:textId="36CF46B4" w:rsidR="00EB1629" w:rsidRPr="003A5D7B" w:rsidRDefault="00EB1629" w:rsidP="007A2399">
            <w:pPr>
              <w:pStyle w:val="BodyText"/>
              <w:spacing w:after="0"/>
              <w:rPr>
                <w:rFonts w:ascii="Calibri Light" w:hAnsi="Calibri Light" w:cs="Calibri Light"/>
                <w:sz w:val="22"/>
              </w:rPr>
            </w:pPr>
            <w:r w:rsidRPr="003A5D7B">
              <w:rPr>
                <w:rFonts w:ascii="Calibri Light" w:hAnsi="Calibri Light" w:cs="Calibri Light"/>
                <w:sz w:val="22"/>
              </w:rPr>
              <w:t xml:space="preserve">Recurring cost </w:t>
            </w:r>
          </w:p>
        </w:tc>
        <w:tc>
          <w:tcPr>
            <w:tcW w:w="1251" w:type="pct"/>
            <w:tcBorders>
              <w:bottom w:val="single" w:sz="4" w:space="0" w:color="auto"/>
            </w:tcBorders>
          </w:tcPr>
          <w:p w14:paraId="2B96BE43" w14:textId="10E5BBC2" w:rsidR="00EB1629" w:rsidRPr="003A5D7B" w:rsidRDefault="00EB1629" w:rsidP="007A2399">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3A5D7B">
              <w:rPr>
                <w:rFonts w:ascii="Calibri Light" w:hAnsi="Calibri Light" w:cs="Calibri Light"/>
                <w:sz w:val="22"/>
              </w:rPr>
              <w:t>7</w:t>
            </w:r>
            <w:r w:rsidR="006A0F06">
              <w:rPr>
                <w:rFonts w:ascii="Calibri Light" w:hAnsi="Calibri Light" w:cs="Calibri Light"/>
                <w:sz w:val="22"/>
              </w:rPr>
              <w:t>14</w:t>
            </w:r>
            <w:r w:rsidR="00147356" w:rsidRPr="003A5D7B">
              <w:rPr>
                <w:rFonts w:ascii="Calibri Light" w:hAnsi="Calibri Light" w:cs="Calibri Light"/>
                <w:sz w:val="22"/>
              </w:rPr>
              <w:t>,</w:t>
            </w:r>
            <w:r w:rsidR="006A0F06">
              <w:rPr>
                <w:rFonts w:ascii="Calibri Light" w:hAnsi="Calibri Light" w:cs="Calibri Light"/>
                <w:sz w:val="22"/>
              </w:rPr>
              <w:t>032</w:t>
            </w:r>
          </w:p>
        </w:tc>
        <w:tc>
          <w:tcPr>
            <w:tcW w:w="1250" w:type="pct"/>
            <w:tcBorders>
              <w:bottom w:val="single" w:sz="4" w:space="0" w:color="auto"/>
            </w:tcBorders>
          </w:tcPr>
          <w:p w14:paraId="510DCB62" w14:textId="77777777" w:rsidR="00EB1629" w:rsidRPr="003A5D7B" w:rsidRDefault="00EB1629" w:rsidP="007A2399">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3A5D7B">
              <w:rPr>
                <w:rFonts w:ascii="Calibri Light" w:hAnsi="Calibri Light" w:cs="Calibri Light"/>
                <w:sz w:val="22"/>
              </w:rPr>
              <w:t>263,622</w:t>
            </w:r>
          </w:p>
        </w:tc>
        <w:tc>
          <w:tcPr>
            <w:tcW w:w="1250" w:type="pct"/>
            <w:tcBorders>
              <w:bottom w:val="single" w:sz="4" w:space="0" w:color="auto"/>
            </w:tcBorders>
          </w:tcPr>
          <w:p w14:paraId="19404D8A" w14:textId="77777777" w:rsidR="00EB1629" w:rsidRPr="003A5D7B" w:rsidRDefault="00EB1629" w:rsidP="007A2399">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3A5D7B">
              <w:rPr>
                <w:rFonts w:ascii="Calibri Light" w:hAnsi="Calibri Light" w:cs="Calibri Light"/>
                <w:sz w:val="22"/>
              </w:rPr>
              <w:t>783,250</w:t>
            </w:r>
          </w:p>
        </w:tc>
      </w:tr>
      <w:tr w:rsidR="00B849AF" w14:paraId="0913AE96" w14:textId="77777777" w:rsidTr="00B849A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nil"/>
              <w:bottom w:val="nil"/>
              <w:right w:val="nil"/>
            </w:tcBorders>
            <w:shd w:val="clear" w:color="auto" w:fill="auto"/>
          </w:tcPr>
          <w:p w14:paraId="5D9A71FC" w14:textId="6AC9EE35" w:rsidR="00B849AF" w:rsidRPr="003A5D7B" w:rsidRDefault="00B849AF" w:rsidP="007A2399">
            <w:pPr>
              <w:pStyle w:val="BodyText"/>
              <w:spacing w:after="0"/>
              <w:rPr>
                <w:rFonts w:ascii="Calibri Light" w:hAnsi="Calibri Light" w:cs="Calibri Light"/>
              </w:rPr>
            </w:pPr>
            <w:r w:rsidRPr="00B849AF">
              <w:rPr>
                <w:rFonts w:ascii="Calibri Light" w:hAnsi="Calibri Light" w:cs="Calibri Light"/>
                <w:b w:val="0"/>
                <w:bCs w:val="0"/>
              </w:rPr>
              <w:t>Source: Treasury projections</w:t>
            </w:r>
            <w:r w:rsidR="003A52A6">
              <w:rPr>
                <w:rFonts w:ascii="Calibri Light" w:hAnsi="Calibri Light" w:cs="Calibri Light"/>
                <w:b w:val="0"/>
                <w:bCs w:val="0"/>
              </w:rPr>
              <w:t xml:space="preserve"> </w:t>
            </w:r>
          </w:p>
        </w:tc>
      </w:tr>
    </w:tbl>
    <w:p w14:paraId="2ACBFB2A" w14:textId="77777777" w:rsidR="00EB1629" w:rsidRPr="009F1A87" w:rsidRDefault="00EB1629" w:rsidP="00EB1629">
      <w:pPr>
        <w:pStyle w:val="Heading4"/>
      </w:pPr>
      <w:r>
        <w:t>Cumulative compliance costs across groups</w:t>
      </w:r>
    </w:p>
    <w:p w14:paraId="6E6F3B98" w14:textId="2723685E" w:rsidR="00EB1629" w:rsidRPr="0030627C" w:rsidRDefault="00EB1629" w:rsidP="00EB1629">
      <w:r w:rsidRPr="0030627C">
        <w:t xml:space="preserve">In preparing this estimate, Treasury considers it reasonable to </w:t>
      </w:r>
      <w:r>
        <w:t>amortise</w:t>
      </w:r>
      <w:r w:rsidRPr="0030627C">
        <w:t xml:space="preserve"> the transition costs over 10 years </w:t>
      </w:r>
      <w:r>
        <w:t>because</w:t>
      </w:r>
      <w:r w:rsidRPr="0030627C">
        <w:t xml:space="preserve"> </w:t>
      </w:r>
      <w:r>
        <w:t>c</w:t>
      </w:r>
      <w:r w:rsidRPr="0030627C">
        <w:t>limate-related financial disclosures w</w:t>
      </w:r>
      <w:r>
        <w:t>ould be an ongoing obligation for companies</w:t>
      </w:r>
      <w:r w:rsidRPr="0030627C">
        <w:t>. Additionally, many new AASB standards and IFRS standards have been in effect for longer than a decade.</w:t>
      </w:r>
      <w:r>
        <w:t xml:space="preserve"> Group 3 is not included in this table as the cost breakdown is more general in nature compared to the granular breakdown. This is in part due to proportionality as we expect costs to differ significantly. There are several assumptions made with these costs:</w:t>
      </w:r>
    </w:p>
    <w:p w14:paraId="3C4E1F0B" w14:textId="77777777" w:rsidR="00EB1629" w:rsidRDefault="00EB1629" w:rsidP="0092357C">
      <w:pPr>
        <w:pStyle w:val="Bullet"/>
      </w:pPr>
      <w:r>
        <w:t>Group 1 is the baseline and experiences the full cost with the exception of discounts for ongoing synergies and learnings from the first year of disclosing.</w:t>
      </w:r>
    </w:p>
    <w:p w14:paraId="1C09C755" w14:textId="5AB81418" w:rsidR="00EB1629" w:rsidRDefault="00EB1629" w:rsidP="0092357C">
      <w:pPr>
        <w:pStyle w:val="Bullet"/>
      </w:pPr>
      <w:r w:rsidRPr="0030627C">
        <w:t xml:space="preserve">We </w:t>
      </w:r>
      <w:r>
        <w:t xml:space="preserve">discount </w:t>
      </w:r>
      <w:r w:rsidR="008F71E1">
        <w:t>transition</w:t>
      </w:r>
      <w:r>
        <w:t xml:space="preserve"> costs to Group 2 by </w:t>
      </w:r>
      <w:r w:rsidRPr="0030627C">
        <w:t>20</w:t>
      </w:r>
      <w:r>
        <w:t xml:space="preserve"> per cent</w:t>
      </w:r>
      <w:r w:rsidRPr="0030627C">
        <w:t xml:space="preserve"> as we expect </w:t>
      </w:r>
      <w:r>
        <w:t xml:space="preserve">implementation by Group 1 will lead to </w:t>
      </w:r>
      <w:r w:rsidRPr="0030627C">
        <w:t xml:space="preserve">increased availability of methodology, </w:t>
      </w:r>
      <w:proofErr w:type="gramStart"/>
      <w:r w:rsidRPr="0030627C">
        <w:t>data</w:t>
      </w:r>
      <w:proofErr w:type="gramEnd"/>
      <w:r w:rsidRPr="0030627C">
        <w:t xml:space="preserve"> and frameworks</w:t>
      </w:r>
      <w:r>
        <w:t xml:space="preserve"> across the market</w:t>
      </w:r>
      <w:r w:rsidRPr="0030627C">
        <w:t>.</w:t>
      </w:r>
      <w:r w:rsidR="009E6704">
        <w:t xml:space="preserve"> The </w:t>
      </w:r>
      <w:r w:rsidR="0024078C">
        <w:t xml:space="preserve">ongoing costs converge to the long-run </w:t>
      </w:r>
      <w:r w:rsidR="00904E45">
        <w:t>recurring cost.</w:t>
      </w:r>
    </w:p>
    <w:p w14:paraId="2339F19A" w14:textId="7BAC611C" w:rsidR="009A648A" w:rsidRDefault="009A648A" w:rsidP="0092357C">
      <w:pPr>
        <w:pStyle w:val="Bullet"/>
      </w:pPr>
      <w:r>
        <w:t xml:space="preserve">We assume ongoing costs for both Group 1 and 2 entities to </w:t>
      </w:r>
      <w:r w:rsidR="00C62844">
        <w:t xml:space="preserve">decrease and then stabilise over the </w:t>
      </w:r>
      <w:r w:rsidR="00EE725E">
        <w:t>horizon, notwithstanding any future changes to climate-risk disclosure reforms.</w:t>
      </w:r>
    </w:p>
    <w:p w14:paraId="3E30D5A8" w14:textId="429EFB96" w:rsidR="00EB1629" w:rsidRDefault="00EB1629" w:rsidP="0092357C">
      <w:pPr>
        <w:pStyle w:val="Bullet"/>
      </w:pPr>
      <w:r>
        <w:t xml:space="preserve">We discount NGERs by </w:t>
      </w:r>
      <w:r w:rsidR="006A0F06">
        <w:t>3</w:t>
      </w:r>
      <w:r>
        <w:t xml:space="preserve">0 per cent for </w:t>
      </w:r>
      <w:r w:rsidR="0014241B">
        <w:t xml:space="preserve">across all years of </w:t>
      </w:r>
      <w:r w:rsidR="004A1688">
        <w:t xml:space="preserve">as they are already subject to </w:t>
      </w:r>
      <w:r w:rsidR="005D7816">
        <w:t xml:space="preserve">NGER and other mechanisms </w:t>
      </w:r>
      <w:r w:rsidR="00C01D28">
        <w:t xml:space="preserve">of </w:t>
      </w:r>
      <w:r>
        <w:t>reporting</w:t>
      </w:r>
      <w:r w:rsidR="00C01D28">
        <w:t xml:space="preserve"> such as the Safeguard Mechanism</w:t>
      </w:r>
      <w:r>
        <w:t>.</w:t>
      </w:r>
    </w:p>
    <w:p w14:paraId="72815656" w14:textId="1B7530BC" w:rsidR="00EB1629" w:rsidRPr="004F13F3" w:rsidRDefault="00EB1629" w:rsidP="003B3BBB">
      <w:pPr>
        <w:pStyle w:val="Caption"/>
      </w:pPr>
      <w:r w:rsidRPr="00C94194">
        <w:t xml:space="preserve">Table </w:t>
      </w:r>
      <w:r w:rsidR="00402C79">
        <w:t>9</w:t>
      </w:r>
      <w:r w:rsidRPr="00C94194">
        <w:t xml:space="preserve">: </w:t>
      </w:r>
      <w:r>
        <w:t>Transitional and ongoing costs for Groups 1,2 and NGER entities</w:t>
      </w:r>
      <w:r w:rsidRPr="00C94194">
        <w:t xml:space="preserve"> </w:t>
      </w:r>
      <w:r w:rsidR="00755E17">
        <w:t>under Option 1</w:t>
      </w:r>
    </w:p>
    <w:tbl>
      <w:tblPr>
        <w:tblW w:w="9629" w:type="dxa"/>
        <w:jc w:val="center"/>
        <w:tblLayout w:type="fixed"/>
        <w:tblLook w:val="04A0" w:firstRow="1" w:lastRow="0" w:firstColumn="1" w:lastColumn="0" w:noHBand="0" w:noVBand="1"/>
      </w:tblPr>
      <w:tblGrid>
        <w:gridCol w:w="2117"/>
        <w:gridCol w:w="1275"/>
        <w:gridCol w:w="1134"/>
        <w:gridCol w:w="1418"/>
        <w:gridCol w:w="1134"/>
        <w:gridCol w:w="1276"/>
        <w:gridCol w:w="1275"/>
      </w:tblGrid>
      <w:tr w:rsidR="00DA66F2" w:rsidRPr="00E27722" w14:paraId="40332139" w14:textId="77777777" w:rsidTr="00970C91">
        <w:trPr>
          <w:trHeight w:val="307"/>
          <w:jc w:val="center"/>
        </w:trPr>
        <w:tc>
          <w:tcPr>
            <w:tcW w:w="2117" w:type="dxa"/>
            <w:tcBorders>
              <w:top w:val="single" w:sz="8" w:space="0" w:color="auto"/>
              <w:left w:val="single" w:sz="8" w:space="0" w:color="auto"/>
              <w:bottom w:val="single" w:sz="8" w:space="0" w:color="auto"/>
              <w:right w:val="nil"/>
            </w:tcBorders>
            <w:shd w:val="clear" w:color="auto" w:fill="auto"/>
            <w:noWrap/>
            <w:vAlign w:val="bottom"/>
            <w:hideMark/>
          </w:tcPr>
          <w:p w14:paraId="35E2837F" w14:textId="77777777" w:rsidR="00E27722" w:rsidRPr="001D4B91" w:rsidRDefault="00E27722" w:rsidP="00E27722">
            <w:pPr>
              <w:spacing w:before="0" w:after="0"/>
              <w:rPr>
                <w:rFonts w:cs="Calibri Light"/>
                <w:color w:val="000000"/>
                <w:szCs w:val="22"/>
              </w:rPr>
            </w:pPr>
            <w:r w:rsidRPr="001D4B91">
              <w:rPr>
                <w:rFonts w:cs="Calibri Light"/>
                <w:color w:val="000000"/>
                <w:szCs w:val="22"/>
              </w:rPr>
              <w:t> </w:t>
            </w:r>
          </w:p>
        </w:tc>
        <w:tc>
          <w:tcPr>
            <w:tcW w:w="2409" w:type="dxa"/>
            <w:gridSpan w:val="2"/>
            <w:tcBorders>
              <w:top w:val="single" w:sz="8" w:space="0" w:color="auto"/>
              <w:left w:val="nil"/>
              <w:bottom w:val="single" w:sz="8" w:space="0" w:color="auto"/>
              <w:right w:val="nil"/>
            </w:tcBorders>
            <w:shd w:val="clear" w:color="auto" w:fill="auto"/>
            <w:noWrap/>
            <w:vAlign w:val="bottom"/>
            <w:hideMark/>
          </w:tcPr>
          <w:p w14:paraId="4DDB6A70" w14:textId="77777777" w:rsidR="00E27722" w:rsidRPr="001D4B91" w:rsidRDefault="00E27722" w:rsidP="00E27722">
            <w:pPr>
              <w:spacing w:before="0" w:after="0"/>
              <w:jc w:val="center"/>
              <w:rPr>
                <w:rFonts w:cs="Calibri Light"/>
                <w:b/>
                <w:bCs/>
                <w:color w:val="000000"/>
                <w:szCs w:val="22"/>
              </w:rPr>
            </w:pPr>
            <w:r w:rsidRPr="001D4B91">
              <w:rPr>
                <w:rFonts w:cs="Calibri Light"/>
                <w:b/>
                <w:bCs/>
                <w:color w:val="000000"/>
                <w:szCs w:val="22"/>
              </w:rPr>
              <w:t>Group 1 (729 entities)</w:t>
            </w:r>
          </w:p>
        </w:tc>
        <w:tc>
          <w:tcPr>
            <w:tcW w:w="2552" w:type="dxa"/>
            <w:gridSpan w:val="2"/>
            <w:tcBorders>
              <w:top w:val="single" w:sz="8" w:space="0" w:color="auto"/>
              <w:left w:val="nil"/>
              <w:bottom w:val="single" w:sz="8" w:space="0" w:color="auto"/>
              <w:right w:val="nil"/>
            </w:tcBorders>
            <w:shd w:val="clear" w:color="auto" w:fill="auto"/>
            <w:noWrap/>
            <w:vAlign w:val="bottom"/>
            <w:hideMark/>
          </w:tcPr>
          <w:p w14:paraId="758F3994" w14:textId="64E6C391" w:rsidR="00E27722" w:rsidRPr="001D4B91" w:rsidRDefault="00E27722" w:rsidP="00E27722">
            <w:pPr>
              <w:spacing w:before="0" w:after="0"/>
              <w:jc w:val="center"/>
              <w:rPr>
                <w:rFonts w:cs="Calibri Light"/>
                <w:b/>
                <w:bCs/>
                <w:color w:val="000000"/>
                <w:szCs w:val="22"/>
              </w:rPr>
            </w:pPr>
            <w:r w:rsidRPr="001D4B91">
              <w:rPr>
                <w:rFonts w:cs="Calibri Light"/>
                <w:b/>
                <w:bCs/>
                <w:color w:val="000000"/>
                <w:szCs w:val="22"/>
              </w:rPr>
              <w:t>Group 2 (7</w:t>
            </w:r>
            <w:r w:rsidR="000E357D">
              <w:rPr>
                <w:rFonts w:cs="Calibri Light"/>
                <w:b/>
                <w:bCs/>
                <w:color w:val="000000"/>
                <w:szCs w:val="22"/>
              </w:rPr>
              <w:t>55</w:t>
            </w:r>
            <w:r w:rsidRPr="001D4B91">
              <w:rPr>
                <w:rFonts w:cs="Calibri Light"/>
                <w:b/>
                <w:bCs/>
                <w:color w:val="000000"/>
                <w:szCs w:val="22"/>
              </w:rPr>
              <w:t xml:space="preserve"> entities)</w:t>
            </w:r>
          </w:p>
        </w:tc>
        <w:tc>
          <w:tcPr>
            <w:tcW w:w="2551"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12A0DC61" w14:textId="7B6B88F1" w:rsidR="00E27722" w:rsidRPr="001D4B91" w:rsidRDefault="00E27722" w:rsidP="00E27722">
            <w:pPr>
              <w:spacing w:before="0" w:after="0"/>
              <w:jc w:val="center"/>
              <w:rPr>
                <w:rFonts w:cs="Calibri Light"/>
                <w:b/>
                <w:bCs/>
                <w:color w:val="000000"/>
                <w:szCs w:val="22"/>
              </w:rPr>
            </w:pPr>
            <w:r w:rsidRPr="001D4B91">
              <w:rPr>
                <w:rFonts w:cs="Calibri Light"/>
                <w:b/>
                <w:bCs/>
                <w:color w:val="000000"/>
                <w:szCs w:val="22"/>
              </w:rPr>
              <w:t>NGER (362</w:t>
            </w:r>
            <w:r w:rsidR="000E357D">
              <w:rPr>
                <w:rFonts w:cs="Calibri Light"/>
                <w:b/>
                <w:bCs/>
                <w:color w:val="000000"/>
                <w:szCs w:val="22"/>
              </w:rPr>
              <w:t xml:space="preserve"> </w:t>
            </w:r>
            <w:r w:rsidRPr="001D4B91">
              <w:rPr>
                <w:rFonts w:cs="Calibri Light"/>
                <w:b/>
                <w:bCs/>
                <w:color w:val="000000"/>
                <w:szCs w:val="22"/>
              </w:rPr>
              <w:t>entities)</w:t>
            </w:r>
          </w:p>
        </w:tc>
      </w:tr>
      <w:tr w:rsidR="00E27722" w:rsidRPr="00E27722" w14:paraId="44E703BB" w14:textId="77777777" w:rsidTr="00970C91">
        <w:trPr>
          <w:trHeight w:val="497"/>
          <w:jc w:val="center"/>
        </w:trPr>
        <w:tc>
          <w:tcPr>
            <w:tcW w:w="2117" w:type="dxa"/>
            <w:tcBorders>
              <w:top w:val="nil"/>
              <w:left w:val="single" w:sz="8" w:space="0" w:color="2C384A"/>
              <w:bottom w:val="nil"/>
              <w:right w:val="nil"/>
            </w:tcBorders>
            <w:shd w:val="clear" w:color="000000" w:fill="2C384A"/>
            <w:vAlign w:val="center"/>
            <w:hideMark/>
          </w:tcPr>
          <w:p w14:paraId="048E5317" w14:textId="77777777" w:rsidR="00E27722" w:rsidRPr="001D4B91" w:rsidRDefault="00E27722" w:rsidP="00E27722">
            <w:pPr>
              <w:spacing w:before="0" w:after="0"/>
              <w:rPr>
                <w:rFonts w:cs="Calibri Light"/>
                <w:b/>
                <w:bCs/>
                <w:color w:val="FFFFFF"/>
                <w:szCs w:val="22"/>
              </w:rPr>
            </w:pPr>
            <w:r w:rsidRPr="001D4B91">
              <w:rPr>
                <w:rFonts w:cs="Calibri Light"/>
                <w:b/>
                <w:bCs/>
                <w:color w:val="FFFFFF"/>
                <w:szCs w:val="22"/>
              </w:rPr>
              <w:t>Activity</w:t>
            </w:r>
          </w:p>
        </w:tc>
        <w:tc>
          <w:tcPr>
            <w:tcW w:w="1275" w:type="dxa"/>
            <w:tcBorders>
              <w:top w:val="nil"/>
              <w:left w:val="nil"/>
              <w:bottom w:val="nil"/>
              <w:right w:val="single" w:sz="8" w:space="0" w:color="2C384A"/>
            </w:tcBorders>
            <w:shd w:val="clear" w:color="000000" w:fill="2C384A"/>
            <w:vAlign w:val="center"/>
            <w:hideMark/>
          </w:tcPr>
          <w:p w14:paraId="6316427D" w14:textId="77777777" w:rsidR="00E27722" w:rsidRPr="001D4B91" w:rsidRDefault="00E27722" w:rsidP="00E27722">
            <w:pPr>
              <w:spacing w:before="0" w:after="0"/>
              <w:rPr>
                <w:rFonts w:cs="Calibri Light"/>
                <w:b/>
                <w:bCs/>
                <w:color w:val="FFFFFF"/>
                <w:szCs w:val="22"/>
              </w:rPr>
            </w:pPr>
            <w:r w:rsidRPr="001D4B91">
              <w:rPr>
                <w:rFonts w:cs="Calibri Light"/>
                <w:b/>
                <w:bCs/>
                <w:color w:val="FFFFFF"/>
                <w:szCs w:val="22"/>
              </w:rPr>
              <w:t>Transitional cost ($m)</w:t>
            </w:r>
          </w:p>
        </w:tc>
        <w:tc>
          <w:tcPr>
            <w:tcW w:w="1134" w:type="dxa"/>
            <w:tcBorders>
              <w:top w:val="nil"/>
              <w:left w:val="nil"/>
              <w:bottom w:val="nil"/>
              <w:right w:val="single" w:sz="8" w:space="0" w:color="2C384A"/>
            </w:tcBorders>
            <w:shd w:val="clear" w:color="000000" w:fill="2C384A"/>
            <w:vAlign w:val="center"/>
            <w:hideMark/>
          </w:tcPr>
          <w:p w14:paraId="6801AAE5" w14:textId="77777777" w:rsidR="00E27722" w:rsidRPr="001D4B91" w:rsidRDefault="00E27722" w:rsidP="00E27722">
            <w:pPr>
              <w:spacing w:before="0" w:after="0"/>
              <w:rPr>
                <w:rFonts w:cs="Calibri Light"/>
                <w:b/>
                <w:bCs/>
                <w:color w:val="FFFFFF"/>
                <w:szCs w:val="22"/>
              </w:rPr>
            </w:pPr>
            <w:r w:rsidRPr="001D4B91">
              <w:rPr>
                <w:rFonts w:cs="Calibri Light"/>
                <w:b/>
                <w:bCs/>
                <w:color w:val="FFFFFF"/>
                <w:szCs w:val="22"/>
              </w:rPr>
              <w:t>Ongoing cost ($m)</w:t>
            </w:r>
          </w:p>
        </w:tc>
        <w:tc>
          <w:tcPr>
            <w:tcW w:w="1418" w:type="dxa"/>
            <w:tcBorders>
              <w:top w:val="nil"/>
              <w:left w:val="nil"/>
              <w:bottom w:val="nil"/>
              <w:right w:val="single" w:sz="8" w:space="0" w:color="2C384A"/>
            </w:tcBorders>
            <w:shd w:val="clear" w:color="000000" w:fill="2C384A"/>
            <w:vAlign w:val="center"/>
            <w:hideMark/>
          </w:tcPr>
          <w:p w14:paraId="23060C34" w14:textId="77777777" w:rsidR="00E27722" w:rsidRPr="001D4B91" w:rsidRDefault="00E27722" w:rsidP="00E27722">
            <w:pPr>
              <w:spacing w:before="0" w:after="0"/>
              <w:rPr>
                <w:rFonts w:cs="Calibri Light"/>
                <w:b/>
                <w:bCs/>
                <w:color w:val="FFFFFF"/>
                <w:szCs w:val="22"/>
              </w:rPr>
            </w:pPr>
            <w:r w:rsidRPr="001D4B91">
              <w:rPr>
                <w:rFonts w:cs="Calibri Light"/>
                <w:b/>
                <w:bCs/>
                <w:color w:val="FFFFFF"/>
                <w:szCs w:val="22"/>
              </w:rPr>
              <w:t>Transitional cost ($m)</w:t>
            </w:r>
          </w:p>
        </w:tc>
        <w:tc>
          <w:tcPr>
            <w:tcW w:w="1134" w:type="dxa"/>
            <w:tcBorders>
              <w:top w:val="nil"/>
              <w:left w:val="nil"/>
              <w:bottom w:val="nil"/>
              <w:right w:val="single" w:sz="8" w:space="0" w:color="2C384A"/>
            </w:tcBorders>
            <w:shd w:val="clear" w:color="000000" w:fill="2C384A"/>
            <w:vAlign w:val="center"/>
            <w:hideMark/>
          </w:tcPr>
          <w:p w14:paraId="3A0EE7C7" w14:textId="77777777" w:rsidR="00E27722" w:rsidRPr="001D4B91" w:rsidRDefault="00E27722" w:rsidP="00E27722">
            <w:pPr>
              <w:spacing w:before="0" w:after="0"/>
              <w:rPr>
                <w:rFonts w:cs="Calibri Light"/>
                <w:b/>
                <w:bCs/>
                <w:color w:val="FFFFFF"/>
                <w:szCs w:val="22"/>
              </w:rPr>
            </w:pPr>
            <w:r w:rsidRPr="001D4B91">
              <w:rPr>
                <w:rFonts w:cs="Calibri Light"/>
                <w:b/>
                <w:bCs/>
                <w:color w:val="FFFFFF"/>
                <w:szCs w:val="22"/>
              </w:rPr>
              <w:t>Ongoing cost ($m)</w:t>
            </w:r>
          </w:p>
        </w:tc>
        <w:tc>
          <w:tcPr>
            <w:tcW w:w="1276" w:type="dxa"/>
            <w:tcBorders>
              <w:top w:val="nil"/>
              <w:left w:val="nil"/>
              <w:bottom w:val="nil"/>
              <w:right w:val="single" w:sz="8" w:space="0" w:color="2C384A"/>
            </w:tcBorders>
            <w:shd w:val="clear" w:color="000000" w:fill="2C384A"/>
            <w:vAlign w:val="center"/>
            <w:hideMark/>
          </w:tcPr>
          <w:p w14:paraId="68DEA2AB" w14:textId="77777777" w:rsidR="00E27722" w:rsidRPr="001D4B91" w:rsidRDefault="00E27722" w:rsidP="00E27722">
            <w:pPr>
              <w:spacing w:before="0" w:after="0"/>
              <w:rPr>
                <w:rFonts w:cs="Calibri Light"/>
                <w:b/>
                <w:bCs/>
                <w:color w:val="FFFFFF"/>
                <w:szCs w:val="22"/>
              </w:rPr>
            </w:pPr>
            <w:r w:rsidRPr="001D4B91">
              <w:rPr>
                <w:rFonts w:cs="Calibri Light"/>
                <w:b/>
                <w:bCs/>
                <w:color w:val="FFFFFF"/>
                <w:szCs w:val="22"/>
              </w:rPr>
              <w:t>Transitional cost ($m)</w:t>
            </w:r>
          </w:p>
        </w:tc>
        <w:tc>
          <w:tcPr>
            <w:tcW w:w="1275" w:type="dxa"/>
            <w:tcBorders>
              <w:top w:val="nil"/>
              <w:left w:val="nil"/>
              <w:bottom w:val="nil"/>
              <w:right w:val="single" w:sz="8" w:space="0" w:color="2C384A"/>
            </w:tcBorders>
            <w:shd w:val="clear" w:color="000000" w:fill="2C384A"/>
            <w:vAlign w:val="center"/>
            <w:hideMark/>
          </w:tcPr>
          <w:p w14:paraId="4013711C" w14:textId="77777777" w:rsidR="00E27722" w:rsidRPr="001D4B91" w:rsidRDefault="00E27722" w:rsidP="00E27722">
            <w:pPr>
              <w:spacing w:before="0" w:after="0"/>
              <w:rPr>
                <w:rFonts w:cs="Calibri Light"/>
                <w:b/>
                <w:bCs/>
                <w:color w:val="FFFFFF"/>
                <w:szCs w:val="22"/>
              </w:rPr>
            </w:pPr>
            <w:r w:rsidRPr="001D4B91">
              <w:rPr>
                <w:rFonts w:cs="Calibri Light"/>
                <w:b/>
                <w:bCs/>
                <w:color w:val="FFFFFF"/>
                <w:szCs w:val="22"/>
              </w:rPr>
              <w:t>Ongoing cost ($m)</w:t>
            </w:r>
          </w:p>
        </w:tc>
      </w:tr>
      <w:tr w:rsidR="00E27722" w:rsidRPr="00E27722" w14:paraId="177F3328" w14:textId="77777777" w:rsidTr="00970C91">
        <w:trPr>
          <w:trHeight w:val="20"/>
          <w:jc w:val="center"/>
        </w:trPr>
        <w:tc>
          <w:tcPr>
            <w:tcW w:w="2117" w:type="dxa"/>
            <w:tcBorders>
              <w:top w:val="single" w:sz="4" w:space="0" w:color="auto"/>
              <w:left w:val="single" w:sz="4" w:space="0" w:color="auto"/>
              <w:bottom w:val="single" w:sz="4" w:space="0" w:color="auto"/>
              <w:right w:val="single" w:sz="4" w:space="0" w:color="auto"/>
            </w:tcBorders>
            <w:shd w:val="clear" w:color="000000" w:fill="CDD5E1"/>
            <w:vAlign w:val="center"/>
            <w:hideMark/>
          </w:tcPr>
          <w:p w14:paraId="6D86FE7D" w14:textId="77777777" w:rsidR="00E27722" w:rsidRPr="001D4B91" w:rsidRDefault="00E27722" w:rsidP="00E27722">
            <w:pPr>
              <w:spacing w:before="0" w:after="0"/>
              <w:rPr>
                <w:rFonts w:cs="Calibri Light"/>
                <w:b/>
                <w:bCs/>
                <w:color w:val="262626"/>
                <w:szCs w:val="22"/>
              </w:rPr>
            </w:pPr>
            <w:r w:rsidRPr="001D4B91">
              <w:rPr>
                <w:rFonts w:cs="Calibri Light"/>
                <w:b/>
                <w:bCs/>
                <w:color w:val="262626"/>
                <w:szCs w:val="22"/>
              </w:rPr>
              <w:t>Familiarisation and education costs</w:t>
            </w:r>
          </w:p>
        </w:tc>
        <w:tc>
          <w:tcPr>
            <w:tcW w:w="1275" w:type="dxa"/>
            <w:tcBorders>
              <w:top w:val="single" w:sz="4" w:space="0" w:color="auto"/>
              <w:left w:val="nil"/>
              <w:bottom w:val="single" w:sz="4" w:space="0" w:color="auto"/>
              <w:right w:val="single" w:sz="4" w:space="0" w:color="auto"/>
            </w:tcBorders>
            <w:shd w:val="clear" w:color="000000" w:fill="CDD5E1"/>
            <w:vAlign w:val="center"/>
            <w:hideMark/>
          </w:tcPr>
          <w:p w14:paraId="6EDDEE47"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85.26</w:t>
            </w:r>
          </w:p>
        </w:tc>
        <w:tc>
          <w:tcPr>
            <w:tcW w:w="1134" w:type="dxa"/>
            <w:tcBorders>
              <w:top w:val="single" w:sz="4" w:space="0" w:color="auto"/>
              <w:left w:val="nil"/>
              <w:bottom w:val="single" w:sz="4" w:space="0" w:color="auto"/>
              <w:right w:val="single" w:sz="4" w:space="0" w:color="auto"/>
            </w:tcBorders>
            <w:shd w:val="clear" w:color="000000" w:fill="CDD5E1"/>
            <w:vAlign w:val="center"/>
            <w:hideMark/>
          </w:tcPr>
          <w:p w14:paraId="530B1726"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0.00</w:t>
            </w:r>
          </w:p>
        </w:tc>
        <w:tc>
          <w:tcPr>
            <w:tcW w:w="1418" w:type="dxa"/>
            <w:tcBorders>
              <w:top w:val="single" w:sz="4" w:space="0" w:color="auto"/>
              <w:left w:val="nil"/>
              <w:bottom w:val="single" w:sz="4" w:space="0" w:color="auto"/>
              <w:right w:val="single" w:sz="4" w:space="0" w:color="auto"/>
            </w:tcBorders>
            <w:shd w:val="clear" w:color="000000" w:fill="CDD5E1"/>
            <w:vAlign w:val="center"/>
            <w:hideMark/>
          </w:tcPr>
          <w:p w14:paraId="6B83E24C" w14:textId="22701F7F" w:rsidR="00E27722" w:rsidRPr="001D4B91" w:rsidRDefault="00AE4C6A" w:rsidP="00E27722">
            <w:pPr>
              <w:spacing w:before="0" w:after="0"/>
              <w:jc w:val="right"/>
              <w:rPr>
                <w:rFonts w:cs="Calibri Light"/>
                <w:color w:val="262626"/>
                <w:szCs w:val="22"/>
              </w:rPr>
            </w:pPr>
            <w:r w:rsidRPr="00970C91">
              <w:rPr>
                <w:rFonts w:cs="Calibri Light"/>
                <w:color w:val="262626"/>
                <w:szCs w:val="22"/>
              </w:rPr>
              <w:t>70.64</w:t>
            </w:r>
          </w:p>
        </w:tc>
        <w:tc>
          <w:tcPr>
            <w:tcW w:w="1134" w:type="dxa"/>
            <w:tcBorders>
              <w:top w:val="single" w:sz="4" w:space="0" w:color="auto"/>
              <w:left w:val="nil"/>
              <w:bottom w:val="single" w:sz="4" w:space="0" w:color="auto"/>
              <w:right w:val="single" w:sz="4" w:space="0" w:color="auto"/>
            </w:tcBorders>
            <w:shd w:val="clear" w:color="000000" w:fill="CDD5E1"/>
            <w:vAlign w:val="center"/>
            <w:hideMark/>
          </w:tcPr>
          <w:p w14:paraId="3D8D611D"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0.00</w:t>
            </w:r>
          </w:p>
        </w:tc>
        <w:tc>
          <w:tcPr>
            <w:tcW w:w="1276" w:type="dxa"/>
            <w:tcBorders>
              <w:top w:val="single" w:sz="4" w:space="0" w:color="auto"/>
              <w:left w:val="nil"/>
              <w:bottom w:val="single" w:sz="4" w:space="0" w:color="auto"/>
              <w:right w:val="single" w:sz="4" w:space="0" w:color="auto"/>
            </w:tcBorders>
            <w:shd w:val="clear" w:color="000000" w:fill="CDD5E1"/>
            <w:vAlign w:val="center"/>
            <w:hideMark/>
          </w:tcPr>
          <w:p w14:paraId="73D377C3"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29.64</w:t>
            </w:r>
          </w:p>
        </w:tc>
        <w:tc>
          <w:tcPr>
            <w:tcW w:w="1275" w:type="dxa"/>
            <w:tcBorders>
              <w:top w:val="single" w:sz="4" w:space="0" w:color="auto"/>
              <w:left w:val="nil"/>
              <w:bottom w:val="single" w:sz="4" w:space="0" w:color="auto"/>
              <w:right w:val="single" w:sz="4" w:space="0" w:color="auto"/>
            </w:tcBorders>
            <w:shd w:val="clear" w:color="000000" w:fill="CDD5E1"/>
            <w:vAlign w:val="center"/>
            <w:hideMark/>
          </w:tcPr>
          <w:p w14:paraId="12A67911"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0.00</w:t>
            </w:r>
          </w:p>
        </w:tc>
      </w:tr>
      <w:tr w:rsidR="00DA66F2" w:rsidRPr="00E27722" w14:paraId="2944D57F" w14:textId="77777777" w:rsidTr="00970C91">
        <w:trPr>
          <w:trHeight w:val="20"/>
          <w:jc w:val="center"/>
        </w:trPr>
        <w:tc>
          <w:tcPr>
            <w:tcW w:w="2117" w:type="dxa"/>
            <w:tcBorders>
              <w:top w:val="nil"/>
              <w:left w:val="single" w:sz="4" w:space="0" w:color="auto"/>
              <w:bottom w:val="single" w:sz="4" w:space="0" w:color="auto"/>
              <w:right w:val="single" w:sz="4" w:space="0" w:color="auto"/>
            </w:tcBorders>
            <w:shd w:val="clear" w:color="auto" w:fill="auto"/>
            <w:vAlign w:val="center"/>
            <w:hideMark/>
          </w:tcPr>
          <w:p w14:paraId="05DA3EEE" w14:textId="77777777" w:rsidR="00E27722" w:rsidRPr="001D4B91" w:rsidRDefault="00E27722" w:rsidP="00E27722">
            <w:pPr>
              <w:spacing w:before="0" w:after="0"/>
              <w:rPr>
                <w:rFonts w:cs="Calibri Light"/>
                <w:b/>
                <w:bCs/>
                <w:color w:val="262626"/>
                <w:szCs w:val="22"/>
              </w:rPr>
            </w:pPr>
            <w:r w:rsidRPr="001D4B91">
              <w:rPr>
                <w:rFonts w:cs="Calibri Light"/>
                <w:b/>
                <w:bCs/>
                <w:color w:val="262626"/>
                <w:szCs w:val="22"/>
              </w:rPr>
              <w:t>Legal review</w:t>
            </w:r>
          </w:p>
        </w:tc>
        <w:tc>
          <w:tcPr>
            <w:tcW w:w="1275" w:type="dxa"/>
            <w:tcBorders>
              <w:top w:val="nil"/>
              <w:left w:val="nil"/>
              <w:bottom w:val="single" w:sz="4" w:space="0" w:color="auto"/>
              <w:right w:val="single" w:sz="4" w:space="0" w:color="auto"/>
            </w:tcBorders>
            <w:shd w:val="clear" w:color="auto" w:fill="auto"/>
            <w:vAlign w:val="center"/>
            <w:hideMark/>
          </w:tcPr>
          <w:p w14:paraId="20ACE92F"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7.63</w:t>
            </w:r>
          </w:p>
        </w:tc>
        <w:tc>
          <w:tcPr>
            <w:tcW w:w="1134" w:type="dxa"/>
            <w:tcBorders>
              <w:top w:val="nil"/>
              <w:left w:val="nil"/>
              <w:bottom w:val="single" w:sz="4" w:space="0" w:color="auto"/>
              <w:right w:val="single" w:sz="4" w:space="0" w:color="auto"/>
            </w:tcBorders>
            <w:shd w:val="clear" w:color="auto" w:fill="auto"/>
            <w:vAlign w:val="center"/>
            <w:hideMark/>
          </w:tcPr>
          <w:p w14:paraId="247A76CF" w14:textId="2BF734E1" w:rsidR="00E27722" w:rsidRPr="001D4B91" w:rsidRDefault="00E27722" w:rsidP="00E27722">
            <w:pPr>
              <w:spacing w:before="0" w:after="0"/>
              <w:jc w:val="right"/>
              <w:rPr>
                <w:rFonts w:cs="Calibri Light"/>
                <w:color w:val="262626"/>
                <w:szCs w:val="22"/>
              </w:rPr>
            </w:pPr>
            <w:r w:rsidRPr="001D4B91">
              <w:rPr>
                <w:rFonts w:cs="Calibri Light"/>
                <w:color w:val="262626"/>
                <w:szCs w:val="22"/>
              </w:rPr>
              <w:t>5.</w:t>
            </w:r>
            <w:r w:rsidR="005E3A38" w:rsidRPr="001D4B91">
              <w:rPr>
                <w:rFonts w:cs="Calibri Light"/>
                <w:color w:val="262626"/>
                <w:szCs w:val="22"/>
              </w:rPr>
              <w:t>7</w:t>
            </w:r>
            <w:r w:rsidR="005E3A38">
              <w:rPr>
                <w:rFonts w:cs="Calibri Light"/>
                <w:color w:val="262626"/>
                <w:szCs w:val="22"/>
              </w:rPr>
              <w:t>3</w:t>
            </w:r>
          </w:p>
        </w:tc>
        <w:tc>
          <w:tcPr>
            <w:tcW w:w="1418" w:type="dxa"/>
            <w:tcBorders>
              <w:top w:val="nil"/>
              <w:left w:val="nil"/>
              <w:bottom w:val="single" w:sz="4" w:space="0" w:color="auto"/>
              <w:right w:val="single" w:sz="4" w:space="0" w:color="auto"/>
            </w:tcBorders>
            <w:shd w:val="clear" w:color="auto" w:fill="auto"/>
            <w:vAlign w:val="center"/>
            <w:hideMark/>
          </w:tcPr>
          <w:p w14:paraId="092CA8A9" w14:textId="29DDDB7C" w:rsidR="00E27722" w:rsidRPr="001D4B91" w:rsidRDefault="00E27722" w:rsidP="00E27722">
            <w:pPr>
              <w:spacing w:before="0" w:after="0"/>
              <w:jc w:val="right"/>
              <w:rPr>
                <w:rFonts w:cs="Calibri Light"/>
                <w:color w:val="262626"/>
                <w:szCs w:val="22"/>
              </w:rPr>
            </w:pPr>
            <w:r w:rsidRPr="00970C91">
              <w:rPr>
                <w:rFonts w:cs="Calibri Light"/>
                <w:color w:val="000000"/>
                <w:szCs w:val="22"/>
              </w:rPr>
              <w:t>6.</w:t>
            </w:r>
            <w:r w:rsidR="005E3A38" w:rsidRPr="00970C91">
              <w:rPr>
                <w:rFonts w:cs="Calibri Light"/>
                <w:color w:val="000000"/>
                <w:szCs w:val="22"/>
              </w:rPr>
              <w:t>33</w:t>
            </w:r>
          </w:p>
        </w:tc>
        <w:tc>
          <w:tcPr>
            <w:tcW w:w="1134" w:type="dxa"/>
            <w:tcBorders>
              <w:top w:val="nil"/>
              <w:left w:val="nil"/>
              <w:bottom w:val="single" w:sz="4" w:space="0" w:color="auto"/>
              <w:right w:val="single" w:sz="4" w:space="0" w:color="auto"/>
            </w:tcBorders>
            <w:shd w:val="clear" w:color="auto" w:fill="auto"/>
            <w:vAlign w:val="center"/>
            <w:hideMark/>
          </w:tcPr>
          <w:p w14:paraId="114F1D7C" w14:textId="02967671" w:rsidR="00E27722" w:rsidRPr="001D4B91" w:rsidRDefault="005E3A38" w:rsidP="00E27722">
            <w:pPr>
              <w:spacing w:before="0" w:after="0"/>
              <w:jc w:val="right"/>
              <w:rPr>
                <w:rFonts w:cs="Calibri Light"/>
                <w:color w:val="262626"/>
                <w:szCs w:val="22"/>
              </w:rPr>
            </w:pPr>
            <w:r w:rsidRPr="00970C91">
              <w:rPr>
                <w:rFonts w:cs="Calibri Light"/>
                <w:color w:val="000000"/>
                <w:szCs w:val="22"/>
              </w:rPr>
              <w:t>5.9</w:t>
            </w:r>
            <w:r w:rsidR="00970C91">
              <w:rPr>
                <w:rFonts w:cs="Calibri Light"/>
                <w:color w:val="000000"/>
                <w:szCs w:val="22"/>
              </w:rPr>
              <w:t>3</w:t>
            </w:r>
          </w:p>
        </w:tc>
        <w:tc>
          <w:tcPr>
            <w:tcW w:w="1276" w:type="dxa"/>
            <w:tcBorders>
              <w:top w:val="nil"/>
              <w:left w:val="nil"/>
              <w:bottom w:val="single" w:sz="4" w:space="0" w:color="auto"/>
              <w:right w:val="single" w:sz="4" w:space="0" w:color="auto"/>
            </w:tcBorders>
            <w:shd w:val="clear" w:color="auto" w:fill="auto"/>
            <w:vAlign w:val="center"/>
            <w:hideMark/>
          </w:tcPr>
          <w:p w14:paraId="232AD978"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2.65</w:t>
            </w:r>
          </w:p>
        </w:tc>
        <w:tc>
          <w:tcPr>
            <w:tcW w:w="1275" w:type="dxa"/>
            <w:tcBorders>
              <w:top w:val="nil"/>
              <w:left w:val="nil"/>
              <w:bottom w:val="single" w:sz="4" w:space="0" w:color="auto"/>
              <w:right w:val="single" w:sz="4" w:space="0" w:color="auto"/>
            </w:tcBorders>
            <w:shd w:val="clear" w:color="auto" w:fill="auto"/>
            <w:vAlign w:val="center"/>
            <w:hideMark/>
          </w:tcPr>
          <w:p w14:paraId="3DE585A5"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1.99</w:t>
            </w:r>
          </w:p>
        </w:tc>
      </w:tr>
      <w:tr w:rsidR="00E27722" w:rsidRPr="00E27722" w14:paraId="37751B3B" w14:textId="77777777" w:rsidTr="00970C91">
        <w:trPr>
          <w:trHeight w:val="20"/>
          <w:jc w:val="center"/>
        </w:trPr>
        <w:tc>
          <w:tcPr>
            <w:tcW w:w="2117" w:type="dxa"/>
            <w:tcBorders>
              <w:top w:val="nil"/>
              <w:left w:val="single" w:sz="4" w:space="0" w:color="auto"/>
              <w:bottom w:val="single" w:sz="4" w:space="0" w:color="auto"/>
              <w:right w:val="single" w:sz="4" w:space="0" w:color="auto"/>
            </w:tcBorders>
            <w:shd w:val="clear" w:color="000000" w:fill="CDD5E1"/>
            <w:vAlign w:val="center"/>
            <w:hideMark/>
          </w:tcPr>
          <w:p w14:paraId="50BF38B6" w14:textId="77777777" w:rsidR="00E27722" w:rsidRPr="001D4B91" w:rsidRDefault="00E27722" w:rsidP="00E27722">
            <w:pPr>
              <w:spacing w:before="0" w:after="0"/>
              <w:rPr>
                <w:rFonts w:cs="Calibri Light"/>
                <w:b/>
                <w:bCs/>
                <w:color w:val="262626"/>
                <w:szCs w:val="22"/>
              </w:rPr>
            </w:pPr>
            <w:r w:rsidRPr="001D4B91">
              <w:rPr>
                <w:rFonts w:cs="Calibri Light"/>
                <w:b/>
                <w:bCs/>
                <w:color w:val="262626"/>
                <w:szCs w:val="22"/>
              </w:rPr>
              <w:t>Systems changes</w:t>
            </w:r>
          </w:p>
        </w:tc>
        <w:tc>
          <w:tcPr>
            <w:tcW w:w="1275" w:type="dxa"/>
            <w:tcBorders>
              <w:top w:val="nil"/>
              <w:left w:val="nil"/>
              <w:bottom w:val="single" w:sz="4" w:space="0" w:color="auto"/>
              <w:right w:val="single" w:sz="4" w:space="0" w:color="auto"/>
            </w:tcBorders>
            <w:shd w:val="clear" w:color="000000" w:fill="CDD5E1"/>
            <w:vAlign w:val="center"/>
            <w:hideMark/>
          </w:tcPr>
          <w:p w14:paraId="52EF7435"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178.61</w:t>
            </w:r>
          </w:p>
        </w:tc>
        <w:tc>
          <w:tcPr>
            <w:tcW w:w="1134" w:type="dxa"/>
            <w:tcBorders>
              <w:top w:val="nil"/>
              <w:left w:val="nil"/>
              <w:bottom w:val="single" w:sz="4" w:space="0" w:color="auto"/>
              <w:right w:val="single" w:sz="4" w:space="0" w:color="auto"/>
            </w:tcBorders>
            <w:shd w:val="clear" w:color="000000" w:fill="CDD5E1"/>
            <w:vAlign w:val="center"/>
            <w:hideMark/>
          </w:tcPr>
          <w:p w14:paraId="474A0A24"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0.00</w:t>
            </w:r>
          </w:p>
        </w:tc>
        <w:tc>
          <w:tcPr>
            <w:tcW w:w="1418" w:type="dxa"/>
            <w:tcBorders>
              <w:top w:val="nil"/>
              <w:left w:val="nil"/>
              <w:bottom w:val="single" w:sz="4" w:space="0" w:color="auto"/>
              <w:right w:val="single" w:sz="4" w:space="0" w:color="auto"/>
            </w:tcBorders>
            <w:shd w:val="clear" w:color="000000" w:fill="CDD5E1"/>
            <w:vAlign w:val="center"/>
            <w:hideMark/>
          </w:tcPr>
          <w:p w14:paraId="7E73EEB3" w14:textId="49CDC194" w:rsidR="00E27722" w:rsidRPr="001D4B91" w:rsidRDefault="005E3A38" w:rsidP="00E27722">
            <w:pPr>
              <w:spacing w:before="0" w:after="0"/>
              <w:jc w:val="right"/>
              <w:rPr>
                <w:rFonts w:cs="Calibri Light"/>
                <w:color w:val="262626"/>
                <w:szCs w:val="22"/>
              </w:rPr>
            </w:pPr>
            <w:r w:rsidRPr="00970C91">
              <w:rPr>
                <w:rFonts w:cs="Calibri Light"/>
                <w:color w:val="000000"/>
                <w:szCs w:val="22"/>
              </w:rPr>
              <w:t>147.98</w:t>
            </w:r>
          </w:p>
        </w:tc>
        <w:tc>
          <w:tcPr>
            <w:tcW w:w="1134" w:type="dxa"/>
            <w:tcBorders>
              <w:top w:val="nil"/>
              <w:left w:val="nil"/>
              <w:bottom w:val="single" w:sz="4" w:space="0" w:color="auto"/>
              <w:right w:val="single" w:sz="4" w:space="0" w:color="auto"/>
            </w:tcBorders>
            <w:shd w:val="clear" w:color="000000" w:fill="CDD5E1"/>
            <w:vAlign w:val="center"/>
            <w:hideMark/>
          </w:tcPr>
          <w:p w14:paraId="4099513F" w14:textId="4F88EAD5" w:rsidR="00E27722" w:rsidRPr="001D4B91" w:rsidRDefault="00E27722" w:rsidP="00E27722">
            <w:pPr>
              <w:spacing w:before="0" w:after="0"/>
              <w:jc w:val="right"/>
              <w:rPr>
                <w:rFonts w:cs="Calibri Light"/>
                <w:color w:val="262626"/>
                <w:szCs w:val="22"/>
              </w:rPr>
            </w:pPr>
            <w:r w:rsidRPr="001D4B91">
              <w:rPr>
                <w:rFonts w:cs="Calibri Light"/>
                <w:color w:val="262626"/>
                <w:szCs w:val="22"/>
              </w:rPr>
              <w:t>0</w:t>
            </w:r>
          </w:p>
        </w:tc>
        <w:tc>
          <w:tcPr>
            <w:tcW w:w="1276" w:type="dxa"/>
            <w:tcBorders>
              <w:top w:val="nil"/>
              <w:left w:val="nil"/>
              <w:bottom w:val="single" w:sz="4" w:space="0" w:color="auto"/>
              <w:right w:val="single" w:sz="4" w:space="0" w:color="auto"/>
            </w:tcBorders>
            <w:shd w:val="clear" w:color="000000" w:fill="CDD5E1"/>
            <w:vAlign w:val="center"/>
            <w:hideMark/>
          </w:tcPr>
          <w:p w14:paraId="54CEC06B"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62.08</w:t>
            </w:r>
          </w:p>
        </w:tc>
        <w:tc>
          <w:tcPr>
            <w:tcW w:w="1275" w:type="dxa"/>
            <w:tcBorders>
              <w:top w:val="nil"/>
              <w:left w:val="nil"/>
              <w:bottom w:val="single" w:sz="4" w:space="0" w:color="auto"/>
              <w:right w:val="single" w:sz="4" w:space="0" w:color="auto"/>
            </w:tcBorders>
            <w:shd w:val="clear" w:color="000000" w:fill="CDD5E1"/>
            <w:vAlign w:val="center"/>
            <w:hideMark/>
          </w:tcPr>
          <w:p w14:paraId="1AB89D3E"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0.00</w:t>
            </w:r>
          </w:p>
        </w:tc>
      </w:tr>
      <w:tr w:rsidR="00DA66F2" w:rsidRPr="00E27722" w14:paraId="2D8688D7" w14:textId="77777777" w:rsidTr="00970C91">
        <w:trPr>
          <w:trHeight w:val="20"/>
          <w:jc w:val="center"/>
        </w:trPr>
        <w:tc>
          <w:tcPr>
            <w:tcW w:w="2117" w:type="dxa"/>
            <w:tcBorders>
              <w:top w:val="nil"/>
              <w:left w:val="single" w:sz="4" w:space="0" w:color="auto"/>
              <w:bottom w:val="single" w:sz="4" w:space="0" w:color="auto"/>
              <w:right w:val="single" w:sz="4" w:space="0" w:color="auto"/>
            </w:tcBorders>
            <w:shd w:val="clear" w:color="auto" w:fill="auto"/>
            <w:vAlign w:val="center"/>
            <w:hideMark/>
          </w:tcPr>
          <w:p w14:paraId="22A279C2" w14:textId="77777777" w:rsidR="00E27722" w:rsidRPr="001D4B91" w:rsidRDefault="00E27722" w:rsidP="00E27722">
            <w:pPr>
              <w:spacing w:before="0" w:after="0"/>
              <w:rPr>
                <w:rFonts w:cs="Calibri Light"/>
                <w:b/>
                <w:bCs/>
                <w:color w:val="262626"/>
                <w:szCs w:val="22"/>
              </w:rPr>
            </w:pPr>
            <w:r w:rsidRPr="001D4B91">
              <w:rPr>
                <w:rFonts w:cs="Calibri Light"/>
                <w:b/>
                <w:bCs/>
                <w:color w:val="262626"/>
                <w:szCs w:val="22"/>
              </w:rPr>
              <w:t>Data collection</w:t>
            </w:r>
          </w:p>
        </w:tc>
        <w:tc>
          <w:tcPr>
            <w:tcW w:w="1275" w:type="dxa"/>
            <w:tcBorders>
              <w:top w:val="nil"/>
              <w:left w:val="nil"/>
              <w:bottom w:val="single" w:sz="4" w:space="0" w:color="auto"/>
              <w:right w:val="single" w:sz="4" w:space="0" w:color="auto"/>
            </w:tcBorders>
            <w:shd w:val="clear" w:color="auto" w:fill="auto"/>
            <w:vAlign w:val="center"/>
            <w:hideMark/>
          </w:tcPr>
          <w:p w14:paraId="4E25BA5A"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178.61</w:t>
            </w:r>
          </w:p>
        </w:tc>
        <w:tc>
          <w:tcPr>
            <w:tcW w:w="1134" w:type="dxa"/>
            <w:tcBorders>
              <w:top w:val="nil"/>
              <w:left w:val="nil"/>
              <w:bottom w:val="single" w:sz="4" w:space="0" w:color="auto"/>
              <w:right w:val="single" w:sz="4" w:space="0" w:color="auto"/>
            </w:tcBorders>
            <w:shd w:val="clear" w:color="auto" w:fill="auto"/>
            <w:vAlign w:val="center"/>
            <w:hideMark/>
          </w:tcPr>
          <w:p w14:paraId="186AF55A"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179.50</w:t>
            </w:r>
          </w:p>
        </w:tc>
        <w:tc>
          <w:tcPr>
            <w:tcW w:w="1418" w:type="dxa"/>
            <w:tcBorders>
              <w:top w:val="nil"/>
              <w:left w:val="nil"/>
              <w:bottom w:val="single" w:sz="4" w:space="0" w:color="auto"/>
              <w:right w:val="single" w:sz="4" w:space="0" w:color="auto"/>
            </w:tcBorders>
            <w:shd w:val="clear" w:color="auto" w:fill="auto"/>
            <w:vAlign w:val="center"/>
            <w:hideMark/>
          </w:tcPr>
          <w:p w14:paraId="5A532B53" w14:textId="15DF26E4" w:rsidR="00E27722" w:rsidRPr="001D4B91" w:rsidRDefault="005E3A38" w:rsidP="00E27722">
            <w:pPr>
              <w:spacing w:before="0" w:after="0"/>
              <w:jc w:val="right"/>
              <w:rPr>
                <w:rFonts w:cs="Calibri Light"/>
                <w:color w:val="262626"/>
                <w:szCs w:val="22"/>
              </w:rPr>
            </w:pPr>
            <w:r w:rsidRPr="00970C91">
              <w:rPr>
                <w:rFonts w:cs="Calibri Light"/>
                <w:color w:val="000000"/>
                <w:szCs w:val="22"/>
              </w:rPr>
              <w:t>147.98</w:t>
            </w:r>
          </w:p>
        </w:tc>
        <w:tc>
          <w:tcPr>
            <w:tcW w:w="1134" w:type="dxa"/>
            <w:tcBorders>
              <w:top w:val="nil"/>
              <w:left w:val="nil"/>
              <w:bottom w:val="single" w:sz="4" w:space="0" w:color="auto"/>
              <w:right w:val="single" w:sz="4" w:space="0" w:color="auto"/>
            </w:tcBorders>
            <w:shd w:val="clear" w:color="auto" w:fill="auto"/>
            <w:vAlign w:val="center"/>
            <w:hideMark/>
          </w:tcPr>
          <w:p w14:paraId="43B200BE" w14:textId="7D038132" w:rsidR="00E27722" w:rsidRPr="001D4B91" w:rsidRDefault="005E3A38" w:rsidP="00E27722">
            <w:pPr>
              <w:spacing w:before="0" w:after="0"/>
              <w:jc w:val="right"/>
              <w:rPr>
                <w:rFonts w:cs="Calibri Light"/>
                <w:color w:val="262626"/>
                <w:szCs w:val="22"/>
              </w:rPr>
            </w:pPr>
            <w:r w:rsidRPr="00970C91">
              <w:rPr>
                <w:rFonts w:cs="Calibri Light"/>
                <w:color w:val="000000"/>
                <w:szCs w:val="22"/>
              </w:rPr>
              <w:t>185.</w:t>
            </w:r>
            <w:r w:rsidR="00DA7362" w:rsidRPr="00970C91">
              <w:rPr>
                <w:rFonts w:cs="Calibri Light"/>
                <w:color w:val="000000"/>
                <w:szCs w:val="22"/>
              </w:rPr>
              <w:t>90</w:t>
            </w:r>
          </w:p>
        </w:tc>
        <w:tc>
          <w:tcPr>
            <w:tcW w:w="1276" w:type="dxa"/>
            <w:tcBorders>
              <w:top w:val="nil"/>
              <w:left w:val="nil"/>
              <w:bottom w:val="single" w:sz="4" w:space="0" w:color="auto"/>
              <w:right w:val="single" w:sz="4" w:space="0" w:color="auto"/>
            </w:tcBorders>
            <w:shd w:val="clear" w:color="auto" w:fill="auto"/>
            <w:vAlign w:val="center"/>
            <w:hideMark/>
          </w:tcPr>
          <w:p w14:paraId="1ED360F4"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62.08</w:t>
            </w:r>
          </w:p>
        </w:tc>
        <w:tc>
          <w:tcPr>
            <w:tcW w:w="1275" w:type="dxa"/>
            <w:tcBorders>
              <w:top w:val="nil"/>
              <w:left w:val="nil"/>
              <w:bottom w:val="single" w:sz="4" w:space="0" w:color="auto"/>
              <w:right w:val="single" w:sz="4" w:space="0" w:color="auto"/>
            </w:tcBorders>
            <w:shd w:val="clear" w:color="auto" w:fill="auto"/>
            <w:vAlign w:val="center"/>
            <w:hideMark/>
          </w:tcPr>
          <w:p w14:paraId="2E3B21A5"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62.39</w:t>
            </w:r>
          </w:p>
        </w:tc>
      </w:tr>
      <w:tr w:rsidR="00E27722" w:rsidRPr="00E27722" w14:paraId="10E56BA4" w14:textId="77777777" w:rsidTr="00970C91">
        <w:trPr>
          <w:trHeight w:val="20"/>
          <w:jc w:val="center"/>
        </w:trPr>
        <w:tc>
          <w:tcPr>
            <w:tcW w:w="2117" w:type="dxa"/>
            <w:tcBorders>
              <w:top w:val="nil"/>
              <w:left w:val="single" w:sz="4" w:space="0" w:color="auto"/>
              <w:bottom w:val="single" w:sz="4" w:space="0" w:color="auto"/>
              <w:right w:val="single" w:sz="4" w:space="0" w:color="auto"/>
            </w:tcBorders>
            <w:shd w:val="clear" w:color="000000" w:fill="CDD5E1"/>
            <w:vAlign w:val="center"/>
            <w:hideMark/>
          </w:tcPr>
          <w:p w14:paraId="1D3C680A" w14:textId="77777777" w:rsidR="00E27722" w:rsidRPr="001D4B91" w:rsidRDefault="00E27722" w:rsidP="00E27722">
            <w:pPr>
              <w:spacing w:before="0" w:after="0"/>
              <w:rPr>
                <w:rFonts w:cs="Calibri Light"/>
                <w:b/>
                <w:bCs/>
                <w:color w:val="262626"/>
                <w:szCs w:val="22"/>
              </w:rPr>
            </w:pPr>
            <w:r w:rsidRPr="001D4B91">
              <w:rPr>
                <w:rFonts w:cs="Calibri Light"/>
                <w:b/>
                <w:bCs/>
                <w:color w:val="262626"/>
                <w:szCs w:val="22"/>
              </w:rPr>
              <w:t>Scenario analysis</w:t>
            </w:r>
          </w:p>
        </w:tc>
        <w:tc>
          <w:tcPr>
            <w:tcW w:w="1275" w:type="dxa"/>
            <w:tcBorders>
              <w:top w:val="nil"/>
              <w:left w:val="nil"/>
              <w:bottom w:val="single" w:sz="4" w:space="0" w:color="auto"/>
              <w:right w:val="single" w:sz="4" w:space="0" w:color="auto"/>
            </w:tcBorders>
            <w:shd w:val="clear" w:color="000000" w:fill="CDD5E1"/>
            <w:vAlign w:val="center"/>
            <w:hideMark/>
          </w:tcPr>
          <w:p w14:paraId="3170097F"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178.61</w:t>
            </w:r>
          </w:p>
        </w:tc>
        <w:tc>
          <w:tcPr>
            <w:tcW w:w="1134" w:type="dxa"/>
            <w:tcBorders>
              <w:top w:val="nil"/>
              <w:left w:val="nil"/>
              <w:bottom w:val="single" w:sz="4" w:space="0" w:color="auto"/>
              <w:right w:val="single" w:sz="4" w:space="0" w:color="auto"/>
            </w:tcBorders>
            <w:shd w:val="clear" w:color="000000" w:fill="CDD5E1"/>
            <w:vAlign w:val="center"/>
            <w:hideMark/>
          </w:tcPr>
          <w:p w14:paraId="32291A04"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119.67</w:t>
            </w:r>
          </w:p>
        </w:tc>
        <w:tc>
          <w:tcPr>
            <w:tcW w:w="1418" w:type="dxa"/>
            <w:tcBorders>
              <w:top w:val="nil"/>
              <w:left w:val="nil"/>
              <w:bottom w:val="single" w:sz="4" w:space="0" w:color="auto"/>
              <w:right w:val="single" w:sz="4" w:space="0" w:color="auto"/>
            </w:tcBorders>
            <w:shd w:val="clear" w:color="000000" w:fill="CDD5E1"/>
            <w:vAlign w:val="center"/>
            <w:hideMark/>
          </w:tcPr>
          <w:p w14:paraId="6DD7CCDD" w14:textId="69D72763" w:rsidR="00E27722" w:rsidRPr="001D4B91" w:rsidRDefault="005E3A38" w:rsidP="00E27722">
            <w:pPr>
              <w:spacing w:before="0" w:after="0"/>
              <w:jc w:val="right"/>
              <w:rPr>
                <w:rFonts w:cs="Calibri Light"/>
                <w:color w:val="262626"/>
                <w:szCs w:val="22"/>
              </w:rPr>
            </w:pPr>
            <w:r w:rsidRPr="00970C91">
              <w:rPr>
                <w:rFonts w:cs="Calibri Light"/>
                <w:color w:val="000000"/>
                <w:szCs w:val="22"/>
              </w:rPr>
              <w:t>147.98</w:t>
            </w:r>
          </w:p>
        </w:tc>
        <w:tc>
          <w:tcPr>
            <w:tcW w:w="1134" w:type="dxa"/>
            <w:tcBorders>
              <w:top w:val="nil"/>
              <w:left w:val="nil"/>
              <w:bottom w:val="single" w:sz="4" w:space="0" w:color="auto"/>
              <w:right w:val="single" w:sz="4" w:space="0" w:color="auto"/>
            </w:tcBorders>
            <w:shd w:val="clear" w:color="000000" w:fill="CDD5E1"/>
            <w:vAlign w:val="center"/>
            <w:hideMark/>
          </w:tcPr>
          <w:p w14:paraId="0ADB2A15" w14:textId="2B945CE9" w:rsidR="00E27722" w:rsidRPr="001D4B91" w:rsidRDefault="005E3A38" w:rsidP="00E27722">
            <w:pPr>
              <w:spacing w:before="0" w:after="0"/>
              <w:jc w:val="right"/>
              <w:rPr>
                <w:rFonts w:cs="Calibri Light"/>
                <w:color w:val="262626"/>
                <w:szCs w:val="22"/>
              </w:rPr>
            </w:pPr>
            <w:r w:rsidRPr="00970C91">
              <w:rPr>
                <w:rFonts w:cs="Calibri Light"/>
                <w:color w:val="000000"/>
                <w:szCs w:val="22"/>
              </w:rPr>
              <w:t>123.93</w:t>
            </w:r>
          </w:p>
        </w:tc>
        <w:tc>
          <w:tcPr>
            <w:tcW w:w="1276" w:type="dxa"/>
            <w:tcBorders>
              <w:top w:val="nil"/>
              <w:left w:val="nil"/>
              <w:bottom w:val="single" w:sz="4" w:space="0" w:color="auto"/>
              <w:right w:val="single" w:sz="4" w:space="0" w:color="auto"/>
            </w:tcBorders>
            <w:shd w:val="clear" w:color="000000" w:fill="CDD5E1"/>
            <w:vAlign w:val="center"/>
            <w:hideMark/>
          </w:tcPr>
          <w:p w14:paraId="14EA1B68"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62.08</w:t>
            </w:r>
          </w:p>
        </w:tc>
        <w:tc>
          <w:tcPr>
            <w:tcW w:w="1275" w:type="dxa"/>
            <w:tcBorders>
              <w:top w:val="nil"/>
              <w:left w:val="nil"/>
              <w:bottom w:val="single" w:sz="4" w:space="0" w:color="auto"/>
              <w:right w:val="single" w:sz="4" w:space="0" w:color="auto"/>
            </w:tcBorders>
            <w:shd w:val="clear" w:color="000000" w:fill="CDD5E1"/>
            <w:vAlign w:val="center"/>
            <w:hideMark/>
          </w:tcPr>
          <w:p w14:paraId="742A2BF6"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41.60</w:t>
            </w:r>
          </w:p>
        </w:tc>
      </w:tr>
      <w:tr w:rsidR="00DA66F2" w:rsidRPr="00E27722" w14:paraId="6D7BAC52" w14:textId="77777777" w:rsidTr="00970C91">
        <w:trPr>
          <w:trHeight w:val="20"/>
          <w:jc w:val="center"/>
        </w:trPr>
        <w:tc>
          <w:tcPr>
            <w:tcW w:w="2117" w:type="dxa"/>
            <w:tcBorders>
              <w:top w:val="nil"/>
              <w:left w:val="single" w:sz="4" w:space="0" w:color="auto"/>
              <w:bottom w:val="single" w:sz="4" w:space="0" w:color="auto"/>
              <w:right w:val="single" w:sz="4" w:space="0" w:color="auto"/>
            </w:tcBorders>
            <w:shd w:val="clear" w:color="auto" w:fill="auto"/>
            <w:vAlign w:val="center"/>
            <w:hideMark/>
          </w:tcPr>
          <w:p w14:paraId="4C5F1C03" w14:textId="77777777" w:rsidR="00E27722" w:rsidRPr="001D4B91" w:rsidRDefault="00E27722" w:rsidP="00E27722">
            <w:pPr>
              <w:spacing w:before="0" w:after="0"/>
              <w:rPr>
                <w:rFonts w:cs="Calibri Light"/>
                <w:b/>
                <w:bCs/>
                <w:color w:val="262626"/>
                <w:szCs w:val="22"/>
              </w:rPr>
            </w:pPr>
            <w:r w:rsidRPr="001D4B91">
              <w:rPr>
                <w:rFonts w:cs="Calibri Light"/>
                <w:b/>
                <w:bCs/>
                <w:color w:val="262626"/>
                <w:szCs w:val="22"/>
              </w:rPr>
              <w:t>Scope 3 modelling</w:t>
            </w:r>
          </w:p>
        </w:tc>
        <w:tc>
          <w:tcPr>
            <w:tcW w:w="1275" w:type="dxa"/>
            <w:tcBorders>
              <w:top w:val="nil"/>
              <w:left w:val="nil"/>
              <w:bottom w:val="single" w:sz="4" w:space="0" w:color="auto"/>
              <w:right w:val="single" w:sz="4" w:space="0" w:color="auto"/>
            </w:tcBorders>
            <w:shd w:val="clear" w:color="auto" w:fill="auto"/>
            <w:vAlign w:val="center"/>
            <w:hideMark/>
          </w:tcPr>
          <w:p w14:paraId="77C28A16"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178.61</w:t>
            </w:r>
          </w:p>
        </w:tc>
        <w:tc>
          <w:tcPr>
            <w:tcW w:w="1134" w:type="dxa"/>
            <w:tcBorders>
              <w:top w:val="nil"/>
              <w:left w:val="nil"/>
              <w:bottom w:val="single" w:sz="4" w:space="0" w:color="auto"/>
              <w:right w:val="single" w:sz="4" w:space="0" w:color="auto"/>
            </w:tcBorders>
            <w:shd w:val="clear" w:color="auto" w:fill="auto"/>
            <w:vAlign w:val="center"/>
            <w:hideMark/>
          </w:tcPr>
          <w:p w14:paraId="7D385684"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119.67</w:t>
            </w:r>
          </w:p>
        </w:tc>
        <w:tc>
          <w:tcPr>
            <w:tcW w:w="1418" w:type="dxa"/>
            <w:tcBorders>
              <w:top w:val="nil"/>
              <w:left w:val="nil"/>
              <w:bottom w:val="single" w:sz="4" w:space="0" w:color="auto"/>
              <w:right w:val="single" w:sz="4" w:space="0" w:color="auto"/>
            </w:tcBorders>
            <w:shd w:val="clear" w:color="auto" w:fill="auto"/>
            <w:vAlign w:val="center"/>
            <w:hideMark/>
          </w:tcPr>
          <w:p w14:paraId="755BEEC6" w14:textId="1C5CD1F5" w:rsidR="00E27722" w:rsidRPr="001D4B91" w:rsidRDefault="005E3A38" w:rsidP="00E27722">
            <w:pPr>
              <w:spacing w:before="0" w:after="0"/>
              <w:jc w:val="right"/>
              <w:rPr>
                <w:rFonts w:cs="Calibri Light"/>
                <w:color w:val="262626"/>
                <w:szCs w:val="22"/>
              </w:rPr>
            </w:pPr>
            <w:r w:rsidRPr="00970C91">
              <w:rPr>
                <w:rFonts w:cs="Calibri Light"/>
                <w:color w:val="000000"/>
                <w:szCs w:val="22"/>
              </w:rPr>
              <w:t>147.98</w:t>
            </w:r>
          </w:p>
        </w:tc>
        <w:tc>
          <w:tcPr>
            <w:tcW w:w="1134" w:type="dxa"/>
            <w:tcBorders>
              <w:top w:val="nil"/>
              <w:left w:val="nil"/>
              <w:bottom w:val="single" w:sz="4" w:space="0" w:color="auto"/>
              <w:right w:val="single" w:sz="4" w:space="0" w:color="auto"/>
            </w:tcBorders>
            <w:shd w:val="clear" w:color="auto" w:fill="auto"/>
            <w:vAlign w:val="center"/>
            <w:hideMark/>
          </w:tcPr>
          <w:p w14:paraId="62E426A0" w14:textId="5E6E41F8" w:rsidR="00E27722" w:rsidRPr="001D4B91" w:rsidRDefault="005E3A38" w:rsidP="00E27722">
            <w:pPr>
              <w:spacing w:before="0" w:after="0"/>
              <w:jc w:val="right"/>
              <w:rPr>
                <w:rFonts w:cs="Calibri Light"/>
                <w:color w:val="262626"/>
                <w:szCs w:val="22"/>
              </w:rPr>
            </w:pPr>
            <w:r w:rsidRPr="00970C91">
              <w:rPr>
                <w:rFonts w:cs="Calibri Light"/>
                <w:color w:val="000000"/>
                <w:szCs w:val="22"/>
              </w:rPr>
              <w:t>123.93</w:t>
            </w:r>
          </w:p>
        </w:tc>
        <w:tc>
          <w:tcPr>
            <w:tcW w:w="1276" w:type="dxa"/>
            <w:tcBorders>
              <w:top w:val="nil"/>
              <w:left w:val="nil"/>
              <w:bottom w:val="single" w:sz="4" w:space="0" w:color="auto"/>
              <w:right w:val="single" w:sz="4" w:space="0" w:color="auto"/>
            </w:tcBorders>
            <w:shd w:val="clear" w:color="auto" w:fill="auto"/>
            <w:vAlign w:val="center"/>
            <w:hideMark/>
          </w:tcPr>
          <w:p w14:paraId="65AABC56" w14:textId="3A62F560" w:rsidR="00E27722" w:rsidRPr="001D4B91" w:rsidRDefault="00E27722" w:rsidP="00E27722">
            <w:pPr>
              <w:spacing w:before="0" w:after="0"/>
              <w:jc w:val="right"/>
              <w:rPr>
                <w:rFonts w:cs="Calibri Light"/>
                <w:color w:val="262626"/>
                <w:szCs w:val="22"/>
              </w:rPr>
            </w:pPr>
            <w:r w:rsidRPr="001D4B91">
              <w:rPr>
                <w:rFonts w:cs="Calibri Light"/>
                <w:color w:val="262626"/>
                <w:szCs w:val="22"/>
              </w:rPr>
              <w:t>62.08</w:t>
            </w:r>
          </w:p>
        </w:tc>
        <w:tc>
          <w:tcPr>
            <w:tcW w:w="1275" w:type="dxa"/>
            <w:tcBorders>
              <w:top w:val="nil"/>
              <w:left w:val="nil"/>
              <w:bottom w:val="single" w:sz="4" w:space="0" w:color="auto"/>
              <w:right w:val="single" w:sz="4" w:space="0" w:color="auto"/>
            </w:tcBorders>
            <w:shd w:val="clear" w:color="auto" w:fill="auto"/>
            <w:vAlign w:val="center"/>
            <w:hideMark/>
          </w:tcPr>
          <w:p w14:paraId="620824E1"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41.60</w:t>
            </w:r>
          </w:p>
        </w:tc>
      </w:tr>
      <w:tr w:rsidR="00E27722" w:rsidRPr="00E27722" w14:paraId="299F904F" w14:textId="77777777" w:rsidTr="00970C91">
        <w:trPr>
          <w:trHeight w:val="20"/>
          <w:jc w:val="center"/>
        </w:trPr>
        <w:tc>
          <w:tcPr>
            <w:tcW w:w="2117" w:type="dxa"/>
            <w:tcBorders>
              <w:top w:val="nil"/>
              <w:left w:val="single" w:sz="4" w:space="0" w:color="auto"/>
              <w:bottom w:val="single" w:sz="4" w:space="0" w:color="auto"/>
              <w:right w:val="single" w:sz="4" w:space="0" w:color="auto"/>
            </w:tcBorders>
            <w:shd w:val="clear" w:color="000000" w:fill="CDD5E1"/>
            <w:vAlign w:val="center"/>
            <w:hideMark/>
          </w:tcPr>
          <w:p w14:paraId="3C8EA4CC" w14:textId="77777777" w:rsidR="00E27722" w:rsidRPr="001D4B91" w:rsidRDefault="00E27722" w:rsidP="00E27722">
            <w:pPr>
              <w:spacing w:before="0" w:after="0"/>
              <w:rPr>
                <w:rFonts w:cs="Calibri Light"/>
                <w:b/>
                <w:bCs/>
                <w:color w:val="262626"/>
                <w:szCs w:val="22"/>
              </w:rPr>
            </w:pPr>
            <w:r w:rsidRPr="001D4B91">
              <w:rPr>
                <w:rFonts w:cs="Calibri Light"/>
                <w:b/>
                <w:bCs/>
                <w:color w:val="262626"/>
                <w:szCs w:val="22"/>
              </w:rPr>
              <w:t>Preparation of climate report</w:t>
            </w:r>
          </w:p>
        </w:tc>
        <w:tc>
          <w:tcPr>
            <w:tcW w:w="1275" w:type="dxa"/>
            <w:tcBorders>
              <w:top w:val="nil"/>
              <w:left w:val="nil"/>
              <w:bottom w:val="single" w:sz="4" w:space="0" w:color="auto"/>
              <w:right w:val="single" w:sz="4" w:space="0" w:color="auto"/>
            </w:tcBorders>
            <w:shd w:val="clear" w:color="000000" w:fill="CDD5E1"/>
            <w:vAlign w:val="center"/>
            <w:hideMark/>
          </w:tcPr>
          <w:p w14:paraId="47550C3D"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109.06</w:t>
            </w:r>
          </w:p>
        </w:tc>
        <w:tc>
          <w:tcPr>
            <w:tcW w:w="1134" w:type="dxa"/>
            <w:tcBorders>
              <w:top w:val="nil"/>
              <w:left w:val="nil"/>
              <w:bottom w:val="single" w:sz="4" w:space="0" w:color="auto"/>
              <w:right w:val="single" w:sz="4" w:space="0" w:color="auto"/>
            </w:tcBorders>
            <w:shd w:val="clear" w:color="000000" w:fill="CDD5E1"/>
            <w:vAlign w:val="center"/>
            <w:hideMark/>
          </w:tcPr>
          <w:p w14:paraId="24C349BE"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35.69</w:t>
            </w:r>
          </w:p>
        </w:tc>
        <w:tc>
          <w:tcPr>
            <w:tcW w:w="1418" w:type="dxa"/>
            <w:tcBorders>
              <w:top w:val="nil"/>
              <w:left w:val="nil"/>
              <w:bottom w:val="single" w:sz="4" w:space="0" w:color="auto"/>
              <w:right w:val="single" w:sz="4" w:space="0" w:color="auto"/>
            </w:tcBorders>
            <w:shd w:val="clear" w:color="000000" w:fill="CDD5E1"/>
            <w:vAlign w:val="center"/>
            <w:hideMark/>
          </w:tcPr>
          <w:p w14:paraId="72F0BFBC" w14:textId="0D604B53" w:rsidR="00E27722" w:rsidRPr="001D4B91" w:rsidRDefault="00DA7362" w:rsidP="00E27722">
            <w:pPr>
              <w:spacing w:before="0" w:after="0"/>
              <w:jc w:val="right"/>
              <w:rPr>
                <w:rFonts w:cs="Calibri Light"/>
                <w:color w:val="262626"/>
                <w:szCs w:val="22"/>
              </w:rPr>
            </w:pPr>
            <w:r w:rsidRPr="00970C91">
              <w:rPr>
                <w:rFonts w:cs="Calibri Light"/>
                <w:color w:val="000000"/>
                <w:szCs w:val="22"/>
              </w:rPr>
              <w:t>90.36</w:t>
            </w:r>
          </w:p>
        </w:tc>
        <w:tc>
          <w:tcPr>
            <w:tcW w:w="1134" w:type="dxa"/>
            <w:tcBorders>
              <w:top w:val="nil"/>
              <w:left w:val="nil"/>
              <w:bottom w:val="single" w:sz="4" w:space="0" w:color="auto"/>
              <w:right w:val="single" w:sz="4" w:space="0" w:color="auto"/>
            </w:tcBorders>
            <w:shd w:val="clear" w:color="000000" w:fill="CDD5E1"/>
            <w:vAlign w:val="center"/>
            <w:hideMark/>
          </w:tcPr>
          <w:p w14:paraId="18F8749A" w14:textId="02035F87" w:rsidR="00E27722" w:rsidRPr="001D4B91" w:rsidRDefault="00DA7362" w:rsidP="00E27722">
            <w:pPr>
              <w:spacing w:before="0" w:after="0"/>
              <w:jc w:val="right"/>
              <w:rPr>
                <w:rFonts w:cs="Calibri Light"/>
                <w:color w:val="262626"/>
                <w:szCs w:val="22"/>
              </w:rPr>
            </w:pPr>
            <w:r w:rsidRPr="00970C91">
              <w:rPr>
                <w:rFonts w:cs="Calibri Light"/>
                <w:color w:val="000000"/>
                <w:szCs w:val="22"/>
              </w:rPr>
              <w:t>36.96</w:t>
            </w:r>
          </w:p>
        </w:tc>
        <w:tc>
          <w:tcPr>
            <w:tcW w:w="1276" w:type="dxa"/>
            <w:tcBorders>
              <w:top w:val="nil"/>
              <w:left w:val="nil"/>
              <w:bottom w:val="single" w:sz="4" w:space="0" w:color="auto"/>
              <w:right w:val="single" w:sz="4" w:space="0" w:color="auto"/>
            </w:tcBorders>
            <w:shd w:val="clear" w:color="000000" w:fill="CDD5E1"/>
            <w:vAlign w:val="center"/>
            <w:hideMark/>
          </w:tcPr>
          <w:p w14:paraId="0E9E019A"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37.91</w:t>
            </w:r>
          </w:p>
        </w:tc>
        <w:tc>
          <w:tcPr>
            <w:tcW w:w="1275" w:type="dxa"/>
            <w:tcBorders>
              <w:top w:val="nil"/>
              <w:left w:val="nil"/>
              <w:bottom w:val="single" w:sz="4" w:space="0" w:color="auto"/>
              <w:right w:val="single" w:sz="4" w:space="0" w:color="auto"/>
            </w:tcBorders>
            <w:shd w:val="clear" w:color="000000" w:fill="CDD5E1"/>
            <w:vAlign w:val="center"/>
            <w:hideMark/>
          </w:tcPr>
          <w:p w14:paraId="5EB039A0"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12.41</w:t>
            </w:r>
          </w:p>
        </w:tc>
      </w:tr>
      <w:tr w:rsidR="00DA66F2" w:rsidRPr="00E27722" w14:paraId="115F481B" w14:textId="77777777" w:rsidTr="00970C91">
        <w:trPr>
          <w:trHeight w:val="20"/>
          <w:jc w:val="center"/>
        </w:trPr>
        <w:tc>
          <w:tcPr>
            <w:tcW w:w="2117" w:type="dxa"/>
            <w:tcBorders>
              <w:top w:val="nil"/>
              <w:left w:val="single" w:sz="4" w:space="0" w:color="auto"/>
              <w:bottom w:val="single" w:sz="4" w:space="0" w:color="auto"/>
              <w:right w:val="single" w:sz="4" w:space="0" w:color="auto"/>
            </w:tcBorders>
            <w:shd w:val="clear" w:color="auto" w:fill="auto"/>
            <w:vAlign w:val="center"/>
            <w:hideMark/>
          </w:tcPr>
          <w:p w14:paraId="696FF0BA" w14:textId="77777777" w:rsidR="00E27722" w:rsidRPr="001D4B91" w:rsidRDefault="00E27722" w:rsidP="00E27722">
            <w:pPr>
              <w:spacing w:before="0" w:after="0"/>
              <w:rPr>
                <w:rFonts w:cs="Calibri Light"/>
                <w:b/>
                <w:bCs/>
                <w:color w:val="262626"/>
                <w:szCs w:val="22"/>
              </w:rPr>
            </w:pPr>
            <w:r w:rsidRPr="001D4B91">
              <w:rPr>
                <w:rFonts w:cs="Calibri Light"/>
                <w:b/>
                <w:bCs/>
                <w:color w:val="262626"/>
                <w:szCs w:val="22"/>
              </w:rPr>
              <w:t xml:space="preserve">Assurance </w:t>
            </w:r>
          </w:p>
        </w:tc>
        <w:tc>
          <w:tcPr>
            <w:tcW w:w="1275" w:type="dxa"/>
            <w:tcBorders>
              <w:top w:val="nil"/>
              <w:left w:val="nil"/>
              <w:bottom w:val="single" w:sz="4" w:space="0" w:color="auto"/>
              <w:right w:val="single" w:sz="4" w:space="0" w:color="auto"/>
            </w:tcBorders>
            <w:shd w:val="clear" w:color="auto" w:fill="auto"/>
            <w:vAlign w:val="center"/>
            <w:hideMark/>
          </w:tcPr>
          <w:p w14:paraId="0672FB19"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36.32</w:t>
            </w:r>
          </w:p>
        </w:tc>
        <w:tc>
          <w:tcPr>
            <w:tcW w:w="1134" w:type="dxa"/>
            <w:tcBorders>
              <w:top w:val="nil"/>
              <w:left w:val="nil"/>
              <w:bottom w:val="single" w:sz="4" w:space="0" w:color="auto"/>
              <w:right w:val="single" w:sz="4" w:space="0" w:color="auto"/>
            </w:tcBorders>
            <w:shd w:val="clear" w:color="auto" w:fill="auto"/>
            <w:vAlign w:val="center"/>
            <w:hideMark/>
          </w:tcPr>
          <w:p w14:paraId="0417944D"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60.28</w:t>
            </w:r>
          </w:p>
        </w:tc>
        <w:tc>
          <w:tcPr>
            <w:tcW w:w="1418" w:type="dxa"/>
            <w:tcBorders>
              <w:top w:val="nil"/>
              <w:left w:val="nil"/>
              <w:bottom w:val="single" w:sz="4" w:space="0" w:color="auto"/>
              <w:right w:val="single" w:sz="4" w:space="0" w:color="auto"/>
            </w:tcBorders>
            <w:shd w:val="clear" w:color="auto" w:fill="auto"/>
            <w:vAlign w:val="center"/>
            <w:hideMark/>
          </w:tcPr>
          <w:p w14:paraId="17A0F384" w14:textId="3989E225" w:rsidR="00E27722" w:rsidRPr="001D4B91" w:rsidRDefault="00DA7362" w:rsidP="00E27722">
            <w:pPr>
              <w:spacing w:before="0" w:after="0"/>
              <w:jc w:val="right"/>
              <w:rPr>
                <w:rFonts w:cs="Calibri Light"/>
                <w:color w:val="262626"/>
                <w:szCs w:val="22"/>
              </w:rPr>
            </w:pPr>
            <w:r w:rsidRPr="00970C91">
              <w:rPr>
                <w:rFonts w:cs="Calibri Light"/>
                <w:color w:val="000000"/>
                <w:szCs w:val="22"/>
              </w:rPr>
              <w:t>30.09</w:t>
            </w:r>
          </w:p>
        </w:tc>
        <w:tc>
          <w:tcPr>
            <w:tcW w:w="1134" w:type="dxa"/>
            <w:tcBorders>
              <w:top w:val="nil"/>
              <w:left w:val="nil"/>
              <w:bottom w:val="single" w:sz="4" w:space="0" w:color="auto"/>
              <w:right w:val="single" w:sz="4" w:space="0" w:color="auto"/>
            </w:tcBorders>
            <w:shd w:val="clear" w:color="auto" w:fill="auto"/>
            <w:vAlign w:val="center"/>
            <w:hideMark/>
          </w:tcPr>
          <w:p w14:paraId="14AAC282" w14:textId="558AB73E" w:rsidR="00E27722" w:rsidRPr="001D4B91" w:rsidRDefault="00DA7362" w:rsidP="00E27722">
            <w:pPr>
              <w:spacing w:before="0" w:after="0"/>
              <w:jc w:val="right"/>
              <w:rPr>
                <w:rFonts w:cs="Calibri Light"/>
                <w:color w:val="262626"/>
                <w:szCs w:val="22"/>
              </w:rPr>
            </w:pPr>
            <w:r w:rsidRPr="00970C91">
              <w:rPr>
                <w:rFonts w:cs="Calibri Light"/>
                <w:color w:val="000000"/>
                <w:szCs w:val="22"/>
              </w:rPr>
              <w:t>62.43</w:t>
            </w:r>
          </w:p>
        </w:tc>
        <w:tc>
          <w:tcPr>
            <w:tcW w:w="1276" w:type="dxa"/>
            <w:tcBorders>
              <w:top w:val="nil"/>
              <w:left w:val="nil"/>
              <w:bottom w:val="single" w:sz="4" w:space="0" w:color="auto"/>
              <w:right w:val="single" w:sz="4" w:space="0" w:color="auto"/>
            </w:tcBorders>
            <w:shd w:val="clear" w:color="auto" w:fill="auto"/>
            <w:vAlign w:val="center"/>
            <w:hideMark/>
          </w:tcPr>
          <w:p w14:paraId="75F4A780"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12.62</w:t>
            </w:r>
          </w:p>
        </w:tc>
        <w:tc>
          <w:tcPr>
            <w:tcW w:w="1275" w:type="dxa"/>
            <w:tcBorders>
              <w:top w:val="nil"/>
              <w:left w:val="nil"/>
              <w:bottom w:val="single" w:sz="4" w:space="0" w:color="auto"/>
              <w:right w:val="single" w:sz="4" w:space="0" w:color="auto"/>
            </w:tcBorders>
            <w:shd w:val="clear" w:color="auto" w:fill="auto"/>
            <w:vAlign w:val="center"/>
            <w:hideMark/>
          </w:tcPr>
          <w:p w14:paraId="45CAD522"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20.95</w:t>
            </w:r>
          </w:p>
        </w:tc>
      </w:tr>
      <w:tr w:rsidR="00E27722" w:rsidRPr="00E27722" w14:paraId="6B106817" w14:textId="77777777" w:rsidTr="00970C91">
        <w:trPr>
          <w:trHeight w:val="20"/>
          <w:jc w:val="center"/>
        </w:trPr>
        <w:tc>
          <w:tcPr>
            <w:tcW w:w="2117" w:type="dxa"/>
            <w:tcBorders>
              <w:top w:val="nil"/>
              <w:left w:val="single" w:sz="4" w:space="0" w:color="auto"/>
              <w:bottom w:val="single" w:sz="4" w:space="0" w:color="auto"/>
              <w:right w:val="single" w:sz="4" w:space="0" w:color="auto"/>
            </w:tcBorders>
            <w:shd w:val="clear" w:color="000000" w:fill="CDD5E1"/>
            <w:vAlign w:val="center"/>
            <w:hideMark/>
          </w:tcPr>
          <w:p w14:paraId="0F5DE39E" w14:textId="77777777" w:rsidR="00E27722" w:rsidRPr="001D4B91" w:rsidRDefault="00E27722" w:rsidP="00E27722">
            <w:pPr>
              <w:spacing w:before="0" w:after="0"/>
              <w:rPr>
                <w:rFonts w:cs="Calibri Light"/>
                <w:b/>
                <w:bCs/>
                <w:color w:val="262626"/>
                <w:szCs w:val="22"/>
              </w:rPr>
            </w:pPr>
            <w:r w:rsidRPr="001D4B91">
              <w:rPr>
                <w:rFonts w:cs="Calibri Light"/>
                <w:b/>
                <w:bCs/>
                <w:color w:val="262626"/>
                <w:szCs w:val="22"/>
              </w:rPr>
              <w:t>Total</w:t>
            </w:r>
          </w:p>
        </w:tc>
        <w:tc>
          <w:tcPr>
            <w:tcW w:w="1275" w:type="dxa"/>
            <w:tcBorders>
              <w:top w:val="nil"/>
              <w:left w:val="nil"/>
              <w:bottom w:val="single" w:sz="4" w:space="0" w:color="auto"/>
              <w:right w:val="single" w:sz="4" w:space="0" w:color="auto"/>
            </w:tcBorders>
            <w:shd w:val="clear" w:color="000000" w:fill="CDD5E1"/>
            <w:vAlign w:val="center"/>
            <w:hideMark/>
          </w:tcPr>
          <w:p w14:paraId="1FF1D388" w14:textId="0FFE21F6" w:rsidR="00E27722" w:rsidRPr="008556EB" w:rsidRDefault="00E27722" w:rsidP="00E27722">
            <w:pPr>
              <w:spacing w:before="0" w:after="0"/>
              <w:jc w:val="right"/>
              <w:rPr>
                <w:rFonts w:cs="Calibri Light"/>
                <w:color w:val="262626"/>
                <w:szCs w:val="22"/>
              </w:rPr>
            </w:pPr>
            <w:r w:rsidRPr="008556EB">
              <w:rPr>
                <w:rFonts w:cs="Calibri Light"/>
                <w:color w:val="262626"/>
                <w:szCs w:val="22"/>
              </w:rPr>
              <w:t>952.</w:t>
            </w:r>
            <w:r w:rsidR="00DA7362" w:rsidRPr="008556EB">
              <w:rPr>
                <w:rFonts w:cs="Calibri Light"/>
                <w:color w:val="262626"/>
                <w:szCs w:val="22"/>
              </w:rPr>
              <w:t>70</w:t>
            </w:r>
          </w:p>
        </w:tc>
        <w:tc>
          <w:tcPr>
            <w:tcW w:w="1134" w:type="dxa"/>
            <w:tcBorders>
              <w:top w:val="nil"/>
              <w:left w:val="nil"/>
              <w:bottom w:val="single" w:sz="4" w:space="0" w:color="auto"/>
              <w:right w:val="single" w:sz="4" w:space="0" w:color="auto"/>
            </w:tcBorders>
            <w:shd w:val="clear" w:color="000000" w:fill="CDD5E1"/>
            <w:vAlign w:val="center"/>
            <w:hideMark/>
          </w:tcPr>
          <w:p w14:paraId="1B4CC58D" w14:textId="62F31DC6" w:rsidR="00E27722" w:rsidRPr="008556EB" w:rsidRDefault="00E27722" w:rsidP="00E27722">
            <w:pPr>
              <w:spacing w:before="0" w:after="0"/>
              <w:jc w:val="right"/>
              <w:rPr>
                <w:rFonts w:cs="Calibri Light"/>
                <w:color w:val="262626"/>
                <w:szCs w:val="22"/>
              </w:rPr>
            </w:pPr>
            <w:r w:rsidRPr="008556EB">
              <w:rPr>
                <w:rFonts w:cs="Calibri Light"/>
                <w:color w:val="262626"/>
                <w:szCs w:val="22"/>
              </w:rPr>
              <w:t>520.</w:t>
            </w:r>
            <w:r w:rsidR="00DA7362" w:rsidRPr="008556EB">
              <w:rPr>
                <w:rFonts w:cs="Calibri Light"/>
                <w:color w:val="262626"/>
                <w:szCs w:val="22"/>
              </w:rPr>
              <w:t>53</w:t>
            </w:r>
          </w:p>
        </w:tc>
        <w:tc>
          <w:tcPr>
            <w:tcW w:w="1418" w:type="dxa"/>
            <w:tcBorders>
              <w:top w:val="nil"/>
              <w:left w:val="nil"/>
              <w:bottom w:val="single" w:sz="4" w:space="0" w:color="auto"/>
              <w:right w:val="single" w:sz="4" w:space="0" w:color="auto"/>
            </w:tcBorders>
            <w:shd w:val="clear" w:color="000000" w:fill="CDD5E1"/>
            <w:vAlign w:val="center"/>
            <w:hideMark/>
          </w:tcPr>
          <w:p w14:paraId="6B436E17" w14:textId="4450AE46" w:rsidR="00E27722" w:rsidRPr="00A07761" w:rsidRDefault="00DA7362" w:rsidP="00E27722">
            <w:pPr>
              <w:spacing w:before="0" w:after="0"/>
              <w:jc w:val="right"/>
              <w:rPr>
                <w:rFonts w:cs="Calibri Light"/>
                <w:color w:val="262626"/>
                <w:szCs w:val="22"/>
                <w:highlight w:val="yellow"/>
              </w:rPr>
            </w:pPr>
            <w:r w:rsidRPr="00970C91">
              <w:rPr>
                <w:rFonts w:cs="Calibri Light"/>
                <w:color w:val="000000"/>
                <w:szCs w:val="22"/>
              </w:rPr>
              <w:t>789.34</w:t>
            </w:r>
          </w:p>
        </w:tc>
        <w:tc>
          <w:tcPr>
            <w:tcW w:w="1134" w:type="dxa"/>
            <w:tcBorders>
              <w:top w:val="nil"/>
              <w:left w:val="nil"/>
              <w:bottom w:val="single" w:sz="4" w:space="0" w:color="auto"/>
              <w:right w:val="single" w:sz="4" w:space="0" w:color="auto"/>
            </w:tcBorders>
            <w:shd w:val="clear" w:color="000000" w:fill="CDD5E1"/>
            <w:vAlign w:val="center"/>
            <w:hideMark/>
          </w:tcPr>
          <w:p w14:paraId="14E34738" w14:textId="7A599A45" w:rsidR="00E27722" w:rsidRPr="00A07761" w:rsidRDefault="00DA7362" w:rsidP="00E27722">
            <w:pPr>
              <w:spacing w:before="0" w:after="0"/>
              <w:jc w:val="right"/>
              <w:rPr>
                <w:rFonts w:cs="Calibri Light"/>
                <w:color w:val="262626"/>
                <w:szCs w:val="22"/>
                <w:highlight w:val="yellow"/>
              </w:rPr>
            </w:pPr>
            <w:r w:rsidRPr="00970C91">
              <w:rPr>
                <w:rFonts w:cs="Calibri Light"/>
                <w:color w:val="000000"/>
                <w:szCs w:val="22"/>
              </w:rPr>
              <w:t>539.09</w:t>
            </w:r>
          </w:p>
        </w:tc>
        <w:tc>
          <w:tcPr>
            <w:tcW w:w="1276" w:type="dxa"/>
            <w:tcBorders>
              <w:top w:val="nil"/>
              <w:left w:val="nil"/>
              <w:bottom w:val="single" w:sz="4" w:space="0" w:color="auto"/>
              <w:right w:val="single" w:sz="4" w:space="0" w:color="auto"/>
            </w:tcBorders>
            <w:shd w:val="clear" w:color="000000" w:fill="CDD5E1"/>
            <w:vAlign w:val="center"/>
            <w:hideMark/>
          </w:tcPr>
          <w:p w14:paraId="6E2FE152"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331.14</w:t>
            </w:r>
          </w:p>
        </w:tc>
        <w:tc>
          <w:tcPr>
            <w:tcW w:w="1275" w:type="dxa"/>
            <w:tcBorders>
              <w:top w:val="nil"/>
              <w:left w:val="nil"/>
              <w:bottom w:val="single" w:sz="4" w:space="0" w:color="auto"/>
              <w:right w:val="single" w:sz="4" w:space="0" w:color="auto"/>
            </w:tcBorders>
            <w:shd w:val="clear" w:color="000000" w:fill="CDD5E1"/>
            <w:vAlign w:val="center"/>
            <w:hideMark/>
          </w:tcPr>
          <w:p w14:paraId="3DE3E68C" w14:textId="77777777" w:rsidR="00E27722" w:rsidRPr="001D4B91" w:rsidRDefault="00E27722" w:rsidP="00E27722">
            <w:pPr>
              <w:spacing w:before="0" w:after="0"/>
              <w:jc w:val="right"/>
              <w:rPr>
                <w:rFonts w:cs="Calibri Light"/>
                <w:color w:val="262626"/>
                <w:szCs w:val="22"/>
              </w:rPr>
            </w:pPr>
            <w:r w:rsidRPr="001D4B91">
              <w:rPr>
                <w:rFonts w:cs="Calibri Light"/>
                <w:color w:val="262626"/>
                <w:szCs w:val="22"/>
              </w:rPr>
              <w:t>180.93</w:t>
            </w:r>
          </w:p>
        </w:tc>
      </w:tr>
    </w:tbl>
    <w:p w14:paraId="63C16CC9" w14:textId="45AB9635" w:rsidR="00EB1629" w:rsidRPr="00402C79" w:rsidRDefault="00402C79" w:rsidP="00C86804">
      <w:pPr>
        <w:pStyle w:val="BodyText"/>
        <w:ind w:hanging="284"/>
        <w:rPr>
          <w:rFonts w:ascii="Calibri Light" w:eastAsia="Times New Roman" w:hAnsi="Calibri Light" w:cs="Times New Roman"/>
          <w:color w:val="auto"/>
          <w:sz w:val="20"/>
          <w:szCs w:val="20"/>
          <w:lang w:eastAsia="en-AU"/>
        </w:rPr>
      </w:pPr>
      <w:r w:rsidRPr="00402C79">
        <w:rPr>
          <w:rFonts w:ascii="Calibri Light" w:eastAsia="Times New Roman" w:hAnsi="Calibri Light" w:cs="Times New Roman"/>
          <w:color w:val="auto"/>
          <w:sz w:val="20"/>
          <w:szCs w:val="20"/>
          <w:lang w:eastAsia="en-AU"/>
        </w:rPr>
        <w:t>Source: Treasury projections</w:t>
      </w:r>
    </w:p>
    <w:p w14:paraId="4F44DC6C" w14:textId="7E6967A3" w:rsidR="007E1FAB" w:rsidRPr="00D85DDF" w:rsidRDefault="007E1FAB" w:rsidP="00D85DDF">
      <w:pPr>
        <w:pStyle w:val="BodyText"/>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Group 3 has a separate calculation as we expect costs to be proportionate to size of the company, resulting in fewer costs</w:t>
      </w:r>
      <w:r w:rsidR="00EB1629">
        <w:rPr>
          <w:rFonts w:ascii="Calibri Light" w:eastAsia="Times New Roman" w:hAnsi="Calibri Light" w:cs="Times New Roman"/>
          <w:color w:val="auto"/>
          <w:szCs w:val="20"/>
          <w:lang w:eastAsia="en-AU"/>
        </w:rPr>
        <w:t xml:space="preserve">. </w:t>
      </w:r>
      <w:r>
        <w:rPr>
          <w:rFonts w:ascii="Calibri Light" w:eastAsia="Times New Roman" w:hAnsi="Calibri Light" w:cs="Times New Roman"/>
          <w:color w:val="auto"/>
          <w:szCs w:val="20"/>
          <w:lang w:eastAsia="en-AU"/>
        </w:rPr>
        <w:t>Many</w:t>
      </w:r>
      <w:r w:rsidR="00EB1629">
        <w:rPr>
          <w:rFonts w:ascii="Calibri Light" w:eastAsia="Times New Roman" w:hAnsi="Calibri Light" w:cs="Times New Roman"/>
          <w:color w:val="auto"/>
          <w:szCs w:val="20"/>
          <w:lang w:eastAsia="en-AU"/>
        </w:rPr>
        <w:t xml:space="preserve"> </w:t>
      </w:r>
      <w:proofErr w:type="gramStart"/>
      <w:r w:rsidR="00EB1629">
        <w:rPr>
          <w:rFonts w:ascii="Calibri Light" w:eastAsia="Times New Roman" w:hAnsi="Calibri Light" w:cs="Times New Roman"/>
          <w:color w:val="auto"/>
          <w:szCs w:val="20"/>
          <w:lang w:eastAsia="en-AU"/>
        </w:rPr>
        <w:t>Group</w:t>
      </w:r>
      <w:proofErr w:type="gramEnd"/>
      <w:r w:rsidR="00EB1629">
        <w:rPr>
          <w:rFonts w:ascii="Calibri Light" w:eastAsia="Times New Roman" w:hAnsi="Calibri Light" w:cs="Times New Roman"/>
          <w:color w:val="auto"/>
          <w:szCs w:val="20"/>
          <w:lang w:eastAsia="en-AU"/>
        </w:rPr>
        <w:t xml:space="preserve"> 3 entities are expected to have fewer material climate risks to disclose. </w:t>
      </w:r>
      <w:r w:rsidRPr="001D4B91">
        <w:rPr>
          <w:rFonts w:ascii="Calibri Light" w:eastAsia="Times New Roman" w:hAnsi="Calibri Light" w:cs="Times New Roman"/>
          <w:color w:val="auto"/>
          <w:szCs w:val="20"/>
          <w:lang w:eastAsia="en-AU"/>
        </w:rPr>
        <w:t>Much like Group 2, Group 3 would benefit from delayed application of reporting obligations through increased availability of methodologies and data.</w:t>
      </w:r>
    </w:p>
    <w:p w14:paraId="0E590BEA" w14:textId="77777777" w:rsidR="00EB1629" w:rsidRDefault="00EB1629" w:rsidP="0092357C">
      <w:pPr>
        <w:pStyle w:val="Bullet"/>
      </w:pPr>
      <w:r>
        <w:t>We generalise the costs for Group 3, aligning with information received in submissions, reporting costs are between</w:t>
      </w:r>
      <w:r w:rsidRPr="0030627C">
        <w:t xml:space="preserve"> 1 to 10 basis points of net assets. </w:t>
      </w:r>
    </w:p>
    <w:p w14:paraId="09EC1AD0" w14:textId="4EFA6BB6" w:rsidR="005A017F" w:rsidRDefault="00EB1629" w:rsidP="0092357C">
      <w:pPr>
        <w:pStyle w:val="Bullet"/>
      </w:pPr>
      <w:r w:rsidRPr="0030627C">
        <w:t xml:space="preserve">For the median Group 3 company, </w:t>
      </w:r>
      <w:r w:rsidR="00C73724">
        <w:t xml:space="preserve">Treasury analysis estimates net assets to be </w:t>
      </w:r>
      <w:r w:rsidRPr="0030627C">
        <w:t>$</w:t>
      </w:r>
      <w:r w:rsidR="00BC2210">
        <w:t>53</w:t>
      </w:r>
      <w:r w:rsidRPr="0030627C">
        <w:t>,000,000</w:t>
      </w:r>
      <w:r w:rsidR="00C73724">
        <w:t xml:space="preserve"> – placing </w:t>
      </w:r>
      <w:r w:rsidR="00F451D3">
        <w:t>fees between $5,300 and $53,000 with an average of $29,150</w:t>
      </w:r>
      <w:r w:rsidRPr="0030627C">
        <w:t xml:space="preserve">. </w:t>
      </w:r>
    </w:p>
    <w:p w14:paraId="4A64798A" w14:textId="0274B2B8" w:rsidR="00056270" w:rsidRDefault="005A017F" w:rsidP="0092357C">
      <w:pPr>
        <w:pStyle w:val="Bullet"/>
      </w:pPr>
      <w:r>
        <w:t>In addition, we estimate</w:t>
      </w:r>
      <w:r w:rsidR="00EB456C">
        <w:t xml:space="preserve"> assurance costs to be 3 basis points of </w:t>
      </w:r>
      <w:r w:rsidR="003F1B74">
        <w:t>net assets</w:t>
      </w:r>
      <w:r w:rsidR="0050711A">
        <w:t>, costing $</w:t>
      </w:r>
      <w:r w:rsidR="005E45EC">
        <w:t>15,900</w:t>
      </w:r>
      <w:r w:rsidR="00AC3A71">
        <w:t xml:space="preserve"> for limited assurance</w:t>
      </w:r>
      <w:r w:rsidR="005E45EC">
        <w:t xml:space="preserve">. This brings the total cost per </w:t>
      </w:r>
      <w:r w:rsidR="00056270">
        <w:t xml:space="preserve">Group 3 </w:t>
      </w:r>
      <w:r w:rsidR="005E45EC">
        <w:t xml:space="preserve">entity </w:t>
      </w:r>
      <w:r w:rsidR="00056270">
        <w:t>to $45,050.</w:t>
      </w:r>
      <w:r>
        <w:t xml:space="preserve"> </w:t>
      </w:r>
    </w:p>
    <w:p w14:paraId="092ADA31" w14:textId="2359E2F4" w:rsidR="00EB1629" w:rsidRPr="0030627C" w:rsidRDefault="00EB1629" w:rsidP="0092357C">
      <w:pPr>
        <w:pStyle w:val="Bullet"/>
      </w:pPr>
      <w:r w:rsidRPr="0030627C">
        <w:t xml:space="preserve">This would appear accurate given previous Treasury analysis that identifies the cost of financial reporting for large proprietary companies averages $36,950 per </w:t>
      </w:r>
      <w:r>
        <w:t>year</w:t>
      </w:r>
      <w:r w:rsidRPr="008E6DB0">
        <w:rPr>
          <w:vertAlign w:val="superscript"/>
        </w:rPr>
        <w:footnoteReference w:id="44"/>
      </w:r>
      <w:r w:rsidRPr="0030627C">
        <w:t xml:space="preserve">. </w:t>
      </w:r>
      <w:r>
        <w:t>We assume the initial cost is higher but the cost falls to this long-term average as an ongoing cost.</w:t>
      </w:r>
    </w:p>
    <w:p w14:paraId="4C013688" w14:textId="320C8EB9" w:rsidR="00EB1629" w:rsidRPr="00017EF6" w:rsidRDefault="00EB1629" w:rsidP="004970FE">
      <w:pPr>
        <w:pStyle w:val="Caption"/>
        <w:spacing w:after="0"/>
      </w:pPr>
      <w:r w:rsidRPr="00017EF6">
        <w:t xml:space="preserve">Table </w:t>
      </w:r>
      <w:r w:rsidR="003C55F0">
        <w:t>10</w:t>
      </w:r>
      <w:r w:rsidRPr="00017EF6">
        <w:t xml:space="preserve">: </w:t>
      </w:r>
      <w:r w:rsidR="008643CC">
        <w:t xml:space="preserve">Estimated total </w:t>
      </w:r>
      <w:r w:rsidRPr="00017EF6">
        <w:t>Group 3 compliance cost</w:t>
      </w:r>
      <w:r w:rsidR="00BC58BA">
        <w:t>s</w:t>
      </w:r>
    </w:p>
    <w:tbl>
      <w:tblPr>
        <w:tblW w:w="2435" w:type="pct"/>
        <w:tblLook w:val="04A0" w:firstRow="1" w:lastRow="0" w:firstColumn="1" w:lastColumn="0" w:noHBand="0" w:noVBand="1"/>
      </w:tblPr>
      <w:tblGrid>
        <w:gridCol w:w="3097"/>
        <w:gridCol w:w="1315"/>
      </w:tblGrid>
      <w:tr w:rsidR="00EB1629" w:rsidRPr="00A911EF" w14:paraId="76C3B3BC" w14:textId="77777777" w:rsidTr="0071761D">
        <w:trPr>
          <w:trHeight w:val="338"/>
        </w:trPr>
        <w:tc>
          <w:tcPr>
            <w:tcW w:w="3510" w:type="pct"/>
            <w:tcBorders>
              <w:top w:val="single" w:sz="4" w:space="0" w:color="auto"/>
              <w:left w:val="single" w:sz="4" w:space="0" w:color="auto"/>
              <w:bottom w:val="single" w:sz="4" w:space="0" w:color="auto"/>
              <w:right w:val="single" w:sz="4" w:space="0" w:color="auto"/>
            </w:tcBorders>
            <w:shd w:val="clear" w:color="000000" w:fill="2C384A"/>
            <w:vAlign w:val="center"/>
            <w:hideMark/>
          </w:tcPr>
          <w:p w14:paraId="6595EA1A" w14:textId="77777777" w:rsidR="00EB1629" w:rsidRPr="008643CC" w:rsidRDefault="00EB1629" w:rsidP="0071761D">
            <w:pPr>
              <w:spacing w:before="0" w:after="0"/>
              <w:rPr>
                <w:rFonts w:cs="Calibri Light"/>
                <w:b/>
                <w:bCs/>
                <w:color w:val="FFFFFF"/>
                <w:szCs w:val="22"/>
              </w:rPr>
            </w:pPr>
            <w:r w:rsidRPr="008643CC">
              <w:rPr>
                <w:rFonts w:cs="Calibri Light"/>
                <w:b/>
                <w:bCs/>
                <w:color w:val="FFFFFF"/>
                <w:szCs w:val="22"/>
              </w:rPr>
              <w:t> </w:t>
            </w:r>
          </w:p>
        </w:tc>
        <w:tc>
          <w:tcPr>
            <w:tcW w:w="1490" w:type="pct"/>
            <w:tcBorders>
              <w:top w:val="single" w:sz="4" w:space="0" w:color="auto"/>
              <w:left w:val="nil"/>
              <w:bottom w:val="single" w:sz="4" w:space="0" w:color="auto"/>
              <w:right w:val="single" w:sz="4" w:space="0" w:color="auto"/>
            </w:tcBorders>
            <w:shd w:val="clear" w:color="000000" w:fill="2C384A"/>
            <w:vAlign w:val="center"/>
            <w:hideMark/>
          </w:tcPr>
          <w:p w14:paraId="4342DA76" w14:textId="77777777" w:rsidR="00EB1629" w:rsidRPr="008643CC" w:rsidRDefault="00EB1629" w:rsidP="0071761D">
            <w:pPr>
              <w:spacing w:before="0" w:after="0"/>
              <w:rPr>
                <w:rFonts w:cs="Calibri Light"/>
                <w:b/>
                <w:bCs/>
                <w:color w:val="FFFFFF"/>
                <w:szCs w:val="22"/>
              </w:rPr>
            </w:pPr>
            <w:r w:rsidRPr="008643CC">
              <w:rPr>
                <w:rFonts w:cs="Calibri Light"/>
                <w:b/>
                <w:bCs/>
                <w:color w:val="FFFFFF"/>
                <w:szCs w:val="22"/>
              </w:rPr>
              <w:t>Group 3</w:t>
            </w:r>
          </w:p>
        </w:tc>
      </w:tr>
      <w:tr w:rsidR="00EB1629" w:rsidRPr="00A911EF" w14:paraId="3E560626" w14:textId="77777777" w:rsidTr="0071761D">
        <w:trPr>
          <w:trHeight w:val="338"/>
        </w:trPr>
        <w:tc>
          <w:tcPr>
            <w:tcW w:w="3510" w:type="pct"/>
            <w:tcBorders>
              <w:top w:val="nil"/>
              <w:left w:val="single" w:sz="4" w:space="0" w:color="auto"/>
              <w:bottom w:val="single" w:sz="4" w:space="0" w:color="auto"/>
              <w:right w:val="single" w:sz="4" w:space="0" w:color="auto"/>
            </w:tcBorders>
            <w:shd w:val="clear" w:color="auto" w:fill="CDD5E1" w:themeFill="accent1" w:themeFillTint="33"/>
            <w:vAlign w:val="center"/>
            <w:hideMark/>
          </w:tcPr>
          <w:p w14:paraId="4CD32F74" w14:textId="77777777" w:rsidR="00EB1629" w:rsidRPr="008643CC" w:rsidRDefault="00EB1629" w:rsidP="0071761D">
            <w:pPr>
              <w:spacing w:before="0" w:after="0"/>
              <w:rPr>
                <w:rFonts w:cs="Calibri Light"/>
                <w:b/>
                <w:bCs/>
                <w:color w:val="262626"/>
                <w:szCs w:val="22"/>
              </w:rPr>
            </w:pPr>
            <w:r w:rsidRPr="008643CC">
              <w:rPr>
                <w:rFonts w:cs="Calibri Light"/>
                <w:b/>
                <w:bCs/>
                <w:color w:val="262626"/>
                <w:szCs w:val="22"/>
              </w:rPr>
              <w:t>Transitional cost per entity ($)</w:t>
            </w:r>
          </w:p>
        </w:tc>
        <w:tc>
          <w:tcPr>
            <w:tcW w:w="1490" w:type="pct"/>
            <w:tcBorders>
              <w:top w:val="nil"/>
              <w:left w:val="nil"/>
              <w:bottom w:val="single" w:sz="4" w:space="0" w:color="auto"/>
              <w:right w:val="single" w:sz="4" w:space="0" w:color="auto"/>
            </w:tcBorders>
            <w:shd w:val="clear" w:color="000000" w:fill="CDD5E1"/>
            <w:vAlign w:val="center"/>
            <w:hideMark/>
          </w:tcPr>
          <w:p w14:paraId="5CD04E3B" w14:textId="63E6B754" w:rsidR="00EB1629" w:rsidRPr="008643CC" w:rsidRDefault="00A01DC8" w:rsidP="0071761D">
            <w:pPr>
              <w:spacing w:before="0" w:after="0"/>
              <w:jc w:val="right"/>
              <w:rPr>
                <w:rFonts w:cs="Calibri Light"/>
                <w:color w:val="262626"/>
                <w:szCs w:val="22"/>
              </w:rPr>
            </w:pPr>
            <w:r w:rsidRPr="008643CC">
              <w:rPr>
                <w:rFonts w:cs="Calibri Light"/>
                <w:color w:val="262626"/>
                <w:szCs w:val="22"/>
              </w:rPr>
              <w:t>45,050</w:t>
            </w:r>
          </w:p>
        </w:tc>
      </w:tr>
      <w:tr w:rsidR="00EB1629" w:rsidRPr="00A911EF" w14:paraId="58C35CED" w14:textId="77777777" w:rsidTr="0071761D">
        <w:trPr>
          <w:trHeight w:val="338"/>
        </w:trPr>
        <w:tc>
          <w:tcPr>
            <w:tcW w:w="3510" w:type="pct"/>
            <w:tcBorders>
              <w:top w:val="nil"/>
              <w:left w:val="single" w:sz="4" w:space="0" w:color="auto"/>
              <w:bottom w:val="single" w:sz="4" w:space="0" w:color="auto"/>
              <w:right w:val="single" w:sz="4" w:space="0" w:color="auto"/>
            </w:tcBorders>
            <w:shd w:val="clear" w:color="auto" w:fill="auto"/>
            <w:vAlign w:val="center"/>
            <w:hideMark/>
          </w:tcPr>
          <w:p w14:paraId="0536BC0C" w14:textId="77777777" w:rsidR="00EB1629" w:rsidRPr="008643CC" w:rsidRDefault="00EB1629" w:rsidP="0071761D">
            <w:pPr>
              <w:spacing w:before="0" w:after="0"/>
              <w:rPr>
                <w:rFonts w:cs="Calibri Light"/>
                <w:b/>
                <w:bCs/>
                <w:color w:val="262626"/>
                <w:szCs w:val="22"/>
              </w:rPr>
            </w:pPr>
            <w:r w:rsidRPr="008643CC">
              <w:rPr>
                <w:rFonts w:cs="Calibri Light"/>
                <w:b/>
                <w:bCs/>
                <w:color w:val="262626"/>
                <w:szCs w:val="22"/>
              </w:rPr>
              <w:t>Ongoing cost per entity ($)</w:t>
            </w:r>
          </w:p>
        </w:tc>
        <w:tc>
          <w:tcPr>
            <w:tcW w:w="1490" w:type="pct"/>
            <w:tcBorders>
              <w:top w:val="nil"/>
              <w:left w:val="nil"/>
              <w:bottom w:val="single" w:sz="4" w:space="0" w:color="auto"/>
              <w:right w:val="single" w:sz="4" w:space="0" w:color="auto"/>
            </w:tcBorders>
            <w:shd w:val="clear" w:color="auto" w:fill="auto"/>
            <w:vAlign w:val="center"/>
            <w:hideMark/>
          </w:tcPr>
          <w:p w14:paraId="1FD8BC7A" w14:textId="77777777" w:rsidR="00EB1629" w:rsidRPr="008643CC" w:rsidRDefault="00EB1629" w:rsidP="0071761D">
            <w:pPr>
              <w:spacing w:before="0" w:after="0"/>
              <w:jc w:val="right"/>
              <w:rPr>
                <w:rFonts w:cs="Calibri Light"/>
                <w:color w:val="262626"/>
                <w:szCs w:val="22"/>
              </w:rPr>
            </w:pPr>
            <w:r w:rsidRPr="008643CC">
              <w:rPr>
                <w:rFonts w:cs="Calibri Light"/>
                <w:color w:val="262626"/>
                <w:szCs w:val="22"/>
              </w:rPr>
              <w:t>36,950</w:t>
            </w:r>
          </w:p>
        </w:tc>
      </w:tr>
      <w:tr w:rsidR="00EB1629" w:rsidRPr="00A911EF" w14:paraId="01495BC5" w14:textId="77777777" w:rsidTr="0071761D">
        <w:trPr>
          <w:trHeight w:val="338"/>
        </w:trPr>
        <w:tc>
          <w:tcPr>
            <w:tcW w:w="3510" w:type="pct"/>
            <w:tcBorders>
              <w:top w:val="nil"/>
              <w:left w:val="single" w:sz="4" w:space="0" w:color="auto"/>
              <w:bottom w:val="single" w:sz="4" w:space="0" w:color="auto"/>
              <w:right w:val="single" w:sz="4" w:space="0" w:color="auto"/>
            </w:tcBorders>
            <w:shd w:val="clear" w:color="auto" w:fill="CDD5E1" w:themeFill="accent1" w:themeFillTint="33"/>
            <w:vAlign w:val="center"/>
            <w:hideMark/>
          </w:tcPr>
          <w:p w14:paraId="59D0CA4F" w14:textId="77777777" w:rsidR="00EB1629" w:rsidRPr="008643CC" w:rsidRDefault="00EB1629" w:rsidP="0071761D">
            <w:pPr>
              <w:spacing w:before="0" w:after="0"/>
              <w:rPr>
                <w:rFonts w:cs="Calibri Light"/>
                <w:b/>
                <w:bCs/>
                <w:color w:val="262626"/>
                <w:szCs w:val="22"/>
              </w:rPr>
            </w:pPr>
            <w:r w:rsidRPr="008643CC">
              <w:rPr>
                <w:rFonts w:cs="Calibri Light"/>
                <w:b/>
                <w:bCs/>
                <w:color w:val="262626"/>
                <w:szCs w:val="22"/>
              </w:rPr>
              <w:t>Transitional cost ($m)</w:t>
            </w:r>
          </w:p>
        </w:tc>
        <w:tc>
          <w:tcPr>
            <w:tcW w:w="1490" w:type="pct"/>
            <w:tcBorders>
              <w:top w:val="nil"/>
              <w:left w:val="nil"/>
              <w:bottom w:val="single" w:sz="4" w:space="0" w:color="auto"/>
              <w:right w:val="single" w:sz="4" w:space="0" w:color="auto"/>
            </w:tcBorders>
            <w:shd w:val="clear" w:color="000000" w:fill="CDD5E1"/>
            <w:vAlign w:val="center"/>
            <w:hideMark/>
          </w:tcPr>
          <w:p w14:paraId="39EE2D37" w14:textId="2C1A71E6" w:rsidR="00EB1629" w:rsidRPr="008643CC" w:rsidRDefault="00EB1629" w:rsidP="0071761D">
            <w:pPr>
              <w:spacing w:before="0" w:after="0"/>
              <w:jc w:val="right"/>
              <w:rPr>
                <w:rFonts w:cs="Calibri Light"/>
                <w:color w:val="262626"/>
                <w:szCs w:val="22"/>
              </w:rPr>
            </w:pPr>
            <w:r w:rsidRPr="008643CC">
              <w:rPr>
                <w:rFonts w:cs="Calibri Light"/>
                <w:color w:val="262626"/>
                <w:szCs w:val="22"/>
              </w:rPr>
              <w:t>2</w:t>
            </w:r>
            <w:r w:rsidR="00FA06B4" w:rsidRPr="008643CC">
              <w:rPr>
                <w:rFonts w:cs="Calibri Light"/>
                <w:color w:val="262626"/>
                <w:szCs w:val="22"/>
              </w:rPr>
              <w:t>05.20</w:t>
            </w:r>
          </w:p>
        </w:tc>
      </w:tr>
      <w:tr w:rsidR="00EB1629" w:rsidRPr="00A911EF" w14:paraId="73128243" w14:textId="77777777" w:rsidTr="0071761D">
        <w:trPr>
          <w:trHeight w:val="338"/>
        </w:trPr>
        <w:tc>
          <w:tcPr>
            <w:tcW w:w="35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23E4C" w14:textId="77777777" w:rsidR="00EB1629" w:rsidRPr="008643CC" w:rsidRDefault="00EB1629" w:rsidP="0071761D">
            <w:pPr>
              <w:spacing w:before="0" w:after="0"/>
              <w:rPr>
                <w:rFonts w:cs="Calibri Light"/>
                <w:b/>
                <w:bCs/>
                <w:color w:val="262626"/>
                <w:szCs w:val="22"/>
              </w:rPr>
            </w:pPr>
            <w:r w:rsidRPr="008643CC">
              <w:rPr>
                <w:rFonts w:cs="Calibri Light"/>
                <w:b/>
                <w:bCs/>
                <w:color w:val="262626"/>
                <w:szCs w:val="22"/>
              </w:rPr>
              <w:t>Transitional cost by 10 ($m)</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CF07B" w14:textId="5DD87031" w:rsidR="00EB1629" w:rsidRPr="008643CC" w:rsidRDefault="00EB1629" w:rsidP="0071761D">
            <w:pPr>
              <w:spacing w:before="0" w:after="0"/>
              <w:jc w:val="right"/>
              <w:rPr>
                <w:rFonts w:cs="Calibri Light"/>
                <w:color w:val="262626"/>
                <w:szCs w:val="22"/>
              </w:rPr>
            </w:pPr>
            <w:r w:rsidRPr="008643CC">
              <w:rPr>
                <w:rFonts w:cs="Calibri Light"/>
                <w:color w:val="262626"/>
                <w:szCs w:val="22"/>
              </w:rPr>
              <w:t>2</w:t>
            </w:r>
            <w:r w:rsidR="00FA06B4" w:rsidRPr="008643CC">
              <w:rPr>
                <w:rFonts w:cs="Calibri Light"/>
                <w:color w:val="262626"/>
                <w:szCs w:val="22"/>
              </w:rPr>
              <w:t>0.52</w:t>
            </w:r>
          </w:p>
        </w:tc>
      </w:tr>
      <w:tr w:rsidR="00EB1629" w:rsidRPr="00A911EF" w14:paraId="4EE50094" w14:textId="77777777" w:rsidTr="0079568E">
        <w:trPr>
          <w:trHeight w:val="338"/>
        </w:trPr>
        <w:tc>
          <w:tcPr>
            <w:tcW w:w="3510" w:type="pct"/>
            <w:tcBorders>
              <w:top w:val="single" w:sz="4" w:space="0" w:color="auto"/>
              <w:left w:val="single" w:sz="4" w:space="0" w:color="auto"/>
              <w:bottom w:val="single" w:sz="4" w:space="0" w:color="auto"/>
              <w:right w:val="single" w:sz="4" w:space="0" w:color="auto"/>
            </w:tcBorders>
            <w:shd w:val="clear" w:color="auto" w:fill="CDD5E1" w:themeFill="accent1" w:themeFillTint="33"/>
            <w:vAlign w:val="center"/>
          </w:tcPr>
          <w:p w14:paraId="281C2D8A" w14:textId="77777777" w:rsidR="00EB1629" w:rsidRPr="008643CC" w:rsidRDefault="00EB1629" w:rsidP="0071761D">
            <w:pPr>
              <w:spacing w:before="0" w:after="0"/>
              <w:rPr>
                <w:rFonts w:cs="Calibri Light"/>
                <w:b/>
                <w:bCs/>
                <w:color w:val="262626"/>
                <w:szCs w:val="22"/>
              </w:rPr>
            </w:pPr>
            <w:r w:rsidRPr="008643CC">
              <w:rPr>
                <w:rFonts w:cs="Calibri Light"/>
                <w:b/>
                <w:bCs/>
                <w:color w:val="262626"/>
                <w:szCs w:val="22"/>
              </w:rPr>
              <w:t>Ongoing cost ($m)</w:t>
            </w:r>
          </w:p>
        </w:tc>
        <w:tc>
          <w:tcPr>
            <w:tcW w:w="1490" w:type="pct"/>
            <w:tcBorders>
              <w:top w:val="single" w:sz="4" w:space="0" w:color="auto"/>
              <w:left w:val="single" w:sz="4" w:space="0" w:color="auto"/>
              <w:bottom w:val="single" w:sz="4" w:space="0" w:color="auto"/>
              <w:right w:val="single" w:sz="4" w:space="0" w:color="auto"/>
            </w:tcBorders>
            <w:shd w:val="clear" w:color="auto" w:fill="CDD5E1" w:themeFill="accent1" w:themeFillTint="33"/>
            <w:vAlign w:val="center"/>
          </w:tcPr>
          <w:p w14:paraId="5C0BE1DF" w14:textId="77777777" w:rsidR="00EB1629" w:rsidRPr="008643CC" w:rsidRDefault="00EB1629" w:rsidP="0071761D">
            <w:pPr>
              <w:spacing w:before="0" w:after="0"/>
              <w:jc w:val="right"/>
              <w:rPr>
                <w:rFonts w:cs="Calibri Light"/>
                <w:color w:val="262626"/>
                <w:szCs w:val="22"/>
              </w:rPr>
            </w:pPr>
            <w:r w:rsidRPr="008643CC">
              <w:rPr>
                <w:rFonts w:cs="Calibri Light"/>
                <w:color w:val="262626"/>
                <w:szCs w:val="22"/>
              </w:rPr>
              <w:t>168.31</w:t>
            </w:r>
          </w:p>
        </w:tc>
      </w:tr>
      <w:tr w:rsidR="00EB1629" w:rsidRPr="00A911EF" w14:paraId="50B54169" w14:textId="77777777" w:rsidTr="0079568E">
        <w:trPr>
          <w:trHeight w:val="338"/>
        </w:trPr>
        <w:tc>
          <w:tcPr>
            <w:tcW w:w="3510" w:type="pct"/>
            <w:tcBorders>
              <w:top w:val="single" w:sz="4" w:space="0" w:color="auto"/>
              <w:left w:val="single" w:sz="4" w:space="0" w:color="auto"/>
              <w:bottom w:val="single" w:sz="4" w:space="0" w:color="auto"/>
              <w:right w:val="single" w:sz="4" w:space="0" w:color="auto"/>
            </w:tcBorders>
            <w:shd w:val="clear" w:color="auto" w:fill="auto"/>
            <w:vAlign w:val="center"/>
          </w:tcPr>
          <w:p w14:paraId="4253FC11" w14:textId="77777777" w:rsidR="00EB1629" w:rsidRPr="008643CC" w:rsidRDefault="00EB1629" w:rsidP="0071761D">
            <w:pPr>
              <w:spacing w:before="0" w:after="0"/>
              <w:rPr>
                <w:rFonts w:cs="Calibri Light"/>
                <w:b/>
                <w:bCs/>
                <w:color w:val="262626"/>
                <w:szCs w:val="22"/>
              </w:rPr>
            </w:pPr>
            <w:r w:rsidRPr="008643CC">
              <w:rPr>
                <w:rFonts w:cs="Calibri Light"/>
                <w:b/>
                <w:bCs/>
                <w:color w:val="262626"/>
                <w:szCs w:val="22"/>
              </w:rPr>
              <w:t>Total compliance cost ($m)</w:t>
            </w:r>
          </w:p>
        </w:tc>
        <w:tc>
          <w:tcPr>
            <w:tcW w:w="1490" w:type="pct"/>
            <w:tcBorders>
              <w:top w:val="single" w:sz="4" w:space="0" w:color="auto"/>
              <w:left w:val="single" w:sz="4" w:space="0" w:color="auto"/>
              <w:bottom w:val="single" w:sz="4" w:space="0" w:color="auto"/>
              <w:right w:val="single" w:sz="4" w:space="0" w:color="auto"/>
            </w:tcBorders>
            <w:shd w:val="clear" w:color="auto" w:fill="auto"/>
            <w:vAlign w:val="center"/>
          </w:tcPr>
          <w:p w14:paraId="2AF9EAE6" w14:textId="73BAB0D1" w:rsidR="00EB1629" w:rsidRPr="008643CC" w:rsidRDefault="00EB1629" w:rsidP="0071761D">
            <w:pPr>
              <w:spacing w:before="0" w:after="0"/>
              <w:jc w:val="right"/>
              <w:rPr>
                <w:rFonts w:cs="Calibri Light"/>
                <w:b/>
                <w:bCs/>
                <w:color w:val="262626"/>
                <w:szCs w:val="22"/>
              </w:rPr>
            </w:pPr>
            <w:r w:rsidRPr="008643CC">
              <w:rPr>
                <w:rFonts w:cs="Calibri Light"/>
                <w:b/>
                <w:bCs/>
                <w:color w:val="262626"/>
                <w:szCs w:val="22"/>
              </w:rPr>
              <w:t>1</w:t>
            </w:r>
            <w:r w:rsidR="008443C8" w:rsidRPr="008643CC">
              <w:rPr>
                <w:rFonts w:cs="Calibri Light"/>
                <w:b/>
                <w:bCs/>
                <w:color w:val="262626"/>
                <w:szCs w:val="22"/>
              </w:rPr>
              <w:t>88.83</w:t>
            </w:r>
          </w:p>
        </w:tc>
      </w:tr>
      <w:tr w:rsidR="0079568E" w:rsidRPr="00A911EF" w14:paraId="57641530" w14:textId="77777777" w:rsidTr="0079568E">
        <w:trPr>
          <w:trHeight w:val="338"/>
        </w:trPr>
        <w:tc>
          <w:tcPr>
            <w:tcW w:w="3510" w:type="pct"/>
            <w:tcBorders>
              <w:top w:val="single" w:sz="4" w:space="0" w:color="auto"/>
            </w:tcBorders>
            <w:shd w:val="clear" w:color="auto" w:fill="auto"/>
            <w:vAlign w:val="center"/>
          </w:tcPr>
          <w:p w14:paraId="6E3E05AE" w14:textId="7CD26C08" w:rsidR="0079568E" w:rsidRPr="0079568E" w:rsidRDefault="0079568E" w:rsidP="0071761D">
            <w:pPr>
              <w:spacing w:before="0" w:after="0"/>
              <w:rPr>
                <w:rFonts w:cs="Calibri Light"/>
                <w:color w:val="262626"/>
                <w:szCs w:val="22"/>
              </w:rPr>
            </w:pPr>
          </w:p>
        </w:tc>
        <w:tc>
          <w:tcPr>
            <w:tcW w:w="1490" w:type="pct"/>
            <w:tcBorders>
              <w:top w:val="single" w:sz="4" w:space="0" w:color="auto"/>
            </w:tcBorders>
            <w:shd w:val="clear" w:color="auto" w:fill="auto"/>
            <w:vAlign w:val="center"/>
          </w:tcPr>
          <w:p w14:paraId="5C6CDCEB" w14:textId="77777777" w:rsidR="0079568E" w:rsidRPr="008643CC" w:rsidRDefault="0079568E" w:rsidP="0071761D">
            <w:pPr>
              <w:spacing w:before="0" w:after="0"/>
              <w:jc w:val="right"/>
              <w:rPr>
                <w:rFonts w:cs="Calibri Light"/>
                <w:b/>
                <w:bCs/>
                <w:color w:val="262626"/>
                <w:szCs w:val="22"/>
              </w:rPr>
            </w:pPr>
          </w:p>
        </w:tc>
      </w:tr>
    </w:tbl>
    <w:p w14:paraId="621C526A" w14:textId="13A2A508" w:rsidR="00EB1629" w:rsidRDefault="00EB1629" w:rsidP="00EB1629">
      <w:r w:rsidRPr="007362C6">
        <w:t>As seen below, there is an expected compliance burden of $1,</w:t>
      </w:r>
      <w:r w:rsidR="008A234A">
        <w:t>636</w:t>
      </w:r>
      <w:r w:rsidR="008A70F8">
        <w:t>.</w:t>
      </w:r>
      <w:r w:rsidR="008A234A">
        <w:t>69</w:t>
      </w:r>
      <w:r w:rsidRPr="007362C6">
        <w:t xml:space="preserve"> million per year for option </w:t>
      </w:r>
      <w:r>
        <w:t>1</w:t>
      </w:r>
      <w:r w:rsidRPr="007362C6">
        <w:t xml:space="preserve"> – largely driven by Groups 1 and 2 who are compelled to implement and maintain new systems to increase transparency in the market. </w:t>
      </w:r>
    </w:p>
    <w:p w14:paraId="4A6154A6" w14:textId="0EE5820E" w:rsidR="004543E3" w:rsidRDefault="004543E3" w:rsidP="004543E3">
      <w:pPr>
        <w:pStyle w:val="Caption"/>
      </w:pPr>
      <w:r w:rsidRPr="00E028C7">
        <w:t>Table 1</w:t>
      </w:r>
      <w:r>
        <w:t>1</w:t>
      </w:r>
      <w:r w:rsidRPr="00E028C7">
        <w:t xml:space="preserve">: </w:t>
      </w:r>
      <w:r>
        <w:t>Total compliance costs across groups under Option 1</w:t>
      </w:r>
    </w:p>
    <w:tbl>
      <w:tblPr>
        <w:tblW w:w="8933" w:type="dxa"/>
        <w:tblLook w:val="04A0" w:firstRow="1" w:lastRow="0" w:firstColumn="1" w:lastColumn="0" w:noHBand="0" w:noVBand="1"/>
      </w:tblPr>
      <w:tblGrid>
        <w:gridCol w:w="2405"/>
        <w:gridCol w:w="1954"/>
        <w:gridCol w:w="1181"/>
        <w:gridCol w:w="1890"/>
        <w:gridCol w:w="1503"/>
      </w:tblGrid>
      <w:tr w:rsidR="004543E3" w:rsidRPr="00647581" w14:paraId="6A7768F6" w14:textId="77777777">
        <w:trPr>
          <w:trHeight w:val="337"/>
        </w:trPr>
        <w:tc>
          <w:tcPr>
            <w:tcW w:w="2405" w:type="dxa"/>
            <w:tcBorders>
              <w:top w:val="single" w:sz="4" w:space="0" w:color="auto"/>
              <w:left w:val="single" w:sz="4" w:space="0" w:color="auto"/>
              <w:bottom w:val="single" w:sz="4" w:space="0" w:color="auto"/>
              <w:right w:val="single" w:sz="4" w:space="0" w:color="auto"/>
            </w:tcBorders>
            <w:shd w:val="clear" w:color="000000" w:fill="2C384A"/>
            <w:vAlign w:val="center"/>
            <w:hideMark/>
          </w:tcPr>
          <w:p w14:paraId="73410382" w14:textId="77777777" w:rsidR="004543E3" w:rsidRPr="00395F79" w:rsidRDefault="004543E3">
            <w:pPr>
              <w:spacing w:before="0" w:after="0"/>
              <w:rPr>
                <w:rFonts w:cs="Calibri Light"/>
                <w:b/>
                <w:bCs/>
                <w:color w:val="FFFFFF"/>
                <w:szCs w:val="22"/>
              </w:rPr>
            </w:pPr>
            <w:r w:rsidRPr="00395F79">
              <w:rPr>
                <w:rFonts w:cs="Calibri Light"/>
                <w:b/>
                <w:bCs/>
                <w:color w:val="FFFFFF"/>
                <w:szCs w:val="22"/>
              </w:rPr>
              <w:t> </w:t>
            </w:r>
          </w:p>
        </w:tc>
        <w:tc>
          <w:tcPr>
            <w:tcW w:w="1954" w:type="dxa"/>
            <w:tcBorders>
              <w:top w:val="single" w:sz="4" w:space="0" w:color="auto"/>
              <w:left w:val="nil"/>
              <w:bottom w:val="single" w:sz="4" w:space="0" w:color="auto"/>
              <w:right w:val="single" w:sz="4" w:space="0" w:color="auto"/>
            </w:tcBorders>
            <w:shd w:val="clear" w:color="000000" w:fill="2C384A"/>
            <w:vAlign w:val="center"/>
            <w:hideMark/>
          </w:tcPr>
          <w:p w14:paraId="20309893" w14:textId="77777777" w:rsidR="004543E3" w:rsidRPr="00395F79" w:rsidRDefault="004543E3">
            <w:pPr>
              <w:spacing w:before="0" w:after="0"/>
              <w:rPr>
                <w:rFonts w:cs="Calibri Light"/>
                <w:b/>
                <w:bCs/>
                <w:color w:val="FFFFFF"/>
                <w:szCs w:val="22"/>
              </w:rPr>
            </w:pPr>
            <w:r w:rsidRPr="00395F79">
              <w:rPr>
                <w:rFonts w:cs="Calibri Light"/>
                <w:b/>
                <w:bCs/>
                <w:color w:val="FFFFFF"/>
                <w:szCs w:val="22"/>
              </w:rPr>
              <w:t>Group 1</w:t>
            </w:r>
          </w:p>
        </w:tc>
        <w:tc>
          <w:tcPr>
            <w:tcW w:w="1181" w:type="dxa"/>
            <w:tcBorders>
              <w:top w:val="single" w:sz="4" w:space="0" w:color="auto"/>
              <w:left w:val="nil"/>
              <w:bottom w:val="single" w:sz="4" w:space="0" w:color="auto"/>
              <w:right w:val="single" w:sz="4" w:space="0" w:color="auto"/>
            </w:tcBorders>
            <w:shd w:val="clear" w:color="000000" w:fill="2C384A"/>
            <w:vAlign w:val="center"/>
            <w:hideMark/>
          </w:tcPr>
          <w:p w14:paraId="035A0D1B" w14:textId="77777777" w:rsidR="004543E3" w:rsidRPr="00395F79" w:rsidRDefault="004543E3">
            <w:pPr>
              <w:spacing w:before="0" w:after="0"/>
              <w:rPr>
                <w:rFonts w:cs="Calibri Light"/>
                <w:b/>
                <w:bCs/>
                <w:color w:val="FFFFFF"/>
                <w:szCs w:val="22"/>
              </w:rPr>
            </w:pPr>
            <w:r w:rsidRPr="00395F79">
              <w:rPr>
                <w:rFonts w:cs="Calibri Light"/>
                <w:b/>
                <w:bCs/>
                <w:color w:val="FFFFFF"/>
                <w:szCs w:val="22"/>
              </w:rPr>
              <w:t>Group 2</w:t>
            </w:r>
          </w:p>
        </w:tc>
        <w:tc>
          <w:tcPr>
            <w:tcW w:w="1890" w:type="dxa"/>
            <w:tcBorders>
              <w:top w:val="single" w:sz="4" w:space="0" w:color="auto"/>
              <w:left w:val="nil"/>
              <w:bottom w:val="single" w:sz="4" w:space="0" w:color="auto"/>
              <w:right w:val="single" w:sz="4" w:space="0" w:color="auto"/>
            </w:tcBorders>
            <w:shd w:val="clear" w:color="000000" w:fill="2C384A"/>
            <w:vAlign w:val="center"/>
            <w:hideMark/>
          </w:tcPr>
          <w:p w14:paraId="30B58626" w14:textId="77777777" w:rsidR="004543E3" w:rsidRPr="00395F79" w:rsidRDefault="004543E3">
            <w:pPr>
              <w:spacing w:before="0" w:after="0"/>
              <w:rPr>
                <w:rFonts w:cs="Calibri Light"/>
                <w:b/>
                <w:bCs/>
                <w:color w:val="FFFFFF"/>
                <w:szCs w:val="22"/>
              </w:rPr>
            </w:pPr>
            <w:r w:rsidRPr="00395F79">
              <w:rPr>
                <w:rFonts w:cs="Calibri Light"/>
                <w:b/>
                <w:bCs/>
                <w:color w:val="FFFFFF"/>
                <w:szCs w:val="22"/>
              </w:rPr>
              <w:t>Group 3</w:t>
            </w:r>
          </w:p>
        </w:tc>
        <w:tc>
          <w:tcPr>
            <w:tcW w:w="1503" w:type="dxa"/>
            <w:tcBorders>
              <w:top w:val="single" w:sz="4" w:space="0" w:color="auto"/>
              <w:left w:val="nil"/>
              <w:bottom w:val="single" w:sz="4" w:space="0" w:color="auto"/>
              <w:right w:val="single" w:sz="4" w:space="0" w:color="auto"/>
            </w:tcBorders>
            <w:shd w:val="clear" w:color="000000" w:fill="2C384A"/>
            <w:vAlign w:val="center"/>
            <w:hideMark/>
          </w:tcPr>
          <w:p w14:paraId="3EE82244" w14:textId="77777777" w:rsidR="004543E3" w:rsidRPr="00395F79" w:rsidRDefault="004543E3">
            <w:pPr>
              <w:spacing w:before="0" w:after="0"/>
              <w:rPr>
                <w:rFonts w:cs="Calibri Light"/>
                <w:b/>
                <w:bCs/>
                <w:color w:val="FFFFFF"/>
                <w:szCs w:val="22"/>
              </w:rPr>
            </w:pPr>
            <w:r w:rsidRPr="00395F79">
              <w:rPr>
                <w:rFonts w:cs="Calibri Light"/>
                <w:b/>
                <w:bCs/>
                <w:color w:val="FFFFFF"/>
                <w:szCs w:val="22"/>
              </w:rPr>
              <w:t>NGER entities</w:t>
            </w:r>
          </w:p>
        </w:tc>
      </w:tr>
      <w:tr w:rsidR="004543E3" w:rsidRPr="00647581" w14:paraId="2F9D0F5E" w14:textId="77777777">
        <w:trPr>
          <w:trHeight w:val="337"/>
        </w:trPr>
        <w:tc>
          <w:tcPr>
            <w:tcW w:w="2405" w:type="dxa"/>
            <w:tcBorders>
              <w:top w:val="nil"/>
              <w:left w:val="single" w:sz="4" w:space="0" w:color="auto"/>
              <w:bottom w:val="single" w:sz="4" w:space="0" w:color="auto"/>
              <w:right w:val="single" w:sz="4" w:space="0" w:color="auto"/>
            </w:tcBorders>
            <w:shd w:val="clear" w:color="000000" w:fill="CDD5E1"/>
            <w:vAlign w:val="center"/>
            <w:hideMark/>
          </w:tcPr>
          <w:p w14:paraId="0202928B" w14:textId="77777777" w:rsidR="004543E3" w:rsidRPr="00395F79" w:rsidRDefault="004543E3">
            <w:pPr>
              <w:spacing w:before="0" w:after="0"/>
              <w:rPr>
                <w:rFonts w:cs="Calibri Light"/>
                <w:b/>
                <w:bCs/>
                <w:color w:val="262626"/>
                <w:szCs w:val="22"/>
              </w:rPr>
            </w:pPr>
            <w:r w:rsidRPr="00395F79">
              <w:rPr>
                <w:rFonts w:cs="Calibri Light"/>
                <w:b/>
                <w:bCs/>
                <w:color w:val="262626"/>
                <w:szCs w:val="22"/>
              </w:rPr>
              <w:t>Transitional cost</w:t>
            </w:r>
          </w:p>
        </w:tc>
        <w:tc>
          <w:tcPr>
            <w:tcW w:w="1954" w:type="dxa"/>
            <w:tcBorders>
              <w:top w:val="nil"/>
              <w:left w:val="nil"/>
              <w:bottom w:val="single" w:sz="4" w:space="0" w:color="auto"/>
              <w:right w:val="single" w:sz="4" w:space="0" w:color="auto"/>
            </w:tcBorders>
            <w:shd w:val="clear" w:color="000000" w:fill="CDD5E1"/>
            <w:vAlign w:val="center"/>
            <w:hideMark/>
          </w:tcPr>
          <w:p w14:paraId="37BC848F" w14:textId="77777777" w:rsidR="004543E3" w:rsidRPr="00395F79" w:rsidRDefault="004543E3">
            <w:pPr>
              <w:spacing w:before="0" w:after="0"/>
              <w:jc w:val="right"/>
              <w:rPr>
                <w:rFonts w:cs="Calibri Light"/>
                <w:color w:val="262626"/>
                <w:szCs w:val="22"/>
              </w:rPr>
            </w:pPr>
            <w:r w:rsidRPr="00395F79">
              <w:rPr>
                <w:rFonts w:cs="Calibri Light"/>
                <w:color w:val="262626"/>
                <w:szCs w:val="22"/>
              </w:rPr>
              <w:t>952.71</w:t>
            </w:r>
          </w:p>
        </w:tc>
        <w:tc>
          <w:tcPr>
            <w:tcW w:w="1181" w:type="dxa"/>
            <w:tcBorders>
              <w:top w:val="nil"/>
              <w:left w:val="nil"/>
              <w:bottom w:val="single" w:sz="4" w:space="0" w:color="auto"/>
              <w:right w:val="single" w:sz="4" w:space="0" w:color="auto"/>
            </w:tcBorders>
            <w:shd w:val="clear" w:color="000000" w:fill="CDD5E1"/>
            <w:vAlign w:val="center"/>
            <w:hideMark/>
          </w:tcPr>
          <w:p w14:paraId="56364648" w14:textId="77777777" w:rsidR="004543E3" w:rsidRPr="00395F79" w:rsidRDefault="004543E3">
            <w:pPr>
              <w:spacing w:before="0" w:after="0"/>
              <w:jc w:val="right"/>
              <w:rPr>
                <w:rFonts w:cs="Calibri Light"/>
                <w:color w:val="262626"/>
                <w:szCs w:val="22"/>
              </w:rPr>
            </w:pPr>
            <w:r w:rsidRPr="00395F79">
              <w:rPr>
                <w:rFonts w:cs="Calibri Light"/>
                <w:color w:val="262626"/>
                <w:szCs w:val="22"/>
              </w:rPr>
              <w:t>755.89</w:t>
            </w:r>
          </w:p>
        </w:tc>
        <w:tc>
          <w:tcPr>
            <w:tcW w:w="1890" w:type="dxa"/>
            <w:tcBorders>
              <w:top w:val="nil"/>
              <w:left w:val="nil"/>
              <w:bottom w:val="single" w:sz="4" w:space="0" w:color="auto"/>
              <w:right w:val="single" w:sz="4" w:space="0" w:color="auto"/>
            </w:tcBorders>
            <w:shd w:val="clear" w:color="000000" w:fill="CDD5E1"/>
            <w:vAlign w:val="center"/>
            <w:hideMark/>
          </w:tcPr>
          <w:p w14:paraId="7B330AF3" w14:textId="77777777" w:rsidR="004543E3" w:rsidRPr="00395F79" w:rsidRDefault="004543E3">
            <w:pPr>
              <w:spacing w:before="0" w:after="0"/>
              <w:jc w:val="right"/>
              <w:rPr>
                <w:rFonts w:cs="Calibri Light"/>
                <w:color w:val="262626"/>
                <w:szCs w:val="22"/>
              </w:rPr>
            </w:pPr>
            <w:r w:rsidRPr="00395F79">
              <w:rPr>
                <w:rFonts w:cs="Calibri Light"/>
                <w:color w:val="262626"/>
                <w:szCs w:val="22"/>
              </w:rPr>
              <w:t>205.20</w:t>
            </w:r>
          </w:p>
        </w:tc>
        <w:tc>
          <w:tcPr>
            <w:tcW w:w="1503" w:type="dxa"/>
            <w:tcBorders>
              <w:top w:val="nil"/>
              <w:left w:val="nil"/>
              <w:bottom w:val="single" w:sz="4" w:space="0" w:color="auto"/>
              <w:right w:val="single" w:sz="4" w:space="0" w:color="auto"/>
            </w:tcBorders>
            <w:shd w:val="clear" w:color="000000" w:fill="CDD5E1"/>
            <w:vAlign w:val="center"/>
            <w:hideMark/>
          </w:tcPr>
          <w:p w14:paraId="70380176" w14:textId="77777777" w:rsidR="004543E3" w:rsidRPr="00395F79" w:rsidRDefault="004543E3">
            <w:pPr>
              <w:spacing w:before="0" w:after="0"/>
              <w:jc w:val="right"/>
              <w:rPr>
                <w:rFonts w:cs="Calibri Light"/>
                <w:color w:val="262626"/>
                <w:szCs w:val="22"/>
              </w:rPr>
            </w:pPr>
            <w:r w:rsidRPr="00395F79">
              <w:rPr>
                <w:rFonts w:cs="Calibri Light"/>
                <w:color w:val="262626"/>
                <w:szCs w:val="22"/>
              </w:rPr>
              <w:t>331.14</w:t>
            </w:r>
          </w:p>
        </w:tc>
      </w:tr>
      <w:tr w:rsidR="004543E3" w:rsidRPr="00647581" w14:paraId="678F8998" w14:textId="77777777">
        <w:trPr>
          <w:trHeight w:val="337"/>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7635A99" w14:textId="77777777" w:rsidR="004543E3" w:rsidRPr="00395F79" w:rsidRDefault="004543E3">
            <w:pPr>
              <w:spacing w:before="0" w:after="0"/>
              <w:rPr>
                <w:rFonts w:cs="Calibri Light"/>
                <w:b/>
                <w:bCs/>
                <w:color w:val="262626"/>
                <w:szCs w:val="22"/>
              </w:rPr>
            </w:pPr>
            <w:r w:rsidRPr="00395F79">
              <w:rPr>
                <w:rFonts w:cs="Calibri Light"/>
                <w:b/>
                <w:bCs/>
                <w:color w:val="262626"/>
                <w:szCs w:val="22"/>
              </w:rPr>
              <w:t>Transitional cost by 10</w:t>
            </w:r>
          </w:p>
        </w:tc>
        <w:tc>
          <w:tcPr>
            <w:tcW w:w="1954" w:type="dxa"/>
            <w:tcBorders>
              <w:top w:val="nil"/>
              <w:left w:val="nil"/>
              <w:bottom w:val="single" w:sz="4" w:space="0" w:color="auto"/>
              <w:right w:val="single" w:sz="4" w:space="0" w:color="auto"/>
            </w:tcBorders>
            <w:shd w:val="clear" w:color="auto" w:fill="auto"/>
            <w:vAlign w:val="center"/>
            <w:hideMark/>
          </w:tcPr>
          <w:p w14:paraId="79976410" w14:textId="77777777" w:rsidR="004543E3" w:rsidRPr="00395F79" w:rsidRDefault="004543E3">
            <w:pPr>
              <w:spacing w:before="0" w:after="0"/>
              <w:jc w:val="right"/>
              <w:rPr>
                <w:rFonts w:cs="Calibri Light"/>
                <w:color w:val="262626"/>
                <w:szCs w:val="22"/>
              </w:rPr>
            </w:pPr>
            <w:r w:rsidRPr="00395F79">
              <w:rPr>
                <w:rFonts w:cs="Calibri Light"/>
                <w:color w:val="262626"/>
                <w:szCs w:val="22"/>
              </w:rPr>
              <w:t>95.27</w:t>
            </w:r>
          </w:p>
        </w:tc>
        <w:tc>
          <w:tcPr>
            <w:tcW w:w="1181" w:type="dxa"/>
            <w:tcBorders>
              <w:top w:val="nil"/>
              <w:left w:val="nil"/>
              <w:bottom w:val="single" w:sz="4" w:space="0" w:color="auto"/>
              <w:right w:val="single" w:sz="4" w:space="0" w:color="auto"/>
            </w:tcBorders>
            <w:shd w:val="clear" w:color="auto" w:fill="auto"/>
            <w:vAlign w:val="center"/>
            <w:hideMark/>
          </w:tcPr>
          <w:p w14:paraId="3FE6BAC4" w14:textId="77777777" w:rsidR="004543E3" w:rsidRPr="00395F79" w:rsidRDefault="004543E3">
            <w:pPr>
              <w:spacing w:before="0" w:after="0"/>
              <w:jc w:val="right"/>
              <w:rPr>
                <w:rFonts w:cs="Calibri Light"/>
                <w:color w:val="262626"/>
                <w:szCs w:val="22"/>
              </w:rPr>
            </w:pPr>
            <w:r w:rsidRPr="00395F79">
              <w:rPr>
                <w:rFonts w:cs="Calibri Light"/>
                <w:color w:val="262626"/>
                <w:szCs w:val="22"/>
              </w:rPr>
              <w:t>75.59</w:t>
            </w:r>
          </w:p>
        </w:tc>
        <w:tc>
          <w:tcPr>
            <w:tcW w:w="1890" w:type="dxa"/>
            <w:tcBorders>
              <w:top w:val="nil"/>
              <w:left w:val="nil"/>
              <w:bottom w:val="single" w:sz="4" w:space="0" w:color="auto"/>
              <w:right w:val="single" w:sz="4" w:space="0" w:color="auto"/>
            </w:tcBorders>
            <w:shd w:val="clear" w:color="auto" w:fill="auto"/>
            <w:vAlign w:val="center"/>
            <w:hideMark/>
          </w:tcPr>
          <w:p w14:paraId="1197BBE9" w14:textId="77777777" w:rsidR="004543E3" w:rsidRPr="00395F79" w:rsidRDefault="004543E3">
            <w:pPr>
              <w:spacing w:before="0" w:after="0"/>
              <w:jc w:val="right"/>
              <w:rPr>
                <w:rFonts w:cs="Calibri Light"/>
                <w:color w:val="262626"/>
                <w:szCs w:val="22"/>
              </w:rPr>
            </w:pPr>
            <w:r w:rsidRPr="00395F79">
              <w:rPr>
                <w:rFonts w:cs="Calibri Light"/>
                <w:color w:val="262626"/>
                <w:szCs w:val="22"/>
              </w:rPr>
              <w:t>20.52</w:t>
            </w:r>
          </w:p>
        </w:tc>
        <w:tc>
          <w:tcPr>
            <w:tcW w:w="1503" w:type="dxa"/>
            <w:tcBorders>
              <w:top w:val="nil"/>
              <w:left w:val="nil"/>
              <w:bottom w:val="single" w:sz="4" w:space="0" w:color="auto"/>
              <w:right w:val="single" w:sz="4" w:space="0" w:color="auto"/>
            </w:tcBorders>
            <w:shd w:val="clear" w:color="auto" w:fill="auto"/>
            <w:vAlign w:val="center"/>
            <w:hideMark/>
          </w:tcPr>
          <w:p w14:paraId="051090CC" w14:textId="77777777" w:rsidR="004543E3" w:rsidRPr="00395F79" w:rsidRDefault="004543E3">
            <w:pPr>
              <w:spacing w:before="0" w:after="0"/>
              <w:jc w:val="right"/>
              <w:rPr>
                <w:rFonts w:cs="Calibri Light"/>
                <w:color w:val="262626"/>
                <w:szCs w:val="22"/>
              </w:rPr>
            </w:pPr>
            <w:r w:rsidRPr="00395F79">
              <w:rPr>
                <w:rFonts w:cs="Calibri Light"/>
                <w:color w:val="262626"/>
                <w:szCs w:val="22"/>
              </w:rPr>
              <w:t>33.11</w:t>
            </w:r>
          </w:p>
        </w:tc>
      </w:tr>
      <w:tr w:rsidR="004543E3" w:rsidRPr="00647581" w14:paraId="44586B2E" w14:textId="77777777">
        <w:trPr>
          <w:trHeight w:val="337"/>
        </w:trPr>
        <w:tc>
          <w:tcPr>
            <w:tcW w:w="2405" w:type="dxa"/>
            <w:tcBorders>
              <w:top w:val="nil"/>
              <w:left w:val="single" w:sz="4" w:space="0" w:color="auto"/>
              <w:bottom w:val="single" w:sz="4" w:space="0" w:color="auto"/>
              <w:right w:val="single" w:sz="4" w:space="0" w:color="auto"/>
            </w:tcBorders>
            <w:shd w:val="clear" w:color="000000" w:fill="CDD5E1"/>
            <w:vAlign w:val="center"/>
            <w:hideMark/>
          </w:tcPr>
          <w:p w14:paraId="089E81DC" w14:textId="77777777" w:rsidR="004543E3" w:rsidRPr="00395F79" w:rsidRDefault="004543E3">
            <w:pPr>
              <w:spacing w:before="0" w:after="0"/>
              <w:rPr>
                <w:rFonts w:cs="Calibri Light"/>
                <w:b/>
                <w:bCs/>
                <w:color w:val="262626"/>
                <w:szCs w:val="22"/>
              </w:rPr>
            </w:pPr>
            <w:r w:rsidRPr="00395F79">
              <w:rPr>
                <w:rFonts w:cs="Calibri Light"/>
                <w:b/>
                <w:bCs/>
                <w:color w:val="262626"/>
                <w:szCs w:val="22"/>
              </w:rPr>
              <w:t>Ongoing costs</w:t>
            </w:r>
          </w:p>
        </w:tc>
        <w:tc>
          <w:tcPr>
            <w:tcW w:w="1954" w:type="dxa"/>
            <w:tcBorders>
              <w:top w:val="nil"/>
              <w:left w:val="nil"/>
              <w:bottom w:val="single" w:sz="4" w:space="0" w:color="auto"/>
              <w:right w:val="single" w:sz="4" w:space="0" w:color="auto"/>
            </w:tcBorders>
            <w:shd w:val="clear" w:color="000000" w:fill="CDD5E1"/>
            <w:vAlign w:val="center"/>
            <w:hideMark/>
          </w:tcPr>
          <w:p w14:paraId="43E88F24" w14:textId="77777777" w:rsidR="004543E3" w:rsidRPr="00395F79" w:rsidRDefault="004543E3">
            <w:pPr>
              <w:spacing w:before="0" w:after="0"/>
              <w:jc w:val="right"/>
              <w:rPr>
                <w:rFonts w:cs="Calibri Light"/>
                <w:color w:val="262626"/>
                <w:szCs w:val="22"/>
              </w:rPr>
            </w:pPr>
            <w:r w:rsidRPr="00395F79">
              <w:rPr>
                <w:rFonts w:cs="Calibri Light"/>
                <w:color w:val="262626"/>
                <w:szCs w:val="22"/>
              </w:rPr>
              <w:t>520.52</w:t>
            </w:r>
          </w:p>
        </w:tc>
        <w:tc>
          <w:tcPr>
            <w:tcW w:w="1181" w:type="dxa"/>
            <w:tcBorders>
              <w:top w:val="nil"/>
              <w:left w:val="nil"/>
              <w:bottom w:val="single" w:sz="4" w:space="0" w:color="auto"/>
              <w:right w:val="single" w:sz="4" w:space="0" w:color="auto"/>
            </w:tcBorders>
            <w:shd w:val="clear" w:color="000000" w:fill="CDD5E1"/>
            <w:vAlign w:val="center"/>
            <w:hideMark/>
          </w:tcPr>
          <w:p w14:paraId="4BC83716" w14:textId="77777777" w:rsidR="004543E3" w:rsidRPr="00395F79" w:rsidRDefault="004543E3">
            <w:pPr>
              <w:spacing w:before="0" w:after="0"/>
              <w:jc w:val="right"/>
              <w:rPr>
                <w:rFonts w:cs="Calibri Light"/>
                <w:color w:val="262626"/>
                <w:szCs w:val="22"/>
              </w:rPr>
            </w:pPr>
            <w:r w:rsidRPr="00395F79">
              <w:rPr>
                <w:rFonts w:cs="Calibri Light"/>
                <w:color w:val="262626"/>
                <w:szCs w:val="22"/>
              </w:rPr>
              <w:t>412.99</w:t>
            </w:r>
          </w:p>
        </w:tc>
        <w:tc>
          <w:tcPr>
            <w:tcW w:w="1890" w:type="dxa"/>
            <w:tcBorders>
              <w:top w:val="nil"/>
              <w:left w:val="nil"/>
              <w:bottom w:val="single" w:sz="4" w:space="0" w:color="auto"/>
              <w:right w:val="single" w:sz="4" w:space="0" w:color="auto"/>
            </w:tcBorders>
            <w:shd w:val="clear" w:color="000000" w:fill="CDD5E1"/>
            <w:vAlign w:val="center"/>
            <w:hideMark/>
          </w:tcPr>
          <w:p w14:paraId="5AF62D1E" w14:textId="77777777" w:rsidR="004543E3" w:rsidRPr="00395F79" w:rsidRDefault="004543E3">
            <w:pPr>
              <w:spacing w:before="0" w:after="0"/>
              <w:jc w:val="right"/>
              <w:rPr>
                <w:rFonts w:cs="Calibri Light"/>
                <w:color w:val="262626"/>
                <w:szCs w:val="22"/>
              </w:rPr>
            </w:pPr>
            <w:r w:rsidRPr="00395F79">
              <w:rPr>
                <w:rFonts w:cs="Calibri Light"/>
                <w:color w:val="262626"/>
                <w:szCs w:val="22"/>
              </w:rPr>
              <w:t>168.31</w:t>
            </w:r>
          </w:p>
        </w:tc>
        <w:tc>
          <w:tcPr>
            <w:tcW w:w="1503" w:type="dxa"/>
            <w:tcBorders>
              <w:top w:val="nil"/>
              <w:left w:val="nil"/>
              <w:bottom w:val="single" w:sz="4" w:space="0" w:color="auto"/>
              <w:right w:val="single" w:sz="4" w:space="0" w:color="auto"/>
            </w:tcBorders>
            <w:shd w:val="clear" w:color="000000" w:fill="CDD5E1"/>
            <w:vAlign w:val="center"/>
            <w:hideMark/>
          </w:tcPr>
          <w:p w14:paraId="312DC7D8" w14:textId="77777777" w:rsidR="004543E3" w:rsidRPr="00395F79" w:rsidRDefault="004543E3">
            <w:pPr>
              <w:spacing w:before="0" w:after="0"/>
              <w:jc w:val="right"/>
              <w:rPr>
                <w:rFonts w:cs="Calibri Light"/>
                <w:color w:val="262626"/>
                <w:szCs w:val="22"/>
              </w:rPr>
            </w:pPr>
            <w:r w:rsidRPr="00395F79">
              <w:rPr>
                <w:rFonts w:cs="Calibri Light"/>
                <w:color w:val="262626"/>
                <w:szCs w:val="22"/>
              </w:rPr>
              <w:t>180.93</w:t>
            </w:r>
          </w:p>
        </w:tc>
      </w:tr>
      <w:tr w:rsidR="004543E3" w:rsidRPr="00647581" w14:paraId="1F19593A" w14:textId="77777777">
        <w:trPr>
          <w:trHeight w:val="33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4A904" w14:textId="77777777" w:rsidR="004543E3" w:rsidRPr="00395F79" w:rsidRDefault="004543E3">
            <w:pPr>
              <w:spacing w:before="0" w:after="0"/>
              <w:rPr>
                <w:rFonts w:cs="Calibri Light"/>
                <w:b/>
                <w:bCs/>
                <w:color w:val="262626"/>
                <w:szCs w:val="22"/>
              </w:rPr>
            </w:pPr>
            <w:r w:rsidRPr="00395F79">
              <w:rPr>
                <w:rFonts w:cs="Calibri Light"/>
                <w:b/>
                <w:bCs/>
                <w:color w:val="262626"/>
                <w:szCs w:val="22"/>
              </w:rPr>
              <w:t>Total compliance cost</w:t>
            </w:r>
          </w:p>
        </w:tc>
        <w:tc>
          <w:tcPr>
            <w:tcW w:w="1954" w:type="dxa"/>
            <w:tcBorders>
              <w:top w:val="single" w:sz="4" w:space="0" w:color="auto"/>
              <w:left w:val="nil"/>
              <w:bottom w:val="single" w:sz="4" w:space="0" w:color="auto"/>
              <w:right w:val="single" w:sz="4" w:space="0" w:color="auto"/>
            </w:tcBorders>
            <w:shd w:val="clear" w:color="auto" w:fill="auto"/>
            <w:vAlign w:val="center"/>
            <w:hideMark/>
          </w:tcPr>
          <w:p w14:paraId="26A4C81C" w14:textId="77777777" w:rsidR="004543E3" w:rsidRPr="00395F79" w:rsidRDefault="004543E3">
            <w:pPr>
              <w:spacing w:before="0" w:after="0"/>
              <w:jc w:val="right"/>
              <w:rPr>
                <w:rFonts w:cs="Calibri Light"/>
                <w:b/>
                <w:bCs/>
                <w:color w:val="262626"/>
                <w:szCs w:val="22"/>
              </w:rPr>
            </w:pPr>
            <w:r w:rsidRPr="00395F79">
              <w:rPr>
                <w:rFonts w:cs="Calibri Light"/>
                <w:b/>
                <w:bCs/>
                <w:color w:val="262626"/>
                <w:szCs w:val="22"/>
              </w:rPr>
              <w:t>615.79</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1A9DA2DB" w14:textId="77777777" w:rsidR="004543E3" w:rsidRPr="00395F79" w:rsidRDefault="004543E3">
            <w:pPr>
              <w:spacing w:before="0" w:after="0"/>
              <w:jc w:val="right"/>
              <w:rPr>
                <w:rFonts w:cs="Calibri Light"/>
                <w:b/>
                <w:bCs/>
                <w:color w:val="262626"/>
                <w:szCs w:val="22"/>
              </w:rPr>
            </w:pPr>
            <w:r>
              <w:rPr>
                <w:rFonts w:cs="Calibri Light"/>
                <w:b/>
                <w:bCs/>
                <w:color w:val="262626"/>
                <w:szCs w:val="22"/>
              </w:rPr>
              <w:t>618.03</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C7D6661" w14:textId="77777777" w:rsidR="004543E3" w:rsidRPr="00395F79" w:rsidRDefault="004543E3">
            <w:pPr>
              <w:spacing w:before="0" w:after="0"/>
              <w:jc w:val="right"/>
              <w:rPr>
                <w:rFonts w:cs="Calibri Light"/>
                <w:b/>
                <w:bCs/>
                <w:color w:val="262626"/>
                <w:szCs w:val="22"/>
              </w:rPr>
            </w:pPr>
            <w:r w:rsidRPr="00395F79">
              <w:rPr>
                <w:rFonts w:cs="Calibri Light"/>
                <w:b/>
                <w:bCs/>
                <w:color w:val="262626"/>
                <w:szCs w:val="22"/>
              </w:rPr>
              <w:t>188.83</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14:paraId="61CD6144" w14:textId="77777777" w:rsidR="004543E3" w:rsidRPr="00395F79" w:rsidRDefault="004543E3">
            <w:pPr>
              <w:spacing w:before="0" w:after="0"/>
              <w:jc w:val="right"/>
              <w:rPr>
                <w:rFonts w:cs="Calibri Light"/>
                <w:b/>
                <w:bCs/>
                <w:color w:val="262626"/>
                <w:szCs w:val="22"/>
              </w:rPr>
            </w:pPr>
            <w:r w:rsidRPr="00395F79">
              <w:rPr>
                <w:rFonts w:cs="Calibri Light"/>
                <w:b/>
                <w:bCs/>
                <w:color w:val="262626"/>
                <w:szCs w:val="22"/>
              </w:rPr>
              <w:t>214.04</w:t>
            </w:r>
          </w:p>
        </w:tc>
      </w:tr>
      <w:tr w:rsidR="004543E3" w:rsidRPr="00647581" w14:paraId="2B1DF635" w14:textId="77777777">
        <w:trPr>
          <w:trHeight w:val="337"/>
        </w:trPr>
        <w:tc>
          <w:tcPr>
            <w:tcW w:w="8933" w:type="dxa"/>
            <w:gridSpan w:val="5"/>
            <w:tcBorders>
              <w:top w:val="single" w:sz="4" w:space="0" w:color="auto"/>
            </w:tcBorders>
            <w:shd w:val="clear" w:color="auto" w:fill="auto"/>
            <w:vAlign w:val="center"/>
          </w:tcPr>
          <w:p w14:paraId="2A80D2A6" w14:textId="77777777" w:rsidR="004543E3" w:rsidRPr="003C55F0" w:rsidRDefault="004543E3">
            <w:pPr>
              <w:spacing w:before="0" w:after="0"/>
              <w:rPr>
                <w:rFonts w:cs="Calibri Light"/>
                <w:color w:val="262626"/>
                <w:szCs w:val="22"/>
              </w:rPr>
            </w:pPr>
            <w:r w:rsidRPr="003C55F0">
              <w:rPr>
                <w:rFonts w:cs="Calibri Light"/>
                <w:color w:val="262626"/>
                <w:sz w:val="20"/>
              </w:rPr>
              <w:t>Source: Treasury projections</w:t>
            </w:r>
          </w:p>
        </w:tc>
      </w:tr>
    </w:tbl>
    <w:p w14:paraId="0EA5A0CC" w14:textId="40B84026" w:rsidR="00B9513F" w:rsidRPr="00802C99" w:rsidRDefault="00B9513F" w:rsidP="00B9513F">
      <w:pPr>
        <w:pStyle w:val="Caption"/>
        <w:rPr>
          <w:noProof/>
        </w:rPr>
      </w:pPr>
      <w:r>
        <w:t xml:space="preserve">Chart </w:t>
      </w:r>
      <w:r w:rsidR="002B113E">
        <w:fldChar w:fldCharType="begin"/>
      </w:r>
      <w:r w:rsidR="002B113E">
        <w:instrText xml:space="preserve"> SEQ Chart \* ARABIC </w:instrText>
      </w:r>
      <w:r w:rsidR="002B113E">
        <w:fldChar w:fldCharType="separate"/>
      </w:r>
      <w:r w:rsidR="006F39F1">
        <w:rPr>
          <w:noProof/>
        </w:rPr>
        <w:t>3</w:t>
      </w:r>
      <w:r w:rsidR="002B113E">
        <w:rPr>
          <w:noProof/>
        </w:rPr>
        <w:fldChar w:fldCharType="end"/>
      </w:r>
      <w:r>
        <w:t>: Aggregate compliance burden for Option 1</w:t>
      </w:r>
    </w:p>
    <w:p w14:paraId="65876DB0" w14:textId="6203FD40" w:rsidR="00EB1629" w:rsidRPr="006150F2" w:rsidRDefault="009804CA" w:rsidP="00AE004B">
      <w:pPr>
        <w:jc w:val="center"/>
      </w:pPr>
      <w:r>
        <w:rPr>
          <w:noProof/>
        </w:rPr>
        <mc:AlternateContent>
          <mc:Choice Requires="cx1">
            <w:drawing>
              <wp:inline distT="0" distB="0" distL="0" distR="0" wp14:anchorId="08560225" wp14:editId="5E39CA47">
                <wp:extent cx="5209200" cy="2998800"/>
                <wp:effectExtent l="0" t="0" r="10795" b="11430"/>
                <wp:docPr id="3" name="Chart 3">
                  <a:extLst xmlns:a="http://schemas.openxmlformats.org/drawingml/2006/main">
                    <a:ext uri="{FF2B5EF4-FFF2-40B4-BE49-F238E27FC236}">
                      <a16:creationId xmlns:a16="http://schemas.microsoft.com/office/drawing/2014/main" id="{6ECA3206-7D48-CB22-4FDE-F76015A3CC1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1"/>
                  </a:graphicData>
                </a:graphic>
              </wp:inline>
            </w:drawing>
          </mc:Choice>
          <mc:Fallback xmlns:oel="http://schemas.microsoft.com/office/2019/extlst">
            <w:drawing>
              <wp:inline distT="0" distB="0" distL="0" distR="0" wp14:anchorId="08560225" wp14:editId="5E39CA47">
                <wp:extent cx="5209200" cy="2998800"/>
                <wp:effectExtent l="0" t="0" r="10795" b="11430"/>
                <wp:docPr id="3" name="Chart 3">
                  <a:extLst xmlns:a="http://schemas.openxmlformats.org/drawingml/2006/main">
                    <a:ext uri="{FF2B5EF4-FFF2-40B4-BE49-F238E27FC236}">
                      <a16:creationId xmlns:a16="http://schemas.microsoft.com/office/drawing/2014/main" id="{6ECA3206-7D48-CB22-4FDE-F76015A3CC1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3">
                          <a:extLst>
                            <a:ext uri="{FF2B5EF4-FFF2-40B4-BE49-F238E27FC236}">
                              <a16:creationId xmlns:a16="http://schemas.microsoft.com/office/drawing/2014/main" id="{6ECA3206-7D48-CB22-4FDE-F76015A3CC1B}"/>
                            </a:ext>
                          </a:extLst>
                        </pic:cNvPr>
                        <pic:cNvPicPr>
                          <a:picLocks noGrp="1" noRot="1" noChangeAspect="1" noMove="1" noResize="1" noEditPoints="1" noAdjustHandles="1" noChangeArrowheads="1" noChangeShapeType="1"/>
                        </pic:cNvPicPr>
                      </pic:nvPicPr>
                      <pic:blipFill>
                        <a:blip r:embed="rId30"/>
                        <a:stretch>
                          <a:fillRect/>
                        </a:stretch>
                      </pic:blipFill>
                      <pic:spPr>
                        <a:xfrm>
                          <a:off x="0" y="0"/>
                          <a:ext cx="5208905" cy="2998470"/>
                        </a:xfrm>
                        <a:prstGeom prst="rect">
                          <a:avLst/>
                        </a:prstGeom>
                      </pic:spPr>
                    </pic:pic>
                  </a:graphicData>
                </a:graphic>
              </wp:inline>
            </w:drawing>
          </mc:Fallback>
        </mc:AlternateContent>
      </w:r>
    </w:p>
    <w:p w14:paraId="7E4A7CD7" w14:textId="680546B5" w:rsidR="00011CDD" w:rsidRPr="00011CDD" w:rsidRDefault="00011CDD" w:rsidP="00011CDD">
      <w:pPr>
        <w:ind w:left="284"/>
        <w:rPr>
          <w:sz w:val="20"/>
          <w:szCs w:val="18"/>
        </w:rPr>
      </w:pPr>
      <w:r w:rsidRPr="00011CDD">
        <w:rPr>
          <w:sz w:val="20"/>
          <w:szCs w:val="18"/>
        </w:rPr>
        <w:t>Source: Treasury analysis</w:t>
      </w:r>
    </w:p>
    <w:p w14:paraId="47999253" w14:textId="2F1462CE" w:rsidR="006D301E" w:rsidRPr="00F43067" w:rsidRDefault="00EB1629" w:rsidP="006D301E">
      <w:pPr>
        <w:pStyle w:val="Heading3"/>
      </w:pPr>
      <w:bookmarkStart w:id="28" w:name="_Toc144742114"/>
      <w:r>
        <w:t xml:space="preserve">Option 1a: </w:t>
      </w:r>
      <w:r w:rsidR="006D301E">
        <w:t>Narrower coverage with Group 3 only required to report if there are material climate risks</w:t>
      </w:r>
      <w:r w:rsidR="00A767C1">
        <w:t xml:space="preserve"> and a specific threshold for </w:t>
      </w:r>
      <w:r w:rsidR="005870EB">
        <w:t>asset owners</w:t>
      </w:r>
      <w:bookmarkEnd w:id="28"/>
    </w:p>
    <w:p w14:paraId="30BDF726" w14:textId="6A8A41DB" w:rsidR="004816A9" w:rsidRDefault="004816A9" w:rsidP="004816A9">
      <w:r>
        <w:t>In this option, we expect that the numbers of disclosing entities in Group 3 would be significantly lower</w:t>
      </w:r>
      <w:r w:rsidR="00063E21">
        <w:t xml:space="preserve"> compared with Option 1. Group 1 and Group 2 numbers will be consistent with Option 1 (</w:t>
      </w:r>
      <w:proofErr w:type="spellStart"/>
      <w:r w:rsidR="00063E21">
        <w:t>i.e</w:t>
      </w:r>
      <w:proofErr w:type="spellEnd"/>
      <w:r w:rsidR="00063E21">
        <w:t xml:space="preserve"> </w:t>
      </w:r>
      <w:r w:rsidR="00063E21" w:rsidRPr="00F34EA8">
        <w:t>Group 1 will capture, at a minimum, 729 entities, Group 2 will capture, at a minimum, 755 entities</w:t>
      </w:r>
      <w:r w:rsidR="00063E21">
        <w:t>)</w:t>
      </w:r>
      <w:r>
        <w:t xml:space="preserve">. </w:t>
      </w:r>
      <w:r w:rsidRPr="00F34EA8">
        <w:t xml:space="preserve">We assume 5 per cent of companies in this group have material climate risks that they would be compelled to disclose against in accordance with the Australian standards. This brings the number of Group 3 entities to </w:t>
      </w:r>
      <w:r>
        <w:t>278.</w:t>
      </w:r>
    </w:p>
    <w:p w14:paraId="562F6F03" w14:textId="326B40D6" w:rsidR="00EB1629" w:rsidRPr="00D24A2E" w:rsidRDefault="00EB1629" w:rsidP="00EB1629">
      <w:pPr>
        <w:pStyle w:val="BodyText"/>
        <w:rPr>
          <w:rFonts w:ascii="Calibri Light" w:hAnsi="Calibri Light" w:cs="Calibri Light"/>
        </w:rPr>
      </w:pPr>
      <w:r w:rsidRPr="00D24A2E">
        <w:rPr>
          <w:rFonts w:ascii="Calibri Light" w:hAnsi="Calibri Light" w:cs="Calibri Light"/>
        </w:rPr>
        <w:t>Under Option 1a we expect the costs for Group 1, 2 and NGER entities to remain the same at $6</w:t>
      </w:r>
      <w:r w:rsidR="008D5B4C" w:rsidRPr="00D24A2E">
        <w:rPr>
          <w:rFonts w:ascii="Calibri Light" w:hAnsi="Calibri Light" w:cs="Calibri Light"/>
        </w:rPr>
        <w:t>15</w:t>
      </w:r>
      <w:r w:rsidRPr="00D24A2E">
        <w:rPr>
          <w:rFonts w:ascii="Calibri Light" w:hAnsi="Calibri Light" w:cs="Calibri Light"/>
        </w:rPr>
        <w:t>.</w:t>
      </w:r>
      <w:r w:rsidR="00AF038E">
        <w:rPr>
          <w:rFonts w:ascii="Calibri Light" w:hAnsi="Calibri Light" w:cs="Calibri Light"/>
        </w:rPr>
        <w:t>8</w:t>
      </w:r>
      <w:r w:rsidR="003F41AE">
        <w:rPr>
          <w:rFonts w:ascii="Calibri Light" w:hAnsi="Calibri Light" w:cs="Calibri Light"/>
        </w:rPr>
        <w:t> </w:t>
      </w:r>
      <w:r w:rsidRPr="00D24A2E">
        <w:rPr>
          <w:rFonts w:ascii="Calibri Light" w:hAnsi="Calibri Light" w:cs="Calibri Light"/>
        </w:rPr>
        <w:t>million, $</w:t>
      </w:r>
      <w:r w:rsidR="00837CB0">
        <w:rPr>
          <w:rFonts w:ascii="Calibri Light" w:hAnsi="Calibri Light" w:cs="Calibri Light"/>
        </w:rPr>
        <w:t>618.0</w:t>
      </w:r>
      <w:r w:rsidRPr="00D24A2E">
        <w:rPr>
          <w:rFonts w:ascii="Calibri Light" w:hAnsi="Calibri Light" w:cs="Calibri Light"/>
        </w:rPr>
        <w:t xml:space="preserve"> </w:t>
      </w:r>
      <w:proofErr w:type="gramStart"/>
      <w:r w:rsidRPr="00D24A2E">
        <w:rPr>
          <w:rFonts w:ascii="Calibri Light" w:hAnsi="Calibri Light" w:cs="Calibri Light"/>
        </w:rPr>
        <w:t>million</w:t>
      </w:r>
      <w:proofErr w:type="gramEnd"/>
      <w:r w:rsidRPr="00D24A2E">
        <w:rPr>
          <w:rFonts w:ascii="Calibri Light" w:hAnsi="Calibri Light" w:cs="Calibri Light"/>
        </w:rPr>
        <w:t xml:space="preserve"> and $21</w:t>
      </w:r>
      <w:r w:rsidR="00EC3BFD" w:rsidRPr="00D24A2E">
        <w:rPr>
          <w:rFonts w:ascii="Calibri Light" w:hAnsi="Calibri Light" w:cs="Calibri Light"/>
        </w:rPr>
        <w:t>4</w:t>
      </w:r>
      <w:r w:rsidRPr="00D24A2E">
        <w:rPr>
          <w:rFonts w:ascii="Calibri Light" w:hAnsi="Calibri Light" w:cs="Calibri Light"/>
        </w:rPr>
        <w:t>.</w:t>
      </w:r>
      <w:r w:rsidR="00AF038E">
        <w:rPr>
          <w:rFonts w:ascii="Calibri Light" w:hAnsi="Calibri Light" w:cs="Calibri Light"/>
        </w:rPr>
        <w:t>1</w:t>
      </w:r>
      <w:r w:rsidRPr="00D24A2E">
        <w:rPr>
          <w:rFonts w:ascii="Calibri Light" w:hAnsi="Calibri Light" w:cs="Calibri Light"/>
        </w:rPr>
        <w:t xml:space="preserve"> million</w:t>
      </w:r>
      <w:r w:rsidR="003F41AE">
        <w:rPr>
          <w:rFonts w:ascii="Calibri Light" w:hAnsi="Calibri Light" w:cs="Calibri Light"/>
        </w:rPr>
        <w:t xml:space="preserve"> respectively.</w:t>
      </w:r>
    </w:p>
    <w:p w14:paraId="5E04D503" w14:textId="3A95F3CA" w:rsidR="00537F2C" w:rsidRPr="003B3BBB" w:rsidRDefault="003455F4" w:rsidP="003B3BBB">
      <w:pPr>
        <w:pStyle w:val="BodyText"/>
        <w:rPr>
          <w:rFonts w:ascii="Calibri Light" w:hAnsi="Calibri Light" w:cs="Calibri Light"/>
        </w:rPr>
      </w:pPr>
      <w:r w:rsidRPr="00D24A2E">
        <w:rPr>
          <w:rFonts w:ascii="Calibri Light" w:hAnsi="Calibri Light" w:cs="Calibri Light"/>
        </w:rPr>
        <w:t>We assume that o</w:t>
      </w:r>
      <w:r w:rsidR="00EB1629" w:rsidRPr="00D24A2E">
        <w:rPr>
          <w:rFonts w:ascii="Calibri Light" w:hAnsi="Calibri Light" w:cs="Calibri Light"/>
        </w:rPr>
        <w:t xml:space="preserve">nly </w:t>
      </w:r>
      <w:r w:rsidR="00D6675B">
        <w:rPr>
          <w:rFonts w:ascii="Calibri Light" w:hAnsi="Calibri Light" w:cs="Calibri Light"/>
        </w:rPr>
        <w:t>5</w:t>
      </w:r>
      <w:r w:rsidR="00AF038E">
        <w:rPr>
          <w:rFonts w:ascii="Calibri Light" w:hAnsi="Calibri Light" w:cs="Calibri Light"/>
        </w:rPr>
        <w:t xml:space="preserve"> per cent</w:t>
      </w:r>
      <w:r w:rsidR="00EB1629" w:rsidRPr="00D24A2E">
        <w:rPr>
          <w:rFonts w:ascii="Calibri Light" w:hAnsi="Calibri Light" w:cs="Calibri Light"/>
        </w:rPr>
        <w:t xml:space="preserve"> of Group 3 companies </w:t>
      </w:r>
      <w:r w:rsidR="002737FE" w:rsidRPr="00D24A2E">
        <w:rPr>
          <w:rFonts w:ascii="Calibri Light" w:hAnsi="Calibri Light" w:cs="Calibri Light"/>
        </w:rPr>
        <w:t>(</w:t>
      </w:r>
      <w:r w:rsidR="00D6776F">
        <w:rPr>
          <w:rFonts w:ascii="Calibri Light" w:hAnsi="Calibri Light" w:cs="Calibri Light"/>
        </w:rPr>
        <w:t>278</w:t>
      </w:r>
      <w:r w:rsidR="002737FE" w:rsidRPr="00D24A2E">
        <w:rPr>
          <w:rFonts w:ascii="Calibri Light" w:hAnsi="Calibri Light" w:cs="Calibri Light"/>
        </w:rPr>
        <w:t xml:space="preserve"> entities) </w:t>
      </w:r>
      <w:r w:rsidR="00EB1629" w:rsidRPr="00D24A2E">
        <w:rPr>
          <w:rFonts w:ascii="Calibri Light" w:hAnsi="Calibri Light" w:cs="Calibri Light"/>
        </w:rPr>
        <w:t xml:space="preserve">have material climate risk </w:t>
      </w:r>
      <w:r w:rsidRPr="00D24A2E">
        <w:rPr>
          <w:rFonts w:ascii="Calibri Light" w:hAnsi="Calibri Light" w:cs="Calibri Light"/>
        </w:rPr>
        <w:t xml:space="preserve">and </w:t>
      </w:r>
      <w:r w:rsidR="00EB1629" w:rsidRPr="00D24A2E">
        <w:rPr>
          <w:rFonts w:ascii="Calibri Light" w:hAnsi="Calibri Light" w:cs="Calibri Light"/>
        </w:rPr>
        <w:t>would be required to report under Option 1a. Costs for Group 3 have been discounted by 30</w:t>
      </w:r>
      <w:r w:rsidR="00011514">
        <w:rPr>
          <w:rFonts w:ascii="Calibri Light" w:hAnsi="Calibri Light" w:cs="Calibri Light"/>
        </w:rPr>
        <w:t xml:space="preserve"> per cent</w:t>
      </w:r>
      <w:r w:rsidR="00EB1629" w:rsidRPr="00D24A2E">
        <w:rPr>
          <w:rFonts w:ascii="Calibri Light" w:hAnsi="Calibri Light" w:cs="Calibri Light"/>
        </w:rPr>
        <w:t xml:space="preserve"> as voluntary disclosures are expected to be less detailed than the others. </w:t>
      </w:r>
    </w:p>
    <w:p w14:paraId="74C2B7AE" w14:textId="3423A161" w:rsidR="00EB1629" w:rsidRDefault="00EB1629" w:rsidP="00EB1629">
      <w:pPr>
        <w:pStyle w:val="BodyText"/>
        <w:rPr>
          <w:rFonts w:ascii="Calibri Light" w:hAnsi="Calibri Light" w:cs="Calibri Light"/>
        </w:rPr>
      </w:pPr>
      <w:r w:rsidRPr="00D24A2E">
        <w:rPr>
          <w:rFonts w:ascii="Calibri Light" w:hAnsi="Calibri Light" w:cs="Calibri Light"/>
        </w:rPr>
        <w:t>At a median disclosing cost of $</w:t>
      </w:r>
      <w:r w:rsidR="007F0361" w:rsidRPr="00D24A2E">
        <w:rPr>
          <w:rFonts w:ascii="Calibri Light" w:hAnsi="Calibri Light" w:cs="Calibri Light"/>
        </w:rPr>
        <w:t>45,05</w:t>
      </w:r>
      <w:r w:rsidRPr="00D24A2E">
        <w:rPr>
          <w:rFonts w:ascii="Calibri Light" w:hAnsi="Calibri Light" w:cs="Calibri Light"/>
        </w:rPr>
        <w:t>0 and an expected long run reporting cost of $36,950 we expect costs to be</w:t>
      </w:r>
      <w:r w:rsidR="00C839F1">
        <w:rPr>
          <w:rFonts w:ascii="Calibri Light" w:hAnsi="Calibri Light" w:cs="Calibri Light"/>
        </w:rPr>
        <w:t xml:space="preserve"> as outlined in Table 1</w:t>
      </w:r>
      <w:r w:rsidR="00537F2C">
        <w:rPr>
          <w:rFonts w:ascii="Calibri Light" w:hAnsi="Calibri Light" w:cs="Calibri Light"/>
        </w:rPr>
        <w:t>2</w:t>
      </w:r>
      <w:r w:rsidR="00C839F1">
        <w:rPr>
          <w:rFonts w:ascii="Calibri Light" w:hAnsi="Calibri Light" w:cs="Calibri Light"/>
        </w:rPr>
        <w:t>.</w:t>
      </w:r>
    </w:p>
    <w:p w14:paraId="6D0D7622" w14:textId="4DDD6067" w:rsidR="00EB1629" w:rsidRPr="003B3BBB" w:rsidRDefault="00EB1629" w:rsidP="003B3BBB">
      <w:pPr>
        <w:pStyle w:val="Caption"/>
      </w:pPr>
      <w:r w:rsidRPr="003B3BBB">
        <w:t>Table 1</w:t>
      </w:r>
      <w:r w:rsidR="00537F2C" w:rsidRPr="003B3BBB">
        <w:t>2</w:t>
      </w:r>
      <w:r w:rsidRPr="003B3BBB">
        <w:t>: Adjusted compliance cost for Group 3</w:t>
      </w:r>
    </w:p>
    <w:tbl>
      <w:tblPr>
        <w:tblStyle w:val="GridTable4-Accent1"/>
        <w:tblW w:w="0" w:type="auto"/>
        <w:tblLook w:val="04A0" w:firstRow="1" w:lastRow="0" w:firstColumn="1" w:lastColumn="0" w:noHBand="0" w:noVBand="1"/>
      </w:tblPr>
      <w:tblGrid>
        <w:gridCol w:w="6258"/>
        <w:gridCol w:w="2802"/>
      </w:tblGrid>
      <w:tr w:rsidR="00EB1629" w:rsidRPr="00397D6A" w14:paraId="29C59BBD" w14:textId="77777777" w:rsidTr="00717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8" w:type="dxa"/>
          </w:tcPr>
          <w:p w14:paraId="3879F428" w14:textId="77777777" w:rsidR="00EB1629" w:rsidRPr="00B403D6" w:rsidRDefault="00EB1629" w:rsidP="007A2399">
            <w:pPr>
              <w:pStyle w:val="BodyText"/>
              <w:spacing w:after="0"/>
              <w:rPr>
                <w:rFonts w:ascii="Calibri Light" w:hAnsi="Calibri Light" w:cs="Calibri Light"/>
                <w:color w:val="FFFFFF" w:themeColor="background1"/>
                <w:sz w:val="22"/>
              </w:rPr>
            </w:pPr>
            <w:r w:rsidRPr="00B403D6">
              <w:rPr>
                <w:rFonts w:ascii="Calibri Light" w:hAnsi="Calibri Light" w:cs="Calibri Light"/>
                <w:color w:val="FFFFFF" w:themeColor="background1"/>
                <w:sz w:val="22"/>
              </w:rPr>
              <w:t>Cost</w:t>
            </w:r>
          </w:p>
        </w:tc>
        <w:tc>
          <w:tcPr>
            <w:tcW w:w="2802" w:type="dxa"/>
          </w:tcPr>
          <w:p w14:paraId="39987B79" w14:textId="1F8BFAD8" w:rsidR="00EB1629" w:rsidRPr="00B403D6" w:rsidRDefault="00EB1629" w:rsidP="007A2399">
            <w:pPr>
              <w:pStyle w:val="BodyText"/>
              <w:spacing w:after="0"/>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sz w:val="22"/>
              </w:rPr>
            </w:pPr>
            <w:r w:rsidRPr="00B403D6">
              <w:rPr>
                <w:rFonts w:ascii="Calibri Light" w:hAnsi="Calibri Light" w:cs="Calibri Light"/>
                <w:color w:val="FFFFFF" w:themeColor="background1"/>
                <w:sz w:val="22"/>
              </w:rPr>
              <w:t>Total ($m) (</w:t>
            </w:r>
            <w:r w:rsidR="00FB6E03" w:rsidRPr="00B403D6">
              <w:rPr>
                <w:rFonts w:ascii="Calibri Light" w:hAnsi="Calibri Light" w:cs="Calibri Light"/>
                <w:color w:val="FFFFFF" w:themeColor="background1"/>
                <w:sz w:val="22"/>
              </w:rPr>
              <w:t>228</w:t>
            </w:r>
            <w:r w:rsidRPr="00B403D6">
              <w:rPr>
                <w:rFonts w:ascii="Calibri Light" w:hAnsi="Calibri Light" w:cs="Calibri Light"/>
                <w:color w:val="FFFFFF" w:themeColor="background1"/>
                <w:sz w:val="22"/>
              </w:rPr>
              <w:t xml:space="preserve"> entities)</w:t>
            </w:r>
          </w:p>
        </w:tc>
      </w:tr>
      <w:tr w:rsidR="00EB1629" w:rsidRPr="003A28DE" w14:paraId="53B1F8D4" w14:textId="77777777" w:rsidTr="00717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8" w:type="dxa"/>
          </w:tcPr>
          <w:p w14:paraId="1CF45FC7" w14:textId="77777777" w:rsidR="00EB1629" w:rsidRPr="00B403D6" w:rsidRDefault="00EB1629" w:rsidP="007A2399">
            <w:pPr>
              <w:pStyle w:val="BodyText"/>
              <w:spacing w:after="0"/>
              <w:rPr>
                <w:rFonts w:ascii="Calibri Light" w:hAnsi="Calibri Light" w:cs="Calibri Light"/>
                <w:b w:val="0"/>
                <w:sz w:val="22"/>
              </w:rPr>
            </w:pPr>
            <w:r w:rsidRPr="00B403D6">
              <w:rPr>
                <w:rFonts w:ascii="Calibri Light" w:hAnsi="Calibri Light" w:cs="Calibri Light"/>
                <w:b w:val="0"/>
                <w:sz w:val="22"/>
              </w:rPr>
              <w:t>Transitional costs</w:t>
            </w:r>
          </w:p>
        </w:tc>
        <w:tc>
          <w:tcPr>
            <w:tcW w:w="2802" w:type="dxa"/>
          </w:tcPr>
          <w:p w14:paraId="660B1F05" w14:textId="67138FAA" w:rsidR="00EB1629" w:rsidRPr="00B403D6" w:rsidRDefault="00D8069B" w:rsidP="007A2399">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B403D6">
              <w:rPr>
                <w:rFonts w:ascii="Calibri Light" w:hAnsi="Calibri Light" w:cs="Calibri Light"/>
                <w:sz w:val="22"/>
              </w:rPr>
              <w:t>10.26</w:t>
            </w:r>
          </w:p>
        </w:tc>
      </w:tr>
      <w:tr w:rsidR="00EB1629" w:rsidRPr="003A28DE" w14:paraId="03979733" w14:textId="77777777" w:rsidTr="0071761D">
        <w:tc>
          <w:tcPr>
            <w:cnfStyle w:val="001000000000" w:firstRow="0" w:lastRow="0" w:firstColumn="1" w:lastColumn="0" w:oddVBand="0" w:evenVBand="0" w:oddHBand="0" w:evenHBand="0" w:firstRowFirstColumn="0" w:firstRowLastColumn="0" w:lastRowFirstColumn="0" w:lastRowLastColumn="0"/>
            <w:tcW w:w="6258" w:type="dxa"/>
          </w:tcPr>
          <w:p w14:paraId="6DA3BA13" w14:textId="77777777" w:rsidR="00EB1629" w:rsidRPr="00B403D6" w:rsidRDefault="00EB1629" w:rsidP="007A2399">
            <w:pPr>
              <w:pStyle w:val="BodyText"/>
              <w:spacing w:after="0"/>
              <w:rPr>
                <w:rFonts w:ascii="Calibri Light" w:hAnsi="Calibri Light" w:cs="Calibri Light"/>
                <w:b w:val="0"/>
                <w:sz w:val="22"/>
              </w:rPr>
            </w:pPr>
            <w:r w:rsidRPr="00B403D6">
              <w:rPr>
                <w:rFonts w:ascii="Calibri Light" w:hAnsi="Calibri Light" w:cs="Calibri Light"/>
                <w:b w:val="0"/>
                <w:sz w:val="22"/>
              </w:rPr>
              <w:t>Transitional costs by 10</w:t>
            </w:r>
          </w:p>
        </w:tc>
        <w:tc>
          <w:tcPr>
            <w:tcW w:w="2802" w:type="dxa"/>
          </w:tcPr>
          <w:p w14:paraId="3D265BAC" w14:textId="4A539A89" w:rsidR="00EB1629" w:rsidRPr="00B403D6" w:rsidRDefault="00D8069B" w:rsidP="007A2399">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B403D6">
              <w:rPr>
                <w:rFonts w:ascii="Calibri Light" w:hAnsi="Calibri Light" w:cs="Calibri Light"/>
                <w:sz w:val="22"/>
              </w:rPr>
              <w:t>1.03</w:t>
            </w:r>
          </w:p>
        </w:tc>
      </w:tr>
      <w:tr w:rsidR="00EB1629" w:rsidRPr="003A28DE" w14:paraId="28889EEF" w14:textId="77777777" w:rsidTr="00717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8" w:type="dxa"/>
          </w:tcPr>
          <w:p w14:paraId="69903E77" w14:textId="77777777" w:rsidR="00EB1629" w:rsidRPr="00B403D6" w:rsidRDefault="00EB1629" w:rsidP="007A2399">
            <w:pPr>
              <w:pStyle w:val="BodyText"/>
              <w:spacing w:after="0"/>
              <w:rPr>
                <w:rFonts w:ascii="Calibri Light" w:hAnsi="Calibri Light" w:cs="Calibri Light"/>
                <w:b w:val="0"/>
                <w:sz w:val="22"/>
              </w:rPr>
            </w:pPr>
            <w:r w:rsidRPr="00B403D6">
              <w:rPr>
                <w:rFonts w:ascii="Calibri Light" w:hAnsi="Calibri Light" w:cs="Calibri Light"/>
                <w:b w:val="0"/>
                <w:sz w:val="22"/>
              </w:rPr>
              <w:t>Ongoing cost</w:t>
            </w:r>
          </w:p>
        </w:tc>
        <w:tc>
          <w:tcPr>
            <w:tcW w:w="2802" w:type="dxa"/>
          </w:tcPr>
          <w:p w14:paraId="5DB94B3F" w14:textId="1737C8BB" w:rsidR="00EB1629" w:rsidRPr="00B403D6" w:rsidRDefault="008E417E" w:rsidP="007A2399">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rPr>
            </w:pPr>
            <w:r w:rsidRPr="00B403D6">
              <w:rPr>
                <w:rFonts w:ascii="Calibri Light" w:hAnsi="Calibri Light" w:cs="Calibri Light"/>
                <w:sz w:val="22"/>
              </w:rPr>
              <w:t>8.42</w:t>
            </w:r>
          </w:p>
        </w:tc>
      </w:tr>
      <w:tr w:rsidR="00EB1629" w:rsidRPr="003A28DE" w14:paraId="2E1BE59E" w14:textId="77777777" w:rsidTr="0071761D">
        <w:tc>
          <w:tcPr>
            <w:cnfStyle w:val="001000000000" w:firstRow="0" w:lastRow="0" w:firstColumn="1" w:lastColumn="0" w:oddVBand="0" w:evenVBand="0" w:oddHBand="0" w:evenHBand="0" w:firstRowFirstColumn="0" w:firstRowLastColumn="0" w:lastRowFirstColumn="0" w:lastRowLastColumn="0"/>
            <w:tcW w:w="6258" w:type="dxa"/>
          </w:tcPr>
          <w:p w14:paraId="1C45F1A5" w14:textId="77777777" w:rsidR="00EB1629" w:rsidRPr="00B403D6" w:rsidRDefault="00EB1629" w:rsidP="007A2399">
            <w:pPr>
              <w:pStyle w:val="BodyText"/>
              <w:spacing w:after="0"/>
              <w:rPr>
                <w:rFonts w:ascii="Calibri Light" w:hAnsi="Calibri Light" w:cs="Calibri Light"/>
                <w:b w:val="0"/>
                <w:sz w:val="22"/>
              </w:rPr>
            </w:pPr>
            <w:r w:rsidRPr="00B403D6">
              <w:rPr>
                <w:rFonts w:ascii="Calibri Light" w:hAnsi="Calibri Light" w:cs="Calibri Light"/>
                <w:sz w:val="22"/>
              </w:rPr>
              <w:t>Total compliance cost for Group 3</w:t>
            </w:r>
          </w:p>
        </w:tc>
        <w:tc>
          <w:tcPr>
            <w:tcW w:w="2802" w:type="dxa"/>
          </w:tcPr>
          <w:p w14:paraId="425410F9" w14:textId="2478CD6C" w:rsidR="00EB1629" w:rsidRPr="00B403D6" w:rsidRDefault="008E417E" w:rsidP="007A2399">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rPr>
            </w:pPr>
            <w:r w:rsidRPr="00B403D6">
              <w:rPr>
                <w:rFonts w:ascii="Calibri Light" w:hAnsi="Calibri Light" w:cs="Calibri Light"/>
                <w:sz w:val="22"/>
              </w:rPr>
              <w:t>9.44</w:t>
            </w:r>
          </w:p>
        </w:tc>
      </w:tr>
    </w:tbl>
    <w:p w14:paraId="11DF711C" w14:textId="5566AB62" w:rsidR="00EB7933" w:rsidRPr="00537F2C" w:rsidRDefault="00537F2C" w:rsidP="00EB1629">
      <w:pPr>
        <w:pStyle w:val="BodyText"/>
        <w:rPr>
          <w:rFonts w:ascii="Calibri Light" w:hAnsi="Calibri Light" w:cs="Calibri Light"/>
          <w:sz w:val="20"/>
          <w:szCs w:val="20"/>
        </w:rPr>
      </w:pPr>
      <w:r w:rsidRPr="00537F2C">
        <w:rPr>
          <w:rFonts w:ascii="Calibri Light" w:hAnsi="Calibri Light" w:cs="Calibri Light"/>
          <w:sz w:val="20"/>
          <w:szCs w:val="20"/>
        </w:rPr>
        <w:t>Source: Treasury projections</w:t>
      </w:r>
    </w:p>
    <w:p w14:paraId="086004BA" w14:textId="1AF2CC6F" w:rsidR="00EB1629" w:rsidRPr="00D24A2E" w:rsidRDefault="00EB1629" w:rsidP="00EB1629">
      <w:pPr>
        <w:pStyle w:val="BodyText"/>
        <w:rPr>
          <w:rFonts w:ascii="Calibri Light" w:hAnsi="Calibri Light" w:cs="Calibri Light"/>
        </w:rPr>
      </w:pPr>
      <w:r w:rsidRPr="00D24A2E">
        <w:rPr>
          <w:rFonts w:ascii="Calibri Light" w:hAnsi="Calibri Light" w:cs="Calibri Light"/>
        </w:rPr>
        <w:t>As seen below</w:t>
      </w:r>
      <w:r w:rsidR="006D301E">
        <w:rPr>
          <w:rFonts w:ascii="Calibri Light" w:hAnsi="Calibri Light" w:cs="Calibri Light"/>
        </w:rPr>
        <w:t xml:space="preserve"> in </w:t>
      </w:r>
      <w:r w:rsidR="006D301E" w:rsidRPr="000C4B0A">
        <w:rPr>
          <w:rFonts w:ascii="Calibri Light" w:hAnsi="Calibri Light" w:cs="Calibri Light"/>
        </w:rPr>
        <w:t xml:space="preserve">Chart </w:t>
      </w:r>
      <w:r w:rsidR="008F062E">
        <w:rPr>
          <w:rFonts w:ascii="Calibri Light" w:hAnsi="Calibri Light" w:cs="Calibri Light"/>
        </w:rPr>
        <w:t>4</w:t>
      </w:r>
      <w:r w:rsidRPr="00D24A2E">
        <w:rPr>
          <w:rFonts w:ascii="Calibri Light" w:hAnsi="Calibri Light" w:cs="Calibri Light"/>
        </w:rPr>
        <w:t>, this option reduces costs for Group 3, with the total compliance burden of option 1a falling to $1,</w:t>
      </w:r>
      <w:r w:rsidR="00D31FB4">
        <w:rPr>
          <w:rFonts w:ascii="Calibri Light" w:hAnsi="Calibri Light" w:cs="Calibri Light"/>
        </w:rPr>
        <w:t>457</w:t>
      </w:r>
      <w:r w:rsidRPr="00D24A2E">
        <w:rPr>
          <w:rFonts w:ascii="Calibri Light" w:hAnsi="Calibri Light" w:cs="Calibri Light"/>
        </w:rPr>
        <w:t>.</w:t>
      </w:r>
      <w:r w:rsidR="000F6762" w:rsidRPr="00D24A2E">
        <w:rPr>
          <w:rFonts w:ascii="Calibri Light" w:hAnsi="Calibri Light" w:cs="Calibri Light"/>
        </w:rPr>
        <w:t>3</w:t>
      </w:r>
      <w:r w:rsidRPr="00D24A2E">
        <w:rPr>
          <w:rFonts w:ascii="Calibri Light" w:hAnsi="Calibri Light" w:cs="Calibri Light"/>
        </w:rPr>
        <w:t xml:space="preserve"> million.</w:t>
      </w:r>
      <w:r w:rsidR="00617C9A">
        <w:rPr>
          <w:rFonts w:ascii="Calibri Light" w:hAnsi="Calibri Light" w:cs="Calibri Light"/>
        </w:rPr>
        <w:t xml:space="preserve"> </w:t>
      </w:r>
      <w:r w:rsidR="00DE6FFD">
        <w:rPr>
          <w:rFonts w:ascii="Calibri Light" w:hAnsi="Calibri Light" w:cs="Calibri Light"/>
        </w:rPr>
        <w:t xml:space="preserve">Although this option reduces </w:t>
      </w:r>
      <w:r w:rsidR="00271E02">
        <w:rPr>
          <w:rFonts w:ascii="Calibri Light" w:hAnsi="Calibri Light" w:cs="Calibri Light"/>
        </w:rPr>
        <w:t xml:space="preserve">the regulatory burden for </w:t>
      </w:r>
      <w:r w:rsidR="00D6326E">
        <w:rPr>
          <w:rFonts w:ascii="Calibri Light" w:hAnsi="Calibri Light" w:cs="Calibri Light"/>
        </w:rPr>
        <w:t xml:space="preserve">entities that are not captured </w:t>
      </w:r>
      <w:r w:rsidR="00312CD8">
        <w:rPr>
          <w:rFonts w:ascii="Calibri Light" w:hAnsi="Calibri Light" w:cs="Calibri Light"/>
        </w:rPr>
        <w:t>in Groups 1 and 2</w:t>
      </w:r>
      <w:r w:rsidR="00D6326E">
        <w:rPr>
          <w:rFonts w:ascii="Calibri Light" w:hAnsi="Calibri Light" w:cs="Calibri Light"/>
        </w:rPr>
        <w:t xml:space="preserve">, </w:t>
      </w:r>
      <w:r w:rsidR="00A41F2F">
        <w:rPr>
          <w:rFonts w:ascii="Calibri Light" w:hAnsi="Calibri Light" w:cs="Calibri Light"/>
        </w:rPr>
        <w:t xml:space="preserve">in some cases, Group 1 and Group 2 entities could </w:t>
      </w:r>
      <w:r w:rsidR="002134B2">
        <w:rPr>
          <w:rFonts w:ascii="Calibri Light" w:hAnsi="Calibri Light" w:cs="Calibri Light"/>
        </w:rPr>
        <w:t>ask such entities to provide their scope 1, 2 and 3 emissions to inform their disclosures.</w:t>
      </w:r>
    </w:p>
    <w:p w14:paraId="66A20732" w14:textId="43A207AA" w:rsidR="00EB1629" w:rsidRDefault="00EB1629" w:rsidP="003B3BBB">
      <w:pPr>
        <w:pStyle w:val="Caption"/>
        <w:rPr>
          <w:noProof/>
        </w:rPr>
      </w:pPr>
      <w:r>
        <w:t xml:space="preserve">Chart </w:t>
      </w:r>
      <w:r w:rsidR="002B113E">
        <w:fldChar w:fldCharType="begin"/>
      </w:r>
      <w:r w:rsidR="002B113E">
        <w:instrText xml:space="preserve"> S</w:instrText>
      </w:r>
      <w:r w:rsidR="002B113E">
        <w:instrText xml:space="preserve">EQ Chart \* ARABIC </w:instrText>
      </w:r>
      <w:r w:rsidR="002B113E">
        <w:fldChar w:fldCharType="separate"/>
      </w:r>
      <w:r w:rsidR="006F39F1">
        <w:rPr>
          <w:noProof/>
        </w:rPr>
        <w:t>4</w:t>
      </w:r>
      <w:r w:rsidR="002B113E">
        <w:rPr>
          <w:noProof/>
        </w:rPr>
        <w:fldChar w:fldCharType="end"/>
      </w:r>
      <w:r>
        <w:rPr>
          <w:noProof/>
        </w:rPr>
        <w:t xml:space="preserve">: Aggregate compliance burden </w:t>
      </w:r>
      <w:r w:rsidR="0037313A">
        <w:rPr>
          <w:noProof/>
        </w:rPr>
        <w:t>O</w:t>
      </w:r>
      <w:r>
        <w:rPr>
          <w:noProof/>
        </w:rPr>
        <w:t>ption 1</w:t>
      </w:r>
      <w:r w:rsidR="00127B0F">
        <w:rPr>
          <w:noProof/>
        </w:rPr>
        <w:t>a</w:t>
      </w:r>
    </w:p>
    <w:p w14:paraId="70FAE8C5" w14:textId="71241E19" w:rsidR="00EB1629" w:rsidRDefault="00E12B1F" w:rsidP="003B3BBB">
      <w:pPr>
        <w:jc w:val="center"/>
        <w:rPr>
          <w:noProof/>
        </w:rPr>
      </w:pPr>
      <w:r>
        <w:rPr>
          <w:noProof/>
        </w:rPr>
        <mc:AlternateContent>
          <mc:Choice Requires="cx1">
            <w:drawing>
              <wp:inline distT="0" distB="0" distL="0" distR="0" wp14:anchorId="11A397A7" wp14:editId="608C413C">
                <wp:extent cx="5210175" cy="3000375"/>
                <wp:effectExtent l="0" t="0" r="9525" b="9525"/>
                <wp:docPr id="7" name="Chart 7">
                  <a:extLst xmlns:a="http://schemas.openxmlformats.org/drawingml/2006/main">
                    <a:ext uri="{FF2B5EF4-FFF2-40B4-BE49-F238E27FC236}">
                      <a16:creationId xmlns:a16="http://schemas.microsoft.com/office/drawing/2014/main" id="{04ADDA02-2A23-DF4D-0262-50F763D1408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1"/>
                  </a:graphicData>
                </a:graphic>
              </wp:inline>
            </w:drawing>
          </mc:Choice>
          <mc:Fallback xmlns:oel="http://schemas.microsoft.com/office/2019/extlst">
            <w:drawing>
              <wp:inline distT="0" distB="0" distL="0" distR="0" wp14:anchorId="11A397A7" wp14:editId="608C413C">
                <wp:extent cx="5210175" cy="3000375"/>
                <wp:effectExtent l="0" t="0" r="9525" b="9525"/>
                <wp:docPr id="7" name="Chart 7">
                  <a:extLst xmlns:a="http://schemas.openxmlformats.org/drawingml/2006/main">
                    <a:ext uri="{FF2B5EF4-FFF2-40B4-BE49-F238E27FC236}">
                      <a16:creationId xmlns:a16="http://schemas.microsoft.com/office/drawing/2014/main" id="{04ADDA02-2A23-DF4D-0262-50F763D1408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Chart 7">
                          <a:extLst>
                            <a:ext uri="{FF2B5EF4-FFF2-40B4-BE49-F238E27FC236}">
                              <a16:creationId xmlns:a16="http://schemas.microsoft.com/office/drawing/2014/main" id="{04ADDA02-2A23-DF4D-0262-50F763D14080}"/>
                            </a:ext>
                          </a:extLst>
                        </pic:cNvPr>
                        <pic:cNvPicPr>
                          <a:picLocks noGrp="1" noRot="1" noChangeAspect="1" noMove="1" noResize="1" noEditPoints="1" noAdjustHandles="1" noChangeArrowheads="1" noChangeShapeType="1"/>
                        </pic:cNvPicPr>
                      </pic:nvPicPr>
                      <pic:blipFill>
                        <a:blip r:embed="rId32"/>
                        <a:stretch>
                          <a:fillRect/>
                        </a:stretch>
                      </pic:blipFill>
                      <pic:spPr>
                        <a:xfrm>
                          <a:off x="0" y="0"/>
                          <a:ext cx="5210175" cy="3000375"/>
                        </a:xfrm>
                        <a:prstGeom prst="rect">
                          <a:avLst/>
                        </a:prstGeom>
                      </pic:spPr>
                    </pic:pic>
                  </a:graphicData>
                </a:graphic>
              </wp:inline>
            </w:drawing>
          </mc:Fallback>
        </mc:AlternateContent>
      </w:r>
    </w:p>
    <w:p w14:paraId="5BFAAB7F" w14:textId="77777777" w:rsidR="008E4FB3" w:rsidRPr="00011CDD" w:rsidRDefault="008E4FB3" w:rsidP="008E4FB3">
      <w:pPr>
        <w:ind w:left="426"/>
        <w:rPr>
          <w:sz w:val="20"/>
          <w:szCs w:val="18"/>
        </w:rPr>
      </w:pPr>
      <w:r w:rsidRPr="00011CDD">
        <w:rPr>
          <w:sz w:val="20"/>
          <w:szCs w:val="18"/>
        </w:rPr>
        <w:t>Source: Treasury analysis</w:t>
      </w:r>
    </w:p>
    <w:p w14:paraId="6DFD444D" w14:textId="775E0737" w:rsidR="00755ECF" w:rsidRDefault="00F428B2" w:rsidP="00755ECF">
      <w:pPr>
        <w:pStyle w:val="Heading3"/>
        <w:rPr>
          <w:lang w:eastAsia="en-US"/>
        </w:rPr>
      </w:pPr>
      <w:bookmarkStart w:id="29" w:name="_Toc144742115"/>
      <w:r>
        <w:rPr>
          <w:lang w:eastAsia="en-US"/>
        </w:rPr>
        <w:t xml:space="preserve">Option 1b: </w:t>
      </w:r>
      <w:r w:rsidR="00EC068C" w:rsidRPr="00EC068C">
        <w:rPr>
          <w:lang w:eastAsia="en-US"/>
        </w:rPr>
        <w:t>Narrower coverage and changes to assurance framework</w:t>
      </w:r>
      <w:bookmarkEnd w:id="29"/>
    </w:p>
    <w:p w14:paraId="144837D0" w14:textId="717E2089" w:rsidR="00E00B07" w:rsidRDefault="00E00B07" w:rsidP="00755ECF">
      <w:r>
        <w:t xml:space="preserve">We have assumed the number of entities covered under Option 1b to be consistent with that of Option 1a, </w:t>
      </w:r>
      <w:proofErr w:type="gramStart"/>
      <w:r>
        <w:t>i.e.</w:t>
      </w:r>
      <w:proofErr w:type="gramEnd"/>
      <w:r>
        <w:t xml:space="preserve"> </w:t>
      </w:r>
      <w:r w:rsidRPr="006403F5">
        <w:t>729 entities in Group 1, 755 entities in Group 2 and 278 entities in Group 3</w:t>
      </w:r>
      <w:r>
        <w:t>.</w:t>
      </w:r>
    </w:p>
    <w:p w14:paraId="588AD4AD" w14:textId="44B99D62" w:rsidR="00BE338F" w:rsidRDefault="00755ECF" w:rsidP="00755ECF">
      <w:pPr>
        <w:rPr>
          <w:lang w:eastAsia="en-US"/>
        </w:rPr>
      </w:pPr>
      <w:r>
        <w:rPr>
          <w:lang w:eastAsia="en-US"/>
        </w:rPr>
        <w:t>We expec</w:t>
      </w:r>
      <w:r w:rsidR="00B46080">
        <w:rPr>
          <w:lang w:eastAsia="en-US"/>
        </w:rPr>
        <w:t xml:space="preserve">t the same cost for Group 3 as they </w:t>
      </w:r>
      <w:r w:rsidR="00425AA9">
        <w:rPr>
          <w:lang w:eastAsia="en-US"/>
        </w:rPr>
        <w:t xml:space="preserve">are already expected to </w:t>
      </w:r>
      <w:r w:rsidR="003F3F6C">
        <w:rPr>
          <w:lang w:eastAsia="en-US"/>
        </w:rPr>
        <w:t>have l</w:t>
      </w:r>
      <w:r w:rsidR="0043272F">
        <w:rPr>
          <w:lang w:eastAsia="en-US"/>
        </w:rPr>
        <w:t>imited assurance.</w:t>
      </w:r>
      <w:r w:rsidR="00BA2770">
        <w:rPr>
          <w:lang w:eastAsia="en-US"/>
        </w:rPr>
        <w:t xml:space="preserve"> We </w:t>
      </w:r>
      <w:proofErr w:type="gramStart"/>
      <w:r w:rsidR="00BA2770">
        <w:rPr>
          <w:lang w:eastAsia="en-US"/>
        </w:rPr>
        <w:t>make adjustments to</w:t>
      </w:r>
      <w:proofErr w:type="gramEnd"/>
      <w:r w:rsidR="00BA2770">
        <w:rPr>
          <w:lang w:eastAsia="en-US"/>
        </w:rPr>
        <w:t xml:space="preserve"> the cost of assurance </w:t>
      </w:r>
      <w:r w:rsidR="004706F0">
        <w:rPr>
          <w:lang w:eastAsia="en-US"/>
        </w:rPr>
        <w:t>to the limited level for Groups 1, 2 and NGER reporters.</w:t>
      </w:r>
    </w:p>
    <w:p w14:paraId="1099C27C" w14:textId="77777777" w:rsidR="00BE338F" w:rsidRPr="003B3BBB" w:rsidRDefault="00BE338F" w:rsidP="003B3BBB">
      <w:pPr>
        <w:pStyle w:val="Caption"/>
      </w:pPr>
      <w:r w:rsidRPr="003B3BBB">
        <w:t>Table 13: Total cost per entity under option 1b</w:t>
      </w:r>
    </w:p>
    <w:tbl>
      <w:tblPr>
        <w:tblW w:w="8862" w:type="dxa"/>
        <w:tblLook w:val="04A0" w:firstRow="1" w:lastRow="0" w:firstColumn="1" w:lastColumn="0" w:noHBand="0" w:noVBand="1"/>
      </w:tblPr>
      <w:tblGrid>
        <w:gridCol w:w="4733"/>
        <w:gridCol w:w="2240"/>
        <w:gridCol w:w="1889"/>
      </w:tblGrid>
      <w:tr w:rsidR="00BE338F" w:rsidRPr="00684079" w14:paraId="5E800D0B" w14:textId="77777777" w:rsidTr="00E969C2">
        <w:trPr>
          <w:trHeight w:val="440"/>
          <w:tblHeader/>
        </w:trPr>
        <w:tc>
          <w:tcPr>
            <w:tcW w:w="4733" w:type="dxa"/>
            <w:tcBorders>
              <w:top w:val="nil"/>
              <w:left w:val="single" w:sz="8" w:space="0" w:color="2C384A"/>
              <w:bottom w:val="nil"/>
              <w:right w:val="nil"/>
            </w:tcBorders>
            <w:shd w:val="clear" w:color="000000" w:fill="2C384A"/>
            <w:vAlign w:val="center"/>
            <w:hideMark/>
          </w:tcPr>
          <w:p w14:paraId="75C6CA50" w14:textId="77777777" w:rsidR="00BE338F" w:rsidRPr="008316CD" w:rsidRDefault="00BE338F">
            <w:pPr>
              <w:spacing w:before="0" w:after="0"/>
              <w:rPr>
                <w:rFonts w:cs="Calibri Light"/>
                <w:b/>
                <w:bCs/>
                <w:color w:val="FFFFFF"/>
                <w:szCs w:val="22"/>
              </w:rPr>
            </w:pPr>
            <w:r w:rsidRPr="008316CD">
              <w:rPr>
                <w:rFonts w:cs="Calibri Light"/>
                <w:b/>
                <w:bCs/>
                <w:color w:val="FFFFFF"/>
                <w:szCs w:val="22"/>
              </w:rPr>
              <w:t>Activity</w:t>
            </w:r>
          </w:p>
        </w:tc>
        <w:tc>
          <w:tcPr>
            <w:tcW w:w="2240" w:type="dxa"/>
            <w:tcBorders>
              <w:top w:val="nil"/>
              <w:left w:val="nil"/>
              <w:bottom w:val="nil"/>
              <w:right w:val="single" w:sz="8" w:space="0" w:color="2C384A"/>
            </w:tcBorders>
            <w:shd w:val="clear" w:color="000000" w:fill="2C384A"/>
            <w:vAlign w:val="center"/>
            <w:hideMark/>
          </w:tcPr>
          <w:p w14:paraId="664C52E6" w14:textId="77777777" w:rsidR="00BE338F" w:rsidRPr="008316CD" w:rsidRDefault="00BE338F">
            <w:pPr>
              <w:spacing w:before="0" w:after="0"/>
              <w:rPr>
                <w:rFonts w:cs="Calibri Light"/>
                <w:b/>
                <w:bCs/>
                <w:color w:val="FFFFFF"/>
                <w:szCs w:val="22"/>
              </w:rPr>
            </w:pPr>
            <w:r w:rsidRPr="008316CD">
              <w:rPr>
                <w:rFonts w:cs="Calibri Light"/>
                <w:b/>
                <w:bCs/>
                <w:color w:val="FFFFFF"/>
                <w:szCs w:val="22"/>
              </w:rPr>
              <w:t>Transitional cost ($)</w:t>
            </w:r>
          </w:p>
        </w:tc>
        <w:tc>
          <w:tcPr>
            <w:tcW w:w="1889" w:type="dxa"/>
            <w:tcBorders>
              <w:top w:val="nil"/>
              <w:left w:val="nil"/>
              <w:bottom w:val="nil"/>
              <w:right w:val="single" w:sz="8" w:space="0" w:color="2C384A"/>
            </w:tcBorders>
            <w:shd w:val="clear" w:color="000000" w:fill="2C384A"/>
            <w:vAlign w:val="center"/>
            <w:hideMark/>
          </w:tcPr>
          <w:p w14:paraId="19153ADE" w14:textId="77777777" w:rsidR="00BE338F" w:rsidRPr="008316CD" w:rsidRDefault="00BE338F">
            <w:pPr>
              <w:spacing w:before="0" w:after="0"/>
              <w:rPr>
                <w:rFonts w:cs="Calibri Light"/>
                <w:b/>
                <w:bCs/>
                <w:color w:val="FFFFFF"/>
                <w:szCs w:val="22"/>
              </w:rPr>
            </w:pPr>
            <w:r w:rsidRPr="008316CD">
              <w:rPr>
                <w:rFonts w:cs="Calibri Light"/>
                <w:b/>
                <w:bCs/>
                <w:color w:val="FFFFFF"/>
                <w:szCs w:val="22"/>
              </w:rPr>
              <w:t>Ongoing cost ($)</w:t>
            </w:r>
          </w:p>
        </w:tc>
      </w:tr>
      <w:tr w:rsidR="00BE338F" w:rsidRPr="00684079" w14:paraId="21704237" w14:textId="77777777">
        <w:trPr>
          <w:trHeight w:val="20"/>
        </w:trPr>
        <w:tc>
          <w:tcPr>
            <w:tcW w:w="4733" w:type="dxa"/>
            <w:tcBorders>
              <w:top w:val="single" w:sz="4" w:space="0" w:color="auto"/>
              <w:left w:val="single" w:sz="4" w:space="0" w:color="auto"/>
              <w:bottom w:val="single" w:sz="4" w:space="0" w:color="auto"/>
              <w:right w:val="single" w:sz="4" w:space="0" w:color="auto"/>
            </w:tcBorders>
            <w:shd w:val="clear" w:color="000000" w:fill="CDD5E1"/>
            <w:vAlign w:val="center"/>
            <w:hideMark/>
          </w:tcPr>
          <w:p w14:paraId="71815A40" w14:textId="77777777" w:rsidR="00BE338F" w:rsidRPr="008316CD" w:rsidRDefault="00BE338F">
            <w:pPr>
              <w:spacing w:before="0" w:after="0"/>
              <w:rPr>
                <w:rFonts w:cs="Calibri Light"/>
                <w:b/>
                <w:bCs/>
                <w:color w:val="262626"/>
                <w:szCs w:val="22"/>
              </w:rPr>
            </w:pPr>
            <w:r w:rsidRPr="008316CD">
              <w:rPr>
                <w:rFonts w:cs="Calibri Light"/>
                <w:b/>
                <w:bCs/>
                <w:color w:val="262626"/>
                <w:szCs w:val="22"/>
              </w:rPr>
              <w:t>Familiarisation and education costs</w:t>
            </w:r>
          </w:p>
        </w:tc>
        <w:tc>
          <w:tcPr>
            <w:tcW w:w="2240" w:type="dxa"/>
            <w:tcBorders>
              <w:top w:val="single" w:sz="4" w:space="0" w:color="auto"/>
              <w:left w:val="nil"/>
              <w:bottom w:val="single" w:sz="4" w:space="0" w:color="auto"/>
              <w:right w:val="single" w:sz="4" w:space="0" w:color="auto"/>
            </w:tcBorders>
            <w:shd w:val="clear" w:color="000000" w:fill="CDD5E1"/>
            <w:vAlign w:val="center"/>
            <w:hideMark/>
          </w:tcPr>
          <w:p w14:paraId="0A7041BD" w14:textId="77777777" w:rsidR="00BE338F" w:rsidRPr="008316CD" w:rsidRDefault="00BE338F">
            <w:pPr>
              <w:spacing w:before="0" w:after="0"/>
              <w:jc w:val="right"/>
              <w:rPr>
                <w:rFonts w:cs="Calibri Light"/>
                <w:color w:val="262626"/>
                <w:szCs w:val="22"/>
              </w:rPr>
            </w:pPr>
            <w:r w:rsidRPr="008316CD">
              <w:rPr>
                <w:rFonts w:cs="Calibri Light"/>
                <w:color w:val="262626"/>
                <w:szCs w:val="22"/>
              </w:rPr>
              <w:t>116,960</w:t>
            </w:r>
          </w:p>
        </w:tc>
        <w:tc>
          <w:tcPr>
            <w:tcW w:w="1889" w:type="dxa"/>
            <w:tcBorders>
              <w:top w:val="single" w:sz="4" w:space="0" w:color="auto"/>
              <w:left w:val="nil"/>
              <w:bottom w:val="single" w:sz="4" w:space="0" w:color="auto"/>
              <w:right w:val="single" w:sz="4" w:space="0" w:color="auto"/>
            </w:tcBorders>
            <w:shd w:val="clear" w:color="000000" w:fill="CDD5E1"/>
            <w:vAlign w:val="center"/>
            <w:hideMark/>
          </w:tcPr>
          <w:p w14:paraId="0F96A623" w14:textId="77777777" w:rsidR="00BE338F" w:rsidRPr="008316CD" w:rsidRDefault="00BE338F">
            <w:pPr>
              <w:spacing w:before="0" w:after="0"/>
              <w:jc w:val="right"/>
              <w:rPr>
                <w:rFonts w:cs="Calibri Light"/>
                <w:color w:val="262626"/>
                <w:szCs w:val="22"/>
              </w:rPr>
            </w:pPr>
            <w:r w:rsidRPr="008316CD">
              <w:rPr>
                <w:rFonts w:cs="Calibri Light"/>
                <w:color w:val="262626"/>
                <w:szCs w:val="22"/>
              </w:rPr>
              <w:t>0</w:t>
            </w:r>
          </w:p>
        </w:tc>
      </w:tr>
      <w:tr w:rsidR="00BE338F" w:rsidRPr="00684079" w14:paraId="006324BE" w14:textId="77777777">
        <w:trPr>
          <w:trHeight w:val="20"/>
        </w:trPr>
        <w:tc>
          <w:tcPr>
            <w:tcW w:w="4733" w:type="dxa"/>
            <w:tcBorders>
              <w:top w:val="nil"/>
              <w:left w:val="single" w:sz="4" w:space="0" w:color="auto"/>
              <w:bottom w:val="single" w:sz="4" w:space="0" w:color="auto"/>
              <w:right w:val="single" w:sz="4" w:space="0" w:color="auto"/>
            </w:tcBorders>
            <w:shd w:val="clear" w:color="auto" w:fill="auto"/>
            <w:vAlign w:val="center"/>
            <w:hideMark/>
          </w:tcPr>
          <w:p w14:paraId="6AA905FB" w14:textId="77777777" w:rsidR="00BE338F" w:rsidRPr="008316CD" w:rsidRDefault="00BE338F">
            <w:pPr>
              <w:spacing w:before="0" w:after="0"/>
              <w:rPr>
                <w:rFonts w:cs="Calibri Light"/>
                <w:b/>
                <w:bCs/>
                <w:color w:val="262626"/>
                <w:szCs w:val="22"/>
              </w:rPr>
            </w:pPr>
            <w:r w:rsidRPr="008316CD">
              <w:rPr>
                <w:rFonts w:cs="Calibri Light"/>
                <w:b/>
                <w:bCs/>
                <w:color w:val="262626"/>
                <w:szCs w:val="22"/>
              </w:rPr>
              <w:t>Legal review</w:t>
            </w:r>
          </w:p>
        </w:tc>
        <w:tc>
          <w:tcPr>
            <w:tcW w:w="2240" w:type="dxa"/>
            <w:tcBorders>
              <w:top w:val="nil"/>
              <w:left w:val="nil"/>
              <w:bottom w:val="single" w:sz="4" w:space="0" w:color="auto"/>
              <w:right w:val="single" w:sz="4" w:space="0" w:color="auto"/>
            </w:tcBorders>
            <w:shd w:val="clear" w:color="auto" w:fill="auto"/>
            <w:vAlign w:val="center"/>
            <w:hideMark/>
          </w:tcPr>
          <w:p w14:paraId="71574B64" w14:textId="77777777" w:rsidR="00BE338F" w:rsidRPr="008316CD" w:rsidRDefault="00BE338F">
            <w:pPr>
              <w:spacing w:before="0" w:after="0"/>
              <w:jc w:val="right"/>
              <w:rPr>
                <w:rFonts w:cs="Calibri Light"/>
                <w:color w:val="262626"/>
                <w:szCs w:val="22"/>
              </w:rPr>
            </w:pPr>
            <w:r w:rsidRPr="008316CD">
              <w:rPr>
                <w:rFonts w:cs="Calibri Light"/>
                <w:color w:val="262626"/>
                <w:szCs w:val="22"/>
              </w:rPr>
              <w:t>10,472</w:t>
            </w:r>
          </w:p>
        </w:tc>
        <w:tc>
          <w:tcPr>
            <w:tcW w:w="1889" w:type="dxa"/>
            <w:tcBorders>
              <w:top w:val="nil"/>
              <w:left w:val="nil"/>
              <w:bottom w:val="single" w:sz="4" w:space="0" w:color="auto"/>
              <w:right w:val="single" w:sz="4" w:space="0" w:color="auto"/>
            </w:tcBorders>
            <w:shd w:val="clear" w:color="auto" w:fill="auto"/>
            <w:vAlign w:val="center"/>
            <w:hideMark/>
          </w:tcPr>
          <w:p w14:paraId="3CF43A08" w14:textId="77777777" w:rsidR="00BE338F" w:rsidRPr="008316CD" w:rsidRDefault="00BE338F">
            <w:pPr>
              <w:spacing w:before="0" w:after="0"/>
              <w:jc w:val="right"/>
              <w:rPr>
                <w:rFonts w:cs="Calibri Light"/>
                <w:color w:val="262626"/>
                <w:szCs w:val="22"/>
              </w:rPr>
            </w:pPr>
            <w:r w:rsidRPr="008316CD">
              <w:rPr>
                <w:rFonts w:cs="Calibri Light"/>
                <w:color w:val="262626"/>
                <w:szCs w:val="22"/>
              </w:rPr>
              <w:t>7,854</w:t>
            </w:r>
          </w:p>
        </w:tc>
      </w:tr>
      <w:tr w:rsidR="00BE338F" w:rsidRPr="00684079" w14:paraId="066D5645" w14:textId="77777777">
        <w:trPr>
          <w:trHeight w:val="20"/>
        </w:trPr>
        <w:tc>
          <w:tcPr>
            <w:tcW w:w="4733" w:type="dxa"/>
            <w:tcBorders>
              <w:top w:val="nil"/>
              <w:left w:val="single" w:sz="4" w:space="0" w:color="auto"/>
              <w:bottom w:val="single" w:sz="4" w:space="0" w:color="auto"/>
              <w:right w:val="single" w:sz="4" w:space="0" w:color="auto"/>
            </w:tcBorders>
            <w:shd w:val="clear" w:color="000000" w:fill="CDD5E1"/>
            <w:vAlign w:val="center"/>
            <w:hideMark/>
          </w:tcPr>
          <w:p w14:paraId="76854CB6" w14:textId="77777777" w:rsidR="00BE338F" w:rsidRPr="008316CD" w:rsidRDefault="00BE338F">
            <w:pPr>
              <w:spacing w:before="0" w:after="0"/>
              <w:rPr>
                <w:rFonts w:cs="Calibri Light"/>
                <w:b/>
                <w:bCs/>
                <w:color w:val="262626"/>
                <w:szCs w:val="22"/>
              </w:rPr>
            </w:pPr>
            <w:r w:rsidRPr="008316CD">
              <w:rPr>
                <w:rFonts w:cs="Calibri Light"/>
                <w:b/>
                <w:bCs/>
                <w:color w:val="262626"/>
                <w:szCs w:val="22"/>
              </w:rPr>
              <w:t>Systems changes</w:t>
            </w:r>
          </w:p>
        </w:tc>
        <w:tc>
          <w:tcPr>
            <w:tcW w:w="2240" w:type="dxa"/>
            <w:tcBorders>
              <w:top w:val="nil"/>
              <w:left w:val="nil"/>
              <w:bottom w:val="single" w:sz="4" w:space="0" w:color="auto"/>
              <w:right w:val="single" w:sz="4" w:space="0" w:color="auto"/>
            </w:tcBorders>
            <w:shd w:val="clear" w:color="000000" w:fill="CDD5E1"/>
            <w:vAlign w:val="center"/>
            <w:hideMark/>
          </w:tcPr>
          <w:p w14:paraId="72DCCB17" w14:textId="77777777" w:rsidR="00BE338F" w:rsidRPr="008316CD" w:rsidRDefault="00BE338F">
            <w:pPr>
              <w:spacing w:before="0" w:after="0"/>
              <w:jc w:val="right"/>
              <w:rPr>
                <w:rFonts w:cs="Calibri Light"/>
                <w:color w:val="262626"/>
                <w:szCs w:val="22"/>
              </w:rPr>
            </w:pPr>
            <w:r w:rsidRPr="008316CD">
              <w:rPr>
                <w:rFonts w:cs="Calibri Light"/>
                <w:color w:val="262626"/>
                <w:szCs w:val="22"/>
              </w:rPr>
              <w:t>245,000</w:t>
            </w:r>
          </w:p>
        </w:tc>
        <w:tc>
          <w:tcPr>
            <w:tcW w:w="1889" w:type="dxa"/>
            <w:tcBorders>
              <w:top w:val="nil"/>
              <w:left w:val="nil"/>
              <w:bottom w:val="single" w:sz="4" w:space="0" w:color="auto"/>
              <w:right w:val="single" w:sz="4" w:space="0" w:color="auto"/>
            </w:tcBorders>
            <w:shd w:val="clear" w:color="000000" w:fill="CDD5E1"/>
            <w:vAlign w:val="center"/>
            <w:hideMark/>
          </w:tcPr>
          <w:p w14:paraId="1B682C04" w14:textId="77777777" w:rsidR="00BE338F" w:rsidRPr="008316CD" w:rsidRDefault="00BE338F">
            <w:pPr>
              <w:spacing w:before="0" w:after="0"/>
              <w:jc w:val="right"/>
              <w:rPr>
                <w:rFonts w:cs="Calibri Light"/>
                <w:color w:val="262626"/>
                <w:szCs w:val="22"/>
              </w:rPr>
            </w:pPr>
            <w:r w:rsidRPr="008316CD">
              <w:rPr>
                <w:rFonts w:cs="Calibri Light"/>
                <w:color w:val="262626"/>
                <w:szCs w:val="22"/>
              </w:rPr>
              <w:t>0</w:t>
            </w:r>
          </w:p>
        </w:tc>
      </w:tr>
      <w:tr w:rsidR="00BE338F" w:rsidRPr="00684079" w14:paraId="587A5AAF" w14:textId="77777777">
        <w:trPr>
          <w:trHeight w:val="20"/>
        </w:trPr>
        <w:tc>
          <w:tcPr>
            <w:tcW w:w="4733" w:type="dxa"/>
            <w:tcBorders>
              <w:top w:val="nil"/>
              <w:left w:val="single" w:sz="4" w:space="0" w:color="auto"/>
              <w:bottom w:val="single" w:sz="4" w:space="0" w:color="auto"/>
              <w:right w:val="single" w:sz="4" w:space="0" w:color="auto"/>
            </w:tcBorders>
            <w:shd w:val="clear" w:color="auto" w:fill="auto"/>
            <w:vAlign w:val="center"/>
            <w:hideMark/>
          </w:tcPr>
          <w:p w14:paraId="2B934D1D" w14:textId="77777777" w:rsidR="00BE338F" w:rsidRPr="008316CD" w:rsidRDefault="00BE338F">
            <w:pPr>
              <w:spacing w:before="0" w:after="0"/>
              <w:rPr>
                <w:rFonts w:cs="Calibri Light"/>
                <w:b/>
                <w:bCs/>
                <w:color w:val="262626"/>
                <w:szCs w:val="22"/>
              </w:rPr>
            </w:pPr>
            <w:r w:rsidRPr="008316CD">
              <w:rPr>
                <w:rFonts w:cs="Calibri Light"/>
                <w:b/>
                <w:bCs/>
                <w:color w:val="262626"/>
                <w:szCs w:val="22"/>
              </w:rPr>
              <w:t>Data collection</w:t>
            </w:r>
          </w:p>
        </w:tc>
        <w:tc>
          <w:tcPr>
            <w:tcW w:w="2240" w:type="dxa"/>
            <w:tcBorders>
              <w:top w:val="nil"/>
              <w:left w:val="nil"/>
              <w:bottom w:val="single" w:sz="4" w:space="0" w:color="auto"/>
              <w:right w:val="single" w:sz="4" w:space="0" w:color="auto"/>
            </w:tcBorders>
            <w:shd w:val="clear" w:color="auto" w:fill="auto"/>
            <w:vAlign w:val="center"/>
            <w:hideMark/>
          </w:tcPr>
          <w:p w14:paraId="4D022647" w14:textId="77777777" w:rsidR="00BE338F" w:rsidRPr="008316CD" w:rsidRDefault="00BE338F">
            <w:pPr>
              <w:spacing w:before="0" w:after="0"/>
              <w:jc w:val="right"/>
              <w:rPr>
                <w:rFonts w:cs="Calibri Light"/>
                <w:color w:val="262626"/>
                <w:szCs w:val="22"/>
              </w:rPr>
            </w:pPr>
            <w:r w:rsidRPr="008316CD">
              <w:rPr>
                <w:rFonts w:cs="Calibri Light"/>
                <w:color w:val="262626"/>
                <w:szCs w:val="22"/>
              </w:rPr>
              <w:t>245,000</w:t>
            </w:r>
          </w:p>
        </w:tc>
        <w:tc>
          <w:tcPr>
            <w:tcW w:w="1889" w:type="dxa"/>
            <w:tcBorders>
              <w:top w:val="nil"/>
              <w:left w:val="nil"/>
              <w:bottom w:val="single" w:sz="4" w:space="0" w:color="auto"/>
              <w:right w:val="single" w:sz="4" w:space="0" w:color="auto"/>
            </w:tcBorders>
            <w:shd w:val="clear" w:color="auto" w:fill="auto"/>
            <w:vAlign w:val="center"/>
            <w:hideMark/>
          </w:tcPr>
          <w:p w14:paraId="66835C57" w14:textId="77777777" w:rsidR="00BE338F" w:rsidRPr="008316CD" w:rsidRDefault="00BE338F">
            <w:pPr>
              <w:spacing w:before="0" w:after="0"/>
              <w:jc w:val="right"/>
              <w:rPr>
                <w:rFonts w:cs="Calibri Light"/>
                <w:color w:val="262626"/>
                <w:szCs w:val="22"/>
              </w:rPr>
            </w:pPr>
            <w:r w:rsidRPr="008316CD">
              <w:rPr>
                <w:rFonts w:cs="Calibri Light"/>
                <w:color w:val="262626"/>
                <w:szCs w:val="22"/>
              </w:rPr>
              <w:t>242,550</w:t>
            </w:r>
          </w:p>
        </w:tc>
      </w:tr>
      <w:tr w:rsidR="00BE338F" w:rsidRPr="00684079" w14:paraId="4BA43A1E" w14:textId="77777777">
        <w:trPr>
          <w:trHeight w:val="20"/>
        </w:trPr>
        <w:tc>
          <w:tcPr>
            <w:tcW w:w="4733" w:type="dxa"/>
            <w:tcBorders>
              <w:top w:val="nil"/>
              <w:left w:val="single" w:sz="4" w:space="0" w:color="auto"/>
              <w:bottom w:val="single" w:sz="4" w:space="0" w:color="auto"/>
              <w:right w:val="single" w:sz="4" w:space="0" w:color="auto"/>
            </w:tcBorders>
            <w:shd w:val="clear" w:color="000000" w:fill="CDD5E1"/>
            <w:vAlign w:val="center"/>
            <w:hideMark/>
          </w:tcPr>
          <w:p w14:paraId="68F5C6AF" w14:textId="77777777" w:rsidR="00BE338F" w:rsidRPr="008316CD" w:rsidRDefault="00BE338F">
            <w:pPr>
              <w:spacing w:before="0" w:after="0"/>
              <w:rPr>
                <w:rFonts w:cs="Calibri Light"/>
                <w:b/>
                <w:bCs/>
                <w:color w:val="262626"/>
                <w:szCs w:val="22"/>
              </w:rPr>
            </w:pPr>
            <w:r w:rsidRPr="008316CD">
              <w:rPr>
                <w:rFonts w:cs="Calibri Light"/>
                <w:b/>
                <w:bCs/>
                <w:color w:val="262626"/>
                <w:szCs w:val="22"/>
              </w:rPr>
              <w:t>Scenario analysis</w:t>
            </w:r>
          </w:p>
        </w:tc>
        <w:tc>
          <w:tcPr>
            <w:tcW w:w="2240" w:type="dxa"/>
            <w:tcBorders>
              <w:top w:val="nil"/>
              <w:left w:val="nil"/>
              <w:bottom w:val="single" w:sz="4" w:space="0" w:color="auto"/>
              <w:right w:val="single" w:sz="4" w:space="0" w:color="auto"/>
            </w:tcBorders>
            <w:shd w:val="clear" w:color="000000" w:fill="CDD5E1"/>
            <w:vAlign w:val="center"/>
            <w:hideMark/>
          </w:tcPr>
          <w:p w14:paraId="37D422FB" w14:textId="77777777" w:rsidR="00BE338F" w:rsidRPr="008316CD" w:rsidRDefault="00BE338F">
            <w:pPr>
              <w:spacing w:before="0" w:after="0"/>
              <w:jc w:val="right"/>
              <w:rPr>
                <w:rFonts w:cs="Calibri Light"/>
                <w:color w:val="262626"/>
                <w:szCs w:val="22"/>
              </w:rPr>
            </w:pPr>
            <w:r w:rsidRPr="008316CD">
              <w:rPr>
                <w:rFonts w:cs="Calibri Light"/>
                <w:color w:val="262626"/>
                <w:szCs w:val="22"/>
              </w:rPr>
              <w:t>245,000</w:t>
            </w:r>
          </w:p>
        </w:tc>
        <w:tc>
          <w:tcPr>
            <w:tcW w:w="1889" w:type="dxa"/>
            <w:tcBorders>
              <w:top w:val="nil"/>
              <w:left w:val="nil"/>
              <w:bottom w:val="single" w:sz="4" w:space="0" w:color="auto"/>
              <w:right w:val="single" w:sz="4" w:space="0" w:color="auto"/>
            </w:tcBorders>
            <w:shd w:val="clear" w:color="000000" w:fill="CDD5E1"/>
            <w:vAlign w:val="center"/>
            <w:hideMark/>
          </w:tcPr>
          <w:p w14:paraId="604ED73D" w14:textId="77777777" w:rsidR="00BE338F" w:rsidRPr="008316CD" w:rsidRDefault="00BE338F">
            <w:pPr>
              <w:spacing w:before="0" w:after="0"/>
              <w:jc w:val="right"/>
              <w:rPr>
                <w:rFonts w:cs="Calibri Light"/>
                <w:color w:val="262626"/>
                <w:szCs w:val="22"/>
              </w:rPr>
            </w:pPr>
            <w:r w:rsidRPr="008316CD">
              <w:rPr>
                <w:rFonts w:cs="Calibri Light"/>
                <w:color w:val="262626"/>
                <w:szCs w:val="22"/>
              </w:rPr>
              <w:t>161,700</w:t>
            </w:r>
          </w:p>
        </w:tc>
      </w:tr>
      <w:tr w:rsidR="00BE338F" w:rsidRPr="00684079" w14:paraId="791270BD" w14:textId="77777777">
        <w:trPr>
          <w:trHeight w:val="20"/>
        </w:trPr>
        <w:tc>
          <w:tcPr>
            <w:tcW w:w="4733" w:type="dxa"/>
            <w:tcBorders>
              <w:top w:val="nil"/>
              <w:left w:val="single" w:sz="4" w:space="0" w:color="auto"/>
              <w:bottom w:val="single" w:sz="4" w:space="0" w:color="auto"/>
              <w:right w:val="single" w:sz="4" w:space="0" w:color="auto"/>
            </w:tcBorders>
            <w:shd w:val="clear" w:color="auto" w:fill="auto"/>
            <w:vAlign w:val="center"/>
            <w:hideMark/>
          </w:tcPr>
          <w:p w14:paraId="76566D82" w14:textId="77777777" w:rsidR="00BE338F" w:rsidRPr="008316CD" w:rsidRDefault="00BE338F">
            <w:pPr>
              <w:spacing w:before="0" w:after="0"/>
              <w:rPr>
                <w:rFonts w:cs="Calibri Light"/>
                <w:b/>
                <w:bCs/>
                <w:color w:val="262626"/>
                <w:szCs w:val="22"/>
              </w:rPr>
            </w:pPr>
            <w:r w:rsidRPr="008316CD">
              <w:rPr>
                <w:rFonts w:cs="Calibri Light"/>
                <w:b/>
                <w:bCs/>
                <w:color w:val="262626"/>
                <w:szCs w:val="22"/>
              </w:rPr>
              <w:t>Scope 3 modelling</w:t>
            </w:r>
          </w:p>
        </w:tc>
        <w:tc>
          <w:tcPr>
            <w:tcW w:w="2240" w:type="dxa"/>
            <w:tcBorders>
              <w:top w:val="nil"/>
              <w:left w:val="nil"/>
              <w:bottom w:val="single" w:sz="4" w:space="0" w:color="auto"/>
              <w:right w:val="single" w:sz="4" w:space="0" w:color="auto"/>
            </w:tcBorders>
            <w:shd w:val="clear" w:color="auto" w:fill="auto"/>
            <w:vAlign w:val="center"/>
            <w:hideMark/>
          </w:tcPr>
          <w:p w14:paraId="6CB4018B" w14:textId="77777777" w:rsidR="00BE338F" w:rsidRPr="008316CD" w:rsidRDefault="00BE338F">
            <w:pPr>
              <w:spacing w:before="0" w:after="0"/>
              <w:jc w:val="right"/>
              <w:rPr>
                <w:rFonts w:cs="Calibri Light"/>
                <w:color w:val="262626"/>
                <w:szCs w:val="22"/>
              </w:rPr>
            </w:pPr>
            <w:r w:rsidRPr="008316CD">
              <w:rPr>
                <w:rFonts w:cs="Calibri Light"/>
                <w:color w:val="262626"/>
                <w:szCs w:val="22"/>
              </w:rPr>
              <w:t>245,000</w:t>
            </w:r>
          </w:p>
        </w:tc>
        <w:tc>
          <w:tcPr>
            <w:tcW w:w="1889" w:type="dxa"/>
            <w:tcBorders>
              <w:top w:val="nil"/>
              <w:left w:val="nil"/>
              <w:bottom w:val="single" w:sz="4" w:space="0" w:color="auto"/>
              <w:right w:val="single" w:sz="4" w:space="0" w:color="auto"/>
            </w:tcBorders>
            <w:shd w:val="clear" w:color="auto" w:fill="auto"/>
            <w:vAlign w:val="center"/>
            <w:hideMark/>
          </w:tcPr>
          <w:p w14:paraId="50AC324C" w14:textId="77777777" w:rsidR="00BE338F" w:rsidRPr="008316CD" w:rsidRDefault="00BE338F">
            <w:pPr>
              <w:spacing w:before="0" w:after="0"/>
              <w:jc w:val="right"/>
              <w:rPr>
                <w:rFonts w:cs="Calibri Light"/>
                <w:color w:val="262626"/>
                <w:szCs w:val="22"/>
              </w:rPr>
            </w:pPr>
            <w:r w:rsidRPr="008316CD">
              <w:rPr>
                <w:rFonts w:cs="Calibri Light"/>
                <w:color w:val="262626"/>
                <w:szCs w:val="22"/>
              </w:rPr>
              <w:t>161,700</w:t>
            </w:r>
          </w:p>
        </w:tc>
      </w:tr>
      <w:tr w:rsidR="00BE338F" w:rsidRPr="00684079" w14:paraId="624F2E1F" w14:textId="77777777">
        <w:trPr>
          <w:trHeight w:val="20"/>
        </w:trPr>
        <w:tc>
          <w:tcPr>
            <w:tcW w:w="4733" w:type="dxa"/>
            <w:tcBorders>
              <w:top w:val="nil"/>
              <w:left w:val="single" w:sz="4" w:space="0" w:color="auto"/>
              <w:bottom w:val="single" w:sz="4" w:space="0" w:color="auto"/>
              <w:right w:val="single" w:sz="4" w:space="0" w:color="auto"/>
            </w:tcBorders>
            <w:shd w:val="clear" w:color="000000" w:fill="CDD5E1"/>
            <w:vAlign w:val="center"/>
            <w:hideMark/>
          </w:tcPr>
          <w:p w14:paraId="537BE869" w14:textId="77777777" w:rsidR="00BE338F" w:rsidRPr="008316CD" w:rsidRDefault="00BE338F">
            <w:pPr>
              <w:spacing w:before="0" w:after="0"/>
              <w:rPr>
                <w:rFonts w:cs="Calibri Light"/>
                <w:b/>
                <w:bCs/>
                <w:color w:val="262626"/>
                <w:szCs w:val="22"/>
              </w:rPr>
            </w:pPr>
            <w:r w:rsidRPr="008316CD">
              <w:rPr>
                <w:rFonts w:cs="Calibri Light"/>
                <w:b/>
                <w:bCs/>
                <w:color w:val="262626"/>
                <w:szCs w:val="22"/>
              </w:rPr>
              <w:t>Preparation of climate report</w:t>
            </w:r>
          </w:p>
        </w:tc>
        <w:tc>
          <w:tcPr>
            <w:tcW w:w="2240" w:type="dxa"/>
            <w:tcBorders>
              <w:top w:val="nil"/>
              <w:left w:val="nil"/>
              <w:bottom w:val="single" w:sz="4" w:space="0" w:color="auto"/>
              <w:right w:val="single" w:sz="4" w:space="0" w:color="auto"/>
            </w:tcBorders>
            <w:shd w:val="clear" w:color="000000" w:fill="CDD5E1"/>
            <w:vAlign w:val="center"/>
            <w:hideMark/>
          </w:tcPr>
          <w:p w14:paraId="538FF7C2" w14:textId="77777777" w:rsidR="00BE338F" w:rsidRPr="008316CD" w:rsidRDefault="00BE338F">
            <w:pPr>
              <w:spacing w:before="0" w:after="0"/>
              <w:jc w:val="right"/>
              <w:rPr>
                <w:rFonts w:cs="Calibri Light"/>
                <w:color w:val="262626"/>
                <w:szCs w:val="22"/>
              </w:rPr>
            </w:pPr>
            <w:r w:rsidRPr="008316CD">
              <w:rPr>
                <w:rFonts w:cs="Calibri Light"/>
                <w:color w:val="262626"/>
                <w:szCs w:val="22"/>
              </w:rPr>
              <w:t>149,600</w:t>
            </w:r>
          </w:p>
        </w:tc>
        <w:tc>
          <w:tcPr>
            <w:tcW w:w="1889" w:type="dxa"/>
            <w:tcBorders>
              <w:top w:val="nil"/>
              <w:left w:val="nil"/>
              <w:bottom w:val="single" w:sz="4" w:space="0" w:color="auto"/>
              <w:right w:val="single" w:sz="4" w:space="0" w:color="auto"/>
            </w:tcBorders>
            <w:shd w:val="clear" w:color="000000" w:fill="CDD5E1"/>
            <w:vAlign w:val="center"/>
            <w:hideMark/>
          </w:tcPr>
          <w:p w14:paraId="5520B1BB" w14:textId="77777777" w:rsidR="00BE338F" w:rsidRPr="008316CD" w:rsidRDefault="00BE338F">
            <w:pPr>
              <w:spacing w:before="0" w:after="0"/>
              <w:jc w:val="right"/>
              <w:rPr>
                <w:rFonts w:cs="Calibri Light"/>
                <w:color w:val="262626"/>
                <w:szCs w:val="22"/>
              </w:rPr>
            </w:pPr>
            <w:r w:rsidRPr="008316CD">
              <w:rPr>
                <w:rFonts w:cs="Calibri Light"/>
                <w:color w:val="262626"/>
                <w:szCs w:val="22"/>
              </w:rPr>
              <w:t>48,960</w:t>
            </w:r>
          </w:p>
        </w:tc>
      </w:tr>
      <w:tr w:rsidR="00BE338F" w:rsidRPr="00684079" w14:paraId="410AAAFD" w14:textId="77777777">
        <w:trPr>
          <w:trHeight w:val="20"/>
        </w:trPr>
        <w:tc>
          <w:tcPr>
            <w:tcW w:w="4733" w:type="dxa"/>
            <w:tcBorders>
              <w:top w:val="nil"/>
              <w:left w:val="single" w:sz="4" w:space="0" w:color="auto"/>
              <w:bottom w:val="single" w:sz="4" w:space="0" w:color="auto"/>
              <w:right w:val="single" w:sz="4" w:space="0" w:color="auto"/>
            </w:tcBorders>
            <w:shd w:val="clear" w:color="auto" w:fill="auto"/>
            <w:vAlign w:val="center"/>
            <w:hideMark/>
          </w:tcPr>
          <w:p w14:paraId="12A93747" w14:textId="77777777" w:rsidR="00BE338F" w:rsidRPr="008316CD" w:rsidRDefault="00BE338F">
            <w:pPr>
              <w:spacing w:before="0" w:after="0"/>
              <w:rPr>
                <w:rFonts w:cs="Calibri Light"/>
                <w:b/>
                <w:bCs/>
                <w:color w:val="262626"/>
                <w:szCs w:val="22"/>
              </w:rPr>
            </w:pPr>
            <w:r w:rsidRPr="008316CD">
              <w:rPr>
                <w:rFonts w:cs="Calibri Light"/>
                <w:b/>
                <w:bCs/>
                <w:color w:val="262626"/>
                <w:szCs w:val="22"/>
              </w:rPr>
              <w:t xml:space="preserve">Assurance </w:t>
            </w:r>
          </w:p>
        </w:tc>
        <w:tc>
          <w:tcPr>
            <w:tcW w:w="2240" w:type="dxa"/>
            <w:tcBorders>
              <w:top w:val="nil"/>
              <w:left w:val="nil"/>
              <w:bottom w:val="single" w:sz="4" w:space="0" w:color="auto"/>
              <w:right w:val="single" w:sz="4" w:space="0" w:color="auto"/>
            </w:tcBorders>
            <w:shd w:val="clear" w:color="auto" w:fill="auto"/>
            <w:vAlign w:val="center"/>
            <w:hideMark/>
          </w:tcPr>
          <w:p w14:paraId="00BA545F" w14:textId="77777777" w:rsidR="00BE338F" w:rsidRPr="008316CD" w:rsidRDefault="00BE338F">
            <w:pPr>
              <w:spacing w:before="0" w:after="0"/>
              <w:jc w:val="right"/>
              <w:rPr>
                <w:rFonts w:cs="Calibri Light"/>
                <w:color w:val="262626"/>
                <w:szCs w:val="22"/>
              </w:rPr>
            </w:pPr>
            <w:r w:rsidRPr="008316CD">
              <w:rPr>
                <w:rFonts w:cs="Calibri Light"/>
                <w:color w:val="262626"/>
                <w:szCs w:val="22"/>
              </w:rPr>
              <w:t>49,815</w:t>
            </w:r>
          </w:p>
        </w:tc>
        <w:tc>
          <w:tcPr>
            <w:tcW w:w="1889" w:type="dxa"/>
            <w:tcBorders>
              <w:top w:val="nil"/>
              <w:left w:val="nil"/>
              <w:bottom w:val="single" w:sz="4" w:space="0" w:color="auto"/>
              <w:right w:val="single" w:sz="4" w:space="0" w:color="auto"/>
            </w:tcBorders>
            <w:shd w:val="clear" w:color="auto" w:fill="auto"/>
            <w:vAlign w:val="center"/>
            <w:hideMark/>
          </w:tcPr>
          <w:p w14:paraId="07436F1F" w14:textId="77777777" w:rsidR="00BE338F" w:rsidRPr="008316CD" w:rsidRDefault="00BE338F">
            <w:pPr>
              <w:spacing w:before="0" w:after="0"/>
              <w:jc w:val="right"/>
              <w:rPr>
                <w:rFonts w:cs="Calibri Light"/>
                <w:color w:val="262626"/>
                <w:szCs w:val="22"/>
              </w:rPr>
            </w:pPr>
            <w:r>
              <w:rPr>
                <w:rFonts w:cs="Calibri Light"/>
                <w:color w:val="262626"/>
                <w:szCs w:val="22"/>
              </w:rPr>
              <w:t>49,815</w:t>
            </w:r>
          </w:p>
        </w:tc>
      </w:tr>
      <w:tr w:rsidR="00BE338F" w:rsidRPr="00684079" w14:paraId="541A077D" w14:textId="77777777">
        <w:trPr>
          <w:trHeight w:val="20"/>
        </w:trPr>
        <w:tc>
          <w:tcPr>
            <w:tcW w:w="4733" w:type="dxa"/>
            <w:tcBorders>
              <w:top w:val="single" w:sz="4" w:space="0" w:color="auto"/>
              <w:left w:val="single" w:sz="4" w:space="0" w:color="auto"/>
              <w:bottom w:val="single" w:sz="4" w:space="0" w:color="auto"/>
              <w:right w:val="single" w:sz="4" w:space="0" w:color="auto"/>
            </w:tcBorders>
            <w:shd w:val="clear" w:color="000000" w:fill="CDD5E1"/>
            <w:vAlign w:val="center"/>
            <w:hideMark/>
          </w:tcPr>
          <w:p w14:paraId="514E9020" w14:textId="77777777" w:rsidR="00BE338F" w:rsidRPr="008316CD" w:rsidRDefault="00BE338F">
            <w:pPr>
              <w:spacing w:before="0" w:after="0"/>
              <w:rPr>
                <w:rFonts w:cs="Calibri Light"/>
                <w:b/>
                <w:bCs/>
                <w:color w:val="262626"/>
                <w:szCs w:val="22"/>
              </w:rPr>
            </w:pPr>
            <w:r w:rsidRPr="008316CD">
              <w:rPr>
                <w:rFonts w:cs="Calibri Light"/>
                <w:b/>
                <w:bCs/>
                <w:color w:val="262626"/>
                <w:szCs w:val="22"/>
              </w:rPr>
              <w:t>Total</w:t>
            </w:r>
          </w:p>
        </w:tc>
        <w:tc>
          <w:tcPr>
            <w:tcW w:w="2240" w:type="dxa"/>
            <w:tcBorders>
              <w:top w:val="single" w:sz="4" w:space="0" w:color="auto"/>
              <w:left w:val="nil"/>
              <w:bottom w:val="single" w:sz="4" w:space="0" w:color="auto"/>
              <w:right w:val="single" w:sz="4" w:space="0" w:color="auto"/>
            </w:tcBorders>
            <w:shd w:val="clear" w:color="000000" w:fill="CDD5E1"/>
            <w:vAlign w:val="center"/>
            <w:hideMark/>
          </w:tcPr>
          <w:p w14:paraId="4DFC0679" w14:textId="77777777" w:rsidR="00BE338F" w:rsidRPr="008316CD" w:rsidRDefault="00BE338F">
            <w:pPr>
              <w:spacing w:before="0" w:after="0"/>
              <w:jc w:val="right"/>
              <w:rPr>
                <w:rFonts w:cs="Calibri Light"/>
                <w:color w:val="262626"/>
                <w:szCs w:val="22"/>
              </w:rPr>
            </w:pPr>
            <w:r w:rsidRPr="008316CD">
              <w:rPr>
                <w:rFonts w:cs="Calibri Light"/>
                <w:color w:val="262626"/>
                <w:szCs w:val="22"/>
              </w:rPr>
              <w:t>1,306,847</w:t>
            </w:r>
          </w:p>
        </w:tc>
        <w:tc>
          <w:tcPr>
            <w:tcW w:w="1889" w:type="dxa"/>
            <w:tcBorders>
              <w:top w:val="single" w:sz="4" w:space="0" w:color="auto"/>
              <w:left w:val="nil"/>
              <w:bottom w:val="single" w:sz="4" w:space="0" w:color="auto"/>
              <w:right w:val="single" w:sz="4" w:space="0" w:color="auto"/>
            </w:tcBorders>
            <w:shd w:val="clear" w:color="000000" w:fill="CDD5E1"/>
            <w:vAlign w:val="center"/>
            <w:hideMark/>
          </w:tcPr>
          <w:p w14:paraId="58912A8B" w14:textId="77777777" w:rsidR="00BE338F" w:rsidRPr="008316CD" w:rsidRDefault="00BE338F">
            <w:pPr>
              <w:spacing w:before="0" w:after="0"/>
              <w:jc w:val="right"/>
              <w:rPr>
                <w:rFonts w:cs="Calibri Light"/>
                <w:color w:val="262626"/>
                <w:szCs w:val="22"/>
              </w:rPr>
            </w:pPr>
            <w:r>
              <w:rPr>
                <w:rFonts w:cs="Calibri Light"/>
                <w:color w:val="262626"/>
                <w:szCs w:val="22"/>
              </w:rPr>
              <w:t>681,154</w:t>
            </w:r>
          </w:p>
        </w:tc>
      </w:tr>
      <w:tr w:rsidR="00BE338F" w:rsidRPr="00684079" w14:paraId="7F1813ED" w14:textId="77777777">
        <w:trPr>
          <w:trHeight w:val="20"/>
        </w:trPr>
        <w:tc>
          <w:tcPr>
            <w:tcW w:w="4733" w:type="dxa"/>
            <w:tcBorders>
              <w:top w:val="single" w:sz="4" w:space="0" w:color="auto"/>
            </w:tcBorders>
            <w:shd w:val="clear" w:color="auto" w:fill="auto"/>
            <w:vAlign w:val="center"/>
          </w:tcPr>
          <w:p w14:paraId="059E1CF5" w14:textId="77777777" w:rsidR="00BE338F" w:rsidRPr="001F4908" w:rsidRDefault="00BE338F">
            <w:pPr>
              <w:spacing w:before="0" w:after="0"/>
              <w:rPr>
                <w:rFonts w:cs="Calibri Light"/>
                <w:color w:val="262626"/>
                <w:szCs w:val="22"/>
              </w:rPr>
            </w:pPr>
            <w:r w:rsidRPr="001F4908">
              <w:rPr>
                <w:rFonts w:cs="Calibri Light"/>
                <w:color w:val="262626"/>
                <w:sz w:val="20"/>
              </w:rPr>
              <w:t>Source: Treasury projections</w:t>
            </w:r>
          </w:p>
        </w:tc>
        <w:tc>
          <w:tcPr>
            <w:tcW w:w="2240" w:type="dxa"/>
            <w:tcBorders>
              <w:top w:val="single" w:sz="4" w:space="0" w:color="auto"/>
            </w:tcBorders>
            <w:shd w:val="clear" w:color="auto" w:fill="auto"/>
            <w:vAlign w:val="center"/>
          </w:tcPr>
          <w:p w14:paraId="1DC98E9D" w14:textId="77777777" w:rsidR="00BE338F" w:rsidRPr="008316CD" w:rsidRDefault="00BE338F">
            <w:pPr>
              <w:spacing w:before="0" w:after="0"/>
              <w:jc w:val="right"/>
              <w:rPr>
                <w:rFonts w:cs="Calibri Light"/>
                <w:color w:val="262626"/>
                <w:szCs w:val="22"/>
              </w:rPr>
            </w:pPr>
          </w:p>
        </w:tc>
        <w:tc>
          <w:tcPr>
            <w:tcW w:w="1889" w:type="dxa"/>
            <w:tcBorders>
              <w:top w:val="single" w:sz="4" w:space="0" w:color="auto"/>
            </w:tcBorders>
            <w:shd w:val="clear" w:color="auto" w:fill="auto"/>
            <w:vAlign w:val="center"/>
          </w:tcPr>
          <w:p w14:paraId="5870EBEF" w14:textId="77777777" w:rsidR="00BE338F" w:rsidRPr="008316CD" w:rsidRDefault="00BE338F">
            <w:pPr>
              <w:spacing w:before="0" w:after="0"/>
              <w:jc w:val="right"/>
              <w:rPr>
                <w:rFonts w:cs="Calibri Light"/>
                <w:color w:val="262626"/>
                <w:szCs w:val="22"/>
              </w:rPr>
            </w:pPr>
          </w:p>
        </w:tc>
      </w:tr>
    </w:tbl>
    <w:p w14:paraId="09AFC53C" w14:textId="67FDDBFA" w:rsidR="00830B00" w:rsidRDefault="00842ADB" w:rsidP="00755ECF">
      <w:pPr>
        <w:rPr>
          <w:lang w:eastAsia="en-US"/>
        </w:rPr>
      </w:pPr>
      <w:r>
        <w:rPr>
          <w:lang w:eastAsia="en-US"/>
        </w:rPr>
        <w:t>This leads to</w:t>
      </w:r>
      <w:r w:rsidR="004C4CC2">
        <w:rPr>
          <w:lang w:eastAsia="en-US"/>
        </w:rPr>
        <w:t xml:space="preserve"> lower </w:t>
      </w:r>
      <w:r w:rsidR="00585A3B">
        <w:rPr>
          <w:lang w:eastAsia="en-US"/>
        </w:rPr>
        <w:t xml:space="preserve">ongoing </w:t>
      </w:r>
      <w:r w:rsidR="00D2149D">
        <w:rPr>
          <w:lang w:eastAsia="en-US"/>
        </w:rPr>
        <w:t>assurance costs</w:t>
      </w:r>
      <w:r w:rsidR="00AA07C8">
        <w:rPr>
          <w:lang w:eastAsia="en-US"/>
        </w:rPr>
        <w:t xml:space="preserve"> as seen in the table</w:t>
      </w:r>
      <w:r w:rsidR="006851F6">
        <w:rPr>
          <w:lang w:eastAsia="en-US"/>
        </w:rPr>
        <w:t xml:space="preserve">, reducing </w:t>
      </w:r>
      <w:r w:rsidR="00922D41">
        <w:rPr>
          <w:lang w:eastAsia="en-US"/>
        </w:rPr>
        <w:t xml:space="preserve">the </w:t>
      </w:r>
      <w:r w:rsidR="00AA07C8">
        <w:rPr>
          <w:lang w:eastAsia="en-US"/>
        </w:rPr>
        <w:t xml:space="preserve">overall compliance </w:t>
      </w:r>
      <w:r w:rsidR="00922D41">
        <w:rPr>
          <w:lang w:eastAsia="en-US"/>
        </w:rPr>
        <w:t xml:space="preserve">costs in total for Groups 1, 2 and NGER reporters to </w:t>
      </w:r>
      <w:r w:rsidR="0044178A">
        <w:rPr>
          <w:lang w:eastAsia="en-US"/>
        </w:rPr>
        <w:t>$</w:t>
      </w:r>
      <w:r w:rsidR="00922D41">
        <w:rPr>
          <w:lang w:eastAsia="en-US"/>
        </w:rPr>
        <w:t>591.83</w:t>
      </w:r>
      <w:r w:rsidR="0044178A">
        <w:rPr>
          <w:lang w:eastAsia="en-US"/>
        </w:rPr>
        <w:t xml:space="preserve"> million</w:t>
      </w:r>
      <w:r w:rsidR="00922D41">
        <w:rPr>
          <w:lang w:eastAsia="en-US"/>
        </w:rPr>
        <w:t>,</w:t>
      </w:r>
      <w:r w:rsidR="00A1710E">
        <w:rPr>
          <w:lang w:eastAsia="en-US"/>
        </w:rPr>
        <w:t xml:space="preserve"> </w:t>
      </w:r>
      <w:r w:rsidR="0044178A">
        <w:rPr>
          <w:lang w:eastAsia="en-US"/>
        </w:rPr>
        <w:t>$</w:t>
      </w:r>
      <w:r w:rsidR="00CA642C">
        <w:rPr>
          <w:lang w:eastAsia="en-US"/>
        </w:rPr>
        <w:t>593</w:t>
      </w:r>
      <w:r w:rsidR="00A1710E">
        <w:rPr>
          <w:lang w:eastAsia="en-US"/>
        </w:rPr>
        <w:t>.</w:t>
      </w:r>
      <w:r w:rsidR="00CA642C">
        <w:rPr>
          <w:lang w:eastAsia="en-US"/>
        </w:rPr>
        <w:t>20</w:t>
      </w:r>
      <w:r w:rsidR="0044178A">
        <w:rPr>
          <w:lang w:eastAsia="en-US"/>
        </w:rPr>
        <w:t xml:space="preserve"> </w:t>
      </w:r>
      <w:proofErr w:type="gramStart"/>
      <w:r w:rsidR="0044178A">
        <w:rPr>
          <w:lang w:eastAsia="en-US"/>
        </w:rPr>
        <w:t>million</w:t>
      </w:r>
      <w:proofErr w:type="gramEnd"/>
      <w:r w:rsidR="00A1710E">
        <w:rPr>
          <w:lang w:eastAsia="en-US"/>
        </w:rPr>
        <w:t xml:space="preserve"> and </w:t>
      </w:r>
      <w:r w:rsidR="0044178A">
        <w:rPr>
          <w:lang w:eastAsia="en-US"/>
        </w:rPr>
        <w:t>$205.72 million respectively.</w:t>
      </w:r>
      <w:r w:rsidR="00A92F35">
        <w:rPr>
          <w:lang w:eastAsia="en-US"/>
        </w:rPr>
        <w:t xml:space="preserve"> This would reduce </w:t>
      </w:r>
      <w:r w:rsidR="0040742E">
        <w:rPr>
          <w:lang w:eastAsia="en-US"/>
        </w:rPr>
        <w:t>the total compliance burden to $1</w:t>
      </w:r>
      <w:r w:rsidR="00F7683C">
        <w:rPr>
          <w:lang w:eastAsia="en-US"/>
        </w:rPr>
        <w:t>400</w:t>
      </w:r>
      <w:r w:rsidR="00170192">
        <w:rPr>
          <w:lang w:eastAsia="en-US"/>
        </w:rPr>
        <w:t>.</w:t>
      </w:r>
      <w:r w:rsidR="00722C5B">
        <w:rPr>
          <w:lang w:eastAsia="en-US"/>
        </w:rPr>
        <w:t>19</w:t>
      </w:r>
      <w:r w:rsidR="00934889">
        <w:rPr>
          <w:lang w:eastAsia="en-US"/>
        </w:rPr>
        <w:t xml:space="preserve"> million</w:t>
      </w:r>
      <w:r w:rsidR="00CA4A80">
        <w:rPr>
          <w:lang w:eastAsia="en-US"/>
        </w:rPr>
        <w:t xml:space="preserve"> (Chart </w:t>
      </w:r>
      <w:r w:rsidR="008F062E">
        <w:rPr>
          <w:lang w:eastAsia="en-US"/>
        </w:rPr>
        <w:t>5</w:t>
      </w:r>
      <w:r w:rsidR="00CA4A80">
        <w:rPr>
          <w:lang w:eastAsia="en-US"/>
        </w:rPr>
        <w:t>)</w:t>
      </w:r>
      <w:r w:rsidR="00170192">
        <w:rPr>
          <w:lang w:eastAsia="en-US"/>
        </w:rPr>
        <w:t>.</w:t>
      </w:r>
    </w:p>
    <w:p w14:paraId="2CDEFDB5" w14:textId="5B1D5F0F" w:rsidR="00830B00" w:rsidRDefault="00830B00" w:rsidP="003B3BBB">
      <w:pPr>
        <w:pStyle w:val="Caption"/>
      </w:pPr>
      <w:r>
        <w:t xml:space="preserve">Chart </w:t>
      </w:r>
      <w:r w:rsidR="002B113E">
        <w:fldChar w:fldCharType="begin"/>
      </w:r>
      <w:r w:rsidR="002B113E">
        <w:instrText xml:space="preserve"> SEQ Chart \* ARABIC </w:instrText>
      </w:r>
      <w:r w:rsidR="002B113E">
        <w:fldChar w:fldCharType="separate"/>
      </w:r>
      <w:r w:rsidR="006F39F1">
        <w:rPr>
          <w:noProof/>
        </w:rPr>
        <w:t>5</w:t>
      </w:r>
      <w:r w:rsidR="002B113E">
        <w:rPr>
          <w:noProof/>
        </w:rPr>
        <w:fldChar w:fldCharType="end"/>
      </w:r>
      <w:r>
        <w:t xml:space="preserve">: Aggregate compliance burden for </w:t>
      </w:r>
      <w:r w:rsidR="0037313A">
        <w:t>O</w:t>
      </w:r>
      <w:r>
        <w:t>ption 1b</w:t>
      </w:r>
    </w:p>
    <w:p w14:paraId="2D9A632C" w14:textId="77777777" w:rsidR="003B3BBB" w:rsidRDefault="003B3BBB" w:rsidP="003B3BBB">
      <w:pPr>
        <w:jc w:val="center"/>
        <w:rPr>
          <w:sz w:val="20"/>
          <w:szCs w:val="18"/>
        </w:rPr>
      </w:pPr>
      <w:r>
        <w:rPr>
          <w:noProof/>
        </w:rPr>
        <mc:AlternateContent>
          <mc:Choice Requires="cx1">
            <w:drawing>
              <wp:inline distT="0" distB="0" distL="0" distR="0" wp14:anchorId="6341B2C6" wp14:editId="32C54301">
                <wp:extent cx="5208905" cy="2998470"/>
                <wp:effectExtent l="0" t="0" r="10795" b="11430"/>
                <wp:docPr id="10" name="Chart 10">
                  <a:extLst xmlns:a="http://schemas.openxmlformats.org/drawingml/2006/main">
                    <a:ext uri="{FF2B5EF4-FFF2-40B4-BE49-F238E27FC236}">
                      <a16:creationId xmlns:a16="http://schemas.microsoft.com/office/drawing/2014/main" id="{DC96F9BE-0BB4-D2F9-C2C6-580797A56B2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3"/>
                  </a:graphicData>
                </a:graphic>
              </wp:inline>
            </w:drawing>
          </mc:Choice>
          <mc:Fallback xmlns:oel="http://schemas.microsoft.com/office/2019/extlst">
            <w:drawing>
              <wp:inline distT="0" distB="0" distL="0" distR="0" wp14:anchorId="6341B2C6" wp14:editId="32C54301">
                <wp:extent cx="5208905" cy="2998470"/>
                <wp:effectExtent l="0" t="0" r="10795" b="11430"/>
                <wp:docPr id="10" name="Chart 10">
                  <a:extLst xmlns:a="http://schemas.openxmlformats.org/drawingml/2006/main">
                    <a:ext uri="{FF2B5EF4-FFF2-40B4-BE49-F238E27FC236}">
                      <a16:creationId xmlns:a16="http://schemas.microsoft.com/office/drawing/2014/main" id="{DC96F9BE-0BB4-D2F9-C2C6-580797A56B2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Chart 10">
                          <a:extLst>
                            <a:ext uri="{FF2B5EF4-FFF2-40B4-BE49-F238E27FC236}">
                              <a16:creationId xmlns:a16="http://schemas.microsoft.com/office/drawing/2014/main" id="{DC96F9BE-0BB4-D2F9-C2C6-580797A56B26}"/>
                            </a:ext>
                          </a:extLst>
                        </pic:cNvPr>
                        <pic:cNvPicPr>
                          <a:picLocks noGrp="1" noRot="1" noChangeAspect="1" noMove="1" noResize="1" noEditPoints="1" noAdjustHandles="1" noChangeArrowheads="1" noChangeShapeType="1"/>
                        </pic:cNvPicPr>
                      </pic:nvPicPr>
                      <pic:blipFill>
                        <a:blip r:embed="rId34"/>
                        <a:stretch>
                          <a:fillRect/>
                        </a:stretch>
                      </pic:blipFill>
                      <pic:spPr>
                        <a:xfrm>
                          <a:off x="0" y="0"/>
                          <a:ext cx="5208905" cy="2998470"/>
                        </a:xfrm>
                        <a:prstGeom prst="rect">
                          <a:avLst/>
                        </a:prstGeom>
                      </pic:spPr>
                    </pic:pic>
                  </a:graphicData>
                </a:graphic>
              </wp:inline>
            </w:drawing>
          </mc:Fallback>
        </mc:AlternateContent>
      </w:r>
    </w:p>
    <w:p w14:paraId="3C328304" w14:textId="59C67599" w:rsidR="00830B00" w:rsidRPr="003B3BBB" w:rsidRDefault="00CC2FC9" w:rsidP="003B3BBB">
      <w:pPr>
        <w:spacing w:before="0" w:after="0"/>
        <w:rPr>
          <w:rFonts w:cs="Calibri Light"/>
          <w:color w:val="262626"/>
          <w:sz w:val="20"/>
        </w:rPr>
      </w:pPr>
      <w:r w:rsidRPr="003B3BBB">
        <w:rPr>
          <w:rFonts w:cs="Calibri Light"/>
          <w:color w:val="262626"/>
          <w:sz w:val="20"/>
        </w:rPr>
        <w:t>Source: Treasury analysis</w:t>
      </w:r>
    </w:p>
    <w:p w14:paraId="65696ECC" w14:textId="77777777" w:rsidR="00467FA4" w:rsidRDefault="00467FA4" w:rsidP="00A715BE">
      <w:pPr>
        <w:pStyle w:val="Heading3"/>
      </w:pPr>
      <w:bookmarkStart w:id="30" w:name="_Toc141895099"/>
      <w:bookmarkStart w:id="31" w:name="_Toc144742116"/>
      <w:r>
        <w:t>Mitigation efforts</w:t>
      </w:r>
      <w:bookmarkEnd w:id="30"/>
      <w:bookmarkEnd w:id="31"/>
    </w:p>
    <w:p w14:paraId="18CC876A" w14:textId="77777777" w:rsidR="00467FA4" w:rsidRPr="00B4208F" w:rsidRDefault="00467FA4" w:rsidP="00467FA4">
      <w:pPr>
        <w:pStyle w:val="BodyText"/>
        <w:rPr>
          <w:rFonts w:ascii="Calibri Light" w:hAnsi="Calibri Light" w:cs="Calibri Light"/>
        </w:rPr>
      </w:pPr>
      <w:r w:rsidRPr="00B4208F">
        <w:rPr>
          <w:rFonts w:ascii="Calibri Light" w:hAnsi="Calibri Light" w:cs="Calibri Light"/>
        </w:rPr>
        <w:t xml:space="preserve">Where possible, Treasury has </w:t>
      </w:r>
      <w:r>
        <w:rPr>
          <w:rFonts w:ascii="Calibri Light" w:hAnsi="Calibri Light" w:cs="Calibri Light"/>
        </w:rPr>
        <w:t>made</w:t>
      </w:r>
      <w:r w:rsidRPr="00B4208F">
        <w:rPr>
          <w:rFonts w:ascii="Calibri Light" w:hAnsi="Calibri Light" w:cs="Calibri Light"/>
        </w:rPr>
        <w:t xml:space="preserve"> efforts to</w:t>
      </w:r>
      <w:r>
        <w:t xml:space="preserve"> </w:t>
      </w:r>
      <w:r w:rsidRPr="00B4208F">
        <w:rPr>
          <w:rFonts w:ascii="Calibri Light" w:hAnsi="Calibri Light" w:cs="Calibri Light"/>
        </w:rPr>
        <w:t xml:space="preserve">mitigate </w:t>
      </w:r>
      <w:r>
        <w:rPr>
          <w:rFonts w:ascii="Calibri Light" w:hAnsi="Calibri Light" w:cs="Calibri Light"/>
        </w:rPr>
        <w:t>regulatory</w:t>
      </w:r>
      <w:r w:rsidRPr="00B4208F">
        <w:rPr>
          <w:rFonts w:ascii="Calibri Light" w:hAnsi="Calibri Light" w:cs="Calibri Light"/>
        </w:rPr>
        <w:t xml:space="preserve"> costs through leveraging existing structures, introducing other tools such as modified liability and phasing in differently sized groups </w:t>
      </w:r>
      <w:proofErr w:type="gramStart"/>
      <w:r w:rsidRPr="00B4208F">
        <w:rPr>
          <w:rFonts w:ascii="Calibri Light" w:hAnsi="Calibri Light" w:cs="Calibri Light"/>
        </w:rPr>
        <w:t>in order to</w:t>
      </w:r>
      <w:proofErr w:type="gramEnd"/>
      <w:r w:rsidRPr="00B4208F">
        <w:rPr>
          <w:rFonts w:ascii="Calibri Light" w:hAnsi="Calibri Light" w:cs="Calibri Light"/>
        </w:rPr>
        <w:t xml:space="preserve"> give time for the market</w:t>
      </w:r>
      <w:r>
        <w:rPr>
          <w:rFonts w:ascii="Calibri Light" w:hAnsi="Calibri Light" w:cs="Calibri Light"/>
        </w:rPr>
        <w:t>.</w:t>
      </w:r>
    </w:p>
    <w:p w14:paraId="7973B848" w14:textId="77777777" w:rsidR="00467FA4" w:rsidRDefault="00467FA4" w:rsidP="00467FA4">
      <w:pPr>
        <w:pStyle w:val="Heading4"/>
      </w:pPr>
      <w:r>
        <w:t>Leverage existing frameworks &amp; legislative structures</w:t>
      </w:r>
    </w:p>
    <w:p w14:paraId="6771ACFF" w14:textId="77777777" w:rsidR="00467FA4" w:rsidRDefault="00467FA4" w:rsidP="00467FA4">
      <w:pPr>
        <w:pStyle w:val="BodyText"/>
        <w:rPr>
          <w:rFonts w:ascii="Calibri Light" w:hAnsi="Calibri Light" w:cs="Calibri Light"/>
        </w:rPr>
      </w:pPr>
      <w:r>
        <w:rPr>
          <w:rFonts w:ascii="Calibri Light" w:hAnsi="Calibri Light" w:cs="Calibri Light"/>
        </w:rPr>
        <w:t>Feedback from</w:t>
      </w:r>
      <w:r w:rsidRPr="00B4208F">
        <w:rPr>
          <w:rFonts w:ascii="Calibri Light" w:hAnsi="Calibri Light" w:cs="Calibri Light"/>
        </w:rPr>
        <w:t xml:space="preserve"> consultation </w:t>
      </w:r>
      <w:r>
        <w:rPr>
          <w:rFonts w:ascii="Calibri Light" w:hAnsi="Calibri Light" w:cs="Calibri Light"/>
        </w:rPr>
        <w:t>suggested</w:t>
      </w:r>
      <w:r w:rsidRPr="00B4208F">
        <w:rPr>
          <w:rFonts w:ascii="Calibri Light" w:hAnsi="Calibri Light" w:cs="Calibri Light"/>
        </w:rPr>
        <w:t xml:space="preserve"> leverag</w:t>
      </w:r>
      <w:r>
        <w:rPr>
          <w:rFonts w:ascii="Calibri Light" w:hAnsi="Calibri Light" w:cs="Calibri Light"/>
        </w:rPr>
        <w:t>ing</w:t>
      </w:r>
      <w:r w:rsidRPr="00B4208F">
        <w:rPr>
          <w:rFonts w:ascii="Calibri Light" w:hAnsi="Calibri Light" w:cs="Calibri Light"/>
        </w:rPr>
        <w:t xml:space="preserve"> existing structures and build</w:t>
      </w:r>
      <w:r>
        <w:rPr>
          <w:rFonts w:ascii="Calibri Light" w:hAnsi="Calibri Light" w:cs="Calibri Light"/>
        </w:rPr>
        <w:t>ing</w:t>
      </w:r>
      <w:r w:rsidRPr="00B4208F">
        <w:rPr>
          <w:rFonts w:ascii="Calibri Light" w:hAnsi="Calibri Light" w:cs="Calibri Light"/>
        </w:rPr>
        <w:t xml:space="preserve"> on existing frameworks</w:t>
      </w:r>
      <w:r>
        <w:rPr>
          <w:rFonts w:ascii="Calibri Light" w:hAnsi="Calibri Light" w:cs="Calibri Light"/>
        </w:rPr>
        <w:t xml:space="preserve"> to minimise implementation costs</w:t>
      </w:r>
      <w:r w:rsidRPr="00B4208F">
        <w:rPr>
          <w:rFonts w:ascii="Calibri Light" w:hAnsi="Calibri Light" w:cs="Calibri Light"/>
        </w:rPr>
        <w:t xml:space="preserve">. As discussed earlier, the majority of the ASX200 are voluntarily disclosing climate risk </w:t>
      </w:r>
      <w:r>
        <w:rPr>
          <w:rFonts w:ascii="Calibri Light" w:hAnsi="Calibri Light" w:cs="Calibri Light"/>
        </w:rPr>
        <w:t>in line with</w:t>
      </w:r>
      <w:r w:rsidRPr="00B4208F">
        <w:rPr>
          <w:rFonts w:ascii="Calibri Light" w:hAnsi="Calibri Light" w:cs="Calibri Light"/>
        </w:rPr>
        <w:t xml:space="preserve"> the TCFD. The proposal to implement a mandatory standard that is largely aligned with the ISSB means additional requirements will be based </w:t>
      </w:r>
      <w:r>
        <w:rPr>
          <w:rFonts w:ascii="Calibri Light" w:hAnsi="Calibri Light" w:cs="Calibri Light"/>
        </w:rPr>
        <w:t>on</w:t>
      </w:r>
      <w:r w:rsidRPr="00B4208F">
        <w:rPr>
          <w:rFonts w:ascii="Calibri Light" w:hAnsi="Calibri Light" w:cs="Calibri Light"/>
        </w:rPr>
        <w:t xml:space="preserve"> existing frameworks since the ISSB builds off the TCFD foundations. </w:t>
      </w:r>
    </w:p>
    <w:p w14:paraId="0F06A2CF" w14:textId="0E325228" w:rsidR="00467FA4" w:rsidRPr="00B4208F" w:rsidRDefault="00467FA4" w:rsidP="00467FA4">
      <w:pPr>
        <w:pStyle w:val="BodyText"/>
        <w:rPr>
          <w:rFonts w:ascii="Calibri Light" w:hAnsi="Calibri Light" w:cs="Calibri Light"/>
        </w:rPr>
      </w:pPr>
      <w:r>
        <w:rPr>
          <w:rFonts w:ascii="Calibri Light" w:hAnsi="Calibri Light" w:cs="Calibri Light"/>
        </w:rPr>
        <w:t>L</w:t>
      </w:r>
      <w:r w:rsidRPr="00B4208F">
        <w:rPr>
          <w:rFonts w:ascii="Calibri Light" w:hAnsi="Calibri Light" w:cs="Calibri Light"/>
        </w:rPr>
        <w:t xml:space="preserve">egislative requirements </w:t>
      </w:r>
      <w:r>
        <w:rPr>
          <w:rFonts w:ascii="Calibri Light" w:hAnsi="Calibri Light" w:cs="Calibri Light"/>
        </w:rPr>
        <w:t>will be designed to</w:t>
      </w:r>
      <w:r w:rsidRPr="00B4208F">
        <w:rPr>
          <w:rFonts w:ascii="Calibri Light" w:hAnsi="Calibri Light" w:cs="Calibri Light"/>
        </w:rPr>
        <w:t xml:space="preserve"> leverage </w:t>
      </w:r>
      <w:r>
        <w:rPr>
          <w:rFonts w:ascii="Calibri Light" w:hAnsi="Calibri Light" w:cs="Calibri Light"/>
        </w:rPr>
        <w:t>existing definitions and obligations in</w:t>
      </w:r>
      <w:r w:rsidRPr="00B4208F">
        <w:rPr>
          <w:rFonts w:ascii="Calibri Light" w:hAnsi="Calibri Light" w:cs="Calibri Light"/>
        </w:rPr>
        <w:t xml:space="preserve"> the Corporations Act</w:t>
      </w:r>
      <w:r>
        <w:rPr>
          <w:rFonts w:ascii="Calibri Light" w:hAnsi="Calibri Light" w:cs="Calibri Light"/>
        </w:rPr>
        <w:t xml:space="preserve"> and NGER Act to increase clarity and simplify implementation as far as possible</w:t>
      </w:r>
      <w:r w:rsidRPr="00B4208F">
        <w:rPr>
          <w:rFonts w:ascii="Calibri Light" w:hAnsi="Calibri Light" w:cs="Calibri Light"/>
        </w:rPr>
        <w:t>.</w:t>
      </w:r>
    </w:p>
    <w:p w14:paraId="0CA08F75" w14:textId="77777777" w:rsidR="00467FA4" w:rsidRDefault="00467FA4" w:rsidP="00467FA4">
      <w:pPr>
        <w:pStyle w:val="Heading4"/>
      </w:pPr>
      <w:r>
        <w:t>Interoperability across jurisdictions</w:t>
      </w:r>
    </w:p>
    <w:p w14:paraId="06AC2E16" w14:textId="59AAAD71" w:rsidR="00467FA4" w:rsidRPr="00B4208F" w:rsidRDefault="00467FA4" w:rsidP="00467FA4">
      <w:pPr>
        <w:pStyle w:val="BodyText"/>
        <w:rPr>
          <w:rFonts w:ascii="Calibri Light" w:hAnsi="Calibri Light" w:cs="Calibri Light"/>
        </w:rPr>
      </w:pPr>
      <w:r>
        <w:rPr>
          <w:rFonts w:ascii="Calibri Light" w:hAnsi="Calibri Light" w:cs="Calibri Light"/>
        </w:rPr>
        <w:t>T</w:t>
      </w:r>
      <w:r w:rsidRPr="00B4208F">
        <w:rPr>
          <w:rFonts w:ascii="Calibri Light" w:hAnsi="Calibri Light" w:cs="Calibri Light"/>
        </w:rPr>
        <w:t xml:space="preserve">o reduce compliance costs for preparers </w:t>
      </w:r>
      <w:r>
        <w:rPr>
          <w:rFonts w:ascii="Calibri Light" w:hAnsi="Calibri Light" w:cs="Calibri Light"/>
        </w:rPr>
        <w:t>operating in multiple</w:t>
      </w:r>
      <w:r w:rsidRPr="00B4208F">
        <w:rPr>
          <w:rFonts w:ascii="Calibri Light" w:hAnsi="Calibri Light" w:cs="Calibri Light"/>
        </w:rPr>
        <w:t xml:space="preserve"> jurisdictions, a mandatory disclosure regime that is internationally recognised is key. Alignment with the ISSB standards was almost universally supported by</w:t>
      </w:r>
      <w:r w:rsidR="003D6F23">
        <w:rPr>
          <w:rFonts w:ascii="Calibri Light" w:hAnsi="Calibri Light" w:cs="Calibri Light"/>
        </w:rPr>
        <w:t xml:space="preserve"> stakeholders during the discovery round of consultation</w:t>
      </w:r>
      <w:r w:rsidRPr="00B4208F">
        <w:rPr>
          <w:rFonts w:ascii="Calibri Light" w:hAnsi="Calibri Light" w:cs="Calibri Light"/>
        </w:rPr>
        <w:t xml:space="preserve">. </w:t>
      </w:r>
      <w:r>
        <w:rPr>
          <w:rFonts w:ascii="Calibri Light" w:hAnsi="Calibri Light" w:cs="Calibri Light"/>
        </w:rPr>
        <w:t>T</w:t>
      </w:r>
      <w:r w:rsidRPr="00B4208F">
        <w:rPr>
          <w:rFonts w:ascii="Calibri Light" w:hAnsi="Calibri Light" w:cs="Calibri Light"/>
        </w:rPr>
        <w:t xml:space="preserve">he ISSB has worked to </w:t>
      </w:r>
      <w:r>
        <w:rPr>
          <w:rFonts w:ascii="Calibri Light" w:hAnsi="Calibri Light" w:cs="Calibri Light"/>
        </w:rPr>
        <w:t>maximise</w:t>
      </w:r>
      <w:r w:rsidRPr="00B4208F">
        <w:rPr>
          <w:rFonts w:ascii="Calibri Light" w:hAnsi="Calibri Light" w:cs="Calibri Light"/>
        </w:rPr>
        <w:t xml:space="preserve"> interoperability with the European Sustainability Reporting Standards (ESRS) and the GRI standards.</w:t>
      </w:r>
    </w:p>
    <w:p w14:paraId="1670A669" w14:textId="77777777" w:rsidR="00467FA4" w:rsidRDefault="00467FA4" w:rsidP="00467FA4">
      <w:pPr>
        <w:pStyle w:val="Heading4"/>
      </w:pPr>
      <w:r>
        <w:t>Modified liability framework</w:t>
      </w:r>
    </w:p>
    <w:p w14:paraId="7AACC842" w14:textId="77777777" w:rsidR="00467FA4" w:rsidRDefault="00467FA4" w:rsidP="00467FA4">
      <w:pPr>
        <w:pStyle w:val="BodyText"/>
        <w:rPr>
          <w:rFonts w:ascii="Calibri Light" w:hAnsi="Calibri Light" w:cs="Calibri Light"/>
        </w:rPr>
      </w:pPr>
      <w:r w:rsidRPr="00B4208F">
        <w:rPr>
          <w:rFonts w:ascii="Calibri Light" w:hAnsi="Calibri Light" w:cs="Calibri Light"/>
        </w:rPr>
        <w:t>Concerns were expressed in consultation about liability settings. Stakeholders primarily raised issues</w:t>
      </w:r>
      <w:r w:rsidRPr="008D2EE6">
        <w:t xml:space="preserve"> </w:t>
      </w:r>
      <w:r w:rsidRPr="00B4208F">
        <w:rPr>
          <w:rFonts w:ascii="Calibri Light" w:hAnsi="Calibri Light" w:cs="Calibri Light"/>
        </w:rPr>
        <w:t xml:space="preserve">around the applicability and operation of the current liability framework to forward looking statements. Reporters and some advisers noted forward-looking statements would require positions to be taken on inherently uncertain matters and thus leave company directors open to liability for misleading and deceptive conduct. Furthermore, concerns were expressed regarding Australia’s class actions regime and the heightened scrutiny around climate and sustainability claims. </w:t>
      </w:r>
    </w:p>
    <w:p w14:paraId="518B7C12" w14:textId="77777777" w:rsidR="00467FA4" w:rsidRPr="00B4208F" w:rsidRDefault="00467FA4" w:rsidP="00467FA4">
      <w:pPr>
        <w:pStyle w:val="BodyText"/>
        <w:rPr>
          <w:rFonts w:ascii="Calibri Light" w:hAnsi="Calibri Light" w:cs="Calibri Light"/>
        </w:rPr>
      </w:pPr>
      <w:r w:rsidRPr="00B4208F">
        <w:rPr>
          <w:rFonts w:ascii="Calibri Light" w:hAnsi="Calibri Light" w:cs="Calibri Light"/>
        </w:rPr>
        <w:t>Other submissions commented that concerns about forward looking statements were overstated and that the reasonable grounds threshold was sufficiently flexible to account for the inherent uncertainty surrounding forward looking statements. As such, directors would be unlikely to be exposed to successful litigation and that modification of liability settings was unnecessary and undesirable.</w:t>
      </w:r>
    </w:p>
    <w:p w14:paraId="6F238E2F" w14:textId="1C303FF9" w:rsidR="00467FA4" w:rsidRPr="00B4208F" w:rsidRDefault="00467FA4" w:rsidP="00467FA4">
      <w:pPr>
        <w:pStyle w:val="BodyText"/>
        <w:rPr>
          <w:rFonts w:ascii="Calibri Light" w:hAnsi="Calibri Light" w:cs="Calibri Light"/>
        </w:rPr>
      </w:pPr>
      <w:r>
        <w:rPr>
          <w:rFonts w:ascii="Calibri Light" w:hAnsi="Calibri Light" w:cs="Calibri Light"/>
        </w:rPr>
        <w:t>T</w:t>
      </w:r>
      <w:r w:rsidRPr="00B4208F">
        <w:rPr>
          <w:rFonts w:ascii="Calibri Light" w:hAnsi="Calibri Light" w:cs="Calibri Light"/>
        </w:rPr>
        <w:t xml:space="preserve">o balance these competing views, </w:t>
      </w:r>
      <w:r w:rsidR="006E642B">
        <w:rPr>
          <w:rFonts w:ascii="Calibri Light" w:hAnsi="Calibri Light" w:cs="Calibri Light"/>
        </w:rPr>
        <w:t>Treasury</w:t>
      </w:r>
      <w:r w:rsidR="006E642B" w:rsidRPr="00B4208F">
        <w:rPr>
          <w:rFonts w:ascii="Calibri Light" w:hAnsi="Calibri Light" w:cs="Calibri Light"/>
        </w:rPr>
        <w:t xml:space="preserve"> </w:t>
      </w:r>
      <w:r w:rsidRPr="00B4208F">
        <w:rPr>
          <w:rFonts w:ascii="Calibri Light" w:hAnsi="Calibri Light" w:cs="Calibri Light"/>
        </w:rPr>
        <w:t>propose</w:t>
      </w:r>
      <w:r w:rsidR="00E66940">
        <w:rPr>
          <w:rFonts w:ascii="Calibri Light" w:hAnsi="Calibri Light" w:cs="Calibri Light"/>
        </w:rPr>
        <w:t>s</w:t>
      </w:r>
      <w:r w:rsidRPr="00B4208F">
        <w:rPr>
          <w:rFonts w:ascii="Calibri Light" w:hAnsi="Calibri Light" w:cs="Calibri Light"/>
        </w:rPr>
        <w:t xml:space="preserve"> a modified liability framework </w:t>
      </w:r>
      <w:r w:rsidR="0088517D">
        <w:rPr>
          <w:rFonts w:ascii="Calibri Light" w:hAnsi="Calibri Light" w:cs="Calibri Light"/>
        </w:rPr>
        <w:t>for</w:t>
      </w:r>
      <w:r w:rsidRPr="00B4208F">
        <w:rPr>
          <w:rFonts w:ascii="Calibri Light" w:hAnsi="Calibri Light" w:cs="Calibri Light"/>
        </w:rPr>
        <w:t xml:space="preserve"> the </w:t>
      </w:r>
      <w:r w:rsidR="0088517D">
        <w:rPr>
          <w:rFonts w:ascii="Calibri Light" w:hAnsi="Calibri Light" w:cs="Calibri Light"/>
        </w:rPr>
        <w:t>first 3 years of reporting</w:t>
      </w:r>
      <w:r w:rsidRPr="00B4208F">
        <w:rPr>
          <w:rFonts w:ascii="Calibri Light" w:hAnsi="Calibri Light" w:cs="Calibri Light"/>
        </w:rPr>
        <w:t xml:space="preserve">. The application of misleading and deceptive conduct provisions to scope 3 emissions and forward-looking statements would be limited to regulator-only actions for a fixed period of three years. Relief provided in this way would encourage best-practice disclosures while assuaging concerns in areas of the disclosure regime that are more uncertain. </w:t>
      </w:r>
    </w:p>
    <w:p w14:paraId="4212A480" w14:textId="77777777" w:rsidR="00467FA4" w:rsidRDefault="00467FA4" w:rsidP="00467FA4">
      <w:pPr>
        <w:pStyle w:val="Heading4"/>
      </w:pPr>
      <w:r>
        <w:t>Proportionality</w:t>
      </w:r>
    </w:p>
    <w:p w14:paraId="603D8D0D" w14:textId="77777777" w:rsidR="00467FA4" w:rsidRPr="00B4208F" w:rsidRDefault="00467FA4" w:rsidP="00467FA4">
      <w:pPr>
        <w:pStyle w:val="BodyText"/>
        <w:rPr>
          <w:rFonts w:ascii="Calibri Light" w:hAnsi="Calibri Light" w:cs="Calibri Light"/>
        </w:rPr>
      </w:pPr>
      <w:r w:rsidRPr="00B4208F">
        <w:rPr>
          <w:rFonts w:ascii="Calibri Light" w:hAnsi="Calibri Light" w:cs="Calibri Light"/>
        </w:rPr>
        <w:t xml:space="preserve">This policy has considered circumstances for smaller companies that may not necessarily have the resources or in-house capability to confidently disclose climate risk. In the first instance, smaller companies will be phased in to ensure they can observe the market as disclosures develop. They will also be encouraged to </w:t>
      </w:r>
      <w:r>
        <w:rPr>
          <w:rFonts w:ascii="Calibri Light" w:hAnsi="Calibri Light" w:cs="Calibri Light"/>
        </w:rPr>
        <w:t xml:space="preserve">voluntarily </w:t>
      </w:r>
      <w:r w:rsidRPr="00B4208F">
        <w:rPr>
          <w:rFonts w:ascii="Calibri Light" w:hAnsi="Calibri Light" w:cs="Calibri Light"/>
        </w:rPr>
        <w:t>disclose earlier</w:t>
      </w:r>
      <w:r>
        <w:rPr>
          <w:rFonts w:ascii="Calibri Light" w:hAnsi="Calibri Light" w:cs="Calibri Light"/>
        </w:rPr>
        <w:t xml:space="preserve"> and take advantage of</w:t>
      </w:r>
      <w:r w:rsidRPr="00B4208F">
        <w:rPr>
          <w:rFonts w:ascii="Calibri Light" w:hAnsi="Calibri Light" w:cs="Calibri Light"/>
        </w:rPr>
        <w:t xml:space="preserve"> the modified liability framework. Similarly, smaller companies will be required to disclose only information that is available without undue cost or effort to reduce the regulatory burden. </w:t>
      </w:r>
      <w:r>
        <w:rPr>
          <w:rFonts w:ascii="Calibri Light" w:hAnsi="Calibri Light" w:cs="Calibri Light"/>
        </w:rPr>
        <w:t xml:space="preserve">As a result of these considerations, Treasury has decided to implement an option that does not mandate climate-risk disclosures for all Group 3 entities but only for those with material climate-related risks and opportunities. </w:t>
      </w:r>
    </w:p>
    <w:p w14:paraId="39598FD7" w14:textId="77777777" w:rsidR="00467FA4" w:rsidRDefault="00467FA4" w:rsidP="00467FA4">
      <w:pPr>
        <w:pStyle w:val="Heading4"/>
      </w:pPr>
      <w:r>
        <w:t>Phasing</w:t>
      </w:r>
    </w:p>
    <w:p w14:paraId="5A6D267C" w14:textId="60C69206" w:rsidR="00467FA4" w:rsidRPr="00B4208F" w:rsidRDefault="00467FA4" w:rsidP="00467FA4">
      <w:pPr>
        <w:pStyle w:val="BodyText"/>
        <w:rPr>
          <w:rFonts w:ascii="Calibri Light" w:hAnsi="Calibri Light" w:cs="Calibri Light"/>
        </w:rPr>
      </w:pPr>
      <w:r w:rsidRPr="00B4208F">
        <w:rPr>
          <w:rFonts w:ascii="Calibri Light" w:hAnsi="Calibri Light" w:cs="Calibri Light"/>
        </w:rPr>
        <w:t xml:space="preserve">In response to the discovery consultation, </w:t>
      </w:r>
      <w:r w:rsidR="00C1102A">
        <w:rPr>
          <w:rFonts w:ascii="Calibri Light" w:hAnsi="Calibri Light" w:cs="Calibri Light"/>
        </w:rPr>
        <w:t xml:space="preserve">71% of </w:t>
      </w:r>
      <w:r w:rsidR="001E1A46">
        <w:rPr>
          <w:rFonts w:ascii="Calibri Light" w:hAnsi="Calibri Light" w:cs="Calibri Light"/>
        </w:rPr>
        <w:t xml:space="preserve">194 </w:t>
      </w:r>
      <w:r w:rsidR="00D0412A">
        <w:rPr>
          <w:rFonts w:ascii="Calibri Light" w:hAnsi="Calibri Light" w:cs="Calibri Light"/>
        </w:rPr>
        <w:t>submissions</w:t>
      </w:r>
      <w:r w:rsidRPr="00B4208F">
        <w:rPr>
          <w:rFonts w:ascii="Calibri Light" w:hAnsi="Calibri Light" w:cs="Calibri Light"/>
        </w:rPr>
        <w:t xml:space="preserve"> agreed the Government should take a phased approach to coverage over time. A three-phased approach is proposed, starting with a relatively limited group of very large entities that expands </w:t>
      </w:r>
      <w:r>
        <w:rPr>
          <w:rFonts w:ascii="Calibri Light" w:hAnsi="Calibri Light" w:cs="Calibri Light"/>
        </w:rPr>
        <w:t>after</w:t>
      </w:r>
      <w:r w:rsidRPr="00B4208F">
        <w:rPr>
          <w:rFonts w:ascii="Calibri Light" w:hAnsi="Calibri Light" w:cs="Calibri Light"/>
        </w:rPr>
        <w:t xml:space="preserve"> two years to apply to progressively smaller entities. Allowing smaller entities more lead time before they are subject to the mandatory requirements enables them to build the capability and skills required to meet their obligations. </w:t>
      </w:r>
    </w:p>
    <w:p w14:paraId="286A57F0" w14:textId="77777777" w:rsidR="00467FA4" w:rsidRDefault="00467FA4" w:rsidP="00467FA4">
      <w:pPr>
        <w:pStyle w:val="BodyText"/>
        <w:rPr>
          <w:rFonts w:ascii="Calibri Light" w:hAnsi="Calibri Light" w:cs="Calibri Light"/>
        </w:rPr>
      </w:pPr>
      <w:r w:rsidRPr="00B4208F">
        <w:rPr>
          <w:rFonts w:ascii="Calibri Light" w:hAnsi="Calibri Light" w:cs="Calibri Light"/>
        </w:rPr>
        <w:t>The reform is also likely to increase the level of demand for professional services. Progressively expanding coverage over time should mitigate the risk of supply shortages</w:t>
      </w:r>
      <w:r>
        <w:rPr>
          <w:rFonts w:ascii="Calibri Light" w:hAnsi="Calibri Light" w:cs="Calibri Light"/>
        </w:rPr>
        <w:t xml:space="preserve"> and associated price increases</w:t>
      </w:r>
      <w:r w:rsidRPr="00B4208F">
        <w:rPr>
          <w:rFonts w:ascii="Calibri Light" w:hAnsi="Calibri Light" w:cs="Calibri Light"/>
        </w:rPr>
        <w:t xml:space="preserve"> in these service areas (particularly audit and assurance), by allowing sufficient time for the market to attract and grow the resourcing, capacity and expertise needed to meet this increased demand.</w:t>
      </w:r>
    </w:p>
    <w:p w14:paraId="656D383D" w14:textId="77777777" w:rsidR="002D30E4" w:rsidRDefault="002D30E4" w:rsidP="002D30E4">
      <w:pPr>
        <w:pStyle w:val="Heading3"/>
      </w:pPr>
      <w:bookmarkStart w:id="32" w:name="_Toc144742117"/>
      <w:r>
        <w:t>Approximate regulatory burden estimate</w:t>
      </w:r>
      <w:bookmarkEnd w:id="32"/>
    </w:p>
    <w:p w14:paraId="2A135627" w14:textId="3D13A605" w:rsidR="002D30E4" w:rsidRDefault="002D30E4" w:rsidP="003B3BBB">
      <w:pPr>
        <w:pStyle w:val="Caption"/>
      </w:pPr>
      <w:r>
        <w:t>Table 1</w:t>
      </w:r>
      <w:r w:rsidR="002C5FFB">
        <w:t>4</w:t>
      </w:r>
      <w:r>
        <w:t>: Annual regulatory costs ($ million)</w:t>
      </w:r>
    </w:p>
    <w:tbl>
      <w:tblPr>
        <w:tblStyle w:val="GridTable5Dark-Accent1"/>
        <w:tblW w:w="0" w:type="auto"/>
        <w:tblLook w:val="0660" w:firstRow="1" w:lastRow="1" w:firstColumn="0" w:lastColumn="0" w:noHBand="1" w:noVBand="1"/>
      </w:tblPr>
      <w:tblGrid>
        <w:gridCol w:w="2106"/>
        <w:gridCol w:w="1344"/>
        <w:gridCol w:w="1558"/>
        <w:gridCol w:w="2381"/>
        <w:gridCol w:w="1503"/>
        <w:gridCol w:w="168"/>
      </w:tblGrid>
      <w:tr w:rsidR="002D30E4" w14:paraId="21BFEE8F" w14:textId="77777777" w:rsidTr="00417756">
        <w:trPr>
          <w:cnfStyle w:val="100000000000" w:firstRow="1" w:lastRow="0" w:firstColumn="0" w:lastColumn="0" w:oddVBand="0" w:evenVBand="0" w:oddHBand="0" w:evenHBand="0" w:firstRowFirstColumn="0" w:firstRowLastColumn="0" w:lastRowFirstColumn="0" w:lastRowLastColumn="0"/>
          <w:trHeight w:val="20"/>
        </w:trPr>
        <w:tc>
          <w:tcPr>
            <w:tcW w:w="2106" w:type="dxa"/>
            <w:hideMark/>
          </w:tcPr>
          <w:p w14:paraId="42DCCF6A" w14:textId="77777777" w:rsidR="002D30E4" w:rsidRPr="004F4E91" w:rsidRDefault="002D30E4" w:rsidP="00417756">
            <w:pPr>
              <w:pStyle w:val="BodyText"/>
              <w:spacing w:after="0"/>
              <w:rPr>
                <w:rFonts w:ascii="Calibri Light" w:hAnsi="Calibri Light" w:cs="Calibri Light"/>
                <w:color w:val="auto"/>
                <w:sz w:val="22"/>
              </w:rPr>
            </w:pPr>
          </w:p>
        </w:tc>
        <w:tc>
          <w:tcPr>
            <w:tcW w:w="1344" w:type="dxa"/>
            <w:hideMark/>
          </w:tcPr>
          <w:p w14:paraId="2C0DE6A8"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Individuals</w:t>
            </w:r>
          </w:p>
        </w:tc>
        <w:tc>
          <w:tcPr>
            <w:tcW w:w="1558" w:type="dxa"/>
            <w:hideMark/>
          </w:tcPr>
          <w:p w14:paraId="2C568A02"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 xml:space="preserve">Business </w:t>
            </w:r>
          </w:p>
        </w:tc>
        <w:tc>
          <w:tcPr>
            <w:tcW w:w="2381" w:type="dxa"/>
            <w:hideMark/>
          </w:tcPr>
          <w:p w14:paraId="0EF93370"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Community organisations</w:t>
            </w:r>
          </w:p>
        </w:tc>
        <w:tc>
          <w:tcPr>
            <w:tcW w:w="1671" w:type="dxa"/>
            <w:gridSpan w:val="2"/>
            <w:hideMark/>
          </w:tcPr>
          <w:p w14:paraId="093718D2"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Total change in cost</w:t>
            </w:r>
          </w:p>
        </w:tc>
      </w:tr>
      <w:tr w:rsidR="002D30E4" w:rsidRPr="004F4E91" w14:paraId="211F9CA1" w14:textId="77777777" w:rsidTr="00417756">
        <w:trPr>
          <w:gridAfter w:val="1"/>
          <w:wAfter w:w="168" w:type="dxa"/>
          <w:trHeight w:val="20"/>
        </w:trPr>
        <w:tc>
          <w:tcPr>
            <w:tcW w:w="2106" w:type="dxa"/>
            <w:shd w:val="clear" w:color="auto" w:fill="FFFFFF" w:themeFill="background1"/>
            <w:hideMark/>
          </w:tcPr>
          <w:p w14:paraId="5B2F9540"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Status quo</w:t>
            </w:r>
          </w:p>
        </w:tc>
        <w:tc>
          <w:tcPr>
            <w:tcW w:w="1344" w:type="dxa"/>
            <w:shd w:val="clear" w:color="auto" w:fill="FFFFFF" w:themeFill="background1"/>
            <w:hideMark/>
          </w:tcPr>
          <w:p w14:paraId="4B7DA605"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$0</w:t>
            </w:r>
          </w:p>
        </w:tc>
        <w:tc>
          <w:tcPr>
            <w:tcW w:w="1558" w:type="dxa"/>
            <w:shd w:val="clear" w:color="auto" w:fill="FFFFFF" w:themeFill="background1"/>
            <w:hideMark/>
          </w:tcPr>
          <w:p w14:paraId="2E56EBA1" w14:textId="39FCE8BA"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$2</w:t>
            </w:r>
            <w:r w:rsidR="008F3FB0">
              <w:rPr>
                <w:rFonts w:ascii="Calibri Light" w:hAnsi="Calibri Light" w:cs="Calibri Light"/>
                <w:color w:val="auto"/>
                <w:sz w:val="22"/>
              </w:rPr>
              <w:t>49</w:t>
            </w:r>
            <w:r w:rsidRPr="004F4E91">
              <w:rPr>
                <w:rFonts w:ascii="Calibri Light" w:hAnsi="Calibri Light" w:cs="Calibri Light"/>
                <w:color w:val="auto"/>
                <w:sz w:val="22"/>
              </w:rPr>
              <w:t>.</w:t>
            </w:r>
            <w:r w:rsidR="008F3FB0">
              <w:rPr>
                <w:rFonts w:ascii="Calibri Light" w:hAnsi="Calibri Light" w:cs="Calibri Light"/>
                <w:color w:val="auto"/>
                <w:sz w:val="22"/>
              </w:rPr>
              <w:t>99</w:t>
            </w:r>
          </w:p>
        </w:tc>
        <w:tc>
          <w:tcPr>
            <w:tcW w:w="2381" w:type="dxa"/>
            <w:shd w:val="clear" w:color="auto" w:fill="FFFFFF" w:themeFill="background1"/>
            <w:hideMark/>
          </w:tcPr>
          <w:p w14:paraId="579A42D9"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$0</w:t>
            </w:r>
          </w:p>
        </w:tc>
        <w:tc>
          <w:tcPr>
            <w:tcW w:w="1503" w:type="dxa"/>
            <w:shd w:val="clear" w:color="auto" w:fill="FFFFFF" w:themeFill="background1"/>
            <w:hideMark/>
          </w:tcPr>
          <w:p w14:paraId="540363FC"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$0</w:t>
            </w:r>
          </w:p>
        </w:tc>
      </w:tr>
      <w:tr w:rsidR="002D30E4" w14:paraId="6ED286E7" w14:textId="77777777" w:rsidTr="00417756">
        <w:trPr>
          <w:trHeight w:val="20"/>
        </w:trPr>
        <w:tc>
          <w:tcPr>
            <w:tcW w:w="2106" w:type="dxa"/>
          </w:tcPr>
          <w:p w14:paraId="54C89D69"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Option 1</w:t>
            </w:r>
          </w:p>
        </w:tc>
        <w:tc>
          <w:tcPr>
            <w:tcW w:w="1344" w:type="dxa"/>
          </w:tcPr>
          <w:p w14:paraId="2F4BA594"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$0</w:t>
            </w:r>
          </w:p>
        </w:tc>
        <w:tc>
          <w:tcPr>
            <w:tcW w:w="1558" w:type="dxa"/>
          </w:tcPr>
          <w:p w14:paraId="041BEFD8" w14:textId="05F88F63"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$1,</w:t>
            </w:r>
            <w:r w:rsidR="00604E21">
              <w:rPr>
                <w:rFonts w:ascii="Calibri Light" w:hAnsi="Calibri Light" w:cs="Calibri Light"/>
                <w:color w:val="auto"/>
                <w:sz w:val="22"/>
              </w:rPr>
              <w:t>636.69</w:t>
            </w:r>
          </w:p>
        </w:tc>
        <w:tc>
          <w:tcPr>
            <w:tcW w:w="2381" w:type="dxa"/>
          </w:tcPr>
          <w:p w14:paraId="3ECCD31D"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$0</w:t>
            </w:r>
          </w:p>
        </w:tc>
        <w:tc>
          <w:tcPr>
            <w:tcW w:w="1671" w:type="dxa"/>
            <w:gridSpan w:val="2"/>
          </w:tcPr>
          <w:p w14:paraId="52CBC85D" w14:textId="10F57E03"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$1,</w:t>
            </w:r>
            <w:r w:rsidR="00604E21">
              <w:rPr>
                <w:rFonts w:ascii="Calibri Light" w:hAnsi="Calibri Light" w:cs="Calibri Light"/>
                <w:color w:val="auto"/>
                <w:sz w:val="22"/>
              </w:rPr>
              <w:t>3</w:t>
            </w:r>
            <w:r w:rsidR="00116D13">
              <w:rPr>
                <w:rFonts w:ascii="Calibri Light" w:hAnsi="Calibri Light" w:cs="Calibri Light"/>
                <w:color w:val="auto"/>
                <w:sz w:val="22"/>
              </w:rPr>
              <w:t>86</w:t>
            </w:r>
            <w:r w:rsidR="00604E21">
              <w:rPr>
                <w:rFonts w:ascii="Calibri Light" w:hAnsi="Calibri Light" w:cs="Calibri Light"/>
                <w:color w:val="auto"/>
                <w:sz w:val="22"/>
              </w:rPr>
              <w:t>.</w:t>
            </w:r>
            <w:r w:rsidR="00116D13">
              <w:rPr>
                <w:rFonts w:ascii="Calibri Light" w:hAnsi="Calibri Light" w:cs="Calibri Light"/>
                <w:color w:val="auto"/>
                <w:sz w:val="22"/>
              </w:rPr>
              <w:t>70</w:t>
            </w:r>
          </w:p>
        </w:tc>
      </w:tr>
      <w:tr w:rsidR="002D30E4" w:rsidRPr="004F4E91" w14:paraId="77A5CF41" w14:textId="77777777" w:rsidTr="00417756">
        <w:trPr>
          <w:gridAfter w:val="1"/>
          <w:wAfter w:w="168" w:type="dxa"/>
          <w:trHeight w:val="20"/>
        </w:trPr>
        <w:tc>
          <w:tcPr>
            <w:tcW w:w="2106" w:type="dxa"/>
            <w:shd w:val="clear" w:color="auto" w:fill="FFFFFF" w:themeFill="background1"/>
          </w:tcPr>
          <w:p w14:paraId="1D8E3412"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Option 1a</w:t>
            </w:r>
          </w:p>
        </w:tc>
        <w:tc>
          <w:tcPr>
            <w:tcW w:w="1344" w:type="dxa"/>
            <w:shd w:val="clear" w:color="auto" w:fill="FFFFFF" w:themeFill="background1"/>
          </w:tcPr>
          <w:p w14:paraId="73705C98"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$0</w:t>
            </w:r>
          </w:p>
        </w:tc>
        <w:tc>
          <w:tcPr>
            <w:tcW w:w="1558" w:type="dxa"/>
            <w:shd w:val="clear" w:color="auto" w:fill="FFFFFF" w:themeFill="background1"/>
          </w:tcPr>
          <w:p w14:paraId="389D2D0E" w14:textId="5CAC6FE5"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$1,</w:t>
            </w:r>
            <w:r w:rsidR="00604E21">
              <w:rPr>
                <w:rFonts w:ascii="Calibri Light" w:hAnsi="Calibri Light" w:cs="Calibri Light"/>
                <w:color w:val="auto"/>
                <w:sz w:val="22"/>
              </w:rPr>
              <w:t>457.30</w:t>
            </w:r>
          </w:p>
        </w:tc>
        <w:tc>
          <w:tcPr>
            <w:tcW w:w="2381" w:type="dxa"/>
            <w:shd w:val="clear" w:color="auto" w:fill="FFFFFF" w:themeFill="background1"/>
          </w:tcPr>
          <w:p w14:paraId="00D6330E" w14:textId="77777777"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$0</w:t>
            </w:r>
          </w:p>
        </w:tc>
        <w:tc>
          <w:tcPr>
            <w:tcW w:w="1503" w:type="dxa"/>
            <w:shd w:val="clear" w:color="auto" w:fill="FFFFFF" w:themeFill="background1"/>
          </w:tcPr>
          <w:p w14:paraId="34713FB5" w14:textId="5FD35674" w:rsidR="002D30E4" w:rsidRPr="004F4E91" w:rsidRDefault="002D30E4" w:rsidP="00417756">
            <w:pPr>
              <w:pStyle w:val="BodyText"/>
              <w:spacing w:after="0"/>
              <w:rPr>
                <w:rFonts w:ascii="Calibri Light" w:hAnsi="Calibri Light" w:cs="Calibri Light"/>
                <w:color w:val="auto"/>
                <w:sz w:val="22"/>
              </w:rPr>
            </w:pPr>
            <w:r w:rsidRPr="004F4E91">
              <w:rPr>
                <w:rFonts w:ascii="Calibri Light" w:hAnsi="Calibri Light" w:cs="Calibri Light"/>
                <w:color w:val="auto"/>
                <w:sz w:val="22"/>
              </w:rPr>
              <w:t>$1,</w:t>
            </w:r>
            <w:r w:rsidR="00E06458">
              <w:rPr>
                <w:rFonts w:ascii="Calibri Light" w:hAnsi="Calibri Light" w:cs="Calibri Light"/>
                <w:color w:val="auto"/>
                <w:sz w:val="22"/>
              </w:rPr>
              <w:t>207</w:t>
            </w:r>
            <w:r w:rsidR="00604E21">
              <w:rPr>
                <w:rFonts w:ascii="Calibri Light" w:hAnsi="Calibri Light" w:cs="Calibri Light"/>
                <w:color w:val="auto"/>
                <w:sz w:val="22"/>
              </w:rPr>
              <w:t>.</w:t>
            </w:r>
            <w:r w:rsidR="00E06458">
              <w:rPr>
                <w:rFonts w:ascii="Calibri Light" w:hAnsi="Calibri Light" w:cs="Calibri Light"/>
                <w:color w:val="auto"/>
                <w:sz w:val="22"/>
              </w:rPr>
              <w:t>31</w:t>
            </w:r>
          </w:p>
        </w:tc>
      </w:tr>
      <w:tr w:rsidR="002D30E4" w14:paraId="316D016C" w14:textId="77777777" w:rsidTr="00417756">
        <w:trPr>
          <w:cnfStyle w:val="010000000000" w:firstRow="0" w:lastRow="1" w:firstColumn="0" w:lastColumn="0" w:oddVBand="0" w:evenVBand="0" w:oddHBand="0" w:evenHBand="0" w:firstRowFirstColumn="0" w:firstRowLastColumn="0" w:lastRowFirstColumn="0" w:lastRowLastColumn="0"/>
          <w:trHeight w:val="20"/>
        </w:trPr>
        <w:tc>
          <w:tcPr>
            <w:tcW w:w="2106" w:type="dxa"/>
          </w:tcPr>
          <w:p w14:paraId="2F0CE76A" w14:textId="77777777" w:rsidR="002D30E4" w:rsidRPr="004F4E91" w:rsidRDefault="002D30E4" w:rsidP="00417756">
            <w:pPr>
              <w:pStyle w:val="BodyText"/>
              <w:spacing w:after="0"/>
              <w:rPr>
                <w:rFonts w:ascii="Calibri Light" w:hAnsi="Calibri Light" w:cs="Calibri Light"/>
                <w:b w:val="0"/>
                <w:bCs w:val="0"/>
                <w:color w:val="auto"/>
                <w:sz w:val="22"/>
              </w:rPr>
            </w:pPr>
            <w:r w:rsidRPr="004F4E91">
              <w:rPr>
                <w:rFonts w:ascii="Calibri Light" w:hAnsi="Calibri Light" w:cs="Calibri Light"/>
                <w:b w:val="0"/>
                <w:bCs w:val="0"/>
                <w:color w:val="auto"/>
                <w:sz w:val="22"/>
              </w:rPr>
              <w:t>Option 1b</w:t>
            </w:r>
          </w:p>
        </w:tc>
        <w:tc>
          <w:tcPr>
            <w:tcW w:w="1344" w:type="dxa"/>
          </w:tcPr>
          <w:p w14:paraId="1D1693DE" w14:textId="77777777" w:rsidR="002D30E4" w:rsidRPr="004F4E91" w:rsidRDefault="002D30E4" w:rsidP="00417756">
            <w:pPr>
              <w:pStyle w:val="BodyText"/>
              <w:spacing w:after="0"/>
              <w:rPr>
                <w:rFonts w:ascii="Calibri Light" w:hAnsi="Calibri Light" w:cs="Calibri Light"/>
                <w:b w:val="0"/>
                <w:bCs w:val="0"/>
                <w:color w:val="auto"/>
                <w:sz w:val="22"/>
              </w:rPr>
            </w:pPr>
            <w:r w:rsidRPr="004F4E91">
              <w:rPr>
                <w:rFonts w:ascii="Calibri Light" w:hAnsi="Calibri Light" w:cs="Calibri Light"/>
                <w:b w:val="0"/>
                <w:bCs w:val="0"/>
                <w:color w:val="auto"/>
                <w:sz w:val="22"/>
              </w:rPr>
              <w:t>$0</w:t>
            </w:r>
          </w:p>
        </w:tc>
        <w:tc>
          <w:tcPr>
            <w:tcW w:w="1558" w:type="dxa"/>
          </w:tcPr>
          <w:p w14:paraId="063374A2" w14:textId="65F7BE70" w:rsidR="002D30E4" w:rsidRPr="004F4E91" w:rsidRDefault="002D30E4" w:rsidP="00417756">
            <w:pPr>
              <w:pStyle w:val="BodyText"/>
              <w:spacing w:after="0"/>
              <w:rPr>
                <w:rFonts w:ascii="Calibri Light" w:hAnsi="Calibri Light" w:cs="Calibri Light"/>
                <w:b w:val="0"/>
                <w:color w:val="auto"/>
                <w:sz w:val="22"/>
              </w:rPr>
            </w:pPr>
            <w:r w:rsidRPr="004F4E91">
              <w:rPr>
                <w:rFonts w:ascii="Calibri Light" w:hAnsi="Calibri Light" w:cs="Calibri Light"/>
                <w:b w:val="0"/>
                <w:color w:val="auto"/>
                <w:sz w:val="22"/>
              </w:rPr>
              <w:t>$1,</w:t>
            </w:r>
            <w:r w:rsidR="00604E21">
              <w:rPr>
                <w:rFonts w:ascii="Calibri Light" w:hAnsi="Calibri Light" w:cs="Calibri Light"/>
                <w:b w:val="0"/>
                <w:color w:val="auto"/>
                <w:sz w:val="22"/>
              </w:rPr>
              <w:t>400.19</w:t>
            </w:r>
          </w:p>
        </w:tc>
        <w:tc>
          <w:tcPr>
            <w:tcW w:w="2381" w:type="dxa"/>
          </w:tcPr>
          <w:p w14:paraId="7F0E1B2D" w14:textId="77777777" w:rsidR="002D30E4" w:rsidRPr="004F4E91" w:rsidRDefault="002D30E4" w:rsidP="00417756">
            <w:pPr>
              <w:pStyle w:val="BodyText"/>
              <w:spacing w:after="0"/>
              <w:rPr>
                <w:rFonts w:ascii="Calibri Light" w:hAnsi="Calibri Light" w:cs="Calibri Light"/>
                <w:b w:val="0"/>
                <w:color w:val="auto"/>
                <w:sz w:val="22"/>
              </w:rPr>
            </w:pPr>
            <w:r w:rsidRPr="004F4E91">
              <w:rPr>
                <w:rFonts w:ascii="Calibri Light" w:hAnsi="Calibri Light" w:cs="Calibri Light"/>
                <w:b w:val="0"/>
                <w:color w:val="auto"/>
                <w:sz w:val="22"/>
              </w:rPr>
              <w:t>$0</w:t>
            </w:r>
          </w:p>
        </w:tc>
        <w:tc>
          <w:tcPr>
            <w:tcW w:w="1671" w:type="dxa"/>
            <w:gridSpan w:val="2"/>
          </w:tcPr>
          <w:p w14:paraId="5B35939E" w14:textId="5CD42CC7" w:rsidR="002D30E4" w:rsidRPr="004F4E91" w:rsidRDefault="002D30E4" w:rsidP="00417756">
            <w:pPr>
              <w:pStyle w:val="BodyText"/>
              <w:spacing w:after="0"/>
              <w:rPr>
                <w:rFonts w:ascii="Calibri Light" w:hAnsi="Calibri Light" w:cs="Calibri Light"/>
                <w:b w:val="0"/>
                <w:color w:val="auto"/>
                <w:sz w:val="22"/>
              </w:rPr>
            </w:pPr>
            <w:r w:rsidRPr="004F4E91">
              <w:rPr>
                <w:rFonts w:ascii="Calibri Light" w:hAnsi="Calibri Light" w:cs="Calibri Light"/>
                <w:b w:val="0"/>
                <w:color w:val="auto"/>
                <w:sz w:val="22"/>
              </w:rPr>
              <w:t>$1,</w:t>
            </w:r>
            <w:r w:rsidR="00604E21">
              <w:rPr>
                <w:rFonts w:ascii="Calibri Light" w:hAnsi="Calibri Light" w:cs="Calibri Light"/>
                <w:b w:val="0"/>
                <w:color w:val="auto"/>
                <w:sz w:val="22"/>
              </w:rPr>
              <w:t>1</w:t>
            </w:r>
            <w:r w:rsidR="00CA0FF6">
              <w:rPr>
                <w:rFonts w:ascii="Calibri Light" w:hAnsi="Calibri Light" w:cs="Calibri Light"/>
                <w:b w:val="0"/>
                <w:color w:val="auto"/>
                <w:sz w:val="22"/>
              </w:rPr>
              <w:t>50</w:t>
            </w:r>
            <w:r w:rsidR="00604E21">
              <w:rPr>
                <w:rFonts w:ascii="Calibri Light" w:hAnsi="Calibri Light" w:cs="Calibri Light"/>
                <w:b w:val="0"/>
                <w:color w:val="auto"/>
                <w:sz w:val="22"/>
              </w:rPr>
              <w:t>.</w:t>
            </w:r>
            <w:r w:rsidR="00CA0FF6">
              <w:rPr>
                <w:rFonts w:ascii="Calibri Light" w:hAnsi="Calibri Light" w:cs="Calibri Light"/>
                <w:b w:val="0"/>
                <w:color w:val="auto"/>
                <w:sz w:val="22"/>
              </w:rPr>
              <w:t>20</w:t>
            </w:r>
          </w:p>
        </w:tc>
      </w:tr>
    </w:tbl>
    <w:p w14:paraId="3DDC4ABA" w14:textId="15813E77" w:rsidR="002D30E4" w:rsidRDefault="002D30E4" w:rsidP="002D30E4">
      <w:r>
        <w:t>As there are compliance costs associated with abiding by the status quo, the approximate regulatory burden is calculated by deducting the compliance cost for status quo from each option.</w:t>
      </w:r>
      <w:r w:rsidR="00AB33A8">
        <w:t xml:space="preserve"> These costings are approximate only, and do not account for a number of unquantifiable costs of the status quo, such as a higher risk premium for investors, a higher cost of capital for companies and less efficient capital allocation across the economy. Estimated costs of the status quo also do not account for circumstances where companies would need to meaningfully increase climate risk reporting activities in order to remain compliant with existing obligations under the </w:t>
      </w:r>
      <w:r w:rsidR="00AB33A8" w:rsidRPr="009D1E9F">
        <w:rPr>
          <w:i/>
          <w:iCs/>
        </w:rPr>
        <w:t>Corporations Act</w:t>
      </w:r>
      <w:r w:rsidR="00AB33A8">
        <w:t xml:space="preserve"> </w:t>
      </w:r>
      <w:r w:rsidR="00AB33A8" w:rsidRPr="009D1E9F">
        <w:rPr>
          <w:i/>
          <w:iCs/>
        </w:rPr>
        <w:t>2001</w:t>
      </w:r>
      <w:r w:rsidR="00AB33A8">
        <w:t xml:space="preserve"> to report on ‘material’ risks.</w:t>
      </w:r>
    </w:p>
    <w:p w14:paraId="472B87C7" w14:textId="05ACF8BD" w:rsidR="002D30E4" w:rsidRDefault="00492CC3" w:rsidP="002D30E4">
      <w:r>
        <w:t>The proposal</w:t>
      </w:r>
      <w:r w:rsidR="002D30E4">
        <w:t xml:space="preserve"> </w:t>
      </w:r>
      <w:r w:rsidR="0006632B">
        <w:t xml:space="preserve">of </w:t>
      </w:r>
      <w:r w:rsidR="002D30E4">
        <w:t xml:space="preserve">a </w:t>
      </w:r>
      <w:r w:rsidR="0006632B">
        <w:t>‘</w:t>
      </w:r>
      <w:r w:rsidR="002D30E4">
        <w:t>comply or explain</w:t>
      </w:r>
      <w:r w:rsidR="0006632B">
        <w:t>’</w:t>
      </w:r>
      <w:r w:rsidR="002D30E4">
        <w:t xml:space="preserve"> element for Group 3 </w:t>
      </w:r>
      <w:r w:rsidR="0006632B">
        <w:t xml:space="preserve">in Options 1a and 1b </w:t>
      </w:r>
      <w:r w:rsidR="002D30E4">
        <w:t>acknowledge</w:t>
      </w:r>
      <w:r w:rsidR="0006632B">
        <w:t>s</w:t>
      </w:r>
      <w:r w:rsidR="002D30E4">
        <w:t xml:space="preserve"> the </w:t>
      </w:r>
      <w:r w:rsidR="0006632B">
        <w:t xml:space="preserve">undue </w:t>
      </w:r>
      <w:r w:rsidR="002D30E4">
        <w:t xml:space="preserve">regulatory burden </w:t>
      </w:r>
      <w:r w:rsidR="0006632B">
        <w:t>that would</w:t>
      </w:r>
      <w:r w:rsidR="256FAE11">
        <w:t xml:space="preserve"> have</w:t>
      </w:r>
      <w:r w:rsidR="0006632B">
        <w:t xml:space="preserve"> been </w:t>
      </w:r>
      <w:r w:rsidR="002D30E4">
        <w:t xml:space="preserve">imposed on </w:t>
      </w:r>
      <w:r w:rsidR="0006632B">
        <w:t>a</w:t>
      </w:r>
      <w:r w:rsidR="002D30E4">
        <w:t xml:space="preserve"> group that is least resourced to handle the burden. Similarly, we have heard during consultation of the lack of capability in the assurance markets and propose reducing the requirement for ‘reasonable’ to ‘limited’ assurance to ensure the needs of stakeholders have been balanced against the needs for greater decision-useful information. As such we </w:t>
      </w:r>
      <w:r w:rsidR="00B96D5D">
        <w:t>recommend Government adopt</w:t>
      </w:r>
      <w:r w:rsidR="002D30E4">
        <w:t xml:space="preserve"> </w:t>
      </w:r>
      <w:r w:rsidR="00B96D5D">
        <w:t>O</w:t>
      </w:r>
      <w:r w:rsidR="002D30E4">
        <w:t>ption 1b, with the lowest regulatory burden that aligns with improving transparency in the markets and the Government’s election commitment to improve this through mandating climate-related financial disclosures.</w:t>
      </w:r>
    </w:p>
    <w:p w14:paraId="0F0AD941" w14:textId="233C5E42" w:rsidR="002701A6" w:rsidRDefault="002701A6" w:rsidP="002701A6">
      <w:pPr>
        <w:pStyle w:val="Heading4"/>
      </w:pPr>
      <w:r>
        <w:t>Flow on effects</w:t>
      </w:r>
    </w:p>
    <w:p w14:paraId="3AE9F493" w14:textId="5B7299BF" w:rsidR="00F01A15" w:rsidRDefault="00F01A15" w:rsidP="00F01A15">
      <w:pPr>
        <w:rPr>
          <w:rFonts w:cs="Calibri Light"/>
          <w:color w:val="262626"/>
          <w:szCs w:val="22"/>
          <w:vertAlign w:val="superscript"/>
        </w:rPr>
      </w:pPr>
      <w:r w:rsidRPr="26A0AA83">
        <w:rPr>
          <w:rFonts w:cs="Calibri Light"/>
          <w:color w:val="262626"/>
        </w:rPr>
        <w:t xml:space="preserve">We expect there to be a </w:t>
      </w:r>
      <w:r w:rsidR="004A2BCD" w:rsidRPr="26A0AA83">
        <w:rPr>
          <w:rFonts w:cs="Calibri Light"/>
          <w:color w:val="262626"/>
        </w:rPr>
        <w:t>substantial flow on impact on the professional services</w:t>
      </w:r>
      <w:r w:rsidR="00BD07E8" w:rsidRPr="26A0AA83">
        <w:rPr>
          <w:rFonts w:cs="Calibri Light"/>
          <w:color w:val="262626"/>
        </w:rPr>
        <w:t xml:space="preserve"> and consulting</w:t>
      </w:r>
      <w:r w:rsidR="004A2BCD" w:rsidRPr="26A0AA83">
        <w:rPr>
          <w:rFonts w:cs="Calibri Light"/>
          <w:color w:val="262626"/>
        </w:rPr>
        <w:t xml:space="preserve"> industry as a result of these reforms. </w:t>
      </w:r>
      <w:r w:rsidR="006E6EB9" w:rsidRPr="26A0AA83">
        <w:rPr>
          <w:rFonts w:cs="Calibri Light"/>
          <w:color w:val="262626"/>
        </w:rPr>
        <w:t xml:space="preserve">The increased compliance requirements for reporting entities will create benefits for service providers but also act as an impetus for developing this skills market and sustainability related jobs. </w:t>
      </w:r>
      <w:r>
        <w:t xml:space="preserve">Given this policy represents an innovation in financial reporting, </w:t>
      </w:r>
      <w:r w:rsidRPr="26A0AA83">
        <w:rPr>
          <w:rFonts w:cs="Calibri Light"/>
          <w:color w:val="262626"/>
        </w:rPr>
        <w:t>we also expect there would be increased demand for sustainability assurance and auditing skills and capability in the market. In the short-term as supply of these skills catches up, prices for these services, from modelling, data collection, auditing and legal services are expected to rise. As seen in several surveys overseas and in submissions, these skills are generally outsourced in the short-term, causing higher profits for these service providers who have been purposefully recruiting professionals with these skills.</w:t>
      </w:r>
      <w:r w:rsidRPr="26A0AA83">
        <w:rPr>
          <w:rStyle w:val="FootnoteReference"/>
          <w:rFonts w:cs="Calibri Light"/>
          <w:color w:val="262626"/>
          <w:position w:val="6"/>
          <w:vertAlign w:val="superscript"/>
        </w:rPr>
        <w:footnoteReference w:id="45"/>
      </w:r>
      <w:r w:rsidRPr="26A0AA83">
        <w:rPr>
          <w:rFonts w:cs="Calibri Light"/>
          <w:color w:val="262626"/>
          <w:vertAlign w:val="superscript"/>
        </w:rPr>
        <w:t xml:space="preserve"> </w:t>
      </w:r>
    </w:p>
    <w:p w14:paraId="1C5A76A9" w14:textId="2524FA1F" w:rsidR="002701A6" w:rsidRDefault="006E6EB9" w:rsidP="002D30E4">
      <w:r>
        <w:rPr>
          <w:rFonts w:cs="Calibri Light"/>
          <w:color w:val="262626"/>
          <w:szCs w:val="22"/>
        </w:rPr>
        <w:t xml:space="preserve">Treasury received a number of submissions that noted the work underway by some academic institutions in meeting this shortfall in the supply of skills. </w:t>
      </w:r>
      <w:r w:rsidR="00F01A15">
        <w:rPr>
          <w:rFonts w:cs="Calibri Light"/>
          <w:color w:val="262626"/>
          <w:szCs w:val="22"/>
        </w:rPr>
        <w:t>The</w:t>
      </w:r>
      <w:r>
        <w:rPr>
          <w:rFonts w:cs="Calibri Light"/>
          <w:color w:val="262626"/>
          <w:szCs w:val="22"/>
        </w:rPr>
        <w:t xml:space="preserve"> gap between demand and supply of these skills </w:t>
      </w:r>
      <w:r w:rsidR="00F01A15">
        <w:rPr>
          <w:rFonts w:cs="Calibri Light"/>
          <w:color w:val="262626"/>
          <w:szCs w:val="22"/>
        </w:rPr>
        <w:t xml:space="preserve">is expected to </w:t>
      </w:r>
      <w:r>
        <w:rPr>
          <w:rFonts w:cs="Calibri Light"/>
          <w:color w:val="262626"/>
          <w:szCs w:val="22"/>
        </w:rPr>
        <w:t>close</w:t>
      </w:r>
      <w:r w:rsidR="00F01A15">
        <w:rPr>
          <w:rFonts w:cs="Calibri Light"/>
          <w:color w:val="262626"/>
          <w:szCs w:val="22"/>
        </w:rPr>
        <w:t xml:space="preserve"> slowly over the medium-term</w:t>
      </w:r>
      <w:r>
        <w:rPr>
          <w:rFonts w:cs="Calibri Light"/>
          <w:color w:val="262626"/>
          <w:szCs w:val="22"/>
        </w:rPr>
        <w:t xml:space="preserve">. In the long-term, we expect that the market for these skills will reach an equilibrium with many companies internalising these costs and developing models in-house as a way to reduce costs to external consultants and as more of these skills become available in the market. This is an assumption we have included in our analysis. In this manner, reporting entities will become more self-sufficient at managing their climate risk, reducing uncertainty for </w:t>
      </w:r>
      <w:proofErr w:type="gramStart"/>
      <w:r>
        <w:rPr>
          <w:rFonts w:cs="Calibri Light"/>
          <w:color w:val="262626"/>
          <w:szCs w:val="22"/>
        </w:rPr>
        <w:t>investors</w:t>
      </w:r>
      <w:proofErr w:type="gramEnd"/>
      <w:r>
        <w:rPr>
          <w:rFonts w:cs="Calibri Light"/>
          <w:color w:val="262626"/>
          <w:szCs w:val="22"/>
        </w:rPr>
        <w:t xml:space="preserve"> and potentially lowering their cost of capital. In the long-run, climate risk will decrease across the Australian economy, entrenching Australia’s reputation as an attractive destination of capital. </w:t>
      </w:r>
    </w:p>
    <w:p w14:paraId="0686ECE4" w14:textId="0E4FC077" w:rsidR="005F79A9" w:rsidRDefault="005F79A9">
      <w:pPr>
        <w:spacing w:before="0" w:after="200" w:line="276" w:lineRule="auto"/>
        <w:rPr>
          <w:rFonts w:eastAsiaTheme="minorHAnsi" w:cs="Calibri Light"/>
          <w:color w:val="262626" w:themeColor="text1" w:themeTint="D9"/>
          <w:szCs w:val="22"/>
          <w:lang w:eastAsia="en-US"/>
        </w:rPr>
      </w:pPr>
      <w:r>
        <w:rPr>
          <w:rFonts w:cs="Calibri Light"/>
        </w:rPr>
        <w:br w:type="page"/>
      </w:r>
    </w:p>
    <w:p w14:paraId="12BC5374" w14:textId="3A26DC09" w:rsidR="00467FA4" w:rsidRDefault="00467FA4" w:rsidP="00467FA4">
      <w:pPr>
        <w:pStyle w:val="Heading1"/>
      </w:pPr>
      <w:bookmarkStart w:id="33" w:name="_Toc144742118"/>
      <w:bookmarkStart w:id="34" w:name="_Toc141895100"/>
      <w:r>
        <w:t>Consultation</w:t>
      </w:r>
      <w:bookmarkEnd w:id="33"/>
      <w:r>
        <w:t xml:space="preserve"> </w:t>
      </w:r>
      <w:bookmarkEnd w:id="34"/>
    </w:p>
    <w:p w14:paraId="5DDA44A2" w14:textId="77777777" w:rsidR="00467FA4" w:rsidRPr="000F3075" w:rsidRDefault="00467FA4" w:rsidP="00467FA4">
      <w:pPr>
        <w:rPr>
          <w:rFonts w:eastAsiaTheme="minorHAnsi"/>
          <w:lang w:eastAsia="en-US"/>
        </w:rPr>
      </w:pPr>
      <w:r w:rsidRPr="000F3075">
        <w:rPr>
          <w:rFonts w:eastAsiaTheme="minorHAnsi"/>
          <w:lang w:eastAsia="en-US"/>
        </w:rPr>
        <w:t xml:space="preserve">The proposed mandatory climate disclosure regime is the result of extensive consultation with consumer groups, industry participants, peak bodies, </w:t>
      </w:r>
      <w:proofErr w:type="gramStart"/>
      <w:r w:rsidRPr="000F3075">
        <w:rPr>
          <w:rFonts w:eastAsiaTheme="minorHAnsi"/>
          <w:lang w:eastAsia="en-US"/>
        </w:rPr>
        <w:t>academia</w:t>
      </w:r>
      <w:proofErr w:type="gramEnd"/>
      <w:r w:rsidRPr="000F3075">
        <w:rPr>
          <w:rFonts w:eastAsiaTheme="minorHAnsi"/>
          <w:lang w:eastAsia="en-US"/>
        </w:rPr>
        <w:t xml:space="preserve"> and regulators. Treasury has undergone an extensive consultation process and consulted the public via:</w:t>
      </w:r>
    </w:p>
    <w:p w14:paraId="1987DD3C" w14:textId="77777777" w:rsidR="00467FA4" w:rsidRDefault="00467FA4" w:rsidP="00467FA4">
      <w:pPr>
        <w:pStyle w:val="Heading4"/>
        <w:rPr>
          <w:rFonts w:eastAsiaTheme="minorHAnsi"/>
          <w:lang w:eastAsia="en-US"/>
        </w:rPr>
      </w:pPr>
      <w:r>
        <w:rPr>
          <w:rFonts w:eastAsiaTheme="minorHAnsi"/>
          <w:lang w:eastAsia="en-US"/>
        </w:rPr>
        <w:t>Discovery Consultation</w:t>
      </w:r>
    </w:p>
    <w:p w14:paraId="0C3F0D3C" w14:textId="303B602E" w:rsidR="00467FA4" w:rsidRPr="000F3075" w:rsidRDefault="00C97E2B" w:rsidP="00467FA4">
      <w:pPr>
        <w:rPr>
          <w:rFonts w:eastAsiaTheme="minorHAnsi"/>
          <w:lang w:eastAsia="en-US"/>
        </w:rPr>
      </w:pPr>
      <w:r>
        <w:rPr>
          <w:rFonts w:eastAsiaTheme="minorHAnsi"/>
          <w:lang w:eastAsia="en-US"/>
        </w:rPr>
        <w:t>Treasury released a</w:t>
      </w:r>
      <w:r w:rsidR="00467FA4" w:rsidRPr="000F3075">
        <w:rPr>
          <w:rFonts w:eastAsiaTheme="minorHAnsi"/>
          <w:lang w:eastAsia="en-US"/>
        </w:rPr>
        <w:t xml:space="preserve"> </w:t>
      </w:r>
      <w:r>
        <w:rPr>
          <w:rFonts w:eastAsiaTheme="minorHAnsi"/>
          <w:lang w:eastAsia="en-US"/>
        </w:rPr>
        <w:t>c</w:t>
      </w:r>
      <w:r w:rsidR="00467FA4" w:rsidRPr="000F3075">
        <w:rPr>
          <w:rFonts w:eastAsiaTheme="minorHAnsi"/>
          <w:lang w:eastAsia="en-US"/>
        </w:rPr>
        <w:t xml:space="preserve">onsultation </w:t>
      </w:r>
      <w:r>
        <w:rPr>
          <w:rFonts w:eastAsiaTheme="minorHAnsi"/>
          <w:lang w:eastAsia="en-US"/>
        </w:rPr>
        <w:t>p</w:t>
      </w:r>
      <w:r w:rsidR="00467FA4" w:rsidRPr="000F3075">
        <w:rPr>
          <w:rFonts w:eastAsiaTheme="minorHAnsi"/>
          <w:lang w:eastAsia="en-US"/>
        </w:rPr>
        <w:t>aper</w:t>
      </w:r>
      <w:r w:rsidR="008B4D45">
        <w:rPr>
          <w:rFonts w:eastAsiaTheme="minorHAnsi"/>
          <w:lang w:eastAsia="en-US"/>
        </w:rPr>
        <w:t xml:space="preserve"> (Discovery CP)</w:t>
      </w:r>
      <w:r w:rsidR="00467FA4" w:rsidRPr="000F3075">
        <w:rPr>
          <w:rFonts w:eastAsiaTheme="minorHAnsi"/>
          <w:lang w:eastAsia="en-US"/>
        </w:rPr>
        <w:t xml:space="preserve"> in December 2022 seeking initial views on key considerations for the design and implementation of standardised, internationally-aligned requirements for disclosure of climate-related financial risks and opportunities.  </w:t>
      </w:r>
    </w:p>
    <w:p w14:paraId="69EB6061" w14:textId="010E8AC7" w:rsidR="00467FA4" w:rsidRPr="00F91654" w:rsidRDefault="00467FA4" w:rsidP="00467FA4">
      <w:r w:rsidRPr="00F91654">
        <w:t xml:space="preserve">194 submissions were received. 181 of these were public submissions, with an additional 13 confidential submissions. Non-confidential submissions were published on Treasury’s </w:t>
      </w:r>
      <w:r>
        <w:t>website</w:t>
      </w:r>
      <w:r w:rsidR="008A415A" w:rsidRPr="002B03CF">
        <w:rPr>
          <w:rStyle w:val="FootnoteReference"/>
          <w:position w:val="6"/>
          <w:vertAlign w:val="superscript"/>
        </w:rPr>
        <w:footnoteReference w:id="46"/>
      </w:r>
      <w:r w:rsidRPr="00F91654">
        <w:t xml:space="preserve">. </w:t>
      </w:r>
    </w:p>
    <w:p w14:paraId="05DD622D" w14:textId="3078007E" w:rsidR="00467FA4" w:rsidRPr="00B01068" w:rsidRDefault="00467FA4" w:rsidP="00467FA4">
      <w:pPr>
        <w:rPr>
          <w:rFonts w:eastAsiaTheme="minorHAnsi"/>
          <w:lang w:eastAsia="en-US"/>
        </w:rPr>
      </w:pPr>
      <w:r w:rsidRPr="000F3075">
        <w:rPr>
          <w:rFonts w:eastAsiaTheme="minorHAnsi"/>
          <w:lang w:eastAsia="en-US"/>
        </w:rPr>
        <w:t>Treasury</w:t>
      </w:r>
      <w:r w:rsidR="002B03CF">
        <w:rPr>
          <w:rFonts w:eastAsiaTheme="minorHAnsi"/>
          <w:lang w:eastAsia="en-US"/>
        </w:rPr>
        <w:t xml:space="preserve"> also</w:t>
      </w:r>
      <w:r w:rsidRPr="000F3075">
        <w:rPr>
          <w:rFonts w:eastAsiaTheme="minorHAnsi"/>
          <w:lang w:eastAsia="en-US"/>
        </w:rPr>
        <w:t xml:space="preserve"> hosted five industry roundtables with approximately 55 stakeholders, comprising superannuation funds, general insurers, banks, investor groups and industry associations from a wide range of sectors. </w:t>
      </w:r>
    </w:p>
    <w:p w14:paraId="190C1245" w14:textId="77777777" w:rsidR="00467FA4" w:rsidRDefault="00467FA4" w:rsidP="00467FA4">
      <w:pPr>
        <w:spacing w:before="0" w:after="0"/>
        <w:rPr>
          <w:rFonts w:eastAsiaTheme="minorHAnsi" w:cs="Calibri Light"/>
          <w:b/>
          <w:bCs/>
          <w:color w:val="262626" w:themeColor="text1" w:themeTint="D9"/>
          <w:szCs w:val="22"/>
          <w:lang w:eastAsia="en-US"/>
        </w:rPr>
      </w:pPr>
      <w:r w:rsidRPr="0007350A">
        <w:rPr>
          <w:rFonts w:eastAsiaTheme="minorHAnsi" w:cs="Calibri Light"/>
          <w:b/>
          <w:bCs/>
          <w:color w:val="262626" w:themeColor="text1" w:themeTint="D9"/>
          <w:szCs w:val="22"/>
          <w:lang w:eastAsia="en-US"/>
        </w:rPr>
        <w:t>What we heard</w:t>
      </w:r>
    </w:p>
    <w:p w14:paraId="7F25A433" w14:textId="77777777" w:rsidR="00467FA4" w:rsidRPr="00B01068" w:rsidRDefault="00467FA4" w:rsidP="00467FA4">
      <w:pPr>
        <w:rPr>
          <w:rFonts w:eastAsiaTheme="minorHAnsi"/>
        </w:rPr>
      </w:pPr>
      <w:r>
        <w:t>Stakeholders were almost universally supportive of the Government mandating climate risk disclosures. Feedback received from various sectors emphasised:</w:t>
      </w:r>
    </w:p>
    <w:p w14:paraId="62192F23" w14:textId="26792F80" w:rsidR="00467FA4" w:rsidRPr="000040B4" w:rsidRDefault="00EC6C65" w:rsidP="0092357C">
      <w:pPr>
        <w:pStyle w:val="Bullet"/>
      </w:pPr>
      <w:r>
        <w:t>T</w:t>
      </w:r>
      <w:r w:rsidR="00467FA4">
        <w:t>he need for Australian and international standards to align, with appropriate adjustments to account for the Australian context</w:t>
      </w:r>
      <w:r w:rsidR="00B05DBB">
        <w:t>.</w:t>
      </w:r>
    </w:p>
    <w:p w14:paraId="7B32403B" w14:textId="72A52814" w:rsidR="00467FA4" w:rsidRPr="00B61D0F" w:rsidRDefault="00EC6C65" w:rsidP="0092357C">
      <w:pPr>
        <w:pStyle w:val="Bullet"/>
      </w:pPr>
      <w:r>
        <w:t>T</w:t>
      </w:r>
      <w:r w:rsidR="00467FA4">
        <w:t>hat the more challenging aspects of reporting content are disclosure of Scope 3 emissions and scenario analysis, with a need for supporting information and guidance to help companies to make quality disclosures</w:t>
      </w:r>
      <w:r w:rsidR="00B05DBB">
        <w:t>.</w:t>
      </w:r>
      <w:r w:rsidR="00467FA4">
        <w:t xml:space="preserve"> </w:t>
      </w:r>
    </w:p>
    <w:p w14:paraId="51D71490" w14:textId="6CD243A4" w:rsidR="00467FA4" w:rsidRPr="00B61D0F" w:rsidRDefault="00EC6C65" w:rsidP="0092357C">
      <w:pPr>
        <w:pStyle w:val="Bullet"/>
      </w:pPr>
      <w:r>
        <w:t>T</w:t>
      </w:r>
      <w:r w:rsidR="00467FA4">
        <w:t>hat requirements should apply to both large listed and unlisted entities and financial institutions, with coverage expanding over time</w:t>
      </w:r>
      <w:r w:rsidR="00B05DBB">
        <w:t>.</w:t>
      </w:r>
      <w:r w:rsidR="00467FA4">
        <w:t xml:space="preserve"> </w:t>
      </w:r>
    </w:p>
    <w:p w14:paraId="433CBF57" w14:textId="2FF51359" w:rsidR="00467FA4" w:rsidRPr="00A567ED" w:rsidRDefault="00EC6C65" w:rsidP="0092357C">
      <w:pPr>
        <w:pStyle w:val="Bullet"/>
      </w:pPr>
      <w:r>
        <w:t>T</w:t>
      </w:r>
      <w:r w:rsidR="00467FA4">
        <w:t>hat reporting and assurance requirements should be phased in over a pre</w:t>
      </w:r>
      <w:r w:rsidR="00467FA4">
        <w:noBreakHyphen/>
        <w:t>determined and well</w:t>
      </w:r>
      <w:r w:rsidR="00467FA4">
        <w:noBreakHyphen/>
        <w:t>communicated timeframe, including allowing sufficient time following release of the final climate disclosure standards before the requirements come into force</w:t>
      </w:r>
      <w:r w:rsidR="00B05DBB">
        <w:t>.</w:t>
      </w:r>
    </w:p>
    <w:p w14:paraId="0C853D15" w14:textId="7E471F4C" w:rsidR="00467FA4" w:rsidRPr="00835E83" w:rsidRDefault="00EC6C65" w:rsidP="0092357C">
      <w:pPr>
        <w:pStyle w:val="Bullet"/>
      </w:pPr>
      <w:r>
        <w:t>T</w:t>
      </w:r>
      <w:r w:rsidR="00467FA4">
        <w:t xml:space="preserve">hat </w:t>
      </w:r>
      <w:r w:rsidR="00467FA4" w:rsidRPr="00835E83">
        <w:t>close consideration needs to be given to</w:t>
      </w:r>
      <w:r w:rsidR="00467FA4">
        <w:t xml:space="preserve"> modifying existing</w:t>
      </w:r>
      <w:r w:rsidR="00467FA4" w:rsidRPr="00835E83">
        <w:t xml:space="preserve"> liability settings related to forward-looking statements.</w:t>
      </w:r>
    </w:p>
    <w:p w14:paraId="6E850540" w14:textId="77777777" w:rsidR="00467FA4" w:rsidRPr="0093338F" w:rsidRDefault="00467FA4" w:rsidP="00467FA4">
      <w:pPr>
        <w:pStyle w:val="Heading4"/>
        <w:rPr>
          <w:rFonts w:eastAsiaTheme="minorHAnsi"/>
        </w:rPr>
      </w:pPr>
      <w:r w:rsidRPr="00C13C32">
        <w:rPr>
          <w:rFonts w:eastAsiaTheme="minorHAnsi"/>
          <w:lang w:eastAsia="en-US"/>
        </w:rPr>
        <w:t>Design Consultation</w:t>
      </w:r>
    </w:p>
    <w:p w14:paraId="0027520E" w14:textId="72F76D79" w:rsidR="00467FA4" w:rsidRPr="000F3075" w:rsidRDefault="00467FA4" w:rsidP="00467FA4">
      <w:pPr>
        <w:rPr>
          <w:rFonts w:eastAsiaTheme="minorHAnsi"/>
          <w:lang w:eastAsia="en-US"/>
        </w:rPr>
      </w:pPr>
      <w:r w:rsidRPr="000F3075">
        <w:rPr>
          <w:rFonts w:eastAsiaTheme="minorHAnsi"/>
          <w:lang w:eastAsia="en-US"/>
        </w:rPr>
        <w:t xml:space="preserve">A second </w:t>
      </w:r>
      <w:r w:rsidR="00D2210F">
        <w:rPr>
          <w:rFonts w:eastAsiaTheme="minorHAnsi"/>
          <w:lang w:eastAsia="en-US"/>
        </w:rPr>
        <w:t>c</w:t>
      </w:r>
      <w:r w:rsidRPr="000F3075">
        <w:rPr>
          <w:rFonts w:eastAsiaTheme="minorHAnsi"/>
          <w:lang w:eastAsia="en-US"/>
        </w:rPr>
        <w:t xml:space="preserve">onsultation </w:t>
      </w:r>
      <w:r w:rsidR="00D2210F">
        <w:rPr>
          <w:rFonts w:eastAsiaTheme="minorHAnsi"/>
          <w:lang w:eastAsia="en-US"/>
        </w:rPr>
        <w:t>p</w:t>
      </w:r>
      <w:r w:rsidRPr="000F3075">
        <w:rPr>
          <w:rFonts w:eastAsiaTheme="minorHAnsi"/>
          <w:lang w:eastAsia="en-US"/>
        </w:rPr>
        <w:t xml:space="preserve">aper (Design CP), informed by the views of the first consultation, was released in June 2023. That paper </w:t>
      </w:r>
      <w:r>
        <w:rPr>
          <w:rFonts w:eastAsiaTheme="minorHAnsi"/>
          <w:lang w:eastAsia="en-US"/>
        </w:rPr>
        <w:t>outlined</w:t>
      </w:r>
      <w:r w:rsidRPr="000F3075">
        <w:rPr>
          <w:rFonts w:eastAsiaTheme="minorHAnsi"/>
          <w:lang w:eastAsia="en-US"/>
        </w:rPr>
        <w:t xml:space="preserve"> proposals for the design of a mandatory climate disclosure regime, particularly seeking views on the proposed positions relating to coverage, content, </w:t>
      </w:r>
      <w:proofErr w:type="gramStart"/>
      <w:r w:rsidRPr="000F3075">
        <w:rPr>
          <w:rFonts w:eastAsiaTheme="minorHAnsi"/>
          <w:lang w:eastAsia="en-US"/>
        </w:rPr>
        <w:t>framework</w:t>
      </w:r>
      <w:proofErr w:type="gramEnd"/>
      <w:r w:rsidRPr="000F3075">
        <w:rPr>
          <w:rFonts w:eastAsiaTheme="minorHAnsi"/>
          <w:lang w:eastAsia="en-US"/>
        </w:rPr>
        <w:t xml:space="preserve"> and enforcement of the requirements.</w:t>
      </w:r>
    </w:p>
    <w:p w14:paraId="7F83827A" w14:textId="2D02B638" w:rsidR="00467FA4" w:rsidRPr="000F3075" w:rsidRDefault="00467FA4" w:rsidP="00467FA4">
      <w:pPr>
        <w:rPr>
          <w:rFonts w:eastAsiaTheme="minorHAnsi"/>
          <w:lang w:eastAsia="en-US"/>
        </w:rPr>
      </w:pPr>
      <w:r>
        <w:rPr>
          <w:rFonts w:eastAsiaTheme="minorHAnsi"/>
          <w:lang w:eastAsia="en-US"/>
        </w:rPr>
        <w:t>14</w:t>
      </w:r>
      <w:r w:rsidR="00227A5F">
        <w:rPr>
          <w:rFonts w:eastAsiaTheme="minorHAnsi"/>
          <w:lang w:eastAsia="en-US"/>
        </w:rPr>
        <w:t>6</w:t>
      </w:r>
      <w:r w:rsidRPr="000F3075">
        <w:rPr>
          <w:rFonts w:eastAsiaTheme="minorHAnsi"/>
          <w:lang w:eastAsia="en-US"/>
        </w:rPr>
        <w:t xml:space="preserve"> submissions were received. </w:t>
      </w:r>
      <w:r w:rsidRPr="00B904F3">
        <w:rPr>
          <w:rFonts w:eastAsiaTheme="minorHAnsi"/>
          <w:lang w:eastAsia="en-US"/>
        </w:rPr>
        <w:t>13</w:t>
      </w:r>
      <w:r w:rsidR="00227A5F" w:rsidRPr="00B904F3">
        <w:rPr>
          <w:rFonts w:eastAsiaTheme="minorHAnsi"/>
          <w:lang w:eastAsia="en-US"/>
        </w:rPr>
        <w:t>8</w:t>
      </w:r>
      <w:r w:rsidRPr="00B904F3">
        <w:rPr>
          <w:rFonts w:eastAsiaTheme="minorHAnsi"/>
          <w:lang w:eastAsia="en-US"/>
        </w:rPr>
        <w:t xml:space="preserve"> of these were public submissions, with an additional 8</w:t>
      </w:r>
      <w:r w:rsidR="00B27E89">
        <w:rPr>
          <w:rFonts w:eastAsiaTheme="minorHAnsi"/>
          <w:lang w:eastAsia="en-US"/>
        </w:rPr>
        <w:t> </w:t>
      </w:r>
      <w:r w:rsidRPr="00B904F3">
        <w:rPr>
          <w:rFonts w:eastAsiaTheme="minorHAnsi"/>
          <w:lang w:eastAsia="en-US"/>
        </w:rPr>
        <w:t>confidential submissions.</w:t>
      </w:r>
      <w:r w:rsidRPr="000F3075">
        <w:rPr>
          <w:rFonts w:eastAsiaTheme="minorHAnsi"/>
          <w:lang w:eastAsia="en-US"/>
        </w:rPr>
        <w:t xml:space="preserve"> Non-confidential submissions </w:t>
      </w:r>
      <w:r w:rsidR="00B27E89">
        <w:rPr>
          <w:rFonts w:eastAsiaTheme="minorHAnsi"/>
          <w:lang w:eastAsia="en-US"/>
        </w:rPr>
        <w:t xml:space="preserve">will be </w:t>
      </w:r>
      <w:r w:rsidRPr="000F3075">
        <w:rPr>
          <w:rFonts w:eastAsiaTheme="minorHAnsi"/>
          <w:lang w:eastAsia="en-US"/>
        </w:rPr>
        <w:t xml:space="preserve">published on Treasury’s Consultation page.  </w:t>
      </w:r>
    </w:p>
    <w:p w14:paraId="733186A4" w14:textId="79C55F7C" w:rsidR="00467FA4" w:rsidRPr="000F3075" w:rsidRDefault="00467FA4" w:rsidP="00467FA4">
      <w:pPr>
        <w:rPr>
          <w:rFonts w:eastAsiaTheme="minorHAnsi"/>
          <w:lang w:eastAsia="en-US"/>
        </w:rPr>
      </w:pPr>
      <w:r w:rsidRPr="000F3075">
        <w:rPr>
          <w:rFonts w:eastAsiaTheme="minorHAnsi"/>
          <w:lang w:eastAsia="en-US"/>
        </w:rPr>
        <w:t xml:space="preserve">During the second consultation period, three </w:t>
      </w:r>
      <w:r w:rsidR="001D46EB">
        <w:rPr>
          <w:rFonts w:eastAsiaTheme="minorHAnsi"/>
          <w:lang w:eastAsia="en-US"/>
        </w:rPr>
        <w:t>information sessions</w:t>
      </w:r>
      <w:r w:rsidR="004007F2">
        <w:rPr>
          <w:rFonts w:eastAsiaTheme="minorHAnsi"/>
          <w:lang w:eastAsia="en-US"/>
        </w:rPr>
        <w:t xml:space="preserve"> followed by a </w:t>
      </w:r>
      <w:proofErr w:type="gramStart"/>
      <w:r w:rsidRPr="000F3075">
        <w:rPr>
          <w:rFonts w:eastAsiaTheme="minorHAnsi"/>
          <w:lang w:eastAsia="en-US"/>
        </w:rPr>
        <w:t>question and answer</w:t>
      </w:r>
      <w:proofErr w:type="gramEnd"/>
      <w:r w:rsidRPr="000F3075">
        <w:rPr>
          <w:rFonts w:eastAsiaTheme="minorHAnsi"/>
          <w:lang w:eastAsia="en-US"/>
        </w:rPr>
        <w:t xml:space="preserve"> session were held. These invited interested parties to pose questions and express views on the positions posed in the consultation paper. Each session had approximately 100 attendees from a range of interested stakeholders.</w:t>
      </w:r>
    </w:p>
    <w:p w14:paraId="4E0747A0" w14:textId="77777777" w:rsidR="00467FA4" w:rsidRDefault="00467FA4" w:rsidP="00467FA4">
      <w:pPr>
        <w:rPr>
          <w:rFonts w:eastAsiaTheme="minorHAnsi"/>
          <w:lang w:eastAsia="en-US"/>
        </w:rPr>
      </w:pPr>
      <w:r w:rsidRPr="000F3075">
        <w:rPr>
          <w:rFonts w:eastAsiaTheme="minorHAnsi"/>
          <w:lang w:eastAsia="en-US"/>
        </w:rPr>
        <w:t xml:space="preserve">Outside consultation, Treasury has maintained contact with ASIC and other relevant government agencies such as DCCEEW, Department of Finance, </w:t>
      </w:r>
      <w:proofErr w:type="gramStart"/>
      <w:r w:rsidRPr="000F3075">
        <w:rPr>
          <w:rFonts w:eastAsiaTheme="minorHAnsi"/>
          <w:lang w:eastAsia="en-US"/>
        </w:rPr>
        <w:t>APRA</w:t>
      </w:r>
      <w:proofErr w:type="gramEnd"/>
      <w:r w:rsidRPr="000F3075">
        <w:rPr>
          <w:rFonts w:eastAsiaTheme="minorHAnsi"/>
          <w:lang w:eastAsia="en-US"/>
        </w:rPr>
        <w:t xml:space="preserve"> and the CER. Treasury has also held numerous bilateral meetings with industry participants, peak </w:t>
      </w:r>
      <w:proofErr w:type="gramStart"/>
      <w:r w:rsidRPr="000F3075">
        <w:rPr>
          <w:rFonts w:eastAsiaTheme="minorHAnsi"/>
          <w:lang w:eastAsia="en-US"/>
        </w:rPr>
        <w:t>bodies</w:t>
      </w:r>
      <w:proofErr w:type="gramEnd"/>
      <w:r w:rsidRPr="000F3075">
        <w:rPr>
          <w:rFonts w:eastAsiaTheme="minorHAnsi"/>
          <w:lang w:eastAsia="en-US"/>
        </w:rPr>
        <w:t xml:space="preserve"> and law firms. </w:t>
      </w:r>
    </w:p>
    <w:p w14:paraId="08539D52" w14:textId="77777777" w:rsidR="00467FA4" w:rsidRDefault="00467FA4" w:rsidP="00467FA4">
      <w:pPr>
        <w:rPr>
          <w:rFonts w:eastAsiaTheme="minorHAnsi" w:cs="Calibri Light"/>
          <w:b/>
          <w:bCs/>
          <w:color w:val="262626" w:themeColor="text1" w:themeTint="D9"/>
          <w:szCs w:val="22"/>
          <w:lang w:eastAsia="en-US"/>
        </w:rPr>
      </w:pPr>
      <w:r w:rsidRPr="008F3865">
        <w:rPr>
          <w:rFonts w:eastAsiaTheme="minorHAnsi" w:cs="Calibri Light"/>
          <w:b/>
          <w:bCs/>
          <w:color w:val="262626" w:themeColor="text1" w:themeTint="D9"/>
          <w:szCs w:val="22"/>
          <w:lang w:eastAsia="en-US"/>
        </w:rPr>
        <w:t>What we heard</w:t>
      </w:r>
    </w:p>
    <w:p w14:paraId="29664359" w14:textId="2B0EA83F" w:rsidR="001A748B" w:rsidRPr="00D73D63" w:rsidRDefault="001A748B" w:rsidP="001A748B">
      <w:pPr>
        <w:rPr>
          <w:rFonts w:eastAsiaTheme="minorHAnsi"/>
        </w:rPr>
      </w:pPr>
      <w:r w:rsidRPr="00D73D63">
        <w:t>Stakeholders continued to express support for mandated climate risk disclosures</w:t>
      </w:r>
      <w:r w:rsidR="00703720">
        <w:t>, noting it struck a fine balance between ambition and coverage</w:t>
      </w:r>
      <w:r w:rsidRPr="00D73D63">
        <w:t>. Feedback received in the second round of consultation indicated:</w:t>
      </w:r>
    </w:p>
    <w:p w14:paraId="53327C15" w14:textId="36A53CCC" w:rsidR="001A748B" w:rsidRPr="001577D7" w:rsidRDefault="00A27394" w:rsidP="0092357C">
      <w:pPr>
        <w:pStyle w:val="Bullet"/>
        <w:rPr>
          <w:b/>
          <w:bCs/>
        </w:rPr>
      </w:pPr>
      <w:r>
        <w:t>T</w:t>
      </w:r>
      <w:r w:rsidR="001A748B" w:rsidRPr="00956821">
        <w:t>he regulatory burden on entities proposed to be included in Group 3 would be excessive compared to the benefit to be obtained from their inclusion, and as a result, requested an increased threshold or lighter touch reporting requirements</w:t>
      </w:r>
      <w:r w:rsidR="00645875">
        <w:t>.</w:t>
      </w:r>
    </w:p>
    <w:p w14:paraId="61E2A7E0" w14:textId="632E3763" w:rsidR="001577D7" w:rsidRPr="00956821" w:rsidRDefault="00A27394" w:rsidP="0092357C">
      <w:pPr>
        <w:pStyle w:val="Bullet"/>
        <w:rPr>
          <w:b/>
          <w:bCs/>
        </w:rPr>
      </w:pPr>
      <w:r>
        <w:t>S</w:t>
      </w:r>
      <w:r w:rsidR="009D35CC">
        <w:t xml:space="preserve">ize thresholds proposed would not be applicable to some </w:t>
      </w:r>
      <w:r w:rsidR="003E54DE">
        <w:t>financial institutions</w:t>
      </w:r>
      <w:r w:rsidR="009D35CC">
        <w:t>, for example</w:t>
      </w:r>
      <w:r w:rsidR="00B27E89">
        <w:t xml:space="preserve"> in</w:t>
      </w:r>
      <w:r w:rsidR="009D35CC">
        <w:t xml:space="preserve"> the superannuation industry</w:t>
      </w:r>
      <w:r w:rsidR="00B27E89">
        <w:t>,</w:t>
      </w:r>
      <w:r w:rsidR="009D35CC">
        <w:t xml:space="preserve"> and </w:t>
      </w:r>
      <w:r w:rsidR="005F5E05">
        <w:t>specific thresholds may be needed for asset owners to give effect to the Government’s policy intent to cover financial institutions.</w:t>
      </w:r>
    </w:p>
    <w:p w14:paraId="52CF07CC" w14:textId="2EC95220" w:rsidR="001A748B" w:rsidRPr="00956821" w:rsidRDefault="00A27394" w:rsidP="0092357C">
      <w:pPr>
        <w:pStyle w:val="Bullet"/>
        <w:rPr>
          <w:b/>
          <w:bCs/>
        </w:rPr>
      </w:pPr>
      <w:r>
        <w:t>T</w:t>
      </w:r>
      <w:r w:rsidR="001A748B" w:rsidRPr="00956821">
        <w:t>hat entities are concerned around the availability of data to accurately report Scope 3 emissions, suggesting further guidance be provided if the requirement is not removed</w:t>
      </w:r>
      <w:r w:rsidR="00645875">
        <w:t>.</w:t>
      </w:r>
    </w:p>
    <w:p w14:paraId="6B6AF29A" w14:textId="1EF4696F" w:rsidR="001A748B" w:rsidRPr="00956821" w:rsidRDefault="00A27394" w:rsidP="0092357C">
      <w:pPr>
        <w:pStyle w:val="Bullet"/>
        <w:rPr>
          <w:b/>
          <w:bCs/>
        </w:rPr>
      </w:pPr>
      <w:r>
        <w:t>T</w:t>
      </w:r>
      <w:r w:rsidR="001A748B" w:rsidRPr="00956821">
        <w:t>hat clarification and guidance should be provided regarding the specific location of reporting, the use of cross references and the timing of reporting</w:t>
      </w:r>
      <w:r w:rsidR="00645875">
        <w:t>.</w:t>
      </w:r>
    </w:p>
    <w:p w14:paraId="00E9E174" w14:textId="5BE0DFC8" w:rsidR="001A748B" w:rsidRPr="00956821" w:rsidRDefault="00A27394" w:rsidP="0092357C">
      <w:pPr>
        <w:pStyle w:val="Bullet"/>
        <w:rPr>
          <w:b/>
          <w:bCs/>
        </w:rPr>
      </w:pPr>
      <w:r>
        <w:t>T</w:t>
      </w:r>
      <w:r w:rsidR="001A748B" w:rsidRPr="00956821">
        <w:t>hat there continues to be concern around the capacity and maturity of the Australian assurance sector and that requirements for reasonable assurance should only be introduced once consistent accounting standards are mandated and data quality standards are achieved</w:t>
      </w:r>
      <w:r w:rsidR="00645875">
        <w:t>.</w:t>
      </w:r>
    </w:p>
    <w:p w14:paraId="277ADB03" w14:textId="0045F66D" w:rsidR="001A748B" w:rsidRPr="00D7207C" w:rsidRDefault="00A27394" w:rsidP="0092357C">
      <w:pPr>
        <w:pStyle w:val="Bullet"/>
        <w:rPr>
          <w:b/>
          <w:bCs/>
        </w:rPr>
      </w:pPr>
      <w:bookmarkStart w:id="35" w:name="_Toc141895101"/>
      <w:r>
        <w:t>T</w:t>
      </w:r>
      <w:r w:rsidR="001A748B" w:rsidRPr="00956821">
        <w:t>hat close consideration needs to be given to the specific drafting of the requirements and any modifications to liability to ensure there are no unintended consequences.</w:t>
      </w:r>
    </w:p>
    <w:p w14:paraId="0F149E37" w14:textId="18CB5C63" w:rsidR="00467FA4" w:rsidRDefault="00467FA4" w:rsidP="00467FA4">
      <w:pPr>
        <w:pStyle w:val="Heading3"/>
      </w:pPr>
      <w:bookmarkStart w:id="36" w:name="_Toc144742119"/>
      <w:r>
        <w:t>Early Outreach</w:t>
      </w:r>
      <w:bookmarkEnd w:id="35"/>
      <w:bookmarkEnd w:id="36"/>
    </w:p>
    <w:p w14:paraId="250669F7" w14:textId="77777777" w:rsidR="00467FA4" w:rsidRPr="000C25A1" w:rsidRDefault="00467FA4" w:rsidP="00467FA4">
      <w:r>
        <w:t xml:space="preserve">A stakeholder engagement strategy was developed alongside the development of the first consultation paper, in line with the </w:t>
      </w:r>
      <w:r>
        <w:rPr>
          <w:i/>
          <w:iCs/>
        </w:rPr>
        <w:t>Treasury Stakeholder Engagement Strategy.</w:t>
      </w:r>
      <w:r>
        <w:t xml:space="preserve"> This helped to categorise potential stakeholders, based on interest and influence, into groups used to create roundtables with balanced and meaningful dialogue. </w:t>
      </w:r>
    </w:p>
    <w:p w14:paraId="021BF53D" w14:textId="468015C1" w:rsidR="00467FA4" w:rsidRDefault="00467FA4" w:rsidP="00467FA4">
      <w:r>
        <w:t xml:space="preserve">An email was circulated to stakeholders identified as potentially interested in this consultation prior to consultation. Stakeholders ranged from potential reporting entities, regulators, assurance providers and investor/consumer representatives. Stakeholders were notified of the impending consultation and Treasury’s intention to conduct roundtable discussions. In return, several groups reached out for informal consultation prior to the start of the consultation period to gain a better understanding of how to prepare for consultation and their submissions. </w:t>
      </w:r>
    </w:p>
    <w:p w14:paraId="059BC3BC" w14:textId="77777777" w:rsidR="00467FA4" w:rsidRDefault="00467FA4" w:rsidP="00467FA4">
      <w:pPr>
        <w:pStyle w:val="Heading3"/>
      </w:pPr>
      <w:bookmarkStart w:id="37" w:name="_Toc141895102"/>
      <w:bookmarkStart w:id="38" w:name="_Toc144742120"/>
      <w:r>
        <w:t>Consultation Period</w:t>
      </w:r>
      <w:bookmarkEnd w:id="37"/>
      <w:bookmarkEnd w:id="38"/>
    </w:p>
    <w:p w14:paraId="43B0BAF9" w14:textId="39416D45" w:rsidR="00221D91" w:rsidRDefault="00467FA4" w:rsidP="00467FA4">
      <w:r>
        <w:t xml:space="preserve">The Consultation Papers were published online via the Treasury website. The Discovery CP and Design CP were open for comment between 12 December 2022 – 17 February 2023 and 27 June 2023 – 21 July 2023, respectively. Extensions were provided to a number of stakeholders in both consultations, to allow additional time to make a written submission. </w:t>
      </w:r>
    </w:p>
    <w:p w14:paraId="1E09C377" w14:textId="77777777" w:rsidR="00221D91" w:rsidRDefault="00221D91">
      <w:pPr>
        <w:spacing w:before="0" w:after="200" w:line="276" w:lineRule="auto"/>
      </w:pPr>
      <w:r>
        <w:br w:type="page"/>
      </w:r>
    </w:p>
    <w:p w14:paraId="6E01AB5A" w14:textId="77777777" w:rsidR="00467FA4" w:rsidRDefault="00467FA4" w:rsidP="00467FA4">
      <w:r>
        <w:t>Treasury conducted digital promotion activities to inform stakeholders and the public about the consultation period, including:</w:t>
      </w:r>
    </w:p>
    <w:p w14:paraId="5117827F" w14:textId="77777777" w:rsidR="00467FA4" w:rsidRDefault="00467FA4" w:rsidP="00467FA4">
      <w:pPr>
        <w:pStyle w:val="ListParagraph"/>
        <w:numPr>
          <w:ilvl w:val="0"/>
          <w:numId w:val="32"/>
        </w:numPr>
        <w:spacing w:before="0" w:after="0"/>
        <w:contextualSpacing w:val="0"/>
      </w:pPr>
      <w:r>
        <w:t>Media releases from the Treasurer to launch both public consultations</w:t>
      </w:r>
    </w:p>
    <w:p w14:paraId="0DF62412" w14:textId="77777777" w:rsidR="00467FA4" w:rsidRPr="00760088" w:rsidRDefault="00467FA4" w:rsidP="00467FA4">
      <w:pPr>
        <w:pStyle w:val="ListParagraph"/>
        <w:numPr>
          <w:ilvl w:val="0"/>
          <w:numId w:val="32"/>
        </w:numPr>
        <w:spacing w:before="0" w:after="0"/>
        <w:contextualSpacing w:val="0"/>
        <w:rPr>
          <w:u w:val="single"/>
        </w:rPr>
      </w:pPr>
      <w:r>
        <w:t xml:space="preserve">Email updates to Stakeholders </w:t>
      </w:r>
    </w:p>
    <w:p w14:paraId="36D28987" w14:textId="77777777" w:rsidR="00467FA4" w:rsidRPr="004062B7" w:rsidRDefault="00467FA4" w:rsidP="00467FA4">
      <w:pPr>
        <w:pStyle w:val="ListParagraph"/>
        <w:numPr>
          <w:ilvl w:val="0"/>
          <w:numId w:val="32"/>
        </w:numPr>
        <w:spacing w:before="0" w:after="0"/>
        <w:contextualSpacing w:val="0"/>
        <w:rPr>
          <w:u w:val="single"/>
        </w:rPr>
      </w:pPr>
      <w:r>
        <w:t>Social media posts on Treasury channels</w:t>
      </w:r>
    </w:p>
    <w:p w14:paraId="45F2C25B" w14:textId="2EFD8632" w:rsidR="00467FA4" w:rsidRDefault="00467FA4" w:rsidP="00467FA4">
      <w:r>
        <w:t xml:space="preserve">The Discovery CP received a total of 194 written submissions including from the finance sector, academia, service providers, regulators, </w:t>
      </w:r>
      <w:proofErr w:type="gramStart"/>
      <w:r>
        <w:t>investors</w:t>
      </w:r>
      <w:proofErr w:type="gramEnd"/>
      <w:r>
        <w:t xml:space="preserve"> and reporters</w:t>
      </w:r>
      <w:r w:rsidR="00443AFA">
        <w:t xml:space="preserve"> (Chart </w:t>
      </w:r>
      <w:r w:rsidR="00221D91">
        <w:t>6</w:t>
      </w:r>
      <w:r w:rsidR="00443AFA">
        <w:t>)</w:t>
      </w:r>
      <w:r>
        <w:t xml:space="preserve">. </w:t>
      </w:r>
    </w:p>
    <w:p w14:paraId="0D16ED63" w14:textId="01DEBEC6" w:rsidR="00467FA4" w:rsidRPr="00804790" w:rsidRDefault="005F79A9" w:rsidP="00B27E89">
      <w:pPr>
        <w:pStyle w:val="Caption"/>
        <w:rPr>
          <w:rFonts w:eastAsiaTheme="minorHAnsi"/>
          <w:lang w:eastAsia="en-US"/>
        </w:rPr>
      </w:pPr>
      <w:r w:rsidRPr="00804790">
        <w:rPr>
          <w:rFonts w:eastAsiaTheme="minorHAnsi"/>
          <w:lang w:eastAsia="en-US"/>
        </w:rPr>
        <w:t>Chart</w:t>
      </w:r>
      <w:r w:rsidR="00467FA4" w:rsidRPr="00804790">
        <w:rPr>
          <w:rFonts w:eastAsiaTheme="minorHAnsi"/>
          <w:lang w:eastAsia="en-US"/>
        </w:rPr>
        <w:t xml:space="preserve"> </w:t>
      </w:r>
      <w:r w:rsidR="00221D91">
        <w:rPr>
          <w:rFonts w:eastAsiaTheme="minorHAnsi"/>
          <w:lang w:eastAsia="en-US"/>
        </w:rPr>
        <w:t>6</w:t>
      </w:r>
      <w:r w:rsidR="00467FA4" w:rsidRPr="00804790">
        <w:rPr>
          <w:rFonts w:eastAsiaTheme="minorHAnsi"/>
          <w:lang w:eastAsia="en-US"/>
        </w:rPr>
        <w:t>: Distribution of written submissions in Discovery CP by stakeholder group</w:t>
      </w:r>
    </w:p>
    <w:p w14:paraId="0FCFAD59" w14:textId="20F7E9F1" w:rsidR="00467FA4" w:rsidRDefault="00467FA4" w:rsidP="00B27E89">
      <w:pPr>
        <w:jc w:val="center"/>
      </w:pPr>
      <w:r>
        <w:rPr>
          <w:noProof/>
        </w:rPr>
        <w:drawing>
          <wp:inline distT="0" distB="0" distL="0" distR="0" wp14:anchorId="0C69F9CA" wp14:editId="4A2A2096">
            <wp:extent cx="5209200" cy="2998800"/>
            <wp:effectExtent l="0" t="0" r="10795" b="1143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1F40766" w14:textId="5A72E90D" w:rsidR="003330FB" w:rsidRPr="00B27E89" w:rsidRDefault="003330FB" w:rsidP="00B27E89">
      <w:pPr>
        <w:rPr>
          <w:sz w:val="20"/>
          <w:szCs w:val="18"/>
        </w:rPr>
      </w:pPr>
      <w:r w:rsidRPr="00B27E89">
        <w:rPr>
          <w:sz w:val="20"/>
          <w:szCs w:val="18"/>
        </w:rPr>
        <w:t>Source: Treasury analysis</w:t>
      </w:r>
    </w:p>
    <w:p w14:paraId="2D39F458" w14:textId="5669C8DB" w:rsidR="00467FA4" w:rsidRPr="001D1A57" w:rsidRDefault="00467FA4" w:rsidP="00467FA4">
      <w:r w:rsidRPr="001D1A57">
        <w:t>The Design CP received a total of 145 written submissions from a similar range of stakeholders. 63</w:t>
      </w:r>
      <w:r w:rsidR="008C2946">
        <w:t xml:space="preserve"> per cent</w:t>
      </w:r>
      <w:r w:rsidRPr="001D1A57">
        <w:t xml:space="preserve"> of responses came from stakeholders who had made a submission to the Discovery CP</w:t>
      </w:r>
      <w:r w:rsidR="00443AFA">
        <w:t xml:space="preserve"> (Chart </w:t>
      </w:r>
      <w:r w:rsidR="00221D91">
        <w:t>7</w:t>
      </w:r>
      <w:r w:rsidR="00443AFA">
        <w:t>)</w:t>
      </w:r>
      <w:r w:rsidRPr="001D1A57">
        <w:t>.</w:t>
      </w:r>
    </w:p>
    <w:p w14:paraId="235F929C" w14:textId="793D2F05" w:rsidR="00467FA4" w:rsidRPr="00804790" w:rsidRDefault="005F79A9" w:rsidP="00B27E89">
      <w:pPr>
        <w:pStyle w:val="Caption"/>
        <w:rPr>
          <w:rFonts w:eastAsiaTheme="minorHAnsi"/>
          <w:lang w:eastAsia="en-US"/>
        </w:rPr>
      </w:pPr>
      <w:r w:rsidRPr="00804790">
        <w:rPr>
          <w:rFonts w:eastAsiaTheme="minorHAnsi"/>
          <w:lang w:eastAsia="en-US"/>
        </w:rPr>
        <w:t>Chart</w:t>
      </w:r>
      <w:r w:rsidR="00467FA4" w:rsidRPr="00804790">
        <w:rPr>
          <w:rFonts w:eastAsiaTheme="minorHAnsi"/>
          <w:lang w:eastAsia="en-US"/>
        </w:rPr>
        <w:t xml:space="preserve"> </w:t>
      </w:r>
      <w:r w:rsidR="00221D91">
        <w:rPr>
          <w:rFonts w:eastAsiaTheme="minorHAnsi"/>
          <w:lang w:eastAsia="en-US"/>
        </w:rPr>
        <w:t>7</w:t>
      </w:r>
      <w:r w:rsidR="00467FA4" w:rsidRPr="00804790">
        <w:rPr>
          <w:rFonts w:eastAsiaTheme="minorHAnsi"/>
          <w:lang w:eastAsia="en-US"/>
        </w:rPr>
        <w:t>: Distribution of written submissions in Design CP by stakeholder group</w:t>
      </w:r>
    </w:p>
    <w:p w14:paraId="08817586" w14:textId="77777777" w:rsidR="00DA248D" w:rsidRDefault="00DB455B" w:rsidP="00B27E89">
      <w:pPr>
        <w:jc w:val="center"/>
      </w:pPr>
      <w:bookmarkStart w:id="39" w:name="_Toc142900656"/>
      <w:bookmarkStart w:id="40" w:name="_Toc143605089"/>
      <w:bookmarkStart w:id="41" w:name="_Toc144723295"/>
      <w:bookmarkStart w:id="42" w:name="_Toc141895103"/>
      <w:r>
        <w:rPr>
          <w:noProof/>
        </w:rPr>
        <w:drawing>
          <wp:inline distT="0" distB="0" distL="0" distR="0" wp14:anchorId="4CC331ED" wp14:editId="110AEF61">
            <wp:extent cx="5037827" cy="2907102"/>
            <wp:effectExtent l="0" t="0" r="10795" b="76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bookmarkEnd w:id="39"/>
      <w:bookmarkEnd w:id="40"/>
      <w:bookmarkEnd w:id="41"/>
    </w:p>
    <w:p w14:paraId="1EDE4DCB" w14:textId="573151D7" w:rsidR="00DA248D" w:rsidRPr="002563F1" w:rsidRDefault="003330FB" w:rsidP="00DA248D">
      <w:pPr>
        <w:rPr>
          <w:sz w:val="20"/>
          <w:szCs w:val="18"/>
        </w:rPr>
      </w:pPr>
      <w:r w:rsidRPr="002563F1">
        <w:rPr>
          <w:sz w:val="20"/>
          <w:szCs w:val="18"/>
        </w:rPr>
        <w:t>Source: Treasury analysis</w:t>
      </w:r>
    </w:p>
    <w:p w14:paraId="46F5DC82" w14:textId="247DC87F" w:rsidR="00467FA4" w:rsidRDefault="00467FA4" w:rsidP="00467FA4">
      <w:pPr>
        <w:pStyle w:val="Heading3"/>
      </w:pPr>
      <w:bookmarkStart w:id="43" w:name="_Toc144742121"/>
      <w:r>
        <w:t>Industry Roundtables</w:t>
      </w:r>
      <w:bookmarkEnd w:id="42"/>
      <w:bookmarkEnd w:id="43"/>
    </w:p>
    <w:p w14:paraId="61195119" w14:textId="77777777" w:rsidR="00467FA4" w:rsidRDefault="00467FA4" w:rsidP="00467FA4">
      <w:r>
        <w:t>Treasury held a series of 5 Industry Roundtables during the Discovery consultation period. Approximately 55 stakeholders were invited to provide feedback on the proposal ask questions. Invitees included:</w:t>
      </w:r>
    </w:p>
    <w:p w14:paraId="23491F2D" w14:textId="77777777" w:rsidR="00467FA4" w:rsidRDefault="00467FA4" w:rsidP="00467FA4">
      <w:pPr>
        <w:pStyle w:val="ListParagraph"/>
        <w:numPr>
          <w:ilvl w:val="0"/>
          <w:numId w:val="33"/>
        </w:numPr>
        <w:spacing w:before="0" w:after="0"/>
        <w:contextualSpacing w:val="0"/>
      </w:pPr>
      <w:r>
        <w:t>Superannuation funds</w:t>
      </w:r>
    </w:p>
    <w:p w14:paraId="473DB4D3" w14:textId="77777777" w:rsidR="00467FA4" w:rsidRDefault="00467FA4" w:rsidP="00467FA4">
      <w:pPr>
        <w:pStyle w:val="ListParagraph"/>
        <w:numPr>
          <w:ilvl w:val="0"/>
          <w:numId w:val="33"/>
        </w:numPr>
        <w:spacing w:before="0" w:after="0"/>
        <w:contextualSpacing w:val="0"/>
      </w:pPr>
      <w:r>
        <w:t>General insurers</w:t>
      </w:r>
    </w:p>
    <w:p w14:paraId="254ED453" w14:textId="77777777" w:rsidR="00467FA4" w:rsidRDefault="00467FA4" w:rsidP="00467FA4">
      <w:pPr>
        <w:pStyle w:val="ListParagraph"/>
        <w:numPr>
          <w:ilvl w:val="0"/>
          <w:numId w:val="33"/>
        </w:numPr>
        <w:spacing w:before="0" w:after="0"/>
        <w:contextualSpacing w:val="0"/>
      </w:pPr>
      <w:r>
        <w:t>Banks</w:t>
      </w:r>
    </w:p>
    <w:p w14:paraId="5C344D8A" w14:textId="77777777" w:rsidR="00467FA4" w:rsidRDefault="00467FA4" w:rsidP="00467FA4">
      <w:pPr>
        <w:pStyle w:val="ListParagraph"/>
        <w:numPr>
          <w:ilvl w:val="0"/>
          <w:numId w:val="33"/>
        </w:numPr>
        <w:spacing w:before="0" w:after="0"/>
        <w:contextualSpacing w:val="0"/>
      </w:pPr>
      <w:r>
        <w:t>Australian financial services licensees</w:t>
      </w:r>
    </w:p>
    <w:p w14:paraId="5D8F9BB8" w14:textId="77777777" w:rsidR="00467FA4" w:rsidRDefault="00467FA4" w:rsidP="00467FA4">
      <w:pPr>
        <w:pStyle w:val="ListParagraph"/>
        <w:numPr>
          <w:ilvl w:val="0"/>
          <w:numId w:val="33"/>
        </w:numPr>
        <w:spacing w:before="0" w:after="0"/>
        <w:contextualSpacing w:val="0"/>
      </w:pPr>
      <w:r>
        <w:t>Investor groups</w:t>
      </w:r>
    </w:p>
    <w:p w14:paraId="6955D3F5" w14:textId="77777777" w:rsidR="00467FA4" w:rsidRDefault="00467FA4" w:rsidP="00467FA4">
      <w:pPr>
        <w:pStyle w:val="ListParagraph"/>
        <w:numPr>
          <w:ilvl w:val="0"/>
          <w:numId w:val="33"/>
        </w:numPr>
        <w:spacing w:before="0" w:after="0"/>
        <w:contextualSpacing w:val="0"/>
      </w:pPr>
      <w:r>
        <w:t>Industry associations</w:t>
      </w:r>
    </w:p>
    <w:p w14:paraId="596420DA" w14:textId="77777777" w:rsidR="00467FA4" w:rsidRDefault="00467FA4" w:rsidP="00467FA4">
      <w:pPr>
        <w:pStyle w:val="Heading3"/>
      </w:pPr>
      <w:bookmarkStart w:id="44" w:name="_Toc141895104"/>
      <w:bookmarkStart w:id="45" w:name="_Toc144742122"/>
      <w:r>
        <w:t>Question and Answer Sessions</w:t>
      </w:r>
      <w:bookmarkEnd w:id="44"/>
      <w:bookmarkEnd w:id="45"/>
    </w:p>
    <w:p w14:paraId="714D1FB6" w14:textId="77777777" w:rsidR="00467FA4" w:rsidRDefault="00467FA4" w:rsidP="00467FA4">
      <w:r>
        <w:t xml:space="preserve">During the Design consultation period, Treasury held a series of 3 Question and Answer Sessions with </w:t>
      </w:r>
      <w:r w:rsidDel="001D4DCD">
        <w:t>a</w:t>
      </w:r>
      <w:r w:rsidDel="00761037">
        <w:t>pproximately</w:t>
      </w:r>
      <w:r>
        <w:t xml:space="preserve"> 100 attendees per session. This allowed stakeholders the opportunity to ask questions related to the specific proposed design positions for the regime. Attendees included:</w:t>
      </w:r>
    </w:p>
    <w:p w14:paraId="3F80D8E3" w14:textId="77777777" w:rsidR="00467FA4" w:rsidRPr="00D64800" w:rsidRDefault="00467FA4" w:rsidP="00467FA4">
      <w:pPr>
        <w:pStyle w:val="ListParagraph"/>
        <w:numPr>
          <w:ilvl w:val="0"/>
          <w:numId w:val="33"/>
        </w:numPr>
        <w:spacing w:before="0" w:after="0"/>
        <w:contextualSpacing w:val="0"/>
      </w:pPr>
      <w:r w:rsidRPr="00D64800">
        <w:t>Australian financial services licensees</w:t>
      </w:r>
    </w:p>
    <w:p w14:paraId="4D0D5BEC" w14:textId="77777777" w:rsidR="00467FA4" w:rsidRPr="00D64800" w:rsidRDefault="00467FA4" w:rsidP="00467FA4">
      <w:pPr>
        <w:pStyle w:val="ListParagraph"/>
        <w:numPr>
          <w:ilvl w:val="0"/>
          <w:numId w:val="33"/>
        </w:numPr>
        <w:spacing w:before="0" w:after="0"/>
        <w:contextualSpacing w:val="0"/>
      </w:pPr>
      <w:r w:rsidRPr="00D64800">
        <w:t>Investor groups</w:t>
      </w:r>
    </w:p>
    <w:p w14:paraId="6A123309" w14:textId="77777777" w:rsidR="002A6F73" w:rsidRPr="00D64800" w:rsidRDefault="002A6F73" w:rsidP="002A6F73">
      <w:pPr>
        <w:pStyle w:val="ListParagraph"/>
        <w:numPr>
          <w:ilvl w:val="0"/>
          <w:numId w:val="33"/>
        </w:numPr>
        <w:spacing w:before="0" w:after="0"/>
        <w:contextualSpacing w:val="0"/>
      </w:pPr>
      <w:r w:rsidRPr="00D64800">
        <w:t>Reporters under the proposed regime</w:t>
      </w:r>
    </w:p>
    <w:p w14:paraId="148C5650" w14:textId="77777777" w:rsidR="00467FA4" w:rsidRPr="00D64800" w:rsidRDefault="00467FA4" w:rsidP="00467FA4">
      <w:pPr>
        <w:pStyle w:val="ListParagraph"/>
        <w:numPr>
          <w:ilvl w:val="0"/>
          <w:numId w:val="33"/>
        </w:numPr>
        <w:spacing w:before="0" w:after="0"/>
        <w:contextualSpacing w:val="0"/>
      </w:pPr>
      <w:r w:rsidRPr="00D64800">
        <w:t>Industry associations</w:t>
      </w:r>
    </w:p>
    <w:p w14:paraId="3A952E51" w14:textId="72A051E7" w:rsidR="00467FA4" w:rsidRDefault="002A6F73" w:rsidP="00467FA4">
      <w:pPr>
        <w:pStyle w:val="ListParagraph"/>
        <w:numPr>
          <w:ilvl w:val="0"/>
          <w:numId w:val="33"/>
        </w:numPr>
        <w:spacing w:before="0" w:after="0"/>
        <w:contextualSpacing w:val="0"/>
      </w:pPr>
      <w:r w:rsidRPr="00D64800">
        <w:t>Regulators</w:t>
      </w:r>
    </w:p>
    <w:p w14:paraId="4C9DB834" w14:textId="080C43A6" w:rsidR="00DF2D90" w:rsidRPr="00904D5A" w:rsidRDefault="00904D5A" w:rsidP="00904D5A">
      <w:pPr>
        <w:pStyle w:val="Heading3"/>
      </w:pPr>
      <w:bookmarkStart w:id="46" w:name="_Toc144742123"/>
      <w:r>
        <w:t>S</w:t>
      </w:r>
      <w:r w:rsidR="002024D0" w:rsidRPr="00904D5A">
        <w:t xml:space="preserve">tatus of the IA </w:t>
      </w:r>
      <w:r w:rsidR="0000782B" w:rsidRPr="00904D5A">
        <w:t>at each major decision point</w:t>
      </w:r>
      <w:r w:rsidR="00D2149D" w:rsidRPr="00904D5A">
        <w:t>.</w:t>
      </w:r>
      <w:bookmarkEnd w:id="46"/>
    </w:p>
    <w:p w14:paraId="40554A7A" w14:textId="19456211" w:rsidR="001E20B1" w:rsidRPr="00904D5A" w:rsidRDefault="001E20B1" w:rsidP="003B3BBB">
      <w:pPr>
        <w:pStyle w:val="Caption"/>
      </w:pPr>
      <w:r w:rsidRPr="00904D5A">
        <w:t>Table 15: Impact analysis at each major decision point</w:t>
      </w:r>
    </w:p>
    <w:tbl>
      <w:tblPr>
        <w:tblStyle w:val="GridTable5Dark-Accent1"/>
        <w:tblW w:w="9656" w:type="dxa"/>
        <w:tblLook w:val="0620" w:firstRow="1" w:lastRow="0" w:firstColumn="0" w:lastColumn="0" w:noHBand="1" w:noVBand="1"/>
      </w:tblPr>
      <w:tblGrid>
        <w:gridCol w:w="1876"/>
        <w:gridCol w:w="1663"/>
        <w:gridCol w:w="6117"/>
      </w:tblGrid>
      <w:tr w:rsidR="00E40442" w:rsidRPr="00904D5A" w14:paraId="5AFB6FE6" w14:textId="77777777" w:rsidTr="00B27E89">
        <w:trPr>
          <w:cnfStyle w:val="100000000000" w:firstRow="1" w:lastRow="0" w:firstColumn="0" w:lastColumn="0" w:oddVBand="0" w:evenVBand="0" w:oddHBand="0" w:evenHBand="0" w:firstRowFirstColumn="0" w:firstRowLastColumn="0" w:lastRowFirstColumn="0" w:lastRowLastColumn="0"/>
          <w:trHeight w:val="20"/>
        </w:trPr>
        <w:tc>
          <w:tcPr>
            <w:tcW w:w="1876" w:type="dxa"/>
            <w:hideMark/>
          </w:tcPr>
          <w:p w14:paraId="5958BF65" w14:textId="0DB03798" w:rsidR="00E40442" w:rsidRPr="00904D5A" w:rsidRDefault="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Decision point</w:t>
            </w:r>
          </w:p>
        </w:tc>
        <w:tc>
          <w:tcPr>
            <w:tcW w:w="1663" w:type="dxa"/>
          </w:tcPr>
          <w:p w14:paraId="7F6A20C9" w14:textId="27069FC5" w:rsidR="00E40442" w:rsidRPr="00904D5A" w:rsidRDefault="00E40442">
            <w:pPr>
              <w:pStyle w:val="BodyText"/>
              <w:spacing w:after="0"/>
              <w:rPr>
                <w:rFonts w:ascii="Calibri Light" w:hAnsi="Calibri Light" w:cs="Calibri Light"/>
                <w:color w:val="auto"/>
              </w:rPr>
            </w:pPr>
            <w:r w:rsidRPr="00904D5A">
              <w:rPr>
                <w:rFonts w:ascii="Calibri Light" w:hAnsi="Calibri Light" w:cs="Calibri Light"/>
                <w:color w:val="auto"/>
              </w:rPr>
              <w:t>Timeframe</w:t>
            </w:r>
          </w:p>
        </w:tc>
        <w:tc>
          <w:tcPr>
            <w:tcW w:w="6117" w:type="dxa"/>
            <w:hideMark/>
          </w:tcPr>
          <w:p w14:paraId="3CB37C9A" w14:textId="2B588EC7" w:rsidR="00E40442" w:rsidRPr="00904D5A" w:rsidRDefault="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Status of the IA</w:t>
            </w:r>
          </w:p>
        </w:tc>
      </w:tr>
      <w:tr w:rsidR="00E40442" w:rsidRPr="00904D5A" w14:paraId="63C2C834" w14:textId="77777777" w:rsidTr="00B27E89">
        <w:trPr>
          <w:trHeight w:val="20"/>
        </w:trPr>
        <w:tc>
          <w:tcPr>
            <w:tcW w:w="1876" w:type="dxa"/>
            <w:shd w:val="clear" w:color="auto" w:fill="FFFFFF" w:themeFill="background1"/>
            <w:hideMark/>
          </w:tcPr>
          <w:p w14:paraId="7B00AD9B" w14:textId="2F6EEDA5" w:rsidR="00E40442" w:rsidRPr="00904D5A" w:rsidRDefault="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Government Announcement</w:t>
            </w:r>
          </w:p>
        </w:tc>
        <w:tc>
          <w:tcPr>
            <w:tcW w:w="1663" w:type="dxa"/>
            <w:shd w:val="clear" w:color="auto" w:fill="FFFFFF" w:themeFill="background1"/>
          </w:tcPr>
          <w:p w14:paraId="240D824D" w14:textId="44ECB611" w:rsidR="00E40442" w:rsidRPr="00904D5A" w:rsidRDefault="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May 2022</w:t>
            </w:r>
          </w:p>
        </w:tc>
        <w:tc>
          <w:tcPr>
            <w:tcW w:w="6117" w:type="dxa"/>
            <w:shd w:val="clear" w:color="auto" w:fill="FFFFFF" w:themeFill="background1"/>
            <w:hideMark/>
          </w:tcPr>
          <w:p w14:paraId="64111874" w14:textId="0D157019" w:rsidR="00E40442" w:rsidRPr="00904D5A" w:rsidRDefault="00B65941">
            <w:pPr>
              <w:pStyle w:val="BodyText"/>
              <w:spacing w:after="0"/>
              <w:rPr>
                <w:rFonts w:ascii="Calibri Light" w:hAnsi="Calibri Light" w:cs="Calibri Light"/>
                <w:color w:val="auto"/>
                <w:sz w:val="22"/>
              </w:rPr>
            </w:pPr>
            <w:r w:rsidRPr="00904D5A">
              <w:rPr>
                <w:rFonts w:ascii="Calibri Light" w:hAnsi="Calibri Light" w:cs="Calibri Light"/>
                <w:color w:val="auto"/>
                <w:sz w:val="22"/>
              </w:rPr>
              <w:t>Undeveloped</w:t>
            </w:r>
          </w:p>
        </w:tc>
      </w:tr>
      <w:tr w:rsidR="00E40442" w:rsidRPr="00904D5A" w14:paraId="170A6387" w14:textId="77777777" w:rsidTr="00B27E89">
        <w:trPr>
          <w:trHeight w:val="20"/>
        </w:trPr>
        <w:tc>
          <w:tcPr>
            <w:tcW w:w="1876" w:type="dxa"/>
          </w:tcPr>
          <w:p w14:paraId="4287507A" w14:textId="1E1A60D4" w:rsidR="00E4044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Funding request</w:t>
            </w:r>
          </w:p>
        </w:tc>
        <w:tc>
          <w:tcPr>
            <w:tcW w:w="1663" w:type="dxa"/>
          </w:tcPr>
          <w:p w14:paraId="54A00524" w14:textId="74474E36" w:rsidR="00E4044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October 2022</w:t>
            </w:r>
          </w:p>
        </w:tc>
        <w:tc>
          <w:tcPr>
            <w:tcW w:w="6117" w:type="dxa"/>
          </w:tcPr>
          <w:p w14:paraId="5C272D23" w14:textId="05BE0109" w:rsidR="00E4044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Undeveloped</w:t>
            </w:r>
          </w:p>
        </w:tc>
      </w:tr>
      <w:tr w:rsidR="00E40442" w:rsidRPr="00904D5A" w14:paraId="09DD112F" w14:textId="77777777" w:rsidTr="00B27E89">
        <w:trPr>
          <w:trHeight w:val="159"/>
        </w:trPr>
        <w:tc>
          <w:tcPr>
            <w:tcW w:w="1876" w:type="dxa"/>
            <w:shd w:val="clear" w:color="auto" w:fill="FFFFFF" w:themeFill="background1"/>
          </w:tcPr>
          <w:p w14:paraId="0498DE1B" w14:textId="05D63246" w:rsidR="00E4044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Authority to consult</w:t>
            </w:r>
          </w:p>
        </w:tc>
        <w:tc>
          <w:tcPr>
            <w:tcW w:w="1663" w:type="dxa"/>
            <w:shd w:val="clear" w:color="auto" w:fill="FFFFFF" w:themeFill="background1"/>
          </w:tcPr>
          <w:p w14:paraId="7A27F033" w14:textId="2FE71405" w:rsidR="00E4044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November 2022</w:t>
            </w:r>
          </w:p>
        </w:tc>
        <w:tc>
          <w:tcPr>
            <w:tcW w:w="6117" w:type="dxa"/>
            <w:shd w:val="clear" w:color="auto" w:fill="FFFFFF" w:themeFill="background1"/>
          </w:tcPr>
          <w:p w14:paraId="778D5DCA" w14:textId="3E00934C" w:rsidR="00E4044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Discussed with OIA the need for an IA</w:t>
            </w:r>
            <w:r w:rsidR="000629E9" w:rsidRPr="00904D5A">
              <w:rPr>
                <w:rFonts w:ascii="Calibri Light" w:hAnsi="Calibri Light" w:cs="Calibri Light"/>
                <w:color w:val="auto"/>
                <w:sz w:val="22"/>
              </w:rPr>
              <w:t xml:space="preserve">, ruling out the need for preliminary </w:t>
            </w:r>
            <w:r w:rsidR="001E20B1" w:rsidRPr="00904D5A">
              <w:rPr>
                <w:rFonts w:ascii="Calibri Light" w:hAnsi="Calibri Light" w:cs="Calibri Light"/>
                <w:color w:val="auto"/>
                <w:sz w:val="22"/>
              </w:rPr>
              <w:t>assessment.</w:t>
            </w:r>
          </w:p>
        </w:tc>
      </w:tr>
      <w:tr w:rsidR="00E40442" w:rsidRPr="00904D5A" w14:paraId="3E3169EB" w14:textId="77777777" w:rsidTr="00B27E89">
        <w:trPr>
          <w:trHeight w:val="20"/>
        </w:trPr>
        <w:tc>
          <w:tcPr>
            <w:tcW w:w="1876" w:type="dxa"/>
          </w:tcPr>
          <w:p w14:paraId="00E8EA5B" w14:textId="2792F8E2" w:rsidR="00E4044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Discovery consultation</w:t>
            </w:r>
          </w:p>
        </w:tc>
        <w:tc>
          <w:tcPr>
            <w:tcW w:w="1663" w:type="dxa"/>
          </w:tcPr>
          <w:p w14:paraId="751657ED" w14:textId="225CCF2B" w:rsidR="00E4044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February 2023</w:t>
            </w:r>
          </w:p>
        </w:tc>
        <w:tc>
          <w:tcPr>
            <w:tcW w:w="6117" w:type="dxa"/>
          </w:tcPr>
          <w:p w14:paraId="027353F8" w14:textId="1322AAB5" w:rsidR="00E4044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Begin collating data for cost-benefit analysis in IA.</w:t>
            </w:r>
            <w:r w:rsidR="001E20B1" w:rsidRPr="00904D5A">
              <w:rPr>
                <w:rFonts w:ascii="Calibri Light" w:hAnsi="Calibri Light" w:cs="Calibri Light"/>
                <w:color w:val="auto"/>
                <w:sz w:val="22"/>
              </w:rPr>
              <w:t xml:space="preserve"> </w:t>
            </w:r>
            <w:r w:rsidR="008B493B">
              <w:rPr>
                <w:rFonts w:ascii="Calibri Light" w:hAnsi="Calibri Light" w:cs="Calibri Light"/>
                <w:color w:val="auto"/>
                <w:sz w:val="22"/>
              </w:rPr>
              <w:t xml:space="preserve">Discovery consultation included a </w:t>
            </w:r>
            <w:r w:rsidR="002A3D78">
              <w:rPr>
                <w:rFonts w:ascii="Calibri Light" w:hAnsi="Calibri Light" w:cs="Calibri Light"/>
                <w:color w:val="auto"/>
                <w:sz w:val="22"/>
              </w:rPr>
              <w:t xml:space="preserve">question on </w:t>
            </w:r>
            <w:r w:rsidR="001E20B1" w:rsidRPr="00904D5A">
              <w:rPr>
                <w:rFonts w:ascii="Calibri Light" w:hAnsi="Calibri Light" w:cs="Calibri Light"/>
                <w:color w:val="auto"/>
                <w:sz w:val="22"/>
              </w:rPr>
              <w:t>broad cost-benefits</w:t>
            </w:r>
            <w:r w:rsidR="002A3D78">
              <w:rPr>
                <w:rFonts w:ascii="Calibri Light" w:hAnsi="Calibri Light" w:cs="Calibri Light"/>
                <w:color w:val="auto"/>
                <w:sz w:val="22"/>
              </w:rPr>
              <w:t xml:space="preserve"> of implementation</w:t>
            </w:r>
            <w:r w:rsidR="001E20B1" w:rsidRPr="00904D5A">
              <w:rPr>
                <w:rFonts w:ascii="Calibri Light" w:hAnsi="Calibri Light" w:cs="Calibri Light"/>
                <w:color w:val="auto"/>
                <w:sz w:val="22"/>
              </w:rPr>
              <w:t>. Quantification encouraged.</w:t>
            </w:r>
          </w:p>
        </w:tc>
      </w:tr>
      <w:tr w:rsidR="00C50AA2" w:rsidRPr="00904D5A" w14:paraId="5CCBC52B" w14:textId="77777777" w:rsidTr="00B27E89">
        <w:trPr>
          <w:trHeight w:val="20"/>
        </w:trPr>
        <w:tc>
          <w:tcPr>
            <w:tcW w:w="1876" w:type="dxa"/>
            <w:shd w:val="clear" w:color="auto" w:fill="auto"/>
          </w:tcPr>
          <w:p w14:paraId="70201D66" w14:textId="2CB7586D" w:rsidR="00C50AA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Design consultation</w:t>
            </w:r>
          </w:p>
        </w:tc>
        <w:tc>
          <w:tcPr>
            <w:tcW w:w="1663" w:type="dxa"/>
            <w:shd w:val="clear" w:color="auto" w:fill="auto"/>
          </w:tcPr>
          <w:p w14:paraId="1B14D063" w14:textId="53363AA1" w:rsidR="00C50AA2" w:rsidRPr="00904D5A" w:rsidRDefault="00C50AA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June 2023</w:t>
            </w:r>
          </w:p>
        </w:tc>
        <w:tc>
          <w:tcPr>
            <w:tcW w:w="6117" w:type="dxa"/>
            <w:shd w:val="clear" w:color="auto" w:fill="auto"/>
          </w:tcPr>
          <w:p w14:paraId="088B2309" w14:textId="34F8DB3B" w:rsidR="00AE0DF2" w:rsidRPr="00904D5A"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 xml:space="preserve">Discussed </w:t>
            </w:r>
            <w:r w:rsidR="002A3D78" w:rsidRPr="00904D5A">
              <w:rPr>
                <w:rFonts w:ascii="Calibri Light" w:hAnsi="Calibri Light" w:cs="Calibri Light"/>
                <w:color w:val="auto"/>
                <w:sz w:val="22"/>
              </w:rPr>
              <w:t xml:space="preserve">drafting process </w:t>
            </w:r>
            <w:r w:rsidRPr="00904D5A">
              <w:rPr>
                <w:rFonts w:ascii="Calibri Light" w:hAnsi="Calibri Light" w:cs="Calibri Light"/>
                <w:color w:val="auto"/>
                <w:sz w:val="22"/>
              </w:rPr>
              <w:t xml:space="preserve">with OIA and requirements for </w:t>
            </w:r>
            <w:r w:rsidR="005B21BE" w:rsidRPr="00904D5A">
              <w:rPr>
                <w:rFonts w:ascii="Calibri Light" w:hAnsi="Calibri Light" w:cs="Calibri Light"/>
                <w:color w:val="auto"/>
                <w:sz w:val="22"/>
              </w:rPr>
              <w:t>early assessment</w:t>
            </w:r>
            <w:r w:rsidRPr="00904D5A">
              <w:rPr>
                <w:rFonts w:ascii="Calibri Light" w:hAnsi="Calibri Light" w:cs="Calibri Light"/>
                <w:color w:val="auto"/>
                <w:sz w:val="22"/>
              </w:rPr>
              <w:t>.</w:t>
            </w:r>
            <w:r w:rsidR="000629E9" w:rsidRPr="00904D5A">
              <w:rPr>
                <w:rFonts w:ascii="Calibri Light" w:hAnsi="Calibri Light" w:cs="Calibri Light"/>
                <w:color w:val="auto"/>
                <w:sz w:val="22"/>
              </w:rPr>
              <w:t xml:space="preserve"> </w:t>
            </w:r>
            <w:r w:rsidR="002A3D78">
              <w:rPr>
                <w:rFonts w:ascii="Calibri Light" w:hAnsi="Calibri Light" w:cs="Calibri Light"/>
                <w:color w:val="auto"/>
                <w:sz w:val="22"/>
              </w:rPr>
              <w:t xml:space="preserve">Stakeholders </w:t>
            </w:r>
            <w:r w:rsidR="00E6056D">
              <w:rPr>
                <w:rFonts w:ascii="Calibri Light" w:hAnsi="Calibri Light" w:cs="Calibri Light"/>
                <w:color w:val="auto"/>
                <w:sz w:val="22"/>
              </w:rPr>
              <w:t xml:space="preserve">asked for </w:t>
            </w:r>
            <w:r w:rsidR="000629E9" w:rsidRPr="00904D5A">
              <w:rPr>
                <w:rFonts w:ascii="Calibri Light" w:hAnsi="Calibri Light" w:cs="Calibri Light"/>
                <w:color w:val="auto"/>
                <w:sz w:val="22"/>
              </w:rPr>
              <w:t>quantified cost-benefits</w:t>
            </w:r>
            <w:r w:rsidR="00E6056D">
              <w:rPr>
                <w:rFonts w:ascii="Calibri Light" w:hAnsi="Calibri Light" w:cs="Calibri Light"/>
                <w:color w:val="auto"/>
                <w:sz w:val="22"/>
              </w:rPr>
              <w:t xml:space="preserve"> in information sessions and bilateral meetings. </w:t>
            </w:r>
          </w:p>
        </w:tc>
      </w:tr>
      <w:tr w:rsidR="00AE0DF2" w:rsidRPr="00904D5A" w14:paraId="44139F2A" w14:textId="77777777" w:rsidTr="00B27E89">
        <w:trPr>
          <w:trHeight w:val="20"/>
        </w:trPr>
        <w:tc>
          <w:tcPr>
            <w:tcW w:w="1876" w:type="dxa"/>
          </w:tcPr>
          <w:p w14:paraId="39A80F2E" w14:textId="73F4C96D" w:rsidR="00AE0DF2" w:rsidRPr="00904D5A"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Cabinet submission drafting</w:t>
            </w:r>
          </w:p>
        </w:tc>
        <w:tc>
          <w:tcPr>
            <w:tcW w:w="1663" w:type="dxa"/>
          </w:tcPr>
          <w:p w14:paraId="7F5B2170" w14:textId="17497E29" w:rsidR="00AE0DF2" w:rsidRPr="00904D5A"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July 2023</w:t>
            </w:r>
          </w:p>
        </w:tc>
        <w:tc>
          <w:tcPr>
            <w:tcW w:w="6117" w:type="dxa"/>
          </w:tcPr>
          <w:p w14:paraId="7ACA5E53" w14:textId="497183E0" w:rsidR="00AE0DF2" w:rsidRPr="00904D5A" w:rsidRDefault="00C60CEF"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E</w:t>
            </w:r>
            <w:r w:rsidR="005B21BE" w:rsidRPr="00904D5A">
              <w:rPr>
                <w:rFonts w:ascii="Calibri Light" w:hAnsi="Calibri Light" w:cs="Calibri Light"/>
                <w:color w:val="auto"/>
                <w:sz w:val="22"/>
              </w:rPr>
              <w:t>arly assessment</w:t>
            </w:r>
            <w:r w:rsidR="00AE0DF2" w:rsidRPr="00904D5A">
              <w:rPr>
                <w:rFonts w:ascii="Calibri Light" w:hAnsi="Calibri Light" w:cs="Calibri Light"/>
                <w:color w:val="auto"/>
                <w:sz w:val="22"/>
              </w:rPr>
              <w:t xml:space="preserve"> process </w:t>
            </w:r>
            <w:r w:rsidRPr="00904D5A">
              <w:rPr>
                <w:rFonts w:ascii="Calibri Light" w:hAnsi="Calibri Light" w:cs="Calibri Light"/>
                <w:color w:val="auto"/>
                <w:sz w:val="22"/>
              </w:rPr>
              <w:t xml:space="preserve">not pursued </w:t>
            </w:r>
            <w:r w:rsidR="00AE0DF2" w:rsidRPr="00904D5A">
              <w:rPr>
                <w:rFonts w:ascii="Calibri Light" w:hAnsi="Calibri Light" w:cs="Calibri Light"/>
                <w:color w:val="auto"/>
                <w:sz w:val="22"/>
              </w:rPr>
              <w:t>due to time constraints.</w:t>
            </w:r>
          </w:p>
          <w:p w14:paraId="661EBBB3" w14:textId="2288F276" w:rsidR="00AE0DF2" w:rsidRPr="00904D5A"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Several drafts of IA sent to OIA for comments.</w:t>
            </w:r>
          </w:p>
        </w:tc>
      </w:tr>
      <w:tr w:rsidR="00AE0DF2" w:rsidRPr="00904D5A" w14:paraId="4FBB7323" w14:textId="77777777" w:rsidTr="00B27E89">
        <w:trPr>
          <w:trHeight w:val="20"/>
        </w:trPr>
        <w:tc>
          <w:tcPr>
            <w:tcW w:w="1876" w:type="dxa"/>
            <w:shd w:val="clear" w:color="auto" w:fill="auto"/>
          </w:tcPr>
          <w:p w14:paraId="79A3C9C8" w14:textId="77777777" w:rsidR="00AE0DF2" w:rsidRPr="00904D5A"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Cabinet submission</w:t>
            </w:r>
          </w:p>
          <w:p w14:paraId="1EFD9B31" w14:textId="61C508C8" w:rsidR="00AE0DF2" w:rsidRPr="00904D5A"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Draft exposed</w:t>
            </w:r>
          </w:p>
        </w:tc>
        <w:tc>
          <w:tcPr>
            <w:tcW w:w="1663" w:type="dxa"/>
            <w:shd w:val="clear" w:color="auto" w:fill="auto"/>
          </w:tcPr>
          <w:p w14:paraId="023774A8" w14:textId="7DC8EB9C" w:rsidR="00AE0DF2" w:rsidRPr="00904D5A"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August 2023</w:t>
            </w:r>
          </w:p>
        </w:tc>
        <w:tc>
          <w:tcPr>
            <w:tcW w:w="6117" w:type="dxa"/>
            <w:shd w:val="clear" w:color="auto" w:fill="auto"/>
          </w:tcPr>
          <w:p w14:paraId="2482F9F2" w14:textId="1226DF3D" w:rsidR="00AE0DF2" w:rsidRPr="00904D5A"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 xml:space="preserve">1st pass </w:t>
            </w:r>
            <w:r w:rsidR="00E40E71" w:rsidRPr="00904D5A">
              <w:rPr>
                <w:rFonts w:ascii="Calibri Light" w:hAnsi="Calibri Light" w:cs="Calibri Light"/>
                <w:color w:val="auto"/>
                <w:sz w:val="22"/>
              </w:rPr>
              <w:t>a</w:t>
            </w:r>
            <w:r w:rsidRPr="00904D5A">
              <w:rPr>
                <w:rFonts w:ascii="Calibri Light" w:hAnsi="Calibri Light" w:cs="Calibri Light"/>
                <w:color w:val="auto"/>
                <w:sz w:val="22"/>
              </w:rPr>
              <w:t>ssessment completed. Comments noted and addressed</w:t>
            </w:r>
            <w:r w:rsidR="00E40E71" w:rsidRPr="00904D5A">
              <w:rPr>
                <w:rFonts w:ascii="Calibri Light" w:hAnsi="Calibri Light" w:cs="Calibri Light"/>
                <w:color w:val="auto"/>
                <w:sz w:val="22"/>
              </w:rPr>
              <w:t>.</w:t>
            </w:r>
          </w:p>
        </w:tc>
      </w:tr>
      <w:tr w:rsidR="00AE0DF2" w14:paraId="1516B37B" w14:textId="77777777" w:rsidTr="00B27E89">
        <w:trPr>
          <w:trHeight w:val="20"/>
        </w:trPr>
        <w:tc>
          <w:tcPr>
            <w:tcW w:w="1876" w:type="dxa"/>
            <w:tcBorders>
              <w:bottom w:val="single" w:sz="4" w:space="0" w:color="FFFFFF" w:themeColor="background1"/>
            </w:tcBorders>
          </w:tcPr>
          <w:p w14:paraId="49E8D346" w14:textId="7EBC442A" w:rsidR="00AE0DF2" w:rsidRPr="00904D5A"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Cabinet submission</w:t>
            </w:r>
          </w:p>
        </w:tc>
        <w:tc>
          <w:tcPr>
            <w:tcW w:w="1663" w:type="dxa"/>
            <w:tcBorders>
              <w:bottom w:val="single" w:sz="4" w:space="0" w:color="FFFFFF" w:themeColor="background1"/>
            </w:tcBorders>
          </w:tcPr>
          <w:p w14:paraId="03FE06E4" w14:textId="3BF289FB" w:rsidR="00AE0DF2" w:rsidRPr="00904D5A"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September 2023</w:t>
            </w:r>
          </w:p>
        </w:tc>
        <w:tc>
          <w:tcPr>
            <w:tcW w:w="6117" w:type="dxa"/>
            <w:tcBorders>
              <w:bottom w:val="single" w:sz="4" w:space="0" w:color="FFFFFF" w:themeColor="background1"/>
            </w:tcBorders>
          </w:tcPr>
          <w:p w14:paraId="435AFFDE" w14:textId="22AAF80B" w:rsidR="00AE0DF2" w:rsidRPr="00AE0DF2" w:rsidRDefault="00AE0DF2" w:rsidP="00E40442">
            <w:pPr>
              <w:pStyle w:val="BodyText"/>
              <w:spacing w:after="0"/>
              <w:rPr>
                <w:rFonts w:ascii="Calibri Light" w:hAnsi="Calibri Light" w:cs="Calibri Light"/>
                <w:color w:val="auto"/>
                <w:sz w:val="22"/>
              </w:rPr>
            </w:pPr>
            <w:r w:rsidRPr="00904D5A">
              <w:rPr>
                <w:rFonts w:ascii="Calibri Light" w:hAnsi="Calibri Light" w:cs="Calibri Light"/>
                <w:color w:val="auto"/>
                <w:sz w:val="22"/>
              </w:rPr>
              <w:t>2nd pass assessment presented to OIA.</w:t>
            </w:r>
            <w:r w:rsidRPr="00AE0DF2">
              <w:rPr>
                <w:rFonts w:ascii="Calibri Light" w:hAnsi="Calibri Light" w:cs="Calibri Light"/>
                <w:color w:val="auto"/>
                <w:sz w:val="22"/>
              </w:rPr>
              <w:t xml:space="preserve"> </w:t>
            </w:r>
          </w:p>
        </w:tc>
      </w:tr>
    </w:tbl>
    <w:p w14:paraId="4C1BF2C7" w14:textId="77777777" w:rsidR="00DC5C9F" w:rsidRPr="00007758" w:rsidRDefault="00DC5C9F" w:rsidP="009447F1"/>
    <w:p w14:paraId="23581EAD" w14:textId="77777777" w:rsidR="006E6FB6" w:rsidRDefault="006E6FB6" w:rsidP="006E6FB6">
      <w:pPr>
        <w:pStyle w:val="Heading1"/>
      </w:pPr>
      <w:bookmarkStart w:id="47" w:name="_Toc144742124"/>
      <w:bookmarkStart w:id="48" w:name="_Toc141895107"/>
      <w:r>
        <w:t>Option selection</w:t>
      </w:r>
      <w:bookmarkEnd w:id="47"/>
    </w:p>
    <w:p w14:paraId="16F2B75E" w14:textId="045252B9" w:rsidR="00E82C5B" w:rsidRDefault="00E82C5B" w:rsidP="00E82C5B">
      <w:pPr>
        <w:pStyle w:val="Heading4"/>
      </w:pPr>
      <w:r>
        <w:t>Options considered</w:t>
      </w:r>
    </w:p>
    <w:p w14:paraId="186D7297" w14:textId="51B10093" w:rsidR="000D6203" w:rsidRDefault="00B94225" w:rsidP="000D6203">
      <w:r>
        <w:t xml:space="preserve">Treasury considered </w:t>
      </w:r>
      <w:r w:rsidR="000D6203">
        <w:t xml:space="preserve">the impact of allowing the status quo to continue. Under this option, </w:t>
      </w:r>
      <w:r w:rsidR="000D6203" w:rsidRPr="442A2D2B">
        <w:t xml:space="preserve">the market </w:t>
      </w:r>
      <w:r w:rsidR="000251AB">
        <w:t>w</w:t>
      </w:r>
      <w:r w:rsidR="000D6203" w:rsidRPr="442A2D2B">
        <w:t>o</w:t>
      </w:r>
      <w:r w:rsidR="000251AB">
        <w:t>uld</w:t>
      </w:r>
      <w:r w:rsidR="000D6203" w:rsidRPr="442A2D2B">
        <w:t xml:space="preserve"> decide how Australian firms should </w:t>
      </w:r>
      <w:r w:rsidR="000D6203">
        <w:t>disclose</w:t>
      </w:r>
      <w:r w:rsidR="000D6203" w:rsidRPr="442A2D2B">
        <w:t xml:space="preserve"> their climate</w:t>
      </w:r>
      <w:r w:rsidR="000D6203">
        <w:t>-related financial</w:t>
      </w:r>
      <w:r w:rsidR="000D6203" w:rsidRPr="442A2D2B">
        <w:t xml:space="preserve"> risk</w:t>
      </w:r>
      <w:r w:rsidR="000D6203">
        <w:t>s</w:t>
      </w:r>
      <w:r w:rsidR="000D6203" w:rsidRPr="442A2D2B">
        <w:t xml:space="preserve">. In the absence of mandatory disclosure, </w:t>
      </w:r>
      <w:r w:rsidR="000D6203">
        <w:t xml:space="preserve">Australia would have to rely on further guidance by ASIC, supported by obligations imposed by </w:t>
      </w:r>
      <w:r w:rsidR="000D6203" w:rsidRPr="442A2D2B">
        <w:t xml:space="preserve">the </w:t>
      </w:r>
      <w:r w:rsidR="000D6203">
        <w:t>Corporations Act. Evidence to date suggests</w:t>
      </w:r>
      <w:r w:rsidR="000D6203" w:rsidRPr="442A2D2B">
        <w:t xml:space="preserve"> that </w:t>
      </w:r>
      <w:r w:rsidR="000D6203">
        <w:t>this approach has been somewhat successful in increasing the number of firms disclosing climate-related financial risks,</w:t>
      </w:r>
      <w:r w:rsidR="000D6203" w:rsidRPr="00466E6B">
        <w:rPr>
          <w:rStyle w:val="FootnoteReference"/>
          <w:position w:val="6"/>
          <w:vertAlign w:val="superscript"/>
        </w:rPr>
        <w:footnoteReference w:id="47"/>
      </w:r>
      <w:r w:rsidR="000D6203">
        <w:t xml:space="preserve"> however has not produced consistent and high</w:t>
      </w:r>
      <w:r w:rsidR="000D6203">
        <w:noBreakHyphen/>
        <w:t xml:space="preserve">quality disclosures that are useful to investors. Additionally, </w:t>
      </w:r>
      <w:r w:rsidR="000D6203" w:rsidRPr="442A2D2B">
        <w:t xml:space="preserve">shareholder activism </w:t>
      </w:r>
      <w:r w:rsidR="000D6203">
        <w:t xml:space="preserve">could </w:t>
      </w:r>
      <w:r w:rsidR="000D6203" w:rsidRPr="442A2D2B">
        <w:t xml:space="preserve">lead to voluntary disclosure of climate change risks. However, this strategy will not achieve the standardisation that many users of general-purpose financial reports demand, while being an avenue that unfairly favours larger corporates who have more resources to voluntarily disclose. </w:t>
      </w:r>
    </w:p>
    <w:p w14:paraId="571DAE68" w14:textId="1D6D1B2E" w:rsidR="00A34493" w:rsidRPr="00A34493" w:rsidRDefault="009B138D" w:rsidP="00A34493">
      <w:r>
        <w:t xml:space="preserve">Treasury also considered </w:t>
      </w:r>
      <w:r w:rsidR="00B94225">
        <w:t>three implementation options</w:t>
      </w:r>
      <w:r w:rsidR="00A34493">
        <w:t xml:space="preserve"> during the policy development process. As outlined </w:t>
      </w:r>
      <w:r>
        <w:t xml:space="preserve">in the sections </w:t>
      </w:r>
      <w:r w:rsidR="00A34493">
        <w:t xml:space="preserve">above, </w:t>
      </w:r>
      <w:r w:rsidR="00A66F01">
        <w:rPr>
          <w:szCs w:val="22"/>
        </w:rPr>
        <w:t xml:space="preserve">these options </w:t>
      </w:r>
      <w:r w:rsidR="00CC4D07">
        <w:rPr>
          <w:szCs w:val="22"/>
        </w:rPr>
        <w:t xml:space="preserve">balanced </w:t>
      </w:r>
      <w:r w:rsidR="00A34493" w:rsidRPr="000F3AA4">
        <w:rPr>
          <w:szCs w:val="22"/>
        </w:rPr>
        <w:t>four key design criteria:</w:t>
      </w:r>
    </w:p>
    <w:p w14:paraId="28B8AED7" w14:textId="77777777" w:rsidR="00A34493" w:rsidRDefault="00A34493" w:rsidP="00A34493">
      <w:pPr>
        <w:pStyle w:val="ListParagraph"/>
        <w:numPr>
          <w:ilvl w:val="0"/>
          <w:numId w:val="13"/>
        </w:numPr>
        <w:rPr>
          <w:szCs w:val="22"/>
        </w:rPr>
      </w:pPr>
      <w:r w:rsidRPr="000F3AA4">
        <w:rPr>
          <w:szCs w:val="22"/>
        </w:rPr>
        <w:t>The appropriate coverage of entities that would be captured</w:t>
      </w:r>
      <w:r>
        <w:rPr>
          <w:szCs w:val="22"/>
        </w:rPr>
        <w:t xml:space="preserve"> by these requirements.</w:t>
      </w:r>
    </w:p>
    <w:p w14:paraId="50182687" w14:textId="77777777" w:rsidR="00A34493" w:rsidRDefault="00A34493" w:rsidP="00A34493">
      <w:pPr>
        <w:pStyle w:val="ListParagraph"/>
        <w:numPr>
          <w:ilvl w:val="0"/>
          <w:numId w:val="13"/>
        </w:numPr>
        <w:rPr>
          <w:szCs w:val="22"/>
        </w:rPr>
      </w:pPr>
      <w:r>
        <w:rPr>
          <w:szCs w:val="22"/>
        </w:rPr>
        <w:t>The reporting content of these disclosures</w:t>
      </w:r>
    </w:p>
    <w:p w14:paraId="498ADA44" w14:textId="77777777" w:rsidR="00A34493" w:rsidRDefault="00A34493" w:rsidP="00A34493">
      <w:pPr>
        <w:pStyle w:val="ListParagraph"/>
        <w:numPr>
          <w:ilvl w:val="0"/>
          <w:numId w:val="13"/>
        </w:numPr>
        <w:rPr>
          <w:szCs w:val="22"/>
        </w:rPr>
      </w:pPr>
      <w:r>
        <w:rPr>
          <w:szCs w:val="22"/>
        </w:rPr>
        <w:t>The assurance framework</w:t>
      </w:r>
    </w:p>
    <w:p w14:paraId="6EE438A5" w14:textId="77777777" w:rsidR="00A34493" w:rsidRDefault="00A34493" w:rsidP="00A34493">
      <w:pPr>
        <w:pStyle w:val="ListParagraph"/>
        <w:numPr>
          <w:ilvl w:val="0"/>
          <w:numId w:val="13"/>
        </w:numPr>
        <w:rPr>
          <w:szCs w:val="22"/>
        </w:rPr>
      </w:pPr>
      <w:r>
        <w:rPr>
          <w:szCs w:val="22"/>
        </w:rPr>
        <w:t>Appropriate timeframes for introducing mandatory disclosures.</w:t>
      </w:r>
    </w:p>
    <w:p w14:paraId="52FEA22B" w14:textId="6DB4D441" w:rsidR="00AF3CDF" w:rsidRDefault="00AF3CDF" w:rsidP="006E6FB6">
      <w:r>
        <w:t xml:space="preserve">Treasury </w:t>
      </w:r>
      <w:r w:rsidR="00B32E0F">
        <w:t xml:space="preserve">considered </w:t>
      </w:r>
      <w:r w:rsidR="00B32E0F" w:rsidRPr="00642AFC">
        <w:t>Option 1</w:t>
      </w:r>
      <w:r w:rsidR="00FA5568">
        <w:t xml:space="preserve"> to deliver clear improvements in the quantity, quality and comparability of disclosures</w:t>
      </w:r>
      <w:r w:rsidR="00140164">
        <w:t xml:space="preserve"> and </w:t>
      </w:r>
      <w:r>
        <w:t xml:space="preserve">consulted on </w:t>
      </w:r>
      <w:r w:rsidR="003149B0">
        <w:t xml:space="preserve">stakeholder views for implementing </w:t>
      </w:r>
      <w:r w:rsidR="00140164">
        <w:t xml:space="preserve">this option </w:t>
      </w:r>
      <w:r w:rsidR="00286692">
        <w:t>between 27 June 2023 and 21 July 2023.</w:t>
      </w:r>
    </w:p>
    <w:p w14:paraId="2E368A4C" w14:textId="77777777" w:rsidR="00DD6707" w:rsidRDefault="006E6FB6" w:rsidP="00DD6707">
      <w:r>
        <w:t xml:space="preserve">A number of stakeholders highlighted their main concern with proposed policy was the significant regulatory </w:t>
      </w:r>
      <w:r w:rsidR="00824595">
        <w:t>burden</w:t>
      </w:r>
      <w:r>
        <w:t xml:space="preserve"> it </w:t>
      </w:r>
      <w:r w:rsidR="00824595">
        <w:t xml:space="preserve">would </w:t>
      </w:r>
      <w:r>
        <w:t xml:space="preserve">impose on smaller entities in Group 3 who are expected to have relatively minor climate-related risks. </w:t>
      </w:r>
      <w:r w:rsidR="00DD6707">
        <w:t>A significant proportion of audit and assurance industry stakeholders expressed concern regarding the proposed timeframes for phasing in and scaling up assurance requirements in Treasury’s design consultation. Stakeholders noted that the industry was not sufficiently mature, and that service providers face substantial challenges in mobilising and upskilling the required workforce.</w:t>
      </w:r>
    </w:p>
    <w:p w14:paraId="2CC9EE6C" w14:textId="3E79AECC" w:rsidR="00D45774" w:rsidRDefault="00D45774" w:rsidP="00D45774">
      <w:pPr>
        <w:pStyle w:val="Heading4"/>
      </w:pPr>
      <w:r>
        <w:t>Recommended option</w:t>
      </w:r>
    </w:p>
    <w:p w14:paraId="25E6D7A6" w14:textId="44C9A88E" w:rsidR="002F53F7" w:rsidRDefault="006E6FB6" w:rsidP="006E6FB6">
      <w:r w:rsidRPr="00625B92">
        <w:rPr>
          <w:b/>
        </w:rPr>
        <w:t>Treasury recommends Government implement Option 1b</w:t>
      </w:r>
      <w:r>
        <w:rPr>
          <w:b/>
          <w:bCs/>
        </w:rPr>
        <w:t>.</w:t>
      </w:r>
      <w:r>
        <w:t xml:space="preserve"> In our view, </w:t>
      </w:r>
      <w:r w:rsidR="006243AD">
        <w:t xml:space="preserve">if implemented, </w:t>
      </w:r>
      <w:r w:rsidR="00642AFC">
        <w:t>O</w:t>
      </w:r>
      <w:r>
        <w:t xml:space="preserve">ption 1b </w:t>
      </w:r>
      <w:r w:rsidR="0083279A">
        <w:t>achieves the Government’s objective of reducing information asymmetry</w:t>
      </w:r>
      <w:r w:rsidR="006B07A5">
        <w:t xml:space="preserve"> between investors and firms</w:t>
      </w:r>
      <w:r w:rsidR="001547DA">
        <w:t xml:space="preserve"> and establishes a standardized framework for reporting</w:t>
      </w:r>
      <w:r w:rsidR="00EA3DB3">
        <w:rPr>
          <w:szCs w:val="22"/>
        </w:rPr>
        <w:t>. This will improve the comparability, quality, and timeliness of disclosures</w:t>
      </w:r>
      <w:r w:rsidR="00233A81">
        <w:rPr>
          <w:szCs w:val="22"/>
        </w:rPr>
        <w:t xml:space="preserve"> and</w:t>
      </w:r>
      <w:r w:rsidR="00EA3DB3">
        <w:t xml:space="preserve"> </w:t>
      </w:r>
      <w:r>
        <w:t xml:space="preserve">enhances </w:t>
      </w:r>
      <w:r w:rsidRPr="004F5F81">
        <w:t xml:space="preserve">the </w:t>
      </w:r>
      <w:r>
        <w:t>proportionality</w:t>
      </w:r>
      <w:r w:rsidRPr="004F5F81">
        <w:t xml:space="preserve"> of </w:t>
      </w:r>
      <w:r>
        <w:t>the</w:t>
      </w:r>
      <w:r w:rsidRPr="004F5F81">
        <w:t xml:space="preserve"> reforms</w:t>
      </w:r>
      <w:r w:rsidR="003E1BF7">
        <w:t xml:space="preserve">. </w:t>
      </w:r>
      <w:r w:rsidR="003E1BF7" w:rsidRPr="00CD6E08">
        <w:t xml:space="preserve">Australian reporting entities will </w:t>
      </w:r>
      <w:r w:rsidR="003E1BF7">
        <w:t>be able to capitalise on</w:t>
      </w:r>
      <w:r w:rsidR="003E1BF7" w:rsidRPr="00CD6E08">
        <w:t xml:space="preserve"> the opportunity to improve climate risk management to align with international best practice. In such an ecosystem, regulators will have the certainty to enforce compliance against misleading claims</w:t>
      </w:r>
      <w:r w:rsidR="003E1BF7">
        <w:t xml:space="preserve"> and greenwashing</w:t>
      </w:r>
      <w:r w:rsidR="003E1BF7" w:rsidRPr="00CD6E08">
        <w:t>.</w:t>
      </w:r>
      <w:r w:rsidR="003E1BF7">
        <w:t xml:space="preserve"> </w:t>
      </w:r>
    </w:p>
    <w:p w14:paraId="670B4F3B" w14:textId="7129967E" w:rsidR="006E6FB6" w:rsidRPr="007C6D12" w:rsidRDefault="002F53F7" w:rsidP="006E6FB6">
      <w:r>
        <w:t xml:space="preserve">Compared with Option 1 and Option 1a, Option 1b </w:t>
      </w:r>
      <w:r w:rsidR="006E6FB6">
        <w:t xml:space="preserve">strikes the appropriate balance between the </w:t>
      </w:r>
      <w:r w:rsidR="006E6FB6" w:rsidRPr="004F5F81">
        <w:t>costs and benefits of these reforms</w:t>
      </w:r>
      <w:r w:rsidR="006E6FB6">
        <w:t>. Under Option 1b, Group 3 entity reporting would be limited to only those with material climate risks</w:t>
      </w:r>
      <w:r w:rsidR="001C79A4">
        <w:t>,</w:t>
      </w:r>
      <w:r w:rsidR="006E6FB6">
        <w:t xml:space="preserve"> substantially reduces the regulatory burden. Given entities are </w:t>
      </w:r>
      <w:r w:rsidR="003211BD">
        <w:t>already</w:t>
      </w:r>
      <w:r w:rsidR="006E6FB6">
        <w:t xml:space="preserve"> required to report material climate risks under their Corporations Act obligations, the need to complete a materiality assessment from 2027-28 should also not impose additional regulatory burden. This consideration should already be a part of their financial reporting.</w:t>
      </w:r>
      <w:r w:rsidR="006E6FB6" w:rsidRPr="005426D4">
        <w:t xml:space="preserve"> </w:t>
      </w:r>
      <w:r w:rsidR="006E6FB6">
        <w:t xml:space="preserve">Compared with status quo, this option also provides Australian companies with a framework for reporting, improving comparability of decision-useful information. </w:t>
      </w:r>
    </w:p>
    <w:p w14:paraId="37EB877D" w14:textId="77777777" w:rsidR="006E6FB6" w:rsidRDefault="006E6FB6" w:rsidP="006E6FB6">
      <w:r>
        <w:t>For the assurance framework, Option 1b mandates reasonable assurance should be achieved by 2030, however does not mandate a pathway. We consider this approach to be appropriate as it provides the AUASB with the flexibility to develop a roadmap to full assurance, ensuring that consideration is given to the international standard on sustainability assurance and the development of market capability.</w:t>
      </w:r>
    </w:p>
    <w:p w14:paraId="01943397" w14:textId="02CA0D93" w:rsidR="007636CF" w:rsidRDefault="007636CF" w:rsidP="006E6FB6">
      <w:r>
        <w:t xml:space="preserve">As illustrated in Table </w:t>
      </w:r>
      <w:r w:rsidR="00806F66">
        <w:t>12</w:t>
      </w:r>
      <w:r>
        <w:t xml:space="preserve"> above, Option 1b </w:t>
      </w:r>
      <w:r w:rsidR="00461E67">
        <w:t>imposes the least regulatory burden compared with other options for implementation.</w:t>
      </w:r>
      <w:r>
        <w:t xml:space="preserve"> </w:t>
      </w:r>
    </w:p>
    <w:p w14:paraId="61B9A651" w14:textId="77777777" w:rsidR="006E6FB6" w:rsidRDefault="006E6FB6" w:rsidP="006E6FB6">
      <w:pPr>
        <w:spacing w:before="0" w:after="200" w:line="276" w:lineRule="auto"/>
      </w:pPr>
      <w:r>
        <w:br w:type="page"/>
      </w:r>
    </w:p>
    <w:p w14:paraId="5B447266" w14:textId="77777777" w:rsidR="00467FA4" w:rsidRPr="00EA5697" w:rsidRDefault="00467FA4" w:rsidP="00467FA4">
      <w:pPr>
        <w:pStyle w:val="Heading1"/>
      </w:pPr>
      <w:bookmarkStart w:id="49" w:name="_Toc144742125"/>
      <w:r>
        <w:t>Implementation and review</w:t>
      </w:r>
      <w:bookmarkEnd w:id="48"/>
      <w:bookmarkEnd w:id="49"/>
    </w:p>
    <w:p w14:paraId="6BE5A432" w14:textId="77777777" w:rsidR="00467FA4" w:rsidRDefault="00467FA4" w:rsidP="00467FA4">
      <w:pPr>
        <w:pStyle w:val="Heading4"/>
      </w:pPr>
      <w:r>
        <w:t>Implementation</w:t>
      </w:r>
    </w:p>
    <w:p w14:paraId="63D8F6A4" w14:textId="33EAE186" w:rsidR="00467FA4" w:rsidRPr="007B23F1" w:rsidRDefault="00467FA4" w:rsidP="00467FA4">
      <w:r w:rsidRPr="007B23F1">
        <w:t xml:space="preserve">Primary legislation changes will be required to implement the preferred policy option. In particular, primary legislation will be needed to specify the groups of entities that these disclosures apply to, when entities need to commence disclosing their climate risks as well as reporting location. Legislation will be amended to apply a modified liability regime for climate-related financial disclosures. </w:t>
      </w:r>
      <w:r>
        <w:t>It is expected that ASIC will issue updated regulatory guidance to assist entities captured by these reforms.</w:t>
      </w:r>
    </w:p>
    <w:p w14:paraId="157AE1C0" w14:textId="0A47122B" w:rsidR="00467FA4" w:rsidRDefault="00467FA4" w:rsidP="00467FA4">
      <w:r>
        <w:t>Responsibility for setting the Australian</w:t>
      </w:r>
      <w:r w:rsidR="00547058">
        <w:t>-</w:t>
      </w:r>
      <w:r>
        <w:t>specific sustainability standard lies with the AASB and for setting the Australian specific auditing standard with the AUASB. Treasury will collaborate with both agencies to ensure the Australian Sustainability Standards capture in detail all requirements entities that will be subject to mandatory climate reporting. Further, we expect ASIC to play a crucial role in the enforcement of this policy. Ongoing responsibility for the operation and management of this policy will be jointly held by Treasu</w:t>
      </w:r>
      <w:r w:rsidR="00B8114B">
        <w:t>r</w:t>
      </w:r>
      <w:r>
        <w:t>y, ASIC and AASB/AUASB.</w:t>
      </w:r>
    </w:p>
    <w:p w14:paraId="26333301" w14:textId="7534C864" w:rsidR="00467FA4" w:rsidRDefault="00467FA4" w:rsidP="00467FA4">
      <w:r>
        <w:t xml:space="preserve">Subject to legislation being enacted by the Parliament </w:t>
      </w:r>
      <w:r w:rsidR="00547058">
        <w:t>and receiving Royal Assent</w:t>
      </w:r>
      <w:r>
        <w:t xml:space="preserve"> by end of June 2024, we anticipate mandatory climate-related financial disclosures to come into force for financial year</w:t>
      </w:r>
      <w:r w:rsidR="00547058">
        <w:t>s</w:t>
      </w:r>
      <w:r>
        <w:t xml:space="preserve"> commencing on or after 1 July 2024. </w:t>
      </w:r>
    </w:p>
    <w:p w14:paraId="1538864E" w14:textId="77777777" w:rsidR="00467FA4" w:rsidRDefault="00467FA4" w:rsidP="00467FA4">
      <w:pPr>
        <w:pStyle w:val="Heading4"/>
      </w:pPr>
      <w:r>
        <w:t>Risks to implementation</w:t>
      </w:r>
    </w:p>
    <w:p w14:paraId="3485291E" w14:textId="77777777" w:rsidR="00467FA4" w:rsidRDefault="00467FA4" w:rsidP="00467FA4">
      <w:r>
        <w:t xml:space="preserve">Some implementation challenges and actions planned to alleviate these are discussed below: </w:t>
      </w:r>
    </w:p>
    <w:p w14:paraId="73872203" w14:textId="3B3FE983" w:rsidR="00467FA4" w:rsidRDefault="00467FA4" w:rsidP="0092357C">
      <w:pPr>
        <w:pStyle w:val="Bullet"/>
      </w:pPr>
      <w:r w:rsidRPr="00264BAB">
        <w:rPr>
          <w:b/>
        </w:rPr>
        <w:t>Poor compliance</w:t>
      </w:r>
      <w:r w:rsidRPr="00B33F52">
        <w:t>: If entities consider the regulatory regime to be imposing too heavy a burden on their resources, it could lead to non-compliance and/or poor-quality disclosure. Similarly, if entities do not consider this information to be valuable to their investors, the effort put into disclosing could be low. This would result in the regime being treated the same as status quo, where although there is already a legal obligation to disclosing climate risks if material, compliance is low and seen as voluntary.</w:t>
      </w:r>
    </w:p>
    <w:p w14:paraId="2230BD2F" w14:textId="77777777" w:rsidR="00467FA4" w:rsidRPr="00B33F52" w:rsidRDefault="00467FA4" w:rsidP="009C5E61">
      <w:pPr>
        <w:pStyle w:val="Dash"/>
      </w:pPr>
      <w:r>
        <w:t xml:space="preserve">To support implementation, the AASB, ASIC and APRA will undertake stakeholder engagement to improve understanding and educate businesses on their obligations. The phased-in approach will also assist implementation, with smaller entities having time to develop capability and understanding. Further, this risk will also be mitigated somewhat by market forces that will bear on those entities who do poor quality disclosures or who do not disclose given increased focus within international capital markets on sustainability reporting. </w:t>
      </w:r>
    </w:p>
    <w:p w14:paraId="42D683B9" w14:textId="131FBC50" w:rsidR="00467FA4" w:rsidRPr="00B33F52" w:rsidRDefault="00467FA4" w:rsidP="0092357C">
      <w:pPr>
        <w:pStyle w:val="Bullet"/>
        <w:rPr>
          <w:bCs/>
        </w:rPr>
      </w:pPr>
      <w:r w:rsidRPr="00264BAB">
        <w:rPr>
          <w:b/>
        </w:rPr>
        <w:t>Limited professional capability</w:t>
      </w:r>
      <w:r w:rsidRPr="00B33F52">
        <w:t xml:space="preserve">: </w:t>
      </w:r>
      <w:r>
        <w:rPr>
          <w:rStyle w:val="ui-provider"/>
        </w:rPr>
        <w:t>Capability and capacity in the professional services industry for sustainability reporting is limited. This type of reporting is a relatively new practice, and these reforms would place additional demands on the industry, for example in assuring various disclosure requirements (</w:t>
      </w:r>
      <w:proofErr w:type="gramStart"/>
      <w:r>
        <w:rPr>
          <w:rStyle w:val="ui-provider"/>
        </w:rPr>
        <w:t>i.e.</w:t>
      </w:r>
      <w:proofErr w:type="gramEnd"/>
      <w:r>
        <w:rPr>
          <w:rStyle w:val="ui-provider"/>
        </w:rPr>
        <w:t xml:space="preserve"> scope 3 emissions). The Government will monitor whether the professional services industry is sufficiently upskilling and developing in order to implement these reforms.</w:t>
      </w:r>
    </w:p>
    <w:p w14:paraId="3A882D45" w14:textId="77777777" w:rsidR="00467FA4" w:rsidRDefault="00467FA4" w:rsidP="0092357C">
      <w:pPr>
        <w:pStyle w:val="Bullet"/>
      </w:pPr>
      <w:r w:rsidRPr="009C5E61">
        <w:rPr>
          <w:b/>
          <w:bCs/>
        </w:rPr>
        <w:t>Limited understanding of various elements of climate reporting</w:t>
      </w:r>
      <w:r w:rsidRPr="00B33F52">
        <w:t xml:space="preserve">: </w:t>
      </w:r>
      <w:r w:rsidRPr="004916DF">
        <w:t xml:space="preserve">As noted above, sustainability reporting is relatively new, and most Australian businesses will need to invest resources in understanding the various elements of climate reporting and developing systems to collect and analyse data to make effective disclosures. </w:t>
      </w:r>
      <w:r>
        <w:t xml:space="preserve">Related to this is also the lack of available data that would make it easier for companies to make these disclosures. </w:t>
      </w:r>
    </w:p>
    <w:p w14:paraId="153D7A79" w14:textId="77777777" w:rsidR="00467FA4" w:rsidRPr="00B33F52" w:rsidRDefault="00467FA4" w:rsidP="009C5E61">
      <w:pPr>
        <w:pStyle w:val="Dash"/>
      </w:pPr>
      <w:r w:rsidRPr="004916DF">
        <w:t>T</w:t>
      </w:r>
      <w:r>
        <w:t>o mitigate this risk, t</w:t>
      </w:r>
      <w:r w:rsidRPr="004916DF">
        <w:t>he</w:t>
      </w:r>
      <w:r w:rsidRPr="00B33F52">
        <w:t xml:space="preserve"> Government is resourcing AASB, ASIC as well as APRA to assist Australian businesses understand their obligations and work closely with them to develop the necessary guidance. The AASB, ASIC and APRA intend to undertake an extensive program of targeted education and communication to raise awareness and develop a resource base for stakeholders. </w:t>
      </w:r>
      <w:r>
        <w:t>The Government, through its sustainable finance strategy, is also considering how it can support businesses by exploring viable solutions to data challenge.</w:t>
      </w:r>
    </w:p>
    <w:p w14:paraId="72903597" w14:textId="442E1568" w:rsidR="00467FA4" w:rsidRPr="00B33F52" w:rsidRDefault="00467FA4" w:rsidP="0092357C">
      <w:pPr>
        <w:pStyle w:val="Bullet"/>
      </w:pPr>
      <w:r w:rsidRPr="00DF5AB4">
        <w:rPr>
          <w:b/>
          <w:bCs/>
        </w:rPr>
        <w:t>Timeframes</w:t>
      </w:r>
      <w:r w:rsidRPr="00B33F52">
        <w:t xml:space="preserve">: A number of stakeholders have expressed their concern regarding the implementation timeframes associated with this reform. Stakeholders contend that </w:t>
      </w:r>
      <w:r w:rsidR="00116EA1">
        <w:t xml:space="preserve">if </w:t>
      </w:r>
      <w:r w:rsidRPr="00B33F52">
        <w:t xml:space="preserve">there is insufficient time between when the AASB releases the final standard and companies have to have processes and systems in place to analyse their climate risks and opportunities. </w:t>
      </w:r>
    </w:p>
    <w:p w14:paraId="2164E68E" w14:textId="77777777" w:rsidR="00467FA4" w:rsidRPr="00B33F52" w:rsidRDefault="00467FA4" w:rsidP="00DF5AB4">
      <w:pPr>
        <w:pStyle w:val="Dash"/>
      </w:pPr>
      <w:r w:rsidRPr="00B33F52">
        <w:t>Treasury is sensitive to these concerns</w:t>
      </w:r>
      <w:r>
        <w:t>. I</w:t>
      </w:r>
      <w:r w:rsidRPr="00B33F52">
        <w:t xml:space="preserve">n our view, given many </w:t>
      </w:r>
      <w:proofErr w:type="gramStart"/>
      <w:r w:rsidRPr="00B33F52">
        <w:t>Group</w:t>
      </w:r>
      <w:proofErr w:type="gramEnd"/>
      <w:r w:rsidRPr="00B33F52">
        <w:t xml:space="preserve"> 1 entities already report their climate risks and opportunities against an international framework</w:t>
      </w:r>
      <w:r>
        <w:t>, this is unlikely to need large scale changes to their systems</w:t>
      </w:r>
      <w:r w:rsidRPr="00B33F52">
        <w:t>. Further, the Australian specific standards will be closely aligned to ISSB standards</w:t>
      </w:r>
      <w:r>
        <w:t xml:space="preserve"> so it could be argued that Australian businesses will have at least a preliminary understanding of their reporting obligations</w:t>
      </w:r>
      <w:r w:rsidRPr="00B33F52">
        <w:t xml:space="preserve">. </w:t>
      </w:r>
    </w:p>
    <w:p w14:paraId="36EDA370" w14:textId="77777777" w:rsidR="00467FA4" w:rsidRPr="009E2B1A" w:rsidRDefault="00467FA4" w:rsidP="00467FA4">
      <w:pPr>
        <w:pStyle w:val="Heading4"/>
        <w:rPr>
          <w:b/>
          <w:bCs/>
          <w:i/>
          <w:iCs/>
        </w:rPr>
      </w:pPr>
      <w:r>
        <w:t xml:space="preserve">Evaluation </w:t>
      </w:r>
    </w:p>
    <w:p w14:paraId="55A3CEF6" w14:textId="77777777" w:rsidR="00467FA4" w:rsidRDefault="00467FA4" w:rsidP="00467FA4">
      <w:r>
        <w:t xml:space="preserve">The objective of this policy reform is to reduce information asymmetries between investors and Australian firms, improving the depth and breadth of decision-useful information on climate-related risks and opportunities to enable better and more efficient capital allocation. Evaluating success of this policy is therefore hard to truly measure. </w:t>
      </w:r>
    </w:p>
    <w:p w14:paraId="6FC3FB22" w14:textId="1C44D590" w:rsidR="00554120" w:rsidRDefault="00B543D6" w:rsidP="0089250A">
      <w:r>
        <w:t xml:space="preserve">One of the main ways of evaluating the success of these reforms is through ASIC’s ongoing supervision of </w:t>
      </w:r>
      <w:r w:rsidR="0089250A">
        <w:t xml:space="preserve">quality of climate-related financial disclosures. ASIC has responsibility for the supervision, investigation and enforcement of the financial reporting and auditing requirements of the Corporations Act. As part of this function, ASIC reviews the annual and interim financial reports of a selection of listed companies and other significant entities to monitor compliance with the Corporations Act and Australian Accounting Standards. </w:t>
      </w:r>
      <w:r w:rsidR="00554120">
        <w:t>For example, ASIC conducted a review of 60 ASX 300 listed companies, 25 Initial Public Offering (IPO) prospectuses and across 15,000 reports in 2018</w:t>
      </w:r>
      <w:r w:rsidR="00841EC9">
        <w:t xml:space="preserve"> to assess their quality of climate-related financial disclosures. </w:t>
      </w:r>
    </w:p>
    <w:p w14:paraId="5869F040" w14:textId="77777777" w:rsidR="00554120" w:rsidRDefault="009A34CD" w:rsidP="0089250A">
      <w:r>
        <w:t xml:space="preserve">Given climate-related financial disclosures will be mandated in the Corporations Act, the Government </w:t>
      </w:r>
      <w:r w:rsidR="00554120">
        <w:t>will provide</w:t>
      </w:r>
      <w:r>
        <w:t xml:space="preserve"> ASIC </w:t>
      </w:r>
      <w:r w:rsidR="00554120">
        <w:t xml:space="preserve">with additional resources </w:t>
      </w:r>
      <w:r>
        <w:t>to</w:t>
      </w:r>
      <w:r w:rsidR="00554120">
        <w:t>:</w:t>
      </w:r>
    </w:p>
    <w:p w14:paraId="209607A6" w14:textId="4BBD3BD2" w:rsidR="00554120" w:rsidRDefault="00554120" w:rsidP="0092357C">
      <w:pPr>
        <w:pStyle w:val="Bullet"/>
      </w:pPr>
      <w:r>
        <w:t>R</w:t>
      </w:r>
      <w:r w:rsidR="00B1231C">
        <w:t>eview and publicly report on the observed standard of climate disclosures to be made under Chapter 2M of the Corporations Act and the quality of assurance work</w:t>
      </w:r>
      <w:r>
        <w:t>.</w:t>
      </w:r>
    </w:p>
    <w:p w14:paraId="5D0974D7" w14:textId="240BE8CB" w:rsidR="00554120" w:rsidRDefault="00554120" w:rsidP="0092357C">
      <w:pPr>
        <w:pStyle w:val="Bullet"/>
      </w:pPr>
      <w:r>
        <w:t>Review market announcements made by listed entities and assess the market impact of key announcements.</w:t>
      </w:r>
    </w:p>
    <w:p w14:paraId="12865CEE" w14:textId="2221E7B7" w:rsidR="00554120" w:rsidRDefault="00554120" w:rsidP="0092357C">
      <w:pPr>
        <w:pStyle w:val="Bullet"/>
      </w:pPr>
      <w:r>
        <w:t>Review selected corporate finance transactions for appropriate disclosures t</w:t>
      </w:r>
      <w:r w:rsidR="00C322F0">
        <w:t>hat would have</w:t>
      </w:r>
      <w:r>
        <w:t xml:space="preserve"> inform</w:t>
      </w:r>
      <w:r w:rsidR="00C322F0">
        <w:t>ed</w:t>
      </w:r>
      <w:r>
        <w:t xml:space="preserve"> investor decision making. </w:t>
      </w:r>
    </w:p>
    <w:p w14:paraId="04E879B7" w14:textId="3C479805" w:rsidR="00510436" w:rsidRDefault="00321672" w:rsidP="00467FA4">
      <w:r>
        <w:t xml:space="preserve">ASIC will also be provided resources to </w:t>
      </w:r>
      <w:r w:rsidR="00E520F3">
        <w:t xml:space="preserve">update </w:t>
      </w:r>
      <w:r w:rsidR="00001301">
        <w:t xml:space="preserve">their external-facing forms </w:t>
      </w:r>
      <w:r w:rsidR="0089250A">
        <w:t>to</w:t>
      </w:r>
      <w:r w:rsidR="00001301">
        <w:t xml:space="preserve"> collect </w:t>
      </w:r>
      <w:r w:rsidR="0089250A">
        <w:t xml:space="preserve">relevant </w:t>
      </w:r>
      <w:r w:rsidR="00001301">
        <w:t>data related to climate-related financial disclosures</w:t>
      </w:r>
      <w:r>
        <w:t xml:space="preserve">. </w:t>
      </w:r>
    </w:p>
    <w:p w14:paraId="084793F4" w14:textId="37D0FE02" w:rsidR="00467FA4" w:rsidRDefault="00510436" w:rsidP="00467FA4">
      <w:r>
        <w:t>Given the ongoing interest in the</w:t>
      </w:r>
      <w:r w:rsidR="003257EF">
        <w:t>se reforms from the</w:t>
      </w:r>
      <w:r>
        <w:t xml:space="preserve"> investor community</w:t>
      </w:r>
      <w:r w:rsidR="00CF3C59">
        <w:t>, t</w:t>
      </w:r>
      <w:r w:rsidR="00467FA4">
        <w:t>hird-party reviews could also assist in canvassing the compliance and quality of disclosures. For example, the Australian Council of Superannuation Investors (ACSI)</w:t>
      </w:r>
      <w:r w:rsidR="002E3604">
        <w:t xml:space="preserve"> has</w:t>
      </w:r>
      <w:r w:rsidR="00467FA4">
        <w:t xml:space="preserve"> published research in </w:t>
      </w:r>
      <w:r w:rsidR="002E3604">
        <w:t>2022 and 2023</w:t>
      </w:r>
      <w:r w:rsidR="00467FA4">
        <w:t xml:space="preserve"> that provided an overview of the state of climate-related disclosures in ASX200 entities.</w:t>
      </w:r>
      <w:r w:rsidR="002E3604">
        <w:t xml:space="preserve"> </w:t>
      </w:r>
    </w:p>
    <w:p w14:paraId="518EC6A5" w14:textId="77777777" w:rsidR="00467FA4" w:rsidRDefault="00467FA4" w:rsidP="001E6D79">
      <w:pPr>
        <w:pStyle w:val="Heading4"/>
      </w:pPr>
      <w:r w:rsidRPr="00A16416">
        <w:t>Review</w:t>
      </w:r>
    </w:p>
    <w:p w14:paraId="6D6797E2" w14:textId="4C1EB49B" w:rsidR="00467FA4" w:rsidRDefault="00467FA4" w:rsidP="00467FA4">
      <w:r>
        <w:t xml:space="preserve">A number of stakeholders emphasised the need for a Review of the regime. Treasury considers a legislative obligation to review the regime to be appropriate. </w:t>
      </w:r>
      <w:r w:rsidR="0033781C">
        <w:t>Treasury proposes a review to</w:t>
      </w:r>
      <w:r>
        <w:t xml:space="preserve"> be done by </w:t>
      </w:r>
      <w:r w:rsidR="00D0644B">
        <w:t xml:space="preserve">Treasury </w:t>
      </w:r>
      <w:r w:rsidR="00A05690">
        <w:t>in 202</w:t>
      </w:r>
      <w:r w:rsidR="00C935C0">
        <w:t>8</w:t>
      </w:r>
      <w:r w:rsidR="00A05690">
        <w:t>-2</w:t>
      </w:r>
      <w:r w:rsidR="00C935C0">
        <w:t>9</w:t>
      </w:r>
      <w:r w:rsidR="00D0644B">
        <w:t xml:space="preserve"> with input from </w:t>
      </w:r>
      <w:r>
        <w:t xml:space="preserve">the Council of Financial Regulators (CFR) Working Group on Climate given the responsibilities of ongoing maintenance and enforcement lies across Treasury, AASB and ASIC. </w:t>
      </w:r>
    </w:p>
    <w:p w14:paraId="710C7667" w14:textId="5CFD3580" w:rsidR="001E6D79" w:rsidRDefault="00DC5AD4" w:rsidP="00467FA4">
      <w:r>
        <w:t>While the terms of reference of the</w:t>
      </w:r>
      <w:r w:rsidR="00467FA4">
        <w:t xml:space="preserve"> review </w:t>
      </w:r>
      <w:r>
        <w:t>will be settled closer to the date, we envision t</w:t>
      </w:r>
      <w:r w:rsidR="00467FA4">
        <w:t xml:space="preserve">his review </w:t>
      </w:r>
      <w:r>
        <w:t>to</w:t>
      </w:r>
      <w:r w:rsidR="00467FA4">
        <w:t xml:space="preserve"> be broad</w:t>
      </w:r>
      <w:r>
        <w:t>.</w:t>
      </w:r>
      <w:r w:rsidR="00467FA4">
        <w:t xml:space="preserve"> </w:t>
      </w:r>
      <w:r w:rsidR="00F73747" w:rsidRPr="00F05348">
        <w:t>The proposed review process will start after full coverage is achieved in 2029</w:t>
      </w:r>
      <w:r w:rsidR="00F73747" w:rsidRPr="006641A5">
        <w:t xml:space="preserve">. While the parameters for the review have not been settled, Treasury considers </w:t>
      </w:r>
      <w:r w:rsidR="00E36BFE">
        <w:t xml:space="preserve">there are a number of </w:t>
      </w:r>
      <w:r w:rsidR="00F73747" w:rsidRPr="006641A5">
        <w:t xml:space="preserve">fundamental metrics </w:t>
      </w:r>
      <w:r w:rsidR="00E36BFE">
        <w:t>that will enable the Government to</w:t>
      </w:r>
      <w:r w:rsidR="00F73747" w:rsidRPr="006641A5">
        <w:t xml:space="preserve"> measure the success of </w:t>
      </w:r>
      <w:r w:rsidR="00E36BFE">
        <w:t>these reforms</w:t>
      </w:r>
      <w:r w:rsidR="00F73747" w:rsidRPr="006641A5">
        <w:t xml:space="preserve">. These metrics will </w:t>
      </w:r>
      <w:r w:rsidR="00E36BFE">
        <w:t xml:space="preserve">likely </w:t>
      </w:r>
      <w:r w:rsidR="00F73747" w:rsidRPr="006641A5">
        <w:t xml:space="preserve">relate to the coverage of the disclosures, including the number of companies disclosing, the investor level of satisfaction with </w:t>
      </w:r>
      <w:r w:rsidR="00E36BFE">
        <w:t xml:space="preserve">the quality of </w:t>
      </w:r>
      <w:r w:rsidR="00F73747" w:rsidRPr="006641A5">
        <w:t>climate disclosures (through consultation</w:t>
      </w:r>
      <w:r w:rsidR="004C2925">
        <w:t>, surveys</w:t>
      </w:r>
      <w:r w:rsidR="00F73747" w:rsidRPr="006641A5">
        <w:t xml:space="preserve"> </w:t>
      </w:r>
      <w:r w:rsidR="005B707B">
        <w:t>and/</w:t>
      </w:r>
      <w:r w:rsidR="00F73747" w:rsidRPr="006641A5">
        <w:t xml:space="preserve">or </w:t>
      </w:r>
      <w:r w:rsidR="004C2925">
        <w:t>bilateral meetings</w:t>
      </w:r>
      <w:r w:rsidR="00F73747" w:rsidRPr="006641A5">
        <w:t>)</w:t>
      </w:r>
      <w:r w:rsidR="00F73747" w:rsidRPr="00A61B8E">
        <w:t xml:space="preserve">. </w:t>
      </w:r>
    </w:p>
    <w:p w14:paraId="6A96C964" w14:textId="48F16DC2" w:rsidR="00F73747" w:rsidRDefault="00F73747" w:rsidP="00467FA4">
      <w:r w:rsidRPr="00A61B8E">
        <w:t xml:space="preserve">The review </w:t>
      </w:r>
      <w:r w:rsidR="00F8548E">
        <w:t>would also</w:t>
      </w:r>
      <w:r w:rsidRPr="00A61B8E">
        <w:t xml:space="preserve"> examine the capability in the </w:t>
      </w:r>
      <w:r w:rsidR="00F8548E">
        <w:t xml:space="preserve">assurance </w:t>
      </w:r>
      <w:r w:rsidRPr="00A61B8E">
        <w:t xml:space="preserve">market, given stakeholder feedback suggested this was an area that may be difficult to implement. </w:t>
      </w:r>
      <w:r w:rsidR="00524FB2">
        <w:t>The review could also conduct a</w:t>
      </w:r>
      <w:r w:rsidRPr="00A61B8E">
        <w:t xml:space="preserve"> deeper analysis of the </w:t>
      </w:r>
      <w:r w:rsidR="00F8548E">
        <w:t xml:space="preserve">available </w:t>
      </w:r>
      <w:r w:rsidRPr="00A61B8E">
        <w:t xml:space="preserve">skills (assurance, scenario analysis, scope 3 modelling) </w:t>
      </w:r>
      <w:r w:rsidR="00524FB2">
        <w:t xml:space="preserve">through consultation and surveys. Such analysis </w:t>
      </w:r>
      <w:r w:rsidRPr="00A61B8E">
        <w:t xml:space="preserve">could </w:t>
      </w:r>
      <w:r w:rsidR="00CF5A48">
        <w:t xml:space="preserve">also </w:t>
      </w:r>
      <w:r w:rsidRPr="00A61B8E">
        <w:t xml:space="preserve">reveal unintended consequences, particularly on ‘smaller’ businesses as these businesses have fewer resources but are still part of the value chain. The review </w:t>
      </w:r>
      <w:r w:rsidR="00CF5A48">
        <w:t>c</w:t>
      </w:r>
      <w:r w:rsidR="00F8548E">
        <w:t>ould</w:t>
      </w:r>
      <w:r w:rsidRPr="00A61B8E">
        <w:t xml:space="preserve"> also consider how effective these disclosures have been for regulators. This could include monitoring greenwashing cases and </w:t>
      </w:r>
      <w:r w:rsidR="00A1463E">
        <w:t xml:space="preserve">through ongoing regulator supervisory, enforcement and </w:t>
      </w:r>
      <w:r w:rsidRPr="00A61B8E">
        <w:t xml:space="preserve">compliance activities. </w:t>
      </w:r>
    </w:p>
    <w:p w14:paraId="6A2D8160" w14:textId="77777777" w:rsidR="002235C4" w:rsidRDefault="002235C4" w:rsidP="001E6D79">
      <w:r>
        <w:br w:type="page"/>
      </w:r>
    </w:p>
    <w:p w14:paraId="5CF9A770" w14:textId="77777777" w:rsidR="008A5ADF" w:rsidRDefault="008A5ADF" w:rsidP="008A5ADF">
      <w:pPr>
        <w:pStyle w:val="Heading1"/>
      </w:pPr>
      <w:bookmarkStart w:id="50" w:name="_Toc144742126"/>
      <w:r>
        <w:t>Appendix A</w:t>
      </w:r>
      <w:bookmarkEnd w:id="50"/>
    </w:p>
    <w:p w14:paraId="6C5DE660" w14:textId="0A5AC9F3" w:rsidR="00F630EE" w:rsidRPr="00420D13" w:rsidRDefault="00780081" w:rsidP="00F630EE">
      <w:pPr>
        <w:pStyle w:val="Heading2"/>
      </w:pPr>
      <w:bookmarkStart w:id="51" w:name="_Toc144742127"/>
      <w:r>
        <w:t>Estimated costs in other jurisdictions</w:t>
      </w:r>
      <w:bookmarkEnd w:id="51"/>
    </w:p>
    <w:p w14:paraId="695BD547" w14:textId="77777777" w:rsidR="00F630EE" w:rsidRDefault="00F630EE" w:rsidP="00F630EE">
      <w:pPr>
        <w:pStyle w:val="BodyText"/>
        <w:rPr>
          <w:rFonts w:ascii="Calibri Light" w:eastAsia="Times New Roman" w:hAnsi="Calibri Light" w:cs="Times New Roman"/>
          <w:color w:val="auto"/>
          <w:szCs w:val="20"/>
          <w:lang w:eastAsia="en-AU"/>
        </w:rPr>
      </w:pPr>
      <w:r w:rsidRPr="0030627C">
        <w:rPr>
          <w:rFonts w:ascii="Calibri Light" w:eastAsia="Times New Roman" w:hAnsi="Calibri Light" w:cs="Times New Roman"/>
          <w:color w:val="auto"/>
          <w:szCs w:val="20"/>
          <w:lang w:eastAsia="en-AU"/>
        </w:rPr>
        <w:t xml:space="preserve">Several jurisdictions have estimated a range of costs for the preparation of climate disclosures and the subsequent analysis of these disclosures by users of general-purpose financial reports. </w:t>
      </w:r>
      <w:r>
        <w:rPr>
          <w:rFonts w:ascii="Calibri Light" w:eastAsia="Times New Roman" w:hAnsi="Calibri Light" w:cs="Times New Roman"/>
          <w:color w:val="auto"/>
          <w:szCs w:val="20"/>
          <w:lang w:eastAsia="en-AU"/>
        </w:rPr>
        <w:t xml:space="preserve">The section below discusses costs approximated by various jurisdictions to reporters and investors. </w:t>
      </w:r>
    </w:p>
    <w:p w14:paraId="0311EDEC" w14:textId="77777777" w:rsidR="00F630EE" w:rsidRDefault="00F630EE" w:rsidP="00F630EE">
      <w:pPr>
        <w:pStyle w:val="Heading4"/>
      </w:pPr>
      <w:r>
        <w:t>United States</w:t>
      </w:r>
    </w:p>
    <w:p w14:paraId="61E12424" w14:textId="77777777" w:rsidR="00F630EE" w:rsidRDefault="00F630EE" w:rsidP="00F630EE">
      <w:pPr>
        <w:pStyle w:val="BodyText"/>
        <w:rPr>
          <w:rFonts w:ascii="Calibri Light" w:eastAsia="Times New Roman" w:hAnsi="Calibri Light" w:cs="Times New Roman"/>
          <w:color w:val="auto"/>
          <w:szCs w:val="20"/>
          <w:lang w:eastAsia="en-AU"/>
        </w:rPr>
      </w:pPr>
      <w:r w:rsidRPr="442A2D2B">
        <w:rPr>
          <w:rFonts w:ascii="Calibri Light" w:eastAsia="Times New Roman" w:hAnsi="Calibri Light" w:cs="Times New Roman"/>
          <w:color w:val="auto"/>
          <w:lang w:eastAsia="en-AU"/>
        </w:rPr>
        <w:t>As part of the US SEC’s climate disclosure rules, the SEC estimated the cost for Smaller Reporting Companies (SRC) and non-SRC registrants</w:t>
      </w:r>
      <w:r w:rsidRPr="442A2D2B">
        <w:rPr>
          <w:rFonts w:ascii="Calibri Light" w:eastAsia="Times New Roman" w:hAnsi="Calibri Light" w:cs="Times New Roman"/>
          <w:color w:val="auto"/>
          <w:vertAlign w:val="superscript"/>
          <w:lang w:eastAsia="en-AU"/>
        </w:rPr>
        <w:footnoteReference w:id="48"/>
      </w:r>
      <w:r w:rsidRPr="442A2D2B">
        <w:rPr>
          <w:rFonts w:ascii="Calibri Light" w:eastAsia="Times New Roman" w:hAnsi="Calibri Light" w:cs="Times New Roman"/>
          <w:color w:val="auto"/>
          <w:lang w:eastAsia="en-AU"/>
        </w:rPr>
        <w:t>.</w:t>
      </w:r>
    </w:p>
    <w:p w14:paraId="153455C5" w14:textId="15EC13C4" w:rsidR="00F630EE" w:rsidRPr="00A93B8D" w:rsidRDefault="00F630EE" w:rsidP="00F630EE">
      <w:pPr>
        <w:pStyle w:val="BodyText"/>
        <w:rPr>
          <w:rFonts w:ascii="Calibri Light" w:eastAsia="Times New Roman" w:hAnsi="Calibri Light" w:cs="Times New Roman"/>
          <w:b/>
          <w:bCs/>
          <w:color w:val="auto"/>
          <w:szCs w:val="20"/>
          <w:lang w:eastAsia="en-AU"/>
        </w:rPr>
      </w:pPr>
      <w:r w:rsidRPr="00A93B8D">
        <w:rPr>
          <w:rFonts w:ascii="Calibri Light" w:eastAsia="Times New Roman" w:hAnsi="Calibri Light" w:cs="Times New Roman"/>
          <w:b/>
          <w:bCs/>
          <w:color w:val="auto"/>
          <w:szCs w:val="20"/>
          <w:lang w:eastAsia="en-AU"/>
        </w:rPr>
        <w:t xml:space="preserve">Table </w:t>
      </w:r>
      <w:r w:rsidR="00C53A30">
        <w:rPr>
          <w:rFonts w:ascii="Calibri Light" w:eastAsia="Times New Roman" w:hAnsi="Calibri Light" w:cs="Times New Roman"/>
          <w:b/>
          <w:bCs/>
          <w:color w:val="auto"/>
          <w:szCs w:val="20"/>
          <w:lang w:eastAsia="en-AU"/>
        </w:rPr>
        <w:t>1</w:t>
      </w:r>
      <w:r w:rsidRPr="00A93B8D">
        <w:rPr>
          <w:rFonts w:ascii="Calibri Light" w:eastAsia="Times New Roman" w:hAnsi="Calibri Light" w:cs="Times New Roman"/>
          <w:b/>
          <w:bCs/>
          <w:color w:val="auto"/>
          <w:szCs w:val="20"/>
          <w:lang w:eastAsia="en-AU"/>
        </w:rPr>
        <w:t>: SEC estimated costs for SRC and non-SRC registrants</w:t>
      </w:r>
      <w:r>
        <w:rPr>
          <w:rFonts w:ascii="Calibri Light" w:eastAsia="Times New Roman" w:hAnsi="Calibri Light" w:cs="Times New Roman"/>
          <w:b/>
          <w:bCs/>
          <w:color w:val="auto"/>
          <w:szCs w:val="20"/>
          <w:lang w:eastAsia="en-AU"/>
        </w:rPr>
        <w:t xml:space="preserve"> ($USD)</w:t>
      </w:r>
    </w:p>
    <w:tbl>
      <w:tblPr>
        <w:tblStyle w:val="GridTable4-Accent1"/>
        <w:tblW w:w="0" w:type="auto"/>
        <w:tblLook w:val="04A0" w:firstRow="1" w:lastRow="0" w:firstColumn="1" w:lastColumn="0" w:noHBand="0" w:noVBand="1"/>
      </w:tblPr>
      <w:tblGrid>
        <w:gridCol w:w="3023"/>
        <w:gridCol w:w="2080"/>
        <w:gridCol w:w="3024"/>
      </w:tblGrid>
      <w:tr w:rsidR="00F630EE" w14:paraId="48ACB3E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dxa"/>
          </w:tcPr>
          <w:p w14:paraId="13CB2522" w14:textId="77777777" w:rsidR="00F630EE" w:rsidRPr="00B51BBC" w:rsidRDefault="00F630EE">
            <w:pPr>
              <w:pStyle w:val="BodyText"/>
              <w:spacing w:after="0"/>
              <w:rPr>
                <w:rFonts w:ascii="Calibri Light" w:eastAsia="Times New Roman" w:hAnsi="Calibri Light" w:cs="Calibri Light"/>
                <w:color w:val="auto"/>
                <w:sz w:val="22"/>
                <w:lang w:eastAsia="en-AU"/>
              </w:rPr>
            </w:pPr>
          </w:p>
        </w:tc>
        <w:tc>
          <w:tcPr>
            <w:tcW w:w="2080" w:type="dxa"/>
          </w:tcPr>
          <w:p w14:paraId="735C5686" w14:textId="77777777" w:rsidR="00F630EE" w:rsidRPr="00B51BBC" w:rsidRDefault="00F630EE">
            <w:pPr>
              <w:pStyle w:val="BodyText"/>
              <w:spacing w:after="0"/>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 xml:space="preserve">Non SRC registrants </w:t>
            </w:r>
          </w:p>
        </w:tc>
        <w:tc>
          <w:tcPr>
            <w:tcW w:w="3024" w:type="dxa"/>
          </w:tcPr>
          <w:p w14:paraId="38705654" w14:textId="77777777" w:rsidR="00F630EE" w:rsidRPr="00B51BBC" w:rsidRDefault="00F630EE">
            <w:pPr>
              <w:pStyle w:val="BodyText"/>
              <w:spacing w:after="0"/>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SRC registrants</w:t>
            </w:r>
          </w:p>
        </w:tc>
      </w:tr>
      <w:tr w:rsidR="00F630EE" w14:paraId="5AD385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dxa"/>
          </w:tcPr>
          <w:p w14:paraId="247E612A" w14:textId="77777777" w:rsidR="00F630EE" w:rsidRPr="00B51BBC" w:rsidRDefault="00F630EE">
            <w:pPr>
              <w:pStyle w:val="BodyText"/>
              <w:spacing w:after="0"/>
              <w:jc w:val="right"/>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 xml:space="preserve">First year of compliance costs </w:t>
            </w:r>
          </w:p>
        </w:tc>
        <w:tc>
          <w:tcPr>
            <w:tcW w:w="2080" w:type="dxa"/>
          </w:tcPr>
          <w:p w14:paraId="1F623D3C" w14:textId="77777777" w:rsidR="00F630EE" w:rsidRPr="00B51BBC" w:rsidRDefault="00F630EE">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hAnsi="Calibri Light" w:cs="Calibri Light"/>
                <w:sz w:val="22"/>
              </w:rPr>
              <w:t>640,000</w:t>
            </w:r>
          </w:p>
        </w:tc>
        <w:tc>
          <w:tcPr>
            <w:tcW w:w="3024" w:type="dxa"/>
          </w:tcPr>
          <w:p w14:paraId="16D3EA63" w14:textId="77777777" w:rsidR="00F630EE" w:rsidRPr="00B51BBC" w:rsidRDefault="00F630EE">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490,000</w:t>
            </w:r>
          </w:p>
        </w:tc>
      </w:tr>
      <w:tr w:rsidR="00F630EE" w14:paraId="03418092" w14:textId="77777777">
        <w:tc>
          <w:tcPr>
            <w:cnfStyle w:val="001000000000" w:firstRow="0" w:lastRow="0" w:firstColumn="1" w:lastColumn="0" w:oddVBand="0" w:evenVBand="0" w:oddHBand="0" w:evenHBand="0" w:firstRowFirstColumn="0" w:firstRowLastColumn="0" w:lastRowFirstColumn="0" w:lastRowLastColumn="0"/>
            <w:tcW w:w="3023" w:type="dxa"/>
          </w:tcPr>
          <w:p w14:paraId="7FAD8A53" w14:textId="77777777" w:rsidR="00F630EE" w:rsidRPr="00B51BBC" w:rsidRDefault="00F630EE">
            <w:pPr>
              <w:pStyle w:val="BodyText"/>
              <w:spacing w:after="0"/>
              <w:jc w:val="right"/>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Internal costs</w:t>
            </w:r>
          </w:p>
        </w:tc>
        <w:tc>
          <w:tcPr>
            <w:tcW w:w="2080" w:type="dxa"/>
          </w:tcPr>
          <w:p w14:paraId="3FA08A90" w14:textId="77777777" w:rsidR="00F630EE" w:rsidRPr="00B51BBC" w:rsidRDefault="00F630EE">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hAnsi="Calibri Light" w:cs="Calibri Light"/>
                <w:sz w:val="22"/>
              </w:rPr>
              <w:t>180,000</w:t>
            </w:r>
          </w:p>
        </w:tc>
        <w:tc>
          <w:tcPr>
            <w:tcW w:w="3024" w:type="dxa"/>
          </w:tcPr>
          <w:p w14:paraId="0CF08C42" w14:textId="77777777" w:rsidR="00F630EE" w:rsidRPr="00B51BBC" w:rsidRDefault="00F630EE">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140,000</w:t>
            </w:r>
          </w:p>
        </w:tc>
      </w:tr>
      <w:tr w:rsidR="00F630EE" w14:paraId="321CC0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dxa"/>
          </w:tcPr>
          <w:p w14:paraId="02EE042F" w14:textId="77777777" w:rsidR="00F630EE" w:rsidRPr="00B51BBC" w:rsidRDefault="00F630EE">
            <w:pPr>
              <w:pStyle w:val="BodyText"/>
              <w:spacing w:after="0"/>
              <w:jc w:val="right"/>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Outside professional costs</w:t>
            </w:r>
          </w:p>
        </w:tc>
        <w:tc>
          <w:tcPr>
            <w:tcW w:w="2080" w:type="dxa"/>
          </w:tcPr>
          <w:p w14:paraId="002339D3" w14:textId="77777777" w:rsidR="00F630EE" w:rsidRPr="00B51BBC" w:rsidRDefault="00F630EE">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hAnsi="Calibri Light" w:cs="Calibri Light"/>
                <w:sz w:val="22"/>
              </w:rPr>
              <w:t>460,000</w:t>
            </w:r>
          </w:p>
        </w:tc>
        <w:tc>
          <w:tcPr>
            <w:tcW w:w="3024" w:type="dxa"/>
          </w:tcPr>
          <w:p w14:paraId="626E0759" w14:textId="77777777" w:rsidR="00F630EE" w:rsidRPr="00B51BBC" w:rsidRDefault="00F630EE">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350,000</w:t>
            </w:r>
          </w:p>
        </w:tc>
      </w:tr>
      <w:tr w:rsidR="00F630EE" w14:paraId="2859F2F0" w14:textId="77777777">
        <w:tc>
          <w:tcPr>
            <w:cnfStyle w:val="001000000000" w:firstRow="0" w:lastRow="0" w:firstColumn="1" w:lastColumn="0" w:oddVBand="0" w:evenVBand="0" w:oddHBand="0" w:evenHBand="0" w:firstRowFirstColumn="0" w:firstRowLastColumn="0" w:lastRowFirstColumn="0" w:lastRowLastColumn="0"/>
            <w:tcW w:w="3023" w:type="dxa"/>
          </w:tcPr>
          <w:p w14:paraId="14096832" w14:textId="77777777" w:rsidR="00F630EE" w:rsidRPr="00B51BBC" w:rsidRDefault="00F630EE">
            <w:pPr>
              <w:pStyle w:val="BodyText"/>
              <w:spacing w:after="0"/>
              <w:jc w:val="right"/>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Ongoing costs</w:t>
            </w:r>
          </w:p>
        </w:tc>
        <w:tc>
          <w:tcPr>
            <w:tcW w:w="2080" w:type="dxa"/>
          </w:tcPr>
          <w:p w14:paraId="47EEF811" w14:textId="77777777" w:rsidR="00F630EE" w:rsidRPr="00B51BBC" w:rsidRDefault="00F630EE">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hAnsi="Calibri Light" w:cs="Calibri Light"/>
                <w:sz w:val="22"/>
              </w:rPr>
              <w:t>530,000</w:t>
            </w:r>
          </w:p>
        </w:tc>
        <w:tc>
          <w:tcPr>
            <w:tcW w:w="3024" w:type="dxa"/>
          </w:tcPr>
          <w:p w14:paraId="35AF7CF7" w14:textId="77777777" w:rsidR="00F630EE" w:rsidRPr="00B51BBC" w:rsidRDefault="00F630EE">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420,000</w:t>
            </w:r>
          </w:p>
        </w:tc>
      </w:tr>
      <w:tr w:rsidR="00F630EE" w14:paraId="267EE6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dxa"/>
          </w:tcPr>
          <w:p w14:paraId="1DC9A78C" w14:textId="77777777" w:rsidR="00F630EE" w:rsidRPr="00B51BBC" w:rsidRDefault="00F630EE">
            <w:pPr>
              <w:pStyle w:val="BodyText"/>
              <w:spacing w:after="0"/>
              <w:jc w:val="right"/>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Internal costs</w:t>
            </w:r>
          </w:p>
        </w:tc>
        <w:tc>
          <w:tcPr>
            <w:tcW w:w="2080" w:type="dxa"/>
          </w:tcPr>
          <w:p w14:paraId="5C2D6ED7" w14:textId="77777777" w:rsidR="00F630EE" w:rsidRPr="00B51BBC" w:rsidRDefault="00F630EE">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hAnsi="Calibri Light" w:cs="Calibri Light"/>
                <w:sz w:val="22"/>
              </w:rPr>
              <w:t>150,000</w:t>
            </w:r>
          </w:p>
        </w:tc>
        <w:tc>
          <w:tcPr>
            <w:tcW w:w="3024" w:type="dxa"/>
          </w:tcPr>
          <w:p w14:paraId="560204CC" w14:textId="77777777" w:rsidR="00F630EE" w:rsidRPr="00B51BBC" w:rsidRDefault="00F630EE">
            <w:pPr>
              <w:pStyle w:val="BodyText"/>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120,000</w:t>
            </w:r>
          </w:p>
        </w:tc>
      </w:tr>
      <w:tr w:rsidR="00F630EE" w14:paraId="72CDCDC9" w14:textId="77777777">
        <w:tc>
          <w:tcPr>
            <w:cnfStyle w:val="001000000000" w:firstRow="0" w:lastRow="0" w:firstColumn="1" w:lastColumn="0" w:oddVBand="0" w:evenVBand="0" w:oddHBand="0" w:evenHBand="0" w:firstRowFirstColumn="0" w:firstRowLastColumn="0" w:lastRowFirstColumn="0" w:lastRowLastColumn="0"/>
            <w:tcW w:w="3023" w:type="dxa"/>
          </w:tcPr>
          <w:p w14:paraId="6D4B1479" w14:textId="77777777" w:rsidR="00F630EE" w:rsidRPr="00B51BBC" w:rsidRDefault="00F630EE">
            <w:pPr>
              <w:pStyle w:val="BodyText"/>
              <w:spacing w:after="0"/>
              <w:jc w:val="right"/>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Outside professional costs</w:t>
            </w:r>
          </w:p>
        </w:tc>
        <w:tc>
          <w:tcPr>
            <w:tcW w:w="2080" w:type="dxa"/>
          </w:tcPr>
          <w:p w14:paraId="745D4ACF" w14:textId="77777777" w:rsidR="00F630EE" w:rsidRPr="00B51BBC" w:rsidRDefault="00F630EE">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hAnsi="Calibri Light" w:cs="Calibri Light"/>
                <w:sz w:val="22"/>
              </w:rPr>
              <w:t>380,000</w:t>
            </w:r>
          </w:p>
        </w:tc>
        <w:tc>
          <w:tcPr>
            <w:tcW w:w="3024" w:type="dxa"/>
          </w:tcPr>
          <w:p w14:paraId="3A0BD3EC" w14:textId="77777777" w:rsidR="00F630EE" w:rsidRPr="00B51BBC" w:rsidRDefault="00F630EE">
            <w:pPr>
              <w:pStyle w:val="BodyText"/>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auto"/>
                <w:sz w:val="22"/>
                <w:lang w:eastAsia="en-AU"/>
              </w:rPr>
            </w:pPr>
            <w:r w:rsidRPr="00B51BBC">
              <w:rPr>
                <w:rFonts w:ascii="Calibri Light" w:eastAsia="Times New Roman" w:hAnsi="Calibri Light" w:cs="Calibri Light"/>
                <w:color w:val="auto"/>
                <w:sz w:val="22"/>
                <w:lang w:eastAsia="en-AU"/>
              </w:rPr>
              <w:t>300,000</w:t>
            </w:r>
          </w:p>
        </w:tc>
      </w:tr>
    </w:tbl>
    <w:p w14:paraId="5C5C9C0B" w14:textId="77777777" w:rsidR="00F630EE" w:rsidRPr="00371806" w:rsidRDefault="00F630EE" w:rsidP="00F630EE">
      <w:pPr>
        <w:pStyle w:val="BodyText"/>
        <w:rPr>
          <w:rFonts w:ascii="Calibri Light" w:eastAsia="Times New Roman" w:hAnsi="Calibri Light" w:cs="Times New Roman"/>
          <w:color w:val="auto"/>
          <w:sz w:val="20"/>
          <w:szCs w:val="18"/>
          <w:lang w:eastAsia="en-AU"/>
        </w:rPr>
      </w:pPr>
      <w:r w:rsidRPr="00371806">
        <w:rPr>
          <w:rFonts w:ascii="Calibri Light" w:eastAsia="Times New Roman" w:hAnsi="Calibri Light" w:cs="Times New Roman"/>
          <w:color w:val="auto"/>
          <w:sz w:val="20"/>
          <w:szCs w:val="18"/>
          <w:lang w:eastAsia="en-AU"/>
        </w:rPr>
        <w:t>Source: US SEC</w:t>
      </w:r>
    </w:p>
    <w:p w14:paraId="67DB2DEE" w14:textId="77777777" w:rsidR="00F630EE" w:rsidRPr="0030627C" w:rsidRDefault="00F630EE" w:rsidP="00F630EE">
      <w:pPr>
        <w:pStyle w:val="BodyText"/>
        <w:rPr>
          <w:rFonts w:ascii="Calibri Light" w:eastAsia="Times New Roman" w:hAnsi="Calibri Light" w:cs="Times New Roman"/>
          <w:color w:val="auto"/>
          <w:szCs w:val="20"/>
          <w:lang w:eastAsia="en-AU"/>
        </w:rPr>
      </w:pPr>
      <w:r w:rsidRPr="0030627C">
        <w:rPr>
          <w:rFonts w:ascii="Calibri Light" w:eastAsia="Times New Roman" w:hAnsi="Calibri Light" w:cs="Times New Roman"/>
          <w:color w:val="auto"/>
          <w:szCs w:val="20"/>
          <w:lang w:eastAsia="en-AU"/>
        </w:rPr>
        <w:t xml:space="preserve">Several examples are highlighted by the SEC, with costs varying depending on the type of industry that was reporting, whether they had disclosed before and which standard(s) or framework(s) they had disclosed against. One submission provided costs for seven large cape firms across six different industries, with staffing requirements ranging from two to twenty full time equivalent employees, while others estimated the employee hours required ranged from 7,500 to 10,000 hours annually. </w:t>
      </w:r>
    </w:p>
    <w:p w14:paraId="5E7DFECB" w14:textId="77777777" w:rsidR="00F630EE" w:rsidRDefault="00F630EE" w:rsidP="00F630EE">
      <w:pPr>
        <w:pStyle w:val="Heading4"/>
      </w:pPr>
      <w:r>
        <w:t>UK</w:t>
      </w:r>
    </w:p>
    <w:p w14:paraId="22A48AD7" w14:textId="77777777" w:rsidR="00F630EE" w:rsidRPr="0030627C" w:rsidRDefault="00F630EE" w:rsidP="00F630EE">
      <w:pPr>
        <w:pStyle w:val="BodyText"/>
        <w:rPr>
          <w:rFonts w:ascii="Calibri Light" w:eastAsia="Times New Roman" w:hAnsi="Calibri Light" w:cs="Times New Roman"/>
          <w:color w:val="auto"/>
          <w:szCs w:val="20"/>
          <w:lang w:eastAsia="en-AU"/>
        </w:rPr>
      </w:pPr>
      <w:r w:rsidRPr="442A2D2B">
        <w:rPr>
          <w:rFonts w:ascii="Calibri Light" w:eastAsia="Times New Roman" w:hAnsi="Calibri Light" w:cs="Times New Roman"/>
          <w:color w:val="auto"/>
          <w:lang w:eastAsia="en-AU"/>
        </w:rPr>
        <w:t xml:space="preserve">The 2021 ‘UK Impact assessment’ on the proposed implementation of TCFD based mandatory disclosure broke down the costs to </w:t>
      </w:r>
      <w:proofErr w:type="gramStart"/>
      <w:r w:rsidRPr="442A2D2B">
        <w:rPr>
          <w:rFonts w:ascii="Calibri Light" w:eastAsia="Times New Roman" w:hAnsi="Calibri Light" w:cs="Times New Roman"/>
          <w:color w:val="auto"/>
          <w:lang w:eastAsia="en-AU"/>
        </w:rPr>
        <w:t>include;</w:t>
      </w:r>
      <w:proofErr w:type="gramEnd"/>
      <w:r w:rsidRPr="442A2D2B">
        <w:rPr>
          <w:rFonts w:ascii="Calibri Light" w:eastAsia="Times New Roman" w:hAnsi="Calibri Light" w:cs="Times New Roman"/>
          <w:color w:val="auto"/>
          <w:lang w:eastAsia="en-AU"/>
        </w:rPr>
        <w:t xml:space="preserve"> familiarisation costs, legal review, costs of collecting information from subsidiaries, costs to disclose against TCFD parts (Governance, Strategy, Risk Management and Metrics &amp; Targets) and the costs for quality assurance. The total costs are estimated to be £190,500 in the first year and £138,950 in subsequent years with additional costs for subsidiaries</w:t>
      </w:r>
      <w:r w:rsidRPr="442A2D2B">
        <w:rPr>
          <w:rFonts w:ascii="Calibri Light" w:eastAsia="Times New Roman" w:hAnsi="Calibri Light" w:cs="Times New Roman"/>
          <w:color w:val="auto"/>
          <w:vertAlign w:val="superscript"/>
          <w:lang w:eastAsia="en-AU"/>
        </w:rPr>
        <w:footnoteReference w:id="49"/>
      </w:r>
      <w:r w:rsidRPr="442A2D2B">
        <w:rPr>
          <w:rFonts w:ascii="Calibri Light" w:eastAsia="Times New Roman" w:hAnsi="Calibri Light" w:cs="Times New Roman"/>
          <w:color w:val="auto"/>
          <w:lang w:eastAsia="en-AU"/>
        </w:rPr>
        <w:t xml:space="preserve">. </w:t>
      </w:r>
    </w:p>
    <w:p w14:paraId="1D6F0C76" w14:textId="77777777" w:rsidR="00F630EE" w:rsidRDefault="00F630EE" w:rsidP="00F630EE">
      <w:pPr>
        <w:pStyle w:val="Heading4"/>
      </w:pPr>
      <w:r>
        <w:t>New Zealand</w:t>
      </w:r>
    </w:p>
    <w:p w14:paraId="483DC0BE" w14:textId="77777777" w:rsidR="00F630EE" w:rsidRPr="0030627C" w:rsidRDefault="00F630EE" w:rsidP="00F630EE">
      <w:pPr>
        <w:pStyle w:val="BodyText"/>
        <w:rPr>
          <w:rFonts w:ascii="Calibri Light" w:eastAsia="Times New Roman" w:hAnsi="Calibri Light" w:cs="Times New Roman"/>
          <w:color w:val="auto"/>
          <w:szCs w:val="20"/>
          <w:lang w:eastAsia="en-AU"/>
        </w:rPr>
      </w:pPr>
      <w:r w:rsidRPr="442A2D2B">
        <w:rPr>
          <w:rFonts w:ascii="Calibri Light" w:eastAsia="Times New Roman" w:hAnsi="Calibri Light" w:cs="Times New Roman"/>
          <w:color w:val="auto"/>
          <w:lang w:eastAsia="en-AU"/>
        </w:rPr>
        <w:t>In New Zealand, costings were in a range, brought forward from a global accounting firm and several large corporates</w:t>
      </w:r>
      <w:r w:rsidRPr="442A2D2B">
        <w:rPr>
          <w:rFonts w:ascii="Calibri Light" w:eastAsia="Times New Roman" w:hAnsi="Calibri Light" w:cs="Times New Roman"/>
          <w:color w:val="auto"/>
          <w:vertAlign w:val="superscript"/>
          <w:lang w:eastAsia="en-AU"/>
        </w:rPr>
        <w:footnoteReference w:id="50"/>
      </w:r>
      <w:r w:rsidRPr="442A2D2B">
        <w:rPr>
          <w:rFonts w:ascii="Calibri Light" w:eastAsia="Times New Roman" w:hAnsi="Calibri Light" w:cs="Times New Roman"/>
          <w:color w:val="auto"/>
          <w:lang w:eastAsia="en-AU"/>
        </w:rPr>
        <w:t>:</w:t>
      </w:r>
    </w:p>
    <w:p w14:paraId="04180382" w14:textId="77777777" w:rsidR="00F630EE" w:rsidRPr="0030627C" w:rsidRDefault="00F630EE" w:rsidP="0092357C">
      <w:pPr>
        <w:pStyle w:val="Bullet"/>
      </w:pPr>
      <w:r w:rsidRPr="0030627C">
        <w:t>GHG inventory and measurements: $10,000 - $50,000</w:t>
      </w:r>
    </w:p>
    <w:p w14:paraId="284B3478" w14:textId="77777777" w:rsidR="00F630EE" w:rsidRPr="0030627C" w:rsidRDefault="00F630EE" w:rsidP="0092357C">
      <w:pPr>
        <w:pStyle w:val="Bullet"/>
      </w:pPr>
      <w:r w:rsidRPr="0030627C">
        <w:t>GHG assurance: $30,000 - $100,000</w:t>
      </w:r>
    </w:p>
    <w:p w14:paraId="6828B9CE" w14:textId="77777777" w:rsidR="00F630EE" w:rsidRPr="0030627C" w:rsidRDefault="00F630EE" w:rsidP="0092357C">
      <w:pPr>
        <w:pStyle w:val="Bullet"/>
      </w:pPr>
      <w:r w:rsidRPr="0030627C">
        <w:t>Scenario Analysis: $70,000 - $150,000</w:t>
      </w:r>
    </w:p>
    <w:p w14:paraId="7D6D0859" w14:textId="77777777" w:rsidR="00F630EE" w:rsidRPr="0030627C" w:rsidRDefault="00F630EE" w:rsidP="0092357C">
      <w:pPr>
        <w:pStyle w:val="Bullet"/>
      </w:pPr>
      <w:r w:rsidRPr="0030627C">
        <w:t>Advisory services: $10,000 - $20,000</w:t>
      </w:r>
    </w:p>
    <w:p w14:paraId="5AE6297A" w14:textId="77777777" w:rsidR="00F630EE" w:rsidRPr="0030627C" w:rsidRDefault="00F630EE" w:rsidP="0092357C">
      <w:pPr>
        <w:pStyle w:val="Bullet"/>
      </w:pPr>
      <w:r w:rsidRPr="0030627C">
        <w:t>Investment data: $10,000 - $40,000</w:t>
      </w:r>
    </w:p>
    <w:p w14:paraId="4AD223EE" w14:textId="77777777" w:rsidR="00F630EE" w:rsidRPr="0030627C" w:rsidRDefault="00F630EE" w:rsidP="0092357C">
      <w:pPr>
        <w:pStyle w:val="Bullet"/>
      </w:pPr>
      <w:r w:rsidRPr="0030627C">
        <w:t>Carbon analytics: $6,500 per portfolio</w:t>
      </w:r>
    </w:p>
    <w:p w14:paraId="7AB94FE7" w14:textId="77777777" w:rsidR="00F630EE" w:rsidRDefault="00F630EE" w:rsidP="00F630EE">
      <w:pPr>
        <w:pStyle w:val="BodyText"/>
        <w:rPr>
          <w:rFonts w:ascii="Calibri Light" w:eastAsia="Times New Roman" w:hAnsi="Calibri Light" w:cs="Times New Roman"/>
          <w:color w:val="auto"/>
          <w:szCs w:val="20"/>
          <w:lang w:eastAsia="en-AU"/>
        </w:rPr>
      </w:pPr>
      <w:r w:rsidRPr="0030627C">
        <w:rPr>
          <w:rFonts w:ascii="Calibri Light" w:eastAsia="Times New Roman" w:hAnsi="Calibri Light" w:cs="Times New Roman"/>
          <w:color w:val="auto"/>
          <w:szCs w:val="20"/>
          <w:lang w:eastAsia="en-AU"/>
        </w:rPr>
        <w:t>The NZ Regulatory Impact Analysis highlights the uncertain nature (hence the range of numbers) of these calculations as being dependent on size of company and starting points in the disclosure journey.</w:t>
      </w:r>
      <w:r>
        <w:rPr>
          <w:rFonts w:ascii="Calibri Light" w:eastAsia="Times New Roman" w:hAnsi="Calibri Light" w:cs="Times New Roman"/>
          <w:color w:val="auto"/>
          <w:szCs w:val="20"/>
          <w:lang w:eastAsia="en-AU"/>
        </w:rPr>
        <w:t xml:space="preserve"> </w:t>
      </w:r>
    </w:p>
    <w:p w14:paraId="323B4715" w14:textId="77777777" w:rsidR="00F630EE" w:rsidRPr="0030627C" w:rsidRDefault="00F630EE" w:rsidP="00F630EE">
      <w:pPr>
        <w:pStyle w:val="BodyText"/>
        <w:rPr>
          <w:rFonts w:ascii="Calibri Light" w:eastAsia="Times New Roman" w:hAnsi="Calibri Light" w:cs="Times New Roman"/>
          <w:color w:val="auto"/>
          <w:szCs w:val="20"/>
          <w:lang w:eastAsia="en-AU"/>
        </w:rPr>
      </w:pPr>
      <w:r w:rsidRPr="442A2D2B">
        <w:rPr>
          <w:rFonts w:ascii="Calibri Light" w:eastAsia="Times New Roman" w:hAnsi="Calibri Light" w:cs="Times New Roman"/>
          <w:color w:val="auto"/>
          <w:lang w:eastAsia="en-AU"/>
        </w:rPr>
        <w:t>A more recent 2022 survey by Environmental Resource Management (ERM) echoes the costs seen in previous studies, the ERM finds that companies that are preparing climate disclosures are spending on average $539,000 annually</w:t>
      </w:r>
      <w:r w:rsidRPr="442A2D2B">
        <w:rPr>
          <w:rFonts w:ascii="Calibri Light" w:eastAsia="Times New Roman" w:hAnsi="Calibri Light" w:cs="Times New Roman"/>
          <w:color w:val="auto"/>
          <w:vertAlign w:val="superscript"/>
          <w:lang w:eastAsia="en-AU"/>
        </w:rPr>
        <w:footnoteReference w:id="51"/>
      </w:r>
      <w:r w:rsidRPr="442A2D2B">
        <w:rPr>
          <w:rFonts w:ascii="Calibri Light" w:eastAsia="Times New Roman" w:hAnsi="Calibri Light" w:cs="Times New Roman"/>
          <w:color w:val="auto"/>
          <w:lang w:eastAsia="en-AU"/>
        </w:rPr>
        <w:t xml:space="preserve">. </w:t>
      </w:r>
    </w:p>
    <w:p w14:paraId="2722B557" w14:textId="77777777" w:rsidR="00F630EE" w:rsidRPr="0030627C" w:rsidRDefault="00F630EE" w:rsidP="00F630EE">
      <w:pPr>
        <w:pStyle w:val="BodyText"/>
        <w:rPr>
          <w:rFonts w:ascii="Calibri Light" w:eastAsia="Times New Roman" w:hAnsi="Calibri Light" w:cs="Times New Roman"/>
          <w:color w:val="auto"/>
          <w:szCs w:val="20"/>
          <w:lang w:eastAsia="en-AU"/>
        </w:rPr>
      </w:pPr>
      <w:r w:rsidRPr="00125997">
        <w:rPr>
          <w:rFonts w:ascii="Calibri Light" w:eastAsia="Times New Roman" w:hAnsi="Calibri Light" w:cs="Times New Roman"/>
          <w:b/>
          <w:bCs/>
          <w:color w:val="auto"/>
          <w:szCs w:val="20"/>
          <w:lang w:eastAsia="en-AU"/>
        </w:rPr>
        <w:t>Greenhouse gas (GHG) analysis and/or disclosures</w:t>
      </w:r>
      <w:r>
        <w:rPr>
          <w:rFonts w:ascii="Calibri Light" w:eastAsia="Times New Roman" w:hAnsi="Calibri Light" w:cs="Times New Roman"/>
          <w:color w:val="auto"/>
          <w:szCs w:val="20"/>
          <w:lang w:eastAsia="en-AU"/>
        </w:rPr>
        <w:t xml:space="preserve">: </w:t>
      </w:r>
      <w:r w:rsidRPr="0030627C">
        <w:rPr>
          <w:rFonts w:ascii="Calibri Light" w:eastAsia="Times New Roman" w:hAnsi="Calibri Light" w:cs="Times New Roman"/>
          <w:color w:val="auto"/>
          <w:szCs w:val="20"/>
          <w:lang w:eastAsia="en-AU"/>
        </w:rPr>
        <w:t>$237,000 average annual cost for those reporting spend in this category.</w:t>
      </w:r>
    </w:p>
    <w:p w14:paraId="799393BB" w14:textId="77777777" w:rsidR="00F630EE" w:rsidRPr="0030627C" w:rsidRDefault="00F630EE" w:rsidP="00F630EE">
      <w:pPr>
        <w:pStyle w:val="BodyText"/>
        <w:rPr>
          <w:rFonts w:ascii="Calibri Light" w:eastAsia="Times New Roman" w:hAnsi="Calibri Light" w:cs="Times New Roman"/>
          <w:color w:val="auto"/>
          <w:szCs w:val="20"/>
          <w:lang w:eastAsia="en-AU"/>
        </w:rPr>
      </w:pPr>
      <w:r w:rsidRPr="00125997">
        <w:rPr>
          <w:rFonts w:ascii="Calibri Light" w:eastAsia="Times New Roman" w:hAnsi="Calibri Light" w:cs="Times New Roman"/>
          <w:b/>
          <w:bCs/>
          <w:color w:val="auto"/>
          <w:szCs w:val="20"/>
          <w:lang w:eastAsia="en-AU"/>
        </w:rPr>
        <w:t>Climate scenario analysis and/or disclosure</w:t>
      </w:r>
      <w:r>
        <w:rPr>
          <w:rFonts w:ascii="Calibri Light" w:eastAsia="Times New Roman" w:hAnsi="Calibri Light" w:cs="Times New Roman"/>
          <w:color w:val="auto"/>
          <w:szCs w:val="20"/>
          <w:lang w:eastAsia="en-AU"/>
        </w:rPr>
        <w:t xml:space="preserve">: </w:t>
      </w:r>
      <w:r w:rsidRPr="0030627C">
        <w:rPr>
          <w:rFonts w:ascii="Calibri Light" w:eastAsia="Times New Roman" w:hAnsi="Calibri Light" w:cs="Times New Roman"/>
          <w:color w:val="auto"/>
          <w:szCs w:val="20"/>
          <w:lang w:eastAsia="en-AU"/>
        </w:rPr>
        <w:t xml:space="preserve">$154,000 average annual cost for those reporting </w:t>
      </w:r>
      <w:proofErr w:type="gramStart"/>
      <w:r w:rsidRPr="0030627C">
        <w:rPr>
          <w:rFonts w:ascii="Calibri Light" w:eastAsia="Times New Roman" w:hAnsi="Calibri Light" w:cs="Times New Roman"/>
          <w:color w:val="auto"/>
          <w:szCs w:val="20"/>
          <w:lang w:eastAsia="en-AU"/>
        </w:rPr>
        <w:t>spend</w:t>
      </w:r>
      <w:proofErr w:type="gramEnd"/>
      <w:r w:rsidRPr="0030627C">
        <w:rPr>
          <w:rFonts w:ascii="Calibri Light" w:eastAsia="Times New Roman" w:hAnsi="Calibri Light" w:cs="Times New Roman"/>
          <w:color w:val="auto"/>
          <w:szCs w:val="20"/>
          <w:lang w:eastAsia="en-AU"/>
        </w:rPr>
        <w:t xml:space="preserve"> in this category.</w:t>
      </w:r>
    </w:p>
    <w:p w14:paraId="2D9777ED" w14:textId="77777777" w:rsidR="00F630EE" w:rsidRDefault="00F630EE" w:rsidP="00F630EE">
      <w:pPr>
        <w:pStyle w:val="BodyText"/>
        <w:rPr>
          <w:rFonts w:ascii="Calibri Light" w:eastAsia="Times New Roman" w:hAnsi="Calibri Light" w:cs="Times New Roman"/>
          <w:color w:val="auto"/>
          <w:szCs w:val="20"/>
          <w:lang w:eastAsia="en-AU"/>
        </w:rPr>
      </w:pPr>
      <w:r w:rsidRPr="00125997">
        <w:rPr>
          <w:rFonts w:ascii="Calibri Light" w:eastAsia="Times New Roman" w:hAnsi="Calibri Light" w:cs="Times New Roman"/>
          <w:b/>
          <w:bCs/>
          <w:color w:val="auto"/>
          <w:szCs w:val="20"/>
          <w:lang w:eastAsia="en-AU"/>
        </w:rPr>
        <w:t>Internal climate risk management controls</w:t>
      </w:r>
      <w:r w:rsidRPr="0030627C">
        <w:rPr>
          <w:rFonts w:ascii="Calibri Light" w:eastAsia="Times New Roman" w:hAnsi="Calibri Light" w:cs="Times New Roman"/>
          <w:color w:val="auto"/>
          <w:szCs w:val="20"/>
          <w:lang w:eastAsia="en-AU"/>
        </w:rPr>
        <w:t xml:space="preserve"> </w:t>
      </w:r>
      <w:r>
        <w:rPr>
          <w:rFonts w:ascii="Calibri Light" w:eastAsia="Times New Roman" w:hAnsi="Calibri Light" w:cs="Times New Roman"/>
          <w:color w:val="auto"/>
          <w:szCs w:val="20"/>
          <w:lang w:eastAsia="en-AU"/>
        </w:rPr>
        <w:t>(</w:t>
      </w:r>
      <w:r w:rsidRPr="0030627C">
        <w:rPr>
          <w:rFonts w:ascii="Calibri Light" w:eastAsia="Times New Roman" w:hAnsi="Calibri Light" w:cs="Times New Roman"/>
          <w:color w:val="auto"/>
          <w:szCs w:val="20"/>
          <w:lang w:eastAsia="en-AU"/>
        </w:rPr>
        <w:t>the costs related to integrating climate risk into business processes</w:t>
      </w:r>
      <w:r>
        <w:rPr>
          <w:rFonts w:ascii="Calibri Light" w:eastAsia="Times New Roman" w:hAnsi="Calibri Light" w:cs="Times New Roman"/>
          <w:color w:val="auto"/>
          <w:szCs w:val="20"/>
          <w:lang w:eastAsia="en-AU"/>
        </w:rPr>
        <w:t xml:space="preserve">: </w:t>
      </w:r>
      <w:r w:rsidRPr="0030627C">
        <w:rPr>
          <w:rFonts w:ascii="Calibri Light" w:eastAsia="Times New Roman" w:hAnsi="Calibri Light" w:cs="Times New Roman"/>
          <w:color w:val="auto"/>
          <w:szCs w:val="20"/>
          <w:lang w:eastAsia="en-AU"/>
        </w:rPr>
        <w:t>$148,000 average annual cost for those reporting spend in this category.</w:t>
      </w:r>
    </w:p>
    <w:p w14:paraId="26E096D7" w14:textId="77777777" w:rsidR="00F630EE" w:rsidRPr="0030627C" w:rsidRDefault="00F630EE" w:rsidP="00F630EE">
      <w:pPr>
        <w:pStyle w:val="BodyText"/>
        <w:rPr>
          <w:rFonts w:ascii="Calibri Light" w:eastAsia="Times New Roman" w:hAnsi="Calibri Light" w:cs="Times New Roman"/>
          <w:color w:val="auto"/>
          <w:szCs w:val="20"/>
          <w:lang w:eastAsia="en-AU"/>
        </w:rPr>
      </w:pPr>
      <w:r w:rsidRPr="0030627C">
        <w:rPr>
          <w:rFonts w:ascii="Calibri Light" w:eastAsia="Times New Roman" w:hAnsi="Calibri Light" w:cs="Times New Roman"/>
          <w:color w:val="auto"/>
          <w:szCs w:val="20"/>
          <w:lang w:eastAsia="en-AU"/>
        </w:rPr>
        <w:t>The ISSB received submissions that the factors that influenced disclosure costs depended on starting point in disclosure journey, company size, value chain complexity and location. Preparers mentioned</w:t>
      </w:r>
      <w:r>
        <w:t xml:space="preserve"> </w:t>
      </w:r>
      <w:r w:rsidRPr="0030627C">
        <w:rPr>
          <w:rFonts w:ascii="Calibri Light" w:eastAsia="Times New Roman" w:hAnsi="Calibri Light" w:cs="Times New Roman"/>
          <w:color w:val="auto"/>
          <w:szCs w:val="20"/>
          <w:lang w:eastAsia="en-AU"/>
        </w:rPr>
        <w:t xml:space="preserve">that start-up costs to create and development climate governance systems and processes were high, but ongoing costs would decrease. Many submissions from emerging markets, developing economies and from smaller companies maintained that costs would be high for both implementation and ongoing costs due to a lack of available public goods, </w:t>
      </w:r>
      <w:proofErr w:type="gramStart"/>
      <w:r w:rsidRPr="0030627C">
        <w:rPr>
          <w:rFonts w:ascii="Calibri Light" w:eastAsia="Times New Roman" w:hAnsi="Calibri Light" w:cs="Times New Roman"/>
          <w:color w:val="auto"/>
          <w:szCs w:val="20"/>
          <w:lang w:eastAsia="en-AU"/>
        </w:rPr>
        <w:t>data</w:t>
      </w:r>
      <w:proofErr w:type="gramEnd"/>
      <w:r w:rsidRPr="0030627C">
        <w:rPr>
          <w:rFonts w:ascii="Calibri Light" w:eastAsia="Times New Roman" w:hAnsi="Calibri Light" w:cs="Times New Roman"/>
          <w:color w:val="auto"/>
          <w:szCs w:val="20"/>
          <w:lang w:eastAsia="en-AU"/>
        </w:rPr>
        <w:t xml:space="preserve"> and expertise. This echoes the sentiment in previous studies, suggesting that costs will be significant for smaller companies when adopting new accounting standards. </w:t>
      </w:r>
    </w:p>
    <w:p w14:paraId="1107847C" w14:textId="77777777" w:rsidR="00F630EE" w:rsidRDefault="00F630EE" w:rsidP="00F630EE">
      <w:pPr>
        <w:pStyle w:val="BodyText"/>
        <w:rPr>
          <w:rFonts w:ascii="Calibri Light" w:eastAsia="Times New Roman" w:hAnsi="Calibri Light" w:cs="Times New Roman"/>
          <w:color w:val="auto"/>
          <w:szCs w:val="20"/>
          <w:lang w:eastAsia="en-AU"/>
        </w:rPr>
      </w:pPr>
      <w:r w:rsidRPr="0030627C">
        <w:rPr>
          <w:rFonts w:ascii="Calibri Light" w:eastAsia="Times New Roman" w:hAnsi="Calibri Light" w:cs="Times New Roman"/>
          <w:color w:val="auto"/>
          <w:szCs w:val="20"/>
          <w:lang w:eastAsia="en-AU"/>
        </w:rPr>
        <w:t>Many issues uncovered in the ISSB consultation mirrored issues during Treasury’s consultation</w:t>
      </w:r>
      <w:r>
        <w:rPr>
          <w:rFonts w:ascii="Calibri Light" w:eastAsia="Times New Roman" w:hAnsi="Calibri Light" w:cs="Times New Roman"/>
          <w:color w:val="auto"/>
          <w:szCs w:val="20"/>
          <w:lang w:eastAsia="en-AU"/>
        </w:rPr>
        <w:t>,</w:t>
      </w:r>
      <w:r w:rsidRPr="0030627C">
        <w:rPr>
          <w:rFonts w:ascii="Calibri Light" w:eastAsia="Times New Roman" w:hAnsi="Calibri Light" w:cs="Times New Roman"/>
          <w:color w:val="auto"/>
          <w:szCs w:val="20"/>
          <w:lang w:eastAsia="en-AU"/>
        </w:rPr>
        <w:t xml:space="preserve"> particularly concerns about the large initial investment cost. Stakeholders pushed for certainty in timelines, </w:t>
      </w:r>
      <w:proofErr w:type="gramStart"/>
      <w:r w:rsidRPr="0030627C">
        <w:rPr>
          <w:rFonts w:ascii="Calibri Light" w:eastAsia="Times New Roman" w:hAnsi="Calibri Light" w:cs="Times New Roman"/>
          <w:color w:val="auto"/>
          <w:szCs w:val="20"/>
          <w:lang w:eastAsia="en-AU"/>
        </w:rPr>
        <w:t>scope</w:t>
      </w:r>
      <w:proofErr w:type="gramEnd"/>
      <w:r w:rsidRPr="0030627C">
        <w:rPr>
          <w:rFonts w:ascii="Calibri Light" w:eastAsia="Times New Roman" w:hAnsi="Calibri Light" w:cs="Times New Roman"/>
          <w:color w:val="auto"/>
          <w:szCs w:val="20"/>
          <w:lang w:eastAsia="en-AU"/>
        </w:rPr>
        <w:t xml:space="preserve"> and alignment to ensure costly initial investment was implemented once and once only. Similarly, there were concerns that small and medium enterprises (SMEs) would bear significant burden, whether through having to prepare disclosures with less available resources and capability, or through pressure upstream from bigger companies requiring SMEs to support their more complex disclosures. </w:t>
      </w:r>
    </w:p>
    <w:p w14:paraId="68723C5F" w14:textId="77777777" w:rsidR="00F630EE" w:rsidRPr="0030627C" w:rsidRDefault="00F630EE" w:rsidP="00F630EE">
      <w:pPr>
        <w:pStyle w:val="BodyText"/>
        <w:rPr>
          <w:rFonts w:ascii="Calibri Light" w:eastAsia="Times New Roman" w:hAnsi="Calibri Light" w:cs="Times New Roman"/>
          <w:color w:val="auto"/>
          <w:szCs w:val="20"/>
          <w:lang w:eastAsia="en-AU"/>
        </w:rPr>
      </w:pPr>
      <w:r>
        <w:rPr>
          <w:rFonts w:ascii="Calibri Light" w:eastAsia="Times New Roman" w:hAnsi="Calibri Light" w:cs="Times New Roman"/>
          <w:color w:val="auto"/>
          <w:szCs w:val="20"/>
          <w:lang w:eastAsia="en-AU"/>
        </w:rPr>
        <w:t xml:space="preserve">Submissions during the design consultation estimated the costs to be as low as $40,000 a year by smaller firms to more than a million for larger firms. In the modelling areas such as Scope 3 and Scenario analysis, costs ranged in the low hundreds of thousands to develop and maintain models. Lastly, in the assurance market submissions estimated costs from $20,000 to $150,000, depending on the level (limited vs reasonable) of assurance and the size of the entity. Another submission generalised the cost of reporting to be between 1 and 10 basis points of an entity’s net consolidated assets. </w:t>
      </w:r>
    </w:p>
    <w:p w14:paraId="605E2AC0" w14:textId="43F2CE85" w:rsidR="00F630EE" w:rsidRDefault="00D55C39" w:rsidP="0061489D">
      <w:pPr>
        <w:pStyle w:val="Heading1"/>
      </w:pPr>
      <w:bookmarkStart w:id="52" w:name="_Toc144742128"/>
      <w:r>
        <w:t>Appendix B</w:t>
      </w:r>
      <w:bookmarkEnd w:id="52"/>
    </w:p>
    <w:p w14:paraId="5B153468" w14:textId="41E74566" w:rsidR="00605C06" w:rsidRDefault="00605C06" w:rsidP="00605C06">
      <w:pPr>
        <w:pStyle w:val="Heading2"/>
      </w:pPr>
      <w:bookmarkStart w:id="53" w:name="_Toc144742129"/>
      <w:r>
        <w:t>Sensitivity analysis</w:t>
      </w:r>
      <w:bookmarkEnd w:id="53"/>
    </w:p>
    <w:p w14:paraId="57884E26" w14:textId="2E5C70B4" w:rsidR="00605C06" w:rsidRDefault="00605C06" w:rsidP="00605C06">
      <w:r>
        <w:t>Given the uncertainty in forecast cohorts</w:t>
      </w:r>
      <w:r w:rsidR="008E59FE">
        <w:t xml:space="preserve"> that could be impacted by these reforms</w:t>
      </w:r>
      <w:r>
        <w:t xml:space="preserve">, it is appropriate to perform a sensitivity analysis for each option. </w:t>
      </w:r>
    </w:p>
    <w:p w14:paraId="232AF5E0" w14:textId="77777777" w:rsidR="00605C06" w:rsidRDefault="00605C06" w:rsidP="00605C06">
      <w:pPr>
        <w:pStyle w:val="Heading4"/>
      </w:pPr>
      <w:r>
        <w:t>Status quo</w:t>
      </w:r>
    </w:p>
    <w:p w14:paraId="422765B2" w14:textId="77777777" w:rsidR="00605C06" w:rsidRPr="002B26DF" w:rsidRDefault="00605C06" w:rsidP="00605C06">
      <w:pPr>
        <w:pStyle w:val="BodyText"/>
        <w:rPr>
          <w:rFonts w:ascii="Calibri Light" w:hAnsi="Calibri Light" w:cs="Calibri Light"/>
        </w:rPr>
      </w:pPr>
      <w:r w:rsidRPr="002B26DF">
        <w:rPr>
          <w:rFonts w:ascii="Calibri Light" w:hAnsi="Calibri Light" w:cs="Calibri Light"/>
        </w:rPr>
        <w:t xml:space="preserve">In the case of the status quo, there is uncertainty about both the current rate of voluntary disclosure and how many additional entities would disclose over the next decade without a regulatory imperative. We repeat the analysis above with an assumption that 10 per cent [fewer/more] entities are currently disclosing and 20 per cent [more/fewer] entities voluntarily disclose in the next 10 years. As seen below, there is a range of expected disclosing entities between 1,097and 1,568 entities which results in costs incurred ranging from $221 to $314 million. </w:t>
      </w:r>
    </w:p>
    <w:p w14:paraId="7C7536E6" w14:textId="725A79DF" w:rsidR="00605C06" w:rsidRPr="00C14648" w:rsidRDefault="00605C06" w:rsidP="001E6D79">
      <w:pPr>
        <w:pStyle w:val="Caption"/>
        <w:rPr>
          <w:rFonts w:eastAsiaTheme="minorHAnsi"/>
          <w:lang w:eastAsia="en-US"/>
        </w:rPr>
      </w:pPr>
      <w:r w:rsidRPr="00C14648">
        <w:rPr>
          <w:rFonts w:eastAsiaTheme="minorHAnsi"/>
          <w:lang w:eastAsia="en-US"/>
        </w:rPr>
        <w:t xml:space="preserve">Chart </w:t>
      </w:r>
      <w:r w:rsidR="002B26DF" w:rsidRPr="00C14648">
        <w:rPr>
          <w:rFonts w:eastAsiaTheme="minorHAnsi"/>
          <w:lang w:eastAsia="en-US"/>
        </w:rPr>
        <w:t>1</w:t>
      </w:r>
      <w:r w:rsidRPr="00C14648">
        <w:rPr>
          <w:rFonts w:eastAsiaTheme="minorHAnsi"/>
          <w:lang w:eastAsia="en-US"/>
        </w:rPr>
        <w:t xml:space="preserve">: Variance in forecast reporting entities for status quo </w:t>
      </w:r>
    </w:p>
    <w:p w14:paraId="37C82292" w14:textId="77777777" w:rsidR="00605C06" w:rsidRDefault="00605C06" w:rsidP="00605C06">
      <w:pPr>
        <w:rPr>
          <w:b/>
        </w:rPr>
      </w:pPr>
      <w:r>
        <w:rPr>
          <w:noProof/>
        </w:rPr>
        <w:drawing>
          <wp:inline distT="0" distB="0" distL="0" distR="0" wp14:anchorId="3303DA07" wp14:editId="1BFB79E5">
            <wp:extent cx="5648325" cy="2628900"/>
            <wp:effectExtent l="0" t="0" r="9525" b="0"/>
            <wp:docPr id="25" name="Chart 25">
              <a:extLst xmlns:a="http://schemas.openxmlformats.org/drawingml/2006/main">
                <a:ext uri="{FF2B5EF4-FFF2-40B4-BE49-F238E27FC236}">
                  <a16:creationId xmlns:a16="http://schemas.microsoft.com/office/drawing/2014/main" id="{056EDCBE-1482-6E7C-C916-9E506498AB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E938CF9" w14:textId="364BBF5C" w:rsidR="005B707B" w:rsidRPr="005B707B" w:rsidRDefault="005B707B" w:rsidP="00605C06">
      <w:pPr>
        <w:rPr>
          <w:bCs/>
          <w:sz w:val="20"/>
          <w:szCs w:val="18"/>
        </w:rPr>
      </w:pPr>
      <w:r w:rsidRPr="005B707B">
        <w:rPr>
          <w:bCs/>
          <w:sz w:val="20"/>
          <w:szCs w:val="18"/>
        </w:rPr>
        <w:t>Source: Treasury projections</w:t>
      </w:r>
    </w:p>
    <w:p w14:paraId="13E30F30" w14:textId="4CEB9BA5" w:rsidR="00605C06" w:rsidRPr="00C14648" w:rsidRDefault="00605C06" w:rsidP="001E6D79">
      <w:pPr>
        <w:pStyle w:val="Caption"/>
        <w:rPr>
          <w:rFonts w:eastAsiaTheme="minorHAnsi"/>
          <w:lang w:eastAsia="en-US"/>
        </w:rPr>
      </w:pPr>
      <w:r w:rsidRPr="00C14648">
        <w:rPr>
          <w:rFonts w:eastAsiaTheme="minorHAnsi"/>
          <w:lang w:eastAsia="en-US"/>
        </w:rPr>
        <w:t xml:space="preserve">Chart </w:t>
      </w:r>
      <w:r w:rsidR="002B26DF" w:rsidRPr="00C14648">
        <w:rPr>
          <w:rFonts w:eastAsiaTheme="minorHAnsi"/>
          <w:lang w:eastAsia="en-US"/>
        </w:rPr>
        <w:t>2</w:t>
      </w:r>
      <w:r w:rsidRPr="00C14648">
        <w:rPr>
          <w:rFonts w:eastAsiaTheme="minorHAnsi"/>
          <w:lang w:eastAsia="en-US"/>
        </w:rPr>
        <w:t xml:space="preserve">: Variance in total compliance burden for status quo  </w:t>
      </w:r>
    </w:p>
    <w:p w14:paraId="08CA573E" w14:textId="77777777" w:rsidR="00605C06" w:rsidRDefault="00605C06" w:rsidP="00605C06">
      <w:r>
        <w:rPr>
          <w:noProof/>
        </w:rPr>
        <w:drawing>
          <wp:inline distT="0" distB="0" distL="0" distR="0" wp14:anchorId="09DA0992" wp14:editId="198003EF">
            <wp:extent cx="5661660" cy="2598420"/>
            <wp:effectExtent l="0" t="0" r="15240" b="11430"/>
            <wp:docPr id="26" name="Chart 26">
              <a:extLst xmlns:a="http://schemas.openxmlformats.org/drawingml/2006/main">
                <a:ext uri="{FF2B5EF4-FFF2-40B4-BE49-F238E27FC236}">
                  <a16:creationId xmlns:a16="http://schemas.microsoft.com/office/drawing/2014/main" id="{3D4BDABB-701C-3167-ECEA-14D1CE26CF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4D13268" w14:textId="77777777" w:rsidR="005B707B" w:rsidRPr="005B707B" w:rsidRDefault="005B707B" w:rsidP="005B707B">
      <w:pPr>
        <w:rPr>
          <w:bCs/>
          <w:sz w:val="20"/>
          <w:szCs w:val="18"/>
        </w:rPr>
      </w:pPr>
      <w:r w:rsidRPr="005B707B">
        <w:rPr>
          <w:bCs/>
          <w:sz w:val="20"/>
          <w:szCs w:val="18"/>
        </w:rPr>
        <w:t>Source: Treasury projections</w:t>
      </w:r>
    </w:p>
    <w:p w14:paraId="55819ED8" w14:textId="7CC053FC" w:rsidR="00605C06" w:rsidRDefault="00605C06" w:rsidP="00605C06">
      <w:pPr>
        <w:pStyle w:val="Heading4"/>
      </w:pPr>
      <w:r>
        <w:t xml:space="preserve">Option 1: </w:t>
      </w:r>
      <w:r w:rsidR="008D07C8">
        <w:t>Design consultation policy</w:t>
      </w:r>
    </w:p>
    <w:p w14:paraId="68B79C95" w14:textId="6DA487F1" w:rsidR="00605C06" w:rsidRDefault="00605C06" w:rsidP="00605C06">
      <w:r w:rsidRPr="004E26E4">
        <w:t xml:space="preserve">With option </w:t>
      </w:r>
      <w:r>
        <w:t>1</w:t>
      </w:r>
      <w:r w:rsidRPr="004E26E4">
        <w:t>, we expect there to be some variance in forecasted number</w:t>
      </w:r>
      <w:r>
        <w:t>s, particularly in Group 3 entities. With Group 1 and Group 2, we expect that publicly-listed companies will not vary as much as unlisted companies. Treasury expects 20% variance on either side for Group 3 entities and 10% on either side for Groups 1, 2 and NGER entities. There is increased uncertainty as an increase in Group 1 entities could decrease the number in Group 2, all other things being equal. However, a simultaneous decrease in Group 3 from increased revenue, assets and employee size could still increase Group 2. Therefore, we show a range for potential costs. In summary, we forecast a range of entities covered between 49</w:t>
      </w:r>
      <w:r w:rsidR="00376E77">
        <w:t>80</w:t>
      </w:r>
      <w:r>
        <w:t xml:space="preserve"> to 7,0</w:t>
      </w:r>
      <w:r w:rsidR="00376E77">
        <w:t>98</w:t>
      </w:r>
      <w:r>
        <w:t>, accompanying compliance costs of between $1,</w:t>
      </w:r>
      <w:r w:rsidR="00376E77">
        <w:t>454</w:t>
      </w:r>
      <w:r>
        <w:t xml:space="preserve"> million and $1,</w:t>
      </w:r>
      <w:r w:rsidR="00A62EAB">
        <w:t>819</w:t>
      </w:r>
      <w:r>
        <w:t xml:space="preserve"> million.</w:t>
      </w:r>
    </w:p>
    <w:p w14:paraId="66FEF158" w14:textId="7C887936" w:rsidR="00605C06" w:rsidRPr="00C14648" w:rsidRDefault="00605C06" w:rsidP="001E6D79">
      <w:pPr>
        <w:pStyle w:val="Caption"/>
        <w:rPr>
          <w:rFonts w:eastAsiaTheme="minorHAnsi"/>
          <w:lang w:eastAsia="en-US"/>
        </w:rPr>
      </w:pPr>
      <w:r w:rsidRPr="00C14648">
        <w:rPr>
          <w:rFonts w:eastAsiaTheme="minorHAnsi"/>
          <w:lang w:eastAsia="en-US"/>
        </w:rPr>
        <w:t xml:space="preserve">Chart </w:t>
      </w:r>
      <w:r w:rsidR="002B26DF" w:rsidRPr="00C14648">
        <w:rPr>
          <w:rFonts w:eastAsiaTheme="minorHAnsi"/>
          <w:lang w:eastAsia="en-US"/>
        </w:rPr>
        <w:t>3</w:t>
      </w:r>
      <w:r w:rsidRPr="00C14648">
        <w:rPr>
          <w:rFonts w:eastAsiaTheme="minorHAnsi"/>
          <w:lang w:eastAsia="en-US"/>
        </w:rPr>
        <w:t>: Variance in forecasted reporting entities for option 1</w:t>
      </w:r>
    </w:p>
    <w:p w14:paraId="5D7DA86A" w14:textId="77777777" w:rsidR="00605C06" w:rsidRDefault="00605C06" w:rsidP="001E6D79">
      <w:pPr>
        <w:jc w:val="center"/>
        <w:rPr>
          <w:b/>
        </w:rPr>
      </w:pPr>
      <w:r>
        <w:rPr>
          <w:noProof/>
        </w:rPr>
        <w:drawing>
          <wp:inline distT="0" distB="0" distL="0" distR="0" wp14:anchorId="0780CBF8" wp14:editId="5F23B513">
            <wp:extent cx="5209200" cy="2998800"/>
            <wp:effectExtent l="0" t="0" r="10795" b="11430"/>
            <wp:docPr id="28" name="Chart 28">
              <a:extLst xmlns:a="http://schemas.openxmlformats.org/drawingml/2006/main">
                <a:ext uri="{FF2B5EF4-FFF2-40B4-BE49-F238E27FC236}">
                  <a16:creationId xmlns:a16="http://schemas.microsoft.com/office/drawing/2014/main" id="{44C56C6A-C7DB-5454-BEDF-470C3160EA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3E43F42" w14:textId="77777777" w:rsidR="005B707B" w:rsidRPr="005B707B" w:rsidRDefault="005B707B" w:rsidP="005B707B">
      <w:pPr>
        <w:rPr>
          <w:bCs/>
          <w:sz w:val="20"/>
          <w:szCs w:val="18"/>
        </w:rPr>
      </w:pPr>
      <w:r w:rsidRPr="005B707B">
        <w:rPr>
          <w:bCs/>
          <w:sz w:val="20"/>
          <w:szCs w:val="18"/>
        </w:rPr>
        <w:t>Source: Treasury projections</w:t>
      </w:r>
    </w:p>
    <w:p w14:paraId="38B2D67B" w14:textId="5096CA59" w:rsidR="00605C06" w:rsidRPr="002E7E0A" w:rsidRDefault="00605C06" w:rsidP="003B3BBB">
      <w:pPr>
        <w:pStyle w:val="Caption"/>
        <w:rPr>
          <w:noProof/>
        </w:rPr>
      </w:pPr>
      <w:r>
        <w:t xml:space="preserve">Chart </w:t>
      </w:r>
      <w:r w:rsidR="002B26DF">
        <w:t>4</w:t>
      </w:r>
      <w:r>
        <w:t>: Variance in compliance burden for option 1</w:t>
      </w:r>
    </w:p>
    <w:p w14:paraId="3FDAFCB5" w14:textId="77777777" w:rsidR="00605C06" w:rsidRDefault="00605C06" w:rsidP="001E6D79">
      <w:pPr>
        <w:jc w:val="center"/>
      </w:pPr>
      <w:r>
        <w:rPr>
          <w:noProof/>
        </w:rPr>
        <w:drawing>
          <wp:inline distT="0" distB="0" distL="0" distR="0" wp14:anchorId="53319185" wp14:editId="77E67E27">
            <wp:extent cx="5495925" cy="3105150"/>
            <wp:effectExtent l="0" t="0" r="9525" b="0"/>
            <wp:docPr id="29" name="Chart 29">
              <a:extLst xmlns:a="http://schemas.openxmlformats.org/drawingml/2006/main">
                <a:ext uri="{FF2B5EF4-FFF2-40B4-BE49-F238E27FC236}">
                  <a16:creationId xmlns:a16="http://schemas.microsoft.com/office/drawing/2014/main" id="{2CB9AEE4-2F6F-EF96-515F-8F1DA99A5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0688DD9" w14:textId="77777777" w:rsidR="005B707B" w:rsidRPr="005B707B" w:rsidRDefault="005B707B" w:rsidP="005B707B">
      <w:pPr>
        <w:rPr>
          <w:bCs/>
          <w:sz w:val="20"/>
          <w:szCs w:val="18"/>
        </w:rPr>
      </w:pPr>
      <w:r w:rsidRPr="005B707B">
        <w:rPr>
          <w:bCs/>
          <w:sz w:val="20"/>
          <w:szCs w:val="18"/>
        </w:rPr>
        <w:t>Source: Treasury projections</w:t>
      </w:r>
    </w:p>
    <w:p w14:paraId="4F1D854B" w14:textId="367D95BD" w:rsidR="00605C06" w:rsidRDefault="00605C06" w:rsidP="00605C06">
      <w:pPr>
        <w:pStyle w:val="Heading4"/>
      </w:pPr>
      <w:r>
        <w:t xml:space="preserve">Option 1a: </w:t>
      </w:r>
      <w:r w:rsidR="002D5799">
        <w:t>Narrower coverage with Group 3 only required to report if there are material climate risks</w:t>
      </w:r>
    </w:p>
    <w:p w14:paraId="3A8F6A69" w14:textId="080C2117" w:rsidR="00605C06" w:rsidRPr="004A51D5" w:rsidRDefault="00605C06" w:rsidP="00605C06">
      <w:pPr>
        <w:pStyle w:val="BodyText"/>
        <w:rPr>
          <w:rFonts w:ascii="Calibri Light" w:hAnsi="Calibri Light" w:cs="Calibri Light"/>
        </w:rPr>
      </w:pPr>
      <w:r w:rsidRPr="004A51D5">
        <w:rPr>
          <w:rFonts w:ascii="Calibri Light" w:hAnsi="Calibri Light" w:cs="Calibri Light"/>
        </w:rPr>
        <w:t>With option 1a, we expect there to be some variance in forecasted numbers, particularly in Group 3 entities. In this case, we show significant variance in Group 3 who may have material risk, while also accounting for those who may voluntarily taking up disclosure. This number could be as low as 0% and as high as double our initial assumption, given the increasingly fast uptake and demand of/for disclosures. In summary, we forecast a range of entities covered between 1,6</w:t>
      </w:r>
      <w:r w:rsidR="00D107D3">
        <w:rPr>
          <w:rFonts w:ascii="Calibri Light" w:hAnsi="Calibri Light" w:cs="Calibri Light"/>
        </w:rPr>
        <w:t>61</w:t>
      </w:r>
      <w:r w:rsidRPr="004A51D5">
        <w:rPr>
          <w:rFonts w:ascii="Calibri Light" w:hAnsi="Calibri Light" w:cs="Calibri Light"/>
        </w:rPr>
        <w:t xml:space="preserve"> to </w:t>
      </w:r>
      <w:r w:rsidR="006911FF">
        <w:rPr>
          <w:rFonts w:ascii="Calibri Light" w:hAnsi="Calibri Light" w:cs="Calibri Light"/>
        </w:rPr>
        <w:t>2</w:t>
      </w:r>
      <w:r w:rsidR="00D107D3">
        <w:rPr>
          <w:rFonts w:ascii="Calibri Light" w:hAnsi="Calibri Light" w:cs="Calibri Light"/>
        </w:rPr>
        <w:t>486</w:t>
      </w:r>
      <w:r w:rsidRPr="004A51D5">
        <w:rPr>
          <w:rFonts w:ascii="Calibri Light" w:hAnsi="Calibri Light" w:cs="Calibri Light"/>
        </w:rPr>
        <w:t xml:space="preserve"> accompanying compliance costs of between $1,</w:t>
      </w:r>
      <w:r w:rsidR="005466BC">
        <w:rPr>
          <w:rFonts w:ascii="Calibri Light" w:hAnsi="Calibri Light" w:cs="Calibri Light"/>
        </w:rPr>
        <w:t>303</w:t>
      </w:r>
      <w:r w:rsidRPr="004A51D5">
        <w:rPr>
          <w:rFonts w:ascii="Calibri Light" w:hAnsi="Calibri Light" w:cs="Calibri Light"/>
        </w:rPr>
        <w:t xml:space="preserve"> million and $1,</w:t>
      </w:r>
      <w:r w:rsidR="005466BC">
        <w:rPr>
          <w:rFonts w:ascii="Calibri Light" w:hAnsi="Calibri Light" w:cs="Calibri Light"/>
        </w:rPr>
        <w:t>612</w:t>
      </w:r>
      <w:r w:rsidRPr="004A51D5">
        <w:rPr>
          <w:rFonts w:ascii="Calibri Light" w:hAnsi="Calibri Light" w:cs="Calibri Light"/>
        </w:rPr>
        <w:t xml:space="preserve"> million.</w:t>
      </w:r>
    </w:p>
    <w:p w14:paraId="2AF201A8" w14:textId="57C12ECC" w:rsidR="00605C06" w:rsidRPr="008E1B68" w:rsidRDefault="00605C06" w:rsidP="003B3BBB">
      <w:pPr>
        <w:pStyle w:val="Caption"/>
      </w:pPr>
      <w:r w:rsidRPr="008E1B68">
        <w:t xml:space="preserve">Chart </w:t>
      </w:r>
      <w:r w:rsidR="002D5799" w:rsidRPr="008E1B68">
        <w:t>5</w:t>
      </w:r>
      <w:r w:rsidRPr="008E1B68">
        <w:t>: Variance in forecast reporting entities for option 1a</w:t>
      </w:r>
    </w:p>
    <w:p w14:paraId="213656C3" w14:textId="77777777" w:rsidR="00605C06" w:rsidRDefault="00605C06" w:rsidP="001E6D79">
      <w:pPr>
        <w:pStyle w:val="BodyText"/>
        <w:jc w:val="center"/>
      </w:pPr>
      <w:r>
        <w:rPr>
          <w:noProof/>
        </w:rPr>
        <w:drawing>
          <wp:inline distT="0" distB="0" distL="0" distR="0" wp14:anchorId="6CD14F22" wp14:editId="60829FB8">
            <wp:extent cx="5572125" cy="3143250"/>
            <wp:effectExtent l="0" t="0" r="9525" b="0"/>
            <wp:docPr id="30" name="Chart 30">
              <a:extLst xmlns:a="http://schemas.openxmlformats.org/drawingml/2006/main">
                <a:ext uri="{FF2B5EF4-FFF2-40B4-BE49-F238E27FC236}">
                  <a16:creationId xmlns:a16="http://schemas.microsoft.com/office/drawing/2014/main" id="{D54334AF-D14E-8A96-606F-EA8D71F0B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BB35D03" w14:textId="77777777" w:rsidR="005B707B" w:rsidRPr="005B707B" w:rsidRDefault="005B707B" w:rsidP="005B707B">
      <w:pPr>
        <w:rPr>
          <w:bCs/>
          <w:sz w:val="20"/>
          <w:szCs w:val="18"/>
        </w:rPr>
      </w:pPr>
      <w:r w:rsidRPr="005B707B">
        <w:rPr>
          <w:bCs/>
          <w:sz w:val="20"/>
          <w:szCs w:val="18"/>
        </w:rPr>
        <w:t>Source: Treasury projections</w:t>
      </w:r>
    </w:p>
    <w:p w14:paraId="3CAB2A51" w14:textId="3672B786" w:rsidR="00605C06" w:rsidRPr="008E1B68" w:rsidRDefault="00605C06" w:rsidP="003B3BBB">
      <w:pPr>
        <w:pStyle w:val="Caption"/>
      </w:pPr>
      <w:r w:rsidRPr="008E1B68">
        <w:t xml:space="preserve">Chart </w:t>
      </w:r>
      <w:r w:rsidR="002D5799" w:rsidRPr="008E1B68">
        <w:t>6</w:t>
      </w:r>
      <w:r w:rsidRPr="008E1B68">
        <w:t>: Variance in compliance burden for option 1a</w:t>
      </w:r>
    </w:p>
    <w:p w14:paraId="0D83371A" w14:textId="77777777" w:rsidR="00605C06" w:rsidRDefault="00605C06" w:rsidP="001E6D79">
      <w:pPr>
        <w:jc w:val="center"/>
      </w:pPr>
      <w:r>
        <w:rPr>
          <w:noProof/>
        </w:rPr>
        <w:drawing>
          <wp:inline distT="0" distB="0" distL="0" distR="0" wp14:anchorId="04BBC8B4" wp14:editId="0E3631EF">
            <wp:extent cx="5581650" cy="3171825"/>
            <wp:effectExtent l="0" t="0" r="0" b="9525"/>
            <wp:docPr id="31" name="Chart 31">
              <a:extLst xmlns:a="http://schemas.openxmlformats.org/drawingml/2006/main">
                <a:ext uri="{FF2B5EF4-FFF2-40B4-BE49-F238E27FC236}">
                  <a16:creationId xmlns:a16="http://schemas.microsoft.com/office/drawing/2014/main" id="{A2556CAC-3D35-537E-BA04-2B58F1742C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B2D47C6" w14:textId="77777777" w:rsidR="005B707B" w:rsidRPr="005B707B" w:rsidRDefault="005B707B" w:rsidP="005B707B">
      <w:pPr>
        <w:rPr>
          <w:bCs/>
          <w:sz w:val="20"/>
          <w:szCs w:val="18"/>
        </w:rPr>
      </w:pPr>
      <w:r w:rsidRPr="005B707B">
        <w:rPr>
          <w:bCs/>
          <w:sz w:val="20"/>
          <w:szCs w:val="18"/>
        </w:rPr>
        <w:t>Source: Treasury projections</w:t>
      </w:r>
    </w:p>
    <w:p w14:paraId="6B57572E" w14:textId="41885E49" w:rsidR="00605C06" w:rsidRDefault="00605C06" w:rsidP="00605C06">
      <w:pPr>
        <w:pStyle w:val="Heading4"/>
      </w:pPr>
      <w:r>
        <w:t xml:space="preserve">Option 1b: </w:t>
      </w:r>
      <w:r w:rsidR="002D5799">
        <w:t>Narrower coverage and changes to assurance frameworks</w:t>
      </w:r>
    </w:p>
    <w:p w14:paraId="10B871D4" w14:textId="43C3DF00" w:rsidR="00605C06" w:rsidRPr="009859F0" w:rsidRDefault="00605C06" w:rsidP="00605C06">
      <w:pPr>
        <w:pStyle w:val="BodyText"/>
        <w:rPr>
          <w:rFonts w:ascii="Calibri Light" w:hAnsi="Calibri Light" w:cs="Calibri Light"/>
        </w:rPr>
      </w:pPr>
      <w:r w:rsidRPr="009859F0">
        <w:rPr>
          <w:rFonts w:ascii="Calibri Light" w:hAnsi="Calibri Light" w:cs="Calibri Light"/>
        </w:rPr>
        <w:t>With option 1b, we match the assumptions for forecasted entities as in option 1a. There is still a variance in compliance burden due to the variance in forecasted entities. In summary, we forecast a range of entities covered between 1,</w:t>
      </w:r>
      <w:r w:rsidR="006911FF">
        <w:rPr>
          <w:rFonts w:ascii="Calibri Light" w:hAnsi="Calibri Light" w:cs="Calibri Light"/>
        </w:rPr>
        <w:t>661</w:t>
      </w:r>
      <w:r w:rsidRPr="009859F0">
        <w:rPr>
          <w:rFonts w:ascii="Calibri Light" w:hAnsi="Calibri Light" w:cs="Calibri Light"/>
        </w:rPr>
        <w:t xml:space="preserve"> to 2,</w:t>
      </w:r>
      <w:r w:rsidR="006911FF">
        <w:rPr>
          <w:rFonts w:ascii="Calibri Light" w:hAnsi="Calibri Light" w:cs="Calibri Light"/>
        </w:rPr>
        <w:t>48</w:t>
      </w:r>
      <w:r w:rsidRPr="009859F0">
        <w:rPr>
          <w:rFonts w:ascii="Calibri Light" w:hAnsi="Calibri Light" w:cs="Calibri Light"/>
        </w:rPr>
        <w:t>6</w:t>
      </w:r>
      <w:r w:rsidR="006911FF">
        <w:rPr>
          <w:rFonts w:ascii="Calibri Light" w:hAnsi="Calibri Light" w:cs="Calibri Light"/>
        </w:rPr>
        <w:t xml:space="preserve"> (as in option 1a)</w:t>
      </w:r>
      <w:r w:rsidRPr="009859F0">
        <w:rPr>
          <w:rFonts w:ascii="Calibri Light" w:hAnsi="Calibri Light" w:cs="Calibri Light"/>
        </w:rPr>
        <w:t xml:space="preserve"> accompanying compliance costs of between $1,</w:t>
      </w:r>
      <w:r w:rsidR="006911FF">
        <w:rPr>
          <w:rFonts w:ascii="Calibri Light" w:hAnsi="Calibri Light" w:cs="Calibri Light"/>
        </w:rPr>
        <w:t>252</w:t>
      </w:r>
      <w:r w:rsidRPr="009859F0">
        <w:rPr>
          <w:rFonts w:ascii="Calibri Light" w:hAnsi="Calibri Light" w:cs="Calibri Light"/>
        </w:rPr>
        <w:t xml:space="preserve"> million and $1,</w:t>
      </w:r>
      <w:r w:rsidR="006911FF">
        <w:rPr>
          <w:rFonts w:ascii="Calibri Light" w:hAnsi="Calibri Light" w:cs="Calibri Light"/>
        </w:rPr>
        <w:t>549</w:t>
      </w:r>
      <w:r w:rsidRPr="009859F0">
        <w:rPr>
          <w:rFonts w:ascii="Calibri Light" w:hAnsi="Calibri Light" w:cs="Calibri Light"/>
        </w:rPr>
        <w:t xml:space="preserve"> million.</w:t>
      </w:r>
    </w:p>
    <w:p w14:paraId="0EF39E12" w14:textId="2D10D6E3" w:rsidR="00605C06" w:rsidRPr="008E1B68" w:rsidRDefault="00605C06" w:rsidP="003B3BBB">
      <w:pPr>
        <w:pStyle w:val="Caption"/>
      </w:pPr>
      <w:r w:rsidRPr="008E1B68">
        <w:t>Chart</w:t>
      </w:r>
      <w:r w:rsidR="002D5799" w:rsidRPr="008E1B68">
        <w:t xml:space="preserve"> 7</w:t>
      </w:r>
      <w:r w:rsidRPr="008E1B68">
        <w:t>: Variance in compliance burden for option 1</w:t>
      </w:r>
      <w:r w:rsidR="006911FF" w:rsidRPr="008E1B68">
        <w:t>b</w:t>
      </w:r>
    </w:p>
    <w:p w14:paraId="709952B2" w14:textId="53AB6099" w:rsidR="003A69D5" w:rsidRDefault="00605C06" w:rsidP="001E6D79">
      <w:pPr>
        <w:jc w:val="center"/>
      </w:pPr>
      <w:r>
        <w:rPr>
          <w:noProof/>
        </w:rPr>
        <w:drawing>
          <wp:inline distT="0" distB="0" distL="0" distR="0" wp14:anchorId="70A59DD4" wp14:editId="50265A5E">
            <wp:extent cx="5581650" cy="3267075"/>
            <wp:effectExtent l="0" t="0" r="0" b="9525"/>
            <wp:docPr id="33" name="Chart 33">
              <a:extLst xmlns:a="http://schemas.openxmlformats.org/drawingml/2006/main">
                <a:ext uri="{FF2B5EF4-FFF2-40B4-BE49-F238E27FC236}">
                  <a16:creationId xmlns:a16="http://schemas.microsoft.com/office/drawing/2014/main" id="{19EFB143-6C06-1C62-97C8-DC7C87FC9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D920620" w14:textId="77777777" w:rsidR="005B707B" w:rsidRPr="005B707B" w:rsidRDefault="005B707B" w:rsidP="005B707B">
      <w:pPr>
        <w:rPr>
          <w:bCs/>
          <w:sz w:val="20"/>
          <w:szCs w:val="18"/>
        </w:rPr>
      </w:pPr>
      <w:r w:rsidRPr="005B707B">
        <w:rPr>
          <w:bCs/>
          <w:sz w:val="20"/>
          <w:szCs w:val="18"/>
        </w:rPr>
        <w:t>Source: Treasury projections</w:t>
      </w:r>
    </w:p>
    <w:sectPr w:rsidR="005B707B" w:rsidRPr="005B707B" w:rsidSect="00061C5F">
      <w:headerReference w:type="default" r:id="rId44"/>
      <w:footerReference w:type="default" r:id="rId45"/>
      <w:headerReference w:type="first" r:id="rId46"/>
      <w:footerReference w:type="first" r:id="rId47"/>
      <w:pgSz w:w="11906" w:h="16838"/>
      <w:pgMar w:top="1418" w:right="1418"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2267" w14:textId="77777777" w:rsidR="007A336A" w:rsidRDefault="007A336A" w:rsidP="00D94EE3">
      <w:pPr>
        <w:spacing w:after="0"/>
      </w:pPr>
      <w:r>
        <w:separator/>
      </w:r>
    </w:p>
  </w:endnote>
  <w:endnote w:type="continuationSeparator" w:id="0">
    <w:p w14:paraId="55FBB173" w14:textId="77777777" w:rsidR="007A336A" w:rsidRDefault="007A336A" w:rsidP="00D94EE3">
      <w:pPr>
        <w:spacing w:after="0"/>
      </w:pPr>
      <w:r>
        <w:continuationSeparator/>
      </w:r>
    </w:p>
  </w:endnote>
  <w:endnote w:type="continuationNotice" w:id="1">
    <w:p w14:paraId="50445004" w14:textId="77777777" w:rsidR="007A336A" w:rsidRDefault="007A33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D981" w14:textId="77777777" w:rsidR="001C0415" w:rsidRDefault="001C0415" w:rsidP="001B2A30">
    <w:pPr>
      <w:pStyle w:val="FooterEven"/>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40A8" w14:textId="77777777" w:rsidR="001B2A30" w:rsidRDefault="001B2A30" w:rsidP="001B2A30">
    <w:pPr>
      <w:pStyle w:val="FooterEven"/>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BC63" w14:textId="77777777" w:rsidR="001B2A30" w:rsidRDefault="001B2A30" w:rsidP="001B2A30">
    <w:pPr>
      <w:pStyle w:val="FooterEven"/>
      <w:jc w:val="right"/>
    </w:pPr>
    <w:r>
      <w:drawing>
        <wp:anchor distT="0" distB="0" distL="114300" distR="114300" simplePos="0" relativeHeight="251658244" behindDoc="1" locked="0" layoutInCell="1" allowOverlap="0" wp14:anchorId="319ACD87" wp14:editId="1ACB9275">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t xml:space="preserve">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E5F5" w14:textId="19483A51" w:rsidR="00D94EE3" w:rsidRPr="00B80490" w:rsidRDefault="00B80490" w:rsidP="00B80490">
    <w:pPr>
      <w:pStyle w:val="FooterEven"/>
      <w:jc w:val="right"/>
    </w:pPr>
    <w:r>
      <w:drawing>
        <wp:anchor distT="0" distB="0" distL="114300" distR="114300" simplePos="0" relativeHeight="251658240" behindDoc="1" locked="0" layoutInCell="1" allowOverlap="0" wp14:anchorId="3574AD62" wp14:editId="582C63B7">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2B113E">
        <w:t>Policy options</w:t>
      </w:r>
    </w:fldSimple>
    <w:r>
      <w:t xml:space="preserve"> | </w:t>
    </w:r>
    <w:r>
      <w:rPr>
        <w:noProof w:val="0"/>
      </w:rPr>
      <w:fldChar w:fldCharType="begin"/>
    </w:r>
    <w:r>
      <w:instrText xml:space="preserve"> PAGE   \* MERGEFORMAT </w:instrText>
    </w:r>
    <w:r>
      <w:rPr>
        <w:noProof w:val="0"/>
      </w:rP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B3A7" w14:textId="08E846BB" w:rsidR="001C0415" w:rsidRPr="001B2A30" w:rsidRDefault="001B2A30" w:rsidP="001B2A30">
    <w:pPr>
      <w:pStyle w:val="FooterEven"/>
      <w:jc w:val="right"/>
    </w:pPr>
    <w:r>
      <w:drawing>
        <wp:anchor distT="0" distB="0" distL="114300" distR="114300" simplePos="0" relativeHeight="251658243" behindDoc="1" locked="0" layoutInCell="1" allowOverlap="0" wp14:anchorId="6327C341" wp14:editId="077A713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2B113E">
        <w:t>Key terms</w:t>
      </w:r>
    </w:fldSimple>
    <w:r>
      <w:t xml:space="preserve"> | </w:t>
    </w:r>
    <w:r w:rsidR="00C03E81">
      <w:rPr>
        <w:noProof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8B06" w14:textId="77777777" w:rsidR="007A336A" w:rsidRDefault="007A336A" w:rsidP="00D94EE3">
      <w:pPr>
        <w:spacing w:after="0"/>
      </w:pPr>
      <w:r>
        <w:separator/>
      </w:r>
    </w:p>
  </w:footnote>
  <w:footnote w:type="continuationSeparator" w:id="0">
    <w:p w14:paraId="02FE1524" w14:textId="77777777" w:rsidR="007A336A" w:rsidRDefault="007A336A" w:rsidP="00D94EE3">
      <w:pPr>
        <w:spacing w:after="0"/>
      </w:pPr>
      <w:r>
        <w:continuationSeparator/>
      </w:r>
    </w:p>
  </w:footnote>
  <w:footnote w:type="continuationNotice" w:id="1">
    <w:p w14:paraId="3789CDB0" w14:textId="77777777" w:rsidR="007A336A" w:rsidRDefault="007A336A">
      <w:pPr>
        <w:spacing w:before="0" w:after="0"/>
      </w:pPr>
    </w:p>
  </w:footnote>
  <w:footnote w:id="2">
    <w:p w14:paraId="06AC71E1" w14:textId="7E809038" w:rsidR="00FF1F4B" w:rsidRDefault="00FF1F4B" w:rsidP="001E6D79">
      <w:pPr>
        <w:pStyle w:val="FootnoteText"/>
      </w:pPr>
      <w:r>
        <w:rPr>
          <w:rStyle w:val="FootnoteReference"/>
        </w:rPr>
        <w:footnoteRef/>
      </w:r>
      <w:r>
        <w:t xml:space="preserve"> The International Energy Agency (IEA) projects that globally, by 2030, investment of just over $US 4 trillion</w:t>
      </w:r>
      <w:r w:rsidR="00F31220">
        <w:t xml:space="preserve"> per year</w:t>
      </w:r>
      <w:r>
        <w:t xml:space="preserve"> will be needed for this transformation. Financial markets will be critical in financing this investment.</w:t>
      </w:r>
    </w:p>
  </w:footnote>
  <w:footnote w:id="3">
    <w:p w14:paraId="0A8743F0" w14:textId="6A7DBC33" w:rsidR="00347274" w:rsidRDefault="00347274" w:rsidP="001E6D79">
      <w:pPr>
        <w:pStyle w:val="FootnoteText"/>
      </w:pPr>
      <w:r>
        <w:rPr>
          <w:rStyle w:val="FootnoteReference"/>
        </w:rPr>
        <w:footnoteRef/>
      </w:r>
      <w:r>
        <w:t xml:space="preserve"> </w:t>
      </w:r>
      <w:r w:rsidRPr="007D4B89">
        <w:t>https://kpmg.com/au/en/home/insights/2022/10/sustainability-</w:t>
      </w:r>
      <w:r w:rsidRPr="001E6D79">
        <w:t>reporting</w:t>
      </w:r>
      <w:r w:rsidRPr="007D4B89">
        <w:t>-survey-2022.html</w:t>
      </w:r>
    </w:p>
  </w:footnote>
  <w:footnote w:id="4">
    <w:p w14:paraId="5938BB32" w14:textId="77777777" w:rsidR="009D21BB" w:rsidRPr="0013446F" w:rsidRDefault="009D21BB" w:rsidP="009D21BB">
      <w:pPr>
        <w:pStyle w:val="FootnoteText"/>
        <w:ind w:left="0" w:firstLine="0"/>
        <w:rPr>
          <w:szCs w:val="18"/>
        </w:rPr>
      </w:pPr>
      <w:r>
        <w:rPr>
          <w:rStyle w:val="FootnoteReference"/>
        </w:rPr>
        <w:footnoteRef/>
      </w:r>
      <w:r>
        <w:rPr>
          <w:szCs w:val="18"/>
        </w:rPr>
        <w:t xml:space="preserve"> </w:t>
      </w:r>
      <w:r w:rsidRPr="00420D13">
        <w:rPr>
          <w:szCs w:val="18"/>
        </w:rPr>
        <w:t xml:space="preserve">Morris, R. D., Gray, S. J., Pickering, J., &amp; </w:t>
      </w:r>
      <w:proofErr w:type="spellStart"/>
      <w:r w:rsidRPr="00420D13">
        <w:rPr>
          <w:szCs w:val="18"/>
        </w:rPr>
        <w:t>Aisbitt</w:t>
      </w:r>
      <w:proofErr w:type="spellEnd"/>
      <w:r w:rsidRPr="00420D13">
        <w:rPr>
          <w:szCs w:val="18"/>
        </w:rPr>
        <w:t>, S. (2014). Preparers' perceptions of the costs and benefits of IFRS: Evidence from Australia's implementation experience. Accounting Horizons, 28(1), 143-173.</w:t>
      </w:r>
    </w:p>
  </w:footnote>
  <w:footnote w:id="5">
    <w:p w14:paraId="707246A0" w14:textId="77777777" w:rsidR="009D21BB" w:rsidRDefault="009D21BB" w:rsidP="009D21BB">
      <w:pPr>
        <w:pStyle w:val="FootnoteText"/>
        <w:ind w:left="0" w:firstLine="0"/>
      </w:pPr>
      <w:r>
        <w:rPr>
          <w:rStyle w:val="FootnoteReference"/>
        </w:rPr>
        <w:footnoteRef/>
      </w:r>
      <w:r>
        <w:t xml:space="preserve"> </w:t>
      </w:r>
      <w:r w:rsidRPr="00420D13">
        <w:rPr>
          <w:szCs w:val="18"/>
        </w:rPr>
        <w:t xml:space="preserve">Collett, P., Godfrey, J., &amp; </w:t>
      </w:r>
      <w:proofErr w:type="spellStart"/>
      <w:r w:rsidRPr="00420D13">
        <w:rPr>
          <w:szCs w:val="18"/>
        </w:rPr>
        <w:t>Hrasky</w:t>
      </w:r>
      <w:proofErr w:type="spellEnd"/>
      <w:r w:rsidRPr="00420D13">
        <w:rPr>
          <w:szCs w:val="18"/>
        </w:rPr>
        <w:t>, S. (1998). Standard‐setting in Australia: Implications of recent radical reform proposals. Australian Accounting Review, 8(16), 9-17.</w:t>
      </w:r>
    </w:p>
  </w:footnote>
  <w:footnote w:id="6">
    <w:p w14:paraId="3C43B42C" w14:textId="5F031A4D" w:rsidR="004A2CDE" w:rsidRDefault="004A2CDE" w:rsidP="001E6D79">
      <w:pPr>
        <w:pStyle w:val="FootnoteText"/>
      </w:pPr>
      <w:r>
        <w:rPr>
          <w:rStyle w:val="FootnoteReference"/>
        </w:rPr>
        <w:footnoteRef/>
      </w:r>
      <w:r>
        <w:t xml:space="preserve"> </w:t>
      </w:r>
      <w:r w:rsidR="00551DA1" w:rsidRPr="00551DA1">
        <w:t>https://www.iea.org/reports/world-energy-outlook-2021/</w:t>
      </w:r>
      <w:r w:rsidR="00551DA1" w:rsidRPr="001E6D79">
        <w:t>mobilising</w:t>
      </w:r>
      <w:r w:rsidR="00551DA1" w:rsidRPr="00551DA1">
        <w:t>-investment-and-finance</w:t>
      </w:r>
    </w:p>
  </w:footnote>
  <w:footnote w:id="7">
    <w:p w14:paraId="4418A7A4" w14:textId="6C8A770E" w:rsidR="009C241A" w:rsidRDefault="009C241A">
      <w:pPr>
        <w:pStyle w:val="FootnoteText"/>
      </w:pPr>
      <w:r>
        <w:rPr>
          <w:rStyle w:val="FootnoteReference"/>
        </w:rPr>
        <w:footnoteRef/>
      </w:r>
      <w:r>
        <w:t xml:space="preserve"> Chapter 2 - Carbon risk: a burning issue – Senate Economics References Committee Report (2017): </w:t>
      </w:r>
      <w:r w:rsidRPr="001B34A1">
        <w:rPr>
          <w:szCs w:val="18"/>
        </w:rPr>
        <w:t>https://www.aph.gov.au/Parliamentary_Business/Committees/Senate/Economics/Carbonriskdisclosure45/Report</w:t>
      </w:r>
    </w:p>
  </w:footnote>
  <w:footnote w:id="8">
    <w:p w14:paraId="41F16DCE" w14:textId="0824023B" w:rsidR="00BC127D" w:rsidRPr="000552A5" w:rsidRDefault="00BC127D" w:rsidP="000552A5">
      <w:pPr>
        <w:pStyle w:val="FootnoteText"/>
      </w:pPr>
      <w:r w:rsidRPr="000552A5">
        <w:rPr>
          <w:rStyle w:val="FootnoteReference"/>
        </w:rPr>
        <w:footnoteRef/>
      </w:r>
      <w:r w:rsidRPr="000552A5">
        <w:t xml:space="preserve"> </w:t>
      </w:r>
      <w:r w:rsidR="009C241A">
        <w:t>Ibid.</w:t>
      </w:r>
    </w:p>
  </w:footnote>
  <w:footnote w:id="9">
    <w:p w14:paraId="63340BD2" w14:textId="77777777" w:rsidR="00455B80" w:rsidRPr="000552A5" w:rsidRDefault="00455B80" w:rsidP="000552A5">
      <w:pPr>
        <w:pStyle w:val="FootnoteText"/>
      </w:pPr>
      <w:r w:rsidRPr="000552A5">
        <w:rPr>
          <w:rStyle w:val="FootnoteReference"/>
        </w:rPr>
        <w:footnoteRef/>
      </w:r>
      <w:r w:rsidRPr="000552A5">
        <w:t xml:space="preserve"> Page 5 -https://treasury.gov.au/sites/default/files/2023-04/c2022-314397-acsi.pdf</w:t>
      </w:r>
    </w:p>
  </w:footnote>
  <w:footnote w:id="10">
    <w:p w14:paraId="5EB6534D" w14:textId="77777777" w:rsidR="00455B80" w:rsidRDefault="00455B80" w:rsidP="000552A5">
      <w:pPr>
        <w:pStyle w:val="FootnoteText"/>
      </w:pPr>
      <w:r w:rsidRPr="000552A5">
        <w:rPr>
          <w:rStyle w:val="FootnoteReference"/>
        </w:rPr>
        <w:footnoteRef/>
      </w:r>
      <w:r w:rsidRPr="000552A5">
        <w:t xml:space="preserve"> Page 5 -https://www.ey.com/en_gl/climate-change-sustainability-services/risk-barometer-survey-2022</w:t>
      </w:r>
    </w:p>
  </w:footnote>
  <w:footnote w:id="11">
    <w:p w14:paraId="5106CA56" w14:textId="55E24E5D" w:rsidR="00CE004B" w:rsidRPr="000552A5" w:rsidRDefault="00CE004B" w:rsidP="000552A5">
      <w:pPr>
        <w:pStyle w:val="FootnoteText"/>
      </w:pPr>
      <w:r>
        <w:rPr>
          <w:rStyle w:val="FootnoteReference"/>
        </w:rPr>
        <w:footnoteRef/>
      </w:r>
      <w:r>
        <w:t xml:space="preserve"> </w:t>
      </w:r>
      <w:r w:rsidRPr="00CE004B">
        <w:t>https</w:t>
      </w:r>
      <w:r w:rsidRPr="000552A5">
        <w:t>://asic.gov.au/about-asic/news-centre/articles/asic-s-current-focus-what-are-the-regulator-s-expectations-on-sustainability-related-disclosures/</w:t>
      </w:r>
    </w:p>
  </w:footnote>
  <w:footnote w:id="12">
    <w:p w14:paraId="0D05E5A6" w14:textId="45BB9B94" w:rsidR="00DA7C3B" w:rsidRPr="000552A5" w:rsidRDefault="00DA7C3B" w:rsidP="000552A5">
      <w:pPr>
        <w:pStyle w:val="FootnoteText"/>
      </w:pPr>
      <w:r w:rsidRPr="000552A5">
        <w:rPr>
          <w:rStyle w:val="FootnoteReference"/>
        </w:rPr>
        <w:footnoteRef/>
      </w:r>
      <w:r w:rsidRPr="000552A5">
        <w:t xml:space="preserve"> </w:t>
      </w:r>
      <w:r w:rsidR="00DE6099" w:rsidRPr="000552A5">
        <w:t>Page 27</w:t>
      </w:r>
      <w:r w:rsidR="002709C6" w:rsidRPr="000552A5">
        <w:t xml:space="preserve"> and 28</w:t>
      </w:r>
      <w:r w:rsidR="00DE6099" w:rsidRPr="000552A5">
        <w:t xml:space="preserve"> - https://www.asx.com.au/documents/asx-compliance/cgc-principles-and-recommendations-fourth-edn.pdf</w:t>
      </w:r>
    </w:p>
  </w:footnote>
  <w:footnote w:id="13">
    <w:p w14:paraId="305216C8" w14:textId="0942AE04" w:rsidR="00197F54" w:rsidRPr="000552A5" w:rsidRDefault="00197F54" w:rsidP="000552A5">
      <w:pPr>
        <w:pStyle w:val="FootnoteText"/>
      </w:pPr>
      <w:r w:rsidRPr="000552A5">
        <w:rPr>
          <w:rStyle w:val="FootnoteReference"/>
        </w:rPr>
        <w:footnoteRef/>
      </w:r>
      <w:r w:rsidRPr="000552A5">
        <w:t xml:space="preserve"> </w:t>
      </w:r>
      <w:r w:rsidR="00F35A9A" w:rsidRPr="000552A5">
        <w:t>Page 5</w:t>
      </w:r>
      <w:r w:rsidR="00AA629E" w:rsidRPr="000552A5">
        <w:t xml:space="preserve"> – Table ES1 -</w:t>
      </w:r>
      <w:r w:rsidRPr="000552A5">
        <w:t>https://assets.bbhub.io/company/sites/60/2022/10/2022-TCFD-Status-Report.pdf</w:t>
      </w:r>
    </w:p>
  </w:footnote>
  <w:footnote w:id="14">
    <w:p w14:paraId="5840BCA3" w14:textId="720F13BA" w:rsidR="00197F54" w:rsidRPr="000552A5" w:rsidRDefault="00197F54" w:rsidP="000552A5">
      <w:pPr>
        <w:pStyle w:val="FootnoteText"/>
      </w:pPr>
      <w:r w:rsidRPr="000552A5">
        <w:rPr>
          <w:rStyle w:val="FootnoteReference"/>
        </w:rPr>
        <w:footnoteRef/>
      </w:r>
      <w:r w:rsidRPr="000552A5">
        <w:t xml:space="preserve"> </w:t>
      </w:r>
      <w:r w:rsidR="00800CC3" w:rsidRPr="000552A5">
        <w:t xml:space="preserve">Page </w:t>
      </w:r>
      <w:r w:rsidR="00803A2D" w:rsidRPr="000552A5">
        <w:t xml:space="preserve">2 - </w:t>
      </w:r>
      <w:r w:rsidR="00800CC3" w:rsidRPr="000552A5">
        <w:t>https://assets.kpmg.com/content/dam/kpmg/au/pdf/2023/australian-sustainability-reporting-trends-june-2023-update.pdf</w:t>
      </w:r>
    </w:p>
  </w:footnote>
  <w:footnote w:id="15">
    <w:p w14:paraId="6BAD0EC5" w14:textId="5C5E41DC" w:rsidR="00A22C74" w:rsidRPr="000552A5" w:rsidRDefault="00A22C74" w:rsidP="000552A5">
      <w:pPr>
        <w:pStyle w:val="FootnoteText"/>
      </w:pPr>
      <w:r w:rsidRPr="000552A5">
        <w:rPr>
          <w:rStyle w:val="FootnoteReference"/>
        </w:rPr>
        <w:footnoteRef/>
      </w:r>
      <w:r w:rsidRPr="000552A5">
        <w:t xml:space="preserve"> </w:t>
      </w:r>
      <w:r w:rsidR="00667F19" w:rsidRPr="000552A5">
        <w:t>Page 6 - https://acsi.org.au/wp-content/uploads/2023/08/Promises-Pathways-Performance-Climate-reporting-in-the-ASX200-August-2023.pdf</w:t>
      </w:r>
    </w:p>
  </w:footnote>
  <w:footnote w:id="16">
    <w:p w14:paraId="63115A4C" w14:textId="72DA0AF9" w:rsidR="004719A6" w:rsidRPr="000552A5" w:rsidRDefault="004719A6" w:rsidP="000552A5">
      <w:pPr>
        <w:pStyle w:val="FootnoteText"/>
      </w:pPr>
      <w:r w:rsidRPr="000552A5">
        <w:rPr>
          <w:rStyle w:val="FootnoteReference"/>
        </w:rPr>
        <w:footnoteRef/>
      </w:r>
      <w:r w:rsidR="00C90301" w:rsidRPr="000552A5">
        <w:t xml:space="preserve"> Page 7 </w:t>
      </w:r>
      <w:r w:rsidR="006D0963" w:rsidRPr="000552A5">
        <w:t>–</w:t>
      </w:r>
      <w:r w:rsidR="00C90301" w:rsidRPr="000552A5">
        <w:t xml:space="preserve"> </w:t>
      </w:r>
      <w:r w:rsidR="006D0963" w:rsidRPr="000552A5">
        <w:t>Figure 2 -</w:t>
      </w:r>
      <w:r w:rsidRPr="000552A5">
        <w:t xml:space="preserve"> </w:t>
      </w:r>
      <w:r w:rsidR="00C90301" w:rsidRPr="000552A5">
        <w:t>https://acsi.org.au/wp-content/uploads/2023/08/Promises-Pathways-Performance-Climate-reporting-in-the-ASX200-August-2023.pdf</w:t>
      </w:r>
    </w:p>
  </w:footnote>
  <w:footnote w:id="17">
    <w:p w14:paraId="5D836690" w14:textId="77777777" w:rsidR="00197F54" w:rsidRDefault="00197F54" w:rsidP="000552A5">
      <w:pPr>
        <w:pStyle w:val="FootnoteText"/>
      </w:pPr>
      <w:r w:rsidRPr="004540D8">
        <w:rPr>
          <w:rStyle w:val="FootnoteReference"/>
          <w:szCs w:val="18"/>
        </w:rPr>
        <w:footnoteRef/>
      </w:r>
      <w:r w:rsidRPr="004540D8">
        <w:t xml:space="preserve"> https://ifacweb.blob.core.windows.net/</w:t>
      </w:r>
      <w:r w:rsidRPr="000552A5">
        <w:t>publicfiles</w:t>
      </w:r>
      <w:r w:rsidRPr="004540D8">
        <w:t>/2023-02/IFAC-State-of-Play-Sustainability-Assurance-Disclosures_0.pdf</w:t>
      </w:r>
    </w:p>
  </w:footnote>
  <w:footnote w:id="18">
    <w:p w14:paraId="7DF501EB" w14:textId="36CE466F" w:rsidR="007474B4" w:rsidRPr="000552A5" w:rsidRDefault="007474B4" w:rsidP="00EF3E70">
      <w:pPr>
        <w:pStyle w:val="FootnoteText"/>
        <w:ind w:left="0" w:firstLine="0"/>
      </w:pPr>
      <w:r w:rsidRPr="000552A5">
        <w:rPr>
          <w:rStyle w:val="FootnoteReference"/>
        </w:rPr>
        <w:footnoteRef/>
      </w:r>
      <w:r w:rsidRPr="000552A5">
        <w:t xml:space="preserve"> </w:t>
      </w:r>
      <w:r w:rsidR="001E4A39" w:rsidRPr="000552A5">
        <w:t xml:space="preserve">Quote from </w:t>
      </w:r>
      <w:proofErr w:type="spellStart"/>
      <w:r w:rsidR="001E4A39" w:rsidRPr="000552A5">
        <w:t>Erkki</w:t>
      </w:r>
      <w:proofErr w:type="spellEnd"/>
      <w:r w:rsidR="001E4A39" w:rsidRPr="000552A5">
        <w:t xml:space="preserve"> </w:t>
      </w:r>
      <w:proofErr w:type="spellStart"/>
      <w:r w:rsidR="001E4A39" w:rsidRPr="000552A5">
        <w:t>Liikanen</w:t>
      </w:r>
      <w:proofErr w:type="spellEnd"/>
      <w:r w:rsidR="001E4A39" w:rsidRPr="000552A5">
        <w:t>, Chair of the IFRS Foundation Trustees:</w:t>
      </w:r>
      <w:r w:rsidR="002D4AFF" w:rsidRPr="000552A5">
        <w:t xml:space="preserve"> </w:t>
      </w:r>
      <w:r w:rsidR="00F219C5" w:rsidRPr="000552A5">
        <w:t>https://www.ifrs.org/news-and-events/news/2023/06/issb-issues-ifrs-s1-ifrs-s2/.</w:t>
      </w:r>
    </w:p>
  </w:footnote>
  <w:footnote w:id="19">
    <w:p w14:paraId="21F656EC" w14:textId="608BFBE4" w:rsidR="000D103E" w:rsidRDefault="000D103E" w:rsidP="000552A5">
      <w:pPr>
        <w:pStyle w:val="FootnoteText"/>
      </w:pPr>
      <w:r w:rsidRPr="000552A5">
        <w:rPr>
          <w:rStyle w:val="FootnoteReference"/>
        </w:rPr>
        <w:footnoteRef/>
      </w:r>
      <w:r w:rsidRPr="000552A5">
        <w:t xml:space="preserve"> https://www.accc.gov.au/media-release/accc-greenwashing-internet-sweep-unearths-widespread-concerning-claims</w:t>
      </w:r>
    </w:p>
  </w:footnote>
  <w:footnote w:id="20">
    <w:p w14:paraId="586A3400" w14:textId="77777777" w:rsidR="00135570" w:rsidRPr="000552A5" w:rsidRDefault="00135570" w:rsidP="00135570">
      <w:pPr>
        <w:pStyle w:val="FootnoteText"/>
        <w:ind w:left="0" w:firstLine="0"/>
      </w:pPr>
      <w:r w:rsidRPr="000552A5">
        <w:rPr>
          <w:rStyle w:val="FootnoteReference"/>
        </w:rPr>
        <w:footnoteRef/>
      </w:r>
      <w:r w:rsidRPr="000552A5">
        <w:t xml:space="preserve"> </w:t>
      </w:r>
      <w:r w:rsidRPr="00DB24EE">
        <w:t>https://assets.ey.com/content/dam/ey-sites/ey-com/en_gl/topics/assurance/assurance-pdfs/ey-global-reporting-survey-report-2022.pdf</w:t>
      </w:r>
    </w:p>
  </w:footnote>
  <w:footnote w:id="21">
    <w:p w14:paraId="1ECDB281" w14:textId="2119F713" w:rsidR="00446A09" w:rsidRPr="000552A5" w:rsidRDefault="00446A09" w:rsidP="00EF3E70">
      <w:pPr>
        <w:pStyle w:val="FootnoteText"/>
        <w:ind w:left="0" w:firstLine="0"/>
      </w:pPr>
      <w:r w:rsidRPr="000552A5">
        <w:rPr>
          <w:rStyle w:val="FootnoteReference"/>
        </w:rPr>
        <w:footnoteRef/>
      </w:r>
      <w:r w:rsidRPr="000552A5">
        <w:t xml:space="preserve"> Page 25 - https://www.ifac.org/system/files/publications/files/IFAC-Benchmarking-Global-Practice-Sustainability-Assurance.pdf</w:t>
      </w:r>
    </w:p>
  </w:footnote>
  <w:footnote w:id="22">
    <w:p w14:paraId="23800FC8" w14:textId="04166A25" w:rsidR="0079209F" w:rsidRPr="000552A5" w:rsidRDefault="0079209F" w:rsidP="00EF3E70">
      <w:pPr>
        <w:pStyle w:val="FootnoteText"/>
        <w:ind w:left="0" w:firstLine="0"/>
      </w:pPr>
      <w:r w:rsidRPr="000552A5">
        <w:rPr>
          <w:rStyle w:val="FootnoteReference"/>
        </w:rPr>
        <w:footnoteRef/>
      </w:r>
      <w:r w:rsidRPr="000552A5">
        <w:t xml:space="preserve"> </w:t>
      </w:r>
      <w:r w:rsidR="00AC44D1" w:rsidRPr="000552A5">
        <w:t>P</w:t>
      </w:r>
      <w:r w:rsidR="00F219C5" w:rsidRPr="000552A5">
        <w:t>a</w:t>
      </w:r>
      <w:r w:rsidR="00AC44D1" w:rsidRPr="000552A5">
        <w:t>g</w:t>
      </w:r>
      <w:r w:rsidR="00F219C5" w:rsidRPr="000552A5">
        <w:t>e</w:t>
      </w:r>
      <w:r w:rsidR="00AC44D1" w:rsidRPr="000552A5">
        <w:t xml:space="preserve"> 7 - </w:t>
      </w:r>
      <w:r w:rsidRPr="000552A5">
        <w:t>https://www.ifac.org/system/files/publications/files/IFAC-Benchmarking-Global-Practice-Sustainability-Assurance.pdf</w:t>
      </w:r>
    </w:p>
  </w:footnote>
  <w:footnote w:id="23">
    <w:p w14:paraId="12B3D33D" w14:textId="05E31692" w:rsidR="00BD57AD" w:rsidRPr="000552A5" w:rsidRDefault="00BD57AD" w:rsidP="00EF3E70">
      <w:pPr>
        <w:pStyle w:val="FootnoteText"/>
        <w:ind w:left="0" w:firstLine="0"/>
      </w:pPr>
      <w:r w:rsidRPr="000552A5">
        <w:rPr>
          <w:rStyle w:val="FootnoteReference"/>
        </w:rPr>
        <w:footnoteRef/>
      </w:r>
      <w:r w:rsidRPr="000552A5">
        <w:t xml:space="preserve"> </w:t>
      </w:r>
      <w:r w:rsidR="00597E63" w:rsidRPr="000552A5">
        <w:t>P</w:t>
      </w:r>
      <w:r w:rsidR="00F219C5" w:rsidRPr="000552A5">
        <w:t>a</w:t>
      </w:r>
      <w:r w:rsidR="00597E63" w:rsidRPr="000552A5">
        <w:t>g</w:t>
      </w:r>
      <w:r w:rsidR="00F219C5" w:rsidRPr="000552A5">
        <w:t>e</w:t>
      </w:r>
      <w:r w:rsidR="00597E63" w:rsidRPr="000552A5">
        <w:t xml:space="preserve"> 19</w:t>
      </w:r>
      <w:r w:rsidR="0079209F" w:rsidRPr="000552A5">
        <w:t xml:space="preserve"> -</w:t>
      </w:r>
      <w:r w:rsidR="00597E63" w:rsidRPr="000552A5">
        <w:t xml:space="preserve"> AASB-AUASB Research Report Climate Related Disclosures (12/22)</w:t>
      </w:r>
    </w:p>
  </w:footnote>
  <w:footnote w:id="24">
    <w:p w14:paraId="2DF0FC60" w14:textId="4FC2A031" w:rsidR="00197F54" w:rsidRDefault="00197F54" w:rsidP="00EF3E70">
      <w:pPr>
        <w:pStyle w:val="FootnoteText"/>
        <w:ind w:left="0" w:firstLine="0"/>
      </w:pPr>
      <w:r w:rsidRPr="000552A5">
        <w:rPr>
          <w:rStyle w:val="FootnoteReference"/>
        </w:rPr>
        <w:footnoteRef/>
      </w:r>
      <w:r w:rsidRPr="000552A5">
        <w:t xml:space="preserve"> </w:t>
      </w:r>
      <w:r w:rsidR="00D1095A" w:rsidRPr="000552A5">
        <w:t>Page 8 -</w:t>
      </w:r>
      <w:r w:rsidRPr="000552A5">
        <w:t xml:space="preserve"> https://acsi.org.au/wp-content/uploads/2022/08/WEBSITE-VERSION-ACSI-Climate-Change-Disclosure-in-ASX200-designed-1.pdf</w:t>
      </w:r>
      <w:r w:rsidR="001430E0">
        <w:t xml:space="preserve"> </w:t>
      </w:r>
    </w:p>
  </w:footnote>
  <w:footnote w:id="25">
    <w:p w14:paraId="049F4B98" w14:textId="44444025" w:rsidR="00061105" w:rsidRPr="000552A5" w:rsidRDefault="00061105" w:rsidP="000552A5">
      <w:pPr>
        <w:pStyle w:val="FootnoteText"/>
      </w:pPr>
      <w:r w:rsidRPr="000552A5">
        <w:rPr>
          <w:rStyle w:val="FootnoteReference"/>
        </w:rPr>
        <w:footnoteRef/>
      </w:r>
      <w:r w:rsidRPr="000552A5">
        <w:t xml:space="preserve"> </w:t>
      </w:r>
      <w:r w:rsidR="00062540" w:rsidRPr="000552A5">
        <w:t>P</w:t>
      </w:r>
      <w:r w:rsidR="00504056" w:rsidRPr="000552A5">
        <w:t>a</w:t>
      </w:r>
      <w:r w:rsidR="00062540" w:rsidRPr="000552A5">
        <w:t>g</w:t>
      </w:r>
      <w:r w:rsidR="00504056" w:rsidRPr="000552A5">
        <w:t>e</w:t>
      </w:r>
      <w:r w:rsidR="00062540" w:rsidRPr="000552A5">
        <w:t xml:space="preserve"> 3 - </w:t>
      </w:r>
      <w:hyperlink r:id="rId1" w:history="1">
        <w:r w:rsidR="00062540" w:rsidRPr="000552A5">
          <w:rPr>
            <w:rStyle w:val="Hyperlink"/>
            <w:color w:val="auto"/>
          </w:rPr>
          <w:t>IFAC-State-of-Play-in-Sustainability-Reporting-and-Assurance-2019-2020-date.pdf</w:t>
        </w:r>
      </w:hyperlink>
    </w:p>
  </w:footnote>
  <w:footnote w:id="26">
    <w:p w14:paraId="517141D7" w14:textId="77777777" w:rsidR="00A46613" w:rsidRDefault="00A46613"/>
  </w:footnote>
  <w:footnote w:id="27">
    <w:p w14:paraId="4A734759" w14:textId="29153FC0" w:rsidR="00372323" w:rsidRDefault="00372323" w:rsidP="000552A5">
      <w:pPr>
        <w:pStyle w:val="FootnoteText"/>
      </w:pPr>
      <w:r>
        <w:rPr>
          <w:rStyle w:val="FootnoteReference"/>
        </w:rPr>
        <w:footnoteRef/>
      </w:r>
      <w:r>
        <w:t xml:space="preserve"> </w:t>
      </w:r>
      <w:r w:rsidR="00F00FD4">
        <w:t xml:space="preserve">Page 19 - </w:t>
      </w:r>
      <w:r w:rsidR="00FC5BE7" w:rsidRPr="00F00FD4">
        <w:t>https://aasb.gov.au/media/xu5leeby/aasb-auasb_rr_climaterelateddisclosures_12-22.pdf</w:t>
      </w:r>
    </w:p>
  </w:footnote>
  <w:footnote w:id="28">
    <w:p w14:paraId="19A8DD37" w14:textId="2716DEBA" w:rsidR="00FC5BE7" w:rsidRPr="000552A5" w:rsidRDefault="00FC5BE7" w:rsidP="00C17655">
      <w:pPr>
        <w:pStyle w:val="FootnoteText"/>
        <w:ind w:left="0" w:firstLine="0"/>
      </w:pPr>
      <w:r w:rsidRPr="000552A5">
        <w:rPr>
          <w:rStyle w:val="FootnoteReference"/>
        </w:rPr>
        <w:footnoteRef/>
      </w:r>
      <w:r w:rsidRPr="000552A5">
        <w:t xml:space="preserve"> https://www.iaasb.org/focus-areas/understanding-international-standard-sustainability-assurance-5000</w:t>
      </w:r>
    </w:p>
  </w:footnote>
  <w:footnote w:id="29">
    <w:p w14:paraId="797D60B2" w14:textId="79CB7004" w:rsidR="00241EC5" w:rsidRPr="000552A5" w:rsidRDefault="00241EC5" w:rsidP="00C17655">
      <w:pPr>
        <w:pStyle w:val="FootnoteText"/>
        <w:ind w:left="0" w:firstLine="0"/>
      </w:pPr>
      <w:r w:rsidRPr="000552A5">
        <w:rPr>
          <w:rStyle w:val="FootnoteReference"/>
        </w:rPr>
        <w:footnoteRef/>
      </w:r>
      <w:r w:rsidRPr="000552A5">
        <w:t xml:space="preserve"> Page 34 - ISSB Effects Analysis - </w:t>
      </w:r>
      <w:r w:rsidR="00314A0A" w:rsidRPr="000552A5">
        <w:t>https://www.ifrs.org/content/dam/ifrs/project/general-sustainability-related-disclosures/effects-analysis.pdf</w:t>
      </w:r>
    </w:p>
  </w:footnote>
  <w:footnote w:id="30">
    <w:p w14:paraId="28FEFE2B" w14:textId="30601046" w:rsidR="00094BA0" w:rsidRDefault="00094BA0" w:rsidP="00C17655">
      <w:pPr>
        <w:pStyle w:val="FootnoteText"/>
        <w:ind w:left="0" w:firstLine="0"/>
      </w:pPr>
      <w:r w:rsidRPr="000552A5">
        <w:rPr>
          <w:rStyle w:val="FootnoteReference"/>
        </w:rPr>
        <w:footnoteRef/>
      </w:r>
      <w:r w:rsidRPr="000552A5">
        <w:t xml:space="preserve"> See for example, </w:t>
      </w:r>
      <w:proofErr w:type="spellStart"/>
      <w:proofErr w:type="gramStart"/>
      <w:r w:rsidRPr="000552A5">
        <w:t>K.Bochkay</w:t>
      </w:r>
      <w:proofErr w:type="spellEnd"/>
      <w:proofErr w:type="gramEnd"/>
      <w:r w:rsidRPr="000552A5">
        <w:t xml:space="preserve">, </w:t>
      </w:r>
      <w:proofErr w:type="spellStart"/>
      <w:r w:rsidRPr="000552A5">
        <w:t>J.Hales</w:t>
      </w:r>
      <w:proofErr w:type="spellEnd"/>
      <w:r w:rsidRPr="000552A5">
        <w:t xml:space="preserve"> and </w:t>
      </w:r>
      <w:proofErr w:type="spellStart"/>
      <w:r w:rsidRPr="000552A5">
        <w:t>G.Serafiem</w:t>
      </w:r>
      <w:proofErr w:type="spellEnd"/>
      <w:r w:rsidRPr="000552A5">
        <w:t>, ‘</w:t>
      </w:r>
      <w:r w:rsidRPr="000F1465">
        <w:rPr>
          <w:i/>
          <w:iCs/>
        </w:rPr>
        <w:t>Disclosure Standards and Communication Norms: Evidence of Voluntary Disclosure Standards as a Coordinating Device for Capital Markets</w:t>
      </w:r>
      <w:r w:rsidRPr="000552A5">
        <w:t>’</w:t>
      </w:r>
      <w:r w:rsidR="004B1E32" w:rsidRPr="000552A5">
        <w:t>, Miami, Florida, University of Miami Business School Research Paper no.392</w:t>
      </w:r>
      <w:r w:rsidR="00E756D5" w:rsidRPr="000552A5">
        <w:t xml:space="preserve">8979, 2021; </w:t>
      </w:r>
      <w:proofErr w:type="spellStart"/>
      <w:r w:rsidR="00E756D5" w:rsidRPr="000552A5">
        <w:t>K.Bochkay</w:t>
      </w:r>
      <w:proofErr w:type="spellEnd"/>
      <w:r w:rsidR="00E756D5" w:rsidRPr="000552A5">
        <w:t xml:space="preserve">, </w:t>
      </w:r>
      <w:proofErr w:type="spellStart"/>
      <w:r w:rsidR="00E756D5" w:rsidRPr="000552A5">
        <w:t>S.Choi</w:t>
      </w:r>
      <w:proofErr w:type="spellEnd"/>
      <w:r w:rsidR="00E756D5" w:rsidRPr="000552A5">
        <w:t xml:space="preserve"> and </w:t>
      </w:r>
      <w:proofErr w:type="spellStart"/>
      <w:r w:rsidR="00E756D5" w:rsidRPr="000552A5">
        <w:t>J.Hales</w:t>
      </w:r>
      <w:proofErr w:type="spellEnd"/>
      <w:r w:rsidR="00E756D5" w:rsidRPr="000552A5">
        <w:t xml:space="preserve">, </w:t>
      </w:r>
      <w:r w:rsidR="00380F30" w:rsidRPr="000552A5">
        <w:t>‘</w:t>
      </w:r>
      <w:r w:rsidR="00E756D5" w:rsidRPr="000F1465">
        <w:rPr>
          <w:i/>
          <w:iCs/>
        </w:rPr>
        <w:t>Mere Puffery or Credible Disclosure? The Real Effects of Adopting Voluntary ESG Disclosure Standards</w:t>
      </w:r>
      <w:r w:rsidR="00380F30" w:rsidRPr="000552A5">
        <w:t>’</w:t>
      </w:r>
      <w:r w:rsidR="00E756D5" w:rsidRPr="000552A5">
        <w:t>, 2022.</w:t>
      </w:r>
    </w:p>
  </w:footnote>
  <w:footnote w:id="31">
    <w:p w14:paraId="167A57F1" w14:textId="0E728E2E" w:rsidR="00644FB9" w:rsidRDefault="00644FB9" w:rsidP="002D5B70">
      <w:pPr>
        <w:pStyle w:val="FootnoteText"/>
        <w:ind w:left="0" w:firstLine="0"/>
      </w:pPr>
      <w:r>
        <w:rPr>
          <w:rStyle w:val="FootnoteReference"/>
        </w:rPr>
        <w:footnoteRef/>
      </w:r>
      <w:r>
        <w:t xml:space="preserve"> </w:t>
      </w:r>
      <w:proofErr w:type="spellStart"/>
      <w:proofErr w:type="gramStart"/>
      <w:r w:rsidR="00DE6BF6">
        <w:t>P.Krueger</w:t>
      </w:r>
      <w:proofErr w:type="spellEnd"/>
      <w:proofErr w:type="gramEnd"/>
      <w:r w:rsidR="00DE6BF6">
        <w:t xml:space="preserve"> et al., ‘The Effects of Mandatory ESG Disclosure Around the World</w:t>
      </w:r>
      <w:r w:rsidR="000F2A81">
        <w:t>’ European Corporate Governance Institute – Finance Working Paper no.754, Brussels, 2021, pp. 21-44</w:t>
      </w:r>
    </w:p>
  </w:footnote>
  <w:footnote w:id="32">
    <w:p w14:paraId="0847698C" w14:textId="77777777" w:rsidR="00BC58BA" w:rsidRPr="0030627C" w:rsidRDefault="00BC58BA" w:rsidP="002D5B70">
      <w:pPr>
        <w:pStyle w:val="FootnoteText"/>
        <w:ind w:left="0" w:firstLine="0"/>
      </w:pPr>
      <w:r w:rsidRPr="00371806">
        <w:rPr>
          <w:rStyle w:val="FootnoteReference"/>
        </w:rPr>
        <w:footnoteRef/>
      </w:r>
      <w:r>
        <w:t xml:space="preserve"> </w:t>
      </w:r>
      <w:r w:rsidRPr="00420D13">
        <w:rPr>
          <w:szCs w:val="18"/>
        </w:rPr>
        <w:t>De George, E. T., Ferguson, C. B., &amp; Spear, N. A. (2013). How much does IFRS cost? IFRS adoption and audit fees. The accounting review, 88(2), 429-462.</w:t>
      </w:r>
    </w:p>
  </w:footnote>
  <w:footnote w:id="33">
    <w:p w14:paraId="4FA63375" w14:textId="068AA6E0" w:rsidR="00EB1629" w:rsidRPr="00C2250B" w:rsidRDefault="00EB1629" w:rsidP="00846C22">
      <w:pPr>
        <w:pStyle w:val="BodyText"/>
        <w:spacing w:after="0"/>
        <w:rPr>
          <w:rFonts w:ascii="Calibri Light" w:eastAsia="Times New Roman" w:hAnsi="Calibri Light" w:cs="Times New Roman"/>
          <w:color w:val="auto"/>
          <w:sz w:val="18"/>
          <w:szCs w:val="18"/>
          <w:lang w:eastAsia="en-AU"/>
        </w:rPr>
      </w:pPr>
      <w:r w:rsidRPr="00C2250B">
        <w:rPr>
          <w:rStyle w:val="FootnoteReference"/>
          <w:rFonts w:cs="Arial"/>
          <w:szCs w:val="18"/>
        </w:rPr>
        <w:footnoteRef/>
      </w:r>
      <w:r w:rsidRPr="00C2250B">
        <w:rPr>
          <w:rFonts w:ascii="Arial" w:hAnsi="Arial" w:cs="Arial"/>
          <w:sz w:val="18"/>
          <w:szCs w:val="18"/>
        </w:rPr>
        <w:t xml:space="preserve"> </w:t>
      </w:r>
      <w:hyperlink r:id="rId2" w:tgtFrame="_blank" w:tooltip="https://assets.kpmg.com/content/dam/kpmg/au/pdf/2023/australian-sustainability-reporting-trends-june-2023-update.pdf" w:history="1">
        <w:r w:rsidR="00DD070C" w:rsidRPr="006002C5">
          <w:rPr>
            <w:rStyle w:val="Hyperlink"/>
            <w:rFonts w:ascii="Calibri Light" w:eastAsia="Times New Roman" w:hAnsi="Calibri Light" w:cs="Times New Roman"/>
            <w:color w:val="auto"/>
            <w:sz w:val="18"/>
            <w:szCs w:val="20"/>
            <w:lang w:eastAsia="en-AU"/>
          </w:rPr>
          <w:t>https://assets.kpmg.com/content/dam/kpmg/au/pdf/2023/australian-sustainability-reporting-trends-june-2023-update.pdf</w:t>
        </w:r>
      </w:hyperlink>
    </w:p>
  </w:footnote>
  <w:footnote w:id="34">
    <w:p w14:paraId="3610ED17" w14:textId="77777777" w:rsidR="00EB1629" w:rsidRPr="0030627C" w:rsidRDefault="00EB1629" w:rsidP="00846C22">
      <w:pPr>
        <w:pStyle w:val="BodyText"/>
        <w:spacing w:after="0"/>
        <w:rPr>
          <w:rFonts w:ascii="Calibri Light" w:eastAsia="Times New Roman" w:hAnsi="Calibri Light" w:cs="Times New Roman"/>
          <w:color w:val="auto"/>
          <w:szCs w:val="20"/>
          <w:lang w:eastAsia="en-AU"/>
        </w:rPr>
      </w:pPr>
      <w:r w:rsidRPr="00C2250B">
        <w:rPr>
          <w:rFonts w:ascii="Calibri Light" w:eastAsia="Times New Roman" w:hAnsi="Calibri Light" w:cs="Times New Roman"/>
          <w:color w:val="auto"/>
          <w:sz w:val="18"/>
          <w:szCs w:val="18"/>
          <w:lang w:eastAsia="en-AU"/>
        </w:rPr>
        <w:footnoteRef/>
      </w:r>
      <w:r w:rsidRPr="00C2250B">
        <w:rPr>
          <w:rFonts w:ascii="Calibri Light" w:eastAsia="Times New Roman" w:hAnsi="Calibri Light" w:cs="Times New Roman"/>
          <w:color w:val="auto"/>
          <w:sz w:val="18"/>
          <w:szCs w:val="18"/>
          <w:lang w:eastAsia="en-AU"/>
        </w:rPr>
        <w:t xml:space="preserve"> https://www.hays.com.au/documents/276732/1102429/Salary+Guide+2023.pdf</w:t>
      </w:r>
    </w:p>
  </w:footnote>
  <w:footnote w:id="35">
    <w:p w14:paraId="7E56D3E5" w14:textId="0599F93E" w:rsidR="00560309" w:rsidRPr="000552A5" w:rsidRDefault="00560309" w:rsidP="000552A5">
      <w:pPr>
        <w:pStyle w:val="FootnoteText"/>
      </w:pPr>
      <w:bookmarkStart w:id="25" w:name="tempbookmark"/>
      <w:r w:rsidRPr="000552A5">
        <w:rPr>
          <w:rStyle w:val="FootnoteReference"/>
        </w:rPr>
        <w:footnoteRef/>
      </w:r>
      <w:r w:rsidRPr="000552A5">
        <w:t xml:space="preserve"> </w:t>
      </w:r>
      <w:hyperlink r:id="rId3" w:history="1">
        <w:r w:rsidRPr="000552A5">
          <w:rPr>
            <w:rStyle w:val="Hyperlink"/>
            <w:color w:val="auto"/>
          </w:rPr>
          <w:t>ACSI Fact Sheet Climate 2023</w:t>
        </w:r>
      </w:hyperlink>
      <w:bookmarkEnd w:id="25"/>
    </w:p>
  </w:footnote>
  <w:footnote w:id="36">
    <w:p w14:paraId="640BF638" w14:textId="77777777" w:rsidR="00560309" w:rsidRDefault="00560309" w:rsidP="00560309">
      <w:pPr>
        <w:pStyle w:val="FootnoteText"/>
        <w:ind w:left="0" w:firstLine="0"/>
      </w:pPr>
      <w:r>
        <w:rPr>
          <w:rStyle w:val="FootnoteReference"/>
        </w:rPr>
        <w:footnoteRef/>
      </w:r>
      <w:r>
        <w:t xml:space="preserve"> </w:t>
      </w:r>
      <w:hyperlink r:id="rId4" w:history="1">
        <w:r w:rsidRPr="00CE1030">
          <w:rPr>
            <w:rStyle w:val="Hyperlink"/>
            <w:color w:val="auto"/>
          </w:rPr>
          <w:t>Closing the Public-P.</w:t>
        </w:r>
        <w:proofErr w:type="gramStart"/>
        <w:r w:rsidRPr="00CE1030">
          <w:rPr>
            <w:rStyle w:val="Hyperlink"/>
            <w:color w:val="auto"/>
          </w:rPr>
          <w:t>..~</w:t>
        </w:r>
        <w:proofErr w:type="gramEnd"/>
        <w:r w:rsidRPr="00CE1030">
          <w:rPr>
            <w:rStyle w:val="Hyperlink"/>
            <w:color w:val="auto"/>
          </w:rPr>
          <w:t>https://www.bain.com/insights/closing-the-public-private-environmental-transparency-gap/</w:t>
        </w:r>
      </w:hyperlink>
    </w:p>
  </w:footnote>
  <w:footnote w:id="37">
    <w:p w14:paraId="2BEBBD1E" w14:textId="77777777" w:rsidR="00271989" w:rsidRDefault="00271989" w:rsidP="00271989">
      <w:pPr>
        <w:pStyle w:val="FootnoteText"/>
      </w:pPr>
      <w:r>
        <w:rPr>
          <w:rStyle w:val="FootnoteReference"/>
        </w:rPr>
        <w:footnoteRef/>
      </w:r>
      <w:r>
        <w:t xml:space="preserve"> </w:t>
      </w:r>
      <w:proofErr w:type="spellStart"/>
      <w:r w:rsidRPr="00D3752C">
        <w:rPr>
          <w:szCs w:val="18"/>
        </w:rPr>
        <w:t>SustainAbility</w:t>
      </w:r>
      <w:proofErr w:type="spellEnd"/>
      <w:r w:rsidRPr="00D3752C">
        <w:rPr>
          <w:szCs w:val="18"/>
        </w:rPr>
        <w:t xml:space="preserve"> Institute by ERM, Costs and Benefits of Climate-Related Disclosure Activities by Corporate Issuers and Institutional Investors, </w:t>
      </w:r>
      <w:hyperlink r:id="rId5" w:history="1">
        <w:r w:rsidRPr="00D3752C">
          <w:t>https://www.sustainability.com/thinking/costs-and-benefits-of-climate-relateddisclosure</w:t>
        </w:r>
      </w:hyperlink>
      <w:r w:rsidRPr="00D3752C">
        <w:rPr>
          <w:szCs w:val="18"/>
        </w:rPr>
        <w:t xml:space="preserve"> activities-by-corporate-issuers-and-institutional-investors/.</w:t>
      </w:r>
    </w:p>
  </w:footnote>
  <w:footnote w:id="38">
    <w:p w14:paraId="4264602D" w14:textId="77777777" w:rsidR="00EB1629" w:rsidRPr="00EA4241" w:rsidRDefault="00EB1629" w:rsidP="00EA4241">
      <w:pPr>
        <w:pStyle w:val="FootnoteText"/>
      </w:pPr>
      <w:r w:rsidRPr="00A2714D">
        <w:rPr>
          <w:rStyle w:val="FootnoteReference"/>
          <w:rFonts w:cs="Arial"/>
        </w:rPr>
        <w:footnoteRef/>
      </w:r>
      <w:r w:rsidRPr="00A2714D">
        <w:rPr>
          <w:rFonts w:ascii="Arial" w:hAnsi="Arial" w:cs="Arial"/>
        </w:rPr>
        <w:t xml:space="preserve"> </w:t>
      </w:r>
      <w:r w:rsidRPr="007379D5">
        <w:t xml:space="preserve">Climate Financial Risk Forum Guidance on Non-Financial Risk Reporting, </w:t>
      </w:r>
      <w:r w:rsidRPr="00EA4241">
        <w:t>2020, www.fca.org.uk/transparency/climate-financial-risk-forum</w:t>
      </w:r>
    </w:p>
  </w:footnote>
  <w:footnote w:id="39">
    <w:p w14:paraId="1FCA6981" w14:textId="77777777" w:rsidR="00EB1629" w:rsidRPr="008636F1" w:rsidRDefault="00EB1629" w:rsidP="00EA4241">
      <w:pPr>
        <w:pStyle w:val="FootnoteText"/>
      </w:pPr>
      <w:r w:rsidRPr="00EA4241">
        <w:rPr>
          <w:rStyle w:val="FootnoteReference"/>
        </w:rPr>
        <w:footnoteRef/>
      </w:r>
      <w:r w:rsidRPr="00EA4241">
        <w:t xml:space="preserve"> https://assets.bbhub.io/company/sites/60/2021/07/2021-TCFD-Implementing</w:t>
      </w:r>
      <w:r w:rsidRPr="008636F1">
        <w:t>_Guidance.pdf</w:t>
      </w:r>
    </w:p>
  </w:footnote>
  <w:footnote w:id="40">
    <w:p w14:paraId="333E3475" w14:textId="77777777" w:rsidR="00EB1629" w:rsidRPr="00EA4241" w:rsidRDefault="00EB1629" w:rsidP="00EA4241">
      <w:pPr>
        <w:pStyle w:val="FootnoteText"/>
      </w:pPr>
      <w:r w:rsidRPr="00EA4241">
        <w:rPr>
          <w:rStyle w:val="FootnoteReference"/>
        </w:rPr>
        <w:footnoteRef/>
      </w:r>
      <w:r w:rsidRPr="00EA4241">
        <w:t xml:space="preserve"> Casey, R. J., &amp; </w:t>
      </w:r>
      <w:proofErr w:type="spellStart"/>
      <w:r w:rsidRPr="00EA4241">
        <w:t>Grenier</w:t>
      </w:r>
      <w:proofErr w:type="spellEnd"/>
      <w:r w:rsidRPr="00EA4241">
        <w:t>, J. H. (2015). Understanding and contributing to the enigma of corporate social responsibility (CSR) assurance in the United States. Auditing: A Journal of Practice &amp; Theory, 34(1), 97-130.</w:t>
      </w:r>
    </w:p>
  </w:footnote>
  <w:footnote w:id="41">
    <w:p w14:paraId="746F47FD" w14:textId="77777777" w:rsidR="00EB1629" w:rsidRPr="00EA4241" w:rsidRDefault="00EB1629" w:rsidP="00EA4241">
      <w:pPr>
        <w:pStyle w:val="FootnoteText"/>
      </w:pPr>
      <w:r w:rsidRPr="00EA4241">
        <w:rPr>
          <w:rStyle w:val="FootnoteReference"/>
        </w:rPr>
        <w:footnoteRef/>
      </w:r>
      <w:r w:rsidRPr="00EA4241">
        <w:t xml:space="preserve"> https://download.asic.gov.au/media/5900581/rep678-published-22-december-2020.pdf</w:t>
      </w:r>
    </w:p>
  </w:footnote>
  <w:footnote w:id="42">
    <w:p w14:paraId="6C29ACCB" w14:textId="77777777" w:rsidR="00EB1629" w:rsidRPr="00EA4241" w:rsidRDefault="00EB1629" w:rsidP="00EA4241">
      <w:pPr>
        <w:pStyle w:val="FootnoteText"/>
      </w:pPr>
      <w:r w:rsidRPr="00EA4241">
        <w:rPr>
          <w:rStyle w:val="FootnoteReference"/>
        </w:rPr>
        <w:footnoteRef/>
      </w:r>
      <w:r w:rsidRPr="00EA4241">
        <w:t xml:space="preserve"> De George, E. T., Ferguson, C. B., &amp; Spear, N. A. (2013). How much does IFRS cost? IFRS adoption and audit fees. The accounting review, 88(2), 429-462.</w:t>
      </w:r>
    </w:p>
  </w:footnote>
  <w:footnote w:id="43">
    <w:p w14:paraId="15D6D991" w14:textId="77777777" w:rsidR="00EB1629" w:rsidRPr="00A2714D" w:rsidRDefault="00EB1629" w:rsidP="00EA4241">
      <w:pPr>
        <w:pStyle w:val="FootnoteText"/>
        <w:rPr>
          <w:rFonts w:ascii="Arial" w:hAnsi="Arial" w:cs="Arial"/>
        </w:rPr>
      </w:pPr>
      <w:r w:rsidRPr="00EA4241">
        <w:rPr>
          <w:rStyle w:val="FootnoteReference"/>
        </w:rPr>
        <w:footnoteRef/>
      </w:r>
      <w:r w:rsidRPr="00EA4241">
        <w:t xml:space="preserve"> https://www.sec.gov/comments/climate-disclosure/cll12-8914283-244663.pdf</w:t>
      </w:r>
    </w:p>
  </w:footnote>
  <w:footnote w:id="44">
    <w:p w14:paraId="6E653FDA" w14:textId="77777777" w:rsidR="00EB1629" w:rsidRPr="00EA4241" w:rsidRDefault="00EB1629" w:rsidP="00EA4241">
      <w:pPr>
        <w:pStyle w:val="FootnoteText"/>
      </w:pPr>
      <w:r w:rsidRPr="00EA4241">
        <w:rPr>
          <w:rStyle w:val="FootnoteReference"/>
        </w:rPr>
        <w:footnoteRef/>
      </w:r>
      <w:r w:rsidRPr="00EA4241">
        <w:t xml:space="preserve"> </w:t>
      </w:r>
      <w:hyperlink r:id="rId6" w:history="1">
        <w:r w:rsidRPr="00EA4241">
          <w:rPr>
            <w:rStyle w:val="Hyperlink"/>
            <w:color w:val="auto"/>
          </w:rPr>
          <w:t xml:space="preserve">Reducing the </w:t>
        </w:r>
        <w:proofErr w:type="spellStart"/>
        <w:r w:rsidRPr="00EA4241">
          <w:rPr>
            <w:rStyle w:val="Hyperlink"/>
            <w:color w:val="auto"/>
          </w:rPr>
          <w:t>financi</w:t>
        </w:r>
        <w:proofErr w:type="spellEnd"/>
        <w:r w:rsidRPr="00EA4241">
          <w:rPr>
            <w:rStyle w:val="Hyperlink"/>
            <w:color w:val="auto"/>
          </w:rPr>
          <w:t>...~https://treasury.gov.au/small-business/</w:t>
        </w:r>
        <w:proofErr w:type="spellStart"/>
        <w:r w:rsidRPr="00EA4241">
          <w:rPr>
            <w:rStyle w:val="Hyperlink"/>
            <w:color w:val="auto"/>
          </w:rPr>
          <w:t>frt</w:t>
        </w:r>
        <w:proofErr w:type="spellEnd"/>
        <w:r w:rsidRPr="00EA4241">
          <w:rPr>
            <w:rStyle w:val="Hyperlink"/>
            <w:color w:val="auto"/>
          </w:rPr>
          <w:t>/factsheet</w:t>
        </w:r>
      </w:hyperlink>
    </w:p>
  </w:footnote>
  <w:footnote w:id="45">
    <w:p w14:paraId="2BFF218F" w14:textId="77777777" w:rsidR="00F01A15" w:rsidRPr="00EA4241" w:rsidRDefault="00F01A15" w:rsidP="00EA4241">
      <w:pPr>
        <w:pStyle w:val="FootnoteText"/>
      </w:pPr>
      <w:r w:rsidRPr="00EA4241">
        <w:rPr>
          <w:rStyle w:val="FootnoteReference"/>
        </w:rPr>
        <w:footnoteRef/>
      </w:r>
      <w:r w:rsidRPr="00EA4241">
        <w:t xml:space="preserve"> </w:t>
      </w:r>
      <w:hyperlink r:id="rId7" w:history="1">
        <w:r w:rsidRPr="00EA4241">
          <w:rPr>
            <w:rStyle w:val="Hyperlink"/>
            <w:color w:val="auto"/>
          </w:rPr>
          <w:t>Big four accounting ...~https://www.afr.com/companies/energy/big-four-accounting-firms-rush-to-join-sustainability-trend-20210901-p58nvm</w:t>
        </w:r>
      </w:hyperlink>
    </w:p>
  </w:footnote>
  <w:footnote w:id="46">
    <w:p w14:paraId="25EEB615" w14:textId="107D8239" w:rsidR="008A415A" w:rsidRPr="00EA4241" w:rsidRDefault="008A415A" w:rsidP="00EA4241">
      <w:pPr>
        <w:pStyle w:val="FootnoteText"/>
      </w:pPr>
      <w:r w:rsidRPr="00EA4241">
        <w:rPr>
          <w:rStyle w:val="FootnoteReference"/>
        </w:rPr>
        <w:footnoteRef/>
      </w:r>
      <w:r w:rsidRPr="00EA4241">
        <w:t xml:space="preserve"> https://treasury.gov.au/consultation/c2022-314397</w:t>
      </w:r>
    </w:p>
  </w:footnote>
  <w:footnote w:id="47">
    <w:p w14:paraId="422E6A22" w14:textId="77777777" w:rsidR="000D6203" w:rsidRDefault="000D6203" w:rsidP="000D6203">
      <w:pPr>
        <w:pStyle w:val="FootnoteText"/>
      </w:pPr>
      <w:r>
        <w:rPr>
          <w:rStyle w:val="FootnoteReference"/>
        </w:rPr>
        <w:footnoteRef/>
      </w:r>
      <w:r>
        <w:t xml:space="preserve"> Page 6 -ACSI – Promises, Pathways, Performance – Climate Reporting in the ASX200 (2023).</w:t>
      </w:r>
    </w:p>
  </w:footnote>
  <w:footnote w:id="48">
    <w:p w14:paraId="0182F29D" w14:textId="77777777" w:rsidR="00F630EE" w:rsidRPr="0030627C" w:rsidRDefault="00F630EE" w:rsidP="00EA4241">
      <w:pPr>
        <w:pStyle w:val="FootnoteText"/>
      </w:pPr>
      <w:r w:rsidRPr="00371806">
        <w:footnoteRef/>
      </w:r>
      <w:r w:rsidRPr="0030627C">
        <w:t xml:space="preserve"> </w:t>
      </w:r>
      <w:r w:rsidRPr="00B51BBC">
        <w:t>https://www.sec.gov/comments/s7-10-22/s71022-20130924-299962.pdf</w:t>
      </w:r>
    </w:p>
  </w:footnote>
  <w:footnote w:id="49">
    <w:p w14:paraId="17A22C4E" w14:textId="77777777" w:rsidR="00F630EE" w:rsidRPr="00AD5784" w:rsidRDefault="00F630EE" w:rsidP="00EA4241">
      <w:pPr>
        <w:pStyle w:val="FootnoteText"/>
        <w:rPr>
          <w:szCs w:val="18"/>
        </w:rPr>
      </w:pPr>
      <w:r w:rsidRPr="00AD5784">
        <w:rPr>
          <w:szCs w:val="18"/>
        </w:rPr>
        <w:footnoteRef/>
      </w:r>
      <w:r w:rsidRPr="00AD5784">
        <w:rPr>
          <w:szCs w:val="18"/>
        </w:rPr>
        <w:t xml:space="preserve"> https://assets.publishing.service.gov.uk/government/uploads/system/uploads/attachment_data/file/1055931/tcfd-final-stage-ia.pdf</w:t>
      </w:r>
    </w:p>
  </w:footnote>
  <w:footnote w:id="50">
    <w:p w14:paraId="438A79D0" w14:textId="77777777" w:rsidR="00F630EE" w:rsidRPr="00AD5784" w:rsidRDefault="00F630EE" w:rsidP="00EA4241">
      <w:pPr>
        <w:pStyle w:val="FootnoteText"/>
        <w:rPr>
          <w:rFonts w:cs="Calibri Light"/>
          <w:szCs w:val="18"/>
        </w:rPr>
      </w:pPr>
      <w:r w:rsidRPr="00AD5784">
        <w:rPr>
          <w:rStyle w:val="FootnoteReference"/>
          <w:rFonts w:cs="Arial"/>
          <w:szCs w:val="18"/>
        </w:rPr>
        <w:footnoteRef/>
      </w:r>
      <w:r w:rsidRPr="00AD5784">
        <w:rPr>
          <w:rFonts w:ascii="Arial" w:hAnsi="Arial" w:cs="Arial"/>
          <w:szCs w:val="18"/>
        </w:rPr>
        <w:t xml:space="preserve"> </w:t>
      </w:r>
      <w:r w:rsidRPr="00AD5784">
        <w:rPr>
          <w:rFonts w:cs="Calibri Light"/>
          <w:szCs w:val="18"/>
        </w:rPr>
        <w:t>https://www.treasury.govt.nz/sites/default/files/2021-05/ria-mfe-crfd-jul20.pdf</w:t>
      </w:r>
    </w:p>
  </w:footnote>
  <w:footnote w:id="51">
    <w:p w14:paraId="326FFEDC" w14:textId="77777777" w:rsidR="00F630EE" w:rsidRPr="00EA4241" w:rsidRDefault="00F630EE" w:rsidP="00EA4241">
      <w:pPr>
        <w:pStyle w:val="FootnoteText"/>
      </w:pPr>
      <w:r w:rsidRPr="00EA4241">
        <w:rPr>
          <w:rStyle w:val="FootnoteReference"/>
        </w:rPr>
        <w:footnoteRef/>
      </w:r>
      <w:r w:rsidRPr="00EA4241">
        <w:t xml:space="preserve"> </w:t>
      </w:r>
      <w:proofErr w:type="spellStart"/>
      <w:r w:rsidRPr="00EA4241">
        <w:t>SustainAbility</w:t>
      </w:r>
      <w:proofErr w:type="spellEnd"/>
      <w:r w:rsidRPr="00EA4241">
        <w:t xml:space="preserve"> Institute by ERM, Costs and Benefits of Climate-Related Disclosure Activities by Corporate Issuers and Institutional Investors, https://www.sustainability.com/thinking/costs-and-benefits-of-climate-relateddisclosure-activities-by-corporate-issuers-and-institutional-investors/.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3441" w14:textId="77777777" w:rsidR="00647528" w:rsidRDefault="00647528">
    <w:pPr>
      <w:pStyle w:val="Header"/>
    </w:pPr>
    <w:r>
      <w:rPr>
        <w:noProof/>
      </w:rPr>
      <w:drawing>
        <wp:anchor distT="0" distB="0" distL="114300" distR="114300" simplePos="0" relativeHeight="251658245" behindDoc="1" locked="1" layoutInCell="1" allowOverlap="1" wp14:anchorId="7719EDC2" wp14:editId="38C32623">
          <wp:simplePos x="0" y="0"/>
          <wp:positionH relativeFrom="page">
            <wp:posOffset>0</wp:posOffset>
          </wp:positionH>
          <wp:positionV relativeFrom="page">
            <wp:posOffset>0</wp:posOffset>
          </wp:positionV>
          <wp:extent cx="7578000" cy="10720800"/>
          <wp:effectExtent l="0" t="0" r="4445" b="444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D377" w14:textId="77777777" w:rsidR="009643E4" w:rsidRDefault="00964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FE8B" w14:textId="77777777" w:rsidR="00C0677A" w:rsidRDefault="00C0677A">
    <w:pPr>
      <w:pStyle w:val="Header"/>
    </w:pPr>
    <w:r>
      <w:rPr>
        <w:noProof/>
      </w:rPr>
      <w:drawing>
        <wp:anchor distT="0" distB="0" distL="114300" distR="114300" simplePos="0" relativeHeight="251658242" behindDoc="1" locked="1" layoutInCell="1" allowOverlap="1" wp14:anchorId="0EBE40E3" wp14:editId="33CC08A7">
          <wp:simplePos x="0" y="0"/>
          <wp:positionH relativeFrom="page">
            <wp:posOffset>0</wp:posOffset>
          </wp:positionH>
          <wp:positionV relativeFrom="page">
            <wp:posOffset>0</wp:posOffset>
          </wp:positionV>
          <wp:extent cx="7570800" cy="104400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A13F" w14:textId="77777777" w:rsidR="00C0677A" w:rsidRDefault="00C0677A">
    <w:pPr>
      <w:pStyle w:val="Header"/>
    </w:pPr>
    <w:r>
      <w:rPr>
        <w:noProof/>
      </w:rPr>
      <w:drawing>
        <wp:anchor distT="0" distB="0" distL="114300" distR="114300" simplePos="0" relativeHeight="251658241" behindDoc="1" locked="1" layoutInCell="1" allowOverlap="1" wp14:anchorId="39FA3886" wp14:editId="4F574CBD">
          <wp:simplePos x="0" y="0"/>
          <wp:positionH relativeFrom="page">
            <wp:posOffset>0</wp:posOffset>
          </wp:positionH>
          <wp:positionV relativeFrom="page">
            <wp:posOffset>0</wp:posOffset>
          </wp:positionV>
          <wp:extent cx="7570800" cy="104400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hybridMultilevel"/>
    <w:tmpl w:val="F1E68396"/>
    <w:styleLink w:val="BoxBulletedList"/>
    <w:lvl w:ilvl="0" w:tplc="7DF007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7510A5"/>
    <w:multiLevelType w:val="hybridMultilevel"/>
    <w:tmpl w:val="FCAAB108"/>
    <w:lvl w:ilvl="0" w:tplc="00061FB0">
      <w:start w:val="1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B93419"/>
    <w:multiLevelType w:val="hybridMultilevel"/>
    <w:tmpl w:val="01CA03FA"/>
    <w:lvl w:ilvl="0" w:tplc="A62697A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9371C"/>
    <w:multiLevelType w:val="multilevel"/>
    <w:tmpl w:val="B2D40500"/>
    <w:lvl w:ilvl="0">
      <w:start w:val="1"/>
      <w:numFmt w:val="decimal"/>
      <w:pStyle w:val="List"/>
      <w:lvlText w:val="%1"/>
      <w:lvlJc w:val="left"/>
      <w:pPr>
        <w:ind w:left="403" w:hanging="288"/>
      </w:pPr>
      <w:rPr>
        <w:rFonts w:hint="default"/>
        <w:color w:val="2C384A" w:themeColor="accent1"/>
      </w:rPr>
    </w:lvl>
    <w:lvl w:ilvl="1">
      <w:start w:val="1"/>
      <w:numFmt w:val="lowerRoman"/>
      <w:lvlText w:val="%2"/>
      <w:lvlJc w:val="left"/>
      <w:pPr>
        <w:ind w:left="691" w:hanging="288"/>
      </w:pPr>
      <w:rPr>
        <w:rFonts w:hint="default"/>
        <w:color w:val="2C384A" w:themeColor="accent1"/>
      </w:rPr>
    </w:lvl>
    <w:lvl w:ilvl="2">
      <w:start w:val="1"/>
      <w:numFmt w:val="upperRoman"/>
      <w:lvlText w:val="%3"/>
      <w:lvlJc w:val="left"/>
      <w:pPr>
        <w:ind w:left="979" w:hanging="288"/>
      </w:pPr>
      <w:rPr>
        <w:rFonts w:hint="default"/>
        <w:color w:val="2C384A"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4" w15:restartNumberingAfterBreak="0">
    <w:nsid w:val="10653560"/>
    <w:multiLevelType w:val="multilevel"/>
    <w:tmpl w:val="7AD6CB5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04006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8A773E8"/>
    <w:multiLevelType w:val="hybridMultilevel"/>
    <w:tmpl w:val="E7D22B44"/>
    <w:lvl w:ilvl="0" w:tplc="F83E1BE0">
      <w:start w:val="3"/>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955F3A"/>
    <w:multiLevelType w:val="hybridMultilevel"/>
    <w:tmpl w:val="F1E68396"/>
    <w:lvl w:ilvl="0" w:tplc="7DF007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8C2710"/>
    <w:multiLevelType w:val="multilevel"/>
    <w:tmpl w:val="6D0AA75C"/>
    <w:styleLink w:val="OutlineList"/>
    <w:lvl w:ilvl="0">
      <w:start w:val="1"/>
      <w:numFmt w:val="lowerRoman"/>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45895885"/>
    <w:multiLevelType w:val="hybridMultilevel"/>
    <w:tmpl w:val="76086C54"/>
    <w:lvl w:ilvl="0" w:tplc="3BB2959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10D2021"/>
    <w:multiLevelType w:val="multilevel"/>
    <w:tmpl w:val="6D0AA75C"/>
    <w:numStyleLink w:val="OutlineList"/>
  </w:abstractNum>
  <w:abstractNum w:abstractNumId="16"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7"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8"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9"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0" w15:restartNumberingAfterBreak="0">
    <w:nsid w:val="78B16110"/>
    <w:multiLevelType w:val="multilevel"/>
    <w:tmpl w:val="268C2A4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9451A4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D6B5224"/>
    <w:multiLevelType w:val="multilevel"/>
    <w:tmpl w:val="57000EF8"/>
    <w:styleLink w:val="OneLevel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0"/>
  </w:num>
  <w:num w:numId="3">
    <w:abstractNumId w:val="10"/>
  </w:num>
  <w:num w:numId="4">
    <w:abstractNumId w:val="11"/>
  </w:num>
  <w:num w:numId="5">
    <w:abstractNumId w:val="12"/>
  </w:num>
  <w:num w:numId="6">
    <w:abstractNumId w:val="15"/>
  </w:num>
  <w:num w:numId="7">
    <w:abstractNumId w:val="4"/>
  </w:num>
  <w:num w:numId="8">
    <w:abstractNumId w:val="8"/>
  </w:num>
  <w:num w:numId="9">
    <w:abstractNumId w:val="11"/>
  </w:num>
  <w:num w:numId="10">
    <w:abstractNumId w:val="5"/>
  </w:num>
  <w:num w:numId="11">
    <w:abstractNumId w:val="14"/>
  </w:num>
  <w:num w:numId="1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num>
  <w:num w:numId="15">
    <w:abstractNumId w:val="13"/>
  </w:num>
  <w:num w:numId="16">
    <w:abstractNumId w:val="17"/>
  </w:num>
  <w:num w:numId="17">
    <w:abstractNumId w:val="3"/>
  </w:num>
  <w:num w:numId="18">
    <w:abstractNumId w:val="19"/>
  </w:num>
  <w:num w:numId="19">
    <w:abstractNumId w:val="18"/>
  </w:num>
  <w:num w:numId="20">
    <w:abstractNumId w:val="9"/>
  </w:num>
  <w:num w:numId="21">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2"/>
  </w:num>
  <w:num w:numId="32">
    <w:abstractNumId w:val="2"/>
  </w:num>
  <w:num w:numId="33">
    <w:abstractNumId w:val="1"/>
  </w:num>
  <w:num w:numId="34">
    <w:abstractNumId w:val="16"/>
  </w:num>
  <w:num w:numId="35">
    <w:abstractNumId w:val="13"/>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asciiTheme="minorHAnsi" w:hAnsiTheme="minorHAnsi" w:cs="Times New Roman" w:hint="default"/>
          <w:color w:val="000000" w:themeColor="text1"/>
        </w:rPr>
      </w:lvl>
    </w:lvlOverride>
    <w:lvlOverride w:ilvl="2">
      <w:lvl w:ilvl="2">
        <w:start w:val="1"/>
        <w:numFmt w:val="upperRoman"/>
        <w:lvlText w:val="%3"/>
        <w:lvlJc w:val="left"/>
        <w:pPr>
          <w:ind w:left="624" w:hanging="284"/>
        </w:pPr>
        <w:rPr>
          <w:rFonts w:ascii="Times New Roman" w:hAnsi="Times New Roman" w:cs="Times New Roman" w:hint="default"/>
          <w:color w:val="000000" w:themeColor="text1"/>
        </w:rPr>
      </w:lvl>
    </w:lvlOverride>
    <w:lvlOverride w:ilvl="3">
      <w:lvl w:ilvl="3">
        <w:start w:val="1"/>
        <w:numFmt w:val="decimal"/>
        <w:lvlText w:val="%4."/>
        <w:lvlJc w:val="left"/>
        <w:pPr>
          <w:ind w:left="794" w:hanging="284"/>
        </w:pPr>
      </w:lvl>
    </w:lvlOverride>
    <w:lvlOverride w:ilvl="4">
      <w:lvl w:ilvl="4">
        <w:start w:val="1"/>
        <w:numFmt w:val="decimal"/>
        <w:lvlText w:val="%5."/>
        <w:lvlJc w:val="left"/>
        <w:pPr>
          <w:ind w:left="964" w:hanging="284"/>
        </w:pPr>
      </w:lvl>
    </w:lvlOverride>
    <w:lvlOverride w:ilvl="5">
      <w:lvl w:ilvl="5">
        <w:start w:val="1"/>
        <w:numFmt w:val="decimal"/>
        <w:lvlText w:val="%6."/>
        <w:lvlJc w:val="right"/>
        <w:pPr>
          <w:ind w:left="1134" w:hanging="284"/>
        </w:pPr>
      </w:lvl>
    </w:lvlOverride>
    <w:lvlOverride w:ilvl="6">
      <w:lvl w:ilvl="6">
        <w:start w:val="1"/>
        <w:numFmt w:val="decimal"/>
        <w:lvlText w:val="%7."/>
        <w:lvlJc w:val="left"/>
        <w:pPr>
          <w:ind w:left="1304" w:hanging="284"/>
        </w:pPr>
      </w:lvl>
    </w:lvlOverride>
    <w:lvlOverride w:ilvl="7">
      <w:lvl w:ilvl="7">
        <w:start w:val="1"/>
        <w:numFmt w:val="decimal"/>
        <w:lvlText w:val="%8."/>
        <w:lvlJc w:val="left"/>
        <w:pPr>
          <w:ind w:left="1474" w:hanging="284"/>
        </w:pPr>
      </w:lvl>
    </w:lvlOverride>
    <w:lvlOverride w:ilvl="8">
      <w:lvl w:ilvl="8">
        <w:start w:val="1"/>
        <w:numFmt w:val="decimal"/>
        <w:lvlText w:val="%9."/>
        <w:lvlJc w:val="right"/>
        <w:pPr>
          <w:ind w:left="1644" w:hanging="284"/>
        </w:p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54"/>
    <w:rsid w:val="00000679"/>
    <w:rsid w:val="00000AA3"/>
    <w:rsid w:val="00000AE5"/>
    <w:rsid w:val="0000112C"/>
    <w:rsid w:val="00001301"/>
    <w:rsid w:val="0000150F"/>
    <w:rsid w:val="00001640"/>
    <w:rsid w:val="000017D6"/>
    <w:rsid w:val="00001D30"/>
    <w:rsid w:val="000022F4"/>
    <w:rsid w:val="00002692"/>
    <w:rsid w:val="00002741"/>
    <w:rsid w:val="000028FE"/>
    <w:rsid w:val="000028FF"/>
    <w:rsid w:val="000029ED"/>
    <w:rsid w:val="00002CC4"/>
    <w:rsid w:val="00003253"/>
    <w:rsid w:val="000033CA"/>
    <w:rsid w:val="00003675"/>
    <w:rsid w:val="000039B1"/>
    <w:rsid w:val="00003A99"/>
    <w:rsid w:val="00004E8F"/>
    <w:rsid w:val="0000515B"/>
    <w:rsid w:val="00005917"/>
    <w:rsid w:val="0000614F"/>
    <w:rsid w:val="0000644A"/>
    <w:rsid w:val="000065B6"/>
    <w:rsid w:val="000065D3"/>
    <w:rsid w:val="00006A1B"/>
    <w:rsid w:val="00006A90"/>
    <w:rsid w:val="0000700C"/>
    <w:rsid w:val="0000711D"/>
    <w:rsid w:val="00007397"/>
    <w:rsid w:val="000073FB"/>
    <w:rsid w:val="00007758"/>
    <w:rsid w:val="0000782B"/>
    <w:rsid w:val="00007C24"/>
    <w:rsid w:val="00007EC9"/>
    <w:rsid w:val="00010651"/>
    <w:rsid w:val="00010C8B"/>
    <w:rsid w:val="000111E6"/>
    <w:rsid w:val="000112CA"/>
    <w:rsid w:val="000113D3"/>
    <w:rsid w:val="000114FD"/>
    <w:rsid w:val="00011514"/>
    <w:rsid w:val="00011CDD"/>
    <w:rsid w:val="00011E33"/>
    <w:rsid w:val="000120F1"/>
    <w:rsid w:val="00012306"/>
    <w:rsid w:val="000129DD"/>
    <w:rsid w:val="00012FFC"/>
    <w:rsid w:val="000132EA"/>
    <w:rsid w:val="000133D2"/>
    <w:rsid w:val="000134D4"/>
    <w:rsid w:val="00013710"/>
    <w:rsid w:val="00013860"/>
    <w:rsid w:val="00013BEE"/>
    <w:rsid w:val="00013DCA"/>
    <w:rsid w:val="00013E55"/>
    <w:rsid w:val="0001456D"/>
    <w:rsid w:val="000145FE"/>
    <w:rsid w:val="00014A8D"/>
    <w:rsid w:val="00014CAF"/>
    <w:rsid w:val="00014E37"/>
    <w:rsid w:val="00014FF5"/>
    <w:rsid w:val="0001519C"/>
    <w:rsid w:val="000153B3"/>
    <w:rsid w:val="00015824"/>
    <w:rsid w:val="000160BB"/>
    <w:rsid w:val="000163F8"/>
    <w:rsid w:val="0001734F"/>
    <w:rsid w:val="00017AD3"/>
    <w:rsid w:val="00017B1A"/>
    <w:rsid w:val="00017CFD"/>
    <w:rsid w:val="00017D7D"/>
    <w:rsid w:val="00017DD3"/>
    <w:rsid w:val="00020619"/>
    <w:rsid w:val="0002063F"/>
    <w:rsid w:val="000207AB"/>
    <w:rsid w:val="00020964"/>
    <w:rsid w:val="00021113"/>
    <w:rsid w:val="00021273"/>
    <w:rsid w:val="0002186B"/>
    <w:rsid w:val="000219A9"/>
    <w:rsid w:val="00021AA4"/>
    <w:rsid w:val="00021ADB"/>
    <w:rsid w:val="00022392"/>
    <w:rsid w:val="000225F7"/>
    <w:rsid w:val="0002270F"/>
    <w:rsid w:val="00022FAA"/>
    <w:rsid w:val="000232E1"/>
    <w:rsid w:val="00023459"/>
    <w:rsid w:val="0002366F"/>
    <w:rsid w:val="0002420A"/>
    <w:rsid w:val="0002450C"/>
    <w:rsid w:val="0002465B"/>
    <w:rsid w:val="000246F9"/>
    <w:rsid w:val="00024C46"/>
    <w:rsid w:val="00024D15"/>
    <w:rsid w:val="000251AB"/>
    <w:rsid w:val="0002528E"/>
    <w:rsid w:val="00025D23"/>
    <w:rsid w:val="00025EAE"/>
    <w:rsid w:val="00025EE0"/>
    <w:rsid w:val="00026142"/>
    <w:rsid w:val="000261C3"/>
    <w:rsid w:val="000262F7"/>
    <w:rsid w:val="000264D1"/>
    <w:rsid w:val="0002654E"/>
    <w:rsid w:val="00026F8B"/>
    <w:rsid w:val="00027552"/>
    <w:rsid w:val="00027D5D"/>
    <w:rsid w:val="00027DF2"/>
    <w:rsid w:val="00030657"/>
    <w:rsid w:val="000314CA"/>
    <w:rsid w:val="00031791"/>
    <w:rsid w:val="000317F7"/>
    <w:rsid w:val="00031ADB"/>
    <w:rsid w:val="00031F4C"/>
    <w:rsid w:val="00032025"/>
    <w:rsid w:val="00032119"/>
    <w:rsid w:val="0003217F"/>
    <w:rsid w:val="00032311"/>
    <w:rsid w:val="0003261A"/>
    <w:rsid w:val="00032AF3"/>
    <w:rsid w:val="000333FF"/>
    <w:rsid w:val="00034024"/>
    <w:rsid w:val="00034230"/>
    <w:rsid w:val="00034376"/>
    <w:rsid w:val="00034548"/>
    <w:rsid w:val="00034809"/>
    <w:rsid w:val="00034C63"/>
    <w:rsid w:val="00034D63"/>
    <w:rsid w:val="000351A9"/>
    <w:rsid w:val="00035411"/>
    <w:rsid w:val="00035635"/>
    <w:rsid w:val="000358AD"/>
    <w:rsid w:val="000369BC"/>
    <w:rsid w:val="00036CCF"/>
    <w:rsid w:val="000375E2"/>
    <w:rsid w:val="000375FA"/>
    <w:rsid w:val="00037B54"/>
    <w:rsid w:val="00037CA4"/>
    <w:rsid w:val="00037E8E"/>
    <w:rsid w:val="000400FC"/>
    <w:rsid w:val="0004068B"/>
    <w:rsid w:val="00040746"/>
    <w:rsid w:val="000408ED"/>
    <w:rsid w:val="00041035"/>
    <w:rsid w:val="0004108B"/>
    <w:rsid w:val="000411C6"/>
    <w:rsid w:val="00041207"/>
    <w:rsid w:val="000412CF"/>
    <w:rsid w:val="000413C2"/>
    <w:rsid w:val="000413E4"/>
    <w:rsid w:val="000416D1"/>
    <w:rsid w:val="0004186B"/>
    <w:rsid w:val="0004293F"/>
    <w:rsid w:val="000429A7"/>
    <w:rsid w:val="00043465"/>
    <w:rsid w:val="000438DE"/>
    <w:rsid w:val="00043BF9"/>
    <w:rsid w:val="00043E46"/>
    <w:rsid w:val="00043F72"/>
    <w:rsid w:val="00044629"/>
    <w:rsid w:val="00044922"/>
    <w:rsid w:val="00044A41"/>
    <w:rsid w:val="00044A72"/>
    <w:rsid w:val="00044B7E"/>
    <w:rsid w:val="00044D01"/>
    <w:rsid w:val="000450E9"/>
    <w:rsid w:val="000450EA"/>
    <w:rsid w:val="0004512C"/>
    <w:rsid w:val="000451FC"/>
    <w:rsid w:val="00045472"/>
    <w:rsid w:val="0004549D"/>
    <w:rsid w:val="000455BF"/>
    <w:rsid w:val="00045A43"/>
    <w:rsid w:val="00045D66"/>
    <w:rsid w:val="0004642A"/>
    <w:rsid w:val="00046679"/>
    <w:rsid w:val="0004688B"/>
    <w:rsid w:val="000468AD"/>
    <w:rsid w:val="00046AB8"/>
    <w:rsid w:val="00046BC6"/>
    <w:rsid w:val="00046C14"/>
    <w:rsid w:val="00046C72"/>
    <w:rsid w:val="00046F01"/>
    <w:rsid w:val="00047646"/>
    <w:rsid w:val="00047881"/>
    <w:rsid w:val="00047BFB"/>
    <w:rsid w:val="00050156"/>
    <w:rsid w:val="00050449"/>
    <w:rsid w:val="0005087B"/>
    <w:rsid w:val="00050997"/>
    <w:rsid w:val="00050C2B"/>
    <w:rsid w:val="00050C97"/>
    <w:rsid w:val="0005172E"/>
    <w:rsid w:val="00051B68"/>
    <w:rsid w:val="00051BAF"/>
    <w:rsid w:val="00051BE4"/>
    <w:rsid w:val="0005243D"/>
    <w:rsid w:val="00052528"/>
    <w:rsid w:val="000529FE"/>
    <w:rsid w:val="00052B2C"/>
    <w:rsid w:val="00052C4A"/>
    <w:rsid w:val="00053305"/>
    <w:rsid w:val="0005339E"/>
    <w:rsid w:val="00053E27"/>
    <w:rsid w:val="0005429A"/>
    <w:rsid w:val="000544A2"/>
    <w:rsid w:val="000545C7"/>
    <w:rsid w:val="0005464B"/>
    <w:rsid w:val="00054851"/>
    <w:rsid w:val="00054B0A"/>
    <w:rsid w:val="00054D11"/>
    <w:rsid w:val="00054ED2"/>
    <w:rsid w:val="000552A5"/>
    <w:rsid w:val="000555E5"/>
    <w:rsid w:val="00055A28"/>
    <w:rsid w:val="00055FD5"/>
    <w:rsid w:val="00056270"/>
    <w:rsid w:val="00056407"/>
    <w:rsid w:val="0005694E"/>
    <w:rsid w:val="0005703C"/>
    <w:rsid w:val="00057171"/>
    <w:rsid w:val="00057365"/>
    <w:rsid w:val="00057647"/>
    <w:rsid w:val="00057C17"/>
    <w:rsid w:val="00057F17"/>
    <w:rsid w:val="00060173"/>
    <w:rsid w:val="0006018E"/>
    <w:rsid w:val="00060321"/>
    <w:rsid w:val="0006072F"/>
    <w:rsid w:val="00060F5E"/>
    <w:rsid w:val="00061105"/>
    <w:rsid w:val="00061882"/>
    <w:rsid w:val="000618F0"/>
    <w:rsid w:val="00061C5F"/>
    <w:rsid w:val="00061E12"/>
    <w:rsid w:val="00061EF3"/>
    <w:rsid w:val="00061FEE"/>
    <w:rsid w:val="0006223A"/>
    <w:rsid w:val="00062431"/>
    <w:rsid w:val="00062540"/>
    <w:rsid w:val="0006268A"/>
    <w:rsid w:val="000628DE"/>
    <w:rsid w:val="000629E9"/>
    <w:rsid w:val="00062A89"/>
    <w:rsid w:val="00062BDC"/>
    <w:rsid w:val="00062EA2"/>
    <w:rsid w:val="00062F09"/>
    <w:rsid w:val="0006302F"/>
    <w:rsid w:val="000633BD"/>
    <w:rsid w:val="000636A9"/>
    <w:rsid w:val="000638BA"/>
    <w:rsid w:val="00063CF6"/>
    <w:rsid w:val="00063E21"/>
    <w:rsid w:val="0006458B"/>
    <w:rsid w:val="00064616"/>
    <w:rsid w:val="000648E8"/>
    <w:rsid w:val="00064A6B"/>
    <w:rsid w:val="00064AC7"/>
    <w:rsid w:val="00064CBF"/>
    <w:rsid w:val="00064D74"/>
    <w:rsid w:val="00065385"/>
    <w:rsid w:val="000655F2"/>
    <w:rsid w:val="00065BEC"/>
    <w:rsid w:val="00065D2C"/>
    <w:rsid w:val="0006620A"/>
    <w:rsid w:val="00066269"/>
    <w:rsid w:val="0006632B"/>
    <w:rsid w:val="00066427"/>
    <w:rsid w:val="00066ADB"/>
    <w:rsid w:val="00066E17"/>
    <w:rsid w:val="00067053"/>
    <w:rsid w:val="0006730F"/>
    <w:rsid w:val="00067DEF"/>
    <w:rsid w:val="00070C78"/>
    <w:rsid w:val="000712CE"/>
    <w:rsid w:val="00071342"/>
    <w:rsid w:val="000716F8"/>
    <w:rsid w:val="00071922"/>
    <w:rsid w:val="00071AF7"/>
    <w:rsid w:val="00071B10"/>
    <w:rsid w:val="00071D7F"/>
    <w:rsid w:val="00072835"/>
    <w:rsid w:val="000728FC"/>
    <w:rsid w:val="00072D2B"/>
    <w:rsid w:val="00072E2E"/>
    <w:rsid w:val="000734C2"/>
    <w:rsid w:val="00073567"/>
    <w:rsid w:val="0007363B"/>
    <w:rsid w:val="00073688"/>
    <w:rsid w:val="000739FE"/>
    <w:rsid w:val="00073A3E"/>
    <w:rsid w:val="00073CFD"/>
    <w:rsid w:val="000740E6"/>
    <w:rsid w:val="0007410B"/>
    <w:rsid w:val="000742C6"/>
    <w:rsid w:val="000743BA"/>
    <w:rsid w:val="00074461"/>
    <w:rsid w:val="0007452F"/>
    <w:rsid w:val="0007501A"/>
    <w:rsid w:val="000750F3"/>
    <w:rsid w:val="00075558"/>
    <w:rsid w:val="000756F3"/>
    <w:rsid w:val="00076261"/>
    <w:rsid w:val="000763E5"/>
    <w:rsid w:val="0007643F"/>
    <w:rsid w:val="00076534"/>
    <w:rsid w:val="00076A0B"/>
    <w:rsid w:val="00076AED"/>
    <w:rsid w:val="000770C2"/>
    <w:rsid w:val="000772E5"/>
    <w:rsid w:val="000773B9"/>
    <w:rsid w:val="000773CB"/>
    <w:rsid w:val="000778EF"/>
    <w:rsid w:val="00077FFD"/>
    <w:rsid w:val="00080209"/>
    <w:rsid w:val="0008036C"/>
    <w:rsid w:val="000803EF"/>
    <w:rsid w:val="00080444"/>
    <w:rsid w:val="00080653"/>
    <w:rsid w:val="00080959"/>
    <w:rsid w:val="00080B32"/>
    <w:rsid w:val="00080F16"/>
    <w:rsid w:val="000814C0"/>
    <w:rsid w:val="000819B9"/>
    <w:rsid w:val="00082AE7"/>
    <w:rsid w:val="00082CF7"/>
    <w:rsid w:val="00082F95"/>
    <w:rsid w:val="000830CE"/>
    <w:rsid w:val="000832C3"/>
    <w:rsid w:val="0008330A"/>
    <w:rsid w:val="00083E98"/>
    <w:rsid w:val="0008400C"/>
    <w:rsid w:val="00084310"/>
    <w:rsid w:val="0008463A"/>
    <w:rsid w:val="0008481E"/>
    <w:rsid w:val="00084ADD"/>
    <w:rsid w:val="00084CEF"/>
    <w:rsid w:val="000854B1"/>
    <w:rsid w:val="00085570"/>
    <w:rsid w:val="000858DA"/>
    <w:rsid w:val="00085DF6"/>
    <w:rsid w:val="00086AC5"/>
    <w:rsid w:val="00087435"/>
    <w:rsid w:val="0008749F"/>
    <w:rsid w:val="000874FD"/>
    <w:rsid w:val="0008794C"/>
    <w:rsid w:val="00087C65"/>
    <w:rsid w:val="00087CC2"/>
    <w:rsid w:val="00087E0F"/>
    <w:rsid w:val="00087E7F"/>
    <w:rsid w:val="00087F0F"/>
    <w:rsid w:val="00090002"/>
    <w:rsid w:val="000901B1"/>
    <w:rsid w:val="00090296"/>
    <w:rsid w:val="00090C8C"/>
    <w:rsid w:val="000915DD"/>
    <w:rsid w:val="000916B2"/>
    <w:rsid w:val="000919E9"/>
    <w:rsid w:val="000921D5"/>
    <w:rsid w:val="0009241D"/>
    <w:rsid w:val="00092901"/>
    <w:rsid w:val="00092B15"/>
    <w:rsid w:val="00092D5A"/>
    <w:rsid w:val="00092EDF"/>
    <w:rsid w:val="000930FB"/>
    <w:rsid w:val="00093727"/>
    <w:rsid w:val="00093E9F"/>
    <w:rsid w:val="000947C3"/>
    <w:rsid w:val="00094BA0"/>
    <w:rsid w:val="00094F1F"/>
    <w:rsid w:val="000957BC"/>
    <w:rsid w:val="000957D8"/>
    <w:rsid w:val="00095971"/>
    <w:rsid w:val="00095CC0"/>
    <w:rsid w:val="00095F01"/>
    <w:rsid w:val="00096311"/>
    <w:rsid w:val="0009686B"/>
    <w:rsid w:val="00096BFF"/>
    <w:rsid w:val="00097112"/>
    <w:rsid w:val="00097243"/>
    <w:rsid w:val="00097D8D"/>
    <w:rsid w:val="000A014F"/>
    <w:rsid w:val="000A0887"/>
    <w:rsid w:val="000A08CF"/>
    <w:rsid w:val="000A1A14"/>
    <w:rsid w:val="000A2085"/>
    <w:rsid w:val="000A249F"/>
    <w:rsid w:val="000A2C4B"/>
    <w:rsid w:val="000A30CC"/>
    <w:rsid w:val="000A331C"/>
    <w:rsid w:val="000A389E"/>
    <w:rsid w:val="000A3C65"/>
    <w:rsid w:val="000A3D51"/>
    <w:rsid w:val="000A445D"/>
    <w:rsid w:val="000A4811"/>
    <w:rsid w:val="000A4AC2"/>
    <w:rsid w:val="000A4EB1"/>
    <w:rsid w:val="000A5169"/>
    <w:rsid w:val="000A550C"/>
    <w:rsid w:val="000A5A2B"/>
    <w:rsid w:val="000A5ABB"/>
    <w:rsid w:val="000A601A"/>
    <w:rsid w:val="000A6115"/>
    <w:rsid w:val="000A632E"/>
    <w:rsid w:val="000A6785"/>
    <w:rsid w:val="000A6C51"/>
    <w:rsid w:val="000A7592"/>
    <w:rsid w:val="000A7A46"/>
    <w:rsid w:val="000B001A"/>
    <w:rsid w:val="000B073A"/>
    <w:rsid w:val="000B0933"/>
    <w:rsid w:val="000B0988"/>
    <w:rsid w:val="000B1460"/>
    <w:rsid w:val="000B1793"/>
    <w:rsid w:val="000B183B"/>
    <w:rsid w:val="000B1B6E"/>
    <w:rsid w:val="000B1F77"/>
    <w:rsid w:val="000B1FE7"/>
    <w:rsid w:val="000B209F"/>
    <w:rsid w:val="000B20F9"/>
    <w:rsid w:val="000B23AC"/>
    <w:rsid w:val="000B2404"/>
    <w:rsid w:val="000B2C1A"/>
    <w:rsid w:val="000B33E2"/>
    <w:rsid w:val="000B3519"/>
    <w:rsid w:val="000B3544"/>
    <w:rsid w:val="000B36B3"/>
    <w:rsid w:val="000B3E5A"/>
    <w:rsid w:val="000B3FF7"/>
    <w:rsid w:val="000B4041"/>
    <w:rsid w:val="000B42D3"/>
    <w:rsid w:val="000B42E8"/>
    <w:rsid w:val="000B4E21"/>
    <w:rsid w:val="000B4F35"/>
    <w:rsid w:val="000B5361"/>
    <w:rsid w:val="000B5FE1"/>
    <w:rsid w:val="000B698B"/>
    <w:rsid w:val="000B6CD4"/>
    <w:rsid w:val="000B6CFB"/>
    <w:rsid w:val="000B6DDC"/>
    <w:rsid w:val="000B73CB"/>
    <w:rsid w:val="000B73DB"/>
    <w:rsid w:val="000B7537"/>
    <w:rsid w:val="000B7684"/>
    <w:rsid w:val="000B7818"/>
    <w:rsid w:val="000B7B5E"/>
    <w:rsid w:val="000C005D"/>
    <w:rsid w:val="000C019B"/>
    <w:rsid w:val="000C04BA"/>
    <w:rsid w:val="000C05F7"/>
    <w:rsid w:val="000C098A"/>
    <w:rsid w:val="000C0BA6"/>
    <w:rsid w:val="000C0C67"/>
    <w:rsid w:val="000C1058"/>
    <w:rsid w:val="000C140C"/>
    <w:rsid w:val="000C1A2A"/>
    <w:rsid w:val="000C1F28"/>
    <w:rsid w:val="000C217D"/>
    <w:rsid w:val="000C22E1"/>
    <w:rsid w:val="000C22FF"/>
    <w:rsid w:val="000C2305"/>
    <w:rsid w:val="000C2AB4"/>
    <w:rsid w:val="000C2D8C"/>
    <w:rsid w:val="000C3018"/>
    <w:rsid w:val="000C30A8"/>
    <w:rsid w:val="000C3A65"/>
    <w:rsid w:val="000C3B0B"/>
    <w:rsid w:val="000C41B5"/>
    <w:rsid w:val="000C4259"/>
    <w:rsid w:val="000C47E5"/>
    <w:rsid w:val="000C4B0A"/>
    <w:rsid w:val="000C5090"/>
    <w:rsid w:val="000C56E4"/>
    <w:rsid w:val="000C587F"/>
    <w:rsid w:val="000C5DB4"/>
    <w:rsid w:val="000C614B"/>
    <w:rsid w:val="000C66A4"/>
    <w:rsid w:val="000C6A9F"/>
    <w:rsid w:val="000C6B70"/>
    <w:rsid w:val="000C7284"/>
    <w:rsid w:val="000C745B"/>
    <w:rsid w:val="000C7499"/>
    <w:rsid w:val="000C7718"/>
    <w:rsid w:val="000D0034"/>
    <w:rsid w:val="000D0113"/>
    <w:rsid w:val="000D07AC"/>
    <w:rsid w:val="000D0DBF"/>
    <w:rsid w:val="000D0EA5"/>
    <w:rsid w:val="000D103E"/>
    <w:rsid w:val="000D11B2"/>
    <w:rsid w:val="000D141F"/>
    <w:rsid w:val="000D162E"/>
    <w:rsid w:val="000D2D08"/>
    <w:rsid w:val="000D3160"/>
    <w:rsid w:val="000D355A"/>
    <w:rsid w:val="000D38D9"/>
    <w:rsid w:val="000D39DC"/>
    <w:rsid w:val="000D3FED"/>
    <w:rsid w:val="000D4168"/>
    <w:rsid w:val="000D4769"/>
    <w:rsid w:val="000D48E2"/>
    <w:rsid w:val="000D4EEE"/>
    <w:rsid w:val="000D6203"/>
    <w:rsid w:val="000D64E3"/>
    <w:rsid w:val="000D679C"/>
    <w:rsid w:val="000D6C08"/>
    <w:rsid w:val="000D703E"/>
    <w:rsid w:val="000D765A"/>
    <w:rsid w:val="000D7A68"/>
    <w:rsid w:val="000D7B4D"/>
    <w:rsid w:val="000E095F"/>
    <w:rsid w:val="000E0CC6"/>
    <w:rsid w:val="000E0CF6"/>
    <w:rsid w:val="000E1215"/>
    <w:rsid w:val="000E1452"/>
    <w:rsid w:val="000E1518"/>
    <w:rsid w:val="000E1CC6"/>
    <w:rsid w:val="000E1F41"/>
    <w:rsid w:val="000E2395"/>
    <w:rsid w:val="000E2A03"/>
    <w:rsid w:val="000E2F33"/>
    <w:rsid w:val="000E2FD3"/>
    <w:rsid w:val="000E32EA"/>
    <w:rsid w:val="000E357D"/>
    <w:rsid w:val="000E3B96"/>
    <w:rsid w:val="000E3C3F"/>
    <w:rsid w:val="000E41BB"/>
    <w:rsid w:val="000E4818"/>
    <w:rsid w:val="000E487D"/>
    <w:rsid w:val="000E49C9"/>
    <w:rsid w:val="000E4A7E"/>
    <w:rsid w:val="000E500C"/>
    <w:rsid w:val="000E5267"/>
    <w:rsid w:val="000E5715"/>
    <w:rsid w:val="000E578A"/>
    <w:rsid w:val="000E6005"/>
    <w:rsid w:val="000E655F"/>
    <w:rsid w:val="000E6651"/>
    <w:rsid w:val="000E690B"/>
    <w:rsid w:val="000E6C70"/>
    <w:rsid w:val="000E6D39"/>
    <w:rsid w:val="000E7183"/>
    <w:rsid w:val="000E7436"/>
    <w:rsid w:val="000F02D8"/>
    <w:rsid w:val="000F0B9D"/>
    <w:rsid w:val="000F0C7F"/>
    <w:rsid w:val="000F124F"/>
    <w:rsid w:val="000F13FA"/>
    <w:rsid w:val="000F1465"/>
    <w:rsid w:val="000F15CD"/>
    <w:rsid w:val="000F19CA"/>
    <w:rsid w:val="000F1A35"/>
    <w:rsid w:val="000F2010"/>
    <w:rsid w:val="000F2318"/>
    <w:rsid w:val="000F260E"/>
    <w:rsid w:val="000F2747"/>
    <w:rsid w:val="000F2A81"/>
    <w:rsid w:val="000F309C"/>
    <w:rsid w:val="000F3773"/>
    <w:rsid w:val="000F3A14"/>
    <w:rsid w:val="000F3C9C"/>
    <w:rsid w:val="000F3CB5"/>
    <w:rsid w:val="000F443D"/>
    <w:rsid w:val="000F4591"/>
    <w:rsid w:val="000F4DAD"/>
    <w:rsid w:val="000F4DDF"/>
    <w:rsid w:val="000F4FA8"/>
    <w:rsid w:val="000F5231"/>
    <w:rsid w:val="000F547D"/>
    <w:rsid w:val="000F557E"/>
    <w:rsid w:val="000F5864"/>
    <w:rsid w:val="000F5893"/>
    <w:rsid w:val="000F5A2F"/>
    <w:rsid w:val="000F5A49"/>
    <w:rsid w:val="000F5F6D"/>
    <w:rsid w:val="000F5FA6"/>
    <w:rsid w:val="000F6762"/>
    <w:rsid w:val="000F67A7"/>
    <w:rsid w:val="000F6D5B"/>
    <w:rsid w:val="000F6EE4"/>
    <w:rsid w:val="000F748F"/>
    <w:rsid w:val="000F7769"/>
    <w:rsid w:val="000F7891"/>
    <w:rsid w:val="000F7CE1"/>
    <w:rsid w:val="000F7D35"/>
    <w:rsid w:val="00101298"/>
    <w:rsid w:val="001014A4"/>
    <w:rsid w:val="0010182A"/>
    <w:rsid w:val="00101A8B"/>
    <w:rsid w:val="00101D3C"/>
    <w:rsid w:val="0010218A"/>
    <w:rsid w:val="00102850"/>
    <w:rsid w:val="00102A68"/>
    <w:rsid w:val="00102B07"/>
    <w:rsid w:val="00102B0D"/>
    <w:rsid w:val="00102DFD"/>
    <w:rsid w:val="00102EAE"/>
    <w:rsid w:val="0010312E"/>
    <w:rsid w:val="00103431"/>
    <w:rsid w:val="0010356C"/>
    <w:rsid w:val="00103587"/>
    <w:rsid w:val="00103A18"/>
    <w:rsid w:val="00103C73"/>
    <w:rsid w:val="00103E25"/>
    <w:rsid w:val="0010413A"/>
    <w:rsid w:val="001044AB"/>
    <w:rsid w:val="0010482F"/>
    <w:rsid w:val="00105397"/>
    <w:rsid w:val="0010570B"/>
    <w:rsid w:val="00105917"/>
    <w:rsid w:val="00105BA0"/>
    <w:rsid w:val="0010621A"/>
    <w:rsid w:val="001063DF"/>
    <w:rsid w:val="00106564"/>
    <w:rsid w:val="00106BD5"/>
    <w:rsid w:val="00107396"/>
    <w:rsid w:val="0010776A"/>
    <w:rsid w:val="00107913"/>
    <w:rsid w:val="00107949"/>
    <w:rsid w:val="001079CA"/>
    <w:rsid w:val="00107E98"/>
    <w:rsid w:val="00110012"/>
    <w:rsid w:val="00110414"/>
    <w:rsid w:val="001106A9"/>
    <w:rsid w:val="00110897"/>
    <w:rsid w:val="00111111"/>
    <w:rsid w:val="0011163C"/>
    <w:rsid w:val="00111B03"/>
    <w:rsid w:val="001120E2"/>
    <w:rsid w:val="00112219"/>
    <w:rsid w:val="00112762"/>
    <w:rsid w:val="001128BA"/>
    <w:rsid w:val="00112AF9"/>
    <w:rsid w:val="00112C3D"/>
    <w:rsid w:val="00112FFF"/>
    <w:rsid w:val="00113357"/>
    <w:rsid w:val="0011381D"/>
    <w:rsid w:val="00113CEF"/>
    <w:rsid w:val="00113F6E"/>
    <w:rsid w:val="00114238"/>
    <w:rsid w:val="00114626"/>
    <w:rsid w:val="00114DFB"/>
    <w:rsid w:val="001150F7"/>
    <w:rsid w:val="001152A6"/>
    <w:rsid w:val="001155A7"/>
    <w:rsid w:val="00115746"/>
    <w:rsid w:val="00115ED4"/>
    <w:rsid w:val="001163FD"/>
    <w:rsid w:val="00116D13"/>
    <w:rsid w:val="00116EA1"/>
    <w:rsid w:val="00116EA3"/>
    <w:rsid w:val="001174E3"/>
    <w:rsid w:val="00117563"/>
    <w:rsid w:val="00117783"/>
    <w:rsid w:val="0011790C"/>
    <w:rsid w:val="00120182"/>
    <w:rsid w:val="0012036D"/>
    <w:rsid w:val="00120469"/>
    <w:rsid w:val="00120705"/>
    <w:rsid w:val="001207AE"/>
    <w:rsid w:val="0012086E"/>
    <w:rsid w:val="00120964"/>
    <w:rsid w:val="00120EB2"/>
    <w:rsid w:val="001214B8"/>
    <w:rsid w:val="00121929"/>
    <w:rsid w:val="00121E17"/>
    <w:rsid w:val="00121ECF"/>
    <w:rsid w:val="001222ED"/>
    <w:rsid w:val="0012274F"/>
    <w:rsid w:val="00122906"/>
    <w:rsid w:val="00122B79"/>
    <w:rsid w:val="00122C00"/>
    <w:rsid w:val="001230D5"/>
    <w:rsid w:val="0012316C"/>
    <w:rsid w:val="00123E31"/>
    <w:rsid w:val="00123FD0"/>
    <w:rsid w:val="00124013"/>
    <w:rsid w:val="001240B7"/>
    <w:rsid w:val="001243FA"/>
    <w:rsid w:val="0012469D"/>
    <w:rsid w:val="0012484D"/>
    <w:rsid w:val="001249AF"/>
    <w:rsid w:val="001251D3"/>
    <w:rsid w:val="001259B7"/>
    <w:rsid w:val="00125BB3"/>
    <w:rsid w:val="00125D54"/>
    <w:rsid w:val="00125EAD"/>
    <w:rsid w:val="00126156"/>
    <w:rsid w:val="0012661F"/>
    <w:rsid w:val="00126C30"/>
    <w:rsid w:val="00126CD5"/>
    <w:rsid w:val="00126E32"/>
    <w:rsid w:val="001273AA"/>
    <w:rsid w:val="00127438"/>
    <w:rsid w:val="00127976"/>
    <w:rsid w:val="00127B0F"/>
    <w:rsid w:val="00127D07"/>
    <w:rsid w:val="00127E3E"/>
    <w:rsid w:val="00127F6B"/>
    <w:rsid w:val="001300E3"/>
    <w:rsid w:val="001302A6"/>
    <w:rsid w:val="0013053F"/>
    <w:rsid w:val="00130821"/>
    <w:rsid w:val="00130CF4"/>
    <w:rsid w:val="00131281"/>
    <w:rsid w:val="0013169A"/>
    <w:rsid w:val="001318A8"/>
    <w:rsid w:val="00131B9E"/>
    <w:rsid w:val="0013293E"/>
    <w:rsid w:val="00132A89"/>
    <w:rsid w:val="00132BF0"/>
    <w:rsid w:val="0013372B"/>
    <w:rsid w:val="001339AD"/>
    <w:rsid w:val="001343AD"/>
    <w:rsid w:val="0013446F"/>
    <w:rsid w:val="00134838"/>
    <w:rsid w:val="001349E5"/>
    <w:rsid w:val="00135107"/>
    <w:rsid w:val="001353F1"/>
    <w:rsid w:val="001354EE"/>
    <w:rsid w:val="00135570"/>
    <w:rsid w:val="00135727"/>
    <w:rsid w:val="00135F46"/>
    <w:rsid w:val="0013628C"/>
    <w:rsid w:val="001362C8"/>
    <w:rsid w:val="0013632D"/>
    <w:rsid w:val="001365BD"/>
    <w:rsid w:val="001367DD"/>
    <w:rsid w:val="001372A6"/>
    <w:rsid w:val="00137561"/>
    <w:rsid w:val="00137754"/>
    <w:rsid w:val="001378E8"/>
    <w:rsid w:val="00137AF7"/>
    <w:rsid w:val="001400FB"/>
    <w:rsid w:val="00140164"/>
    <w:rsid w:val="00140408"/>
    <w:rsid w:val="00140542"/>
    <w:rsid w:val="001406D0"/>
    <w:rsid w:val="001408AF"/>
    <w:rsid w:val="00140A0F"/>
    <w:rsid w:val="00140BE9"/>
    <w:rsid w:val="001410F3"/>
    <w:rsid w:val="00141390"/>
    <w:rsid w:val="00141650"/>
    <w:rsid w:val="0014189D"/>
    <w:rsid w:val="00141F36"/>
    <w:rsid w:val="001422A6"/>
    <w:rsid w:val="001423F1"/>
    <w:rsid w:val="0014241B"/>
    <w:rsid w:val="00142845"/>
    <w:rsid w:val="001430E0"/>
    <w:rsid w:val="001433BD"/>
    <w:rsid w:val="00143455"/>
    <w:rsid w:val="0014356D"/>
    <w:rsid w:val="00143787"/>
    <w:rsid w:val="00143C17"/>
    <w:rsid w:val="00143F9A"/>
    <w:rsid w:val="001445A9"/>
    <w:rsid w:val="0014490E"/>
    <w:rsid w:val="00145034"/>
    <w:rsid w:val="0014539A"/>
    <w:rsid w:val="00145642"/>
    <w:rsid w:val="00145F98"/>
    <w:rsid w:val="001461E5"/>
    <w:rsid w:val="001464B0"/>
    <w:rsid w:val="00146608"/>
    <w:rsid w:val="001468C6"/>
    <w:rsid w:val="001469A4"/>
    <w:rsid w:val="00146E60"/>
    <w:rsid w:val="001470D6"/>
    <w:rsid w:val="00147356"/>
    <w:rsid w:val="001474CE"/>
    <w:rsid w:val="00147FF7"/>
    <w:rsid w:val="001505BF"/>
    <w:rsid w:val="00150C2E"/>
    <w:rsid w:val="00150CB8"/>
    <w:rsid w:val="001510F8"/>
    <w:rsid w:val="0015146B"/>
    <w:rsid w:val="001527A8"/>
    <w:rsid w:val="001530E9"/>
    <w:rsid w:val="001531C2"/>
    <w:rsid w:val="0015324C"/>
    <w:rsid w:val="00153A0E"/>
    <w:rsid w:val="00153B06"/>
    <w:rsid w:val="00153FD2"/>
    <w:rsid w:val="00154180"/>
    <w:rsid w:val="00154470"/>
    <w:rsid w:val="001544FB"/>
    <w:rsid w:val="001545AA"/>
    <w:rsid w:val="0015471B"/>
    <w:rsid w:val="001547DA"/>
    <w:rsid w:val="0015486A"/>
    <w:rsid w:val="00155606"/>
    <w:rsid w:val="00155B30"/>
    <w:rsid w:val="00156260"/>
    <w:rsid w:val="00156B39"/>
    <w:rsid w:val="00157273"/>
    <w:rsid w:val="001572E9"/>
    <w:rsid w:val="001577D7"/>
    <w:rsid w:val="0015780B"/>
    <w:rsid w:val="00157819"/>
    <w:rsid w:val="00157E6F"/>
    <w:rsid w:val="0016006D"/>
    <w:rsid w:val="001607AC"/>
    <w:rsid w:val="00161309"/>
    <w:rsid w:val="00161321"/>
    <w:rsid w:val="0016138D"/>
    <w:rsid w:val="001613AE"/>
    <w:rsid w:val="00161517"/>
    <w:rsid w:val="00161D1A"/>
    <w:rsid w:val="00161F31"/>
    <w:rsid w:val="00162726"/>
    <w:rsid w:val="00162845"/>
    <w:rsid w:val="00162856"/>
    <w:rsid w:val="0016292A"/>
    <w:rsid w:val="001630A1"/>
    <w:rsid w:val="00163AFE"/>
    <w:rsid w:val="00163B71"/>
    <w:rsid w:val="00163F3F"/>
    <w:rsid w:val="001640E4"/>
    <w:rsid w:val="00164124"/>
    <w:rsid w:val="0016427D"/>
    <w:rsid w:val="001642B2"/>
    <w:rsid w:val="00164332"/>
    <w:rsid w:val="00164F18"/>
    <w:rsid w:val="00165151"/>
    <w:rsid w:val="001657D2"/>
    <w:rsid w:val="00165ED1"/>
    <w:rsid w:val="00166214"/>
    <w:rsid w:val="00166C95"/>
    <w:rsid w:val="00166DCF"/>
    <w:rsid w:val="00166F1D"/>
    <w:rsid w:val="00166F7C"/>
    <w:rsid w:val="00167112"/>
    <w:rsid w:val="001675C4"/>
    <w:rsid w:val="001676DA"/>
    <w:rsid w:val="00167775"/>
    <w:rsid w:val="00167821"/>
    <w:rsid w:val="00167853"/>
    <w:rsid w:val="00167936"/>
    <w:rsid w:val="00167C09"/>
    <w:rsid w:val="00167F2F"/>
    <w:rsid w:val="00170192"/>
    <w:rsid w:val="00170624"/>
    <w:rsid w:val="0017099E"/>
    <w:rsid w:val="0017129D"/>
    <w:rsid w:val="00171491"/>
    <w:rsid w:val="001715E5"/>
    <w:rsid w:val="001716F6"/>
    <w:rsid w:val="00171A60"/>
    <w:rsid w:val="00171DEF"/>
    <w:rsid w:val="00172467"/>
    <w:rsid w:val="00172A2A"/>
    <w:rsid w:val="00172AF8"/>
    <w:rsid w:val="00172BAD"/>
    <w:rsid w:val="00173E72"/>
    <w:rsid w:val="00174015"/>
    <w:rsid w:val="00174478"/>
    <w:rsid w:val="001746C5"/>
    <w:rsid w:val="00174AA5"/>
    <w:rsid w:val="001754C7"/>
    <w:rsid w:val="00175655"/>
    <w:rsid w:val="00175B4E"/>
    <w:rsid w:val="00175C40"/>
    <w:rsid w:val="00175D37"/>
    <w:rsid w:val="00176209"/>
    <w:rsid w:val="0017637D"/>
    <w:rsid w:val="00176423"/>
    <w:rsid w:val="00176543"/>
    <w:rsid w:val="001765DA"/>
    <w:rsid w:val="00176A94"/>
    <w:rsid w:val="00176DBA"/>
    <w:rsid w:val="0017705F"/>
    <w:rsid w:val="0017737F"/>
    <w:rsid w:val="001774E7"/>
    <w:rsid w:val="001776C0"/>
    <w:rsid w:val="00177B93"/>
    <w:rsid w:val="00177F35"/>
    <w:rsid w:val="001806EF"/>
    <w:rsid w:val="00180B28"/>
    <w:rsid w:val="00181057"/>
    <w:rsid w:val="0018110C"/>
    <w:rsid w:val="001816B1"/>
    <w:rsid w:val="001816C2"/>
    <w:rsid w:val="00181AA8"/>
    <w:rsid w:val="0018273C"/>
    <w:rsid w:val="00182964"/>
    <w:rsid w:val="00182D4B"/>
    <w:rsid w:val="001831C1"/>
    <w:rsid w:val="00183237"/>
    <w:rsid w:val="001834C5"/>
    <w:rsid w:val="001836B1"/>
    <w:rsid w:val="00183766"/>
    <w:rsid w:val="00183CAA"/>
    <w:rsid w:val="00183DF0"/>
    <w:rsid w:val="001844F4"/>
    <w:rsid w:val="001847C2"/>
    <w:rsid w:val="001848A3"/>
    <w:rsid w:val="00184931"/>
    <w:rsid w:val="00184C61"/>
    <w:rsid w:val="00184E35"/>
    <w:rsid w:val="00184F72"/>
    <w:rsid w:val="001851AB"/>
    <w:rsid w:val="001857AF"/>
    <w:rsid w:val="00185CB3"/>
    <w:rsid w:val="00186170"/>
    <w:rsid w:val="0018622F"/>
    <w:rsid w:val="00186A79"/>
    <w:rsid w:val="00186E0D"/>
    <w:rsid w:val="00187410"/>
    <w:rsid w:val="00187532"/>
    <w:rsid w:val="00187580"/>
    <w:rsid w:val="00187A1E"/>
    <w:rsid w:val="00187BFA"/>
    <w:rsid w:val="00187D90"/>
    <w:rsid w:val="00190B8F"/>
    <w:rsid w:val="00190D01"/>
    <w:rsid w:val="00190E79"/>
    <w:rsid w:val="0019106C"/>
    <w:rsid w:val="001910BF"/>
    <w:rsid w:val="001913C7"/>
    <w:rsid w:val="00191402"/>
    <w:rsid w:val="0019152D"/>
    <w:rsid w:val="001919CF"/>
    <w:rsid w:val="001922E6"/>
    <w:rsid w:val="001925A7"/>
    <w:rsid w:val="0019277A"/>
    <w:rsid w:val="00193578"/>
    <w:rsid w:val="00193C92"/>
    <w:rsid w:val="00193E48"/>
    <w:rsid w:val="001940B1"/>
    <w:rsid w:val="00194416"/>
    <w:rsid w:val="00195708"/>
    <w:rsid w:val="001959BD"/>
    <w:rsid w:val="00195AD3"/>
    <w:rsid w:val="00195E7C"/>
    <w:rsid w:val="00195F05"/>
    <w:rsid w:val="00196084"/>
    <w:rsid w:val="001960AC"/>
    <w:rsid w:val="001962B7"/>
    <w:rsid w:val="001968BF"/>
    <w:rsid w:val="00196A00"/>
    <w:rsid w:val="00196FD8"/>
    <w:rsid w:val="001972DD"/>
    <w:rsid w:val="0019739C"/>
    <w:rsid w:val="00197F54"/>
    <w:rsid w:val="001A0F97"/>
    <w:rsid w:val="001A148F"/>
    <w:rsid w:val="001A1778"/>
    <w:rsid w:val="001A1794"/>
    <w:rsid w:val="001A202A"/>
    <w:rsid w:val="001A268E"/>
    <w:rsid w:val="001A29AD"/>
    <w:rsid w:val="001A2A0F"/>
    <w:rsid w:val="001A3059"/>
    <w:rsid w:val="001A327C"/>
    <w:rsid w:val="001A3408"/>
    <w:rsid w:val="001A36C7"/>
    <w:rsid w:val="001A3714"/>
    <w:rsid w:val="001A380F"/>
    <w:rsid w:val="001A3ABC"/>
    <w:rsid w:val="001A4B65"/>
    <w:rsid w:val="001A4CC5"/>
    <w:rsid w:val="001A4F96"/>
    <w:rsid w:val="001A5346"/>
    <w:rsid w:val="001A534D"/>
    <w:rsid w:val="001A5AF4"/>
    <w:rsid w:val="001A5B8C"/>
    <w:rsid w:val="001A5D22"/>
    <w:rsid w:val="001A63B7"/>
    <w:rsid w:val="001A6408"/>
    <w:rsid w:val="001A64E2"/>
    <w:rsid w:val="001A6907"/>
    <w:rsid w:val="001A6DEA"/>
    <w:rsid w:val="001A703B"/>
    <w:rsid w:val="001A71C1"/>
    <w:rsid w:val="001A724E"/>
    <w:rsid w:val="001A7445"/>
    <w:rsid w:val="001A7456"/>
    <w:rsid w:val="001A748B"/>
    <w:rsid w:val="001A74A7"/>
    <w:rsid w:val="001A79D4"/>
    <w:rsid w:val="001A7AEC"/>
    <w:rsid w:val="001B00D6"/>
    <w:rsid w:val="001B0496"/>
    <w:rsid w:val="001B0DE0"/>
    <w:rsid w:val="001B1664"/>
    <w:rsid w:val="001B17C1"/>
    <w:rsid w:val="001B1E90"/>
    <w:rsid w:val="001B2241"/>
    <w:rsid w:val="001B2A30"/>
    <w:rsid w:val="001B2FFA"/>
    <w:rsid w:val="001B34A1"/>
    <w:rsid w:val="001B3854"/>
    <w:rsid w:val="001B3E0C"/>
    <w:rsid w:val="001B433E"/>
    <w:rsid w:val="001B45F2"/>
    <w:rsid w:val="001B4631"/>
    <w:rsid w:val="001B4710"/>
    <w:rsid w:val="001B4B40"/>
    <w:rsid w:val="001B53D2"/>
    <w:rsid w:val="001B5DCD"/>
    <w:rsid w:val="001B623C"/>
    <w:rsid w:val="001B6675"/>
    <w:rsid w:val="001B6C01"/>
    <w:rsid w:val="001B6C45"/>
    <w:rsid w:val="001B6E88"/>
    <w:rsid w:val="001B6E9C"/>
    <w:rsid w:val="001B6F34"/>
    <w:rsid w:val="001B72C5"/>
    <w:rsid w:val="001B7734"/>
    <w:rsid w:val="001B77D5"/>
    <w:rsid w:val="001C0336"/>
    <w:rsid w:val="001C0415"/>
    <w:rsid w:val="001C0A3A"/>
    <w:rsid w:val="001C0B6D"/>
    <w:rsid w:val="001C0CA8"/>
    <w:rsid w:val="001C10BA"/>
    <w:rsid w:val="001C118A"/>
    <w:rsid w:val="001C1C4F"/>
    <w:rsid w:val="001C1EDB"/>
    <w:rsid w:val="001C2287"/>
    <w:rsid w:val="001C26F0"/>
    <w:rsid w:val="001C2D74"/>
    <w:rsid w:val="001C2DE5"/>
    <w:rsid w:val="001C3070"/>
    <w:rsid w:val="001C3246"/>
    <w:rsid w:val="001C3752"/>
    <w:rsid w:val="001C3E78"/>
    <w:rsid w:val="001C429F"/>
    <w:rsid w:val="001C4AAA"/>
    <w:rsid w:val="001C4B51"/>
    <w:rsid w:val="001C4F45"/>
    <w:rsid w:val="001C5694"/>
    <w:rsid w:val="001C5AD8"/>
    <w:rsid w:val="001C5C7D"/>
    <w:rsid w:val="001C631F"/>
    <w:rsid w:val="001C6556"/>
    <w:rsid w:val="001C6B0F"/>
    <w:rsid w:val="001C6B74"/>
    <w:rsid w:val="001C718B"/>
    <w:rsid w:val="001C79A4"/>
    <w:rsid w:val="001C7A74"/>
    <w:rsid w:val="001D05D0"/>
    <w:rsid w:val="001D0779"/>
    <w:rsid w:val="001D0959"/>
    <w:rsid w:val="001D1239"/>
    <w:rsid w:val="001D15CF"/>
    <w:rsid w:val="001D1DFA"/>
    <w:rsid w:val="001D1F4B"/>
    <w:rsid w:val="001D22CB"/>
    <w:rsid w:val="001D24D8"/>
    <w:rsid w:val="001D268E"/>
    <w:rsid w:val="001D3B3C"/>
    <w:rsid w:val="001D3BA3"/>
    <w:rsid w:val="001D3D8F"/>
    <w:rsid w:val="001D3E10"/>
    <w:rsid w:val="001D3ED3"/>
    <w:rsid w:val="001D429B"/>
    <w:rsid w:val="001D4346"/>
    <w:rsid w:val="001D45C4"/>
    <w:rsid w:val="001D46EB"/>
    <w:rsid w:val="001D47FF"/>
    <w:rsid w:val="001D4B91"/>
    <w:rsid w:val="001D4C92"/>
    <w:rsid w:val="001D51FD"/>
    <w:rsid w:val="001D53F1"/>
    <w:rsid w:val="001D5980"/>
    <w:rsid w:val="001D5A60"/>
    <w:rsid w:val="001D5D31"/>
    <w:rsid w:val="001D61CA"/>
    <w:rsid w:val="001D62C7"/>
    <w:rsid w:val="001D6418"/>
    <w:rsid w:val="001D6EDA"/>
    <w:rsid w:val="001D7012"/>
    <w:rsid w:val="001D736D"/>
    <w:rsid w:val="001D7683"/>
    <w:rsid w:val="001D795F"/>
    <w:rsid w:val="001E0622"/>
    <w:rsid w:val="001E0832"/>
    <w:rsid w:val="001E088F"/>
    <w:rsid w:val="001E0CC2"/>
    <w:rsid w:val="001E0F3B"/>
    <w:rsid w:val="001E18E3"/>
    <w:rsid w:val="001E1A46"/>
    <w:rsid w:val="001E20B1"/>
    <w:rsid w:val="001E269A"/>
    <w:rsid w:val="001E28E4"/>
    <w:rsid w:val="001E2D70"/>
    <w:rsid w:val="001E2E3B"/>
    <w:rsid w:val="001E2E3F"/>
    <w:rsid w:val="001E304E"/>
    <w:rsid w:val="001E35BB"/>
    <w:rsid w:val="001E39F4"/>
    <w:rsid w:val="001E3B1D"/>
    <w:rsid w:val="001E3B55"/>
    <w:rsid w:val="001E3BE8"/>
    <w:rsid w:val="001E3D93"/>
    <w:rsid w:val="001E4121"/>
    <w:rsid w:val="001E4173"/>
    <w:rsid w:val="001E4333"/>
    <w:rsid w:val="001E48FC"/>
    <w:rsid w:val="001E493A"/>
    <w:rsid w:val="001E4A39"/>
    <w:rsid w:val="001E4B08"/>
    <w:rsid w:val="001E5978"/>
    <w:rsid w:val="001E5A12"/>
    <w:rsid w:val="001E63D9"/>
    <w:rsid w:val="001E64B1"/>
    <w:rsid w:val="001E66C7"/>
    <w:rsid w:val="001E6739"/>
    <w:rsid w:val="001E680D"/>
    <w:rsid w:val="001E6D79"/>
    <w:rsid w:val="001E71FB"/>
    <w:rsid w:val="001E7556"/>
    <w:rsid w:val="001E78F7"/>
    <w:rsid w:val="001E7A51"/>
    <w:rsid w:val="001E7F7F"/>
    <w:rsid w:val="001F024B"/>
    <w:rsid w:val="001F06FC"/>
    <w:rsid w:val="001F07B5"/>
    <w:rsid w:val="001F0C05"/>
    <w:rsid w:val="001F0DCC"/>
    <w:rsid w:val="001F10F6"/>
    <w:rsid w:val="001F1706"/>
    <w:rsid w:val="001F1A69"/>
    <w:rsid w:val="001F1B16"/>
    <w:rsid w:val="001F2014"/>
    <w:rsid w:val="001F27C6"/>
    <w:rsid w:val="001F328A"/>
    <w:rsid w:val="001F3564"/>
    <w:rsid w:val="001F3DBD"/>
    <w:rsid w:val="001F3FFA"/>
    <w:rsid w:val="001F416E"/>
    <w:rsid w:val="001F4908"/>
    <w:rsid w:val="001F4BDE"/>
    <w:rsid w:val="001F4CD0"/>
    <w:rsid w:val="001F4D0F"/>
    <w:rsid w:val="001F4E34"/>
    <w:rsid w:val="001F51BE"/>
    <w:rsid w:val="001F590D"/>
    <w:rsid w:val="001F5AB8"/>
    <w:rsid w:val="001F6595"/>
    <w:rsid w:val="001F677D"/>
    <w:rsid w:val="001F67BD"/>
    <w:rsid w:val="001F6875"/>
    <w:rsid w:val="001F72DF"/>
    <w:rsid w:val="001F73F9"/>
    <w:rsid w:val="001F7464"/>
    <w:rsid w:val="001F79B7"/>
    <w:rsid w:val="002003EA"/>
    <w:rsid w:val="002006D7"/>
    <w:rsid w:val="0020131A"/>
    <w:rsid w:val="002015AE"/>
    <w:rsid w:val="0020164C"/>
    <w:rsid w:val="0020194E"/>
    <w:rsid w:val="00201B59"/>
    <w:rsid w:val="00201D59"/>
    <w:rsid w:val="00201D65"/>
    <w:rsid w:val="00201E9C"/>
    <w:rsid w:val="00201F1E"/>
    <w:rsid w:val="00201F61"/>
    <w:rsid w:val="002024D0"/>
    <w:rsid w:val="002026F5"/>
    <w:rsid w:val="002026FE"/>
    <w:rsid w:val="0020278C"/>
    <w:rsid w:val="002030D2"/>
    <w:rsid w:val="002031AA"/>
    <w:rsid w:val="002040AB"/>
    <w:rsid w:val="0020478A"/>
    <w:rsid w:val="00204C04"/>
    <w:rsid w:val="00204DAF"/>
    <w:rsid w:val="002051AF"/>
    <w:rsid w:val="002055E6"/>
    <w:rsid w:val="00205661"/>
    <w:rsid w:val="00205E44"/>
    <w:rsid w:val="00205F8A"/>
    <w:rsid w:val="002067B8"/>
    <w:rsid w:val="002068E1"/>
    <w:rsid w:val="00207175"/>
    <w:rsid w:val="002075F9"/>
    <w:rsid w:val="002076E0"/>
    <w:rsid w:val="00207850"/>
    <w:rsid w:val="00207964"/>
    <w:rsid w:val="0021058B"/>
    <w:rsid w:val="0021083A"/>
    <w:rsid w:val="002109D5"/>
    <w:rsid w:val="002109EB"/>
    <w:rsid w:val="00210B47"/>
    <w:rsid w:val="00210C80"/>
    <w:rsid w:val="00210F59"/>
    <w:rsid w:val="00210FE3"/>
    <w:rsid w:val="002117F7"/>
    <w:rsid w:val="00211D99"/>
    <w:rsid w:val="0021245C"/>
    <w:rsid w:val="00213125"/>
    <w:rsid w:val="002134B2"/>
    <w:rsid w:val="0021366E"/>
    <w:rsid w:val="00213DC5"/>
    <w:rsid w:val="00213EA0"/>
    <w:rsid w:val="00214036"/>
    <w:rsid w:val="00214111"/>
    <w:rsid w:val="0021483F"/>
    <w:rsid w:val="00214A67"/>
    <w:rsid w:val="00214BA0"/>
    <w:rsid w:val="00214FB7"/>
    <w:rsid w:val="002152EC"/>
    <w:rsid w:val="002157AF"/>
    <w:rsid w:val="002157FA"/>
    <w:rsid w:val="00215912"/>
    <w:rsid w:val="00216A82"/>
    <w:rsid w:val="0021742D"/>
    <w:rsid w:val="00217751"/>
    <w:rsid w:val="002178BE"/>
    <w:rsid w:val="0022026F"/>
    <w:rsid w:val="002205D1"/>
    <w:rsid w:val="0022088D"/>
    <w:rsid w:val="002212C8"/>
    <w:rsid w:val="00221AEF"/>
    <w:rsid w:val="00221D91"/>
    <w:rsid w:val="00221F8E"/>
    <w:rsid w:val="00222270"/>
    <w:rsid w:val="00222363"/>
    <w:rsid w:val="00222454"/>
    <w:rsid w:val="002228C2"/>
    <w:rsid w:val="0022295B"/>
    <w:rsid w:val="00222ADE"/>
    <w:rsid w:val="00222C2D"/>
    <w:rsid w:val="00223028"/>
    <w:rsid w:val="00223364"/>
    <w:rsid w:val="002234F9"/>
    <w:rsid w:val="0022354F"/>
    <w:rsid w:val="002235C4"/>
    <w:rsid w:val="002237F2"/>
    <w:rsid w:val="00223BAF"/>
    <w:rsid w:val="00224458"/>
    <w:rsid w:val="002248C4"/>
    <w:rsid w:val="00224ADD"/>
    <w:rsid w:val="00224AE0"/>
    <w:rsid w:val="00224FF0"/>
    <w:rsid w:val="002252A0"/>
    <w:rsid w:val="0022674D"/>
    <w:rsid w:val="00226B59"/>
    <w:rsid w:val="00226CD2"/>
    <w:rsid w:val="00226FE0"/>
    <w:rsid w:val="002272F0"/>
    <w:rsid w:val="002277E0"/>
    <w:rsid w:val="00227A5F"/>
    <w:rsid w:val="00227B77"/>
    <w:rsid w:val="00227E6A"/>
    <w:rsid w:val="00227EA5"/>
    <w:rsid w:val="00227EE4"/>
    <w:rsid w:val="002300C7"/>
    <w:rsid w:val="00230395"/>
    <w:rsid w:val="002309FB"/>
    <w:rsid w:val="00230E02"/>
    <w:rsid w:val="00231AAB"/>
    <w:rsid w:val="00231C70"/>
    <w:rsid w:val="0023227C"/>
    <w:rsid w:val="00232375"/>
    <w:rsid w:val="002324CF"/>
    <w:rsid w:val="00232721"/>
    <w:rsid w:val="00232A4D"/>
    <w:rsid w:val="00232CEF"/>
    <w:rsid w:val="0023300A"/>
    <w:rsid w:val="002330DB"/>
    <w:rsid w:val="0023328E"/>
    <w:rsid w:val="0023366A"/>
    <w:rsid w:val="002336F5"/>
    <w:rsid w:val="00233A75"/>
    <w:rsid w:val="00233A81"/>
    <w:rsid w:val="00233E90"/>
    <w:rsid w:val="00234AA9"/>
    <w:rsid w:val="00234D1E"/>
    <w:rsid w:val="00234D22"/>
    <w:rsid w:val="00234F47"/>
    <w:rsid w:val="0023508D"/>
    <w:rsid w:val="00235243"/>
    <w:rsid w:val="0023565F"/>
    <w:rsid w:val="002358E4"/>
    <w:rsid w:val="00235B47"/>
    <w:rsid w:val="00235B97"/>
    <w:rsid w:val="00236BB9"/>
    <w:rsid w:val="00236D02"/>
    <w:rsid w:val="00240727"/>
    <w:rsid w:val="0024078C"/>
    <w:rsid w:val="002414F6"/>
    <w:rsid w:val="00241C39"/>
    <w:rsid w:val="00241DC8"/>
    <w:rsid w:val="00241EC5"/>
    <w:rsid w:val="00242225"/>
    <w:rsid w:val="0024224D"/>
    <w:rsid w:val="002423C6"/>
    <w:rsid w:val="002427AF"/>
    <w:rsid w:val="00242A1A"/>
    <w:rsid w:val="00242BF0"/>
    <w:rsid w:val="00242C73"/>
    <w:rsid w:val="00242D94"/>
    <w:rsid w:val="00242EC7"/>
    <w:rsid w:val="00243166"/>
    <w:rsid w:val="002433AE"/>
    <w:rsid w:val="00243A17"/>
    <w:rsid w:val="00243ACD"/>
    <w:rsid w:val="00243B78"/>
    <w:rsid w:val="00243BC8"/>
    <w:rsid w:val="002443B1"/>
    <w:rsid w:val="00244B8C"/>
    <w:rsid w:val="00245024"/>
    <w:rsid w:val="00245219"/>
    <w:rsid w:val="002456B7"/>
    <w:rsid w:val="00245898"/>
    <w:rsid w:val="0024599C"/>
    <w:rsid w:val="002459EF"/>
    <w:rsid w:val="00246EC3"/>
    <w:rsid w:val="00246F2A"/>
    <w:rsid w:val="0024725E"/>
    <w:rsid w:val="00247286"/>
    <w:rsid w:val="0024738A"/>
    <w:rsid w:val="002473BB"/>
    <w:rsid w:val="002477BE"/>
    <w:rsid w:val="002488B8"/>
    <w:rsid w:val="0025001B"/>
    <w:rsid w:val="002505C5"/>
    <w:rsid w:val="00250805"/>
    <w:rsid w:val="00250EA7"/>
    <w:rsid w:val="002518A1"/>
    <w:rsid w:val="00251DF9"/>
    <w:rsid w:val="00252392"/>
    <w:rsid w:val="00252A2D"/>
    <w:rsid w:val="00252A54"/>
    <w:rsid w:val="00252B44"/>
    <w:rsid w:val="002530A9"/>
    <w:rsid w:val="0025351E"/>
    <w:rsid w:val="002536A8"/>
    <w:rsid w:val="00253AE6"/>
    <w:rsid w:val="00253E53"/>
    <w:rsid w:val="00254567"/>
    <w:rsid w:val="00254754"/>
    <w:rsid w:val="0025496B"/>
    <w:rsid w:val="002549F4"/>
    <w:rsid w:val="00254E1D"/>
    <w:rsid w:val="0025522E"/>
    <w:rsid w:val="002552D9"/>
    <w:rsid w:val="00255BF4"/>
    <w:rsid w:val="00255E48"/>
    <w:rsid w:val="00255ED6"/>
    <w:rsid w:val="0025613C"/>
    <w:rsid w:val="002563F1"/>
    <w:rsid w:val="00256C9B"/>
    <w:rsid w:val="00256CD4"/>
    <w:rsid w:val="00257445"/>
    <w:rsid w:val="002578D3"/>
    <w:rsid w:val="00257AC8"/>
    <w:rsid w:val="002601D9"/>
    <w:rsid w:val="0026031F"/>
    <w:rsid w:val="002604A4"/>
    <w:rsid w:val="00260974"/>
    <w:rsid w:val="00260B6A"/>
    <w:rsid w:val="0026135A"/>
    <w:rsid w:val="00261FDC"/>
    <w:rsid w:val="002621E8"/>
    <w:rsid w:val="00262632"/>
    <w:rsid w:val="002628AF"/>
    <w:rsid w:val="00262A08"/>
    <w:rsid w:val="00262B48"/>
    <w:rsid w:val="002630DA"/>
    <w:rsid w:val="0026315A"/>
    <w:rsid w:val="002633F7"/>
    <w:rsid w:val="00263796"/>
    <w:rsid w:val="00263B1B"/>
    <w:rsid w:val="00263B2D"/>
    <w:rsid w:val="00263C41"/>
    <w:rsid w:val="002640D7"/>
    <w:rsid w:val="00264537"/>
    <w:rsid w:val="0026453B"/>
    <w:rsid w:val="0026457E"/>
    <w:rsid w:val="00264A8B"/>
    <w:rsid w:val="00264BAB"/>
    <w:rsid w:val="00264F37"/>
    <w:rsid w:val="00265AAE"/>
    <w:rsid w:val="00265AE7"/>
    <w:rsid w:val="00265C5E"/>
    <w:rsid w:val="00265E3D"/>
    <w:rsid w:val="00265F34"/>
    <w:rsid w:val="0026627F"/>
    <w:rsid w:val="00266861"/>
    <w:rsid w:val="00267133"/>
    <w:rsid w:val="00267919"/>
    <w:rsid w:val="00267DF4"/>
    <w:rsid w:val="002701A6"/>
    <w:rsid w:val="0027031F"/>
    <w:rsid w:val="0027039F"/>
    <w:rsid w:val="0027066B"/>
    <w:rsid w:val="002709C6"/>
    <w:rsid w:val="00270AE3"/>
    <w:rsid w:val="0027125D"/>
    <w:rsid w:val="00271989"/>
    <w:rsid w:val="00271B6B"/>
    <w:rsid w:val="00271E02"/>
    <w:rsid w:val="00271F68"/>
    <w:rsid w:val="00272301"/>
    <w:rsid w:val="002723D6"/>
    <w:rsid w:val="00272470"/>
    <w:rsid w:val="002725C3"/>
    <w:rsid w:val="002725C9"/>
    <w:rsid w:val="00272A2B"/>
    <w:rsid w:val="00272DCC"/>
    <w:rsid w:val="00272F44"/>
    <w:rsid w:val="00273391"/>
    <w:rsid w:val="002737FE"/>
    <w:rsid w:val="0027395B"/>
    <w:rsid w:val="00273CCF"/>
    <w:rsid w:val="002746BB"/>
    <w:rsid w:val="00274870"/>
    <w:rsid w:val="00274BDD"/>
    <w:rsid w:val="00275120"/>
    <w:rsid w:val="00275191"/>
    <w:rsid w:val="0027572E"/>
    <w:rsid w:val="00275750"/>
    <w:rsid w:val="00275784"/>
    <w:rsid w:val="0027669A"/>
    <w:rsid w:val="002766F4"/>
    <w:rsid w:val="002770CB"/>
    <w:rsid w:val="002770D9"/>
    <w:rsid w:val="002770FD"/>
    <w:rsid w:val="00277103"/>
    <w:rsid w:val="0027717B"/>
    <w:rsid w:val="00277184"/>
    <w:rsid w:val="0027773B"/>
    <w:rsid w:val="00277AE8"/>
    <w:rsid w:val="00277AF2"/>
    <w:rsid w:val="00277CFC"/>
    <w:rsid w:val="00280142"/>
    <w:rsid w:val="002805B4"/>
    <w:rsid w:val="00280B0E"/>
    <w:rsid w:val="00280D15"/>
    <w:rsid w:val="002811CA"/>
    <w:rsid w:val="002814D9"/>
    <w:rsid w:val="002818C0"/>
    <w:rsid w:val="00281C9B"/>
    <w:rsid w:val="00281D7A"/>
    <w:rsid w:val="00282B81"/>
    <w:rsid w:val="002830F2"/>
    <w:rsid w:val="002832C2"/>
    <w:rsid w:val="00283866"/>
    <w:rsid w:val="00283907"/>
    <w:rsid w:val="00283B5C"/>
    <w:rsid w:val="00283F44"/>
    <w:rsid w:val="00284D5D"/>
    <w:rsid w:val="00284D9C"/>
    <w:rsid w:val="002850C0"/>
    <w:rsid w:val="002854BB"/>
    <w:rsid w:val="00285683"/>
    <w:rsid w:val="00285B0B"/>
    <w:rsid w:val="00285BAE"/>
    <w:rsid w:val="002861AC"/>
    <w:rsid w:val="0028644E"/>
    <w:rsid w:val="00286692"/>
    <w:rsid w:val="00286693"/>
    <w:rsid w:val="00286DD0"/>
    <w:rsid w:val="0028701A"/>
    <w:rsid w:val="002878CD"/>
    <w:rsid w:val="00290676"/>
    <w:rsid w:val="0029084E"/>
    <w:rsid w:val="00290C1A"/>
    <w:rsid w:val="00290CF8"/>
    <w:rsid w:val="00290E5F"/>
    <w:rsid w:val="00291045"/>
    <w:rsid w:val="00291341"/>
    <w:rsid w:val="00291566"/>
    <w:rsid w:val="0029183E"/>
    <w:rsid w:val="00291873"/>
    <w:rsid w:val="00291BC8"/>
    <w:rsid w:val="00291FA6"/>
    <w:rsid w:val="002922F3"/>
    <w:rsid w:val="002924A0"/>
    <w:rsid w:val="002926A0"/>
    <w:rsid w:val="00292706"/>
    <w:rsid w:val="0029270A"/>
    <w:rsid w:val="00292887"/>
    <w:rsid w:val="00292A7B"/>
    <w:rsid w:val="00292A83"/>
    <w:rsid w:val="00292ABE"/>
    <w:rsid w:val="00293767"/>
    <w:rsid w:val="002938E9"/>
    <w:rsid w:val="0029399C"/>
    <w:rsid w:val="00293A2F"/>
    <w:rsid w:val="00293F32"/>
    <w:rsid w:val="00294063"/>
    <w:rsid w:val="002941AA"/>
    <w:rsid w:val="002943B9"/>
    <w:rsid w:val="002943DD"/>
    <w:rsid w:val="00294813"/>
    <w:rsid w:val="0029485C"/>
    <w:rsid w:val="00294C0F"/>
    <w:rsid w:val="00294CCC"/>
    <w:rsid w:val="00294FCE"/>
    <w:rsid w:val="00295339"/>
    <w:rsid w:val="0029561F"/>
    <w:rsid w:val="00295A63"/>
    <w:rsid w:val="00295B56"/>
    <w:rsid w:val="00295D9A"/>
    <w:rsid w:val="00295DAE"/>
    <w:rsid w:val="002960A4"/>
    <w:rsid w:val="00296269"/>
    <w:rsid w:val="00296E49"/>
    <w:rsid w:val="00297BCC"/>
    <w:rsid w:val="002A0BC0"/>
    <w:rsid w:val="002A0D99"/>
    <w:rsid w:val="002A112B"/>
    <w:rsid w:val="002A1B9F"/>
    <w:rsid w:val="002A1C27"/>
    <w:rsid w:val="002A20F9"/>
    <w:rsid w:val="002A2176"/>
    <w:rsid w:val="002A2232"/>
    <w:rsid w:val="002A22A6"/>
    <w:rsid w:val="002A23A4"/>
    <w:rsid w:val="002A2599"/>
    <w:rsid w:val="002A2875"/>
    <w:rsid w:val="002A28BF"/>
    <w:rsid w:val="002A2910"/>
    <w:rsid w:val="002A2B78"/>
    <w:rsid w:val="002A2E3E"/>
    <w:rsid w:val="002A2F68"/>
    <w:rsid w:val="002A3050"/>
    <w:rsid w:val="002A3179"/>
    <w:rsid w:val="002A338E"/>
    <w:rsid w:val="002A353F"/>
    <w:rsid w:val="002A37AC"/>
    <w:rsid w:val="002A385F"/>
    <w:rsid w:val="002A3AAD"/>
    <w:rsid w:val="002A3CB5"/>
    <w:rsid w:val="002A3D78"/>
    <w:rsid w:val="002A3DF7"/>
    <w:rsid w:val="002A426A"/>
    <w:rsid w:val="002A4CEE"/>
    <w:rsid w:val="002A4E7D"/>
    <w:rsid w:val="002A519B"/>
    <w:rsid w:val="002A53F0"/>
    <w:rsid w:val="002A589E"/>
    <w:rsid w:val="002A5CA4"/>
    <w:rsid w:val="002A5D3B"/>
    <w:rsid w:val="002A607C"/>
    <w:rsid w:val="002A625B"/>
    <w:rsid w:val="002A63D1"/>
    <w:rsid w:val="002A6967"/>
    <w:rsid w:val="002A6F73"/>
    <w:rsid w:val="002A76FE"/>
    <w:rsid w:val="002A77B9"/>
    <w:rsid w:val="002A7A14"/>
    <w:rsid w:val="002B00CF"/>
    <w:rsid w:val="002B0117"/>
    <w:rsid w:val="002B03CF"/>
    <w:rsid w:val="002B0B9A"/>
    <w:rsid w:val="002B0BE3"/>
    <w:rsid w:val="002B0DA6"/>
    <w:rsid w:val="002B113E"/>
    <w:rsid w:val="002B13FD"/>
    <w:rsid w:val="002B19B2"/>
    <w:rsid w:val="002B1E8A"/>
    <w:rsid w:val="002B1E9C"/>
    <w:rsid w:val="002B1F8C"/>
    <w:rsid w:val="002B241C"/>
    <w:rsid w:val="002B26DF"/>
    <w:rsid w:val="002B2B72"/>
    <w:rsid w:val="002B31A2"/>
    <w:rsid w:val="002B358F"/>
    <w:rsid w:val="002B39E8"/>
    <w:rsid w:val="002B3CA9"/>
    <w:rsid w:val="002B3F94"/>
    <w:rsid w:val="002B42E9"/>
    <w:rsid w:val="002B47DD"/>
    <w:rsid w:val="002B51A3"/>
    <w:rsid w:val="002B5663"/>
    <w:rsid w:val="002B574D"/>
    <w:rsid w:val="002B5E93"/>
    <w:rsid w:val="002B5EA2"/>
    <w:rsid w:val="002B6F16"/>
    <w:rsid w:val="002B7646"/>
    <w:rsid w:val="002C04D8"/>
    <w:rsid w:val="002C1146"/>
    <w:rsid w:val="002C1760"/>
    <w:rsid w:val="002C1FF5"/>
    <w:rsid w:val="002C20C7"/>
    <w:rsid w:val="002C21AB"/>
    <w:rsid w:val="002C2773"/>
    <w:rsid w:val="002C28F6"/>
    <w:rsid w:val="002C3010"/>
    <w:rsid w:val="002C301A"/>
    <w:rsid w:val="002C39B2"/>
    <w:rsid w:val="002C3A4D"/>
    <w:rsid w:val="002C3AEA"/>
    <w:rsid w:val="002C4176"/>
    <w:rsid w:val="002C41C7"/>
    <w:rsid w:val="002C4284"/>
    <w:rsid w:val="002C4885"/>
    <w:rsid w:val="002C4BA5"/>
    <w:rsid w:val="002C4D1B"/>
    <w:rsid w:val="002C4E02"/>
    <w:rsid w:val="002C5414"/>
    <w:rsid w:val="002C54E2"/>
    <w:rsid w:val="002C55E9"/>
    <w:rsid w:val="002C5FFB"/>
    <w:rsid w:val="002C67B4"/>
    <w:rsid w:val="002C6B3C"/>
    <w:rsid w:val="002C7149"/>
    <w:rsid w:val="002C71CE"/>
    <w:rsid w:val="002D0637"/>
    <w:rsid w:val="002D0913"/>
    <w:rsid w:val="002D0A2F"/>
    <w:rsid w:val="002D0AAD"/>
    <w:rsid w:val="002D103B"/>
    <w:rsid w:val="002D13F2"/>
    <w:rsid w:val="002D157A"/>
    <w:rsid w:val="002D1588"/>
    <w:rsid w:val="002D17A0"/>
    <w:rsid w:val="002D17B6"/>
    <w:rsid w:val="002D1FA5"/>
    <w:rsid w:val="002D2792"/>
    <w:rsid w:val="002D289A"/>
    <w:rsid w:val="002D30E4"/>
    <w:rsid w:val="002D3544"/>
    <w:rsid w:val="002D3611"/>
    <w:rsid w:val="002D37B6"/>
    <w:rsid w:val="002D38E7"/>
    <w:rsid w:val="002D4755"/>
    <w:rsid w:val="002D4852"/>
    <w:rsid w:val="002D4AFF"/>
    <w:rsid w:val="002D4C27"/>
    <w:rsid w:val="002D4C56"/>
    <w:rsid w:val="002D4C8A"/>
    <w:rsid w:val="002D4DB7"/>
    <w:rsid w:val="002D4DD7"/>
    <w:rsid w:val="002D5121"/>
    <w:rsid w:val="002D525A"/>
    <w:rsid w:val="002D5799"/>
    <w:rsid w:val="002D5A82"/>
    <w:rsid w:val="002D5B70"/>
    <w:rsid w:val="002D5EB0"/>
    <w:rsid w:val="002D5FE7"/>
    <w:rsid w:val="002D6149"/>
    <w:rsid w:val="002D6179"/>
    <w:rsid w:val="002D61DB"/>
    <w:rsid w:val="002D6571"/>
    <w:rsid w:val="002D658E"/>
    <w:rsid w:val="002D6FF3"/>
    <w:rsid w:val="002D7424"/>
    <w:rsid w:val="002D769E"/>
    <w:rsid w:val="002D7A15"/>
    <w:rsid w:val="002D7A47"/>
    <w:rsid w:val="002E0570"/>
    <w:rsid w:val="002E0993"/>
    <w:rsid w:val="002E0A8B"/>
    <w:rsid w:val="002E10A2"/>
    <w:rsid w:val="002E10E9"/>
    <w:rsid w:val="002E17FC"/>
    <w:rsid w:val="002E1900"/>
    <w:rsid w:val="002E19FE"/>
    <w:rsid w:val="002E1ACB"/>
    <w:rsid w:val="002E1B8E"/>
    <w:rsid w:val="002E1DC3"/>
    <w:rsid w:val="002E1F58"/>
    <w:rsid w:val="002E29F9"/>
    <w:rsid w:val="002E343B"/>
    <w:rsid w:val="002E3604"/>
    <w:rsid w:val="002E36B3"/>
    <w:rsid w:val="002E3B20"/>
    <w:rsid w:val="002E464D"/>
    <w:rsid w:val="002E46EA"/>
    <w:rsid w:val="002E4773"/>
    <w:rsid w:val="002E4A22"/>
    <w:rsid w:val="002E4E54"/>
    <w:rsid w:val="002E4E5D"/>
    <w:rsid w:val="002E5405"/>
    <w:rsid w:val="002E5605"/>
    <w:rsid w:val="002E5CE7"/>
    <w:rsid w:val="002E63E3"/>
    <w:rsid w:val="002E664D"/>
    <w:rsid w:val="002E6686"/>
    <w:rsid w:val="002E758D"/>
    <w:rsid w:val="002E7D0D"/>
    <w:rsid w:val="002E7E05"/>
    <w:rsid w:val="002F0629"/>
    <w:rsid w:val="002F08D6"/>
    <w:rsid w:val="002F095D"/>
    <w:rsid w:val="002F0A2D"/>
    <w:rsid w:val="002F2A0C"/>
    <w:rsid w:val="002F2F3B"/>
    <w:rsid w:val="002F394A"/>
    <w:rsid w:val="002F3B75"/>
    <w:rsid w:val="002F3DB0"/>
    <w:rsid w:val="002F4109"/>
    <w:rsid w:val="002F4177"/>
    <w:rsid w:val="002F42C7"/>
    <w:rsid w:val="002F46D0"/>
    <w:rsid w:val="002F483E"/>
    <w:rsid w:val="002F4EA1"/>
    <w:rsid w:val="002F501B"/>
    <w:rsid w:val="002F53F7"/>
    <w:rsid w:val="002F54C5"/>
    <w:rsid w:val="002F5B8B"/>
    <w:rsid w:val="002F5E80"/>
    <w:rsid w:val="002F6058"/>
    <w:rsid w:val="002F6166"/>
    <w:rsid w:val="002F6E11"/>
    <w:rsid w:val="002F7079"/>
    <w:rsid w:val="002F7431"/>
    <w:rsid w:val="002F756C"/>
    <w:rsid w:val="002F7AAC"/>
    <w:rsid w:val="002F7B3A"/>
    <w:rsid w:val="00300026"/>
    <w:rsid w:val="003008CE"/>
    <w:rsid w:val="0030099E"/>
    <w:rsid w:val="00301301"/>
    <w:rsid w:val="0030239A"/>
    <w:rsid w:val="003023CB"/>
    <w:rsid w:val="003023E0"/>
    <w:rsid w:val="003024C1"/>
    <w:rsid w:val="00302DD8"/>
    <w:rsid w:val="003030B6"/>
    <w:rsid w:val="0030313A"/>
    <w:rsid w:val="00303A9B"/>
    <w:rsid w:val="00303CAF"/>
    <w:rsid w:val="00303D6A"/>
    <w:rsid w:val="00303E38"/>
    <w:rsid w:val="00304439"/>
    <w:rsid w:val="00304448"/>
    <w:rsid w:val="00304E1A"/>
    <w:rsid w:val="00304E4C"/>
    <w:rsid w:val="0030515F"/>
    <w:rsid w:val="00305259"/>
    <w:rsid w:val="0030549B"/>
    <w:rsid w:val="00305925"/>
    <w:rsid w:val="00305CD8"/>
    <w:rsid w:val="0030631A"/>
    <w:rsid w:val="00306397"/>
    <w:rsid w:val="00306528"/>
    <w:rsid w:val="0030687C"/>
    <w:rsid w:val="00306B1C"/>
    <w:rsid w:val="00306BF5"/>
    <w:rsid w:val="00306DB8"/>
    <w:rsid w:val="00306DC8"/>
    <w:rsid w:val="003070E5"/>
    <w:rsid w:val="0030778C"/>
    <w:rsid w:val="00307B0D"/>
    <w:rsid w:val="00307F67"/>
    <w:rsid w:val="00310203"/>
    <w:rsid w:val="00310329"/>
    <w:rsid w:val="00310612"/>
    <w:rsid w:val="003106E7"/>
    <w:rsid w:val="00310BDA"/>
    <w:rsid w:val="00310D4B"/>
    <w:rsid w:val="003112F1"/>
    <w:rsid w:val="00311478"/>
    <w:rsid w:val="0031157D"/>
    <w:rsid w:val="00311651"/>
    <w:rsid w:val="00311B6F"/>
    <w:rsid w:val="00311B92"/>
    <w:rsid w:val="00311CAB"/>
    <w:rsid w:val="00311F83"/>
    <w:rsid w:val="0031212F"/>
    <w:rsid w:val="00312207"/>
    <w:rsid w:val="00312678"/>
    <w:rsid w:val="00312CD8"/>
    <w:rsid w:val="0031310B"/>
    <w:rsid w:val="003131ED"/>
    <w:rsid w:val="00313708"/>
    <w:rsid w:val="00313BD0"/>
    <w:rsid w:val="00313DDF"/>
    <w:rsid w:val="0031482E"/>
    <w:rsid w:val="003149B0"/>
    <w:rsid w:val="00314A0A"/>
    <w:rsid w:val="0031518F"/>
    <w:rsid w:val="00315662"/>
    <w:rsid w:val="003158A2"/>
    <w:rsid w:val="00315A10"/>
    <w:rsid w:val="00315FBC"/>
    <w:rsid w:val="0031617B"/>
    <w:rsid w:val="00316779"/>
    <w:rsid w:val="00316C01"/>
    <w:rsid w:val="00317005"/>
    <w:rsid w:val="003171C7"/>
    <w:rsid w:val="0031724B"/>
    <w:rsid w:val="00317658"/>
    <w:rsid w:val="003178AC"/>
    <w:rsid w:val="00317B87"/>
    <w:rsid w:val="00317CF1"/>
    <w:rsid w:val="00317EA9"/>
    <w:rsid w:val="0032014A"/>
    <w:rsid w:val="00320411"/>
    <w:rsid w:val="003205F9"/>
    <w:rsid w:val="00320651"/>
    <w:rsid w:val="003211A4"/>
    <w:rsid w:val="003211BD"/>
    <w:rsid w:val="00321222"/>
    <w:rsid w:val="00321645"/>
    <w:rsid w:val="00321672"/>
    <w:rsid w:val="00321863"/>
    <w:rsid w:val="00321874"/>
    <w:rsid w:val="00321A8E"/>
    <w:rsid w:val="003221C8"/>
    <w:rsid w:val="003228AC"/>
    <w:rsid w:val="003228C0"/>
    <w:rsid w:val="00322BD5"/>
    <w:rsid w:val="0032331C"/>
    <w:rsid w:val="003236A2"/>
    <w:rsid w:val="00323761"/>
    <w:rsid w:val="00323B0C"/>
    <w:rsid w:val="00323CEF"/>
    <w:rsid w:val="003243A3"/>
    <w:rsid w:val="00325286"/>
    <w:rsid w:val="003252D2"/>
    <w:rsid w:val="003257EF"/>
    <w:rsid w:val="00325A22"/>
    <w:rsid w:val="00325B84"/>
    <w:rsid w:val="00325F05"/>
    <w:rsid w:val="00326BC5"/>
    <w:rsid w:val="00326D42"/>
    <w:rsid w:val="00326F09"/>
    <w:rsid w:val="003275B3"/>
    <w:rsid w:val="003278CC"/>
    <w:rsid w:val="00327B0A"/>
    <w:rsid w:val="00327B94"/>
    <w:rsid w:val="00330020"/>
    <w:rsid w:val="00330285"/>
    <w:rsid w:val="0033030D"/>
    <w:rsid w:val="00330D28"/>
    <w:rsid w:val="0033127B"/>
    <w:rsid w:val="0033163C"/>
    <w:rsid w:val="00331815"/>
    <w:rsid w:val="00332362"/>
    <w:rsid w:val="003323B6"/>
    <w:rsid w:val="003327ED"/>
    <w:rsid w:val="003329CB"/>
    <w:rsid w:val="00332ACF"/>
    <w:rsid w:val="00332F83"/>
    <w:rsid w:val="003330FB"/>
    <w:rsid w:val="00333310"/>
    <w:rsid w:val="00333390"/>
    <w:rsid w:val="003334F7"/>
    <w:rsid w:val="00333B58"/>
    <w:rsid w:val="0033477A"/>
    <w:rsid w:val="00334CA0"/>
    <w:rsid w:val="00334CDD"/>
    <w:rsid w:val="00335444"/>
    <w:rsid w:val="00335454"/>
    <w:rsid w:val="003354B6"/>
    <w:rsid w:val="003358B2"/>
    <w:rsid w:val="00335AD2"/>
    <w:rsid w:val="00335B07"/>
    <w:rsid w:val="00336191"/>
    <w:rsid w:val="003363D5"/>
    <w:rsid w:val="00336A5D"/>
    <w:rsid w:val="00336AF0"/>
    <w:rsid w:val="00336F80"/>
    <w:rsid w:val="00337419"/>
    <w:rsid w:val="0033781C"/>
    <w:rsid w:val="0033789C"/>
    <w:rsid w:val="0034020C"/>
    <w:rsid w:val="00340740"/>
    <w:rsid w:val="00340AAC"/>
    <w:rsid w:val="00340CE2"/>
    <w:rsid w:val="003410A0"/>
    <w:rsid w:val="003413D2"/>
    <w:rsid w:val="00341BD1"/>
    <w:rsid w:val="0034202A"/>
    <w:rsid w:val="00342316"/>
    <w:rsid w:val="00342502"/>
    <w:rsid w:val="00342A74"/>
    <w:rsid w:val="00342B7D"/>
    <w:rsid w:val="00342C2A"/>
    <w:rsid w:val="00342EA4"/>
    <w:rsid w:val="00342EAD"/>
    <w:rsid w:val="00342F51"/>
    <w:rsid w:val="00342FA1"/>
    <w:rsid w:val="00343075"/>
    <w:rsid w:val="003431D3"/>
    <w:rsid w:val="00343494"/>
    <w:rsid w:val="00343E97"/>
    <w:rsid w:val="003447E8"/>
    <w:rsid w:val="00344C59"/>
    <w:rsid w:val="00344D42"/>
    <w:rsid w:val="00344DD3"/>
    <w:rsid w:val="003451CA"/>
    <w:rsid w:val="00345267"/>
    <w:rsid w:val="003455F4"/>
    <w:rsid w:val="00346598"/>
    <w:rsid w:val="0034680B"/>
    <w:rsid w:val="00347100"/>
    <w:rsid w:val="00347274"/>
    <w:rsid w:val="00347897"/>
    <w:rsid w:val="0034798C"/>
    <w:rsid w:val="00347D04"/>
    <w:rsid w:val="00347DDB"/>
    <w:rsid w:val="0035007F"/>
    <w:rsid w:val="00350149"/>
    <w:rsid w:val="00350604"/>
    <w:rsid w:val="00350706"/>
    <w:rsid w:val="00350C34"/>
    <w:rsid w:val="00351096"/>
    <w:rsid w:val="00351584"/>
    <w:rsid w:val="00351F7A"/>
    <w:rsid w:val="003524B1"/>
    <w:rsid w:val="003524DB"/>
    <w:rsid w:val="00352551"/>
    <w:rsid w:val="003528B2"/>
    <w:rsid w:val="00353596"/>
    <w:rsid w:val="0035379B"/>
    <w:rsid w:val="003538DC"/>
    <w:rsid w:val="00353B7D"/>
    <w:rsid w:val="00353CA7"/>
    <w:rsid w:val="00354300"/>
    <w:rsid w:val="003548BF"/>
    <w:rsid w:val="00354C13"/>
    <w:rsid w:val="003554E3"/>
    <w:rsid w:val="0035554E"/>
    <w:rsid w:val="00355934"/>
    <w:rsid w:val="003565AD"/>
    <w:rsid w:val="0035767A"/>
    <w:rsid w:val="003578A1"/>
    <w:rsid w:val="003579BF"/>
    <w:rsid w:val="00357F69"/>
    <w:rsid w:val="003607AD"/>
    <w:rsid w:val="00360A3E"/>
    <w:rsid w:val="00360C54"/>
    <w:rsid w:val="00360F07"/>
    <w:rsid w:val="00360FAA"/>
    <w:rsid w:val="00361042"/>
    <w:rsid w:val="003610B7"/>
    <w:rsid w:val="0036124B"/>
    <w:rsid w:val="003612D3"/>
    <w:rsid w:val="0036147B"/>
    <w:rsid w:val="003617BB"/>
    <w:rsid w:val="00361853"/>
    <w:rsid w:val="00361A07"/>
    <w:rsid w:val="00361B96"/>
    <w:rsid w:val="00361E9E"/>
    <w:rsid w:val="00362041"/>
    <w:rsid w:val="003622A4"/>
    <w:rsid w:val="003623BE"/>
    <w:rsid w:val="0036255C"/>
    <w:rsid w:val="003626EB"/>
    <w:rsid w:val="003627B9"/>
    <w:rsid w:val="00362871"/>
    <w:rsid w:val="00362909"/>
    <w:rsid w:val="003629FA"/>
    <w:rsid w:val="00362C73"/>
    <w:rsid w:val="00362CC7"/>
    <w:rsid w:val="003630B3"/>
    <w:rsid w:val="0036341C"/>
    <w:rsid w:val="003637EC"/>
    <w:rsid w:val="00363D2C"/>
    <w:rsid w:val="00363E00"/>
    <w:rsid w:val="00363F71"/>
    <w:rsid w:val="0036415E"/>
    <w:rsid w:val="003645AB"/>
    <w:rsid w:val="003646BE"/>
    <w:rsid w:val="0036479B"/>
    <w:rsid w:val="00364815"/>
    <w:rsid w:val="00364EB1"/>
    <w:rsid w:val="003650BB"/>
    <w:rsid w:val="0036528B"/>
    <w:rsid w:val="00365AC4"/>
    <w:rsid w:val="00365E09"/>
    <w:rsid w:val="00365F21"/>
    <w:rsid w:val="003660CC"/>
    <w:rsid w:val="003663DC"/>
    <w:rsid w:val="003664C4"/>
    <w:rsid w:val="00366590"/>
    <w:rsid w:val="003667CF"/>
    <w:rsid w:val="00366B52"/>
    <w:rsid w:val="00366D9A"/>
    <w:rsid w:val="003679F9"/>
    <w:rsid w:val="00367DAB"/>
    <w:rsid w:val="0037088A"/>
    <w:rsid w:val="0037091C"/>
    <w:rsid w:val="00370ECC"/>
    <w:rsid w:val="0037144B"/>
    <w:rsid w:val="00371566"/>
    <w:rsid w:val="00371A07"/>
    <w:rsid w:val="00371CB7"/>
    <w:rsid w:val="00372323"/>
    <w:rsid w:val="00372979"/>
    <w:rsid w:val="00372A3E"/>
    <w:rsid w:val="00372BFC"/>
    <w:rsid w:val="00372E2E"/>
    <w:rsid w:val="0037313A"/>
    <w:rsid w:val="00373269"/>
    <w:rsid w:val="003735FE"/>
    <w:rsid w:val="00373A0E"/>
    <w:rsid w:val="00373BF3"/>
    <w:rsid w:val="00373EBA"/>
    <w:rsid w:val="003743F9"/>
    <w:rsid w:val="0037455A"/>
    <w:rsid w:val="00374A71"/>
    <w:rsid w:val="00374AB1"/>
    <w:rsid w:val="00374C08"/>
    <w:rsid w:val="00374C90"/>
    <w:rsid w:val="00375247"/>
    <w:rsid w:val="00375383"/>
    <w:rsid w:val="003754B8"/>
    <w:rsid w:val="00375580"/>
    <w:rsid w:val="00375F71"/>
    <w:rsid w:val="003761E1"/>
    <w:rsid w:val="003764DA"/>
    <w:rsid w:val="003767AD"/>
    <w:rsid w:val="00376954"/>
    <w:rsid w:val="00376AA0"/>
    <w:rsid w:val="00376E77"/>
    <w:rsid w:val="00377496"/>
    <w:rsid w:val="0037784A"/>
    <w:rsid w:val="00377A08"/>
    <w:rsid w:val="00377D29"/>
    <w:rsid w:val="00380828"/>
    <w:rsid w:val="00380A5E"/>
    <w:rsid w:val="00380B25"/>
    <w:rsid w:val="00380B6E"/>
    <w:rsid w:val="00380F30"/>
    <w:rsid w:val="0038136A"/>
    <w:rsid w:val="003814B1"/>
    <w:rsid w:val="003818DE"/>
    <w:rsid w:val="0038191D"/>
    <w:rsid w:val="00381939"/>
    <w:rsid w:val="0038207C"/>
    <w:rsid w:val="003823F4"/>
    <w:rsid w:val="00382427"/>
    <w:rsid w:val="00382439"/>
    <w:rsid w:val="00382BBB"/>
    <w:rsid w:val="00382CF2"/>
    <w:rsid w:val="00383336"/>
    <w:rsid w:val="00383477"/>
    <w:rsid w:val="00383545"/>
    <w:rsid w:val="00383824"/>
    <w:rsid w:val="00383A64"/>
    <w:rsid w:val="00383D52"/>
    <w:rsid w:val="00383D98"/>
    <w:rsid w:val="0038458C"/>
    <w:rsid w:val="00384781"/>
    <w:rsid w:val="00384F0A"/>
    <w:rsid w:val="00384F83"/>
    <w:rsid w:val="00385869"/>
    <w:rsid w:val="00385ADB"/>
    <w:rsid w:val="003865BD"/>
    <w:rsid w:val="0038661D"/>
    <w:rsid w:val="00386CFF"/>
    <w:rsid w:val="003875B5"/>
    <w:rsid w:val="003875B8"/>
    <w:rsid w:val="0038780E"/>
    <w:rsid w:val="00387FF1"/>
    <w:rsid w:val="00390010"/>
    <w:rsid w:val="00390051"/>
    <w:rsid w:val="00390265"/>
    <w:rsid w:val="003902FE"/>
    <w:rsid w:val="00390457"/>
    <w:rsid w:val="0039085A"/>
    <w:rsid w:val="00390BF4"/>
    <w:rsid w:val="00390C1F"/>
    <w:rsid w:val="00390CD9"/>
    <w:rsid w:val="00390D66"/>
    <w:rsid w:val="00390EF7"/>
    <w:rsid w:val="0039138B"/>
    <w:rsid w:val="0039172D"/>
    <w:rsid w:val="00391FF8"/>
    <w:rsid w:val="0039220A"/>
    <w:rsid w:val="00392980"/>
    <w:rsid w:val="00392A1E"/>
    <w:rsid w:val="00392AB1"/>
    <w:rsid w:val="00392BF9"/>
    <w:rsid w:val="0039324F"/>
    <w:rsid w:val="00393F62"/>
    <w:rsid w:val="00394020"/>
    <w:rsid w:val="00394680"/>
    <w:rsid w:val="00394D7E"/>
    <w:rsid w:val="003952EB"/>
    <w:rsid w:val="003955E8"/>
    <w:rsid w:val="003957D2"/>
    <w:rsid w:val="0039587D"/>
    <w:rsid w:val="00395BF5"/>
    <w:rsid w:val="00395F79"/>
    <w:rsid w:val="003964CC"/>
    <w:rsid w:val="00396707"/>
    <w:rsid w:val="00396731"/>
    <w:rsid w:val="00396BB0"/>
    <w:rsid w:val="003979D3"/>
    <w:rsid w:val="00397E3A"/>
    <w:rsid w:val="003A0174"/>
    <w:rsid w:val="003A03D0"/>
    <w:rsid w:val="003A049B"/>
    <w:rsid w:val="003A0538"/>
    <w:rsid w:val="003A0731"/>
    <w:rsid w:val="003A0787"/>
    <w:rsid w:val="003A07A8"/>
    <w:rsid w:val="003A09D1"/>
    <w:rsid w:val="003A0C2B"/>
    <w:rsid w:val="003A1051"/>
    <w:rsid w:val="003A10E0"/>
    <w:rsid w:val="003A2046"/>
    <w:rsid w:val="003A21C1"/>
    <w:rsid w:val="003A21F6"/>
    <w:rsid w:val="003A2503"/>
    <w:rsid w:val="003A27C3"/>
    <w:rsid w:val="003A2BBB"/>
    <w:rsid w:val="003A2CB8"/>
    <w:rsid w:val="003A2EC3"/>
    <w:rsid w:val="003A30E7"/>
    <w:rsid w:val="003A3183"/>
    <w:rsid w:val="003A39DC"/>
    <w:rsid w:val="003A3C8F"/>
    <w:rsid w:val="003A4274"/>
    <w:rsid w:val="003A42F3"/>
    <w:rsid w:val="003A443B"/>
    <w:rsid w:val="003A44F7"/>
    <w:rsid w:val="003A47BD"/>
    <w:rsid w:val="003A4BB8"/>
    <w:rsid w:val="003A5129"/>
    <w:rsid w:val="003A52A6"/>
    <w:rsid w:val="003A534C"/>
    <w:rsid w:val="003A577A"/>
    <w:rsid w:val="003A5C70"/>
    <w:rsid w:val="003A5D10"/>
    <w:rsid w:val="003A5D2A"/>
    <w:rsid w:val="003A5D7B"/>
    <w:rsid w:val="003A5E77"/>
    <w:rsid w:val="003A5F9F"/>
    <w:rsid w:val="003A6020"/>
    <w:rsid w:val="003A6135"/>
    <w:rsid w:val="003A646B"/>
    <w:rsid w:val="003A69D5"/>
    <w:rsid w:val="003A6DCB"/>
    <w:rsid w:val="003A776E"/>
    <w:rsid w:val="003A7A05"/>
    <w:rsid w:val="003B002C"/>
    <w:rsid w:val="003B0C27"/>
    <w:rsid w:val="003B10A1"/>
    <w:rsid w:val="003B1394"/>
    <w:rsid w:val="003B185A"/>
    <w:rsid w:val="003B18A0"/>
    <w:rsid w:val="003B1BC4"/>
    <w:rsid w:val="003B1D51"/>
    <w:rsid w:val="003B221E"/>
    <w:rsid w:val="003B2440"/>
    <w:rsid w:val="003B2B84"/>
    <w:rsid w:val="003B2D13"/>
    <w:rsid w:val="003B31B4"/>
    <w:rsid w:val="003B3889"/>
    <w:rsid w:val="003B3921"/>
    <w:rsid w:val="003B3BBB"/>
    <w:rsid w:val="003B3C37"/>
    <w:rsid w:val="003B3F2B"/>
    <w:rsid w:val="003B41D7"/>
    <w:rsid w:val="003B41DF"/>
    <w:rsid w:val="003B4371"/>
    <w:rsid w:val="003B47CD"/>
    <w:rsid w:val="003B4A22"/>
    <w:rsid w:val="003B571F"/>
    <w:rsid w:val="003B5865"/>
    <w:rsid w:val="003B5C4E"/>
    <w:rsid w:val="003B603C"/>
    <w:rsid w:val="003B61E9"/>
    <w:rsid w:val="003B7ECB"/>
    <w:rsid w:val="003C02AD"/>
    <w:rsid w:val="003C1163"/>
    <w:rsid w:val="003C1803"/>
    <w:rsid w:val="003C1CC0"/>
    <w:rsid w:val="003C1DC8"/>
    <w:rsid w:val="003C2226"/>
    <w:rsid w:val="003C2305"/>
    <w:rsid w:val="003C26E0"/>
    <w:rsid w:val="003C2817"/>
    <w:rsid w:val="003C3A91"/>
    <w:rsid w:val="003C3E37"/>
    <w:rsid w:val="003C44D5"/>
    <w:rsid w:val="003C466A"/>
    <w:rsid w:val="003C4A50"/>
    <w:rsid w:val="003C4FF2"/>
    <w:rsid w:val="003C51C1"/>
    <w:rsid w:val="003C55F0"/>
    <w:rsid w:val="003C5B22"/>
    <w:rsid w:val="003C5BBD"/>
    <w:rsid w:val="003C5EF3"/>
    <w:rsid w:val="003C6E29"/>
    <w:rsid w:val="003C6E86"/>
    <w:rsid w:val="003C7214"/>
    <w:rsid w:val="003C770A"/>
    <w:rsid w:val="003C784D"/>
    <w:rsid w:val="003C7A90"/>
    <w:rsid w:val="003C7FC1"/>
    <w:rsid w:val="003D01E0"/>
    <w:rsid w:val="003D0377"/>
    <w:rsid w:val="003D04D3"/>
    <w:rsid w:val="003D0D82"/>
    <w:rsid w:val="003D12ED"/>
    <w:rsid w:val="003D1464"/>
    <w:rsid w:val="003D1605"/>
    <w:rsid w:val="003D1D54"/>
    <w:rsid w:val="003D1D73"/>
    <w:rsid w:val="003D28FC"/>
    <w:rsid w:val="003D290F"/>
    <w:rsid w:val="003D3321"/>
    <w:rsid w:val="003D3793"/>
    <w:rsid w:val="003D4010"/>
    <w:rsid w:val="003D401D"/>
    <w:rsid w:val="003D43D5"/>
    <w:rsid w:val="003D4C5B"/>
    <w:rsid w:val="003D53AB"/>
    <w:rsid w:val="003D59A6"/>
    <w:rsid w:val="003D6484"/>
    <w:rsid w:val="003D6833"/>
    <w:rsid w:val="003D6A4B"/>
    <w:rsid w:val="003D6C3D"/>
    <w:rsid w:val="003D6F23"/>
    <w:rsid w:val="003D7092"/>
    <w:rsid w:val="003D72BB"/>
    <w:rsid w:val="003D7552"/>
    <w:rsid w:val="003D7628"/>
    <w:rsid w:val="003E05E6"/>
    <w:rsid w:val="003E08C1"/>
    <w:rsid w:val="003E0CAD"/>
    <w:rsid w:val="003E1795"/>
    <w:rsid w:val="003E1BF7"/>
    <w:rsid w:val="003E22CE"/>
    <w:rsid w:val="003E2418"/>
    <w:rsid w:val="003E253B"/>
    <w:rsid w:val="003E26DD"/>
    <w:rsid w:val="003E2955"/>
    <w:rsid w:val="003E2D66"/>
    <w:rsid w:val="003E2F26"/>
    <w:rsid w:val="003E3078"/>
    <w:rsid w:val="003E31DE"/>
    <w:rsid w:val="003E35D0"/>
    <w:rsid w:val="003E3C6C"/>
    <w:rsid w:val="003E3F15"/>
    <w:rsid w:val="003E3FFA"/>
    <w:rsid w:val="003E4318"/>
    <w:rsid w:val="003E467E"/>
    <w:rsid w:val="003E4998"/>
    <w:rsid w:val="003E4D8B"/>
    <w:rsid w:val="003E4E34"/>
    <w:rsid w:val="003E54DE"/>
    <w:rsid w:val="003E5596"/>
    <w:rsid w:val="003E55D1"/>
    <w:rsid w:val="003E7222"/>
    <w:rsid w:val="003E7462"/>
    <w:rsid w:val="003E7862"/>
    <w:rsid w:val="003E7ABE"/>
    <w:rsid w:val="003E7FDD"/>
    <w:rsid w:val="003F013A"/>
    <w:rsid w:val="003F01B9"/>
    <w:rsid w:val="003F1095"/>
    <w:rsid w:val="003F17A6"/>
    <w:rsid w:val="003F17B7"/>
    <w:rsid w:val="003F1ACC"/>
    <w:rsid w:val="003F1B74"/>
    <w:rsid w:val="003F1C33"/>
    <w:rsid w:val="003F1F74"/>
    <w:rsid w:val="003F20AB"/>
    <w:rsid w:val="003F21DA"/>
    <w:rsid w:val="003F2312"/>
    <w:rsid w:val="003F2A22"/>
    <w:rsid w:val="003F2BB4"/>
    <w:rsid w:val="003F2E0B"/>
    <w:rsid w:val="003F2FB9"/>
    <w:rsid w:val="003F30C9"/>
    <w:rsid w:val="003F3366"/>
    <w:rsid w:val="003F35DE"/>
    <w:rsid w:val="003F3913"/>
    <w:rsid w:val="003F3F6C"/>
    <w:rsid w:val="003F4064"/>
    <w:rsid w:val="003F41AE"/>
    <w:rsid w:val="003F4936"/>
    <w:rsid w:val="003F4C9F"/>
    <w:rsid w:val="003F544F"/>
    <w:rsid w:val="003F56DD"/>
    <w:rsid w:val="003F5B02"/>
    <w:rsid w:val="003F5CFB"/>
    <w:rsid w:val="003F5EE6"/>
    <w:rsid w:val="003F60A8"/>
    <w:rsid w:val="003F6156"/>
    <w:rsid w:val="003F63F3"/>
    <w:rsid w:val="003F6630"/>
    <w:rsid w:val="003F6851"/>
    <w:rsid w:val="003F6A0B"/>
    <w:rsid w:val="003F6AA1"/>
    <w:rsid w:val="003F6D24"/>
    <w:rsid w:val="003F705E"/>
    <w:rsid w:val="003F7604"/>
    <w:rsid w:val="003F767F"/>
    <w:rsid w:val="003F76AC"/>
    <w:rsid w:val="003F7908"/>
    <w:rsid w:val="003F7C95"/>
    <w:rsid w:val="003F7FEC"/>
    <w:rsid w:val="004001FE"/>
    <w:rsid w:val="004007F2"/>
    <w:rsid w:val="004009A4"/>
    <w:rsid w:val="00400BB2"/>
    <w:rsid w:val="0040142D"/>
    <w:rsid w:val="00401484"/>
    <w:rsid w:val="004021F8"/>
    <w:rsid w:val="004024BD"/>
    <w:rsid w:val="00402784"/>
    <w:rsid w:val="00402C79"/>
    <w:rsid w:val="0040420E"/>
    <w:rsid w:val="004042FA"/>
    <w:rsid w:val="0040456C"/>
    <w:rsid w:val="0040489E"/>
    <w:rsid w:val="0040544E"/>
    <w:rsid w:val="00405B28"/>
    <w:rsid w:val="00405B2E"/>
    <w:rsid w:val="00405F84"/>
    <w:rsid w:val="00406AD6"/>
    <w:rsid w:val="004072A9"/>
    <w:rsid w:val="00407410"/>
    <w:rsid w:val="0040742E"/>
    <w:rsid w:val="004074AA"/>
    <w:rsid w:val="00407602"/>
    <w:rsid w:val="00407B25"/>
    <w:rsid w:val="00407C05"/>
    <w:rsid w:val="00407C9F"/>
    <w:rsid w:val="00407F40"/>
    <w:rsid w:val="004100DC"/>
    <w:rsid w:val="004103DE"/>
    <w:rsid w:val="004104FE"/>
    <w:rsid w:val="004108A2"/>
    <w:rsid w:val="00410EA6"/>
    <w:rsid w:val="004110BC"/>
    <w:rsid w:val="004111C9"/>
    <w:rsid w:val="004117BB"/>
    <w:rsid w:val="00411B6C"/>
    <w:rsid w:val="00411B97"/>
    <w:rsid w:val="00411D3E"/>
    <w:rsid w:val="00412181"/>
    <w:rsid w:val="0041236B"/>
    <w:rsid w:val="004133A8"/>
    <w:rsid w:val="004135BA"/>
    <w:rsid w:val="00413A99"/>
    <w:rsid w:val="004143E9"/>
    <w:rsid w:val="004146C7"/>
    <w:rsid w:val="0041496A"/>
    <w:rsid w:val="00414BBA"/>
    <w:rsid w:val="004150B0"/>
    <w:rsid w:val="004150FF"/>
    <w:rsid w:val="004152CD"/>
    <w:rsid w:val="0041530A"/>
    <w:rsid w:val="0041559E"/>
    <w:rsid w:val="0041658C"/>
    <w:rsid w:val="004166CA"/>
    <w:rsid w:val="00416827"/>
    <w:rsid w:val="004169C5"/>
    <w:rsid w:val="00416C81"/>
    <w:rsid w:val="00417337"/>
    <w:rsid w:val="00417756"/>
    <w:rsid w:val="00417A1C"/>
    <w:rsid w:val="00417C63"/>
    <w:rsid w:val="00417CE4"/>
    <w:rsid w:val="00417DED"/>
    <w:rsid w:val="0042066C"/>
    <w:rsid w:val="004209A6"/>
    <w:rsid w:val="00420F2D"/>
    <w:rsid w:val="0042107D"/>
    <w:rsid w:val="0042128E"/>
    <w:rsid w:val="004217E1"/>
    <w:rsid w:val="00421C02"/>
    <w:rsid w:val="004226A1"/>
    <w:rsid w:val="00422F5A"/>
    <w:rsid w:val="00423279"/>
    <w:rsid w:val="00424750"/>
    <w:rsid w:val="00424A8E"/>
    <w:rsid w:val="00424B8D"/>
    <w:rsid w:val="00424BE1"/>
    <w:rsid w:val="00424F0E"/>
    <w:rsid w:val="004254C6"/>
    <w:rsid w:val="00425AA9"/>
    <w:rsid w:val="00425E1E"/>
    <w:rsid w:val="00426379"/>
    <w:rsid w:val="00426A22"/>
    <w:rsid w:val="00426B80"/>
    <w:rsid w:val="0042718C"/>
    <w:rsid w:val="0042761A"/>
    <w:rsid w:val="004278CA"/>
    <w:rsid w:val="00427A4E"/>
    <w:rsid w:val="00427D89"/>
    <w:rsid w:val="00427E4F"/>
    <w:rsid w:val="0043004F"/>
    <w:rsid w:val="00430FA2"/>
    <w:rsid w:val="0043114D"/>
    <w:rsid w:val="0043125A"/>
    <w:rsid w:val="00431DF0"/>
    <w:rsid w:val="00431EC3"/>
    <w:rsid w:val="004322B4"/>
    <w:rsid w:val="0043244A"/>
    <w:rsid w:val="00432624"/>
    <w:rsid w:val="0043272F"/>
    <w:rsid w:val="00432958"/>
    <w:rsid w:val="00432A4F"/>
    <w:rsid w:val="00432EDE"/>
    <w:rsid w:val="00433213"/>
    <w:rsid w:val="00433473"/>
    <w:rsid w:val="00433539"/>
    <w:rsid w:val="004338ED"/>
    <w:rsid w:val="00433AF0"/>
    <w:rsid w:val="00433F14"/>
    <w:rsid w:val="004342B0"/>
    <w:rsid w:val="00434402"/>
    <w:rsid w:val="0043441C"/>
    <w:rsid w:val="00434888"/>
    <w:rsid w:val="00434B0C"/>
    <w:rsid w:val="00434EEC"/>
    <w:rsid w:val="00434FBF"/>
    <w:rsid w:val="0043615C"/>
    <w:rsid w:val="00436636"/>
    <w:rsid w:val="004366ED"/>
    <w:rsid w:val="00436D72"/>
    <w:rsid w:val="00436DE1"/>
    <w:rsid w:val="00437670"/>
    <w:rsid w:val="004379A2"/>
    <w:rsid w:val="00437AB6"/>
    <w:rsid w:val="00437D97"/>
    <w:rsid w:val="00437F0F"/>
    <w:rsid w:val="00437F94"/>
    <w:rsid w:val="004403D3"/>
    <w:rsid w:val="0044047D"/>
    <w:rsid w:val="004407D3"/>
    <w:rsid w:val="00440C63"/>
    <w:rsid w:val="00440E25"/>
    <w:rsid w:val="00441437"/>
    <w:rsid w:val="0044152B"/>
    <w:rsid w:val="0044178A"/>
    <w:rsid w:val="0044193C"/>
    <w:rsid w:val="0044213F"/>
    <w:rsid w:val="0044256A"/>
    <w:rsid w:val="00442D7C"/>
    <w:rsid w:val="0044308F"/>
    <w:rsid w:val="0044341A"/>
    <w:rsid w:val="004435C4"/>
    <w:rsid w:val="0044368A"/>
    <w:rsid w:val="00443883"/>
    <w:rsid w:val="00443AD9"/>
    <w:rsid w:val="00443AFA"/>
    <w:rsid w:val="004443F1"/>
    <w:rsid w:val="00444A4D"/>
    <w:rsid w:val="00444DB4"/>
    <w:rsid w:val="00444EC1"/>
    <w:rsid w:val="004450A0"/>
    <w:rsid w:val="004450FF"/>
    <w:rsid w:val="00445279"/>
    <w:rsid w:val="004458B9"/>
    <w:rsid w:val="00445FA0"/>
    <w:rsid w:val="004465CE"/>
    <w:rsid w:val="00446A09"/>
    <w:rsid w:val="00446CBC"/>
    <w:rsid w:val="00447178"/>
    <w:rsid w:val="0044758E"/>
    <w:rsid w:val="00447DE6"/>
    <w:rsid w:val="0045000A"/>
    <w:rsid w:val="004504A5"/>
    <w:rsid w:val="00450508"/>
    <w:rsid w:val="00450701"/>
    <w:rsid w:val="0045098C"/>
    <w:rsid w:val="00450F6A"/>
    <w:rsid w:val="0045133C"/>
    <w:rsid w:val="0045166F"/>
    <w:rsid w:val="004516B7"/>
    <w:rsid w:val="004522A5"/>
    <w:rsid w:val="00452505"/>
    <w:rsid w:val="004527C4"/>
    <w:rsid w:val="00452C77"/>
    <w:rsid w:val="00452E05"/>
    <w:rsid w:val="004535EA"/>
    <w:rsid w:val="00453751"/>
    <w:rsid w:val="00453842"/>
    <w:rsid w:val="0045391D"/>
    <w:rsid w:val="00453BA5"/>
    <w:rsid w:val="00453DBF"/>
    <w:rsid w:val="00454021"/>
    <w:rsid w:val="0045432F"/>
    <w:rsid w:val="004543E3"/>
    <w:rsid w:val="004547D4"/>
    <w:rsid w:val="004548EE"/>
    <w:rsid w:val="00454E34"/>
    <w:rsid w:val="00454E53"/>
    <w:rsid w:val="00455628"/>
    <w:rsid w:val="00455848"/>
    <w:rsid w:val="004559A9"/>
    <w:rsid w:val="004559BE"/>
    <w:rsid w:val="00455B3C"/>
    <w:rsid w:val="00455B80"/>
    <w:rsid w:val="004560EC"/>
    <w:rsid w:val="00456248"/>
    <w:rsid w:val="004563F0"/>
    <w:rsid w:val="00456B6E"/>
    <w:rsid w:val="0045711E"/>
    <w:rsid w:val="00457273"/>
    <w:rsid w:val="004572A6"/>
    <w:rsid w:val="00457913"/>
    <w:rsid w:val="00457D1A"/>
    <w:rsid w:val="00460611"/>
    <w:rsid w:val="00460A05"/>
    <w:rsid w:val="00461054"/>
    <w:rsid w:val="004611FC"/>
    <w:rsid w:val="00461799"/>
    <w:rsid w:val="00461C76"/>
    <w:rsid w:val="00461DFD"/>
    <w:rsid w:val="00461E67"/>
    <w:rsid w:val="004623D1"/>
    <w:rsid w:val="004624BD"/>
    <w:rsid w:val="0046278A"/>
    <w:rsid w:val="004629F5"/>
    <w:rsid w:val="00462E42"/>
    <w:rsid w:val="00463028"/>
    <w:rsid w:val="0046315C"/>
    <w:rsid w:val="004634B4"/>
    <w:rsid w:val="00463B36"/>
    <w:rsid w:val="00463B61"/>
    <w:rsid w:val="00463EAB"/>
    <w:rsid w:val="004648D8"/>
    <w:rsid w:val="00464946"/>
    <w:rsid w:val="00464A3A"/>
    <w:rsid w:val="00464D6D"/>
    <w:rsid w:val="004656AE"/>
    <w:rsid w:val="004656BA"/>
    <w:rsid w:val="00465C5F"/>
    <w:rsid w:val="00465DE7"/>
    <w:rsid w:val="004662C4"/>
    <w:rsid w:val="004662DF"/>
    <w:rsid w:val="004665AE"/>
    <w:rsid w:val="00466D77"/>
    <w:rsid w:val="00466E6B"/>
    <w:rsid w:val="00467AAD"/>
    <w:rsid w:val="00467B65"/>
    <w:rsid w:val="00467C1A"/>
    <w:rsid w:val="00467FA4"/>
    <w:rsid w:val="004701CE"/>
    <w:rsid w:val="00470200"/>
    <w:rsid w:val="00470589"/>
    <w:rsid w:val="004706F0"/>
    <w:rsid w:val="00470868"/>
    <w:rsid w:val="00470C8D"/>
    <w:rsid w:val="00470D5B"/>
    <w:rsid w:val="00470D6C"/>
    <w:rsid w:val="0047149B"/>
    <w:rsid w:val="004719A6"/>
    <w:rsid w:val="00472E51"/>
    <w:rsid w:val="00472F0E"/>
    <w:rsid w:val="00473005"/>
    <w:rsid w:val="00473065"/>
    <w:rsid w:val="00473310"/>
    <w:rsid w:val="004739F1"/>
    <w:rsid w:val="00473A48"/>
    <w:rsid w:val="004740BD"/>
    <w:rsid w:val="004741BD"/>
    <w:rsid w:val="00474461"/>
    <w:rsid w:val="00474DE7"/>
    <w:rsid w:val="004751CB"/>
    <w:rsid w:val="004757FD"/>
    <w:rsid w:val="00475CE8"/>
    <w:rsid w:val="00476137"/>
    <w:rsid w:val="004761E3"/>
    <w:rsid w:val="00476655"/>
    <w:rsid w:val="00476A52"/>
    <w:rsid w:val="004772D8"/>
    <w:rsid w:val="00477609"/>
    <w:rsid w:val="0047777B"/>
    <w:rsid w:val="0047795E"/>
    <w:rsid w:val="00477F0C"/>
    <w:rsid w:val="004801D4"/>
    <w:rsid w:val="004806FE"/>
    <w:rsid w:val="00480A1E"/>
    <w:rsid w:val="00480B99"/>
    <w:rsid w:val="00481079"/>
    <w:rsid w:val="00481615"/>
    <w:rsid w:val="004816A9"/>
    <w:rsid w:val="00481AFE"/>
    <w:rsid w:val="00482176"/>
    <w:rsid w:val="0048224F"/>
    <w:rsid w:val="004823A8"/>
    <w:rsid w:val="00482458"/>
    <w:rsid w:val="00482993"/>
    <w:rsid w:val="00482D67"/>
    <w:rsid w:val="00483029"/>
    <w:rsid w:val="00483648"/>
    <w:rsid w:val="00483C13"/>
    <w:rsid w:val="00483C54"/>
    <w:rsid w:val="004843C3"/>
    <w:rsid w:val="00484432"/>
    <w:rsid w:val="0048453E"/>
    <w:rsid w:val="00484550"/>
    <w:rsid w:val="00484615"/>
    <w:rsid w:val="004848DF"/>
    <w:rsid w:val="00484C95"/>
    <w:rsid w:val="0048544A"/>
    <w:rsid w:val="00485C0B"/>
    <w:rsid w:val="00485D0C"/>
    <w:rsid w:val="00485DB5"/>
    <w:rsid w:val="00486063"/>
    <w:rsid w:val="00486864"/>
    <w:rsid w:val="00486A41"/>
    <w:rsid w:val="00486B7D"/>
    <w:rsid w:val="00486BD0"/>
    <w:rsid w:val="0048715B"/>
    <w:rsid w:val="004872AC"/>
    <w:rsid w:val="004873A0"/>
    <w:rsid w:val="00487A71"/>
    <w:rsid w:val="00490621"/>
    <w:rsid w:val="00490706"/>
    <w:rsid w:val="00490740"/>
    <w:rsid w:val="004909AA"/>
    <w:rsid w:val="00490AF9"/>
    <w:rsid w:val="00491155"/>
    <w:rsid w:val="00491A0B"/>
    <w:rsid w:val="00491A1F"/>
    <w:rsid w:val="00491AD2"/>
    <w:rsid w:val="00492065"/>
    <w:rsid w:val="00492964"/>
    <w:rsid w:val="00492980"/>
    <w:rsid w:val="00492CC3"/>
    <w:rsid w:val="00492D29"/>
    <w:rsid w:val="00492D33"/>
    <w:rsid w:val="004932D0"/>
    <w:rsid w:val="00493A99"/>
    <w:rsid w:val="00493F29"/>
    <w:rsid w:val="00493F5B"/>
    <w:rsid w:val="0049405B"/>
    <w:rsid w:val="004944CB"/>
    <w:rsid w:val="004946B7"/>
    <w:rsid w:val="004947DD"/>
    <w:rsid w:val="00495536"/>
    <w:rsid w:val="004955FB"/>
    <w:rsid w:val="00495677"/>
    <w:rsid w:val="00496069"/>
    <w:rsid w:val="004965CA"/>
    <w:rsid w:val="00496978"/>
    <w:rsid w:val="00496CC6"/>
    <w:rsid w:val="004970FE"/>
    <w:rsid w:val="00497300"/>
    <w:rsid w:val="00497CF0"/>
    <w:rsid w:val="004A01F1"/>
    <w:rsid w:val="004A02DC"/>
    <w:rsid w:val="004A0BC6"/>
    <w:rsid w:val="004A0BD9"/>
    <w:rsid w:val="004A0C52"/>
    <w:rsid w:val="004A1379"/>
    <w:rsid w:val="004A1467"/>
    <w:rsid w:val="004A1601"/>
    <w:rsid w:val="004A1688"/>
    <w:rsid w:val="004A1CF8"/>
    <w:rsid w:val="004A1E9D"/>
    <w:rsid w:val="004A26A6"/>
    <w:rsid w:val="004A27D0"/>
    <w:rsid w:val="004A2BCD"/>
    <w:rsid w:val="004A2CDE"/>
    <w:rsid w:val="004A3330"/>
    <w:rsid w:val="004A3663"/>
    <w:rsid w:val="004A370D"/>
    <w:rsid w:val="004A3FDF"/>
    <w:rsid w:val="004A410C"/>
    <w:rsid w:val="004A46C9"/>
    <w:rsid w:val="004A4786"/>
    <w:rsid w:val="004A4FF5"/>
    <w:rsid w:val="004A513C"/>
    <w:rsid w:val="004A51D5"/>
    <w:rsid w:val="004A5844"/>
    <w:rsid w:val="004A5C2E"/>
    <w:rsid w:val="004A5F8E"/>
    <w:rsid w:val="004A5FCA"/>
    <w:rsid w:val="004A63BA"/>
    <w:rsid w:val="004A63C3"/>
    <w:rsid w:val="004A6465"/>
    <w:rsid w:val="004A65BE"/>
    <w:rsid w:val="004A6831"/>
    <w:rsid w:val="004A6901"/>
    <w:rsid w:val="004A6AE1"/>
    <w:rsid w:val="004A6D96"/>
    <w:rsid w:val="004A6F64"/>
    <w:rsid w:val="004A7436"/>
    <w:rsid w:val="004A7948"/>
    <w:rsid w:val="004B054D"/>
    <w:rsid w:val="004B0726"/>
    <w:rsid w:val="004B0B64"/>
    <w:rsid w:val="004B0FBC"/>
    <w:rsid w:val="004B1300"/>
    <w:rsid w:val="004B1DD8"/>
    <w:rsid w:val="004B1E32"/>
    <w:rsid w:val="004B1EE6"/>
    <w:rsid w:val="004B1F3F"/>
    <w:rsid w:val="004B1FE9"/>
    <w:rsid w:val="004B26C0"/>
    <w:rsid w:val="004B2833"/>
    <w:rsid w:val="004B293C"/>
    <w:rsid w:val="004B294C"/>
    <w:rsid w:val="004B3058"/>
    <w:rsid w:val="004B30F0"/>
    <w:rsid w:val="004B31A0"/>
    <w:rsid w:val="004B370F"/>
    <w:rsid w:val="004B44D3"/>
    <w:rsid w:val="004B5735"/>
    <w:rsid w:val="004B5806"/>
    <w:rsid w:val="004B58B2"/>
    <w:rsid w:val="004B5D04"/>
    <w:rsid w:val="004B60AE"/>
    <w:rsid w:val="004B6423"/>
    <w:rsid w:val="004B6769"/>
    <w:rsid w:val="004B67C1"/>
    <w:rsid w:val="004B6B9F"/>
    <w:rsid w:val="004B6C7B"/>
    <w:rsid w:val="004B7273"/>
    <w:rsid w:val="004B75F1"/>
    <w:rsid w:val="004B78D5"/>
    <w:rsid w:val="004B7A0E"/>
    <w:rsid w:val="004C00CB"/>
    <w:rsid w:val="004C0180"/>
    <w:rsid w:val="004C0BC8"/>
    <w:rsid w:val="004C1048"/>
    <w:rsid w:val="004C108E"/>
    <w:rsid w:val="004C10C5"/>
    <w:rsid w:val="004C12FE"/>
    <w:rsid w:val="004C21B5"/>
    <w:rsid w:val="004C2338"/>
    <w:rsid w:val="004C2925"/>
    <w:rsid w:val="004C2B6C"/>
    <w:rsid w:val="004C366F"/>
    <w:rsid w:val="004C38FA"/>
    <w:rsid w:val="004C3E55"/>
    <w:rsid w:val="004C3E5B"/>
    <w:rsid w:val="004C4062"/>
    <w:rsid w:val="004C41D3"/>
    <w:rsid w:val="004C4439"/>
    <w:rsid w:val="004C46B5"/>
    <w:rsid w:val="004C4CC2"/>
    <w:rsid w:val="004C4E0A"/>
    <w:rsid w:val="004C515A"/>
    <w:rsid w:val="004C5244"/>
    <w:rsid w:val="004C52EC"/>
    <w:rsid w:val="004C5660"/>
    <w:rsid w:val="004C59FB"/>
    <w:rsid w:val="004C67D9"/>
    <w:rsid w:val="004C6AB5"/>
    <w:rsid w:val="004C6D1C"/>
    <w:rsid w:val="004C6E1C"/>
    <w:rsid w:val="004C6E90"/>
    <w:rsid w:val="004C7149"/>
    <w:rsid w:val="004C7B30"/>
    <w:rsid w:val="004D034D"/>
    <w:rsid w:val="004D0728"/>
    <w:rsid w:val="004D0FDA"/>
    <w:rsid w:val="004D104C"/>
    <w:rsid w:val="004D109D"/>
    <w:rsid w:val="004D136D"/>
    <w:rsid w:val="004D1941"/>
    <w:rsid w:val="004D1A04"/>
    <w:rsid w:val="004D1BDC"/>
    <w:rsid w:val="004D1C2C"/>
    <w:rsid w:val="004D29FC"/>
    <w:rsid w:val="004D2BF0"/>
    <w:rsid w:val="004D2C16"/>
    <w:rsid w:val="004D2F56"/>
    <w:rsid w:val="004D3898"/>
    <w:rsid w:val="004D3A4D"/>
    <w:rsid w:val="004D42F0"/>
    <w:rsid w:val="004D4D35"/>
    <w:rsid w:val="004D545C"/>
    <w:rsid w:val="004D5966"/>
    <w:rsid w:val="004D5EC7"/>
    <w:rsid w:val="004D6D3C"/>
    <w:rsid w:val="004D751A"/>
    <w:rsid w:val="004D7960"/>
    <w:rsid w:val="004D7BD6"/>
    <w:rsid w:val="004D7C65"/>
    <w:rsid w:val="004D7C8A"/>
    <w:rsid w:val="004D7D02"/>
    <w:rsid w:val="004D7EEA"/>
    <w:rsid w:val="004E09B4"/>
    <w:rsid w:val="004E0A36"/>
    <w:rsid w:val="004E0AE7"/>
    <w:rsid w:val="004E10FB"/>
    <w:rsid w:val="004E182B"/>
    <w:rsid w:val="004E1859"/>
    <w:rsid w:val="004E1A2B"/>
    <w:rsid w:val="004E20DB"/>
    <w:rsid w:val="004E2FA2"/>
    <w:rsid w:val="004E3E22"/>
    <w:rsid w:val="004E42E9"/>
    <w:rsid w:val="004E4960"/>
    <w:rsid w:val="004E49E4"/>
    <w:rsid w:val="004E4BA5"/>
    <w:rsid w:val="004E4D0F"/>
    <w:rsid w:val="004E4DB6"/>
    <w:rsid w:val="004E5845"/>
    <w:rsid w:val="004E58C4"/>
    <w:rsid w:val="004E59C6"/>
    <w:rsid w:val="004E5A54"/>
    <w:rsid w:val="004E5B33"/>
    <w:rsid w:val="004E5BDD"/>
    <w:rsid w:val="004E6064"/>
    <w:rsid w:val="004E61EF"/>
    <w:rsid w:val="004E62B6"/>
    <w:rsid w:val="004E6381"/>
    <w:rsid w:val="004E68D4"/>
    <w:rsid w:val="004E6DC5"/>
    <w:rsid w:val="004E7642"/>
    <w:rsid w:val="004E76A2"/>
    <w:rsid w:val="004E7A24"/>
    <w:rsid w:val="004E7F19"/>
    <w:rsid w:val="004F0399"/>
    <w:rsid w:val="004F052A"/>
    <w:rsid w:val="004F056A"/>
    <w:rsid w:val="004F074D"/>
    <w:rsid w:val="004F08B8"/>
    <w:rsid w:val="004F0CC7"/>
    <w:rsid w:val="004F11BD"/>
    <w:rsid w:val="004F127E"/>
    <w:rsid w:val="004F241A"/>
    <w:rsid w:val="004F2B77"/>
    <w:rsid w:val="004F2BF6"/>
    <w:rsid w:val="004F2ED2"/>
    <w:rsid w:val="004F2FEB"/>
    <w:rsid w:val="004F34DC"/>
    <w:rsid w:val="004F377E"/>
    <w:rsid w:val="004F3CE2"/>
    <w:rsid w:val="004F4020"/>
    <w:rsid w:val="004F4446"/>
    <w:rsid w:val="004F461A"/>
    <w:rsid w:val="004F477B"/>
    <w:rsid w:val="004F49B5"/>
    <w:rsid w:val="004F4E91"/>
    <w:rsid w:val="004F4FB1"/>
    <w:rsid w:val="004F5069"/>
    <w:rsid w:val="004F5277"/>
    <w:rsid w:val="004F5DC6"/>
    <w:rsid w:val="004F5F81"/>
    <w:rsid w:val="004F601A"/>
    <w:rsid w:val="004F66CC"/>
    <w:rsid w:val="004F6993"/>
    <w:rsid w:val="004F6DCF"/>
    <w:rsid w:val="004F7AF2"/>
    <w:rsid w:val="005000A9"/>
    <w:rsid w:val="00500513"/>
    <w:rsid w:val="00500AA0"/>
    <w:rsid w:val="00500E29"/>
    <w:rsid w:val="00501040"/>
    <w:rsid w:val="005014FF"/>
    <w:rsid w:val="00501D86"/>
    <w:rsid w:val="00501DF5"/>
    <w:rsid w:val="005020BD"/>
    <w:rsid w:val="00502591"/>
    <w:rsid w:val="00502645"/>
    <w:rsid w:val="00502F04"/>
    <w:rsid w:val="005030AC"/>
    <w:rsid w:val="00503841"/>
    <w:rsid w:val="00503FF3"/>
    <w:rsid w:val="00504056"/>
    <w:rsid w:val="005040E1"/>
    <w:rsid w:val="0050422D"/>
    <w:rsid w:val="00504401"/>
    <w:rsid w:val="00504DFF"/>
    <w:rsid w:val="00505955"/>
    <w:rsid w:val="00505CB7"/>
    <w:rsid w:val="00505F41"/>
    <w:rsid w:val="00505FC8"/>
    <w:rsid w:val="00506427"/>
    <w:rsid w:val="00506605"/>
    <w:rsid w:val="00506722"/>
    <w:rsid w:val="00506788"/>
    <w:rsid w:val="00506BB6"/>
    <w:rsid w:val="00506D5C"/>
    <w:rsid w:val="0050705E"/>
    <w:rsid w:val="0050711A"/>
    <w:rsid w:val="0050732B"/>
    <w:rsid w:val="0050746E"/>
    <w:rsid w:val="005101C8"/>
    <w:rsid w:val="00510436"/>
    <w:rsid w:val="0051052D"/>
    <w:rsid w:val="005108CB"/>
    <w:rsid w:val="005125E7"/>
    <w:rsid w:val="005128E1"/>
    <w:rsid w:val="00512E08"/>
    <w:rsid w:val="00512F23"/>
    <w:rsid w:val="00512F59"/>
    <w:rsid w:val="005132F7"/>
    <w:rsid w:val="005134B9"/>
    <w:rsid w:val="00513626"/>
    <w:rsid w:val="005136E8"/>
    <w:rsid w:val="005137C5"/>
    <w:rsid w:val="00513BAA"/>
    <w:rsid w:val="00513DC6"/>
    <w:rsid w:val="00513E7C"/>
    <w:rsid w:val="00514800"/>
    <w:rsid w:val="00514BF0"/>
    <w:rsid w:val="00515260"/>
    <w:rsid w:val="0051564A"/>
    <w:rsid w:val="00515C7A"/>
    <w:rsid w:val="00516874"/>
    <w:rsid w:val="00516D3D"/>
    <w:rsid w:val="00516DE1"/>
    <w:rsid w:val="005178A0"/>
    <w:rsid w:val="005201C9"/>
    <w:rsid w:val="0052027F"/>
    <w:rsid w:val="005204B2"/>
    <w:rsid w:val="0052059A"/>
    <w:rsid w:val="005205D0"/>
    <w:rsid w:val="005214F9"/>
    <w:rsid w:val="00521540"/>
    <w:rsid w:val="0052191D"/>
    <w:rsid w:val="00521C36"/>
    <w:rsid w:val="00521FC1"/>
    <w:rsid w:val="005228D2"/>
    <w:rsid w:val="00522A12"/>
    <w:rsid w:val="0052340F"/>
    <w:rsid w:val="0052398A"/>
    <w:rsid w:val="00523C5B"/>
    <w:rsid w:val="00523D5E"/>
    <w:rsid w:val="00523E2D"/>
    <w:rsid w:val="00524B7A"/>
    <w:rsid w:val="00524FB2"/>
    <w:rsid w:val="00525784"/>
    <w:rsid w:val="00525DF8"/>
    <w:rsid w:val="00525E42"/>
    <w:rsid w:val="00525FAA"/>
    <w:rsid w:val="005265BE"/>
    <w:rsid w:val="00526724"/>
    <w:rsid w:val="0052720C"/>
    <w:rsid w:val="005300CB"/>
    <w:rsid w:val="0053076B"/>
    <w:rsid w:val="00530B39"/>
    <w:rsid w:val="00530B5C"/>
    <w:rsid w:val="00530CB8"/>
    <w:rsid w:val="005313D6"/>
    <w:rsid w:val="0053144F"/>
    <w:rsid w:val="00531EB8"/>
    <w:rsid w:val="00532908"/>
    <w:rsid w:val="00532FF7"/>
    <w:rsid w:val="00533028"/>
    <w:rsid w:val="005332CA"/>
    <w:rsid w:val="0053374B"/>
    <w:rsid w:val="005337B2"/>
    <w:rsid w:val="0053381A"/>
    <w:rsid w:val="00533AA7"/>
    <w:rsid w:val="00533D97"/>
    <w:rsid w:val="00533ED6"/>
    <w:rsid w:val="00533F1B"/>
    <w:rsid w:val="00534040"/>
    <w:rsid w:val="0053418C"/>
    <w:rsid w:val="00534B0F"/>
    <w:rsid w:val="005362E4"/>
    <w:rsid w:val="005369AA"/>
    <w:rsid w:val="00536D47"/>
    <w:rsid w:val="00537554"/>
    <w:rsid w:val="00537655"/>
    <w:rsid w:val="0053765F"/>
    <w:rsid w:val="00537B30"/>
    <w:rsid w:val="00537BBF"/>
    <w:rsid w:val="00537F2C"/>
    <w:rsid w:val="0054024D"/>
    <w:rsid w:val="00540255"/>
    <w:rsid w:val="005403B2"/>
    <w:rsid w:val="00540B86"/>
    <w:rsid w:val="00540BEB"/>
    <w:rsid w:val="00541083"/>
    <w:rsid w:val="00541919"/>
    <w:rsid w:val="00541C20"/>
    <w:rsid w:val="00541C2A"/>
    <w:rsid w:val="00542142"/>
    <w:rsid w:val="005421D6"/>
    <w:rsid w:val="0054230E"/>
    <w:rsid w:val="005426D4"/>
    <w:rsid w:val="005427DA"/>
    <w:rsid w:val="00543046"/>
    <w:rsid w:val="00543A29"/>
    <w:rsid w:val="00543B91"/>
    <w:rsid w:val="00543EBD"/>
    <w:rsid w:val="00544291"/>
    <w:rsid w:val="0054434A"/>
    <w:rsid w:val="005445A5"/>
    <w:rsid w:val="00544CA5"/>
    <w:rsid w:val="00544CE7"/>
    <w:rsid w:val="00544F52"/>
    <w:rsid w:val="00545008"/>
    <w:rsid w:val="00545375"/>
    <w:rsid w:val="0054577D"/>
    <w:rsid w:val="00545BEF"/>
    <w:rsid w:val="00545C79"/>
    <w:rsid w:val="00546074"/>
    <w:rsid w:val="005462CD"/>
    <w:rsid w:val="0054642B"/>
    <w:rsid w:val="005466BC"/>
    <w:rsid w:val="00546BEC"/>
    <w:rsid w:val="00546C60"/>
    <w:rsid w:val="00546DE2"/>
    <w:rsid w:val="00547058"/>
    <w:rsid w:val="005478CC"/>
    <w:rsid w:val="00547D62"/>
    <w:rsid w:val="00547D91"/>
    <w:rsid w:val="00547E2F"/>
    <w:rsid w:val="00550205"/>
    <w:rsid w:val="0055025E"/>
    <w:rsid w:val="005502F2"/>
    <w:rsid w:val="0055059D"/>
    <w:rsid w:val="00550899"/>
    <w:rsid w:val="00550A3B"/>
    <w:rsid w:val="0055146C"/>
    <w:rsid w:val="00551546"/>
    <w:rsid w:val="00551782"/>
    <w:rsid w:val="00551934"/>
    <w:rsid w:val="00551B01"/>
    <w:rsid w:val="00551BB2"/>
    <w:rsid w:val="00551DA1"/>
    <w:rsid w:val="00552643"/>
    <w:rsid w:val="00552E11"/>
    <w:rsid w:val="00552E6D"/>
    <w:rsid w:val="0055300B"/>
    <w:rsid w:val="00553108"/>
    <w:rsid w:val="0055317D"/>
    <w:rsid w:val="0055351E"/>
    <w:rsid w:val="00554120"/>
    <w:rsid w:val="00554204"/>
    <w:rsid w:val="00554631"/>
    <w:rsid w:val="00554711"/>
    <w:rsid w:val="00554776"/>
    <w:rsid w:val="00554B8D"/>
    <w:rsid w:val="00554D19"/>
    <w:rsid w:val="00555163"/>
    <w:rsid w:val="00555221"/>
    <w:rsid w:val="005554B7"/>
    <w:rsid w:val="00555743"/>
    <w:rsid w:val="00555A4B"/>
    <w:rsid w:val="00555FB5"/>
    <w:rsid w:val="00556778"/>
    <w:rsid w:val="00556858"/>
    <w:rsid w:val="00556FD2"/>
    <w:rsid w:val="005570AB"/>
    <w:rsid w:val="005574C9"/>
    <w:rsid w:val="00557869"/>
    <w:rsid w:val="00557A63"/>
    <w:rsid w:val="00557AFE"/>
    <w:rsid w:val="0056002B"/>
    <w:rsid w:val="00560309"/>
    <w:rsid w:val="00560ADB"/>
    <w:rsid w:val="00561319"/>
    <w:rsid w:val="00561903"/>
    <w:rsid w:val="00561D0A"/>
    <w:rsid w:val="005622CD"/>
    <w:rsid w:val="005625D4"/>
    <w:rsid w:val="0056284E"/>
    <w:rsid w:val="005629F9"/>
    <w:rsid w:val="00562A04"/>
    <w:rsid w:val="00563309"/>
    <w:rsid w:val="005636D8"/>
    <w:rsid w:val="00563B29"/>
    <w:rsid w:val="00563BF5"/>
    <w:rsid w:val="00563C81"/>
    <w:rsid w:val="005640B6"/>
    <w:rsid w:val="00564A12"/>
    <w:rsid w:val="00564A51"/>
    <w:rsid w:val="00564AFF"/>
    <w:rsid w:val="005657D5"/>
    <w:rsid w:val="00565F5D"/>
    <w:rsid w:val="00565FF0"/>
    <w:rsid w:val="0056609B"/>
    <w:rsid w:val="00566FA8"/>
    <w:rsid w:val="0056715B"/>
    <w:rsid w:val="00567498"/>
    <w:rsid w:val="005675ED"/>
    <w:rsid w:val="0056797B"/>
    <w:rsid w:val="00567B82"/>
    <w:rsid w:val="00567FFD"/>
    <w:rsid w:val="00570173"/>
    <w:rsid w:val="005702FB"/>
    <w:rsid w:val="00570475"/>
    <w:rsid w:val="005707E1"/>
    <w:rsid w:val="00570812"/>
    <w:rsid w:val="00570BAB"/>
    <w:rsid w:val="00571218"/>
    <w:rsid w:val="00571319"/>
    <w:rsid w:val="00572545"/>
    <w:rsid w:val="00572911"/>
    <w:rsid w:val="005729A9"/>
    <w:rsid w:val="00572D1F"/>
    <w:rsid w:val="00572D49"/>
    <w:rsid w:val="00572DFA"/>
    <w:rsid w:val="00572EA4"/>
    <w:rsid w:val="00573142"/>
    <w:rsid w:val="0057333E"/>
    <w:rsid w:val="0057344C"/>
    <w:rsid w:val="00573B0B"/>
    <w:rsid w:val="00573C04"/>
    <w:rsid w:val="00573EA5"/>
    <w:rsid w:val="00573FDF"/>
    <w:rsid w:val="00574708"/>
    <w:rsid w:val="00574DFC"/>
    <w:rsid w:val="00574FDA"/>
    <w:rsid w:val="005752F1"/>
    <w:rsid w:val="005753FF"/>
    <w:rsid w:val="00575F1A"/>
    <w:rsid w:val="0057669B"/>
    <w:rsid w:val="00576B97"/>
    <w:rsid w:val="00576DD3"/>
    <w:rsid w:val="0057751C"/>
    <w:rsid w:val="00577AA1"/>
    <w:rsid w:val="00577E2D"/>
    <w:rsid w:val="00577EC8"/>
    <w:rsid w:val="005800A9"/>
    <w:rsid w:val="00580161"/>
    <w:rsid w:val="005801A6"/>
    <w:rsid w:val="00580AA5"/>
    <w:rsid w:val="00580B0E"/>
    <w:rsid w:val="0058129D"/>
    <w:rsid w:val="005813A6"/>
    <w:rsid w:val="00582113"/>
    <w:rsid w:val="0058218D"/>
    <w:rsid w:val="005827F4"/>
    <w:rsid w:val="005828DF"/>
    <w:rsid w:val="00583399"/>
    <w:rsid w:val="0058348B"/>
    <w:rsid w:val="0058386D"/>
    <w:rsid w:val="00583A25"/>
    <w:rsid w:val="00583D18"/>
    <w:rsid w:val="00583E46"/>
    <w:rsid w:val="0058443D"/>
    <w:rsid w:val="005847D7"/>
    <w:rsid w:val="00584A2E"/>
    <w:rsid w:val="00584F53"/>
    <w:rsid w:val="0058519A"/>
    <w:rsid w:val="00585A3B"/>
    <w:rsid w:val="00585B87"/>
    <w:rsid w:val="00585D0C"/>
    <w:rsid w:val="00586B4B"/>
    <w:rsid w:val="00586C41"/>
    <w:rsid w:val="005870EB"/>
    <w:rsid w:val="005870F2"/>
    <w:rsid w:val="00587B6D"/>
    <w:rsid w:val="00587E84"/>
    <w:rsid w:val="00590035"/>
    <w:rsid w:val="00590199"/>
    <w:rsid w:val="0059048B"/>
    <w:rsid w:val="00590829"/>
    <w:rsid w:val="005908C9"/>
    <w:rsid w:val="00590B4D"/>
    <w:rsid w:val="00590E53"/>
    <w:rsid w:val="00590ED5"/>
    <w:rsid w:val="005911BE"/>
    <w:rsid w:val="00591439"/>
    <w:rsid w:val="0059175F"/>
    <w:rsid w:val="00591766"/>
    <w:rsid w:val="0059180C"/>
    <w:rsid w:val="00591C2F"/>
    <w:rsid w:val="00591D30"/>
    <w:rsid w:val="005922A6"/>
    <w:rsid w:val="00592855"/>
    <w:rsid w:val="00592939"/>
    <w:rsid w:val="00592E1F"/>
    <w:rsid w:val="00593907"/>
    <w:rsid w:val="00593A7B"/>
    <w:rsid w:val="00593B24"/>
    <w:rsid w:val="00593F22"/>
    <w:rsid w:val="00594060"/>
    <w:rsid w:val="005947D8"/>
    <w:rsid w:val="00594A6E"/>
    <w:rsid w:val="005952E9"/>
    <w:rsid w:val="00595B15"/>
    <w:rsid w:val="005960AF"/>
    <w:rsid w:val="005968D6"/>
    <w:rsid w:val="00596D0C"/>
    <w:rsid w:val="005979EE"/>
    <w:rsid w:val="00597C4C"/>
    <w:rsid w:val="00597CEB"/>
    <w:rsid w:val="00597E63"/>
    <w:rsid w:val="005A017F"/>
    <w:rsid w:val="005A01F9"/>
    <w:rsid w:val="005A0440"/>
    <w:rsid w:val="005A0547"/>
    <w:rsid w:val="005A0B00"/>
    <w:rsid w:val="005A0B18"/>
    <w:rsid w:val="005A10F3"/>
    <w:rsid w:val="005A12AD"/>
    <w:rsid w:val="005A163A"/>
    <w:rsid w:val="005A19EC"/>
    <w:rsid w:val="005A1AF5"/>
    <w:rsid w:val="005A1E77"/>
    <w:rsid w:val="005A25A8"/>
    <w:rsid w:val="005A2A0F"/>
    <w:rsid w:val="005A307C"/>
    <w:rsid w:val="005A366E"/>
    <w:rsid w:val="005A37D8"/>
    <w:rsid w:val="005A3AF2"/>
    <w:rsid w:val="005A3C1E"/>
    <w:rsid w:val="005A3F5C"/>
    <w:rsid w:val="005A4124"/>
    <w:rsid w:val="005A42FA"/>
    <w:rsid w:val="005A432A"/>
    <w:rsid w:val="005A47F6"/>
    <w:rsid w:val="005A490A"/>
    <w:rsid w:val="005A4964"/>
    <w:rsid w:val="005A4E55"/>
    <w:rsid w:val="005A50EB"/>
    <w:rsid w:val="005A511F"/>
    <w:rsid w:val="005A5CDC"/>
    <w:rsid w:val="005A62A1"/>
    <w:rsid w:val="005A6338"/>
    <w:rsid w:val="005A64F1"/>
    <w:rsid w:val="005A68B5"/>
    <w:rsid w:val="005A72B6"/>
    <w:rsid w:val="005A730A"/>
    <w:rsid w:val="005A7447"/>
    <w:rsid w:val="005A7883"/>
    <w:rsid w:val="005A7898"/>
    <w:rsid w:val="005A7D13"/>
    <w:rsid w:val="005A7E78"/>
    <w:rsid w:val="005B0CAC"/>
    <w:rsid w:val="005B1289"/>
    <w:rsid w:val="005B16A7"/>
    <w:rsid w:val="005B17A5"/>
    <w:rsid w:val="005B2185"/>
    <w:rsid w:val="005B21BE"/>
    <w:rsid w:val="005B2485"/>
    <w:rsid w:val="005B256C"/>
    <w:rsid w:val="005B29BE"/>
    <w:rsid w:val="005B2A82"/>
    <w:rsid w:val="005B2DED"/>
    <w:rsid w:val="005B3568"/>
    <w:rsid w:val="005B43D0"/>
    <w:rsid w:val="005B49EC"/>
    <w:rsid w:val="005B4CAF"/>
    <w:rsid w:val="005B5472"/>
    <w:rsid w:val="005B6B1C"/>
    <w:rsid w:val="005B6D75"/>
    <w:rsid w:val="005B6EC2"/>
    <w:rsid w:val="005B707B"/>
    <w:rsid w:val="005B7094"/>
    <w:rsid w:val="005B767F"/>
    <w:rsid w:val="005B780C"/>
    <w:rsid w:val="005B7970"/>
    <w:rsid w:val="005B7D2E"/>
    <w:rsid w:val="005C0141"/>
    <w:rsid w:val="005C01EC"/>
    <w:rsid w:val="005C08B8"/>
    <w:rsid w:val="005C1219"/>
    <w:rsid w:val="005C1482"/>
    <w:rsid w:val="005C1504"/>
    <w:rsid w:val="005C15C3"/>
    <w:rsid w:val="005C19BF"/>
    <w:rsid w:val="005C1EC0"/>
    <w:rsid w:val="005C1F36"/>
    <w:rsid w:val="005C2595"/>
    <w:rsid w:val="005C2769"/>
    <w:rsid w:val="005C28EE"/>
    <w:rsid w:val="005C29F7"/>
    <w:rsid w:val="005C2E93"/>
    <w:rsid w:val="005C30F1"/>
    <w:rsid w:val="005C3604"/>
    <w:rsid w:val="005C369B"/>
    <w:rsid w:val="005C388D"/>
    <w:rsid w:val="005C38F4"/>
    <w:rsid w:val="005C3D26"/>
    <w:rsid w:val="005C3DD1"/>
    <w:rsid w:val="005C4451"/>
    <w:rsid w:val="005C4BA8"/>
    <w:rsid w:val="005C5108"/>
    <w:rsid w:val="005C52B4"/>
    <w:rsid w:val="005C5642"/>
    <w:rsid w:val="005C5891"/>
    <w:rsid w:val="005C5FC4"/>
    <w:rsid w:val="005C6713"/>
    <w:rsid w:val="005C6766"/>
    <w:rsid w:val="005C6894"/>
    <w:rsid w:val="005C6F46"/>
    <w:rsid w:val="005C7E41"/>
    <w:rsid w:val="005C7F2D"/>
    <w:rsid w:val="005D072E"/>
    <w:rsid w:val="005D0AE9"/>
    <w:rsid w:val="005D0EBB"/>
    <w:rsid w:val="005D0FD2"/>
    <w:rsid w:val="005D172D"/>
    <w:rsid w:val="005D1DE9"/>
    <w:rsid w:val="005D1F49"/>
    <w:rsid w:val="005D2076"/>
    <w:rsid w:val="005D2229"/>
    <w:rsid w:val="005D27EC"/>
    <w:rsid w:val="005D29D8"/>
    <w:rsid w:val="005D2A2F"/>
    <w:rsid w:val="005D3269"/>
    <w:rsid w:val="005D3515"/>
    <w:rsid w:val="005D3854"/>
    <w:rsid w:val="005D38B3"/>
    <w:rsid w:val="005D3B8B"/>
    <w:rsid w:val="005D430D"/>
    <w:rsid w:val="005D4B58"/>
    <w:rsid w:val="005D4F80"/>
    <w:rsid w:val="005D53E8"/>
    <w:rsid w:val="005D58A2"/>
    <w:rsid w:val="005D5CC6"/>
    <w:rsid w:val="005D5D5B"/>
    <w:rsid w:val="005D6774"/>
    <w:rsid w:val="005D703C"/>
    <w:rsid w:val="005D7041"/>
    <w:rsid w:val="005D72F9"/>
    <w:rsid w:val="005D7407"/>
    <w:rsid w:val="005D761B"/>
    <w:rsid w:val="005D76A4"/>
    <w:rsid w:val="005D7816"/>
    <w:rsid w:val="005D7CF5"/>
    <w:rsid w:val="005D7D1B"/>
    <w:rsid w:val="005D7F19"/>
    <w:rsid w:val="005E0193"/>
    <w:rsid w:val="005E0742"/>
    <w:rsid w:val="005E0B51"/>
    <w:rsid w:val="005E0BEE"/>
    <w:rsid w:val="005E12A3"/>
    <w:rsid w:val="005E15EB"/>
    <w:rsid w:val="005E2111"/>
    <w:rsid w:val="005E238C"/>
    <w:rsid w:val="005E245A"/>
    <w:rsid w:val="005E24A0"/>
    <w:rsid w:val="005E2F81"/>
    <w:rsid w:val="005E31CF"/>
    <w:rsid w:val="005E3554"/>
    <w:rsid w:val="005E3695"/>
    <w:rsid w:val="005E380E"/>
    <w:rsid w:val="005E3A38"/>
    <w:rsid w:val="005E450B"/>
    <w:rsid w:val="005E45EC"/>
    <w:rsid w:val="005E48B0"/>
    <w:rsid w:val="005E5068"/>
    <w:rsid w:val="005E5339"/>
    <w:rsid w:val="005E537E"/>
    <w:rsid w:val="005E5A0F"/>
    <w:rsid w:val="005E5ADC"/>
    <w:rsid w:val="005E5FC5"/>
    <w:rsid w:val="005E65C0"/>
    <w:rsid w:val="005E66D9"/>
    <w:rsid w:val="005E6721"/>
    <w:rsid w:val="005E6A49"/>
    <w:rsid w:val="005E6B5E"/>
    <w:rsid w:val="005E6F10"/>
    <w:rsid w:val="005E700B"/>
    <w:rsid w:val="005E75F5"/>
    <w:rsid w:val="005F0B60"/>
    <w:rsid w:val="005F1493"/>
    <w:rsid w:val="005F18B9"/>
    <w:rsid w:val="005F221E"/>
    <w:rsid w:val="005F228D"/>
    <w:rsid w:val="005F2B40"/>
    <w:rsid w:val="005F2D28"/>
    <w:rsid w:val="005F2E06"/>
    <w:rsid w:val="005F2F5F"/>
    <w:rsid w:val="005F33AB"/>
    <w:rsid w:val="005F37CF"/>
    <w:rsid w:val="005F3B80"/>
    <w:rsid w:val="005F3C4B"/>
    <w:rsid w:val="005F432F"/>
    <w:rsid w:val="005F44A5"/>
    <w:rsid w:val="005F4532"/>
    <w:rsid w:val="005F477D"/>
    <w:rsid w:val="005F483B"/>
    <w:rsid w:val="005F4FA8"/>
    <w:rsid w:val="005F571C"/>
    <w:rsid w:val="005F59A5"/>
    <w:rsid w:val="005F5DE8"/>
    <w:rsid w:val="005F5E05"/>
    <w:rsid w:val="005F5E1B"/>
    <w:rsid w:val="005F676A"/>
    <w:rsid w:val="005F67FD"/>
    <w:rsid w:val="005F68D4"/>
    <w:rsid w:val="005F69CE"/>
    <w:rsid w:val="005F6A8A"/>
    <w:rsid w:val="005F6FBE"/>
    <w:rsid w:val="005F75DB"/>
    <w:rsid w:val="005F79A9"/>
    <w:rsid w:val="005F7C12"/>
    <w:rsid w:val="0060013E"/>
    <w:rsid w:val="006002C5"/>
    <w:rsid w:val="006005B3"/>
    <w:rsid w:val="00600779"/>
    <w:rsid w:val="00600856"/>
    <w:rsid w:val="00600902"/>
    <w:rsid w:val="00600964"/>
    <w:rsid w:val="00600A05"/>
    <w:rsid w:val="006010D8"/>
    <w:rsid w:val="00601652"/>
    <w:rsid w:val="00601733"/>
    <w:rsid w:val="00601861"/>
    <w:rsid w:val="006019E9"/>
    <w:rsid w:val="00601D0F"/>
    <w:rsid w:val="00601E5B"/>
    <w:rsid w:val="00601F6A"/>
    <w:rsid w:val="00601F9E"/>
    <w:rsid w:val="00602012"/>
    <w:rsid w:val="006022FA"/>
    <w:rsid w:val="0060241A"/>
    <w:rsid w:val="00602430"/>
    <w:rsid w:val="006027EB"/>
    <w:rsid w:val="006030DD"/>
    <w:rsid w:val="00603322"/>
    <w:rsid w:val="0060347C"/>
    <w:rsid w:val="00603953"/>
    <w:rsid w:val="00604334"/>
    <w:rsid w:val="00604B81"/>
    <w:rsid w:val="00604E21"/>
    <w:rsid w:val="00604EED"/>
    <w:rsid w:val="00605079"/>
    <w:rsid w:val="006050CE"/>
    <w:rsid w:val="00605576"/>
    <w:rsid w:val="00605B22"/>
    <w:rsid w:val="00605C06"/>
    <w:rsid w:val="00605C82"/>
    <w:rsid w:val="00605FAC"/>
    <w:rsid w:val="00606702"/>
    <w:rsid w:val="006067F7"/>
    <w:rsid w:val="00606AA6"/>
    <w:rsid w:val="00606DA6"/>
    <w:rsid w:val="00606F54"/>
    <w:rsid w:val="006070DB"/>
    <w:rsid w:val="0060754C"/>
    <w:rsid w:val="0060773E"/>
    <w:rsid w:val="00607855"/>
    <w:rsid w:val="00607EB1"/>
    <w:rsid w:val="00610012"/>
    <w:rsid w:val="00610044"/>
    <w:rsid w:val="0061071D"/>
    <w:rsid w:val="00610EFA"/>
    <w:rsid w:val="00610F54"/>
    <w:rsid w:val="00611A03"/>
    <w:rsid w:val="00611F7C"/>
    <w:rsid w:val="0061201C"/>
    <w:rsid w:val="0061223F"/>
    <w:rsid w:val="0061229B"/>
    <w:rsid w:val="00612603"/>
    <w:rsid w:val="00612CC3"/>
    <w:rsid w:val="00613383"/>
    <w:rsid w:val="006134A4"/>
    <w:rsid w:val="00613826"/>
    <w:rsid w:val="00613975"/>
    <w:rsid w:val="0061410F"/>
    <w:rsid w:val="00614310"/>
    <w:rsid w:val="006143E9"/>
    <w:rsid w:val="00614460"/>
    <w:rsid w:val="0061489D"/>
    <w:rsid w:val="00614A63"/>
    <w:rsid w:val="00614CBC"/>
    <w:rsid w:val="00614D9F"/>
    <w:rsid w:val="00614E5E"/>
    <w:rsid w:val="006151C0"/>
    <w:rsid w:val="00615632"/>
    <w:rsid w:val="00616019"/>
    <w:rsid w:val="00616326"/>
    <w:rsid w:val="00616916"/>
    <w:rsid w:val="00616B9C"/>
    <w:rsid w:val="00616E02"/>
    <w:rsid w:val="006178B5"/>
    <w:rsid w:val="00617984"/>
    <w:rsid w:val="00617C21"/>
    <w:rsid w:val="00617C9A"/>
    <w:rsid w:val="00620015"/>
    <w:rsid w:val="006201B4"/>
    <w:rsid w:val="00620569"/>
    <w:rsid w:val="00620580"/>
    <w:rsid w:val="00621694"/>
    <w:rsid w:val="00621EDB"/>
    <w:rsid w:val="0062232C"/>
    <w:rsid w:val="00622378"/>
    <w:rsid w:val="0062291E"/>
    <w:rsid w:val="00622C02"/>
    <w:rsid w:val="006230BF"/>
    <w:rsid w:val="006238CD"/>
    <w:rsid w:val="00623B45"/>
    <w:rsid w:val="00623C52"/>
    <w:rsid w:val="006243AD"/>
    <w:rsid w:val="00624A48"/>
    <w:rsid w:val="00624B2D"/>
    <w:rsid w:val="00625B92"/>
    <w:rsid w:val="00625F88"/>
    <w:rsid w:val="0062676A"/>
    <w:rsid w:val="00626F84"/>
    <w:rsid w:val="0062701D"/>
    <w:rsid w:val="0062712D"/>
    <w:rsid w:val="00627208"/>
    <w:rsid w:val="00627984"/>
    <w:rsid w:val="00627ABD"/>
    <w:rsid w:val="00627AE5"/>
    <w:rsid w:val="00627F62"/>
    <w:rsid w:val="00630015"/>
    <w:rsid w:val="00630028"/>
    <w:rsid w:val="006302B8"/>
    <w:rsid w:val="0063066E"/>
    <w:rsid w:val="006309C2"/>
    <w:rsid w:val="00630C17"/>
    <w:rsid w:val="00631100"/>
    <w:rsid w:val="00631BE9"/>
    <w:rsid w:val="00631DF3"/>
    <w:rsid w:val="00632167"/>
    <w:rsid w:val="006329A2"/>
    <w:rsid w:val="00632B44"/>
    <w:rsid w:val="00632DF6"/>
    <w:rsid w:val="00633405"/>
    <w:rsid w:val="0063341F"/>
    <w:rsid w:val="0063373B"/>
    <w:rsid w:val="0063374E"/>
    <w:rsid w:val="00633B1E"/>
    <w:rsid w:val="00633CDE"/>
    <w:rsid w:val="00633FA2"/>
    <w:rsid w:val="0063463B"/>
    <w:rsid w:val="00634B20"/>
    <w:rsid w:val="00634F80"/>
    <w:rsid w:val="006351F2"/>
    <w:rsid w:val="00635282"/>
    <w:rsid w:val="00635504"/>
    <w:rsid w:val="006357AE"/>
    <w:rsid w:val="00635D9C"/>
    <w:rsid w:val="00635FDC"/>
    <w:rsid w:val="00636BA0"/>
    <w:rsid w:val="00636BCB"/>
    <w:rsid w:val="00636C30"/>
    <w:rsid w:val="00636F56"/>
    <w:rsid w:val="00637A91"/>
    <w:rsid w:val="00637DF5"/>
    <w:rsid w:val="00637EF5"/>
    <w:rsid w:val="0064016C"/>
    <w:rsid w:val="00640174"/>
    <w:rsid w:val="006403F5"/>
    <w:rsid w:val="0064052A"/>
    <w:rsid w:val="006408CD"/>
    <w:rsid w:val="00640BF0"/>
    <w:rsid w:val="00640CEB"/>
    <w:rsid w:val="00641163"/>
    <w:rsid w:val="006411AB"/>
    <w:rsid w:val="00641589"/>
    <w:rsid w:val="00641656"/>
    <w:rsid w:val="00641881"/>
    <w:rsid w:val="00641998"/>
    <w:rsid w:val="00642354"/>
    <w:rsid w:val="006425D0"/>
    <w:rsid w:val="00642772"/>
    <w:rsid w:val="006427D4"/>
    <w:rsid w:val="006427DB"/>
    <w:rsid w:val="006428D6"/>
    <w:rsid w:val="00642AFC"/>
    <w:rsid w:val="00642D18"/>
    <w:rsid w:val="00642F3B"/>
    <w:rsid w:val="006432D1"/>
    <w:rsid w:val="00643830"/>
    <w:rsid w:val="006438E7"/>
    <w:rsid w:val="00643903"/>
    <w:rsid w:val="00644351"/>
    <w:rsid w:val="006443DF"/>
    <w:rsid w:val="00644AC1"/>
    <w:rsid w:val="00644DD5"/>
    <w:rsid w:val="00644FB9"/>
    <w:rsid w:val="00645260"/>
    <w:rsid w:val="00645582"/>
    <w:rsid w:val="00645875"/>
    <w:rsid w:val="00645BA9"/>
    <w:rsid w:val="00645DA7"/>
    <w:rsid w:val="0064621A"/>
    <w:rsid w:val="006463A7"/>
    <w:rsid w:val="0064650C"/>
    <w:rsid w:val="006467ED"/>
    <w:rsid w:val="006468F6"/>
    <w:rsid w:val="00646C5E"/>
    <w:rsid w:val="00646F51"/>
    <w:rsid w:val="00647528"/>
    <w:rsid w:val="00647581"/>
    <w:rsid w:val="006502D7"/>
    <w:rsid w:val="0065090B"/>
    <w:rsid w:val="00650A56"/>
    <w:rsid w:val="00650E30"/>
    <w:rsid w:val="00650F1C"/>
    <w:rsid w:val="006511D5"/>
    <w:rsid w:val="00651A2E"/>
    <w:rsid w:val="00651BBA"/>
    <w:rsid w:val="00651D82"/>
    <w:rsid w:val="0065215C"/>
    <w:rsid w:val="00652E48"/>
    <w:rsid w:val="00652FC9"/>
    <w:rsid w:val="00653354"/>
    <w:rsid w:val="006539EE"/>
    <w:rsid w:val="00653E0D"/>
    <w:rsid w:val="00654056"/>
    <w:rsid w:val="006544A1"/>
    <w:rsid w:val="00654822"/>
    <w:rsid w:val="00654D75"/>
    <w:rsid w:val="00654F15"/>
    <w:rsid w:val="00655072"/>
    <w:rsid w:val="006551A0"/>
    <w:rsid w:val="006551A8"/>
    <w:rsid w:val="006555BD"/>
    <w:rsid w:val="006557BC"/>
    <w:rsid w:val="00655B50"/>
    <w:rsid w:val="00655DF4"/>
    <w:rsid w:val="0065619A"/>
    <w:rsid w:val="0065692B"/>
    <w:rsid w:val="00657157"/>
    <w:rsid w:val="00657383"/>
    <w:rsid w:val="00657D55"/>
    <w:rsid w:val="00657D58"/>
    <w:rsid w:val="00657F84"/>
    <w:rsid w:val="00657FA4"/>
    <w:rsid w:val="0066007D"/>
    <w:rsid w:val="006601B1"/>
    <w:rsid w:val="006603AC"/>
    <w:rsid w:val="006603D9"/>
    <w:rsid w:val="00660830"/>
    <w:rsid w:val="00660876"/>
    <w:rsid w:val="00660B60"/>
    <w:rsid w:val="00662132"/>
    <w:rsid w:val="0066272A"/>
    <w:rsid w:val="0066275A"/>
    <w:rsid w:val="006628B4"/>
    <w:rsid w:val="00662B44"/>
    <w:rsid w:val="00662C0C"/>
    <w:rsid w:val="006632D4"/>
    <w:rsid w:val="006637D7"/>
    <w:rsid w:val="006638A3"/>
    <w:rsid w:val="006639C8"/>
    <w:rsid w:val="00663B6F"/>
    <w:rsid w:val="00664058"/>
    <w:rsid w:val="006641A5"/>
    <w:rsid w:val="00664A9A"/>
    <w:rsid w:val="00664E3B"/>
    <w:rsid w:val="00664E9E"/>
    <w:rsid w:val="006651AE"/>
    <w:rsid w:val="00665316"/>
    <w:rsid w:val="0066542E"/>
    <w:rsid w:val="00665F8E"/>
    <w:rsid w:val="0066676B"/>
    <w:rsid w:val="00667350"/>
    <w:rsid w:val="00667420"/>
    <w:rsid w:val="00667435"/>
    <w:rsid w:val="00667F19"/>
    <w:rsid w:val="006707FB"/>
    <w:rsid w:val="00671015"/>
    <w:rsid w:val="00671020"/>
    <w:rsid w:val="0067116F"/>
    <w:rsid w:val="00671B53"/>
    <w:rsid w:val="006725CC"/>
    <w:rsid w:val="0067281A"/>
    <w:rsid w:val="006728C2"/>
    <w:rsid w:val="00672C66"/>
    <w:rsid w:val="00672DFA"/>
    <w:rsid w:val="00673137"/>
    <w:rsid w:val="006733A5"/>
    <w:rsid w:val="0067416D"/>
    <w:rsid w:val="00674822"/>
    <w:rsid w:val="00674918"/>
    <w:rsid w:val="00674963"/>
    <w:rsid w:val="00674B65"/>
    <w:rsid w:val="00674E76"/>
    <w:rsid w:val="006750B7"/>
    <w:rsid w:val="0067561A"/>
    <w:rsid w:val="006759D1"/>
    <w:rsid w:val="00675A2B"/>
    <w:rsid w:val="00675B01"/>
    <w:rsid w:val="00675B40"/>
    <w:rsid w:val="006760F0"/>
    <w:rsid w:val="0067651E"/>
    <w:rsid w:val="00676B95"/>
    <w:rsid w:val="00676BA0"/>
    <w:rsid w:val="00676F67"/>
    <w:rsid w:val="00677736"/>
    <w:rsid w:val="00677922"/>
    <w:rsid w:val="00677A3C"/>
    <w:rsid w:val="00677D57"/>
    <w:rsid w:val="00681362"/>
    <w:rsid w:val="00681630"/>
    <w:rsid w:val="006819A1"/>
    <w:rsid w:val="00681A98"/>
    <w:rsid w:val="00681EA0"/>
    <w:rsid w:val="00682101"/>
    <w:rsid w:val="00682627"/>
    <w:rsid w:val="006826C2"/>
    <w:rsid w:val="00682F05"/>
    <w:rsid w:val="00682F0A"/>
    <w:rsid w:val="0068311B"/>
    <w:rsid w:val="00683225"/>
    <w:rsid w:val="006835DD"/>
    <w:rsid w:val="006838B4"/>
    <w:rsid w:val="00683C71"/>
    <w:rsid w:val="00683DBB"/>
    <w:rsid w:val="00684079"/>
    <w:rsid w:val="006844C9"/>
    <w:rsid w:val="0068456D"/>
    <w:rsid w:val="006848A7"/>
    <w:rsid w:val="00684A0F"/>
    <w:rsid w:val="00684C0E"/>
    <w:rsid w:val="00684CBE"/>
    <w:rsid w:val="006851F6"/>
    <w:rsid w:val="006852EB"/>
    <w:rsid w:val="00685352"/>
    <w:rsid w:val="006859D6"/>
    <w:rsid w:val="0068603D"/>
    <w:rsid w:val="006862F5"/>
    <w:rsid w:val="00686FF6"/>
    <w:rsid w:val="00687102"/>
    <w:rsid w:val="0068736A"/>
    <w:rsid w:val="00687568"/>
    <w:rsid w:val="006877BE"/>
    <w:rsid w:val="00687DFB"/>
    <w:rsid w:val="00687F82"/>
    <w:rsid w:val="00690069"/>
    <w:rsid w:val="006907A0"/>
    <w:rsid w:val="00690809"/>
    <w:rsid w:val="00690862"/>
    <w:rsid w:val="00690990"/>
    <w:rsid w:val="00690F08"/>
    <w:rsid w:val="00690F63"/>
    <w:rsid w:val="006911FF"/>
    <w:rsid w:val="0069166C"/>
    <w:rsid w:val="0069179F"/>
    <w:rsid w:val="00691C05"/>
    <w:rsid w:val="00692A35"/>
    <w:rsid w:val="00692A6F"/>
    <w:rsid w:val="00692EA3"/>
    <w:rsid w:val="00692EA9"/>
    <w:rsid w:val="00693128"/>
    <w:rsid w:val="00693B4C"/>
    <w:rsid w:val="00693D24"/>
    <w:rsid w:val="00693DEB"/>
    <w:rsid w:val="00694021"/>
    <w:rsid w:val="006940E6"/>
    <w:rsid w:val="006941E7"/>
    <w:rsid w:val="0069440C"/>
    <w:rsid w:val="006945CB"/>
    <w:rsid w:val="00694929"/>
    <w:rsid w:val="00694A8B"/>
    <w:rsid w:val="00694D3E"/>
    <w:rsid w:val="00695209"/>
    <w:rsid w:val="006955D1"/>
    <w:rsid w:val="006958B5"/>
    <w:rsid w:val="00695F33"/>
    <w:rsid w:val="00696024"/>
    <w:rsid w:val="00696207"/>
    <w:rsid w:val="00696464"/>
    <w:rsid w:val="00696F0D"/>
    <w:rsid w:val="0069707C"/>
    <w:rsid w:val="00697138"/>
    <w:rsid w:val="006971A7"/>
    <w:rsid w:val="006975B5"/>
    <w:rsid w:val="006977B0"/>
    <w:rsid w:val="00697A87"/>
    <w:rsid w:val="00697B96"/>
    <w:rsid w:val="00697D48"/>
    <w:rsid w:val="006A04EC"/>
    <w:rsid w:val="006A05B4"/>
    <w:rsid w:val="006A07B5"/>
    <w:rsid w:val="006A0845"/>
    <w:rsid w:val="006A0F06"/>
    <w:rsid w:val="006A17A4"/>
    <w:rsid w:val="006A17FB"/>
    <w:rsid w:val="006A1991"/>
    <w:rsid w:val="006A1A89"/>
    <w:rsid w:val="006A1EAD"/>
    <w:rsid w:val="006A21B5"/>
    <w:rsid w:val="006A236B"/>
    <w:rsid w:val="006A2421"/>
    <w:rsid w:val="006A2787"/>
    <w:rsid w:val="006A2B8A"/>
    <w:rsid w:val="006A3350"/>
    <w:rsid w:val="006A3FB3"/>
    <w:rsid w:val="006A44DE"/>
    <w:rsid w:val="006A45F5"/>
    <w:rsid w:val="006A4680"/>
    <w:rsid w:val="006A46B9"/>
    <w:rsid w:val="006A4DCB"/>
    <w:rsid w:val="006A596B"/>
    <w:rsid w:val="006A5D3A"/>
    <w:rsid w:val="006A6294"/>
    <w:rsid w:val="006A62FF"/>
    <w:rsid w:val="006A6C7A"/>
    <w:rsid w:val="006A6EC3"/>
    <w:rsid w:val="006A70EE"/>
    <w:rsid w:val="006A7162"/>
    <w:rsid w:val="006A71A5"/>
    <w:rsid w:val="006A72F8"/>
    <w:rsid w:val="006A74AE"/>
    <w:rsid w:val="006A7704"/>
    <w:rsid w:val="006A7ECA"/>
    <w:rsid w:val="006B003B"/>
    <w:rsid w:val="006B00BA"/>
    <w:rsid w:val="006B01D4"/>
    <w:rsid w:val="006B07A5"/>
    <w:rsid w:val="006B090D"/>
    <w:rsid w:val="006B13C2"/>
    <w:rsid w:val="006B1468"/>
    <w:rsid w:val="006B183A"/>
    <w:rsid w:val="006B1853"/>
    <w:rsid w:val="006B1AB3"/>
    <w:rsid w:val="006B1AC4"/>
    <w:rsid w:val="006B1E6A"/>
    <w:rsid w:val="006B2407"/>
    <w:rsid w:val="006B29BD"/>
    <w:rsid w:val="006B2B5D"/>
    <w:rsid w:val="006B2DB2"/>
    <w:rsid w:val="006B2FBB"/>
    <w:rsid w:val="006B35CC"/>
    <w:rsid w:val="006B3626"/>
    <w:rsid w:val="006B369F"/>
    <w:rsid w:val="006B3835"/>
    <w:rsid w:val="006B38BC"/>
    <w:rsid w:val="006B4271"/>
    <w:rsid w:val="006B56CD"/>
    <w:rsid w:val="006B5D3C"/>
    <w:rsid w:val="006B5E95"/>
    <w:rsid w:val="006B6181"/>
    <w:rsid w:val="006B6435"/>
    <w:rsid w:val="006B6EFE"/>
    <w:rsid w:val="006B768C"/>
    <w:rsid w:val="006B78EB"/>
    <w:rsid w:val="006B7944"/>
    <w:rsid w:val="006B7B74"/>
    <w:rsid w:val="006C0465"/>
    <w:rsid w:val="006C07AC"/>
    <w:rsid w:val="006C0EC7"/>
    <w:rsid w:val="006C13EE"/>
    <w:rsid w:val="006C144E"/>
    <w:rsid w:val="006C1AE2"/>
    <w:rsid w:val="006C1EC0"/>
    <w:rsid w:val="006C22AA"/>
    <w:rsid w:val="006C23E1"/>
    <w:rsid w:val="006C29CC"/>
    <w:rsid w:val="006C2A23"/>
    <w:rsid w:val="006C2EB6"/>
    <w:rsid w:val="006C3A72"/>
    <w:rsid w:val="006C3A85"/>
    <w:rsid w:val="006C3F91"/>
    <w:rsid w:val="006C3FD2"/>
    <w:rsid w:val="006C3FEA"/>
    <w:rsid w:val="006C4AE1"/>
    <w:rsid w:val="006C4F59"/>
    <w:rsid w:val="006C5130"/>
    <w:rsid w:val="006C54C4"/>
    <w:rsid w:val="006C5671"/>
    <w:rsid w:val="006C5ADC"/>
    <w:rsid w:val="006C5B8E"/>
    <w:rsid w:val="006C5EB9"/>
    <w:rsid w:val="006C5EEA"/>
    <w:rsid w:val="006C660A"/>
    <w:rsid w:val="006C6959"/>
    <w:rsid w:val="006C6ECF"/>
    <w:rsid w:val="006C7033"/>
    <w:rsid w:val="006C70C3"/>
    <w:rsid w:val="006C7163"/>
    <w:rsid w:val="006C7CA1"/>
    <w:rsid w:val="006C7D35"/>
    <w:rsid w:val="006D063C"/>
    <w:rsid w:val="006D0963"/>
    <w:rsid w:val="006D0A52"/>
    <w:rsid w:val="006D0A8D"/>
    <w:rsid w:val="006D1153"/>
    <w:rsid w:val="006D140F"/>
    <w:rsid w:val="006D1620"/>
    <w:rsid w:val="006D2386"/>
    <w:rsid w:val="006D275A"/>
    <w:rsid w:val="006D301E"/>
    <w:rsid w:val="006D3596"/>
    <w:rsid w:val="006D37BC"/>
    <w:rsid w:val="006D3921"/>
    <w:rsid w:val="006D4141"/>
    <w:rsid w:val="006D4745"/>
    <w:rsid w:val="006D4A08"/>
    <w:rsid w:val="006D518A"/>
    <w:rsid w:val="006D524E"/>
    <w:rsid w:val="006D5434"/>
    <w:rsid w:val="006D5836"/>
    <w:rsid w:val="006D5F15"/>
    <w:rsid w:val="006D6017"/>
    <w:rsid w:val="006D6173"/>
    <w:rsid w:val="006D6957"/>
    <w:rsid w:val="006D69B9"/>
    <w:rsid w:val="006D6D9D"/>
    <w:rsid w:val="006D6DB7"/>
    <w:rsid w:val="006D6E49"/>
    <w:rsid w:val="006D6EAC"/>
    <w:rsid w:val="006D7E01"/>
    <w:rsid w:val="006D7F00"/>
    <w:rsid w:val="006D7F1C"/>
    <w:rsid w:val="006E071C"/>
    <w:rsid w:val="006E0E62"/>
    <w:rsid w:val="006E15D7"/>
    <w:rsid w:val="006E185C"/>
    <w:rsid w:val="006E1BAC"/>
    <w:rsid w:val="006E2549"/>
    <w:rsid w:val="006E2B05"/>
    <w:rsid w:val="006E2BEE"/>
    <w:rsid w:val="006E302F"/>
    <w:rsid w:val="006E325D"/>
    <w:rsid w:val="006E3441"/>
    <w:rsid w:val="006E34DA"/>
    <w:rsid w:val="006E39A7"/>
    <w:rsid w:val="006E3A18"/>
    <w:rsid w:val="006E3C76"/>
    <w:rsid w:val="006E4337"/>
    <w:rsid w:val="006E4C54"/>
    <w:rsid w:val="006E503B"/>
    <w:rsid w:val="006E5137"/>
    <w:rsid w:val="006E5A84"/>
    <w:rsid w:val="006E637C"/>
    <w:rsid w:val="006E642B"/>
    <w:rsid w:val="006E6A58"/>
    <w:rsid w:val="006E6A81"/>
    <w:rsid w:val="006E6C71"/>
    <w:rsid w:val="006E6CC5"/>
    <w:rsid w:val="006E6EB9"/>
    <w:rsid w:val="006E6F01"/>
    <w:rsid w:val="006E6FB6"/>
    <w:rsid w:val="006E732C"/>
    <w:rsid w:val="006E7784"/>
    <w:rsid w:val="006E7E04"/>
    <w:rsid w:val="006E7EC6"/>
    <w:rsid w:val="006F004E"/>
    <w:rsid w:val="006F0BDD"/>
    <w:rsid w:val="006F0C80"/>
    <w:rsid w:val="006F0D27"/>
    <w:rsid w:val="006F1638"/>
    <w:rsid w:val="006F1CD3"/>
    <w:rsid w:val="006F1DA8"/>
    <w:rsid w:val="006F255F"/>
    <w:rsid w:val="006F25E1"/>
    <w:rsid w:val="006F26C6"/>
    <w:rsid w:val="006F286F"/>
    <w:rsid w:val="006F28A9"/>
    <w:rsid w:val="006F2A60"/>
    <w:rsid w:val="006F2B2A"/>
    <w:rsid w:val="006F2F5A"/>
    <w:rsid w:val="006F320A"/>
    <w:rsid w:val="006F34A3"/>
    <w:rsid w:val="006F34EC"/>
    <w:rsid w:val="006F372F"/>
    <w:rsid w:val="006F38C5"/>
    <w:rsid w:val="006F39F1"/>
    <w:rsid w:val="006F3CDE"/>
    <w:rsid w:val="006F42F0"/>
    <w:rsid w:val="006F44A6"/>
    <w:rsid w:val="006F4553"/>
    <w:rsid w:val="006F4B06"/>
    <w:rsid w:val="006F605A"/>
    <w:rsid w:val="006F6876"/>
    <w:rsid w:val="006F6ADC"/>
    <w:rsid w:val="006F6D37"/>
    <w:rsid w:val="006F6F9E"/>
    <w:rsid w:val="006F7462"/>
    <w:rsid w:val="006F7783"/>
    <w:rsid w:val="006F7E13"/>
    <w:rsid w:val="00700151"/>
    <w:rsid w:val="0070077E"/>
    <w:rsid w:val="00700F4F"/>
    <w:rsid w:val="00700F53"/>
    <w:rsid w:val="00700F6A"/>
    <w:rsid w:val="00700FDA"/>
    <w:rsid w:val="00701461"/>
    <w:rsid w:val="007016BC"/>
    <w:rsid w:val="00701A44"/>
    <w:rsid w:val="00701B4B"/>
    <w:rsid w:val="007022E2"/>
    <w:rsid w:val="00702BB3"/>
    <w:rsid w:val="00702CFB"/>
    <w:rsid w:val="00702E5F"/>
    <w:rsid w:val="00702E96"/>
    <w:rsid w:val="00702ED2"/>
    <w:rsid w:val="00702FA0"/>
    <w:rsid w:val="00703680"/>
    <w:rsid w:val="00703720"/>
    <w:rsid w:val="007038CF"/>
    <w:rsid w:val="00703FA9"/>
    <w:rsid w:val="0070438F"/>
    <w:rsid w:val="00704A0E"/>
    <w:rsid w:val="00704A50"/>
    <w:rsid w:val="00704AC3"/>
    <w:rsid w:val="00704BD5"/>
    <w:rsid w:val="00705063"/>
    <w:rsid w:val="007055DB"/>
    <w:rsid w:val="00705726"/>
    <w:rsid w:val="00705C0F"/>
    <w:rsid w:val="007065E0"/>
    <w:rsid w:val="0070702F"/>
    <w:rsid w:val="0070703F"/>
    <w:rsid w:val="00707B35"/>
    <w:rsid w:val="00707B80"/>
    <w:rsid w:val="00707D3E"/>
    <w:rsid w:val="00707E0A"/>
    <w:rsid w:val="0071063C"/>
    <w:rsid w:val="00710813"/>
    <w:rsid w:val="00710A80"/>
    <w:rsid w:val="0071183E"/>
    <w:rsid w:val="00711F93"/>
    <w:rsid w:val="007123DC"/>
    <w:rsid w:val="00712977"/>
    <w:rsid w:val="00712B05"/>
    <w:rsid w:val="00712BAE"/>
    <w:rsid w:val="00712F88"/>
    <w:rsid w:val="007131A8"/>
    <w:rsid w:val="00713686"/>
    <w:rsid w:val="007137DD"/>
    <w:rsid w:val="00713A4A"/>
    <w:rsid w:val="00713ABD"/>
    <w:rsid w:val="00713BA8"/>
    <w:rsid w:val="00713E38"/>
    <w:rsid w:val="00714575"/>
    <w:rsid w:val="0071469F"/>
    <w:rsid w:val="0071473F"/>
    <w:rsid w:val="0071490D"/>
    <w:rsid w:val="00714993"/>
    <w:rsid w:val="00714A97"/>
    <w:rsid w:val="0071517E"/>
    <w:rsid w:val="00715A69"/>
    <w:rsid w:val="00715B32"/>
    <w:rsid w:val="00715B58"/>
    <w:rsid w:val="00715BBF"/>
    <w:rsid w:val="00716377"/>
    <w:rsid w:val="007164C3"/>
    <w:rsid w:val="0071673F"/>
    <w:rsid w:val="00716E67"/>
    <w:rsid w:val="00716E69"/>
    <w:rsid w:val="00717340"/>
    <w:rsid w:val="00717393"/>
    <w:rsid w:val="0071761D"/>
    <w:rsid w:val="00717E1D"/>
    <w:rsid w:val="00720053"/>
    <w:rsid w:val="007200F0"/>
    <w:rsid w:val="00720121"/>
    <w:rsid w:val="007204F0"/>
    <w:rsid w:val="0072087A"/>
    <w:rsid w:val="007209B3"/>
    <w:rsid w:val="00720A6C"/>
    <w:rsid w:val="00720CE5"/>
    <w:rsid w:val="007213F6"/>
    <w:rsid w:val="007218D1"/>
    <w:rsid w:val="00721B12"/>
    <w:rsid w:val="00721B25"/>
    <w:rsid w:val="00721B39"/>
    <w:rsid w:val="00721C79"/>
    <w:rsid w:val="007221B9"/>
    <w:rsid w:val="00722791"/>
    <w:rsid w:val="0072296A"/>
    <w:rsid w:val="00722C5B"/>
    <w:rsid w:val="00722F4C"/>
    <w:rsid w:val="00722FBE"/>
    <w:rsid w:val="00722FC9"/>
    <w:rsid w:val="0072304A"/>
    <w:rsid w:val="0072324E"/>
    <w:rsid w:val="00723763"/>
    <w:rsid w:val="00723858"/>
    <w:rsid w:val="00723917"/>
    <w:rsid w:val="00723B25"/>
    <w:rsid w:val="00723D03"/>
    <w:rsid w:val="00723D2F"/>
    <w:rsid w:val="00724722"/>
    <w:rsid w:val="007247D7"/>
    <w:rsid w:val="00724BB8"/>
    <w:rsid w:val="00724CBD"/>
    <w:rsid w:val="00724D8B"/>
    <w:rsid w:val="007258EE"/>
    <w:rsid w:val="0072598A"/>
    <w:rsid w:val="00726559"/>
    <w:rsid w:val="0072670F"/>
    <w:rsid w:val="0072689F"/>
    <w:rsid w:val="007268DB"/>
    <w:rsid w:val="00726B02"/>
    <w:rsid w:val="00726C5D"/>
    <w:rsid w:val="00727063"/>
    <w:rsid w:val="00727DA7"/>
    <w:rsid w:val="00727E86"/>
    <w:rsid w:val="0073008A"/>
    <w:rsid w:val="007303D1"/>
    <w:rsid w:val="0073064B"/>
    <w:rsid w:val="00730AA8"/>
    <w:rsid w:val="00730C27"/>
    <w:rsid w:val="00730DDA"/>
    <w:rsid w:val="00730FCF"/>
    <w:rsid w:val="007310DF"/>
    <w:rsid w:val="007313E5"/>
    <w:rsid w:val="0073158B"/>
    <w:rsid w:val="00731632"/>
    <w:rsid w:val="0073169E"/>
    <w:rsid w:val="007319E6"/>
    <w:rsid w:val="00731BCF"/>
    <w:rsid w:val="00731FF5"/>
    <w:rsid w:val="00732047"/>
    <w:rsid w:val="00732689"/>
    <w:rsid w:val="007327E0"/>
    <w:rsid w:val="00732C8D"/>
    <w:rsid w:val="00733217"/>
    <w:rsid w:val="007342DC"/>
    <w:rsid w:val="00734A1E"/>
    <w:rsid w:val="00734AC4"/>
    <w:rsid w:val="00734C99"/>
    <w:rsid w:val="00734DA7"/>
    <w:rsid w:val="007352AF"/>
    <w:rsid w:val="00735AAB"/>
    <w:rsid w:val="00735CA9"/>
    <w:rsid w:val="00735EC8"/>
    <w:rsid w:val="00735F35"/>
    <w:rsid w:val="00736225"/>
    <w:rsid w:val="007362E4"/>
    <w:rsid w:val="00736358"/>
    <w:rsid w:val="0073666F"/>
    <w:rsid w:val="007369BC"/>
    <w:rsid w:val="007369CA"/>
    <w:rsid w:val="007369D4"/>
    <w:rsid w:val="0073798B"/>
    <w:rsid w:val="007400FE"/>
    <w:rsid w:val="007402A1"/>
    <w:rsid w:val="00740A1D"/>
    <w:rsid w:val="00740BC3"/>
    <w:rsid w:val="00741282"/>
    <w:rsid w:val="00741679"/>
    <w:rsid w:val="00741ED5"/>
    <w:rsid w:val="00741FA9"/>
    <w:rsid w:val="007420C0"/>
    <w:rsid w:val="00742208"/>
    <w:rsid w:val="007425DC"/>
    <w:rsid w:val="00742ACE"/>
    <w:rsid w:val="00742BAF"/>
    <w:rsid w:val="00742BEB"/>
    <w:rsid w:val="00742D99"/>
    <w:rsid w:val="00742F06"/>
    <w:rsid w:val="007435AA"/>
    <w:rsid w:val="00743C78"/>
    <w:rsid w:val="007441D7"/>
    <w:rsid w:val="00744906"/>
    <w:rsid w:val="00744C37"/>
    <w:rsid w:val="007455E8"/>
    <w:rsid w:val="00745845"/>
    <w:rsid w:val="00745BFA"/>
    <w:rsid w:val="007461D5"/>
    <w:rsid w:val="00746428"/>
    <w:rsid w:val="0074645B"/>
    <w:rsid w:val="00746D31"/>
    <w:rsid w:val="007472C4"/>
    <w:rsid w:val="007474B4"/>
    <w:rsid w:val="00747BC1"/>
    <w:rsid w:val="00747E4E"/>
    <w:rsid w:val="00750013"/>
    <w:rsid w:val="007500B9"/>
    <w:rsid w:val="00750AEC"/>
    <w:rsid w:val="00750F79"/>
    <w:rsid w:val="007519CC"/>
    <w:rsid w:val="00751DFB"/>
    <w:rsid w:val="00751FCE"/>
    <w:rsid w:val="007524E4"/>
    <w:rsid w:val="0075292B"/>
    <w:rsid w:val="00753286"/>
    <w:rsid w:val="00753485"/>
    <w:rsid w:val="007539F4"/>
    <w:rsid w:val="00753A40"/>
    <w:rsid w:val="007540CA"/>
    <w:rsid w:val="007543B5"/>
    <w:rsid w:val="00754593"/>
    <w:rsid w:val="007547EA"/>
    <w:rsid w:val="0075506F"/>
    <w:rsid w:val="00755880"/>
    <w:rsid w:val="007558CA"/>
    <w:rsid w:val="0075590C"/>
    <w:rsid w:val="00755AE5"/>
    <w:rsid w:val="00755B93"/>
    <w:rsid w:val="00755E17"/>
    <w:rsid w:val="00755ECF"/>
    <w:rsid w:val="00756078"/>
    <w:rsid w:val="007562AA"/>
    <w:rsid w:val="00756633"/>
    <w:rsid w:val="0075688E"/>
    <w:rsid w:val="007568A3"/>
    <w:rsid w:val="00756F14"/>
    <w:rsid w:val="00756F81"/>
    <w:rsid w:val="00756F98"/>
    <w:rsid w:val="00757087"/>
    <w:rsid w:val="00757276"/>
    <w:rsid w:val="00757325"/>
    <w:rsid w:val="00757A25"/>
    <w:rsid w:val="00760012"/>
    <w:rsid w:val="007604A0"/>
    <w:rsid w:val="007609BA"/>
    <w:rsid w:val="00760B96"/>
    <w:rsid w:val="00760F20"/>
    <w:rsid w:val="0076100B"/>
    <w:rsid w:val="00761267"/>
    <w:rsid w:val="00761581"/>
    <w:rsid w:val="00761822"/>
    <w:rsid w:val="00761943"/>
    <w:rsid w:val="00761FEB"/>
    <w:rsid w:val="007623F2"/>
    <w:rsid w:val="007625DC"/>
    <w:rsid w:val="00762A30"/>
    <w:rsid w:val="00763689"/>
    <w:rsid w:val="007636CF"/>
    <w:rsid w:val="00763A56"/>
    <w:rsid w:val="00763E1C"/>
    <w:rsid w:val="0076402C"/>
    <w:rsid w:val="00764153"/>
    <w:rsid w:val="007645DD"/>
    <w:rsid w:val="007648BE"/>
    <w:rsid w:val="0076514B"/>
    <w:rsid w:val="0076525F"/>
    <w:rsid w:val="00765699"/>
    <w:rsid w:val="0076599A"/>
    <w:rsid w:val="00765AB0"/>
    <w:rsid w:val="00765B4B"/>
    <w:rsid w:val="00765B99"/>
    <w:rsid w:val="00765C75"/>
    <w:rsid w:val="00765FF5"/>
    <w:rsid w:val="00766120"/>
    <w:rsid w:val="0076627F"/>
    <w:rsid w:val="0076672C"/>
    <w:rsid w:val="00766AA1"/>
    <w:rsid w:val="00766C42"/>
    <w:rsid w:val="00766F4E"/>
    <w:rsid w:val="007671FA"/>
    <w:rsid w:val="007677BD"/>
    <w:rsid w:val="00767DD1"/>
    <w:rsid w:val="00770056"/>
    <w:rsid w:val="00770304"/>
    <w:rsid w:val="0077099A"/>
    <w:rsid w:val="00770A1F"/>
    <w:rsid w:val="00770C02"/>
    <w:rsid w:val="0077150C"/>
    <w:rsid w:val="007716B4"/>
    <w:rsid w:val="007716C0"/>
    <w:rsid w:val="00771863"/>
    <w:rsid w:val="007719F9"/>
    <w:rsid w:val="00771A9E"/>
    <w:rsid w:val="00771C3F"/>
    <w:rsid w:val="00772233"/>
    <w:rsid w:val="0077225C"/>
    <w:rsid w:val="00772D2D"/>
    <w:rsid w:val="00772E43"/>
    <w:rsid w:val="007731CF"/>
    <w:rsid w:val="0077335D"/>
    <w:rsid w:val="00773816"/>
    <w:rsid w:val="0077394C"/>
    <w:rsid w:val="007739F0"/>
    <w:rsid w:val="00773D3F"/>
    <w:rsid w:val="00773FB6"/>
    <w:rsid w:val="00774634"/>
    <w:rsid w:val="007746B3"/>
    <w:rsid w:val="00774782"/>
    <w:rsid w:val="00774A9A"/>
    <w:rsid w:val="00774C99"/>
    <w:rsid w:val="00775534"/>
    <w:rsid w:val="00775679"/>
    <w:rsid w:val="00775789"/>
    <w:rsid w:val="007759B2"/>
    <w:rsid w:val="007759EF"/>
    <w:rsid w:val="00775A58"/>
    <w:rsid w:val="0077627A"/>
    <w:rsid w:val="007767F4"/>
    <w:rsid w:val="00776EC9"/>
    <w:rsid w:val="007771E0"/>
    <w:rsid w:val="00777461"/>
    <w:rsid w:val="00777517"/>
    <w:rsid w:val="00780081"/>
    <w:rsid w:val="007800FE"/>
    <w:rsid w:val="007802E7"/>
    <w:rsid w:val="00780A6C"/>
    <w:rsid w:val="00780C15"/>
    <w:rsid w:val="0078107F"/>
    <w:rsid w:val="007812C6"/>
    <w:rsid w:val="0078171A"/>
    <w:rsid w:val="0078176D"/>
    <w:rsid w:val="00781DEF"/>
    <w:rsid w:val="00782164"/>
    <w:rsid w:val="00782420"/>
    <w:rsid w:val="007825EB"/>
    <w:rsid w:val="0078263A"/>
    <w:rsid w:val="00782784"/>
    <w:rsid w:val="00782B50"/>
    <w:rsid w:val="007832AD"/>
    <w:rsid w:val="007835B0"/>
    <w:rsid w:val="00783864"/>
    <w:rsid w:val="00783962"/>
    <w:rsid w:val="00783981"/>
    <w:rsid w:val="0078465C"/>
    <w:rsid w:val="00784DBD"/>
    <w:rsid w:val="00784F5E"/>
    <w:rsid w:val="0078503B"/>
    <w:rsid w:val="00785235"/>
    <w:rsid w:val="00785352"/>
    <w:rsid w:val="0078549F"/>
    <w:rsid w:val="007854BA"/>
    <w:rsid w:val="007857EE"/>
    <w:rsid w:val="00785C95"/>
    <w:rsid w:val="00786210"/>
    <w:rsid w:val="007862D7"/>
    <w:rsid w:val="007867F2"/>
    <w:rsid w:val="00786940"/>
    <w:rsid w:val="00786AFF"/>
    <w:rsid w:val="00786F90"/>
    <w:rsid w:val="007875DE"/>
    <w:rsid w:val="0078796A"/>
    <w:rsid w:val="00787A42"/>
    <w:rsid w:val="0079099B"/>
    <w:rsid w:val="00790E19"/>
    <w:rsid w:val="00791138"/>
    <w:rsid w:val="00791670"/>
    <w:rsid w:val="0079183C"/>
    <w:rsid w:val="00791D7A"/>
    <w:rsid w:val="00791F22"/>
    <w:rsid w:val="0079209F"/>
    <w:rsid w:val="007920D5"/>
    <w:rsid w:val="00792827"/>
    <w:rsid w:val="00792D21"/>
    <w:rsid w:val="00792F16"/>
    <w:rsid w:val="00793106"/>
    <w:rsid w:val="00793331"/>
    <w:rsid w:val="0079388E"/>
    <w:rsid w:val="00793D94"/>
    <w:rsid w:val="00793E17"/>
    <w:rsid w:val="00794026"/>
    <w:rsid w:val="007940CD"/>
    <w:rsid w:val="007943FF"/>
    <w:rsid w:val="00794C61"/>
    <w:rsid w:val="00794C9F"/>
    <w:rsid w:val="00794E74"/>
    <w:rsid w:val="007950A4"/>
    <w:rsid w:val="00795312"/>
    <w:rsid w:val="007953B8"/>
    <w:rsid w:val="007954C5"/>
    <w:rsid w:val="0079568E"/>
    <w:rsid w:val="00795BA6"/>
    <w:rsid w:val="00795CB1"/>
    <w:rsid w:val="00795D9C"/>
    <w:rsid w:val="00795E8B"/>
    <w:rsid w:val="00795F5C"/>
    <w:rsid w:val="00796E7C"/>
    <w:rsid w:val="00797017"/>
    <w:rsid w:val="007973FD"/>
    <w:rsid w:val="007974B5"/>
    <w:rsid w:val="00797527"/>
    <w:rsid w:val="00797662"/>
    <w:rsid w:val="0079792B"/>
    <w:rsid w:val="00797E87"/>
    <w:rsid w:val="00797FB8"/>
    <w:rsid w:val="007A01C5"/>
    <w:rsid w:val="007A02BD"/>
    <w:rsid w:val="007A04D4"/>
    <w:rsid w:val="007A0BD9"/>
    <w:rsid w:val="007A12A8"/>
    <w:rsid w:val="007A13DC"/>
    <w:rsid w:val="007A14E0"/>
    <w:rsid w:val="007A1527"/>
    <w:rsid w:val="007A1665"/>
    <w:rsid w:val="007A1B66"/>
    <w:rsid w:val="007A1CBB"/>
    <w:rsid w:val="007A2399"/>
    <w:rsid w:val="007A2607"/>
    <w:rsid w:val="007A261B"/>
    <w:rsid w:val="007A2B11"/>
    <w:rsid w:val="007A300C"/>
    <w:rsid w:val="007A325F"/>
    <w:rsid w:val="007A328D"/>
    <w:rsid w:val="007A336A"/>
    <w:rsid w:val="007A378A"/>
    <w:rsid w:val="007A38F3"/>
    <w:rsid w:val="007A3D46"/>
    <w:rsid w:val="007A3E01"/>
    <w:rsid w:val="007A4495"/>
    <w:rsid w:val="007A47E1"/>
    <w:rsid w:val="007A4C53"/>
    <w:rsid w:val="007A51EA"/>
    <w:rsid w:val="007A527A"/>
    <w:rsid w:val="007A5693"/>
    <w:rsid w:val="007A56B9"/>
    <w:rsid w:val="007A62CC"/>
    <w:rsid w:val="007A6569"/>
    <w:rsid w:val="007A66E6"/>
    <w:rsid w:val="007A66F9"/>
    <w:rsid w:val="007A6F7E"/>
    <w:rsid w:val="007A7127"/>
    <w:rsid w:val="007A72AE"/>
    <w:rsid w:val="007A774A"/>
    <w:rsid w:val="007A794C"/>
    <w:rsid w:val="007A7B2E"/>
    <w:rsid w:val="007A7DB8"/>
    <w:rsid w:val="007A7E12"/>
    <w:rsid w:val="007A7FD0"/>
    <w:rsid w:val="007B061E"/>
    <w:rsid w:val="007B12B0"/>
    <w:rsid w:val="007B1985"/>
    <w:rsid w:val="007B1BED"/>
    <w:rsid w:val="007B1C4E"/>
    <w:rsid w:val="007B2A7C"/>
    <w:rsid w:val="007B2B2F"/>
    <w:rsid w:val="007B31AF"/>
    <w:rsid w:val="007B34F1"/>
    <w:rsid w:val="007B3787"/>
    <w:rsid w:val="007B3806"/>
    <w:rsid w:val="007B3C8D"/>
    <w:rsid w:val="007B3D7A"/>
    <w:rsid w:val="007B3F38"/>
    <w:rsid w:val="007B451B"/>
    <w:rsid w:val="007B45E9"/>
    <w:rsid w:val="007B46B8"/>
    <w:rsid w:val="007B4B0A"/>
    <w:rsid w:val="007B4CEB"/>
    <w:rsid w:val="007B4D8B"/>
    <w:rsid w:val="007B4FDA"/>
    <w:rsid w:val="007B5564"/>
    <w:rsid w:val="007B5D8C"/>
    <w:rsid w:val="007B5E53"/>
    <w:rsid w:val="007B5F12"/>
    <w:rsid w:val="007B5F24"/>
    <w:rsid w:val="007B5F8B"/>
    <w:rsid w:val="007B633F"/>
    <w:rsid w:val="007B6570"/>
    <w:rsid w:val="007B66A2"/>
    <w:rsid w:val="007B716E"/>
    <w:rsid w:val="007B73A9"/>
    <w:rsid w:val="007C03CA"/>
    <w:rsid w:val="007C0511"/>
    <w:rsid w:val="007C0757"/>
    <w:rsid w:val="007C1047"/>
    <w:rsid w:val="007C10F6"/>
    <w:rsid w:val="007C191A"/>
    <w:rsid w:val="007C1F40"/>
    <w:rsid w:val="007C2087"/>
    <w:rsid w:val="007C27EB"/>
    <w:rsid w:val="007C28FD"/>
    <w:rsid w:val="007C29C6"/>
    <w:rsid w:val="007C2B9C"/>
    <w:rsid w:val="007C2D21"/>
    <w:rsid w:val="007C3DC1"/>
    <w:rsid w:val="007C43C7"/>
    <w:rsid w:val="007C4484"/>
    <w:rsid w:val="007C4517"/>
    <w:rsid w:val="007C478F"/>
    <w:rsid w:val="007C4942"/>
    <w:rsid w:val="007C4B50"/>
    <w:rsid w:val="007C4FEE"/>
    <w:rsid w:val="007C50AB"/>
    <w:rsid w:val="007C5466"/>
    <w:rsid w:val="007C5AD7"/>
    <w:rsid w:val="007C5BA0"/>
    <w:rsid w:val="007C5D7B"/>
    <w:rsid w:val="007C668E"/>
    <w:rsid w:val="007C6757"/>
    <w:rsid w:val="007C6A46"/>
    <w:rsid w:val="007C6D12"/>
    <w:rsid w:val="007C7211"/>
    <w:rsid w:val="007C7560"/>
    <w:rsid w:val="007C77D0"/>
    <w:rsid w:val="007C789C"/>
    <w:rsid w:val="007C7CA5"/>
    <w:rsid w:val="007C7D9A"/>
    <w:rsid w:val="007D00C7"/>
    <w:rsid w:val="007D0659"/>
    <w:rsid w:val="007D0890"/>
    <w:rsid w:val="007D1AFD"/>
    <w:rsid w:val="007D1B79"/>
    <w:rsid w:val="007D1BD3"/>
    <w:rsid w:val="007D1EA2"/>
    <w:rsid w:val="007D20B3"/>
    <w:rsid w:val="007D2362"/>
    <w:rsid w:val="007D2D65"/>
    <w:rsid w:val="007D2E8A"/>
    <w:rsid w:val="007D311F"/>
    <w:rsid w:val="007D3572"/>
    <w:rsid w:val="007D39E0"/>
    <w:rsid w:val="007D3BF1"/>
    <w:rsid w:val="007D409C"/>
    <w:rsid w:val="007D41B7"/>
    <w:rsid w:val="007D4317"/>
    <w:rsid w:val="007D457B"/>
    <w:rsid w:val="007D4709"/>
    <w:rsid w:val="007D4E3E"/>
    <w:rsid w:val="007D50E7"/>
    <w:rsid w:val="007D517A"/>
    <w:rsid w:val="007D5228"/>
    <w:rsid w:val="007D5544"/>
    <w:rsid w:val="007D5A6E"/>
    <w:rsid w:val="007D603B"/>
    <w:rsid w:val="007D6199"/>
    <w:rsid w:val="007D61BD"/>
    <w:rsid w:val="007D6538"/>
    <w:rsid w:val="007D678E"/>
    <w:rsid w:val="007D6B96"/>
    <w:rsid w:val="007D6ED1"/>
    <w:rsid w:val="007D7175"/>
    <w:rsid w:val="007D7290"/>
    <w:rsid w:val="007D72AE"/>
    <w:rsid w:val="007D7385"/>
    <w:rsid w:val="007D74D9"/>
    <w:rsid w:val="007D7EE4"/>
    <w:rsid w:val="007E04B6"/>
    <w:rsid w:val="007E04F3"/>
    <w:rsid w:val="007E09E0"/>
    <w:rsid w:val="007E0C02"/>
    <w:rsid w:val="007E0FB8"/>
    <w:rsid w:val="007E1082"/>
    <w:rsid w:val="007E10EF"/>
    <w:rsid w:val="007E13F0"/>
    <w:rsid w:val="007E1601"/>
    <w:rsid w:val="007E181D"/>
    <w:rsid w:val="007E1881"/>
    <w:rsid w:val="007E1926"/>
    <w:rsid w:val="007E1FAB"/>
    <w:rsid w:val="007E2208"/>
    <w:rsid w:val="007E24FD"/>
    <w:rsid w:val="007E3795"/>
    <w:rsid w:val="007E39E4"/>
    <w:rsid w:val="007E3C69"/>
    <w:rsid w:val="007E43BA"/>
    <w:rsid w:val="007E4D0C"/>
    <w:rsid w:val="007E4DB5"/>
    <w:rsid w:val="007E4EB3"/>
    <w:rsid w:val="007E553E"/>
    <w:rsid w:val="007E5555"/>
    <w:rsid w:val="007E5DF8"/>
    <w:rsid w:val="007E5E05"/>
    <w:rsid w:val="007E60C0"/>
    <w:rsid w:val="007E637F"/>
    <w:rsid w:val="007E6536"/>
    <w:rsid w:val="007E6598"/>
    <w:rsid w:val="007E6766"/>
    <w:rsid w:val="007E6844"/>
    <w:rsid w:val="007E691D"/>
    <w:rsid w:val="007E7173"/>
    <w:rsid w:val="007E7502"/>
    <w:rsid w:val="007E7A4A"/>
    <w:rsid w:val="007E7AD8"/>
    <w:rsid w:val="007E7DFA"/>
    <w:rsid w:val="007E7F06"/>
    <w:rsid w:val="007F01CB"/>
    <w:rsid w:val="007F0361"/>
    <w:rsid w:val="007F066F"/>
    <w:rsid w:val="007F101B"/>
    <w:rsid w:val="007F11ED"/>
    <w:rsid w:val="007F12D0"/>
    <w:rsid w:val="007F183C"/>
    <w:rsid w:val="007F1CC5"/>
    <w:rsid w:val="007F1F1C"/>
    <w:rsid w:val="007F2459"/>
    <w:rsid w:val="007F2697"/>
    <w:rsid w:val="007F2BDC"/>
    <w:rsid w:val="007F351D"/>
    <w:rsid w:val="007F36EA"/>
    <w:rsid w:val="007F3726"/>
    <w:rsid w:val="007F37BF"/>
    <w:rsid w:val="007F3A5F"/>
    <w:rsid w:val="007F3A75"/>
    <w:rsid w:val="007F4E59"/>
    <w:rsid w:val="007F5534"/>
    <w:rsid w:val="007F61F4"/>
    <w:rsid w:val="007F62B9"/>
    <w:rsid w:val="007F64D7"/>
    <w:rsid w:val="007F6731"/>
    <w:rsid w:val="007F6DF0"/>
    <w:rsid w:val="007F757F"/>
    <w:rsid w:val="007F76FB"/>
    <w:rsid w:val="007F78DA"/>
    <w:rsid w:val="007F7E5D"/>
    <w:rsid w:val="008001F6"/>
    <w:rsid w:val="0080024E"/>
    <w:rsid w:val="008002B3"/>
    <w:rsid w:val="00800555"/>
    <w:rsid w:val="0080090A"/>
    <w:rsid w:val="00800CC3"/>
    <w:rsid w:val="008011B7"/>
    <w:rsid w:val="008015E0"/>
    <w:rsid w:val="0080167C"/>
    <w:rsid w:val="008018D0"/>
    <w:rsid w:val="00801C16"/>
    <w:rsid w:val="00802594"/>
    <w:rsid w:val="0080294F"/>
    <w:rsid w:val="00802B8E"/>
    <w:rsid w:val="00802C90"/>
    <w:rsid w:val="00802D9E"/>
    <w:rsid w:val="00803581"/>
    <w:rsid w:val="00803A2D"/>
    <w:rsid w:val="00803AE7"/>
    <w:rsid w:val="00804191"/>
    <w:rsid w:val="00804790"/>
    <w:rsid w:val="00804854"/>
    <w:rsid w:val="00804B93"/>
    <w:rsid w:val="008052B6"/>
    <w:rsid w:val="00805681"/>
    <w:rsid w:val="008057B6"/>
    <w:rsid w:val="008057F0"/>
    <w:rsid w:val="00805B85"/>
    <w:rsid w:val="008060D6"/>
    <w:rsid w:val="00806741"/>
    <w:rsid w:val="00806A64"/>
    <w:rsid w:val="00806CB0"/>
    <w:rsid w:val="00806EEC"/>
    <w:rsid w:val="00806F66"/>
    <w:rsid w:val="008075F1"/>
    <w:rsid w:val="008076FB"/>
    <w:rsid w:val="00807AA6"/>
    <w:rsid w:val="00807ED0"/>
    <w:rsid w:val="0081098A"/>
    <w:rsid w:val="00810A82"/>
    <w:rsid w:val="00810D9E"/>
    <w:rsid w:val="00810F1E"/>
    <w:rsid w:val="00811749"/>
    <w:rsid w:val="00811AE4"/>
    <w:rsid w:val="00811FC6"/>
    <w:rsid w:val="00812398"/>
    <w:rsid w:val="00812E7B"/>
    <w:rsid w:val="008130E2"/>
    <w:rsid w:val="008131C0"/>
    <w:rsid w:val="008136FF"/>
    <w:rsid w:val="00814D3E"/>
    <w:rsid w:val="00814DD2"/>
    <w:rsid w:val="008157D1"/>
    <w:rsid w:val="00815883"/>
    <w:rsid w:val="00815A97"/>
    <w:rsid w:val="00815B57"/>
    <w:rsid w:val="00815FBA"/>
    <w:rsid w:val="008161F8"/>
    <w:rsid w:val="00816ABA"/>
    <w:rsid w:val="0081724C"/>
    <w:rsid w:val="008174FD"/>
    <w:rsid w:val="00817DD0"/>
    <w:rsid w:val="008200C3"/>
    <w:rsid w:val="00820611"/>
    <w:rsid w:val="00820837"/>
    <w:rsid w:val="00820A65"/>
    <w:rsid w:val="00820A7E"/>
    <w:rsid w:val="00820C72"/>
    <w:rsid w:val="00821081"/>
    <w:rsid w:val="008213EE"/>
    <w:rsid w:val="00821728"/>
    <w:rsid w:val="00821795"/>
    <w:rsid w:val="008217B5"/>
    <w:rsid w:val="00821D6D"/>
    <w:rsid w:val="00821E7D"/>
    <w:rsid w:val="008220B5"/>
    <w:rsid w:val="00822213"/>
    <w:rsid w:val="00822236"/>
    <w:rsid w:val="00822262"/>
    <w:rsid w:val="008222C4"/>
    <w:rsid w:val="0082275D"/>
    <w:rsid w:val="008230E6"/>
    <w:rsid w:val="00823464"/>
    <w:rsid w:val="00823A44"/>
    <w:rsid w:val="00823CF0"/>
    <w:rsid w:val="00823E1C"/>
    <w:rsid w:val="008240FC"/>
    <w:rsid w:val="00824177"/>
    <w:rsid w:val="008244CA"/>
    <w:rsid w:val="00824595"/>
    <w:rsid w:val="008247AC"/>
    <w:rsid w:val="00824B99"/>
    <w:rsid w:val="00824E68"/>
    <w:rsid w:val="00824EDB"/>
    <w:rsid w:val="00825153"/>
    <w:rsid w:val="00825308"/>
    <w:rsid w:val="008260BA"/>
    <w:rsid w:val="0082611F"/>
    <w:rsid w:val="008266E0"/>
    <w:rsid w:val="00826E1C"/>
    <w:rsid w:val="0082765F"/>
    <w:rsid w:val="00827B33"/>
    <w:rsid w:val="00827DD9"/>
    <w:rsid w:val="00827E76"/>
    <w:rsid w:val="00827F3E"/>
    <w:rsid w:val="00830455"/>
    <w:rsid w:val="00830B00"/>
    <w:rsid w:val="00830B9F"/>
    <w:rsid w:val="00830D29"/>
    <w:rsid w:val="00831386"/>
    <w:rsid w:val="008313D9"/>
    <w:rsid w:val="008316CD"/>
    <w:rsid w:val="008319A5"/>
    <w:rsid w:val="00831A49"/>
    <w:rsid w:val="00831BC2"/>
    <w:rsid w:val="00831CD2"/>
    <w:rsid w:val="00831CE1"/>
    <w:rsid w:val="00832165"/>
    <w:rsid w:val="008321B0"/>
    <w:rsid w:val="0083233A"/>
    <w:rsid w:val="0083279A"/>
    <w:rsid w:val="008328F0"/>
    <w:rsid w:val="00832D0C"/>
    <w:rsid w:val="00832EF1"/>
    <w:rsid w:val="00832F16"/>
    <w:rsid w:val="008330A5"/>
    <w:rsid w:val="008330B7"/>
    <w:rsid w:val="00833332"/>
    <w:rsid w:val="0083368B"/>
    <w:rsid w:val="00833EB9"/>
    <w:rsid w:val="00833ED7"/>
    <w:rsid w:val="00833FE3"/>
    <w:rsid w:val="00834BE6"/>
    <w:rsid w:val="0083535D"/>
    <w:rsid w:val="0083545D"/>
    <w:rsid w:val="00835BD2"/>
    <w:rsid w:val="008361A6"/>
    <w:rsid w:val="008365B8"/>
    <w:rsid w:val="0083678F"/>
    <w:rsid w:val="00836827"/>
    <w:rsid w:val="00836BA5"/>
    <w:rsid w:val="00836EE8"/>
    <w:rsid w:val="00836F43"/>
    <w:rsid w:val="008370AD"/>
    <w:rsid w:val="00837832"/>
    <w:rsid w:val="00837B54"/>
    <w:rsid w:val="00837CB0"/>
    <w:rsid w:val="0084013D"/>
    <w:rsid w:val="00840394"/>
    <w:rsid w:val="00840418"/>
    <w:rsid w:val="008404CF"/>
    <w:rsid w:val="008419FA"/>
    <w:rsid w:val="00841AB1"/>
    <w:rsid w:val="00841C8E"/>
    <w:rsid w:val="00841D4D"/>
    <w:rsid w:val="00841EC9"/>
    <w:rsid w:val="00842350"/>
    <w:rsid w:val="0084275B"/>
    <w:rsid w:val="008428E8"/>
    <w:rsid w:val="00842A0C"/>
    <w:rsid w:val="00842ADB"/>
    <w:rsid w:val="00842BB8"/>
    <w:rsid w:val="00842BC3"/>
    <w:rsid w:val="00842BDB"/>
    <w:rsid w:val="008439A3"/>
    <w:rsid w:val="00843CE1"/>
    <w:rsid w:val="00843FF9"/>
    <w:rsid w:val="008443C8"/>
    <w:rsid w:val="00844427"/>
    <w:rsid w:val="008446C1"/>
    <w:rsid w:val="00844E74"/>
    <w:rsid w:val="00845A98"/>
    <w:rsid w:val="00845AEA"/>
    <w:rsid w:val="00845BB6"/>
    <w:rsid w:val="00845C31"/>
    <w:rsid w:val="00845C64"/>
    <w:rsid w:val="00845F94"/>
    <w:rsid w:val="0084606F"/>
    <w:rsid w:val="00846147"/>
    <w:rsid w:val="0084615E"/>
    <w:rsid w:val="008464D7"/>
    <w:rsid w:val="00846C22"/>
    <w:rsid w:val="00846C47"/>
    <w:rsid w:val="008474AD"/>
    <w:rsid w:val="008475E7"/>
    <w:rsid w:val="00847A86"/>
    <w:rsid w:val="00847DC2"/>
    <w:rsid w:val="00847E12"/>
    <w:rsid w:val="00847EA6"/>
    <w:rsid w:val="008501E7"/>
    <w:rsid w:val="00850393"/>
    <w:rsid w:val="008510BC"/>
    <w:rsid w:val="008515FF"/>
    <w:rsid w:val="00851ABD"/>
    <w:rsid w:val="00851B86"/>
    <w:rsid w:val="00852023"/>
    <w:rsid w:val="00852057"/>
    <w:rsid w:val="008521E8"/>
    <w:rsid w:val="0085279A"/>
    <w:rsid w:val="008527D2"/>
    <w:rsid w:val="0085331C"/>
    <w:rsid w:val="008534FA"/>
    <w:rsid w:val="0085380D"/>
    <w:rsid w:val="00853A24"/>
    <w:rsid w:val="00853D97"/>
    <w:rsid w:val="00854042"/>
    <w:rsid w:val="00854084"/>
    <w:rsid w:val="008542DF"/>
    <w:rsid w:val="008544B3"/>
    <w:rsid w:val="00854E45"/>
    <w:rsid w:val="00855399"/>
    <w:rsid w:val="0085554B"/>
    <w:rsid w:val="00855566"/>
    <w:rsid w:val="008556EB"/>
    <w:rsid w:val="00855A90"/>
    <w:rsid w:val="00855B7B"/>
    <w:rsid w:val="00855DB3"/>
    <w:rsid w:val="008562F9"/>
    <w:rsid w:val="008563BC"/>
    <w:rsid w:val="008571A8"/>
    <w:rsid w:val="0085767D"/>
    <w:rsid w:val="008576BB"/>
    <w:rsid w:val="00857874"/>
    <w:rsid w:val="00857A04"/>
    <w:rsid w:val="008601E6"/>
    <w:rsid w:val="0086049D"/>
    <w:rsid w:val="008606A5"/>
    <w:rsid w:val="00860E1D"/>
    <w:rsid w:val="008610A6"/>
    <w:rsid w:val="00861267"/>
    <w:rsid w:val="0086148A"/>
    <w:rsid w:val="008619CD"/>
    <w:rsid w:val="00861BAF"/>
    <w:rsid w:val="0086241D"/>
    <w:rsid w:val="008625B7"/>
    <w:rsid w:val="00862E74"/>
    <w:rsid w:val="0086311F"/>
    <w:rsid w:val="00863289"/>
    <w:rsid w:val="00863C55"/>
    <w:rsid w:val="00863CD1"/>
    <w:rsid w:val="008643CC"/>
    <w:rsid w:val="00864681"/>
    <w:rsid w:val="00864985"/>
    <w:rsid w:val="00864E64"/>
    <w:rsid w:val="00864E69"/>
    <w:rsid w:val="00864F57"/>
    <w:rsid w:val="00865AD6"/>
    <w:rsid w:val="00865FD6"/>
    <w:rsid w:val="00866493"/>
    <w:rsid w:val="0086679D"/>
    <w:rsid w:val="00866B72"/>
    <w:rsid w:val="00866C71"/>
    <w:rsid w:val="00866EA5"/>
    <w:rsid w:val="00866FFB"/>
    <w:rsid w:val="008670BA"/>
    <w:rsid w:val="008673E5"/>
    <w:rsid w:val="0086793E"/>
    <w:rsid w:val="00867A35"/>
    <w:rsid w:val="00870235"/>
    <w:rsid w:val="00870279"/>
    <w:rsid w:val="00870321"/>
    <w:rsid w:val="00870570"/>
    <w:rsid w:val="00870A6F"/>
    <w:rsid w:val="00870B08"/>
    <w:rsid w:val="00870E34"/>
    <w:rsid w:val="008710E3"/>
    <w:rsid w:val="00871C72"/>
    <w:rsid w:val="008720DD"/>
    <w:rsid w:val="0087278F"/>
    <w:rsid w:val="00872A10"/>
    <w:rsid w:val="00873148"/>
    <w:rsid w:val="008735DB"/>
    <w:rsid w:val="00873686"/>
    <w:rsid w:val="0087372D"/>
    <w:rsid w:val="008737BA"/>
    <w:rsid w:val="00873F49"/>
    <w:rsid w:val="00874291"/>
    <w:rsid w:val="00874789"/>
    <w:rsid w:val="00874948"/>
    <w:rsid w:val="00874A22"/>
    <w:rsid w:val="00874F9C"/>
    <w:rsid w:val="00874FA5"/>
    <w:rsid w:val="00874FF3"/>
    <w:rsid w:val="008752A4"/>
    <w:rsid w:val="008755BE"/>
    <w:rsid w:val="008757CF"/>
    <w:rsid w:val="00875D0B"/>
    <w:rsid w:val="00875DB0"/>
    <w:rsid w:val="00875ECF"/>
    <w:rsid w:val="0087627B"/>
    <w:rsid w:val="00876683"/>
    <w:rsid w:val="008778A9"/>
    <w:rsid w:val="008778B8"/>
    <w:rsid w:val="00877A1F"/>
    <w:rsid w:val="0088020F"/>
    <w:rsid w:val="00880CEF"/>
    <w:rsid w:val="00880EF4"/>
    <w:rsid w:val="0088168F"/>
    <w:rsid w:val="008816C1"/>
    <w:rsid w:val="00882110"/>
    <w:rsid w:val="0088270C"/>
    <w:rsid w:val="00882DB9"/>
    <w:rsid w:val="00883155"/>
    <w:rsid w:val="008833C0"/>
    <w:rsid w:val="0088394E"/>
    <w:rsid w:val="00883BD7"/>
    <w:rsid w:val="00883EAC"/>
    <w:rsid w:val="00883F9A"/>
    <w:rsid w:val="00884112"/>
    <w:rsid w:val="008843B7"/>
    <w:rsid w:val="0088457D"/>
    <w:rsid w:val="00884791"/>
    <w:rsid w:val="008848F8"/>
    <w:rsid w:val="008849D8"/>
    <w:rsid w:val="00884AE2"/>
    <w:rsid w:val="00884CA3"/>
    <w:rsid w:val="00884ED7"/>
    <w:rsid w:val="0088517D"/>
    <w:rsid w:val="008851D4"/>
    <w:rsid w:val="008856DE"/>
    <w:rsid w:val="00885CD7"/>
    <w:rsid w:val="00885E1D"/>
    <w:rsid w:val="00886367"/>
    <w:rsid w:val="0088642A"/>
    <w:rsid w:val="00886D61"/>
    <w:rsid w:val="00887C39"/>
    <w:rsid w:val="00887C7C"/>
    <w:rsid w:val="00887C99"/>
    <w:rsid w:val="00887FC8"/>
    <w:rsid w:val="008900BC"/>
    <w:rsid w:val="008902FB"/>
    <w:rsid w:val="0089130B"/>
    <w:rsid w:val="008914AE"/>
    <w:rsid w:val="0089155D"/>
    <w:rsid w:val="008915B7"/>
    <w:rsid w:val="008917CC"/>
    <w:rsid w:val="00891D3E"/>
    <w:rsid w:val="0089250A"/>
    <w:rsid w:val="00892683"/>
    <w:rsid w:val="00892871"/>
    <w:rsid w:val="00892DDE"/>
    <w:rsid w:val="0089307E"/>
    <w:rsid w:val="00893362"/>
    <w:rsid w:val="0089383E"/>
    <w:rsid w:val="00893942"/>
    <w:rsid w:val="00893C6D"/>
    <w:rsid w:val="00893F5B"/>
    <w:rsid w:val="00894437"/>
    <w:rsid w:val="00894651"/>
    <w:rsid w:val="00894D20"/>
    <w:rsid w:val="00894EED"/>
    <w:rsid w:val="00895673"/>
    <w:rsid w:val="00895B6B"/>
    <w:rsid w:val="00895F5D"/>
    <w:rsid w:val="0089606F"/>
    <w:rsid w:val="008965B1"/>
    <w:rsid w:val="00896A02"/>
    <w:rsid w:val="00896B0F"/>
    <w:rsid w:val="00896CCE"/>
    <w:rsid w:val="008971DE"/>
    <w:rsid w:val="0089728D"/>
    <w:rsid w:val="008972BA"/>
    <w:rsid w:val="008974FE"/>
    <w:rsid w:val="00897E5C"/>
    <w:rsid w:val="008A070D"/>
    <w:rsid w:val="008A13CD"/>
    <w:rsid w:val="008A15D8"/>
    <w:rsid w:val="008A169B"/>
    <w:rsid w:val="008A16A0"/>
    <w:rsid w:val="008A1AD7"/>
    <w:rsid w:val="008A1B7D"/>
    <w:rsid w:val="008A1D07"/>
    <w:rsid w:val="008A234A"/>
    <w:rsid w:val="008A2407"/>
    <w:rsid w:val="008A25E7"/>
    <w:rsid w:val="008A2673"/>
    <w:rsid w:val="008A2749"/>
    <w:rsid w:val="008A286B"/>
    <w:rsid w:val="008A3169"/>
    <w:rsid w:val="008A331A"/>
    <w:rsid w:val="008A3735"/>
    <w:rsid w:val="008A3937"/>
    <w:rsid w:val="008A409E"/>
    <w:rsid w:val="008A415A"/>
    <w:rsid w:val="008A4497"/>
    <w:rsid w:val="008A496E"/>
    <w:rsid w:val="008A4B2A"/>
    <w:rsid w:val="008A5165"/>
    <w:rsid w:val="008A549E"/>
    <w:rsid w:val="008A5563"/>
    <w:rsid w:val="008A5ADF"/>
    <w:rsid w:val="008A5FF2"/>
    <w:rsid w:val="008A62D2"/>
    <w:rsid w:val="008A6310"/>
    <w:rsid w:val="008A63AE"/>
    <w:rsid w:val="008A67C1"/>
    <w:rsid w:val="008A70F8"/>
    <w:rsid w:val="008A7605"/>
    <w:rsid w:val="008A7B8A"/>
    <w:rsid w:val="008B09FC"/>
    <w:rsid w:val="008B0B4F"/>
    <w:rsid w:val="008B0FDE"/>
    <w:rsid w:val="008B1119"/>
    <w:rsid w:val="008B135A"/>
    <w:rsid w:val="008B148C"/>
    <w:rsid w:val="008B14AC"/>
    <w:rsid w:val="008B1544"/>
    <w:rsid w:val="008B1565"/>
    <w:rsid w:val="008B17BF"/>
    <w:rsid w:val="008B1830"/>
    <w:rsid w:val="008B1AED"/>
    <w:rsid w:val="008B1EB2"/>
    <w:rsid w:val="008B2026"/>
    <w:rsid w:val="008B205A"/>
    <w:rsid w:val="008B276E"/>
    <w:rsid w:val="008B284E"/>
    <w:rsid w:val="008B28D8"/>
    <w:rsid w:val="008B2A85"/>
    <w:rsid w:val="008B2E6F"/>
    <w:rsid w:val="008B2F0A"/>
    <w:rsid w:val="008B2FDE"/>
    <w:rsid w:val="008B31BD"/>
    <w:rsid w:val="008B3909"/>
    <w:rsid w:val="008B493B"/>
    <w:rsid w:val="008B4A54"/>
    <w:rsid w:val="008B4C04"/>
    <w:rsid w:val="008B4C25"/>
    <w:rsid w:val="008B4D45"/>
    <w:rsid w:val="008B5242"/>
    <w:rsid w:val="008B5648"/>
    <w:rsid w:val="008B5ADC"/>
    <w:rsid w:val="008B5B82"/>
    <w:rsid w:val="008B6C7A"/>
    <w:rsid w:val="008B6F4A"/>
    <w:rsid w:val="008B713B"/>
    <w:rsid w:val="008B78A2"/>
    <w:rsid w:val="008B7DD2"/>
    <w:rsid w:val="008B7F41"/>
    <w:rsid w:val="008B7F4E"/>
    <w:rsid w:val="008B7F9C"/>
    <w:rsid w:val="008C031A"/>
    <w:rsid w:val="008C03E0"/>
    <w:rsid w:val="008C1124"/>
    <w:rsid w:val="008C13CC"/>
    <w:rsid w:val="008C1757"/>
    <w:rsid w:val="008C1C0F"/>
    <w:rsid w:val="008C1DCB"/>
    <w:rsid w:val="008C1EBB"/>
    <w:rsid w:val="008C242C"/>
    <w:rsid w:val="008C246A"/>
    <w:rsid w:val="008C2470"/>
    <w:rsid w:val="008C26B8"/>
    <w:rsid w:val="008C2885"/>
    <w:rsid w:val="008C2946"/>
    <w:rsid w:val="008C2B2B"/>
    <w:rsid w:val="008C3134"/>
    <w:rsid w:val="008C31B3"/>
    <w:rsid w:val="008C3A4A"/>
    <w:rsid w:val="008C3DBC"/>
    <w:rsid w:val="008C3EDB"/>
    <w:rsid w:val="008C4165"/>
    <w:rsid w:val="008C41B4"/>
    <w:rsid w:val="008C42A4"/>
    <w:rsid w:val="008C42D8"/>
    <w:rsid w:val="008C4F9B"/>
    <w:rsid w:val="008C550F"/>
    <w:rsid w:val="008C5519"/>
    <w:rsid w:val="008C5727"/>
    <w:rsid w:val="008C57D2"/>
    <w:rsid w:val="008C5EFF"/>
    <w:rsid w:val="008C626E"/>
    <w:rsid w:val="008C6D2B"/>
    <w:rsid w:val="008C6E02"/>
    <w:rsid w:val="008C79ED"/>
    <w:rsid w:val="008C7BEA"/>
    <w:rsid w:val="008C7E1A"/>
    <w:rsid w:val="008D002B"/>
    <w:rsid w:val="008D03F5"/>
    <w:rsid w:val="008D04F1"/>
    <w:rsid w:val="008D07C8"/>
    <w:rsid w:val="008D090B"/>
    <w:rsid w:val="008D0BFF"/>
    <w:rsid w:val="008D0D72"/>
    <w:rsid w:val="008D11C2"/>
    <w:rsid w:val="008D1579"/>
    <w:rsid w:val="008D15ED"/>
    <w:rsid w:val="008D2398"/>
    <w:rsid w:val="008D29CF"/>
    <w:rsid w:val="008D2BEF"/>
    <w:rsid w:val="008D2C7F"/>
    <w:rsid w:val="008D2CDC"/>
    <w:rsid w:val="008D2D36"/>
    <w:rsid w:val="008D2D68"/>
    <w:rsid w:val="008D2D7D"/>
    <w:rsid w:val="008D323C"/>
    <w:rsid w:val="008D335D"/>
    <w:rsid w:val="008D337A"/>
    <w:rsid w:val="008D3393"/>
    <w:rsid w:val="008D3F63"/>
    <w:rsid w:val="008D3FF4"/>
    <w:rsid w:val="008D41DD"/>
    <w:rsid w:val="008D436E"/>
    <w:rsid w:val="008D438F"/>
    <w:rsid w:val="008D4CCB"/>
    <w:rsid w:val="008D50C1"/>
    <w:rsid w:val="008D519B"/>
    <w:rsid w:val="008D5593"/>
    <w:rsid w:val="008D5794"/>
    <w:rsid w:val="008D59C4"/>
    <w:rsid w:val="008D5B4C"/>
    <w:rsid w:val="008D63B6"/>
    <w:rsid w:val="008D6C7E"/>
    <w:rsid w:val="008D6DD1"/>
    <w:rsid w:val="008D7226"/>
    <w:rsid w:val="008D7881"/>
    <w:rsid w:val="008E009A"/>
    <w:rsid w:val="008E02A6"/>
    <w:rsid w:val="008E0938"/>
    <w:rsid w:val="008E0A80"/>
    <w:rsid w:val="008E0EA3"/>
    <w:rsid w:val="008E14BF"/>
    <w:rsid w:val="008E1778"/>
    <w:rsid w:val="008E17B8"/>
    <w:rsid w:val="008E1865"/>
    <w:rsid w:val="008E1AF7"/>
    <w:rsid w:val="008E1B68"/>
    <w:rsid w:val="008E1DBC"/>
    <w:rsid w:val="008E1E08"/>
    <w:rsid w:val="008E1EB5"/>
    <w:rsid w:val="008E2682"/>
    <w:rsid w:val="008E2706"/>
    <w:rsid w:val="008E302A"/>
    <w:rsid w:val="008E3876"/>
    <w:rsid w:val="008E39DA"/>
    <w:rsid w:val="008E417E"/>
    <w:rsid w:val="008E418E"/>
    <w:rsid w:val="008E41BE"/>
    <w:rsid w:val="008E47F8"/>
    <w:rsid w:val="008E4FB3"/>
    <w:rsid w:val="008E518C"/>
    <w:rsid w:val="008E53D1"/>
    <w:rsid w:val="008E5595"/>
    <w:rsid w:val="008E581D"/>
    <w:rsid w:val="008E59FE"/>
    <w:rsid w:val="008E5CDB"/>
    <w:rsid w:val="008E5F3A"/>
    <w:rsid w:val="008E6173"/>
    <w:rsid w:val="008E627A"/>
    <w:rsid w:val="008E6346"/>
    <w:rsid w:val="008E654A"/>
    <w:rsid w:val="008E6957"/>
    <w:rsid w:val="008E69FB"/>
    <w:rsid w:val="008E6CFC"/>
    <w:rsid w:val="008E7286"/>
    <w:rsid w:val="008E72A8"/>
    <w:rsid w:val="008F005A"/>
    <w:rsid w:val="008F03ED"/>
    <w:rsid w:val="008F062E"/>
    <w:rsid w:val="008F084C"/>
    <w:rsid w:val="008F0B37"/>
    <w:rsid w:val="008F0CD5"/>
    <w:rsid w:val="008F17FD"/>
    <w:rsid w:val="008F2A34"/>
    <w:rsid w:val="008F2CFA"/>
    <w:rsid w:val="008F3977"/>
    <w:rsid w:val="008F3ACA"/>
    <w:rsid w:val="008F3FB0"/>
    <w:rsid w:val="008F4101"/>
    <w:rsid w:val="008F4B2C"/>
    <w:rsid w:val="008F4E0D"/>
    <w:rsid w:val="008F591F"/>
    <w:rsid w:val="008F645E"/>
    <w:rsid w:val="008F71E1"/>
    <w:rsid w:val="008F7AD9"/>
    <w:rsid w:val="009005A1"/>
    <w:rsid w:val="009012F0"/>
    <w:rsid w:val="009017E3"/>
    <w:rsid w:val="00901842"/>
    <w:rsid w:val="009025F6"/>
    <w:rsid w:val="00902EAF"/>
    <w:rsid w:val="00902F6F"/>
    <w:rsid w:val="00903134"/>
    <w:rsid w:val="00903D7A"/>
    <w:rsid w:val="00903EA9"/>
    <w:rsid w:val="00904635"/>
    <w:rsid w:val="009048BB"/>
    <w:rsid w:val="00904D14"/>
    <w:rsid w:val="00904D5A"/>
    <w:rsid w:val="00904E45"/>
    <w:rsid w:val="00904F5B"/>
    <w:rsid w:val="00905381"/>
    <w:rsid w:val="009053B1"/>
    <w:rsid w:val="0090561D"/>
    <w:rsid w:val="00905B3B"/>
    <w:rsid w:val="00905E6A"/>
    <w:rsid w:val="00906047"/>
    <w:rsid w:val="00906673"/>
    <w:rsid w:val="0090676E"/>
    <w:rsid w:val="00906C4D"/>
    <w:rsid w:val="00907042"/>
    <w:rsid w:val="009071A9"/>
    <w:rsid w:val="009075AB"/>
    <w:rsid w:val="00907831"/>
    <w:rsid w:val="00907836"/>
    <w:rsid w:val="00907882"/>
    <w:rsid w:val="00910330"/>
    <w:rsid w:val="0091091F"/>
    <w:rsid w:val="00910B32"/>
    <w:rsid w:val="00910CCE"/>
    <w:rsid w:val="00910DF6"/>
    <w:rsid w:val="00910EED"/>
    <w:rsid w:val="00911794"/>
    <w:rsid w:val="00911D78"/>
    <w:rsid w:val="009120A1"/>
    <w:rsid w:val="009120AE"/>
    <w:rsid w:val="0091255D"/>
    <w:rsid w:val="009127CC"/>
    <w:rsid w:val="00912879"/>
    <w:rsid w:val="00912959"/>
    <w:rsid w:val="00912DCA"/>
    <w:rsid w:val="009130D0"/>
    <w:rsid w:val="00913134"/>
    <w:rsid w:val="0091355F"/>
    <w:rsid w:val="00913767"/>
    <w:rsid w:val="00913772"/>
    <w:rsid w:val="00913A12"/>
    <w:rsid w:val="0091412D"/>
    <w:rsid w:val="00914AFE"/>
    <w:rsid w:val="00914D9D"/>
    <w:rsid w:val="00914DB9"/>
    <w:rsid w:val="00914F87"/>
    <w:rsid w:val="009151F5"/>
    <w:rsid w:val="00915376"/>
    <w:rsid w:val="009158C4"/>
    <w:rsid w:val="00915A02"/>
    <w:rsid w:val="00915D97"/>
    <w:rsid w:val="00915E28"/>
    <w:rsid w:val="00915ED1"/>
    <w:rsid w:val="0091603A"/>
    <w:rsid w:val="00916177"/>
    <w:rsid w:val="009168B3"/>
    <w:rsid w:val="00916E31"/>
    <w:rsid w:val="00916E3E"/>
    <w:rsid w:val="00916FF6"/>
    <w:rsid w:val="00917550"/>
    <w:rsid w:val="009175D4"/>
    <w:rsid w:val="00917760"/>
    <w:rsid w:val="00917F0F"/>
    <w:rsid w:val="00917F8C"/>
    <w:rsid w:val="00920003"/>
    <w:rsid w:val="00920070"/>
    <w:rsid w:val="0092030C"/>
    <w:rsid w:val="00920511"/>
    <w:rsid w:val="009205FC"/>
    <w:rsid w:val="009208C0"/>
    <w:rsid w:val="00921685"/>
    <w:rsid w:val="009217BD"/>
    <w:rsid w:val="00921B87"/>
    <w:rsid w:val="00921B9D"/>
    <w:rsid w:val="00921E48"/>
    <w:rsid w:val="00922755"/>
    <w:rsid w:val="00922A68"/>
    <w:rsid w:val="00922A9C"/>
    <w:rsid w:val="00922D41"/>
    <w:rsid w:val="00922D9F"/>
    <w:rsid w:val="009230A5"/>
    <w:rsid w:val="00923297"/>
    <w:rsid w:val="0092340C"/>
    <w:rsid w:val="0092357C"/>
    <w:rsid w:val="00923905"/>
    <w:rsid w:val="00923CFD"/>
    <w:rsid w:val="00923FDF"/>
    <w:rsid w:val="00924643"/>
    <w:rsid w:val="0092468B"/>
    <w:rsid w:val="00924C49"/>
    <w:rsid w:val="009252C1"/>
    <w:rsid w:val="00925705"/>
    <w:rsid w:val="009257E1"/>
    <w:rsid w:val="0092588B"/>
    <w:rsid w:val="00925FF8"/>
    <w:rsid w:val="00926071"/>
    <w:rsid w:val="0092620A"/>
    <w:rsid w:val="00926271"/>
    <w:rsid w:val="00926B30"/>
    <w:rsid w:val="0092791B"/>
    <w:rsid w:val="00927C9A"/>
    <w:rsid w:val="00927EFC"/>
    <w:rsid w:val="00927F00"/>
    <w:rsid w:val="00927F99"/>
    <w:rsid w:val="00930463"/>
    <w:rsid w:val="00930542"/>
    <w:rsid w:val="00930A2E"/>
    <w:rsid w:val="00930A8A"/>
    <w:rsid w:val="00930BA3"/>
    <w:rsid w:val="009316C1"/>
    <w:rsid w:val="009318FD"/>
    <w:rsid w:val="00932169"/>
    <w:rsid w:val="009323AD"/>
    <w:rsid w:val="0093288A"/>
    <w:rsid w:val="00932A2F"/>
    <w:rsid w:val="00932F9D"/>
    <w:rsid w:val="0093338F"/>
    <w:rsid w:val="00933A1C"/>
    <w:rsid w:val="009340FD"/>
    <w:rsid w:val="0093410E"/>
    <w:rsid w:val="009347C6"/>
    <w:rsid w:val="00934889"/>
    <w:rsid w:val="00934B7B"/>
    <w:rsid w:val="00934D15"/>
    <w:rsid w:val="00934DD6"/>
    <w:rsid w:val="009350D5"/>
    <w:rsid w:val="00936255"/>
    <w:rsid w:val="00936272"/>
    <w:rsid w:val="00936F6C"/>
    <w:rsid w:val="00936FA9"/>
    <w:rsid w:val="00937311"/>
    <w:rsid w:val="00937317"/>
    <w:rsid w:val="00937A8E"/>
    <w:rsid w:val="00937E59"/>
    <w:rsid w:val="009400E2"/>
    <w:rsid w:val="00940BEB"/>
    <w:rsid w:val="00940C8A"/>
    <w:rsid w:val="0094106C"/>
    <w:rsid w:val="00941302"/>
    <w:rsid w:val="009415CE"/>
    <w:rsid w:val="00941AA8"/>
    <w:rsid w:val="00941F6E"/>
    <w:rsid w:val="00941F77"/>
    <w:rsid w:val="00942025"/>
    <w:rsid w:val="00942249"/>
    <w:rsid w:val="00942424"/>
    <w:rsid w:val="00942562"/>
    <w:rsid w:val="0094288C"/>
    <w:rsid w:val="00942895"/>
    <w:rsid w:val="00942D9F"/>
    <w:rsid w:val="00942DD2"/>
    <w:rsid w:val="00942DE6"/>
    <w:rsid w:val="00942E30"/>
    <w:rsid w:val="00942F3C"/>
    <w:rsid w:val="009435DD"/>
    <w:rsid w:val="00943A38"/>
    <w:rsid w:val="00943A97"/>
    <w:rsid w:val="00943D63"/>
    <w:rsid w:val="00943FE7"/>
    <w:rsid w:val="0094403D"/>
    <w:rsid w:val="00944642"/>
    <w:rsid w:val="009446AE"/>
    <w:rsid w:val="009447F1"/>
    <w:rsid w:val="00944818"/>
    <w:rsid w:val="00944CCA"/>
    <w:rsid w:val="00944D97"/>
    <w:rsid w:val="009452F1"/>
    <w:rsid w:val="009453C6"/>
    <w:rsid w:val="00945401"/>
    <w:rsid w:val="00945650"/>
    <w:rsid w:val="00945672"/>
    <w:rsid w:val="00945ADE"/>
    <w:rsid w:val="00945E45"/>
    <w:rsid w:val="00945EFF"/>
    <w:rsid w:val="00946506"/>
    <w:rsid w:val="0094650C"/>
    <w:rsid w:val="00946756"/>
    <w:rsid w:val="00946916"/>
    <w:rsid w:val="00946AE3"/>
    <w:rsid w:val="00946BB2"/>
    <w:rsid w:val="0094712B"/>
    <w:rsid w:val="00947846"/>
    <w:rsid w:val="009508C4"/>
    <w:rsid w:val="00950914"/>
    <w:rsid w:val="00950FC7"/>
    <w:rsid w:val="0095141E"/>
    <w:rsid w:val="00951741"/>
    <w:rsid w:val="009519F6"/>
    <w:rsid w:val="00951E21"/>
    <w:rsid w:val="00952D46"/>
    <w:rsid w:val="00952D75"/>
    <w:rsid w:val="00953416"/>
    <w:rsid w:val="00953D5E"/>
    <w:rsid w:val="00953E16"/>
    <w:rsid w:val="00954801"/>
    <w:rsid w:val="00954B57"/>
    <w:rsid w:val="00954B86"/>
    <w:rsid w:val="00954ED1"/>
    <w:rsid w:val="0095504F"/>
    <w:rsid w:val="009552F8"/>
    <w:rsid w:val="00955752"/>
    <w:rsid w:val="00955C36"/>
    <w:rsid w:val="00955D6B"/>
    <w:rsid w:val="00956461"/>
    <w:rsid w:val="00956CAF"/>
    <w:rsid w:val="00956E55"/>
    <w:rsid w:val="0095761A"/>
    <w:rsid w:val="0095766E"/>
    <w:rsid w:val="00957A99"/>
    <w:rsid w:val="00957B1D"/>
    <w:rsid w:val="009600F4"/>
    <w:rsid w:val="009602BD"/>
    <w:rsid w:val="009603C7"/>
    <w:rsid w:val="009608B9"/>
    <w:rsid w:val="009609F3"/>
    <w:rsid w:val="00960BEE"/>
    <w:rsid w:val="00960E8B"/>
    <w:rsid w:val="009612A3"/>
    <w:rsid w:val="009614D4"/>
    <w:rsid w:val="009615D3"/>
    <w:rsid w:val="00961B5A"/>
    <w:rsid w:val="00961B6E"/>
    <w:rsid w:val="00961CF8"/>
    <w:rsid w:val="00961DC4"/>
    <w:rsid w:val="00962033"/>
    <w:rsid w:val="009621A3"/>
    <w:rsid w:val="0096232F"/>
    <w:rsid w:val="009624A9"/>
    <w:rsid w:val="00962931"/>
    <w:rsid w:val="00962D22"/>
    <w:rsid w:val="00962F90"/>
    <w:rsid w:val="009630C9"/>
    <w:rsid w:val="009634BB"/>
    <w:rsid w:val="009638F0"/>
    <w:rsid w:val="00963959"/>
    <w:rsid w:val="00963C2A"/>
    <w:rsid w:val="00964203"/>
    <w:rsid w:val="00964283"/>
    <w:rsid w:val="009643E4"/>
    <w:rsid w:val="00964695"/>
    <w:rsid w:val="00964FE0"/>
    <w:rsid w:val="00965110"/>
    <w:rsid w:val="009654AC"/>
    <w:rsid w:val="009655C4"/>
    <w:rsid w:val="009658D3"/>
    <w:rsid w:val="00965C7E"/>
    <w:rsid w:val="009662CC"/>
    <w:rsid w:val="0096647C"/>
    <w:rsid w:val="00966F3C"/>
    <w:rsid w:val="00966FCE"/>
    <w:rsid w:val="00967310"/>
    <w:rsid w:val="009675E7"/>
    <w:rsid w:val="00967BCA"/>
    <w:rsid w:val="00967CF0"/>
    <w:rsid w:val="00967D57"/>
    <w:rsid w:val="00970061"/>
    <w:rsid w:val="00970138"/>
    <w:rsid w:val="009702CF"/>
    <w:rsid w:val="00970337"/>
    <w:rsid w:val="0097065E"/>
    <w:rsid w:val="00970710"/>
    <w:rsid w:val="00970C91"/>
    <w:rsid w:val="00970F2E"/>
    <w:rsid w:val="00971015"/>
    <w:rsid w:val="009712B6"/>
    <w:rsid w:val="009714FE"/>
    <w:rsid w:val="009715EB"/>
    <w:rsid w:val="00971CC1"/>
    <w:rsid w:val="00971ED0"/>
    <w:rsid w:val="00971EDC"/>
    <w:rsid w:val="0097202A"/>
    <w:rsid w:val="00972472"/>
    <w:rsid w:val="0097276B"/>
    <w:rsid w:val="009732A8"/>
    <w:rsid w:val="00973879"/>
    <w:rsid w:val="009739FF"/>
    <w:rsid w:val="00973EF0"/>
    <w:rsid w:val="009743BF"/>
    <w:rsid w:val="00974463"/>
    <w:rsid w:val="00974679"/>
    <w:rsid w:val="00974808"/>
    <w:rsid w:val="0097545F"/>
    <w:rsid w:val="00975539"/>
    <w:rsid w:val="00975A74"/>
    <w:rsid w:val="00975E0B"/>
    <w:rsid w:val="00975FB3"/>
    <w:rsid w:val="00976154"/>
    <w:rsid w:val="009761A8"/>
    <w:rsid w:val="009764C0"/>
    <w:rsid w:val="00976818"/>
    <w:rsid w:val="00976AC1"/>
    <w:rsid w:val="00976AF5"/>
    <w:rsid w:val="00976EF1"/>
    <w:rsid w:val="00977657"/>
    <w:rsid w:val="00977951"/>
    <w:rsid w:val="009779EC"/>
    <w:rsid w:val="00977C69"/>
    <w:rsid w:val="00977CA2"/>
    <w:rsid w:val="0098000F"/>
    <w:rsid w:val="009804CA"/>
    <w:rsid w:val="009806BA"/>
    <w:rsid w:val="00980736"/>
    <w:rsid w:val="00980A5B"/>
    <w:rsid w:val="00980D77"/>
    <w:rsid w:val="00980F86"/>
    <w:rsid w:val="00981159"/>
    <w:rsid w:val="009813E2"/>
    <w:rsid w:val="00981618"/>
    <w:rsid w:val="009819EF"/>
    <w:rsid w:val="00981F6C"/>
    <w:rsid w:val="0098246E"/>
    <w:rsid w:val="009826B6"/>
    <w:rsid w:val="00982A18"/>
    <w:rsid w:val="00982AE0"/>
    <w:rsid w:val="00982F64"/>
    <w:rsid w:val="00982FC2"/>
    <w:rsid w:val="009836BE"/>
    <w:rsid w:val="00983DF7"/>
    <w:rsid w:val="009841E6"/>
    <w:rsid w:val="00984536"/>
    <w:rsid w:val="009849B9"/>
    <w:rsid w:val="0098505B"/>
    <w:rsid w:val="009859F0"/>
    <w:rsid w:val="00986070"/>
    <w:rsid w:val="009860CE"/>
    <w:rsid w:val="009866E5"/>
    <w:rsid w:val="00986807"/>
    <w:rsid w:val="00986F16"/>
    <w:rsid w:val="009879EA"/>
    <w:rsid w:val="00987B0E"/>
    <w:rsid w:val="00987C88"/>
    <w:rsid w:val="00987CFF"/>
    <w:rsid w:val="0099011A"/>
    <w:rsid w:val="009904C9"/>
    <w:rsid w:val="00990D0D"/>
    <w:rsid w:val="00990E6C"/>
    <w:rsid w:val="009911A7"/>
    <w:rsid w:val="009911AD"/>
    <w:rsid w:val="0099120D"/>
    <w:rsid w:val="009917F6"/>
    <w:rsid w:val="00991833"/>
    <w:rsid w:val="00991903"/>
    <w:rsid w:val="00991E0C"/>
    <w:rsid w:val="0099257E"/>
    <w:rsid w:val="00992EF5"/>
    <w:rsid w:val="0099333B"/>
    <w:rsid w:val="009934A8"/>
    <w:rsid w:val="009937FA"/>
    <w:rsid w:val="00993A84"/>
    <w:rsid w:val="00993AEC"/>
    <w:rsid w:val="0099409E"/>
    <w:rsid w:val="009944A3"/>
    <w:rsid w:val="0099474C"/>
    <w:rsid w:val="0099475B"/>
    <w:rsid w:val="009947BB"/>
    <w:rsid w:val="00994C62"/>
    <w:rsid w:val="00994C78"/>
    <w:rsid w:val="0099501C"/>
    <w:rsid w:val="00995A74"/>
    <w:rsid w:val="00996B76"/>
    <w:rsid w:val="00996B9E"/>
    <w:rsid w:val="00996F39"/>
    <w:rsid w:val="009976C2"/>
    <w:rsid w:val="00997B99"/>
    <w:rsid w:val="009A006D"/>
    <w:rsid w:val="009A02C4"/>
    <w:rsid w:val="009A0E25"/>
    <w:rsid w:val="009A0E9E"/>
    <w:rsid w:val="009A1039"/>
    <w:rsid w:val="009A118E"/>
    <w:rsid w:val="009A11BB"/>
    <w:rsid w:val="009A1259"/>
    <w:rsid w:val="009A2479"/>
    <w:rsid w:val="009A2700"/>
    <w:rsid w:val="009A2C07"/>
    <w:rsid w:val="009A338F"/>
    <w:rsid w:val="009A33E5"/>
    <w:rsid w:val="009A34CD"/>
    <w:rsid w:val="009A37DC"/>
    <w:rsid w:val="009A3C64"/>
    <w:rsid w:val="009A3CD2"/>
    <w:rsid w:val="009A3D17"/>
    <w:rsid w:val="009A3DCF"/>
    <w:rsid w:val="009A4260"/>
    <w:rsid w:val="009A4403"/>
    <w:rsid w:val="009A49F0"/>
    <w:rsid w:val="009A5352"/>
    <w:rsid w:val="009A53FB"/>
    <w:rsid w:val="009A5960"/>
    <w:rsid w:val="009A5E94"/>
    <w:rsid w:val="009A6157"/>
    <w:rsid w:val="009A631B"/>
    <w:rsid w:val="009A648A"/>
    <w:rsid w:val="009A67B4"/>
    <w:rsid w:val="009A69F3"/>
    <w:rsid w:val="009A7069"/>
    <w:rsid w:val="009B07EF"/>
    <w:rsid w:val="009B0E61"/>
    <w:rsid w:val="009B138D"/>
    <w:rsid w:val="009B1D00"/>
    <w:rsid w:val="009B285B"/>
    <w:rsid w:val="009B292A"/>
    <w:rsid w:val="009B2C14"/>
    <w:rsid w:val="009B2C40"/>
    <w:rsid w:val="009B2ED3"/>
    <w:rsid w:val="009B2FFD"/>
    <w:rsid w:val="009B31C7"/>
    <w:rsid w:val="009B340A"/>
    <w:rsid w:val="009B382E"/>
    <w:rsid w:val="009B3B3A"/>
    <w:rsid w:val="009B3E7C"/>
    <w:rsid w:val="009B3F73"/>
    <w:rsid w:val="009B4538"/>
    <w:rsid w:val="009B5107"/>
    <w:rsid w:val="009B5BFE"/>
    <w:rsid w:val="009B61C1"/>
    <w:rsid w:val="009B6297"/>
    <w:rsid w:val="009B6422"/>
    <w:rsid w:val="009B71C4"/>
    <w:rsid w:val="009B731C"/>
    <w:rsid w:val="009B7CC2"/>
    <w:rsid w:val="009C0226"/>
    <w:rsid w:val="009C0272"/>
    <w:rsid w:val="009C03AE"/>
    <w:rsid w:val="009C0BB9"/>
    <w:rsid w:val="009C1942"/>
    <w:rsid w:val="009C1C9A"/>
    <w:rsid w:val="009C1FEF"/>
    <w:rsid w:val="009C238F"/>
    <w:rsid w:val="009C241A"/>
    <w:rsid w:val="009C26D6"/>
    <w:rsid w:val="009C318B"/>
    <w:rsid w:val="009C38D9"/>
    <w:rsid w:val="009C3989"/>
    <w:rsid w:val="009C4047"/>
    <w:rsid w:val="009C4279"/>
    <w:rsid w:val="009C4726"/>
    <w:rsid w:val="009C4BAB"/>
    <w:rsid w:val="009C4D03"/>
    <w:rsid w:val="009C55F3"/>
    <w:rsid w:val="009C5612"/>
    <w:rsid w:val="009C5827"/>
    <w:rsid w:val="009C59B8"/>
    <w:rsid w:val="009C5E61"/>
    <w:rsid w:val="009C63E7"/>
    <w:rsid w:val="009C6D8E"/>
    <w:rsid w:val="009C70F9"/>
    <w:rsid w:val="009C735D"/>
    <w:rsid w:val="009C76E8"/>
    <w:rsid w:val="009C7B82"/>
    <w:rsid w:val="009C7FA5"/>
    <w:rsid w:val="009D0449"/>
    <w:rsid w:val="009D04B3"/>
    <w:rsid w:val="009D0C40"/>
    <w:rsid w:val="009D0DD1"/>
    <w:rsid w:val="009D0ED6"/>
    <w:rsid w:val="009D10C1"/>
    <w:rsid w:val="009D159E"/>
    <w:rsid w:val="009D1C3C"/>
    <w:rsid w:val="009D1D3A"/>
    <w:rsid w:val="009D21BB"/>
    <w:rsid w:val="009D288C"/>
    <w:rsid w:val="009D28FC"/>
    <w:rsid w:val="009D2E6F"/>
    <w:rsid w:val="009D35CC"/>
    <w:rsid w:val="009D369A"/>
    <w:rsid w:val="009D3BE8"/>
    <w:rsid w:val="009D3D4E"/>
    <w:rsid w:val="009D3FDE"/>
    <w:rsid w:val="009D400B"/>
    <w:rsid w:val="009D4577"/>
    <w:rsid w:val="009D4D20"/>
    <w:rsid w:val="009D54CA"/>
    <w:rsid w:val="009D56F1"/>
    <w:rsid w:val="009D5B55"/>
    <w:rsid w:val="009D5C79"/>
    <w:rsid w:val="009D5C9D"/>
    <w:rsid w:val="009D5CA6"/>
    <w:rsid w:val="009D5ED1"/>
    <w:rsid w:val="009D6004"/>
    <w:rsid w:val="009D63BD"/>
    <w:rsid w:val="009D6E37"/>
    <w:rsid w:val="009D730B"/>
    <w:rsid w:val="009D73B6"/>
    <w:rsid w:val="009D7B50"/>
    <w:rsid w:val="009D7B90"/>
    <w:rsid w:val="009D7DF7"/>
    <w:rsid w:val="009D7EA6"/>
    <w:rsid w:val="009D7F4A"/>
    <w:rsid w:val="009E062A"/>
    <w:rsid w:val="009E0B1C"/>
    <w:rsid w:val="009E0BEE"/>
    <w:rsid w:val="009E0C58"/>
    <w:rsid w:val="009E12C0"/>
    <w:rsid w:val="009E145A"/>
    <w:rsid w:val="009E1490"/>
    <w:rsid w:val="009E14CB"/>
    <w:rsid w:val="009E193F"/>
    <w:rsid w:val="009E1D2C"/>
    <w:rsid w:val="009E2807"/>
    <w:rsid w:val="009E2841"/>
    <w:rsid w:val="009E2C53"/>
    <w:rsid w:val="009E2C8C"/>
    <w:rsid w:val="009E3532"/>
    <w:rsid w:val="009E36AE"/>
    <w:rsid w:val="009E394B"/>
    <w:rsid w:val="009E3E22"/>
    <w:rsid w:val="009E40B9"/>
    <w:rsid w:val="009E419C"/>
    <w:rsid w:val="009E494F"/>
    <w:rsid w:val="009E4BCB"/>
    <w:rsid w:val="009E5635"/>
    <w:rsid w:val="009E5671"/>
    <w:rsid w:val="009E5783"/>
    <w:rsid w:val="009E598D"/>
    <w:rsid w:val="009E5A68"/>
    <w:rsid w:val="009E5AB9"/>
    <w:rsid w:val="009E5C25"/>
    <w:rsid w:val="009E6041"/>
    <w:rsid w:val="009E6661"/>
    <w:rsid w:val="009E66D4"/>
    <w:rsid w:val="009E6704"/>
    <w:rsid w:val="009E6A61"/>
    <w:rsid w:val="009E6AFD"/>
    <w:rsid w:val="009E6DC3"/>
    <w:rsid w:val="009E6F10"/>
    <w:rsid w:val="009E7374"/>
    <w:rsid w:val="009E751F"/>
    <w:rsid w:val="009E77B5"/>
    <w:rsid w:val="009E782A"/>
    <w:rsid w:val="009E7D7E"/>
    <w:rsid w:val="009F03C6"/>
    <w:rsid w:val="009F0775"/>
    <w:rsid w:val="009F0FB2"/>
    <w:rsid w:val="009F1478"/>
    <w:rsid w:val="009F17C6"/>
    <w:rsid w:val="009F22FA"/>
    <w:rsid w:val="009F2C79"/>
    <w:rsid w:val="009F3450"/>
    <w:rsid w:val="009F34F8"/>
    <w:rsid w:val="009F3787"/>
    <w:rsid w:val="009F3C04"/>
    <w:rsid w:val="009F3D1A"/>
    <w:rsid w:val="009F405C"/>
    <w:rsid w:val="009F40CB"/>
    <w:rsid w:val="009F4578"/>
    <w:rsid w:val="009F46AD"/>
    <w:rsid w:val="009F4F1E"/>
    <w:rsid w:val="009F5446"/>
    <w:rsid w:val="009F5AE0"/>
    <w:rsid w:val="009F5C5B"/>
    <w:rsid w:val="009F5D99"/>
    <w:rsid w:val="009F5E5C"/>
    <w:rsid w:val="009F608D"/>
    <w:rsid w:val="009F60B3"/>
    <w:rsid w:val="009F6159"/>
    <w:rsid w:val="009F63B0"/>
    <w:rsid w:val="009F695E"/>
    <w:rsid w:val="009F6AFD"/>
    <w:rsid w:val="009F74EE"/>
    <w:rsid w:val="009F7A15"/>
    <w:rsid w:val="009F7D19"/>
    <w:rsid w:val="009F7E60"/>
    <w:rsid w:val="00A003F8"/>
    <w:rsid w:val="00A0058D"/>
    <w:rsid w:val="00A00FBC"/>
    <w:rsid w:val="00A01325"/>
    <w:rsid w:val="00A01798"/>
    <w:rsid w:val="00A0189E"/>
    <w:rsid w:val="00A01C45"/>
    <w:rsid w:val="00A01DC8"/>
    <w:rsid w:val="00A01E53"/>
    <w:rsid w:val="00A0205F"/>
    <w:rsid w:val="00A0254E"/>
    <w:rsid w:val="00A029F4"/>
    <w:rsid w:val="00A02BB9"/>
    <w:rsid w:val="00A02D57"/>
    <w:rsid w:val="00A02DCF"/>
    <w:rsid w:val="00A02F82"/>
    <w:rsid w:val="00A031BE"/>
    <w:rsid w:val="00A03771"/>
    <w:rsid w:val="00A039C4"/>
    <w:rsid w:val="00A03C6A"/>
    <w:rsid w:val="00A03DB2"/>
    <w:rsid w:val="00A03F37"/>
    <w:rsid w:val="00A04468"/>
    <w:rsid w:val="00A0462E"/>
    <w:rsid w:val="00A048F9"/>
    <w:rsid w:val="00A04C3D"/>
    <w:rsid w:val="00A051F2"/>
    <w:rsid w:val="00A0532B"/>
    <w:rsid w:val="00A05690"/>
    <w:rsid w:val="00A05768"/>
    <w:rsid w:val="00A05AA6"/>
    <w:rsid w:val="00A05CFE"/>
    <w:rsid w:val="00A05D8E"/>
    <w:rsid w:val="00A06969"/>
    <w:rsid w:val="00A06B7D"/>
    <w:rsid w:val="00A06F09"/>
    <w:rsid w:val="00A071A4"/>
    <w:rsid w:val="00A07459"/>
    <w:rsid w:val="00A07761"/>
    <w:rsid w:val="00A078CE"/>
    <w:rsid w:val="00A07A65"/>
    <w:rsid w:val="00A07AB4"/>
    <w:rsid w:val="00A100A3"/>
    <w:rsid w:val="00A103AD"/>
    <w:rsid w:val="00A1045C"/>
    <w:rsid w:val="00A104E9"/>
    <w:rsid w:val="00A10752"/>
    <w:rsid w:val="00A11E59"/>
    <w:rsid w:val="00A121BE"/>
    <w:rsid w:val="00A121D6"/>
    <w:rsid w:val="00A1269C"/>
    <w:rsid w:val="00A12B2E"/>
    <w:rsid w:val="00A12E59"/>
    <w:rsid w:val="00A12FC2"/>
    <w:rsid w:val="00A12FD0"/>
    <w:rsid w:val="00A13567"/>
    <w:rsid w:val="00A1366A"/>
    <w:rsid w:val="00A136E1"/>
    <w:rsid w:val="00A1383C"/>
    <w:rsid w:val="00A13A77"/>
    <w:rsid w:val="00A13EA2"/>
    <w:rsid w:val="00A143BA"/>
    <w:rsid w:val="00A1463E"/>
    <w:rsid w:val="00A14A32"/>
    <w:rsid w:val="00A14BE7"/>
    <w:rsid w:val="00A15004"/>
    <w:rsid w:val="00A15764"/>
    <w:rsid w:val="00A15795"/>
    <w:rsid w:val="00A157A9"/>
    <w:rsid w:val="00A15889"/>
    <w:rsid w:val="00A158ED"/>
    <w:rsid w:val="00A15954"/>
    <w:rsid w:val="00A15B92"/>
    <w:rsid w:val="00A15E1D"/>
    <w:rsid w:val="00A15E98"/>
    <w:rsid w:val="00A16035"/>
    <w:rsid w:val="00A16197"/>
    <w:rsid w:val="00A16C22"/>
    <w:rsid w:val="00A16E52"/>
    <w:rsid w:val="00A16F62"/>
    <w:rsid w:val="00A16FC7"/>
    <w:rsid w:val="00A1710E"/>
    <w:rsid w:val="00A172DB"/>
    <w:rsid w:val="00A173B4"/>
    <w:rsid w:val="00A202A8"/>
    <w:rsid w:val="00A2051D"/>
    <w:rsid w:val="00A206B9"/>
    <w:rsid w:val="00A20720"/>
    <w:rsid w:val="00A207DF"/>
    <w:rsid w:val="00A20820"/>
    <w:rsid w:val="00A2088B"/>
    <w:rsid w:val="00A20DCD"/>
    <w:rsid w:val="00A20FA9"/>
    <w:rsid w:val="00A21196"/>
    <w:rsid w:val="00A212CE"/>
    <w:rsid w:val="00A214DC"/>
    <w:rsid w:val="00A21980"/>
    <w:rsid w:val="00A21CBB"/>
    <w:rsid w:val="00A2204F"/>
    <w:rsid w:val="00A221CB"/>
    <w:rsid w:val="00A223D9"/>
    <w:rsid w:val="00A22C74"/>
    <w:rsid w:val="00A23026"/>
    <w:rsid w:val="00A23109"/>
    <w:rsid w:val="00A2356C"/>
    <w:rsid w:val="00A23797"/>
    <w:rsid w:val="00A23827"/>
    <w:rsid w:val="00A23A04"/>
    <w:rsid w:val="00A23E1A"/>
    <w:rsid w:val="00A23E4C"/>
    <w:rsid w:val="00A24939"/>
    <w:rsid w:val="00A24DEE"/>
    <w:rsid w:val="00A25235"/>
    <w:rsid w:val="00A253FE"/>
    <w:rsid w:val="00A255B7"/>
    <w:rsid w:val="00A257D9"/>
    <w:rsid w:val="00A2607F"/>
    <w:rsid w:val="00A272ED"/>
    <w:rsid w:val="00A27394"/>
    <w:rsid w:val="00A27548"/>
    <w:rsid w:val="00A279E6"/>
    <w:rsid w:val="00A27B55"/>
    <w:rsid w:val="00A27E34"/>
    <w:rsid w:val="00A27EF4"/>
    <w:rsid w:val="00A27F2D"/>
    <w:rsid w:val="00A30254"/>
    <w:rsid w:val="00A305C4"/>
    <w:rsid w:val="00A306A3"/>
    <w:rsid w:val="00A3082C"/>
    <w:rsid w:val="00A30836"/>
    <w:rsid w:val="00A3084E"/>
    <w:rsid w:val="00A30921"/>
    <w:rsid w:val="00A30D74"/>
    <w:rsid w:val="00A30E1D"/>
    <w:rsid w:val="00A31C9A"/>
    <w:rsid w:val="00A31EB5"/>
    <w:rsid w:val="00A31F21"/>
    <w:rsid w:val="00A32BF0"/>
    <w:rsid w:val="00A32CD5"/>
    <w:rsid w:val="00A32E63"/>
    <w:rsid w:val="00A33100"/>
    <w:rsid w:val="00A33297"/>
    <w:rsid w:val="00A3339D"/>
    <w:rsid w:val="00A333FD"/>
    <w:rsid w:val="00A33957"/>
    <w:rsid w:val="00A34493"/>
    <w:rsid w:val="00A3485D"/>
    <w:rsid w:val="00A348B6"/>
    <w:rsid w:val="00A34E2F"/>
    <w:rsid w:val="00A353FA"/>
    <w:rsid w:val="00A35E96"/>
    <w:rsid w:val="00A36382"/>
    <w:rsid w:val="00A368FD"/>
    <w:rsid w:val="00A36CFC"/>
    <w:rsid w:val="00A37251"/>
    <w:rsid w:val="00A37396"/>
    <w:rsid w:val="00A376C1"/>
    <w:rsid w:val="00A37806"/>
    <w:rsid w:val="00A37C5E"/>
    <w:rsid w:val="00A37DC9"/>
    <w:rsid w:val="00A37FA9"/>
    <w:rsid w:val="00A41358"/>
    <w:rsid w:val="00A41657"/>
    <w:rsid w:val="00A41C0B"/>
    <w:rsid w:val="00A41EC1"/>
    <w:rsid w:val="00A41F2F"/>
    <w:rsid w:val="00A4256A"/>
    <w:rsid w:val="00A42931"/>
    <w:rsid w:val="00A42EBA"/>
    <w:rsid w:val="00A43430"/>
    <w:rsid w:val="00A43BD9"/>
    <w:rsid w:val="00A43CF4"/>
    <w:rsid w:val="00A440D0"/>
    <w:rsid w:val="00A443F2"/>
    <w:rsid w:val="00A44745"/>
    <w:rsid w:val="00A452FB"/>
    <w:rsid w:val="00A453E7"/>
    <w:rsid w:val="00A456FD"/>
    <w:rsid w:val="00A45AD6"/>
    <w:rsid w:val="00A46613"/>
    <w:rsid w:val="00A46704"/>
    <w:rsid w:val="00A46824"/>
    <w:rsid w:val="00A46A78"/>
    <w:rsid w:val="00A47238"/>
    <w:rsid w:val="00A47971"/>
    <w:rsid w:val="00A47BE1"/>
    <w:rsid w:val="00A47F81"/>
    <w:rsid w:val="00A5006A"/>
    <w:rsid w:val="00A502E0"/>
    <w:rsid w:val="00A50407"/>
    <w:rsid w:val="00A50A07"/>
    <w:rsid w:val="00A51628"/>
    <w:rsid w:val="00A5196D"/>
    <w:rsid w:val="00A51977"/>
    <w:rsid w:val="00A51BCF"/>
    <w:rsid w:val="00A51DC7"/>
    <w:rsid w:val="00A52069"/>
    <w:rsid w:val="00A520C9"/>
    <w:rsid w:val="00A522A4"/>
    <w:rsid w:val="00A529FE"/>
    <w:rsid w:val="00A52DBB"/>
    <w:rsid w:val="00A5370C"/>
    <w:rsid w:val="00A53F35"/>
    <w:rsid w:val="00A5427C"/>
    <w:rsid w:val="00A542CA"/>
    <w:rsid w:val="00A54CC7"/>
    <w:rsid w:val="00A55351"/>
    <w:rsid w:val="00A5600A"/>
    <w:rsid w:val="00A56322"/>
    <w:rsid w:val="00A5696E"/>
    <w:rsid w:val="00A56B85"/>
    <w:rsid w:val="00A56B91"/>
    <w:rsid w:val="00A57097"/>
    <w:rsid w:val="00A57908"/>
    <w:rsid w:val="00A57B70"/>
    <w:rsid w:val="00A57CD5"/>
    <w:rsid w:val="00A57F6F"/>
    <w:rsid w:val="00A60598"/>
    <w:rsid w:val="00A60825"/>
    <w:rsid w:val="00A60D2C"/>
    <w:rsid w:val="00A6117A"/>
    <w:rsid w:val="00A61470"/>
    <w:rsid w:val="00A615F6"/>
    <w:rsid w:val="00A6188F"/>
    <w:rsid w:val="00A618CC"/>
    <w:rsid w:val="00A61B8E"/>
    <w:rsid w:val="00A62230"/>
    <w:rsid w:val="00A622EE"/>
    <w:rsid w:val="00A625B3"/>
    <w:rsid w:val="00A6277C"/>
    <w:rsid w:val="00A62A81"/>
    <w:rsid w:val="00A62CC4"/>
    <w:rsid w:val="00A62EAB"/>
    <w:rsid w:val="00A62EB4"/>
    <w:rsid w:val="00A6341C"/>
    <w:rsid w:val="00A63546"/>
    <w:rsid w:val="00A6362D"/>
    <w:rsid w:val="00A636F8"/>
    <w:rsid w:val="00A63882"/>
    <w:rsid w:val="00A64022"/>
    <w:rsid w:val="00A64720"/>
    <w:rsid w:val="00A6506B"/>
    <w:rsid w:val="00A65254"/>
    <w:rsid w:val="00A653D0"/>
    <w:rsid w:val="00A654D4"/>
    <w:rsid w:val="00A65B8C"/>
    <w:rsid w:val="00A6602C"/>
    <w:rsid w:val="00A662D2"/>
    <w:rsid w:val="00A665E2"/>
    <w:rsid w:val="00A66F01"/>
    <w:rsid w:val="00A6709A"/>
    <w:rsid w:val="00A672A2"/>
    <w:rsid w:val="00A67909"/>
    <w:rsid w:val="00A67A38"/>
    <w:rsid w:val="00A67D7C"/>
    <w:rsid w:val="00A67F03"/>
    <w:rsid w:val="00A70457"/>
    <w:rsid w:val="00A709B5"/>
    <w:rsid w:val="00A710E9"/>
    <w:rsid w:val="00A71211"/>
    <w:rsid w:val="00A714FD"/>
    <w:rsid w:val="00A71576"/>
    <w:rsid w:val="00A715BE"/>
    <w:rsid w:val="00A7185B"/>
    <w:rsid w:val="00A71E6E"/>
    <w:rsid w:val="00A726C4"/>
    <w:rsid w:val="00A72770"/>
    <w:rsid w:val="00A72D39"/>
    <w:rsid w:val="00A72E3B"/>
    <w:rsid w:val="00A73AFB"/>
    <w:rsid w:val="00A73DDD"/>
    <w:rsid w:val="00A740CA"/>
    <w:rsid w:val="00A744AF"/>
    <w:rsid w:val="00A74A06"/>
    <w:rsid w:val="00A753D1"/>
    <w:rsid w:val="00A755A7"/>
    <w:rsid w:val="00A757CC"/>
    <w:rsid w:val="00A759CD"/>
    <w:rsid w:val="00A75C50"/>
    <w:rsid w:val="00A75C83"/>
    <w:rsid w:val="00A75F87"/>
    <w:rsid w:val="00A760DD"/>
    <w:rsid w:val="00A767C1"/>
    <w:rsid w:val="00A770B4"/>
    <w:rsid w:val="00A77521"/>
    <w:rsid w:val="00A77664"/>
    <w:rsid w:val="00A778E0"/>
    <w:rsid w:val="00A77C1A"/>
    <w:rsid w:val="00A77D25"/>
    <w:rsid w:val="00A77F11"/>
    <w:rsid w:val="00A803D3"/>
    <w:rsid w:val="00A8041F"/>
    <w:rsid w:val="00A8061D"/>
    <w:rsid w:val="00A81141"/>
    <w:rsid w:val="00A81367"/>
    <w:rsid w:val="00A81466"/>
    <w:rsid w:val="00A81726"/>
    <w:rsid w:val="00A818FA"/>
    <w:rsid w:val="00A81B65"/>
    <w:rsid w:val="00A81B90"/>
    <w:rsid w:val="00A823FA"/>
    <w:rsid w:val="00A8263D"/>
    <w:rsid w:val="00A82723"/>
    <w:rsid w:val="00A82BB0"/>
    <w:rsid w:val="00A82C1D"/>
    <w:rsid w:val="00A82CA0"/>
    <w:rsid w:val="00A83292"/>
    <w:rsid w:val="00A83EAC"/>
    <w:rsid w:val="00A8444A"/>
    <w:rsid w:val="00A8483D"/>
    <w:rsid w:val="00A848C5"/>
    <w:rsid w:val="00A84A80"/>
    <w:rsid w:val="00A84D65"/>
    <w:rsid w:val="00A84D8D"/>
    <w:rsid w:val="00A84DBB"/>
    <w:rsid w:val="00A84F5E"/>
    <w:rsid w:val="00A855B9"/>
    <w:rsid w:val="00A858E9"/>
    <w:rsid w:val="00A85A7A"/>
    <w:rsid w:val="00A861A7"/>
    <w:rsid w:val="00A866DF"/>
    <w:rsid w:val="00A868F2"/>
    <w:rsid w:val="00A870AA"/>
    <w:rsid w:val="00A87598"/>
    <w:rsid w:val="00A878BC"/>
    <w:rsid w:val="00A87F2A"/>
    <w:rsid w:val="00A87FB4"/>
    <w:rsid w:val="00A9013A"/>
    <w:rsid w:val="00A90293"/>
    <w:rsid w:val="00A908D9"/>
    <w:rsid w:val="00A90A2B"/>
    <w:rsid w:val="00A90CC3"/>
    <w:rsid w:val="00A90CC6"/>
    <w:rsid w:val="00A916F2"/>
    <w:rsid w:val="00A9192F"/>
    <w:rsid w:val="00A91AB7"/>
    <w:rsid w:val="00A91DF9"/>
    <w:rsid w:val="00A92051"/>
    <w:rsid w:val="00A9228E"/>
    <w:rsid w:val="00A9282D"/>
    <w:rsid w:val="00A92C96"/>
    <w:rsid w:val="00A92F35"/>
    <w:rsid w:val="00A9321C"/>
    <w:rsid w:val="00A93294"/>
    <w:rsid w:val="00A9376D"/>
    <w:rsid w:val="00A9376F"/>
    <w:rsid w:val="00A937C2"/>
    <w:rsid w:val="00A93BD4"/>
    <w:rsid w:val="00A93C3E"/>
    <w:rsid w:val="00A94296"/>
    <w:rsid w:val="00A945C6"/>
    <w:rsid w:val="00A9593E"/>
    <w:rsid w:val="00A95C5F"/>
    <w:rsid w:val="00A95E98"/>
    <w:rsid w:val="00A96372"/>
    <w:rsid w:val="00A964CB"/>
    <w:rsid w:val="00A964D0"/>
    <w:rsid w:val="00A96581"/>
    <w:rsid w:val="00A96838"/>
    <w:rsid w:val="00A96C42"/>
    <w:rsid w:val="00A9703E"/>
    <w:rsid w:val="00A9770D"/>
    <w:rsid w:val="00A97847"/>
    <w:rsid w:val="00A978DD"/>
    <w:rsid w:val="00A97A0D"/>
    <w:rsid w:val="00AA0219"/>
    <w:rsid w:val="00AA04EB"/>
    <w:rsid w:val="00AA07C8"/>
    <w:rsid w:val="00AA089B"/>
    <w:rsid w:val="00AA0B1E"/>
    <w:rsid w:val="00AA0C42"/>
    <w:rsid w:val="00AA0DAA"/>
    <w:rsid w:val="00AA0F39"/>
    <w:rsid w:val="00AA1021"/>
    <w:rsid w:val="00AA1528"/>
    <w:rsid w:val="00AA1643"/>
    <w:rsid w:val="00AA1A57"/>
    <w:rsid w:val="00AA1E70"/>
    <w:rsid w:val="00AA1EB3"/>
    <w:rsid w:val="00AA1F2F"/>
    <w:rsid w:val="00AA2180"/>
    <w:rsid w:val="00AA28AC"/>
    <w:rsid w:val="00AA2F44"/>
    <w:rsid w:val="00AA402B"/>
    <w:rsid w:val="00AA4114"/>
    <w:rsid w:val="00AA44BC"/>
    <w:rsid w:val="00AA45DE"/>
    <w:rsid w:val="00AA47E2"/>
    <w:rsid w:val="00AA4B2C"/>
    <w:rsid w:val="00AA4C49"/>
    <w:rsid w:val="00AA4CB6"/>
    <w:rsid w:val="00AA4F11"/>
    <w:rsid w:val="00AA5110"/>
    <w:rsid w:val="00AA5706"/>
    <w:rsid w:val="00AA5894"/>
    <w:rsid w:val="00AA5A89"/>
    <w:rsid w:val="00AA5B42"/>
    <w:rsid w:val="00AA5E82"/>
    <w:rsid w:val="00AA60E4"/>
    <w:rsid w:val="00AA629E"/>
    <w:rsid w:val="00AA6540"/>
    <w:rsid w:val="00AA6856"/>
    <w:rsid w:val="00AA6C8C"/>
    <w:rsid w:val="00AA6D17"/>
    <w:rsid w:val="00AA6F6A"/>
    <w:rsid w:val="00AA71F8"/>
    <w:rsid w:val="00AA737B"/>
    <w:rsid w:val="00AA74E5"/>
    <w:rsid w:val="00AA757F"/>
    <w:rsid w:val="00AA7A59"/>
    <w:rsid w:val="00AA7C5D"/>
    <w:rsid w:val="00AA7CC9"/>
    <w:rsid w:val="00AB02A1"/>
    <w:rsid w:val="00AB0365"/>
    <w:rsid w:val="00AB0B35"/>
    <w:rsid w:val="00AB0C4A"/>
    <w:rsid w:val="00AB0DC3"/>
    <w:rsid w:val="00AB1345"/>
    <w:rsid w:val="00AB1A6C"/>
    <w:rsid w:val="00AB1BA6"/>
    <w:rsid w:val="00AB1C9C"/>
    <w:rsid w:val="00AB1CAF"/>
    <w:rsid w:val="00AB22AF"/>
    <w:rsid w:val="00AB2408"/>
    <w:rsid w:val="00AB24DA"/>
    <w:rsid w:val="00AB26DD"/>
    <w:rsid w:val="00AB27D0"/>
    <w:rsid w:val="00AB2A49"/>
    <w:rsid w:val="00AB2AFE"/>
    <w:rsid w:val="00AB2C18"/>
    <w:rsid w:val="00AB2EFB"/>
    <w:rsid w:val="00AB301B"/>
    <w:rsid w:val="00AB3210"/>
    <w:rsid w:val="00AB33A8"/>
    <w:rsid w:val="00AB3B3A"/>
    <w:rsid w:val="00AB3FF1"/>
    <w:rsid w:val="00AB45D6"/>
    <w:rsid w:val="00AB5357"/>
    <w:rsid w:val="00AB5881"/>
    <w:rsid w:val="00AB588F"/>
    <w:rsid w:val="00AB598D"/>
    <w:rsid w:val="00AB5B36"/>
    <w:rsid w:val="00AB61D3"/>
    <w:rsid w:val="00AB6599"/>
    <w:rsid w:val="00AB68B2"/>
    <w:rsid w:val="00AB6B16"/>
    <w:rsid w:val="00AB6F35"/>
    <w:rsid w:val="00AB72DC"/>
    <w:rsid w:val="00AC0329"/>
    <w:rsid w:val="00AC05DB"/>
    <w:rsid w:val="00AC0776"/>
    <w:rsid w:val="00AC0801"/>
    <w:rsid w:val="00AC0FDF"/>
    <w:rsid w:val="00AC1103"/>
    <w:rsid w:val="00AC163F"/>
    <w:rsid w:val="00AC1D12"/>
    <w:rsid w:val="00AC1E16"/>
    <w:rsid w:val="00AC1F3D"/>
    <w:rsid w:val="00AC2063"/>
    <w:rsid w:val="00AC219D"/>
    <w:rsid w:val="00AC25E3"/>
    <w:rsid w:val="00AC2837"/>
    <w:rsid w:val="00AC2ABC"/>
    <w:rsid w:val="00AC2BCD"/>
    <w:rsid w:val="00AC2D59"/>
    <w:rsid w:val="00AC2EDF"/>
    <w:rsid w:val="00AC38B1"/>
    <w:rsid w:val="00AC3A71"/>
    <w:rsid w:val="00AC401B"/>
    <w:rsid w:val="00AC4455"/>
    <w:rsid w:val="00AC44D1"/>
    <w:rsid w:val="00AC4748"/>
    <w:rsid w:val="00AC481A"/>
    <w:rsid w:val="00AC4872"/>
    <w:rsid w:val="00AC4BCB"/>
    <w:rsid w:val="00AC4BD2"/>
    <w:rsid w:val="00AC4CED"/>
    <w:rsid w:val="00AC4D1A"/>
    <w:rsid w:val="00AC524A"/>
    <w:rsid w:val="00AC5256"/>
    <w:rsid w:val="00AC5661"/>
    <w:rsid w:val="00AC5924"/>
    <w:rsid w:val="00AC6AF4"/>
    <w:rsid w:val="00AC6E03"/>
    <w:rsid w:val="00AC6E71"/>
    <w:rsid w:val="00AC71EF"/>
    <w:rsid w:val="00AC77BF"/>
    <w:rsid w:val="00AC7B7B"/>
    <w:rsid w:val="00AC7CFD"/>
    <w:rsid w:val="00AC7DBB"/>
    <w:rsid w:val="00AC7E4B"/>
    <w:rsid w:val="00AC7F04"/>
    <w:rsid w:val="00AD0256"/>
    <w:rsid w:val="00AD0601"/>
    <w:rsid w:val="00AD0A9C"/>
    <w:rsid w:val="00AD0B48"/>
    <w:rsid w:val="00AD0BC7"/>
    <w:rsid w:val="00AD11A8"/>
    <w:rsid w:val="00AD12B6"/>
    <w:rsid w:val="00AD13B9"/>
    <w:rsid w:val="00AD1415"/>
    <w:rsid w:val="00AD1E26"/>
    <w:rsid w:val="00AD2050"/>
    <w:rsid w:val="00AD2176"/>
    <w:rsid w:val="00AD2414"/>
    <w:rsid w:val="00AD2539"/>
    <w:rsid w:val="00AD2998"/>
    <w:rsid w:val="00AD338D"/>
    <w:rsid w:val="00AD3A43"/>
    <w:rsid w:val="00AD3B61"/>
    <w:rsid w:val="00AD3C41"/>
    <w:rsid w:val="00AD41C5"/>
    <w:rsid w:val="00AD4A15"/>
    <w:rsid w:val="00AD4A73"/>
    <w:rsid w:val="00AD4C32"/>
    <w:rsid w:val="00AD4E06"/>
    <w:rsid w:val="00AD50D3"/>
    <w:rsid w:val="00AD58A2"/>
    <w:rsid w:val="00AD599D"/>
    <w:rsid w:val="00AD5EEF"/>
    <w:rsid w:val="00AD60D9"/>
    <w:rsid w:val="00AD6A6C"/>
    <w:rsid w:val="00AD6B49"/>
    <w:rsid w:val="00AD6DA4"/>
    <w:rsid w:val="00AD7087"/>
    <w:rsid w:val="00AD7306"/>
    <w:rsid w:val="00AD761B"/>
    <w:rsid w:val="00AD76A3"/>
    <w:rsid w:val="00AD781B"/>
    <w:rsid w:val="00AD797E"/>
    <w:rsid w:val="00AD7AC9"/>
    <w:rsid w:val="00AD7F53"/>
    <w:rsid w:val="00AE004B"/>
    <w:rsid w:val="00AE005A"/>
    <w:rsid w:val="00AE0326"/>
    <w:rsid w:val="00AE03BA"/>
    <w:rsid w:val="00AE04A0"/>
    <w:rsid w:val="00AE0AFE"/>
    <w:rsid w:val="00AE0DF2"/>
    <w:rsid w:val="00AE1310"/>
    <w:rsid w:val="00AE13B0"/>
    <w:rsid w:val="00AE1575"/>
    <w:rsid w:val="00AE1798"/>
    <w:rsid w:val="00AE1818"/>
    <w:rsid w:val="00AE1BC7"/>
    <w:rsid w:val="00AE1CBF"/>
    <w:rsid w:val="00AE1D75"/>
    <w:rsid w:val="00AE20F8"/>
    <w:rsid w:val="00AE3024"/>
    <w:rsid w:val="00AE3190"/>
    <w:rsid w:val="00AE4001"/>
    <w:rsid w:val="00AE4198"/>
    <w:rsid w:val="00AE4307"/>
    <w:rsid w:val="00AE4413"/>
    <w:rsid w:val="00AE45F2"/>
    <w:rsid w:val="00AE4824"/>
    <w:rsid w:val="00AE4A0F"/>
    <w:rsid w:val="00AE4C6A"/>
    <w:rsid w:val="00AE53CA"/>
    <w:rsid w:val="00AE546D"/>
    <w:rsid w:val="00AE570B"/>
    <w:rsid w:val="00AE58ED"/>
    <w:rsid w:val="00AE5E72"/>
    <w:rsid w:val="00AE6431"/>
    <w:rsid w:val="00AE6950"/>
    <w:rsid w:val="00AE6B3F"/>
    <w:rsid w:val="00AE6CA3"/>
    <w:rsid w:val="00AE70B3"/>
    <w:rsid w:val="00AE712A"/>
    <w:rsid w:val="00AE7172"/>
    <w:rsid w:val="00AE759D"/>
    <w:rsid w:val="00AE75EC"/>
    <w:rsid w:val="00AE79F6"/>
    <w:rsid w:val="00AE7AA1"/>
    <w:rsid w:val="00AE7AD0"/>
    <w:rsid w:val="00AE7B6E"/>
    <w:rsid w:val="00AE7BED"/>
    <w:rsid w:val="00AE7CAF"/>
    <w:rsid w:val="00AE7FDE"/>
    <w:rsid w:val="00AF02ED"/>
    <w:rsid w:val="00AF038E"/>
    <w:rsid w:val="00AF0878"/>
    <w:rsid w:val="00AF0C43"/>
    <w:rsid w:val="00AF115C"/>
    <w:rsid w:val="00AF1946"/>
    <w:rsid w:val="00AF1B2A"/>
    <w:rsid w:val="00AF1D70"/>
    <w:rsid w:val="00AF1EE2"/>
    <w:rsid w:val="00AF2494"/>
    <w:rsid w:val="00AF25B9"/>
    <w:rsid w:val="00AF2F47"/>
    <w:rsid w:val="00AF2F57"/>
    <w:rsid w:val="00AF2FC8"/>
    <w:rsid w:val="00AF3176"/>
    <w:rsid w:val="00AF3335"/>
    <w:rsid w:val="00AF361F"/>
    <w:rsid w:val="00AF3AA4"/>
    <w:rsid w:val="00AF3B11"/>
    <w:rsid w:val="00AF3CDF"/>
    <w:rsid w:val="00AF3F4D"/>
    <w:rsid w:val="00AF42C7"/>
    <w:rsid w:val="00AF4567"/>
    <w:rsid w:val="00AF4844"/>
    <w:rsid w:val="00AF4BCF"/>
    <w:rsid w:val="00AF4D2B"/>
    <w:rsid w:val="00AF4D99"/>
    <w:rsid w:val="00AF4EB2"/>
    <w:rsid w:val="00AF4FCA"/>
    <w:rsid w:val="00AF5A2D"/>
    <w:rsid w:val="00AF61FD"/>
    <w:rsid w:val="00AF6572"/>
    <w:rsid w:val="00AF6804"/>
    <w:rsid w:val="00AF6C8B"/>
    <w:rsid w:val="00AF6D5F"/>
    <w:rsid w:val="00AF7C2B"/>
    <w:rsid w:val="00AF7D47"/>
    <w:rsid w:val="00AF7E9D"/>
    <w:rsid w:val="00B00B1A"/>
    <w:rsid w:val="00B00D81"/>
    <w:rsid w:val="00B00E0E"/>
    <w:rsid w:val="00B01EB1"/>
    <w:rsid w:val="00B01F37"/>
    <w:rsid w:val="00B02799"/>
    <w:rsid w:val="00B02A1B"/>
    <w:rsid w:val="00B030A1"/>
    <w:rsid w:val="00B031B5"/>
    <w:rsid w:val="00B03207"/>
    <w:rsid w:val="00B0345A"/>
    <w:rsid w:val="00B03DD0"/>
    <w:rsid w:val="00B03F29"/>
    <w:rsid w:val="00B04769"/>
    <w:rsid w:val="00B04B9E"/>
    <w:rsid w:val="00B04CE1"/>
    <w:rsid w:val="00B04EE7"/>
    <w:rsid w:val="00B0535F"/>
    <w:rsid w:val="00B05A37"/>
    <w:rsid w:val="00B05DBB"/>
    <w:rsid w:val="00B060BA"/>
    <w:rsid w:val="00B06B60"/>
    <w:rsid w:val="00B07C27"/>
    <w:rsid w:val="00B07D48"/>
    <w:rsid w:val="00B1024C"/>
    <w:rsid w:val="00B103C1"/>
    <w:rsid w:val="00B10C4A"/>
    <w:rsid w:val="00B10D46"/>
    <w:rsid w:val="00B10FAD"/>
    <w:rsid w:val="00B115D4"/>
    <w:rsid w:val="00B11848"/>
    <w:rsid w:val="00B118D7"/>
    <w:rsid w:val="00B118E4"/>
    <w:rsid w:val="00B11972"/>
    <w:rsid w:val="00B11A13"/>
    <w:rsid w:val="00B11BBE"/>
    <w:rsid w:val="00B12009"/>
    <w:rsid w:val="00B1231C"/>
    <w:rsid w:val="00B124FE"/>
    <w:rsid w:val="00B12759"/>
    <w:rsid w:val="00B12C33"/>
    <w:rsid w:val="00B12C96"/>
    <w:rsid w:val="00B12D6E"/>
    <w:rsid w:val="00B1317B"/>
    <w:rsid w:val="00B13242"/>
    <w:rsid w:val="00B13383"/>
    <w:rsid w:val="00B134DF"/>
    <w:rsid w:val="00B13559"/>
    <w:rsid w:val="00B13AE8"/>
    <w:rsid w:val="00B13CBD"/>
    <w:rsid w:val="00B13F44"/>
    <w:rsid w:val="00B14A59"/>
    <w:rsid w:val="00B14E51"/>
    <w:rsid w:val="00B153E7"/>
    <w:rsid w:val="00B15823"/>
    <w:rsid w:val="00B15EAA"/>
    <w:rsid w:val="00B16113"/>
    <w:rsid w:val="00B16129"/>
    <w:rsid w:val="00B16898"/>
    <w:rsid w:val="00B168DC"/>
    <w:rsid w:val="00B1707B"/>
    <w:rsid w:val="00B17273"/>
    <w:rsid w:val="00B173D3"/>
    <w:rsid w:val="00B1741F"/>
    <w:rsid w:val="00B179A8"/>
    <w:rsid w:val="00B17BA2"/>
    <w:rsid w:val="00B20247"/>
    <w:rsid w:val="00B203FB"/>
    <w:rsid w:val="00B204AC"/>
    <w:rsid w:val="00B20546"/>
    <w:rsid w:val="00B2098F"/>
    <w:rsid w:val="00B20D8F"/>
    <w:rsid w:val="00B20E8C"/>
    <w:rsid w:val="00B210A1"/>
    <w:rsid w:val="00B21796"/>
    <w:rsid w:val="00B21A0F"/>
    <w:rsid w:val="00B2200B"/>
    <w:rsid w:val="00B2254A"/>
    <w:rsid w:val="00B228C1"/>
    <w:rsid w:val="00B22FBF"/>
    <w:rsid w:val="00B2320E"/>
    <w:rsid w:val="00B23223"/>
    <w:rsid w:val="00B23512"/>
    <w:rsid w:val="00B23F12"/>
    <w:rsid w:val="00B2438F"/>
    <w:rsid w:val="00B24C0C"/>
    <w:rsid w:val="00B24D35"/>
    <w:rsid w:val="00B2570D"/>
    <w:rsid w:val="00B25CB9"/>
    <w:rsid w:val="00B26421"/>
    <w:rsid w:val="00B26D67"/>
    <w:rsid w:val="00B27270"/>
    <w:rsid w:val="00B27E89"/>
    <w:rsid w:val="00B3026B"/>
    <w:rsid w:val="00B303B9"/>
    <w:rsid w:val="00B305DE"/>
    <w:rsid w:val="00B308B5"/>
    <w:rsid w:val="00B30CE9"/>
    <w:rsid w:val="00B30EA3"/>
    <w:rsid w:val="00B30F96"/>
    <w:rsid w:val="00B31000"/>
    <w:rsid w:val="00B31AC9"/>
    <w:rsid w:val="00B31CCD"/>
    <w:rsid w:val="00B31D52"/>
    <w:rsid w:val="00B31ED2"/>
    <w:rsid w:val="00B320D9"/>
    <w:rsid w:val="00B321C2"/>
    <w:rsid w:val="00B32E0F"/>
    <w:rsid w:val="00B334B7"/>
    <w:rsid w:val="00B33C85"/>
    <w:rsid w:val="00B3402F"/>
    <w:rsid w:val="00B3417B"/>
    <w:rsid w:val="00B34296"/>
    <w:rsid w:val="00B343F4"/>
    <w:rsid w:val="00B348EA"/>
    <w:rsid w:val="00B349F0"/>
    <w:rsid w:val="00B3531F"/>
    <w:rsid w:val="00B3533D"/>
    <w:rsid w:val="00B3539E"/>
    <w:rsid w:val="00B353E9"/>
    <w:rsid w:val="00B35425"/>
    <w:rsid w:val="00B35D5C"/>
    <w:rsid w:val="00B35DAA"/>
    <w:rsid w:val="00B364CC"/>
    <w:rsid w:val="00B367FA"/>
    <w:rsid w:val="00B36A11"/>
    <w:rsid w:val="00B36B67"/>
    <w:rsid w:val="00B36BF0"/>
    <w:rsid w:val="00B36C40"/>
    <w:rsid w:val="00B37084"/>
    <w:rsid w:val="00B3720F"/>
    <w:rsid w:val="00B373F6"/>
    <w:rsid w:val="00B37F8C"/>
    <w:rsid w:val="00B403D6"/>
    <w:rsid w:val="00B41395"/>
    <w:rsid w:val="00B419A9"/>
    <w:rsid w:val="00B41F07"/>
    <w:rsid w:val="00B4221D"/>
    <w:rsid w:val="00B4243C"/>
    <w:rsid w:val="00B424B7"/>
    <w:rsid w:val="00B42529"/>
    <w:rsid w:val="00B42A04"/>
    <w:rsid w:val="00B42C87"/>
    <w:rsid w:val="00B42C96"/>
    <w:rsid w:val="00B42E54"/>
    <w:rsid w:val="00B42EA8"/>
    <w:rsid w:val="00B42F3F"/>
    <w:rsid w:val="00B4350A"/>
    <w:rsid w:val="00B436DD"/>
    <w:rsid w:val="00B43760"/>
    <w:rsid w:val="00B43D04"/>
    <w:rsid w:val="00B44122"/>
    <w:rsid w:val="00B441D7"/>
    <w:rsid w:val="00B441EC"/>
    <w:rsid w:val="00B443B4"/>
    <w:rsid w:val="00B445AF"/>
    <w:rsid w:val="00B446DB"/>
    <w:rsid w:val="00B4492F"/>
    <w:rsid w:val="00B449F5"/>
    <w:rsid w:val="00B44C23"/>
    <w:rsid w:val="00B44E7F"/>
    <w:rsid w:val="00B459B9"/>
    <w:rsid w:val="00B46080"/>
    <w:rsid w:val="00B4627D"/>
    <w:rsid w:val="00B46B30"/>
    <w:rsid w:val="00B475C9"/>
    <w:rsid w:val="00B50715"/>
    <w:rsid w:val="00B507F1"/>
    <w:rsid w:val="00B50BF0"/>
    <w:rsid w:val="00B50D56"/>
    <w:rsid w:val="00B50D9F"/>
    <w:rsid w:val="00B50F96"/>
    <w:rsid w:val="00B50FAD"/>
    <w:rsid w:val="00B51035"/>
    <w:rsid w:val="00B510BE"/>
    <w:rsid w:val="00B512DD"/>
    <w:rsid w:val="00B5180B"/>
    <w:rsid w:val="00B51A87"/>
    <w:rsid w:val="00B51BBC"/>
    <w:rsid w:val="00B51FFF"/>
    <w:rsid w:val="00B52499"/>
    <w:rsid w:val="00B52543"/>
    <w:rsid w:val="00B52593"/>
    <w:rsid w:val="00B52CFC"/>
    <w:rsid w:val="00B52D44"/>
    <w:rsid w:val="00B530E7"/>
    <w:rsid w:val="00B5328D"/>
    <w:rsid w:val="00B532D1"/>
    <w:rsid w:val="00B53466"/>
    <w:rsid w:val="00B53A32"/>
    <w:rsid w:val="00B53A88"/>
    <w:rsid w:val="00B53BF2"/>
    <w:rsid w:val="00B53D3F"/>
    <w:rsid w:val="00B54131"/>
    <w:rsid w:val="00B54206"/>
    <w:rsid w:val="00B543D6"/>
    <w:rsid w:val="00B54B41"/>
    <w:rsid w:val="00B55ABC"/>
    <w:rsid w:val="00B55AD2"/>
    <w:rsid w:val="00B55CD3"/>
    <w:rsid w:val="00B55DE4"/>
    <w:rsid w:val="00B5611E"/>
    <w:rsid w:val="00B56473"/>
    <w:rsid w:val="00B5780A"/>
    <w:rsid w:val="00B6036B"/>
    <w:rsid w:val="00B604F7"/>
    <w:rsid w:val="00B605BF"/>
    <w:rsid w:val="00B608B6"/>
    <w:rsid w:val="00B60C84"/>
    <w:rsid w:val="00B61373"/>
    <w:rsid w:val="00B614B8"/>
    <w:rsid w:val="00B61906"/>
    <w:rsid w:val="00B628CF"/>
    <w:rsid w:val="00B62D1A"/>
    <w:rsid w:val="00B6318B"/>
    <w:rsid w:val="00B639DB"/>
    <w:rsid w:val="00B6467B"/>
    <w:rsid w:val="00B64BE6"/>
    <w:rsid w:val="00B64BFC"/>
    <w:rsid w:val="00B655B7"/>
    <w:rsid w:val="00B65941"/>
    <w:rsid w:val="00B65D22"/>
    <w:rsid w:val="00B65DB8"/>
    <w:rsid w:val="00B66038"/>
    <w:rsid w:val="00B6630D"/>
    <w:rsid w:val="00B66737"/>
    <w:rsid w:val="00B66A79"/>
    <w:rsid w:val="00B66F2C"/>
    <w:rsid w:val="00B670B8"/>
    <w:rsid w:val="00B67A90"/>
    <w:rsid w:val="00B67CE3"/>
    <w:rsid w:val="00B67D28"/>
    <w:rsid w:val="00B67D3C"/>
    <w:rsid w:val="00B70099"/>
    <w:rsid w:val="00B70284"/>
    <w:rsid w:val="00B709F5"/>
    <w:rsid w:val="00B70BC4"/>
    <w:rsid w:val="00B70E89"/>
    <w:rsid w:val="00B713A1"/>
    <w:rsid w:val="00B7147D"/>
    <w:rsid w:val="00B71695"/>
    <w:rsid w:val="00B7169A"/>
    <w:rsid w:val="00B71CAF"/>
    <w:rsid w:val="00B71D2C"/>
    <w:rsid w:val="00B727D5"/>
    <w:rsid w:val="00B72911"/>
    <w:rsid w:val="00B73084"/>
    <w:rsid w:val="00B730D4"/>
    <w:rsid w:val="00B73B41"/>
    <w:rsid w:val="00B73F9F"/>
    <w:rsid w:val="00B74112"/>
    <w:rsid w:val="00B7421D"/>
    <w:rsid w:val="00B746FC"/>
    <w:rsid w:val="00B759C9"/>
    <w:rsid w:val="00B76115"/>
    <w:rsid w:val="00B76611"/>
    <w:rsid w:val="00B7690D"/>
    <w:rsid w:val="00B76A73"/>
    <w:rsid w:val="00B76F4D"/>
    <w:rsid w:val="00B77446"/>
    <w:rsid w:val="00B774B1"/>
    <w:rsid w:val="00B775B1"/>
    <w:rsid w:val="00B802F4"/>
    <w:rsid w:val="00B8036B"/>
    <w:rsid w:val="00B803B6"/>
    <w:rsid w:val="00B80490"/>
    <w:rsid w:val="00B8073A"/>
    <w:rsid w:val="00B808B6"/>
    <w:rsid w:val="00B80E23"/>
    <w:rsid w:val="00B81011"/>
    <w:rsid w:val="00B8114B"/>
    <w:rsid w:val="00B812E6"/>
    <w:rsid w:val="00B815AE"/>
    <w:rsid w:val="00B81839"/>
    <w:rsid w:val="00B818D5"/>
    <w:rsid w:val="00B81B59"/>
    <w:rsid w:val="00B81D61"/>
    <w:rsid w:val="00B8241D"/>
    <w:rsid w:val="00B826E2"/>
    <w:rsid w:val="00B827DA"/>
    <w:rsid w:val="00B828B4"/>
    <w:rsid w:val="00B82EF1"/>
    <w:rsid w:val="00B8377B"/>
    <w:rsid w:val="00B83A13"/>
    <w:rsid w:val="00B83AF3"/>
    <w:rsid w:val="00B83F33"/>
    <w:rsid w:val="00B840D0"/>
    <w:rsid w:val="00B8413E"/>
    <w:rsid w:val="00B844E2"/>
    <w:rsid w:val="00B849AF"/>
    <w:rsid w:val="00B84FA1"/>
    <w:rsid w:val="00B85102"/>
    <w:rsid w:val="00B85111"/>
    <w:rsid w:val="00B85C9D"/>
    <w:rsid w:val="00B85CE6"/>
    <w:rsid w:val="00B85D65"/>
    <w:rsid w:val="00B86005"/>
    <w:rsid w:val="00B86115"/>
    <w:rsid w:val="00B866F2"/>
    <w:rsid w:val="00B86725"/>
    <w:rsid w:val="00B871AE"/>
    <w:rsid w:val="00B876E5"/>
    <w:rsid w:val="00B87ADE"/>
    <w:rsid w:val="00B87B88"/>
    <w:rsid w:val="00B904F3"/>
    <w:rsid w:val="00B90591"/>
    <w:rsid w:val="00B905FC"/>
    <w:rsid w:val="00B90620"/>
    <w:rsid w:val="00B90C7C"/>
    <w:rsid w:val="00B916EA"/>
    <w:rsid w:val="00B91C2F"/>
    <w:rsid w:val="00B9229C"/>
    <w:rsid w:val="00B92935"/>
    <w:rsid w:val="00B92F10"/>
    <w:rsid w:val="00B93023"/>
    <w:rsid w:val="00B93586"/>
    <w:rsid w:val="00B935BC"/>
    <w:rsid w:val="00B93B88"/>
    <w:rsid w:val="00B93F62"/>
    <w:rsid w:val="00B94082"/>
    <w:rsid w:val="00B94225"/>
    <w:rsid w:val="00B94A53"/>
    <w:rsid w:val="00B94D9C"/>
    <w:rsid w:val="00B95023"/>
    <w:rsid w:val="00B9513F"/>
    <w:rsid w:val="00B9531B"/>
    <w:rsid w:val="00B957E4"/>
    <w:rsid w:val="00B96152"/>
    <w:rsid w:val="00B9673A"/>
    <w:rsid w:val="00B96907"/>
    <w:rsid w:val="00B96D5D"/>
    <w:rsid w:val="00B96D8E"/>
    <w:rsid w:val="00B96E0E"/>
    <w:rsid w:val="00B97690"/>
    <w:rsid w:val="00B977FC"/>
    <w:rsid w:val="00B979A0"/>
    <w:rsid w:val="00B97F26"/>
    <w:rsid w:val="00BA04DE"/>
    <w:rsid w:val="00BA04E8"/>
    <w:rsid w:val="00BA078D"/>
    <w:rsid w:val="00BA1322"/>
    <w:rsid w:val="00BA1420"/>
    <w:rsid w:val="00BA16FB"/>
    <w:rsid w:val="00BA17C8"/>
    <w:rsid w:val="00BA19AE"/>
    <w:rsid w:val="00BA1D00"/>
    <w:rsid w:val="00BA22B8"/>
    <w:rsid w:val="00BA23B8"/>
    <w:rsid w:val="00BA2583"/>
    <w:rsid w:val="00BA268A"/>
    <w:rsid w:val="00BA271D"/>
    <w:rsid w:val="00BA2770"/>
    <w:rsid w:val="00BA2E6D"/>
    <w:rsid w:val="00BA3277"/>
    <w:rsid w:val="00BA3394"/>
    <w:rsid w:val="00BA351B"/>
    <w:rsid w:val="00BA3721"/>
    <w:rsid w:val="00BA38FA"/>
    <w:rsid w:val="00BA3AE1"/>
    <w:rsid w:val="00BA3C78"/>
    <w:rsid w:val="00BA3FC5"/>
    <w:rsid w:val="00BA4064"/>
    <w:rsid w:val="00BA4076"/>
    <w:rsid w:val="00BA452B"/>
    <w:rsid w:val="00BA456B"/>
    <w:rsid w:val="00BA4899"/>
    <w:rsid w:val="00BA4EE8"/>
    <w:rsid w:val="00BA4F74"/>
    <w:rsid w:val="00BA50BE"/>
    <w:rsid w:val="00BA517F"/>
    <w:rsid w:val="00BA5557"/>
    <w:rsid w:val="00BA57D0"/>
    <w:rsid w:val="00BA584F"/>
    <w:rsid w:val="00BA5C9B"/>
    <w:rsid w:val="00BA5F55"/>
    <w:rsid w:val="00BA6279"/>
    <w:rsid w:val="00BA62C5"/>
    <w:rsid w:val="00BA67D2"/>
    <w:rsid w:val="00BA6869"/>
    <w:rsid w:val="00BA69F4"/>
    <w:rsid w:val="00BA6E83"/>
    <w:rsid w:val="00BA739A"/>
    <w:rsid w:val="00BA73D6"/>
    <w:rsid w:val="00BA78B1"/>
    <w:rsid w:val="00BA7B1C"/>
    <w:rsid w:val="00BA7E44"/>
    <w:rsid w:val="00BA7F60"/>
    <w:rsid w:val="00BB0226"/>
    <w:rsid w:val="00BB0521"/>
    <w:rsid w:val="00BB08DB"/>
    <w:rsid w:val="00BB0DC7"/>
    <w:rsid w:val="00BB0E1F"/>
    <w:rsid w:val="00BB10AC"/>
    <w:rsid w:val="00BB1E63"/>
    <w:rsid w:val="00BB1E6E"/>
    <w:rsid w:val="00BB219F"/>
    <w:rsid w:val="00BB2359"/>
    <w:rsid w:val="00BB2E6B"/>
    <w:rsid w:val="00BB3657"/>
    <w:rsid w:val="00BB390C"/>
    <w:rsid w:val="00BB3BDF"/>
    <w:rsid w:val="00BB3DAB"/>
    <w:rsid w:val="00BB41B2"/>
    <w:rsid w:val="00BB4988"/>
    <w:rsid w:val="00BB520B"/>
    <w:rsid w:val="00BB52B9"/>
    <w:rsid w:val="00BB545A"/>
    <w:rsid w:val="00BB588C"/>
    <w:rsid w:val="00BB59F8"/>
    <w:rsid w:val="00BB6099"/>
    <w:rsid w:val="00BB62A1"/>
    <w:rsid w:val="00BB6494"/>
    <w:rsid w:val="00BB70FE"/>
    <w:rsid w:val="00BB75BA"/>
    <w:rsid w:val="00BB75D0"/>
    <w:rsid w:val="00BB780E"/>
    <w:rsid w:val="00BC02B6"/>
    <w:rsid w:val="00BC034E"/>
    <w:rsid w:val="00BC0655"/>
    <w:rsid w:val="00BC0CDC"/>
    <w:rsid w:val="00BC1022"/>
    <w:rsid w:val="00BC127D"/>
    <w:rsid w:val="00BC1ACD"/>
    <w:rsid w:val="00BC1B9F"/>
    <w:rsid w:val="00BC1C0B"/>
    <w:rsid w:val="00BC1D50"/>
    <w:rsid w:val="00BC202C"/>
    <w:rsid w:val="00BC2210"/>
    <w:rsid w:val="00BC2655"/>
    <w:rsid w:val="00BC2AAF"/>
    <w:rsid w:val="00BC2B04"/>
    <w:rsid w:val="00BC2FF1"/>
    <w:rsid w:val="00BC3429"/>
    <w:rsid w:val="00BC36DA"/>
    <w:rsid w:val="00BC3CC9"/>
    <w:rsid w:val="00BC436A"/>
    <w:rsid w:val="00BC454E"/>
    <w:rsid w:val="00BC46BD"/>
    <w:rsid w:val="00BC4705"/>
    <w:rsid w:val="00BC5040"/>
    <w:rsid w:val="00BC537B"/>
    <w:rsid w:val="00BC5472"/>
    <w:rsid w:val="00BC55FF"/>
    <w:rsid w:val="00BC5775"/>
    <w:rsid w:val="00BC58BA"/>
    <w:rsid w:val="00BC6AFE"/>
    <w:rsid w:val="00BC6B81"/>
    <w:rsid w:val="00BC6E56"/>
    <w:rsid w:val="00BC6F3E"/>
    <w:rsid w:val="00BC7093"/>
    <w:rsid w:val="00BC764D"/>
    <w:rsid w:val="00BC76F8"/>
    <w:rsid w:val="00BC7882"/>
    <w:rsid w:val="00BC7D19"/>
    <w:rsid w:val="00BC7EDE"/>
    <w:rsid w:val="00BD043E"/>
    <w:rsid w:val="00BD07E8"/>
    <w:rsid w:val="00BD0B8D"/>
    <w:rsid w:val="00BD0D40"/>
    <w:rsid w:val="00BD0E46"/>
    <w:rsid w:val="00BD0E81"/>
    <w:rsid w:val="00BD1820"/>
    <w:rsid w:val="00BD1E53"/>
    <w:rsid w:val="00BD2062"/>
    <w:rsid w:val="00BD26EC"/>
    <w:rsid w:val="00BD2B19"/>
    <w:rsid w:val="00BD2D36"/>
    <w:rsid w:val="00BD3075"/>
    <w:rsid w:val="00BD31B7"/>
    <w:rsid w:val="00BD3315"/>
    <w:rsid w:val="00BD3760"/>
    <w:rsid w:val="00BD415D"/>
    <w:rsid w:val="00BD4924"/>
    <w:rsid w:val="00BD4B66"/>
    <w:rsid w:val="00BD4D64"/>
    <w:rsid w:val="00BD5194"/>
    <w:rsid w:val="00BD5569"/>
    <w:rsid w:val="00BD5667"/>
    <w:rsid w:val="00BD57AD"/>
    <w:rsid w:val="00BD602B"/>
    <w:rsid w:val="00BD616D"/>
    <w:rsid w:val="00BD6194"/>
    <w:rsid w:val="00BD636B"/>
    <w:rsid w:val="00BD641A"/>
    <w:rsid w:val="00BD66B5"/>
    <w:rsid w:val="00BD71C1"/>
    <w:rsid w:val="00BD75F8"/>
    <w:rsid w:val="00BD7660"/>
    <w:rsid w:val="00BD768A"/>
    <w:rsid w:val="00BD7A2B"/>
    <w:rsid w:val="00BD7A2C"/>
    <w:rsid w:val="00BD7D0D"/>
    <w:rsid w:val="00BD7EB8"/>
    <w:rsid w:val="00BD7F54"/>
    <w:rsid w:val="00BE0934"/>
    <w:rsid w:val="00BE0E7B"/>
    <w:rsid w:val="00BE0F98"/>
    <w:rsid w:val="00BE12F8"/>
    <w:rsid w:val="00BE1588"/>
    <w:rsid w:val="00BE1A8B"/>
    <w:rsid w:val="00BE1C2D"/>
    <w:rsid w:val="00BE2031"/>
    <w:rsid w:val="00BE206D"/>
    <w:rsid w:val="00BE20E0"/>
    <w:rsid w:val="00BE2180"/>
    <w:rsid w:val="00BE2181"/>
    <w:rsid w:val="00BE21A9"/>
    <w:rsid w:val="00BE24BB"/>
    <w:rsid w:val="00BE25D5"/>
    <w:rsid w:val="00BE2CBD"/>
    <w:rsid w:val="00BE2DAD"/>
    <w:rsid w:val="00BE2FD6"/>
    <w:rsid w:val="00BE338F"/>
    <w:rsid w:val="00BE3445"/>
    <w:rsid w:val="00BE4153"/>
    <w:rsid w:val="00BE427F"/>
    <w:rsid w:val="00BE4B89"/>
    <w:rsid w:val="00BE573C"/>
    <w:rsid w:val="00BE5A86"/>
    <w:rsid w:val="00BE5AD1"/>
    <w:rsid w:val="00BE5AEC"/>
    <w:rsid w:val="00BE5F01"/>
    <w:rsid w:val="00BE64CB"/>
    <w:rsid w:val="00BE6580"/>
    <w:rsid w:val="00BE69F7"/>
    <w:rsid w:val="00BE6B01"/>
    <w:rsid w:val="00BE6DBB"/>
    <w:rsid w:val="00BE6E35"/>
    <w:rsid w:val="00BE6E59"/>
    <w:rsid w:val="00BE74D4"/>
    <w:rsid w:val="00BE76AC"/>
    <w:rsid w:val="00BE7B8B"/>
    <w:rsid w:val="00BE7BE8"/>
    <w:rsid w:val="00BF03CD"/>
    <w:rsid w:val="00BF04D4"/>
    <w:rsid w:val="00BF117A"/>
    <w:rsid w:val="00BF1193"/>
    <w:rsid w:val="00BF1899"/>
    <w:rsid w:val="00BF1CA6"/>
    <w:rsid w:val="00BF211E"/>
    <w:rsid w:val="00BF25A8"/>
    <w:rsid w:val="00BF2BF3"/>
    <w:rsid w:val="00BF2C50"/>
    <w:rsid w:val="00BF2CCC"/>
    <w:rsid w:val="00BF3467"/>
    <w:rsid w:val="00BF3655"/>
    <w:rsid w:val="00BF442C"/>
    <w:rsid w:val="00BF456E"/>
    <w:rsid w:val="00BF4A60"/>
    <w:rsid w:val="00BF4B9F"/>
    <w:rsid w:val="00BF4C3A"/>
    <w:rsid w:val="00BF5802"/>
    <w:rsid w:val="00BF5EDE"/>
    <w:rsid w:val="00BF5F3F"/>
    <w:rsid w:val="00BF60C9"/>
    <w:rsid w:val="00BF6203"/>
    <w:rsid w:val="00BF6AC4"/>
    <w:rsid w:val="00BF6BC4"/>
    <w:rsid w:val="00BF6C9F"/>
    <w:rsid w:val="00BF7022"/>
    <w:rsid w:val="00BF7CE2"/>
    <w:rsid w:val="00BF7F46"/>
    <w:rsid w:val="00C005C0"/>
    <w:rsid w:val="00C00B6C"/>
    <w:rsid w:val="00C00DC1"/>
    <w:rsid w:val="00C013DD"/>
    <w:rsid w:val="00C01500"/>
    <w:rsid w:val="00C0155B"/>
    <w:rsid w:val="00C0171D"/>
    <w:rsid w:val="00C0191C"/>
    <w:rsid w:val="00C01CE8"/>
    <w:rsid w:val="00C01D28"/>
    <w:rsid w:val="00C01E6E"/>
    <w:rsid w:val="00C0227B"/>
    <w:rsid w:val="00C03060"/>
    <w:rsid w:val="00C0330F"/>
    <w:rsid w:val="00C033C7"/>
    <w:rsid w:val="00C03793"/>
    <w:rsid w:val="00C03ADE"/>
    <w:rsid w:val="00C03BC7"/>
    <w:rsid w:val="00C03E81"/>
    <w:rsid w:val="00C03F3C"/>
    <w:rsid w:val="00C03F65"/>
    <w:rsid w:val="00C04518"/>
    <w:rsid w:val="00C04699"/>
    <w:rsid w:val="00C04D04"/>
    <w:rsid w:val="00C04FA9"/>
    <w:rsid w:val="00C05618"/>
    <w:rsid w:val="00C05694"/>
    <w:rsid w:val="00C05819"/>
    <w:rsid w:val="00C05A99"/>
    <w:rsid w:val="00C05EBC"/>
    <w:rsid w:val="00C061B3"/>
    <w:rsid w:val="00C06253"/>
    <w:rsid w:val="00C0677A"/>
    <w:rsid w:val="00C067A3"/>
    <w:rsid w:val="00C07136"/>
    <w:rsid w:val="00C07377"/>
    <w:rsid w:val="00C07639"/>
    <w:rsid w:val="00C07906"/>
    <w:rsid w:val="00C079F0"/>
    <w:rsid w:val="00C07FF3"/>
    <w:rsid w:val="00C1001F"/>
    <w:rsid w:val="00C101C1"/>
    <w:rsid w:val="00C102F1"/>
    <w:rsid w:val="00C10378"/>
    <w:rsid w:val="00C10493"/>
    <w:rsid w:val="00C106E6"/>
    <w:rsid w:val="00C107CA"/>
    <w:rsid w:val="00C109D5"/>
    <w:rsid w:val="00C109E1"/>
    <w:rsid w:val="00C10A4B"/>
    <w:rsid w:val="00C10CD0"/>
    <w:rsid w:val="00C10DC0"/>
    <w:rsid w:val="00C10F9A"/>
    <w:rsid w:val="00C1102A"/>
    <w:rsid w:val="00C11345"/>
    <w:rsid w:val="00C11805"/>
    <w:rsid w:val="00C11B34"/>
    <w:rsid w:val="00C11BE3"/>
    <w:rsid w:val="00C11F46"/>
    <w:rsid w:val="00C12482"/>
    <w:rsid w:val="00C12B7E"/>
    <w:rsid w:val="00C1336C"/>
    <w:rsid w:val="00C134CF"/>
    <w:rsid w:val="00C139AD"/>
    <w:rsid w:val="00C13B6A"/>
    <w:rsid w:val="00C143BF"/>
    <w:rsid w:val="00C1447F"/>
    <w:rsid w:val="00C14648"/>
    <w:rsid w:val="00C14B29"/>
    <w:rsid w:val="00C15314"/>
    <w:rsid w:val="00C153AF"/>
    <w:rsid w:val="00C15B21"/>
    <w:rsid w:val="00C15C3B"/>
    <w:rsid w:val="00C16992"/>
    <w:rsid w:val="00C16AC6"/>
    <w:rsid w:val="00C16B0E"/>
    <w:rsid w:val="00C16F27"/>
    <w:rsid w:val="00C174E0"/>
    <w:rsid w:val="00C17655"/>
    <w:rsid w:val="00C17761"/>
    <w:rsid w:val="00C17D4A"/>
    <w:rsid w:val="00C17F91"/>
    <w:rsid w:val="00C17F95"/>
    <w:rsid w:val="00C20791"/>
    <w:rsid w:val="00C209D9"/>
    <w:rsid w:val="00C20E10"/>
    <w:rsid w:val="00C20FC2"/>
    <w:rsid w:val="00C21193"/>
    <w:rsid w:val="00C2123C"/>
    <w:rsid w:val="00C21450"/>
    <w:rsid w:val="00C214DE"/>
    <w:rsid w:val="00C21707"/>
    <w:rsid w:val="00C217B4"/>
    <w:rsid w:val="00C217F0"/>
    <w:rsid w:val="00C218E0"/>
    <w:rsid w:val="00C2192E"/>
    <w:rsid w:val="00C21C1B"/>
    <w:rsid w:val="00C21C46"/>
    <w:rsid w:val="00C22001"/>
    <w:rsid w:val="00C22141"/>
    <w:rsid w:val="00C22826"/>
    <w:rsid w:val="00C22CEC"/>
    <w:rsid w:val="00C22EB1"/>
    <w:rsid w:val="00C23462"/>
    <w:rsid w:val="00C23641"/>
    <w:rsid w:val="00C23909"/>
    <w:rsid w:val="00C23AE7"/>
    <w:rsid w:val="00C24809"/>
    <w:rsid w:val="00C252E6"/>
    <w:rsid w:val="00C25870"/>
    <w:rsid w:val="00C25B62"/>
    <w:rsid w:val="00C25C94"/>
    <w:rsid w:val="00C262E9"/>
    <w:rsid w:val="00C26A4B"/>
    <w:rsid w:val="00C26AC8"/>
    <w:rsid w:val="00C26B7F"/>
    <w:rsid w:val="00C26F64"/>
    <w:rsid w:val="00C270A6"/>
    <w:rsid w:val="00C2732B"/>
    <w:rsid w:val="00C27558"/>
    <w:rsid w:val="00C302EF"/>
    <w:rsid w:val="00C304D3"/>
    <w:rsid w:val="00C3084B"/>
    <w:rsid w:val="00C30F86"/>
    <w:rsid w:val="00C30FB7"/>
    <w:rsid w:val="00C31001"/>
    <w:rsid w:val="00C3101E"/>
    <w:rsid w:val="00C3167C"/>
    <w:rsid w:val="00C31719"/>
    <w:rsid w:val="00C31B72"/>
    <w:rsid w:val="00C31CBD"/>
    <w:rsid w:val="00C31E81"/>
    <w:rsid w:val="00C31F27"/>
    <w:rsid w:val="00C31F30"/>
    <w:rsid w:val="00C32003"/>
    <w:rsid w:val="00C32267"/>
    <w:rsid w:val="00C322F0"/>
    <w:rsid w:val="00C32995"/>
    <w:rsid w:val="00C32B60"/>
    <w:rsid w:val="00C32FF0"/>
    <w:rsid w:val="00C3346C"/>
    <w:rsid w:val="00C338A5"/>
    <w:rsid w:val="00C339B2"/>
    <w:rsid w:val="00C33E6D"/>
    <w:rsid w:val="00C34027"/>
    <w:rsid w:val="00C3484E"/>
    <w:rsid w:val="00C34957"/>
    <w:rsid w:val="00C34E80"/>
    <w:rsid w:val="00C35450"/>
    <w:rsid w:val="00C35581"/>
    <w:rsid w:val="00C359DE"/>
    <w:rsid w:val="00C36159"/>
    <w:rsid w:val="00C36250"/>
    <w:rsid w:val="00C362C3"/>
    <w:rsid w:val="00C36412"/>
    <w:rsid w:val="00C365F8"/>
    <w:rsid w:val="00C37E25"/>
    <w:rsid w:val="00C37FA3"/>
    <w:rsid w:val="00C37FE4"/>
    <w:rsid w:val="00C413F2"/>
    <w:rsid w:val="00C41710"/>
    <w:rsid w:val="00C41824"/>
    <w:rsid w:val="00C41989"/>
    <w:rsid w:val="00C42091"/>
    <w:rsid w:val="00C42099"/>
    <w:rsid w:val="00C43387"/>
    <w:rsid w:val="00C43561"/>
    <w:rsid w:val="00C43962"/>
    <w:rsid w:val="00C43E12"/>
    <w:rsid w:val="00C4411D"/>
    <w:rsid w:val="00C441CE"/>
    <w:rsid w:val="00C44215"/>
    <w:rsid w:val="00C4430A"/>
    <w:rsid w:val="00C44827"/>
    <w:rsid w:val="00C449BE"/>
    <w:rsid w:val="00C44B53"/>
    <w:rsid w:val="00C44C91"/>
    <w:rsid w:val="00C4500C"/>
    <w:rsid w:val="00C45041"/>
    <w:rsid w:val="00C454A7"/>
    <w:rsid w:val="00C4599A"/>
    <w:rsid w:val="00C45DBA"/>
    <w:rsid w:val="00C46677"/>
    <w:rsid w:val="00C46744"/>
    <w:rsid w:val="00C46845"/>
    <w:rsid w:val="00C468C5"/>
    <w:rsid w:val="00C46DEF"/>
    <w:rsid w:val="00C470B5"/>
    <w:rsid w:val="00C4741F"/>
    <w:rsid w:val="00C4772F"/>
    <w:rsid w:val="00C47C35"/>
    <w:rsid w:val="00C47EF5"/>
    <w:rsid w:val="00C502DB"/>
    <w:rsid w:val="00C50417"/>
    <w:rsid w:val="00C50554"/>
    <w:rsid w:val="00C5064B"/>
    <w:rsid w:val="00C50AA2"/>
    <w:rsid w:val="00C50C4B"/>
    <w:rsid w:val="00C50E20"/>
    <w:rsid w:val="00C50F58"/>
    <w:rsid w:val="00C50F68"/>
    <w:rsid w:val="00C52355"/>
    <w:rsid w:val="00C52786"/>
    <w:rsid w:val="00C52789"/>
    <w:rsid w:val="00C52A1C"/>
    <w:rsid w:val="00C52BF5"/>
    <w:rsid w:val="00C5316B"/>
    <w:rsid w:val="00C533C5"/>
    <w:rsid w:val="00C535A0"/>
    <w:rsid w:val="00C5381B"/>
    <w:rsid w:val="00C53A30"/>
    <w:rsid w:val="00C54456"/>
    <w:rsid w:val="00C5485B"/>
    <w:rsid w:val="00C54B19"/>
    <w:rsid w:val="00C551DF"/>
    <w:rsid w:val="00C55761"/>
    <w:rsid w:val="00C558B2"/>
    <w:rsid w:val="00C55E68"/>
    <w:rsid w:val="00C5610D"/>
    <w:rsid w:val="00C5624B"/>
    <w:rsid w:val="00C5643F"/>
    <w:rsid w:val="00C5650D"/>
    <w:rsid w:val="00C569A9"/>
    <w:rsid w:val="00C56B48"/>
    <w:rsid w:val="00C56B85"/>
    <w:rsid w:val="00C56DDE"/>
    <w:rsid w:val="00C573D6"/>
    <w:rsid w:val="00C576D5"/>
    <w:rsid w:val="00C57863"/>
    <w:rsid w:val="00C578FF"/>
    <w:rsid w:val="00C57FA4"/>
    <w:rsid w:val="00C606F5"/>
    <w:rsid w:val="00C609B9"/>
    <w:rsid w:val="00C60CEF"/>
    <w:rsid w:val="00C61002"/>
    <w:rsid w:val="00C61E33"/>
    <w:rsid w:val="00C62226"/>
    <w:rsid w:val="00C624A2"/>
    <w:rsid w:val="00C62656"/>
    <w:rsid w:val="00C62844"/>
    <w:rsid w:val="00C62930"/>
    <w:rsid w:val="00C62FAC"/>
    <w:rsid w:val="00C633F9"/>
    <w:rsid w:val="00C63405"/>
    <w:rsid w:val="00C637A5"/>
    <w:rsid w:val="00C63CC7"/>
    <w:rsid w:val="00C642ED"/>
    <w:rsid w:val="00C64527"/>
    <w:rsid w:val="00C64676"/>
    <w:rsid w:val="00C647B2"/>
    <w:rsid w:val="00C648E8"/>
    <w:rsid w:val="00C650E8"/>
    <w:rsid w:val="00C6571A"/>
    <w:rsid w:val="00C658A1"/>
    <w:rsid w:val="00C66094"/>
    <w:rsid w:val="00C66C23"/>
    <w:rsid w:val="00C66DDA"/>
    <w:rsid w:val="00C6716F"/>
    <w:rsid w:val="00C677A2"/>
    <w:rsid w:val="00C67B92"/>
    <w:rsid w:val="00C67CAA"/>
    <w:rsid w:val="00C70812"/>
    <w:rsid w:val="00C70E5F"/>
    <w:rsid w:val="00C71632"/>
    <w:rsid w:val="00C71825"/>
    <w:rsid w:val="00C7203C"/>
    <w:rsid w:val="00C720F5"/>
    <w:rsid w:val="00C721AA"/>
    <w:rsid w:val="00C722D0"/>
    <w:rsid w:val="00C725DE"/>
    <w:rsid w:val="00C7264D"/>
    <w:rsid w:val="00C727CA"/>
    <w:rsid w:val="00C7292E"/>
    <w:rsid w:val="00C72AE1"/>
    <w:rsid w:val="00C72D48"/>
    <w:rsid w:val="00C72EC0"/>
    <w:rsid w:val="00C73517"/>
    <w:rsid w:val="00C73724"/>
    <w:rsid w:val="00C73CFA"/>
    <w:rsid w:val="00C73DB3"/>
    <w:rsid w:val="00C74EE2"/>
    <w:rsid w:val="00C75355"/>
    <w:rsid w:val="00C75E5B"/>
    <w:rsid w:val="00C768A3"/>
    <w:rsid w:val="00C772EF"/>
    <w:rsid w:val="00C776BA"/>
    <w:rsid w:val="00C779C9"/>
    <w:rsid w:val="00C77B33"/>
    <w:rsid w:val="00C77BEE"/>
    <w:rsid w:val="00C8009C"/>
    <w:rsid w:val="00C806E1"/>
    <w:rsid w:val="00C80752"/>
    <w:rsid w:val="00C80E5D"/>
    <w:rsid w:val="00C80F9C"/>
    <w:rsid w:val="00C80FD3"/>
    <w:rsid w:val="00C81178"/>
    <w:rsid w:val="00C81227"/>
    <w:rsid w:val="00C81C9F"/>
    <w:rsid w:val="00C81EFE"/>
    <w:rsid w:val="00C82036"/>
    <w:rsid w:val="00C8269E"/>
    <w:rsid w:val="00C8281F"/>
    <w:rsid w:val="00C82894"/>
    <w:rsid w:val="00C82EF3"/>
    <w:rsid w:val="00C839F1"/>
    <w:rsid w:val="00C840E8"/>
    <w:rsid w:val="00C841C8"/>
    <w:rsid w:val="00C8437B"/>
    <w:rsid w:val="00C84A82"/>
    <w:rsid w:val="00C85532"/>
    <w:rsid w:val="00C855E5"/>
    <w:rsid w:val="00C856E1"/>
    <w:rsid w:val="00C85792"/>
    <w:rsid w:val="00C85952"/>
    <w:rsid w:val="00C85B38"/>
    <w:rsid w:val="00C85E17"/>
    <w:rsid w:val="00C86804"/>
    <w:rsid w:val="00C868DE"/>
    <w:rsid w:val="00C86951"/>
    <w:rsid w:val="00C86EC8"/>
    <w:rsid w:val="00C8718F"/>
    <w:rsid w:val="00C875DF"/>
    <w:rsid w:val="00C90301"/>
    <w:rsid w:val="00C904CC"/>
    <w:rsid w:val="00C90993"/>
    <w:rsid w:val="00C90A0E"/>
    <w:rsid w:val="00C90DFB"/>
    <w:rsid w:val="00C90F06"/>
    <w:rsid w:val="00C90F37"/>
    <w:rsid w:val="00C91045"/>
    <w:rsid w:val="00C9153B"/>
    <w:rsid w:val="00C918B1"/>
    <w:rsid w:val="00C92275"/>
    <w:rsid w:val="00C92E8A"/>
    <w:rsid w:val="00C92F0C"/>
    <w:rsid w:val="00C930EA"/>
    <w:rsid w:val="00C930F2"/>
    <w:rsid w:val="00C93242"/>
    <w:rsid w:val="00C935C0"/>
    <w:rsid w:val="00C935F7"/>
    <w:rsid w:val="00C9372E"/>
    <w:rsid w:val="00C93CB9"/>
    <w:rsid w:val="00C93F24"/>
    <w:rsid w:val="00C93F92"/>
    <w:rsid w:val="00C9456D"/>
    <w:rsid w:val="00C94873"/>
    <w:rsid w:val="00C948FA"/>
    <w:rsid w:val="00C95973"/>
    <w:rsid w:val="00C95AC2"/>
    <w:rsid w:val="00C95E2C"/>
    <w:rsid w:val="00C95F40"/>
    <w:rsid w:val="00C9602B"/>
    <w:rsid w:val="00C969B4"/>
    <w:rsid w:val="00C96DBE"/>
    <w:rsid w:val="00C97AB4"/>
    <w:rsid w:val="00C97E2B"/>
    <w:rsid w:val="00C97E7D"/>
    <w:rsid w:val="00CA0831"/>
    <w:rsid w:val="00CA0912"/>
    <w:rsid w:val="00CA0BEF"/>
    <w:rsid w:val="00CA0DF8"/>
    <w:rsid w:val="00CA0F8A"/>
    <w:rsid w:val="00CA0FE5"/>
    <w:rsid w:val="00CA0FF6"/>
    <w:rsid w:val="00CA12DD"/>
    <w:rsid w:val="00CA16C6"/>
    <w:rsid w:val="00CA1A6A"/>
    <w:rsid w:val="00CA1D93"/>
    <w:rsid w:val="00CA1F39"/>
    <w:rsid w:val="00CA22A0"/>
    <w:rsid w:val="00CA24A4"/>
    <w:rsid w:val="00CA259B"/>
    <w:rsid w:val="00CA267D"/>
    <w:rsid w:val="00CA2E78"/>
    <w:rsid w:val="00CA34D2"/>
    <w:rsid w:val="00CA3A5E"/>
    <w:rsid w:val="00CA3B88"/>
    <w:rsid w:val="00CA3BFA"/>
    <w:rsid w:val="00CA3C27"/>
    <w:rsid w:val="00CA3D3A"/>
    <w:rsid w:val="00CA47F8"/>
    <w:rsid w:val="00CA4A13"/>
    <w:rsid w:val="00CA4A80"/>
    <w:rsid w:val="00CA5A4D"/>
    <w:rsid w:val="00CA5D82"/>
    <w:rsid w:val="00CA61A7"/>
    <w:rsid w:val="00CA642C"/>
    <w:rsid w:val="00CA6661"/>
    <w:rsid w:val="00CA6DBC"/>
    <w:rsid w:val="00CA6E29"/>
    <w:rsid w:val="00CA7179"/>
    <w:rsid w:val="00CA742C"/>
    <w:rsid w:val="00CB01C4"/>
    <w:rsid w:val="00CB0248"/>
    <w:rsid w:val="00CB099F"/>
    <w:rsid w:val="00CB0FC6"/>
    <w:rsid w:val="00CB15ED"/>
    <w:rsid w:val="00CB16F9"/>
    <w:rsid w:val="00CB1CBE"/>
    <w:rsid w:val="00CB21F0"/>
    <w:rsid w:val="00CB2A6B"/>
    <w:rsid w:val="00CB2D9A"/>
    <w:rsid w:val="00CB2E9D"/>
    <w:rsid w:val="00CB337C"/>
    <w:rsid w:val="00CB3779"/>
    <w:rsid w:val="00CB3890"/>
    <w:rsid w:val="00CB3898"/>
    <w:rsid w:val="00CB3B95"/>
    <w:rsid w:val="00CB3D0C"/>
    <w:rsid w:val="00CB4037"/>
    <w:rsid w:val="00CB4151"/>
    <w:rsid w:val="00CB43AF"/>
    <w:rsid w:val="00CB4A27"/>
    <w:rsid w:val="00CB584C"/>
    <w:rsid w:val="00CB5956"/>
    <w:rsid w:val="00CB5B35"/>
    <w:rsid w:val="00CB5C83"/>
    <w:rsid w:val="00CB5C85"/>
    <w:rsid w:val="00CB5CB0"/>
    <w:rsid w:val="00CB6242"/>
    <w:rsid w:val="00CB674B"/>
    <w:rsid w:val="00CB69C7"/>
    <w:rsid w:val="00CB6F7D"/>
    <w:rsid w:val="00CB74A3"/>
    <w:rsid w:val="00CB74DE"/>
    <w:rsid w:val="00CB7609"/>
    <w:rsid w:val="00CC0570"/>
    <w:rsid w:val="00CC0C81"/>
    <w:rsid w:val="00CC0FBC"/>
    <w:rsid w:val="00CC194D"/>
    <w:rsid w:val="00CC1F19"/>
    <w:rsid w:val="00CC27D7"/>
    <w:rsid w:val="00CC2821"/>
    <w:rsid w:val="00CC283B"/>
    <w:rsid w:val="00CC289B"/>
    <w:rsid w:val="00CC28DD"/>
    <w:rsid w:val="00CC28E4"/>
    <w:rsid w:val="00CC2A7E"/>
    <w:rsid w:val="00CC2B91"/>
    <w:rsid w:val="00CC2DB0"/>
    <w:rsid w:val="00CC2FC9"/>
    <w:rsid w:val="00CC30BF"/>
    <w:rsid w:val="00CC3117"/>
    <w:rsid w:val="00CC33A2"/>
    <w:rsid w:val="00CC3668"/>
    <w:rsid w:val="00CC463C"/>
    <w:rsid w:val="00CC4D07"/>
    <w:rsid w:val="00CC52F7"/>
    <w:rsid w:val="00CC575C"/>
    <w:rsid w:val="00CC5F3A"/>
    <w:rsid w:val="00CC5F98"/>
    <w:rsid w:val="00CC612F"/>
    <w:rsid w:val="00CC6255"/>
    <w:rsid w:val="00CC651B"/>
    <w:rsid w:val="00CC6C4C"/>
    <w:rsid w:val="00CC6DBF"/>
    <w:rsid w:val="00CC7004"/>
    <w:rsid w:val="00CC76F6"/>
    <w:rsid w:val="00CC7891"/>
    <w:rsid w:val="00CC79D1"/>
    <w:rsid w:val="00CC7F61"/>
    <w:rsid w:val="00CD0027"/>
    <w:rsid w:val="00CD0475"/>
    <w:rsid w:val="00CD0842"/>
    <w:rsid w:val="00CD1215"/>
    <w:rsid w:val="00CD1255"/>
    <w:rsid w:val="00CD1451"/>
    <w:rsid w:val="00CD1665"/>
    <w:rsid w:val="00CD168F"/>
    <w:rsid w:val="00CD1953"/>
    <w:rsid w:val="00CD1C6D"/>
    <w:rsid w:val="00CD1E9C"/>
    <w:rsid w:val="00CD1F13"/>
    <w:rsid w:val="00CD1FD4"/>
    <w:rsid w:val="00CD2496"/>
    <w:rsid w:val="00CD2886"/>
    <w:rsid w:val="00CD320A"/>
    <w:rsid w:val="00CD32AD"/>
    <w:rsid w:val="00CD32AE"/>
    <w:rsid w:val="00CD4044"/>
    <w:rsid w:val="00CD4118"/>
    <w:rsid w:val="00CD42F1"/>
    <w:rsid w:val="00CD4629"/>
    <w:rsid w:val="00CD46F5"/>
    <w:rsid w:val="00CD4A6B"/>
    <w:rsid w:val="00CD4A9D"/>
    <w:rsid w:val="00CD4F46"/>
    <w:rsid w:val="00CD574F"/>
    <w:rsid w:val="00CD5CBB"/>
    <w:rsid w:val="00CD5CC6"/>
    <w:rsid w:val="00CD64B7"/>
    <w:rsid w:val="00CD681F"/>
    <w:rsid w:val="00CD6E08"/>
    <w:rsid w:val="00CD6EDB"/>
    <w:rsid w:val="00CD705E"/>
    <w:rsid w:val="00CD749A"/>
    <w:rsid w:val="00CD7722"/>
    <w:rsid w:val="00CD7C62"/>
    <w:rsid w:val="00CE004B"/>
    <w:rsid w:val="00CE02DA"/>
    <w:rsid w:val="00CE0773"/>
    <w:rsid w:val="00CE0847"/>
    <w:rsid w:val="00CE0889"/>
    <w:rsid w:val="00CE0A30"/>
    <w:rsid w:val="00CE0F86"/>
    <w:rsid w:val="00CE109E"/>
    <w:rsid w:val="00CE12A9"/>
    <w:rsid w:val="00CE1534"/>
    <w:rsid w:val="00CE212F"/>
    <w:rsid w:val="00CE2138"/>
    <w:rsid w:val="00CE2536"/>
    <w:rsid w:val="00CE2868"/>
    <w:rsid w:val="00CE2927"/>
    <w:rsid w:val="00CE29CC"/>
    <w:rsid w:val="00CE29FD"/>
    <w:rsid w:val="00CE2BCD"/>
    <w:rsid w:val="00CE39E3"/>
    <w:rsid w:val="00CE4507"/>
    <w:rsid w:val="00CE4E44"/>
    <w:rsid w:val="00CE4FB3"/>
    <w:rsid w:val="00CE5243"/>
    <w:rsid w:val="00CE532F"/>
    <w:rsid w:val="00CE5D0A"/>
    <w:rsid w:val="00CE5E27"/>
    <w:rsid w:val="00CE61ED"/>
    <w:rsid w:val="00CE6C45"/>
    <w:rsid w:val="00CE707A"/>
    <w:rsid w:val="00CE71F5"/>
    <w:rsid w:val="00CE7339"/>
    <w:rsid w:val="00CE73F9"/>
    <w:rsid w:val="00CE7807"/>
    <w:rsid w:val="00CE7F96"/>
    <w:rsid w:val="00CF001D"/>
    <w:rsid w:val="00CF0738"/>
    <w:rsid w:val="00CF120F"/>
    <w:rsid w:val="00CF13FE"/>
    <w:rsid w:val="00CF143D"/>
    <w:rsid w:val="00CF147D"/>
    <w:rsid w:val="00CF14D7"/>
    <w:rsid w:val="00CF158F"/>
    <w:rsid w:val="00CF162E"/>
    <w:rsid w:val="00CF1702"/>
    <w:rsid w:val="00CF1845"/>
    <w:rsid w:val="00CF22AA"/>
    <w:rsid w:val="00CF22C1"/>
    <w:rsid w:val="00CF2689"/>
    <w:rsid w:val="00CF2C14"/>
    <w:rsid w:val="00CF2FC7"/>
    <w:rsid w:val="00CF3141"/>
    <w:rsid w:val="00CF36EE"/>
    <w:rsid w:val="00CF3A87"/>
    <w:rsid w:val="00CF3C59"/>
    <w:rsid w:val="00CF43E8"/>
    <w:rsid w:val="00CF4791"/>
    <w:rsid w:val="00CF53BE"/>
    <w:rsid w:val="00CF5715"/>
    <w:rsid w:val="00CF5778"/>
    <w:rsid w:val="00CF5A11"/>
    <w:rsid w:val="00CF5A16"/>
    <w:rsid w:val="00CF5A48"/>
    <w:rsid w:val="00CF5A7E"/>
    <w:rsid w:val="00CF5E73"/>
    <w:rsid w:val="00CF5F17"/>
    <w:rsid w:val="00CF5FCC"/>
    <w:rsid w:val="00CF6DED"/>
    <w:rsid w:val="00CF71EF"/>
    <w:rsid w:val="00CF75EB"/>
    <w:rsid w:val="00CF7852"/>
    <w:rsid w:val="00D000DB"/>
    <w:rsid w:val="00D0037D"/>
    <w:rsid w:val="00D01FB4"/>
    <w:rsid w:val="00D01FE5"/>
    <w:rsid w:val="00D02058"/>
    <w:rsid w:val="00D02333"/>
    <w:rsid w:val="00D02776"/>
    <w:rsid w:val="00D027AD"/>
    <w:rsid w:val="00D02C40"/>
    <w:rsid w:val="00D0317B"/>
    <w:rsid w:val="00D0320C"/>
    <w:rsid w:val="00D033B6"/>
    <w:rsid w:val="00D033BF"/>
    <w:rsid w:val="00D03657"/>
    <w:rsid w:val="00D03F9C"/>
    <w:rsid w:val="00D0412A"/>
    <w:rsid w:val="00D04CDF"/>
    <w:rsid w:val="00D04D8A"/>
    <w:rsid w:val="00D04E46"/>
    <w:rsid w:val="00D05201"/>
    <w:rsid w:val="00D057A4"/>
    <w:rsid w:val="00D0595D"/>
    <w:rsid w:val="00D05A3C"/>
    <w:rsid w:val="00D05D38"/>
    <w:rsid w:val="00D05DC8"/>
    <w:rsid w:val="00D05E31"/>
    <w:rsid w:val="00D060FE"/>
    <w:rsid w:val="00D0625D"/>
    <w:rsid w:val="00D06297"/>
    <w:rsid w:val="00D06300"/>
    <w:rsid w:val="00D0644B"/>
    <w:rsid w:val="00D06662"/>
    <w:rsid w:val="00D0696C"/>
    <w:rsid w:val="00D069C9"/>
    <w:rsid w:val="00D06D7D"/>
    <w:rsid w:val="00D075EF"/>
    <w:rsid w:val="00D07B0A"/>
    <w:rsid w:val="00D10118"/>
    <w:rsid w:val="00D10277"/>
    <w:rsid w:val="00D106CB"/>
    <w:rsid w:val="00D10729"/>
    <w:rsid w:val="00D107D3"/>
    <w:rsid w:val="00D1086B"/>
    <w:rsid w:val="00D1095A"/>
    <w:rsid w:val="00D10A17"/>
    <w:rsid w:val="00D10C97"/>
    <w:rsid w:val="00D110CC"/>
    <w:rsid w:val="00D115B2"/>
    <w:rsid w:val="00D11835"/>
    <w:rsid w:val="00D11C80"/>
    <w:rsid w:val="00D122DE"/>
    <w:rsid w:val="00D122E3"/>
    <w:rsid w:val="00D124A1"/>
    <w:rsid w:val="00D12A01"/>
    <w:rsid w:val="00D12C7B"/>
    <w:rsid w:val="00D12D02"/>
    <w:rsid w:val="00D1336A"/>
    <w:rsid w:val="00D1380C"/>
    <w:rsid w:val="00D13D38"/>
    <w:rsid w:val="00D1416F"/>
    <w:rsid w:val="00D1425E"/>
    <w:rsid w:val="00D142EF"/>
    <w:rsid w:val="00D1446F"/>
    <w:rsid w:val="00D147C8"/>
    <w:rsid w:val="00D14CE3"/>
    <w:rsid w:val="00D14D47"/>
    <w:rsid w:val="00D1561B"/>
    <w:rsid w:val="00D156F4"/>
    <w:rsid w:val="00D15970"/>
    <w:rsid w:val="00D1599A"/>
    <w:rsid w:val="00D15B1A"/>
    <w:rsid w:val="00D15CBA"/>
    <w:rsid w:val="00D15DA0"/>
    <w:rsid w:val="00D15F5B"/>
    <w:rsid w:val="00D15F7C"/>
    <w:rsid w:val="00D1619C"/>
    <w:rsid w:val="00D162FC"/>
    <w:rsid w:val="00D163F5"/>
    <w:rsid w:val="00D164A2"/>
    <w:rsid w:val="00D166E3"/>
    <w:rsid w:val="00D1695C"/>
    <w:rsid w:val="00D173D4"/>
    <w:rsid w:val="00D175CE"/>
    <w:rsid w:val="00D17792"/>
    <w:rsid w:val="00D178F8"/>
    <w:rsid w:val="00D17AC4"/>
    <w:rsid w:val="00D17ECE"/>
    <w:rsid w:val="00D2032D"/>
    <w:rsid w:val="00D203EB"/>
    <w:rsid w:val="00D20570"/>
    <w:rsid w:val="00D20791"/>
    <w:rsid w:val="00D207DB"/>
    <w:rsid w:val="00D207E0"/>
    <w:rsid w:val="00D20805"/>
    <w:rsid w:val="00D209DF"/>
    <w:rsid w:val="00D20D05"/>
    <w:rsid w:val="00D20D2A"/>
    <w:rsid w:val="00D20EEE"/>
    <w:rsid w:val="00D2132A"/>
    <w:rsid w:val="00D2149D"/>
    <w:rsid w:val="00D2170F"/>
    <w:rsid w:val="00D21768"/>
    <w:rsid w:val="00D217CD"/>
    <w:rsid w:val="00D21B4F"/>
    <w:rsid w:val="00D21D71"/>
    <w:rsid w:val="00D2207D"/>
    <w:rsid w:val="00D2210F"/>
    <w:rsid w:val="00D222F3"/>
    <w:rsid w:val="00D223C4"/>
    <w:rsid w:val="00D224CF"/>
    <w:rsid w:val="00D22633"/>
    <w:rsid w:val="00D227EB"/>
    <w:rsid w:val="00D22826"/>
    <w:rsid w:val="00D22924"/>
    <w:rsid w:val="00D22AEC"/>
    <w:rsid w:val="00D22BFB"/>
    <w:rsid w:val="00D22C6A"/>
    <w:rsid w:val="00D22CFB"/>
    <w:rsid w:val="00D22DED"/>
    <w:rsid w:val="00D230F9"/>
    <w:rsid w:val="00D2360B"/>
    <w:rsid w:val="00D23C1D"/>
    <w:rsid w:val="00D23CD1"/>
    <w:rsid w:val="00D24106"/>
    <w:rsid w:val="00D2429A"/>
    <w:rsid w:val="00D24A2E"/>
    <w:rsid w:val="00D24E9D"/>
    <w:rsid w:val="00D24EAC"/>
    <w:rsid w:val="00D25043"/>
    <w:rsid w:val="00D2562A"/>
    <w:rsid w:val="00D26283"/>
    <w:rsid w:val="00D26E0A"/>
    <w:rsid w:val="00D26EE6"/>
    <w:rsid w:val="00D270A1"/>
    <w:rsid w:val="00D270A9"/>
    <w:rsid w:val="00D27304"/>
    <w:rsid w:val="00D2760A"/>
    <w:rsid w:val="00D2798C"/>
    <w:rsid w:val="00D27A40"/>
    <w:rsid w:val="00D27D24"/>
    <w:rsid w:val="00D27F6A"/>
    <w:rsid w:val="00D30006"/>
    <w:rsid w:val="00D300AD"/>
    <w:rsid w:val="00D304D9"/>
    <w:rsid w:val="00D30A9D"/>
    <w:rsid w:val="00D30AAF"/>
    <w:rsid w:val="00D30ADF"/>
    <w:rsid w:val="00D30F29"/>
    <w:rsid w:val="00D3136F"/>
    <w:rsid w:val="00D31415"/>
    <w:rsid w:val="00D318B1"/>
    <w:rsid w:val="00D31AD3"/>
    <w:rsid w:val="00D31B4E"/>
    <w:rsid w:val="00D31C6B"/>
    <w:rsid w:val="00D31F9E"/>
    <w:rsid w:val="00D31FB4"/>
    <w:rsid w:val="00D32489"/>
    <w:rsid w:val="00D324C9"/>
    <w:rsid w:val="00D32898"/>
    <w:rsid w:val="00D32AD3"/>
    <w:rsid w:val="00D32FE3"/>
    <w:rsid w:val="00D331F0"/>
    <w:rsid w:val="00D33492"/>
    <w:rsid w:val="00D33871"/>
    <w:rsid w:val="00D339CF"/>
    <w:rsid w:val="00D33CDB"/>
    <w:rsid w:val="00D34558"/>
    <w:rsid w:val="00D348C2"/>
    <w:rsid w:val="00D34964"/>
    <w:rsid w:val="00D34ED7"/>
    <w:rsid w:val="00D351F8"/>
    <w:rsid w:val="00D3544A"/>
    <w:rsid w:val="00D354CB"/>
    <w:rsid w:val="00D35827"/>
    <w:rsid w:val="00D359AC"/>
    <w:rsid w:val="00D35A5E"/>
    <w:rsid w:val="00D35D41"/>
    <w:rsid w:val="00D36573"/>
    <w:rsid w:val="00D369D3"/>
    <w:rsid w:val="00D36CB6"/>
    <w:rsid w:val="00D36E52"/>
    <w:rsid w:val="00D36F2E"/>
    <w:rsid w:val="00D3752C"/>
    <w:rsid w:val="00D37558"/>
    <w:rsid w:val="00D3762F"/>
    <w:rsid w:val="00D37A41"/>
    <w:rsid w:val="00D37B46"/>
    <w:rsid w:val="00D403D9"/>
    <w:rsid w:val="00D412E2"/>
    <w:rsid w:val="00D41861"/>
    <w:rsid w:val="00D41C69"/>
    <w:rsid w:val="00D42073"/>
    <w:rsid w:val="00D4208F"/>
    <w:rsid w:val="00D420FB"/>
    <w:rsid w:val="00D429C2"/>
    <w:rsid w:val="00D42C40"/>
    <w:rsid w:val="00D42D4C"/>
    <w:rsid w:val="00D4343F"/>
    <w:rsid w:val="00D434EA"/>
    <w:rsid w:val="00D43523"/>
    <w:rsid w:val="00D43C1C"/>
    <w:rsid w:val="00D43C45"/>
    <w:rsid w:val="00D44043"/>
    <w:rsid w:val="00D44C87"/>
    <w:rsid w:val="00D44E7C"/>
    <w:rsid w:val="00D44EA7"/>
    <w:rsid w:val="00D45354"/>
    <w:rsid w:val="00D45774"/>
    <w:rsid w:val="00D45A08"/>
    <w:rsid w:val="00D45AEB"/>
    <w:rsid w:val="00D4631D"/>
    <w:rsid w:val="00D46511"/>
    <w:rsid w:val="00D468CD"/>
    <w:rsid w:val="00D4699C"/>
    <w:rsid w:val="00D469EA"/>
    <w:rsid w:val="00D475DB"/>
    <w:rsid w:val="00D47AA2"/>
    <w:rsid w:val="00D47AE7"/>
    <w:rsid w:val="00D47F92"/>
    <w:rsid w:val="00D5015F"/>
    <w:rsid w:val="00D502A4"/>
    <w:rsid w:val="00D5060F"/>
    <w:rsid w:val="00D506B9"/>
    <w:rsid w:val="00D50B43"/>
    <w:rsid w:val="00D50D30"/>
    <w:rsid w:val="00D51067"/>
    <w:rsid w:val="00D5182E"/>
    <w:rsid w:val="00D51D9F"/>
    <w:rsid w:val="00D521DE"/>
    <w:rsid w:val="00D524B5"/>
    <w:rsid w:val="00D5291B"/>
    <w:rsid w:val="00D533E6"/>
    <w:rsid w:val="00D53715"/>
    <w:rsid w:val="00D53FE8"/>
    <w:rsid w:val="00D54277"/>
    <w:rsid w:val="00D544A4"/>
    <w:rsid w:val="00D54761"/>
    <w:rsid w:val="00D54EE5"/>
    <w:rsid w:val="00D55277"/>
    <w:rsid w:val="00D552A4"/>
    <w:rsid w:val="00D55432"/>
    <w:rsid w:val="00D554CC"/>
    <w:rsid w:val="00D55767"/>
    <w:rsid w:val="00D55C01"/>
    <w:rsid w:val="00D55C39"/>
    <w:rsid w:val="00D566E3"/>
    <w:rsid w:val="00D569A8"/>
    <w:rsid w:val="00D569DF"/>
    <w:rsid w:val="00D56BFD"/>
    <w:rsid w:val="00D56E11"/>
    <w:rsid w:val="00D56FE8"/>
    <w:rsid w:val="00D5774D"/>
    <w:rsid w:val="00D579AE"/>
    <w:rsid w:val="00D57A4B"/>
    <w:rsid w:val="00D57BA7"/>
    <w:rsid w:val="00D57CE3"/>
    <w:rsid w:val="00D57FBA"/>
    <w:rsid w:val="00D6019D"/>
    <w:rsid w:val="00D603FA"/>
    <w:rsid w:val="00D6047B"/>
    <w:rsid w:val="00D609BF"/>
    <w:rsid w:val="00D60B5D"/>
    <w:rsid w:val="00D60DAC"/>
    <w:rsid w:val="00D613FE"/>
    <w:rsid w:val="00D61E34"/>
    <w:rsid w:val="00D6253C"/>
    <w:rsid w:val="00D62668"/>
    <w:rsid w:val="00D62803"/>
    <w:rsid w:val="00D62838"/>
    <w:rsid w:val="00D6316B"/>
    <w:rsid w:val="00D6326E"/>
    <w:rsid w:val="00D632E4"/>
    <w:rsid w:val="00D63319"/>
    <w:rsid w:val="00D63B14"/>
    <w:rsid w:val="00D63CFA"/>
    <w:rsid w:val="00D642E8"/>
    <w:rsid w:val="00D6440C"/>
    <w:rsid w:val="00D646B1"/>
    <w:rsid w:val="00D6483E"/>
    <w:rsid w:val="00D64972"/>
    <w:rsid w:val="00D64BAF"/>
    <w:rsid w:val="00D64D47"/>
    <w:rsid w:val="00D64FF7"/>
    <w:rsid w:val="00D65475"/>
    <w:rsid w:val="00D654BA"/>
    <w:rsid w:val="00D65912"/>
    <w:rsid w:val="00D65EB0"/>
    <w:rsid w:val="00D65F15"/>
    <w:rsid w:val="00D66021"/>
    <w:rsid w:val="00D6609F"/>
    <w:rsid w:val="00D66329"/>
    <w:rsid w:val="00D66620"/>
    <w:rsid w:val="00D6675B"/>
    <w:rsid w:val="00D66781"/>
    <w:rsid w:val="00D6776C"/>
    <w:rsid w:val="00D6776F"/>
    <w:rsid w:val="00D67B5F"/>
    <w:rsid w:val="00D719B9"/>
    <w:rsid w:val="00D71C5D"/>
    <w:rsid w:val="00D7207C"/>
    <w:rsid w:val="00D72212"/>
    <w:rsid w:val="00D72392"/>
    <w:rsid w:val="00D7239A"/>
    <w:rsid w:val="00D7243A"/>
    <w:rsid w:val="00D724F9"/>
    <w:rsid w:val="00D728D2"/>
    <w:rsid w:val="00D72976"/>
    <w:rsid w:val="00D72EFC"/>
    <w:rsid w:val="00D7301E"/>
    <w:rsid w:val="00D73021"/>
    <w:rsid w:val="00D732E0"/>
    <w:rsid w:val="00D738EA"/>
    <w:rsid w:val="00D73E78"/>
    <w:rsid w:val="00D73ECA"/>
    <w:rsid w:val="00D7416A"/>
    <w:rsid w:val="00D74266"/>
    <w:rsid w:val="00D7464B"/>
    <w:rsid w:val="00D746F6"/>
    <w:rsid w:val="00D74AC7"/>
    <w:rsid w:val="00D74CD3"/>
    <w:rsid w:val="00D74F09"/>
    <w:rsid w:val="00D74FE5"/>
    <w:rsid w:val="00D75419"/>
    <w:rsid w:val="00D75481"/>
    <w:rsid w:val="00D75923"/>
    <w:rsid w:val="00D7594B"/>
    <w:rsid w:val="00D766C0"/>
    <w:rsid w:val="00D76B03"/>
    <w:rsid w:val="00D76B98"/>
    <w:rsid w:val="00D77004"/>
    <w:rsid w:val="00D77938"/>
    <w:rsid w:val="00D8069B"/>
    <w:rsid w:val="00D80D41"/>
    <w:rsid w:val="00D80F34"/>
    <w:rsid w:val="00D81053"/>
    <w:rsid w:val="00D81577"/>
    <w:rsid w:val="00D81BC7"/>
    <w:rsid w:val="00D8218F"/>
    <w:rsid w:val="00D822A2"/>
    <w:rsid w:val="00D828A2"/>
    <w:rsid w:val="00D82B6B"/>
    <w:rsid w:val="00D82DA4"/>
    <w:rsid w:val="00D82FE5"/>
    <w:rsid w:val="00D83348"/>
    <w:rsid w:val="00D838DB"/>
    <w:rsid w:val="00D83D03"/>
    <w:rsid w:val="00D83E07"/>
    <w:rsid w:val="00D83E61"/>
    <w:rsid w:val="00D83FD7"/>
    <w:rsid w:val="00D8438C"/>
    <w:rsid w:val="00D84885"/>
    <w:rsid w:val="00D84C29"/>
    <w:rsid w:val="00D84F0B"/>
    <w:rsid w:val="00D854F9"/>
    <w:rsid w:val="00D858C5"/>
    <w:rsid w:val="00D85DDF"/>
    <w:rsid w:val="00D85DEE"/>
    <w:rsid w:val="00D878FB"/>
    <w:rsid w:val="00D87F86"/>
    <w:rsid w:val="00D905A2"/>
    <w:rsid w:val="00D907D6"/>
    <w:rsid w:val="00D90C45"/>
    <w:rsid w:val="00D91420"/>
    <w:rsid w:val="00D91934"/>
    <w:rsid w:val="00D91C33"/>
    <w:rsid w:val="00D91C86"/>
    <w:rsid w:val="00D922C3"/>
    <w:rsid w:val="00D926C3"/>
    <w:rsid w:val="00D929E1"/>
    <w:rsid w:val="00D92D52"/>
    <w:rsid w:val="00D930EE"/>
    <w:rsid w:val="00D937AD"/>
    <w:rsid w:val="00D93B7B"/>
    <w:rsid w:val="00D93BC6"/>
    <w:rsid w:val="00D93BD5"/>
    <w:rsid w:val="00D9418D"/>
    <w:rsid w:val="00D945FD"/>
    <w:rsid w:val="00D94613"/>
    <w:rsid w:val="00D947E3"/>
    <w:rsid w:val="00D948A9"/>
    <w:rsid w:val="00D94B18"/>
    <w:rsid w:val="00D94E19"/>
    <w:rsid w:val="00D94EE3"/>
    <w:rsid w:val="00D94EEB"/>
    <w:rsid w:val="00D951BD"/>
    <w:rsid w:val="00D95298"/>
    <w:rsid w:val="00D9538E"/>
    <w:rsid w:val="00D95461"/>
    <w:rsid w:val="00D956CA"/>
    <w:rsid w:val="00D95E4A"/>
    <w:rsid w:val="00D96657"/>
    <w:rsid w:val="00D968BC"/>
    <w:rsid w:val="00D96A3A"/>
    <w:rsid w:val="00D96B7E"/>
    <w:rsid w:val="00D96C42"/>
    <w:rsid w:val="00D96D71"/>
    <w:rsid w:val="00D96DF4"/>
    <w:rsid w:val="00D97648"/>
    <w:rsid w:val="00DA0050"/>
    <w:rsid w:val="00DA0238"/>
    <w:rsid w:val="00DA03F1"/>
    <w:rsid w:val="00DA07D6"/>
    <w:rsid w:val="00DA08E2"/>
    <w:rsid w:val="00DA08FE"/>
    <w:rsid w:val="00DA0A17"/>
    <w:rsid w:val="00DA161B"/>
    <w:rsid w:val="00DA1AF3"/>
    <w:rsid w:val="00DA248D"/>
    <w:rsid w:val="00DA26C8"/>
    <w:rsid w:val="00DA26F1"/>
    <w:rsid w:val="00DA2801"/>
    <w:rsid w:val="00DA282E"/>
    <w:rsid w:val="00DA2B75"/>
    <w:rsid w:val="00DA2BBF"/>
    <w:rsid w:val="00DA3437"/>
    <w:rsid w:val="00DA3704"/>
    <w:rsid w:val="00DA3855"/>
    <w:rsid w:val="00DA3881"/>
    <w:rsid w:val="00DA3907"/>
    <w:rsid w:val="00DA3A36"/>
    <w:rsid w:val="00DA3F0F"/>
    <w:rsid w:val="00DA43A3"/>
    <w:rsid w:val="00DA4795"/>
    <w:rsid w:val="00DA4A93"/>
    <w:rsid w:val="00DA4E6E"/>
    <w:rsid w:val="00DA5DFC"/>
    <w:rsid w:val="00DA61F0"/>
    <w:rsid w:val="00DA66F2"/>
    <w:rsid w:val="00DA6B31"/>
    <w:rsid w:val="00DA6B4A"/>
    <w:rsid w:val="00DA6C65"/>
    <w:rsid w:val="00DA70C0"/>
    <w:rsid w:val="00DA714E"/>
    <w:rsid w:val="00DA71CC"/>
    <w:rsid w:val="00DA7362"/>
    <w:rsid w:val="00DA76E2"/>
    <w:rsid w:val="00DA7B63"/>
    <w:rsid w:val="00DA7C3B"/>
    <w:rsid w:val="00DB0935"/>
    <w:rsid w:val="00DB0A6D"/>
    <w:rsid w:val="00DB10A1"/>
    <w:rsid w:val="00DB144C"/>
    <w:rsid w:val="00DB1599"/>
    <w:rsid w:val="00DB17BB"/>
    <w:rsid w:val="00DB228F"/>
    <w:rsid w:val="00DB2305"/>
    <w:rsid w:val="00DB24EE"/>
    <w:rsid w:val="00DB2A06"/>
    <w:rsid w:val="00DB2BB0"/>
    <w:rsid w:val="00DB2BFC"/>
    <w:rsid w:val="00DB32ED"/>
    <w:rsid w:val="00DB33CC"/>
    <w:rsid w:val="00DB37C5"/>
    <w:rsid w:val="00DB3843"/>
    <w:rsid w:val="00DB3869"/>
    <w:rsid w:val="00DB43D2"/>
    <w:rsid w:val="00DB455B"/>
    <w:rsid w:val="00DB4A41"/>
    <w:rsid w:val="00DB4E6F"/>
    <w:rsid w:val="00DB4F7F"/>
    <w:rsid w:val="00DB52BF"/>
    <w:rsid w:val="00DB58A9"/>
    <w:rsid w:val="00DB5F9A"/>
    <w:rsid w:val="00DB60E4"/>
    <w:rsid w:val="00DB61F4"/>
    <w:rsid w:val="00DB64B7"/>
    <w:rsid w:val="00DB66DB"/>
    <w:rsid w:val="00DB67F3"/>
    <w:rsid w:val="00DB75ED"/>
    <w:rsid w:val="00DB7D28"/>
    <w:rsid w:val="00DB7E2C"/>
    <w:rsid w:val="00DC0259"/>
    <w:rsid w:val="00DC02D2"/>
    <w:rsid w:val="00DC0456"/>
    <w:rsid w:val="00DC05B3"/>
    <w:rsid w:val="00DC0C4E"/>
    <w:rsid w:val="00DC0D59"/>
    <w:rsid w:val="00DC0EC0"/>
    <w:rsid w:val="00DC1399"/>
    <w:rsid w:val="00DC1485"/>
    <w:rsid w:val="00DC170C"/>
    <w:rsid w:val="00DC1757"/>
    <w:rsid w:val="00DC1B9D"/>
    <w:rsid w:val="00DC1FF4"/>
    <w:rsid w:val="00DC21BC"/>
    <w:rsid w:val="00DC2569"/>
    <w:rsid w:val="00DC277B"/>
    <w:rsid w:val="00DC36BE"/>
    <w:rsid w:val="00DC39AD"/>
    <w:rsid w:val="00DC3A0C"/>
    <w:rsid w:val="00DC3A87"/>
    <w:rsid w:val="00DC3BE3"/>
    <w:rsid w:val="00DC50C9"/>
    <w:rsid w:val="00DC59B8"/>
    <w:rsid w:val="00DC5AD4"/>
    <w:rsid w:val="00DC5BE4"/>
    <w:rsid w:val="00DC5C9F"/>
    <w:rsid w:val="00DC5CB0"/>
    <w:rsid w:val="00DC608A"/>
    <w:rsid w:val="00DC63CE"/>
    <w:rsid w:val="00DC67A8"/>
    <w:rsid w:val="00DC6A49"/>
    <w:rsid w:val="00DC6BE8"/>
    <w:rsid w:val="00DC6F56"/>
    <w:rsid w:val="00DC725F"/>
    <w:rsid w:val="00DC7367"/>
    <w:rsid w:val="00DC7F81"/>
    <w:rsid w:val="00DD070C"/>
    <w:rsid w:val="00DD0AD4"/>
    <w:rsid w:val="00DD0D31"/>
    <w:rsid w:val="00DD0FCA"/>
    <w:rsid w:val="00DD18E7"/>
    <w:rsid w:val="00DD1BA4"/>
    <w:rsid w:val="00DD1BC8"/>
    <w:rsid w:val="00DD21FC"/>
    <w:rsid w:val="00DD24C4"/>
    <w:rsid w:val="00DD25FB"/>
    <w:rsid w:val="00DD322F"/>
    <w:rsid w:val="00DD34B4"/>
    <w:rsid w:val="00DD34C6"/>
    <w:rsid w:val="00DD379A"/>
    <w:rsid w:val="00DD3A6F"/>
    <w:rsid w:val="00DD3E2E"/>
    <w:rsid w:val="00DD4173"/>
    <w:rsid w:val="00DD46BD"/>
    <w:rsid w:val="00DD488F"/>
    <w:rsid w:val="00DD4DA9"/>
    <w:rsid w:val="00DD5262"/>
    <w:rsid w:val="00DD533E"/>
    <w:rsid w:val="00DD548E"/>
    <w:rsid w:val="00DD57A8"/>
    <w:rsid w:val="00DD58AA"/>
    <w:rsid w:val="00DD5C69"/>
    <w:rsid w:val="00DD5DCC"/>
    <w:rsid w:val="00DD60C1"/>
    <w:rsid w:val="00DD61DA"/>
    <w:rsid w:val="00DD6707"/>
    <w:rsid w:val="00DD6944"/>
    <w:rsid w:val="00DD6CF2"/>
    <w:rsid w:val="00DD6FF0"/>
    <w:rsid w:val="00DD7582"/>
    <w:rsid w:val="00DD7AAF"/>
    <w:rsid w:val="00DD7D51"/>
    <w:rsid w:val="00DD7D5B"/>
    <w:rsid w:val="00DE024A"/>
    <w:rsid w:val="00DE05A4"/>
    <w:rsid w:val="00DE0803"/>
    <w:rsid w:val="00DE0FE3"/>
    <w:rsid w:val="00DE16FB"/>
    <w:rsid w:val="00DE194C"/>
    <w:rsid w:val="00DE218D"/>
    <w:rsid w:val="00DE240B"/>
    <w:rsid w:val="00DE24C3"/>
    <w:rsid w:val="00DE2E2B"/>
    <w:rsid w:val="00DE302B"/>
    <w:rsid w:val="00DE3094"/>
    <w:rsid w:val="00DE383F"/>
    <w:rsid w:val="00DE3983"/>
    <w:rsid w:val="00DE3C99"/>
    <w:rsid w:val="00DE408F"/>
    <w:rsid w:val="00DE4541"/>
    <w:rsid w:val="00DE454B"/>
    <w:rsid w:val="00DE474B"/>
    <w:rsid w:val="00DE4EB7"/>
    <w:rsid w:val="00DE505F"/>
    <w:rsid w:val="00DE5311"/>
    <w:rsid w:val="00DE5C59"/>
    <w:rsid w:val="00DE5FDB"/>
    <w:rsid w:val="00DE6099"/>
    <w:rsid w:val="00DE6227"/>
    <w:rsid w:val="00DE64CB"/>
    <w:rsid w:val="00DE64D8"/>
    <w:rsid w:val="00DE66B0"/>
    <w:rsid w:val="00DE6BF6"/>
    <w:rsid w:val="00DE6FFD"/>
    <w:rsid w:val="00DE7251"/>
    <w:rsid w:val="00DE7913"/>
    <w:rsid w:val="00DE7CA0"/>
    <w:rsid w:val="00DF0C51"/>
    <w:rsid w:val="00DF0D12"/>
    <w:rsid w:val="00DF16C1"/>
    <w:rsid w:val="00DF1A06"/>
    <w:rsid w:val="00DF1F3C"/>
    <w:rsid w:val="00DF21D3"/>
    <w:rsid w:val="00DF221B"/>
    <w:rsid w:val="00DF22E2"/>
    <w:rsid w:val="00DF2483"/>
    <w:rsid w:val="00DF2814"/>
    <w:rsid w:val="00DF29A4"/>
    <w:rsid w:val="00DF29A6"/>
    <w:rsid w:val="00DF2A1B"/>
    <w:rsid w:val="00DF2B1D"/>
    <w:rsid w:val="00DF2D90"/>
    <w:rsid w:val="00DF2F35"/>
    <w:rsid w:val="00DF35DE"/>
    <w:rsid w:val="00DF3676"/>
    <w:rsid w:val="00DF4213"/>
    <w:rsid w:val="00DF429D"/>
    <w:rsid w:val="00DF437B"/>
    <w:rsid w:val="00DF48F5"/>
    <w:rsid w:val="00DF4CA7"/>
    <w:rsid w:val="00DF4F1C"/>
    <w:rsid w:val="00DF5245"/>
    <w:rsid w:val="00DF5368"/>
    <w:rsid w:val="00DF5A8B"/>
    <w:rsid w:val="00DF5AB4"/>
    <w:rsid w:val="00DF5B98"/>
    <w:rsid w:val="00DF686F"/>
    <w:rsid w:val="00DF69CA"/>
    <w:rsid w:val="00DF6B72"/>
    <w:rsid w:val="00DF6DEB"/>
    <w:rsid w:val="00DF6F31"/>
    <w:rsid w:val="00DF70A1"/>
    <w:rsid w:val="00DF7477"/>
    <w:rsid w:val="00DF7509"/>
    <w:rsid w:val="00DF7A8F"/>
    <w:rsid w:val="00DF7AEF"/>
    <w:rsid w:val="00DF7F86"/>
    <w:rsid w:val="00DF7FED"/>
    <w:rsid w:val="00E0051A"/>
    <w:rsid w:val="00E00B07"/>
    <w:rsid w:val="00E00CFE"/>
    <w:rsid w:val="00E010EC"/>
    <w:rsid w:val="00E01250"/>
    <w:rsid w:val="00E01729"/>
    <w:rsid w:val="00E01744"/>
    <w:rsid w:val="00E01CD9"/>
    <w:rsid w:val="00E01D86"/>
    <w:rsid w:val="00E0212E"/>
    <w:rsid w:val="00E02B6D"/>
    <w:rsid w:val="00E02EA2"/>
    <w:rsid w:val="00E02F0B"/>
    <w:rsid w:val="00E0316F"/>
    <w:rsid w:val="00E032FF"/>
    <w:rsid w:val="00E0342B"/>
    <w:rsid w:val="00E03651"/>
    <w:rsid w:val="00E03A81"/>
    <w:rsid w:val="00E03E40"/>
    <w:rsid w:val="00E03F3D"/>
    <w:rsid w:val="00E0421C"/>
    <w:rsid w:val="00E0424E"/>
    <w:rsid w:val="00E042DC"/>
    <w:rsid w:val="00E04A5E"/>
    <w:rsid w:val="00E04BF3"/>
    <w:rsid w:val="00E04DBC"/>
    <w:rsid w:val="00E055D1"/>
    <w:rsid w:val="00E061D1"/>
    <w:rsid w:val="00E0635D"/>
    <w:rsid w:val="00E06458"/>
    <w:rsid w:val="00E0645D"/>
    <w:rsid w:val="00E06572"/>
    <w:rsid w:val="00E06DED"/>
    <w:rsid w:val="00E0720E"/>
    <w:rsid w:val="00E076A3"/>
    <w:rsid w:val="00E0787C"/>
    <w:rsid w:val="00E07C8D"/>
    <w:rsid w:val="00E07D84"/>
    <w:rsid w:val="00E10370"/>
    <w:rsid w:val="00E10436"/>
    <w:rsid w:val="00E10579"/>
    <w:rsid w:val="00E106B6"/>
    <w:rsid w:val="00E112C3"/>
    <w:rsid w:val="00E1138F"/>
    <w:rsid w:val="00E11395"/>
    <w:rsid w:val="00E11430"/>
    <w:rsid w:val="00E1158C"/>
    <w:rsid w:val="00E11BD3"/>
    <w:rsid w:val="00E11D12"/>
    <w:rsid w:val="00E11DF6"/>
    <w:rsid w:val="00E12754"/>
    <w:rsid w:val="00E128D6"/>
    <w:rsid w:val="00E12B1F"/>
    <w:rsid w:val="00E12C92"/>
    <w:rsid w:val="00E131B5"/>
    <w:rsid w:val="00E13494"/>
    <w:rsid w:val="00E13A61"/>
    <w:rsid w:val="00E13AAF"/>
    <w:rsid w:val="00E13C05"/>
    <w:rsid w:val="00E13DA3"/>
    <w:rsid w:val="00E14A2F"/>
    <w:rsid w:val="00E14C8C"/>
    <w:rsid w:val="00E15FAB"/>
    <w:rsid w:val="00E16145"/>
    <w:rsid w:val="00E1656F"/>
    <w:rsid w:val="00E16968"/>
    <w:rsid w:val="00E16C50"/>
    <w:rsid w:val="00E16E8F"/>
    <w:rsid w:val="00E16FC4"/>
    <w:rsid w:val="00E17314"/>
    <w:rsid w:val="00E17448"/>
    <w:rsid w:val="00E17737"/>
    <w:rsid w:val="00E17B4C"/>
    <w:rsid w:val="00E201D9"/>
    <w:rsid w:val="00E20513"/>
    <w:rsid w:val="00E20599"/>
    <w:rsid w:val="00E207E5"/>
    <w:rsid w:val="00E20EB1"/>
    <w:rsid w:val="00E21234"/>
    <w:rsid w:val="00E212BC"/>
    <w:rsid w:val="00E218AD"/>
    <w:rsid w:val="00E2215E"/>
    <w:rsid w:val="00E224AF"/>
    <w:rsid w:val="00E225A8"/>
    <w:rsid w:val="00E2285C"/>
    <w:rsid w:val="00E22889"/>
    <w:rsid w:val="00E2289D"/>
    <w:rsid w:val="00E228B7"/>
    <w:rsid w:val="00E229EF"/>
    <w:rsid w:val="00E22A54"/>
    <w:rsid w:val="00E22FFC"/>
    <w:rsid w:val="00E231DB"/>
    <w:rsid w:val="00E242C1"/>
    <w:rsid w:val="00E2467D"/>
    <w:rsid w:val="00E248EE"/>
    <w:rsid w:val="00E24D02"/>
    <w:rsid w:val="00E258B4"/>
    <w:rsid w:val="00E25B67"/>
    <w:rsid w:val="00E25FE6"/>
    <w:rsid w:val="00E263C6"/>
    <w:rsid w:val="00E26B1A"/>
    <w:rsid w:val="00E26E52"/>
    <w:rsid w:val="00E271D5"/>
    <w:rsid w:val="00E27722"/>
    <w:rsid w:val="00E2781C"/>
    <w:rsid w:val="00E3073B"/>
    <w:rsid w:val="00E30AD4"/>
    <w:rsid w:val="00E31C06"/>
    <w:rsid w:val="00E328DF"/>
    <w:rsid w:val="00E33B40"/>
    <w:rsid w:val="00E33D97"/>
    <w:rsid w:val="00E342DF"/>
    <w:rsid w:val="00E34721"/>
    <w:rsid w:val="00E3472C"/>
    <w:rsid w:val="00E349B3"/>
    <w:rsid w:val="00E34EB0"/>
    <w:rsid w:val="00E34EFB"/>
    <w:rsid w:val="00E35BD5"/>
    <w:rsid w:val="00E35CC2"/>
    <w:rsid w:val="00E35E69"/>
    <w:rsid w:val="00E365EA"/>
    <w:rsid w:val="00E36BFE"/>
    <w:rsid w:val="00E36E7C"/>
    <w:rsid w:val="00E370FF"/>
    <w:rsid w:val="00E37837"/>
    <w:rsid w:val="00E403A8"/>
    <w:rsid w:val="00E40442"/>
    <w:rsid w:val="00E40494"/>
    <w:rsid w:val="00E40E71"/>
    <w:rsid w:val="00E41767"/>
    <w:rsid w:val="00E4184B"/>
    <w:rsid w:val="00E4192A"/>
    <w:rsid w:val="00E41955"/>
    <w:rsid w:val="00E419A4"/>
    <w:rsid w:val="00E420E2"/>
    <w:rsid w:val="00E4252F"/>
    <w:rsid w:val="00E428B4"/>
    <w:rsid w:val="00E4308E"/>
    <w:rsid w:val="00E434CC"/>
    <w:rsid w:val="00E43702"/>
    <w:rsid w:val="00E43738"/>
    <w:rsid w:val="00E43B17"/>
    <w:rsid w:val="00E43B1D"/>
    <w:rsid w:val="00E44421"/>
    <w:rsid w:val="00E446AF"/>
    <w:rsid w:val="00E44831"/>
    <w:rsid w:val="00E4509D"/>
    <w:rsid w:val="00E45F8E"/>
    <w:rsid w:val="00E46257"/>
    <w:rsid w:val="00E4625B"/>
    <w:rsid w:val="00E46539"/>
    <w:rsid w:val="00E46A3A"/>
    <w:rsid w:val="00E4754A"/>
    <w:rsid w:val="00E47AC8"/>
    <w:rsid w:val="00E47ADB"/>
    <w:rsid w:val="00E47BB7"/>
    <w:rsid w:val="00E47D69"/>
    <w:rsid w:val="00E47FB6"/>
    <w:rsid w:val="00E507AD"/>
    <w:rsid w:val="00E5085E"/>
    <w:rsid w:val="00E50A16"/>
    <w:rsid w:val="00E50D59"/>
    <w:rsid w:val="00E50DAC"/>
    <w:rsid w:val="00E50F61"/>
    <w:rsid w:val="00E510B4"/>
    <w:rsid w:val="00E513E5"/>
    <w:rsid w:val="00E514F2"/>
    <w:rsid w:val="00E5161B"/>
    <w:rsid w:val="00E51756"/>
    <w:rsid w:val="00E51782"/>
    <w:rsid w:val="00E51B00"/>
    <w:rsid w:val="00E520F3"/>
    <w:rsid w:val="00E528D1"/>
    <w:rsid w:val="00E533E1"/>
    <w:rsid w:val="00E53B18"/>
    <w:rsid w:val="00E54418"/>
    <w:rsid w:val="00E54687"/>
    <w:rsid w:val="00E547DF"/>
    <w:rsid w:val="00E54E4A"/>
    <w:rsid w:val="00E54E4E"/>
    <w:rsid w:val="00E55034"/>
    <w:rsid w:val="00E551D2"/>
    <w:rsid w:val="00E55432"/>
    <w:rsid w:val="00E55A3C"/>
    <w:rsid w:val="00E5634A"/>
    <w:rsid w:val="00E565CB"/>
    <w:rsid w:val="00E5660B"/>
    <w:rsid w:val="00E56925"/>
    <w:rsid w:val="00E56994"/>
    <w:rsid w:val="00E56A19"/>
    <w:rsid w:val="00E56BE6"/>
    <w:rsid w:val="00E56CF7"/>
    <w:rsid w:val="00E56FE7"/>
    <w:rsid w:val="00E57394"/>
    <w:rsid w:val="00E6056D"/>
    <w:rsid w:val="00E60B09"/>
    <w:rsid w:val="00E60B65"/>
    <w:rsid w:val="00E60C03"/>
    <w:rsid w:val="00E612B7"/>
    <w:rsid w:val="00E61A39"/>
    <w:rsid w:val="00E61ADE"/>
    <w:rsid w:val="00E61D1A"/>
    <w:rsid w:val="00E61F6D"/>
    <w:rsid w:val="00E6203E"/>
    <w:rsid w:val="00E6252D"/>
    <w:rsid w:val="00E631F9"/>
    <w:rsid w:val="00E6393F"/>
    <w:rsid w:val="00E63DC4"/>
    <w:rsid w:val="00E63EFF"/>
    <w:rsid w:val="00E63F7C"/>
    <w:rsid w:val="00E64953"/>
    <w:rsid w:val="00E64A61"/>
    <w:rsid w:val="00E64BE9"/>
    <w:rsid w:val="00E651B4"/>
    <w:rsid w:val="00E652C3"/>
    <w:rsid w:val="00E652DA"/>
    <w:rsid w:val="00E654FE"/>
    <w:rsid w:val="00E6573F"/>
    <w:rsid w:val="00E658F9"/>
    <w:rsid w:val="00E65A35"/>
    <w:rsid w:val="00E65CDF"/>
    <w:rsid w:val="00E66464"/>
    <w:rsid w:val="00E6693B"/>
    <w:rsid w:val="00E66940"/>
    <w:rsid w:val="00E6718A"/>
    <w:rsid w:val="00E67613"/>
    <w:rsid w:val="00E676C3"/>
    <w:rsid w:val="00E677DC"/>
    <w:rsid w:val="00E67E26"/>
    <w:rsid w:val="00E707F3"/>
    <w:rsid w:val="00E70FEF"/>
    <w:rsid w:val="00E7165D"/>
    <w:rsid w:val="00E716F2"/>
    <w:rsid w:val="00E71CDD"/>
    <w:rsid w:val="00E724BA"/>
    <w:rsid w:val="00E726EA"/>
    <w:rsid w:val="00E727FA"/>
    <w:rsid w:val="00E728E0"/>
    <w:rsid w:val="00E72D9C"/>
    <w:rsid w:val="00E72F69"/>
    <w:rsid w:val="00E73036"/>
    <w:rsid w:val="00E73450"/>
    <w:rsid w:val="00E73AF0"/>
    <w:rsid w:val="00E73BCE"/>
    <w:rsid w:val="00E73C11"/>
    <w:rsid w:val="00E73C86"/>
    <w:rsid w:val="00E743F7"/>
    <w:rsid w:val="00E74550"/>
    <w:rsid w:val="00E7465A"/>
    <w:rsid w:val="00E74739"/>
    <w:rsid w:val="00E74819"/>
    <w:rsid w:val="00E74E69"/>
    <w:rsid w:val="00E74F2D"/>
    <w:rsid w:val="00E74F52"/>
    <w:rsid w:val="00E75122"/>
    <w:rsid w:val="00E756D5"/>
    <w:rsid w:val="00E75EFF"/>
    <w:rsid w:val="00E76341"/>
    <w:rsid w:val="00E76DBC"/>
    <w:rsid w:val="00E7757A"/>
    <w:rsid w:val="00E77752"/>
    <w:rsid w:val="00E7795A"/>
    <w:rsid w:val="00E800FB"/>
    <w:rsid w:val="00E80957"/>
    <w:rsid w:val="00E80B7D"/>
    <w:rsid w:val="00E8110B"/>
    <w:rsid w:val="00E814DD"/>
    <w:rsid w:val="00E817B0"/>
    <w:rsid w:val="00E81986"/>
    <w:rsid w:val="00E82733"/>
    <w:rsid w:val="00E82C5B"/>
    <w:rsid w:val="00E831F5"/>
    <w:rsid w:val="00E8345F"/>
    <w:rsid w:val="00E83B2E"/>
    <w:rsid w:val="00E83DE6"/>
    <w:rsid w:val="00E84033"/>
    <w:rsid w:val="00E84606"/>
    <w:rsid w:val="00E849FE"/>
    <w:rsid w:val="00E84A44"/>
    <w:rsid w:val="00E84C5A"/>
    <w:rsid w:val="00E84F5B"/>
    <w:rsid w:val="00E85542"/>
    <w:rsid w:val="00E8556A"/>
    <w:rsid w:val="00E855AA"/>
    <w:rsid w:val="00E8581B"/>
    <w:rsid w:val="00E860E3"/>
    <w:rsid w:val="00E86180"/>
    <w:rsid w:val="00E862C8"/>
    <w:rsid w:val="00E863C6"/>
    <w:rsid w:val="00E872B9"/>
    <w:rsid w:val="00E8735C"/>
    <w:rsid w:val="00E8761A"/>
    <w:rsid w:val="00E877B9"/>
    <w:rsid w:val="00E87C3B"/>
    <w:rsid w:val="00E87DCC"/>
    <w:rsid w:val="00E900B8"/>
    <w:rsid w:val="00E9054B"/>
    <w:rsid w:val="00E9071C"/>
    <w:rsid w:val="00E9079C"/>
    <w:rsid w:val="00E908B0"/>
    <w:rsid w:val="00E90B88"/>
    <w:rsid w:val="00E9110B"/>
    <w:rsid w:val="00E91195"/>
    <w:rsid w:val="00E91695"/>
    <w:rsid w:val="00E91A9B"/>
    <w:rsid w:val="00E91AC7"/>
    <w:rsid w:val="00E91D84"/>
    <w:rsid w:val="00E92384"/>
    <w:rsid w:val="00E92406"/>
    <w:rsid w:val="00E92546"/>
    <w:rsid w:val="00E928F8"/>
    <w:rsid w:val="00E92FC6"/>
    <w:rsid w:val="00E93009"/>
    <w:rsid w:val="00E932B1"/>
    <w:rsid w:val="00E93729"/>
    <w:rsid w:val="00E93848"/>
    <w:rsid w:val="00E938A1"/>
    <w:rsid w:val="00E9396F"/>
    <w:rsid w:val="00E93EE9"/>
    <w:rsid w:val="00E94172"/>
    <w:rsid w:val="00E9423F"/>
    <w:rsid w:val="00E944B7"/>
    <w:rsid w:val="00E9461B"/>
    <w:rsid w:val="00E94782"/>
    <w:rsid w:val="00E94826"/>
    <w:rsid w:val="00E94AC3"/>
    <w:rsid w:val="00E94ED7"/>
    <w:rsid w:val="00E95082"/>
    <w:rsid w:val="00E95A8C"/>
    <w:rsid w:val="00E96238"/>
    <w:rsid w:val="00E9651E"/>
    <w:rsid w:val="00E9655A"/>
    <w:rsid w:val="00E965EF"/>
    <w:rsid w:val="00E969C2"/>
    <w:rsid w:val="00E96D59"/>
    <w:rsid w:val="00E970F6"/>
    <w:rsid w:val="00E97478"/>
    <w:rsid w:val="00E97613"/>
    <w:rsid w:val="00E9771E"/>
    <w:rsid w:val="00E97757"/>
    <w:rsid w:val="00E9799E"/>
    <w:rsid w:val="00E97BE6"/>
    <w:rsid w:val="00EA017C"/>
    <w:rsid w:val="00EA06DC"/>
    <w:rsid w:val="00EA0B71"/>
    <w:rsid w:val="00EA0BAE"/>
    <w:rsid w:val="00EA0C9F"/>
    <w:rsid w:val="00EA0D13"/>
    <w:rsid w:val="00EA12FC"/>
    <w:rsid w:val="00EA1C55"/>
    <w:rsid w:val="00EA1D64"/>
    <w:rsid w:val="00EA1E5A"/>
    <w:rsid w:val="00EA2076"/>
    <w:rsid w:val="00EA2353"/>
    <w:rsid w:val="00EA24E7"/>
    <w:rsid w:val="00EA2BBB"/>
    <w:rsid w:val="00EA2C71"/>
    <w:rsid w:val="00EA3096"/>
    <w:rsid w:val="00EA3268"/>
    <w:rsid w:val="00EA327A"/>
    <w:rsid w:val="00EA379E"/>
    <w:rsid w:val="00EA3AD8"/>
    <w:rsid w:val="00EA3DB3"/>
    <w:rsid w:val="00EA3E84"/>
    <w:rsid w:val="00EA4241"/>
    <w:rsid w:val="00EA44F4"/>
    <w:rsid w:val="00EA4D1B"/>
    <w:rsid w:val="00EA4F18"/>
    <w:rsid w:val="00EA4F3D"/>
    <w:rsid w:val="00EA4FFA"/>
    <w:rsid w:val="00EA5191"/>
    <w:rsid w:val="00EA5697"/>
    <w:rsid w:val="00EA5BA3"/>
    <w:rsid w:val="00EA5C3F"/>
    <w:rsid w:val="00EA6179"/>
    <w:rsid w:val="00EA6AFB"/>
    <w:rsid w:val="00EA6D0C"/>
    <w:rsid w:val="00EA6D46"/>
    <w:rsid w:val="00EA709A"/>
    <w:rsid w:val="00EA730E"/>
    <w:rsid w:val="00EA737E"/>
    <w:rsid w:val="00EA778C"/>
    <w:rsid w:val="00EA7C5E"/>
    <w:rsid w:val="00EA7DC9"/>
    <w:rsid w:val="00EB0CB3"/>
    <w:rsid w:val="00EB0CCA"/>
    <w:rsid w:val="00EB14A9"/>
    <w:rsid w:val="00EB15DC"/>
    <w:rsid w:val="00EB1629"/>
    <w:rsid w:val="00EB1DEB"/>
    <w:rsid w:val="00EB2859"/>
    <w:rsid w:val="00EB28A6"/>
    <w:rsid w:val="00EB341F"/>
    <w:rsid w:val="00EB3BB1"/>
    <w:rsid w:val="00EB3DF5"/>
    <w:rsid w:val="00EB4007"/>
    <w:rsid w:val="00EB4486"/>
    <w:rsid w:val="00EB4535"/>
    <w:rsid w:val="00EB456C"/>
    <w:rsid w:val="00EB4CB0"/>
    <w:rsid w:val="00EB4E69"/>
    <w:rsid w:val="00EB5205"/>
    <w:rsid w:val="00EB5207"/>
    <w:rsid w:val="00EB54A5"/>
    <w:rsid w:val="00EB5521"/>
    <w:rsid w:val="00EB594C"/>
    <w:rsid w:val="00EB5A6E"/>
    <w:rsid w:val="00EB623E"/>
    <w:rsid w:val="00EB65E6"/>
    <w:rsid w:val="00EB6B1A"/>
    <w:rsid w:val="00EB6C0F"/>
    <w:rsid w:val="00EB6D5D"/>
    <w:rsid w:val="00EB6F04"/>
    <w:rsid w:val="00EB7147"/>
    <w:rsid w:val="00EB727B"/>
    <w:rsid w:val="00EB7398"/>
    <w:rsid w:val="00EB743A"/>
    <w:rsid w:val="00EB7933"/>
    <w:rsid w:val="00EB7D2F"/>
    <w:rsid w:val="00EC007B"/>
    <w:rsid w:val="00EC007C"/>
    <w:rsid w:val="00EC00D6"/>
    <w:rsid w:val="00EC068C"/>
    <w:rsid w:val="00EC07AC"/>
    <w:rsid w:val="00EC0842"/>
    <w:rsid w:val="00EC0D92"/>
    <w:rsid w:val="00EC1440"/>
    <w:rsid w:val="00EC18D5"/>
    <w:rsid w:val="00EC18F7"/>
    <w:rsid w:val="00EC1AF5"/>
    <w:rsid w:val="00EC208F"/>
    <w:rsid w:val="00EC2939"/>
    <w:rsid w:val="00EC2A28"/>
    <w:rsid w:val="00EC2D7E"/>
    <w:rsid w:val="00EC3072"/>
    <w:rsid w:val="00EC3443"/>
    <w:rsid w:val="00EC3BFD"/>
    <w:rsid w:val="00EC3CDF"/>
    <w:rsid w:val="00EC46BC"/>
    <w:rsid w:val="00EC4C70"/>
    <w:rsid w:val="00EC5046"/>
    <w:rsid w:val="00EC5CCB"/>
    <w:rsid w:val="00EC604D"/>
    <w:rsid w:val="00EC65E9"/>
    <w:rsid w:val="00EC6642"/>
    <w:rsid w:val="00EC6C65"/>
    <w:rsid w:val="00EC7323"/>
    <w:rsid w:val="00EC7421"/>
    <w:rsid w:val="00EC7912"/>
    <w:rsid w:val="00EC7C92"/>
    <w:rsid w:val="00EC7CF3"/>
    <w:rsid w:val="00EC7E75"/>
    <w:rsid w:val="00ED02B1"/>
    <w:rsid w:val="00ED0390"/>
    <w:rsid w:val="00ED043B"/>
    <w:rsid w:val="00ED0613"/>
    <w:rsid w:val="00ED14B4"/>
    <w:rsid w:val="00ED2003"/>
    <w:rsid w:val="00ED2475"/>
    <w:rsid w:val="00ED2B24"/>
    <w:rsid w:val="00ED2FB4"/>
    <w:rsid w:val="00ED2FB5"/>
    <w:rsid w:val="00ED325B"/>
    <w:rsid w:val="00ED380A"/>
    <w:rsid w:val="00ED39C8"/>
    <w:rsid w:val="00ED3A04"/>
    <w:rsid w:val="00ED3A97"/>
    <w:rsid w:val="00ED3EC8"/>
    <w:rsid w:val="00ED3FD2"/>
    <w:rsid w:val="00ED4066"/>
    <w:rsid w:val="00ED428E"/>
    <w:rsid w:val="00ED4817"/>
    <w:rsid w:val="00ED4B93"/>
    <w:rsid w:val="00ED5065"/>
    <w:rsid w:val="00ED5AE2"/>
    <w:rsid w:val="00ED662A"/>
    <w:rsid w:val="00ED7551"/>
    <w:rsid w:val="00ED76E1"/>
    <w:rsid w:val="00ED79C4"/>
    <w:rsid w:val="00ED7FF3"/>
    <w:rsid w:val="00EE0C85"/>
    <w:rsid w:val="00EE112F"/>
    <w:rsid w:val="00EE18EE"/>
    <w:rsid w:val="00EE1A0F"/>
    <w:rsid w:val="00EE21F9"/>
    <w:rsid w:val="00EE24BA"/>
    <w:rsid w:val="00EE2BDD"/>
    <w:rsid w:val="00EE2EAC"/>
    <w:rsid w:val="00EE32CC"/>
    <w:rsid w:val="00EE32F8"/>
    <w:rsid w:val="00EE352B"/>
    <w:rsid w:val="00EE3743"/>
    <w:rsid w:val="00EE385C"/>
    <w:rsid w:val="00EE3DA0"/>
    <w:rsid w:val="00EE414A"/>
    <w:rsid w:val="00EE447A"/>
    <w:rsid w:val="00EE44E7"/>
    <w:rsid w:val="00EE45ED"/>
    <w:rsid w:val="00EE494E"/>
    <w:rsid w:val="00EE4D4D"/>
    <w:rsid w:val="00EE4E12"/>
    <w:rsid w:val="00EE4FAC"/>
    <w:rsid w:val="00EE5085"/>
    <w:rsid w:val="00EE5511"/>
    <w:rsid w:val="00EE56EA"/>
    <w:rsid w:val="00EE5DA3"/>
    <w:rsid w:val="00EE5EED"/>
    <w:rsid w:val="00EE62A1"/>
    <w:rsid w:val="00EE6876"/>
    <w:rsid w:val="00EE6B07"/>
    <w:rsid w:val="00EE725E"/>
    <w:rsid w:val="00EE76B7"/>
    <w:rsid w:val="00EE7A0A"/>
    <w:rsid w:val="00EE7FD8"/>
    <w:rsid w:val="00EF0329"/>
    <w:rsid w:val="00EF0704"/>
    <w:rsid w:val="00EF094A"/>
    <w:rsid w:val="00EF0D8A"/>
    <w:rsid w:val="00EF1277"/>
    <w:rsid w:val="00EF1501"/>
    <w:rsid w:val="00EF2491"/>
    <w:rsid w:val="00EF2986"/>
    <w:rsid w:val="00EF2B04"/>
    <w:rsid w:val="00EF3045"/>
    <w:rsid w:val="00EF38E4"/>
    <w:rsid w:val="00EF3B2E"/>
    <w:rsid w:val="00EF3CCF"/>
    <w:rsid w:val="00EF3E70"/>
    <w:rsid w:val="00EF3F37"/>
    <w:rsid w:val="00EF447E"/>
    <w:rsid w:val="00EF496A"/>
    <w:rsid w:val="00EF4C55"/>
    <w:rsid w:val="00EF4D3B"/>
    <w:rsid w:val="00EF563B"/>
    <w:rsid w:val="00EF58D7"/>
    <w:rsid w:val="00EF58ED"/>
    <w:rsid w:val="00EF5AC7"/>
    <w:rsid w:val="00EF5BF4"/>
    <w:rsid w:val="00EF5D88"/>
    <w:rsid w:val="00EF6466"/>
    <w:rsid w:val="00EF6571"/>
    <w:rsid w:val="00EF666B"/>
    <w:rsid w:val="00EF6858"/>
    <w:rsid w:val="00EF6DB3"/>
    <w:rsid w:val="00EF6E30"/>
    <w:rsid w:val="00EF7048"/>
    <w:rsid w:val="00EF7511"/>
    <w:rsid w:val="00EF7513"/>
    <w:rsid w:val="00EF7601"/>
    <w:rsid w:val="00EF7834"/>
    <w:rsid w:val="00EF79A3"/>
    <w:rsid w:val="00EF7B8D"/>
    <w:rsid w:val="00EF7BD4"/>
    <w:rsid w:val="00EF7D9A"/>
    <w:rsid w:val="00EF7EE6"/>
    <w:rsid w:val="00F0007C"/>
    <w:rsid w:val="00F001D1"/>
    <w:rsid w:val="00F00872"/>
    <w:rsid w:val="00F00976"/>
    <w:rsid w:val="00F00B01"/>
    <w:rsid w:val="00F00FD4"/>
    <w:rsid w:val="00F014AA"/>
    <w:rsid w:val="00F01A15"/>
    <w:rsid w:val="00F01A80"/>
    <w:rsid w:val="00F0261D"/>
    <w:rsid w:val="00F0273A"/>
    <w:rsid w:val="00F02F08"/>
    <w:rsid w:val="00F02FE6"/>
    <w:rsid w:val="00F03CCE"/>
    <w:rsid w:val="00F03EA8"/>
    <w:rsid w:val="00F04C2F"/>
    <w:rsid w:val="00F04ED0"/>
    <w:rsid w:val="00F0527E"/>
    <w:rsid w:val="00F05318"/>
    <w:rsid w:val="00F05348"/>
    <w:rsid w:val="00F05554"/>
    <w:rsid w:val="00F05EFD"/>
    <w:rsid w:val="00F06B7E"/>
    <w:rsid w:val="00F06C75"/>
    <w:rsid w:val="00F06CE7"/>
    <w:rsid w:val="00F06EB0"/>
    <w:rsid w:val="00F0705D"/>
    <w:rsid w:val="00F0747D"/>
    <w:rsid w:val="00F07850"/>
    <w:rsid w:val="00F07A3D"/>
    <w:rsid w:val="00F101C6"/>
    <w:rsid w:val="00F10428"/>
    <w:rsid w:val="00F1090E"/>
    <w:rsid w:val="00F10BD4"/>
    <w:rsid w:val="00F10DC3"/>
    <w:rsid w:val="00F10F1C"/>
    <w:rsid w:val="00F11655"/>
    <w:rsid w:val="00F11C1F"/>
    <w:rsid w:val="00F11C35"/>
    <w:rsid w:val="00F12136"/>
    <w:rsid w:val="00F12585"/>
    <w:rsid w:val="00F125AB"/>
    <w:rsid w:val="00F12750"/>
    <w:rsid w:val="00F12838"/>
    <w:rsid w:val="00F12AB5"/>
    <w:rsid w:val="00F12B20"/>
    <w:rsid w:val="00F12DF7"/>
    <w:rsid w:val="00F12F92"/>
    <w:rsid w:val="00F13103"/>
    <w:rsid w:val="00F1328F"/>
    <w:rsid w:val="00F13985"/>
    <w:rsid w:val="00F13C81"/>
    <w:rsid w:val="00F1426D"/>
    <w:rsid w:val="00F14B76"/>
    <w:rsid w:val="00F14B7A"/>
    <w:rsid w:val="00F14D3E"/>
    <w:rsid w:val="00F14FA7"/>
    <w:rsid w:val="00F150C0"/>
    <w:rsid w:val="00F15126"/>
    <w:rsid w:val="00F1520D"/>
    <w:rsid w:val="00F15591"/>
    <w:rsid w:val="00F15BC4"/>
    <w:rsid w:val="00F15D06"/>
    <w:rsid w:val="00F15EE2"/>
    <w:rsid w:val="00F16665"/>
    <w:rsid w:val="00F16934"/>
    <w:rsid w:val="00F16CA3"/>
    <w:rsid w:val="00F171C3"/>
    <w:rsid w:val="00F172C2"/>
    <w:rsid w:val="00F17304"/>
    <w:rsid w:val="00F17403"/>
    <w:rsid w:val="00F17A9D"/>
    <w:rsid w:val="00F17E04"/>
    <w:rsid w:val="00F20209"/>
    <w:rsid w:val="00F2042E"/>
    <w:rsid w:val="00F2073C"/>
    <w:rsid w:val="00F2080B"/>
    <w:rsid w:val="00F2097A"/>
    <w:rsid w:val="00F20AA5"/>
    <w:rsid w:val="00F21062"/>
    <w:rsid w:val="00F219C5"/>
    <w:rsid w:val="00F21CDE"/>
    <w:rsid w:val="00F22B2C"/>
    <w:rsid w:val="00F22D4A"/>
    <w:rsid w:val="00F22E6E"/>
    <w:rsid w:val="00F22FBA"/>
    <w:rsid w:val="00F23186"/>
    <w:rsid w:val="00F23479"/>
    <w:rsid w:val="00F23B96"/>
    <w:rsid w:val="00F23FFE"/>
    <w:rsid w:val="00F2401A"/>
    <w:rsid w:val="00F24BBE"/>
    <w:rsid w:val="00F24EF5"/>
    <w:rsid w:val="00F25246"/>
    <w:rsid w:val="00F25308"/>
    <w:rsid w:val="00F2669D"/>
    <w:rsid w:val="00F26928"/>
    <w:rsid w:val="00F2784E"/>
    <w:rsid w:val="00F27A3F"/>
    <w:rsid w:val="00F27AC9"/>
    <w:rsid w:val="00F27E6B"/>
    <w:rsid w:val="00F27EC9"/>
    <w:rsid w:val="00F3098C"/>
    <w:rsid w:val="00F30A09"/>
    <w:rsid w:val="00F31220"/>
    <w:rsid w:val="00F31700"/>
    <w:rsid w:val="00F317FE"/>
    <w:rsid w:val="00F31B11"/>
    <w:rsid w:val="00F31B9F"/>
    <w:rsid w:val="00F31BB7"/>
    <w:rsid w:val="00F3274E"/>
    <w:rsid w:val="00F32858"/>
    <w:rsid w:val="00F328F1"/>
    <w:rsid w:val="00F33201"/>
    <w:rsid w:val="00F3335E"/>
    <w:rsid w:val="00F33427"/>
    <w:rsid w:val="00F33DD3"/>
    <w:rsid w:val="00F342D1"/>
    <w:rsid w:val="00F34342"/>
    <w:rsid w:val="00F34812"/>
    <w:rsid w:val="00F348DA"/>
    <w:rsid w:val="00F34EA8"/>
    <w:rsid w:val="00F34F65"/>
    <w:rsid w:val="00F35080"/>
    <w:rsid w:val="00F3541D"/>
    <w:rsid w:val="00F3549B"/>
    <w:rsid w:val="00F35511"/>
    <w:rsid w:val="00F35875"/>
    <w:rsid w:val="00F358CB"/>
    <w:rsid w:val="00F35A9A"/>
    <w:rsid w:val="00F35BB8"/>
    <w:rsid w:val="00F35C2D"/>
    <w:rsid w:val="00F36212"/>
    <w:rsid w:val="00F3647D"/>
    <w:rsid w:val="00F364B0"/>
    <w:rsid w:val="00F36D71"/>
    <w:rsid w:val="00F36DD1"/>
    <w:rsid w:val="00F36E83"/>
    <w:rsid w:val="00F36FB2"/>
    <w:rsid w:val="00F37B9B"/>
    <w:rsid w:val="00F37DA2"/>
    <w:rsid w:val="00F4008D"/>
    <w:rsid w:val="00F400F9"/>
    <w:rsid w:val="00F40135"/>
    <w:rsid w:val="00F403CF"/>
    <w:rsid w:val="00F4052E"/>
    <w:rsid w:val="00F40677"/>
    <w:rsid w:val="00F40FF7"/>
    <w:rsid w:val="00F41B4A"/>
    <w:rsid w:val="00F4207C"/>
    <w:rsid w:val="00F42260"/>
    <w:rsid w:val="00F42579"/>
    <w:rsid w:val="00F42692"/>
    <w:rsid w:val="00F428B2"/>
    <w:rsid w:val="00F42CFE"/>
    <w:rsid w:val="00F42E64"/>
    <w:rsid w:val="00F43596"/>
    <w:rsid w:val="00F4430A"/>
    <w:rsid w:val="00F44445"/>
    <w:rsid w:val="00F447F2"/>
    <w:rsid w:val="00F44A89"/>
    <w:rsid w:val="00F44CF6"/>
    <w:rsid w:val="00F44D19"/>
    <w:rsid w:val="00F44D53"/>
    <w:rsid w:val="00F44E02"/>
    <w:rsid w:val="00F44F03"/>
    <w:rsid w:val="00F451D3"/>
    <w:rsid w:val="00F45475"/>
    <w:rsid w:val="00F456AD"/>
    <w:rsid w:val="00F45774"/>
    <w:rsid w:val="00F460A2"/>
    <w:rsid w:val="00F46252"/>
    <w:rsid w:val="00F466ED"/>
    <w:rsid w:val="00F467B9"/>
    <w:rsid w:val="00F46E7E"/>
    <w:rsid w:val="00F47268"/>
    <w:rsid w:val="00F47487"/>
    <w:rsid w:val="00F50046"/>
    <w:rsid w:val="00F5034C"/>
    <w:rsid w:val="00F50371"/>
    <w:rsid w:val="00F50423"/>
    <w:rsid w:val="00F50446"/>
    <w:rsid w:val="00F504D4"/>
    <w:rsid w:val="00F5066F"/>
    <w:rsid w:val="00F50FB4"/>
    <w:rsid w:val="00F510DF"/>
    <w:rsid w:val="00F510E9"/>
    <w:rsid w:val="00F5159E"/>
    <w:rsid w:val="00F52039"/>
    <w:rsid w:val="00F520BC"/>
    <w:rsid w:val="00F521BB"/>
    <w:rsid w:val="00F523F4"/>
    <w:rsid w:val="00F528F2"/>
    <w:rsid w:val="00F529BC"/>
    <w:rsid w:val="00F52AE0"/>
    <w:rsid w:val="00F531A7"/>
    <w:rsid w:val="00F5320E"/>
    <w:rsid w:val="00F5331B"/>
    <w:rsid w:val="00F53996"/>
    <w:rsid w:val="00F53C27"/>
    <w:rsid w:val="00F53E76"/>
    <w:rsid w:val="00F540A9"/>
    <w:rsid w:val="00F54D3E"/>
    <w:rsid w:val="00F55242"/>
    <w:rsid w:val="00F5527F"/>
    <w:rsid w:val="00F553B4"/>
    <w:rsid w:val="00F554AF"/>
    <w:rsid w:val="00F55AD9"/>
    <w:rsid w:val="00F567E6"/>
    <w:rsid w:val="00F5692A"/>
    <w:rsid w:val="00F56961"/>
    <w:rsid w:val="00F56AEB"/>
    <w:rsid w:val="00F572A5"/>
    <w:rsid w:val="00F578B3"/>
    <w:rsid w:val="00F60A97"/>
    <w:rsid w:val="00F60B31"/>
    <w:rsid w:val="00F6130D"/>
    <w:rsid w:val="00F61323"/>
    <w:rsid w:val="00F62493"/>
    <w:rsid w:val="00F625A8"/>
    <w:rsid w:val="00F6279B"/>
    <w:rsid w:val="00F62D58"/>
    <w:rsid w:val="00F6307D"/>
    <w:rsid w:val="00F630EE"/>
    <w:rsid w:val="00F632AC"/>
    <w:rsid w:val="00F6378A"/>
    <w:rsid w:val="00F63FED"/>
    <w:rsid w:val="00F6408C"/>
    <w:rsid w:val="00F64824"/>
    <w:rsid w:val="00F64B34"/>
    <w:rsid w:val="00F64C12"/>
    <w:rsid w:val="00F64D5F"/>
    <w:rsid w:val="00F64D8E"/>
    <w:rsid w:val="00F64E4D"/>
    <w:rsid w:val="00F65114"/>
    <w:rsid w:val="00F65B8D"/>
    <w:rsid w:val="00F65CD7"/>
    <w:rsid w:val="00F66298"/>
    <w:rsid w:val="00F662A8"/>
    <w:rsid w:val="00F6631B"/>
    <w:rsid w:val="00F6637C"/>
    <w:rsid w:val="00F669AE"/>
    <w:rsid w:val="00F66B80"/>
    <w:rsid w:val="00F66C45"/>
    <w:rsid w:val="00F66CFD"/>
    <w:rsid w:val="00F66EC3"/>
    <w:rsid w:val="00F672E0"/>
    <w:rsid w:val="00F6733E"/>
    <w:rsid w:val="00F674C1"/>
    <w:rsid w:val="00F674C2"/>
    <w:rsid w:val="00F678B7"/>
    <w:rsid w:val="00F67BF7"/>
    <w:rsid w:val="00F67CFC"/>
    <w:rsid w:val="00F67D2F"/>
    <w:rsid w:val="00F70894"/>
    <w:rsid w:val="00F7091E"/>
    <w:rsid w:val="00F70C39"/>
    <w:rsid w:val="00F70D22"/>
    <w:rsid w:val="00F7199B"/>
    <w:rsid w:val="00F71C5B"/>
    <w:rsid w:val="00F71D4B"/>
    <w:rsid w:val="00F72428"/>
    <w:rsid w:val="00F725F6"/>
    <w:rsid w:val="00F72A15"/>
    <w:rsid w:val="00F730E1"/>
    <w:rsid w:val="00F73529"/>
    <w:rsid w:val="00F7352A"/>
    <w:rsid w:val="00F73747"/>
    <w:rsid w:val="00F73A1A"/>
    <w:rsid w:val="00F73A33"/>
    <w:rsid w:val="00F73EF7"/>
    <w:rsid w:val="00F7449F"/>
    <w:rsid w:val="00F74A6C"/>
    <w:rsid w:val="00F74AA7"/>
    <w:rsid w:val="00F75430"/>
    <w:rsid w:val="00F7557D"/>
    <w:rsid w:val="00F759B5"/>
    <w:rsid w:val="00F75B56"/>
    <w:rsid w:val="00F75D0F"/>
    <w:rsid w:val="00F75F46"/>
    <w:rsid w:val="00F7639C"/>
    <w:rsid w:val="00F76535"/>
    <w:rsid w:val="00F7670A"/>
    <w:rsid w:val="00F7683C"/>
    <w:rsid w:val="00F76A8C"/>
    <w:rsid w:val="00F76B09"/>
    <w:rsid w:val="00F76FB8"/>
    <w:rsid w:val="00F77784"/>
    <w:rsid w:val="00F8034B"/>
    <w:rsid w:val="00F8055B"/>
    <w:rsid w:val="00F80929"/>
    <w:rsid w:val="00F80D7B"/>
    <w:rsid w:val="00F81129"/>
    <w:rsid w:val="00F816BF"/>
    <w:rsid w:val="00F8192A"/>
    <w:rsid w:val="00F8196C"/>
    <w:rsid w:val="00F81A46"/>
    <w:rsid w:val="00F81CF6"/>
    <w:rsid w:val="00F83125"/>
    <w:rsid w:val="00F83636"/>
    <w:rsid w:val="00F83F72"/>
    <w:rsid w:val="00F84299"/>
    <w:rsid w:val="00F845BE"/>
    <w:rsid w:val="00F849B5"/>
    <w:rsid w:val="00F84A55"/>
    <w:rsid w:val="00F84DCB"/>
    <w:rsid w:val="00F8506E"/>
    <w:rsid w:val="00F850F9"/>
    <w:rsid w:val="00F85167"/>
    <w:rsid w:val="00F85198"/>
    <w:rsid w:val="00F85472"/>
    <w:rsid w:val="00F8548E"/>
    <w:rsid w:val="00F85690"/>
    <w:rsid w:val="00F865AE"/>
    <w:rsid w:val="00F8660C"/>
    <w:rsid w:val="00F86653"/>
    <w:rsid w:val="00F87045"/>
    <w:rsid w:val="00F87143"/>
    <w:rsid w:val="00F877E8"/>
    <w:rsid w:val="00F903E4"/>
    <w:rsid w:val="00F90555"/>
    <w:rsid w:val="00F90688"/>
    <w:rsid w:val="00F909FC"/>
    <w:rsid w:val="00F90D69"/>
    <w:rsid w:val="00F9115F"/>
    <w:rsid w:val="00F91345"/>
    <w:rsid w:val="00F91389"/>
    <w:rsid w:val="00F913E4"/>
    <w:rsid w:val="00F915C3"/>
    <w:rsid w:val="00F91911"/>
    <w:rsid w:val="00F91B53"/>
    <w:rsid w:val="00F92799"/>
    <w:rsid w:val="00F92883"/>
    <w:rsid w:val="00F928BD"/>
    <w:rsid w:val="00F92C44"/>
    <w:rsid w:val="00F92EB4"/>
    <w:rsid w:val="00F932B3"/>
    <w:rsid w:val="00F93335"/>
    <w:rsid w:val="00F934B0"/>
    <w:rsid w:val="00F935CD"/>
    <w:rsid w:val="00F93686"/>
    <w:rsid w:val="00F937BC"/>
    <w:rsid w:val="00F93823"/>
    <w:rsid w:val="00F93AF9"/>
    <w:rsid w:val="00F943F9"/>
    <w:rsid w:val="00F94426"/>
    <w:rsid w:val="00F9450F"/>
    <w:rsid w:val="00F949E3"/>
    <w:rsid w:val="00F95269"/>
    <w:rsid w:val="00F954D4"/>
    <w:rsid w:val="00F956EB"/>
    <w:rsid w:val="00F9577C"/>
    <w:rsid w:val="00F95ACA"/>
    <w:rsid w:val="00F9602E"/>
    <w:rsid w:val="00F96080"/>
    <w:rsid w:val="00F96523"/>
    <w:rsid w:val="00F96606"/>
    <w:rsid w:val="00F966A7"/>
    <w:rsid w:val="00F96C68"/>
    <w:rsid w:val="00F96E04"/>
    <w:rsid w:val="00F96E15"/>
    <w:rsid w:val="00F9702F"/>
    <w:rsid w:val="00F9742B"/>
    <w:rsid w:val="00F9752D"/>
    <w:rsid w:val="00F97596"/>
    <w:rsid w:val="00F97748"/>
    <w:rsid w:val="00F97ABB"/>
    <w:rsid w:val="00F97B58"/>
    <w:rsid w:val="00FA055A"/>
    <w:rsid w:val="00FA06B4"/>
    <w:rsid w:val="00FA089F"/>
    <w:rsid w:val="00FA0A5F"/>
    <w:rsid w:val="00FA0CEF"/>
    <w:rsid w:val="00FA0F51"/>
    <w:rsid w:val="00FA199B"/>
    <w:rsid w:val="00FA1A69"/>
    <w:rsid w:val="00FA1C49"/>
    <w:rsid w:val="00FA22D2"/>
    <w:rsid w:val="00FA2B5C"/>
    <w:rsid w:val="00FA2F0A"/>
    <w:rsid w:val="00FA3076"/>
    <w:rsid w:val="00FA31A7"/>
    <w:rsid w:val="00FA3735"/>
    <w:rsid w:val="00FA3924"/>
    <w:rsid w:val="00FA3933"/>
    <w:rsid w:val="00FA3BB6"/>
    <w:rsid w:val="00FA3CB3"/>
    <w:rsid w:val="00FA3CE2"/>
    <w:rsid w:val="00FA40AB"/>
    <w:rsid w:val="00FA48C7"/>
    <w:rsid w:val="00FA4E3F"/>
    <w:rsid w:val="00FA4F39"/>
    <w:rsid w:val="00FA4F5D"/>
    <w:rsid w:val="00FA527B"/>
    <w:rsid w:val="00FA5524"/>
    <w:rsid w:val="00FA5568"/>
    <w:rsid w:val="00FA5689"/>
    <w:rsid w:val="00FA5B07"/>
    <w:rsid w:val="00FA60E9"/>
    <w:rsid w:val="00FA6127"/>
    <w:rsid w:val="00FA6245"/>
    <w:rsid w:val="00FA654A"/>
    <w:rsid w:val="00FA6C7F"/>
    <w:rsid w:val="00FA794C"/>
    <w:rsid w:val="00FA7BC2"/>
    <w:rsid w:val="00FB0155"/>
    <w:rsid w:val="00FB02FE"/>
    <w:rsid w:val="00FB0EC2"/>
    <w:rsid w:val="00FB14AF"/>
    <w:rsid w:val="00FB16E3"/>
    <w:rsid w:val="00FB188A"/>
    <w:rsid w:val="00FB1B80"/>
    <w:rsid w:val="00FB1D9E"/>
    <w:rsid w:val="00FB1E19"/>
    <w:rsid w:val="00FB1E84"/>
    <w:rsid w:val="00FB26E4"/>
    <w:rsid w:val="00FB278D"/>
    <w:rsid w:val="00FB2A8F"/>
    <w:rsid w:val="00FB30DB"/>
    <w:rsid w:val="00FB35CD"/>
    <w:rsid w:val="00FB394B"/>
    <w:rsid w:val="00FB3FD5"/>
    <w:rsid w:val="00FB4111"/>
    <w:rsid w:val="00FB451C"/>
    <w:rsid w:val="00FB4581"/>
    <w:rsid w:val="00FB4A28"/>
    <w:rsid w:val="00FB4AE8"/>
    <w:rsid w:val="00FB4D07"/>
    <w:rsid w:val="00FB4F86"/>
    <w:rsid w:val="00FB597F"/>
    <w:rsid w:val="00FB5B9D"/>
    <w:rsid w:val="00FB5C51"/>
    <w:rsid w:val="00FB5CD2"/>
    <w:rsid w:val="00FB5DA0"/>
    <w:rsid w:val="00FB6251"/>
    <w:rsid w:val="00FB6319"/>
    <w:rsid w:val="00FB640E"/>
    <w:rsid w:val="00FB6936"/>
    <w:rsid w:val="00FB6E03"/>
    <w:rsid w:val="00FB6F4C"/>
    <w:rsid w:val="00FB6F84"/>
    <w:rsid w:val="00FB727C"/>
    <w:rsid w:val="00FB73D1"/>
    <w:rsid w:val="00FB74EB"/>
    <w:rsid w:val="00FB76C6"/>
    <w:rsid w:val="00FB76E9"/>
    <w:rsid w:val="00FB7F1A"/>
    <w:rsid w:val="00FC00ED"/>
    <w:rsid w:val="00FC030F"/>
    <w:rsid w:val="00FC06C3"/>
    <w:rsid w:val="00FC09B3"/>
    <w:rsid w:val="00FC0D5F"/>
    <w:rsid w:val="00FC1350"/>
    <w:rsid w:val="00FC1404"/>
    <w:rsid w:val="00FC148B"/>
    <w:rsid w:val="00FC1C00"/>
    <w:rsid w:val="00FC1F4B"/>
    <w:rsid w:val="00FC2077"/>
    <w:rsid w:val="00FC270E"/>
    <w:rsid w:val="00FC2730"/>
    <w:rsid w:val="00FC28C2"/>
    <w:rsid w:val="00FC2AA4"/>
    <w:rsid w:val="00FC2D40"/>
    <w:rsid w:val="00FC2E8D"/>
    <w:rsid w:val="00FC34E0"/>
    <w:rsid w:val="00FC3C5C"/>
    <w:rsid w:val="00FC3DDC"/>
    <w:rsid w:val="00FC416B"/>
    <w:rsid w:val="00FC44F6"/>
    <w:rsid w:val="00FC526E"/>
    <w:rsid w:val="00FC53DC"/>
    <w:rsid w:val="00FC57A6"/>
    <w:rsid w:val="00FC5BE7"/>
    <w:rsid w:val="00FC5D9B"/>
    <w:rsid w:val="00FC5E5F"/>
    <w:rsid w:val="00FC5F00"/>
    <w:rsid w:val="00FC618A"/>
    <w:rsid w:val="00FC635A"/>
    <w:rsid w:val="00FC638B"/>
    <w:rsid w:val="00FC6A05"/>
    <w:rsid w:val="00FC6E32"/>
    <w:rsid w:val="00FC755D"/>
    <w:rsid w:val="00FC769B"/>
    <w:rsid w:val="00FC76BF"/>
    <w:rsid w:val="00FC7ACB"/>
    <w:rsid w:val="00FC7D16"/>
    <w:rsid w:val="00FC7D6B"/>
    <w:rsid w:val="00FD06EC"/>
    <w:rsid w:val="00FD0CD5"/>
    <w:rsid w:val="00FD15B4"/>
    <w:rsid w:val="00FD1631"/>
    <w:rsid w:val="00FD1664"/>
    <w:rsid w:val="00FD20C0"/>
    <w:rsid w:val="00FD20DB"/>
    <w:rsid w:val="00FD21EA"/>
    <w:rsid w:val="00FD2507"/>
    <w:rsid w:val="00FD2AE4"/>
    <w:rsid w:val="00FD3662"/>
    <w:rsid w:val="00FD372F"/>
    <w:rsid w:val="00FD3B29"/>
    <w:rsid w:val="00FD40A3"/>
    <w:rsid w:val="00FD466C"/>
    <w:rsid w:val="00FD4795"/>
    <w:rsid w:val="00FD503A"/>
    <w:rsid w:val="00FD5572"/>
    <w:rsid w:val="00FD5842"/>
    <w:rsid w:val="00FD5A0D"/>
    <w:rsid w:val="00FD5F9A"/>
    <w:rsid w:val="00FD6112"/>
    <w:rsid w:val="00FD6617"/>
    <w:rsid w:val="00FD6882"/>
    <w:rsid w:val="00FD68DD"/>
    <w:rsid w:val="00FD7133"/>
    <w:rsid w:val="00FD72DB"/>
    <w:rsid w:val="00FD7481"/>
    <w:rsid w:val="00FD74BB"/>
    <w:rsid w:val="00FD765C"/>
    <w:rsid w:val="00FD7BDC"/>
    <w:rsid w:val="00FD7FA8"/>
    <w:rsid w:val="00FE0764"/>
    <w:rsid w:val="00FE0DFF"/>
    <w:rsid w:val="00FE1246"/>
    <w:rsid w:val="00FE1267"/>
    <w:rsid w:val="00FE1F22"/>
    <w:rsid w:val="00FE1F60"/>
    <w:rsid w:val="00FE21C4"/>
    <w:rsid w:val="00FE2B4E"/>
    <w:rsid w:val="00FE2B78"/>
    <w:rsid w:val="00FE2C16"/>
    <w:rsid w:val="00FE2E37"/>
    <w:rsid w:val="00FE316F"/>
    <w:rsid w:val="00FE3719"/>
    <w:rsid w:val="00FE3A62"/>
    <w:rsid w:val="00FE3C4D"/>
    <w:rsid w:val="00FE3C5B"/>
    <w:rsid w:val="00FE41CE"/>
    <w:rsid w:val="00FE4574"/>
    <w:rsid w:val="00FE4967"/>
    <w:rsid w:val="00FE4CA4"/>
    <w:rsid w:val="00FE4FF0"/>
    <w:rsid w:val="00FE5876"/>
    <w:rsid w:val="00FE5DE7"/>
    <w:rsid w:val="00FE5F9C"/>
    <w:rsid w:val="00FE6075"/>
    <w:rsid w:val="00FE6143"/>
    <w:rsid w:val="00FE64F3"/>
    <w:rsid w:val="00FE65B0"/>
    <w:rsid w:val="00FE6AEC"/>
    <w:rsid w:val="00FE6BA2"/>
    <w:rsid w:val="00FE6BF1"/>
    <w:rsid w:val="00FE71A1"/>
    <w:rsid w:val="00FE723A"/>
    <w:rsid w:val="00FE7DA6"/>
    <w:rsid w:val="00FE7DB3"/>
    <w:rsid w:val="00FF00D6"/>
    <w:rsid w:val="00FF02AC"/>
    <w:rsid w:val="00FF074F"/>
    <w:rsid w:val="00FF11C2"/>
    <w:rsid w:val="00FF1533"/>
    <w:rsid w:val="00FF1CAA"/>
    <w:rsid w:val="00FF1F4B"/>
    <w:rsid w:val="00FF24DE"/>
    <w:rsid w:val="00FF2530"/>
    <w:rsid w:val="00FF2A4C"/>
    <w:rsid w:val="00FF3076"/>
    <w:rsid w:val="00FF35B7"/>
    <w:rsid w:val="00FF3622"/>
    <w:rsid w:val="00FF373A"/>
    <w:rsid w:val="00FF4587"/>
    <w:rsid w:val="00FF45FD"/>
    <w:rsid w:val="00FF508E"/>
    <w:rsid w:val="00FF5441"/>
    <w:rsid w:val="00FF56CF"/>
    <w:rsid w:val="00FF56F2"/>
    <w:rsid w:val="00FF5CCE"/>
    <w:rsid w:val="00FF5E0F"/>
    <w:rsid w:val="00FF5E29"/>
    <w:rsid w:val="00FF5E87"/>
    <w:rsid w:val="00FF6062"/>
    <w:rsid w:val="00FF60DE"/>
    <w:rsid w:val="00FF64E8"/>
    <w:rsid w:val="00FF6953"/>
    <w:rsid w:val="00FF6A62"/>
    <w:rsid w:val="00FF6F15"/>
    <w:rsid w:val="00FF71DC"/>
    <w:rsid w:val="00FF76B8"/>
    <w:rsid w:val="00FF775A"/>
    <w:rsid w:val="028BF34F"/>
    <w:rsid w:val="038BAC1A"/>
    <w:rsid w:val="040C8674"/>
    <w:rsid w:val="049E2615"/>
    <w:rsid w:val="04E51014"/>
    <w:rsid w:val="05310830"/>
    <w:rsid w:val="0561AE99"/>
    <w:rsid w:val="06B9D4B1"/>
    <w:rsid w:val="0777DA5C"/>
    <w:rsid w:val="092B4C7A"/>
    <w:rsid w:val="093BED7A"/>
    <w:rsid w:val="0AAFA762"/>
    <w:rsid w:val="0B17EF6D"/>
    <w:rsid w:val="0C41FE2E"/>
    <w:rsid w:val="0DF40194"/>
    <w:rsid w:val="0E65C334"/>
    <w:rsid w:val="11413DE3"/>
    <w:rsid w:val="118205F2"/>
    <w:rsid w:val="11B6F8F1"/>
    <w:rsid w:val="11E8E6AA"/>
    <w:rsid w:val="1240AC07"/>
    <w:rsid w:val="13D976AD"/>
    <w:rsid w:val="15A8F03E"/>
    <w:rsid w:val="17BF8F2F"/>
    <w:rsid w:val="19429CD5"/>
    <w:rsid w:val="1943CBC5"/>
    <w:rsid w:val="1A355816"/>
    <w:rsid w:val="1C191F56"/>
    <w:rsid w:val="1C89722F"/>
    <w:rsid w:val="207BCAF8"/>
    <w:rsid w:val="20CD41F9"/>
    <w:rsid w:val="2234F19B"/>
    <w:rsid w:val="23083623"/>
    <w:rsid w:val="256FAE11"/>
    <w:rsid w:val="26A0AA83"/>
    <w:rsid w:val="2938D4E5"/>
    <w:rsid w:val="2AB513AD"/>
    <w:rsid w:val="2AE62C03"/>
    <w:rsid w:val="2B72A0DC"/>
    <w:rsid w:val="2C3BA346"/>
    <w:rsid w:val="2FEFD4A6"/>
    <w:rsid w:val="3036CCC5"/>
    <w:rsid w:val="322EAEC0"/>
    <w:rsid w:val="34C41809"/>
    <w:rsid w:val="34DA2FA1"/>
    <w:rsid w:val="362833DF"/>
    <w:rsid w:val="36BB6F0E"/>
    <w:rsid w:val="374958FB"/>
    <w:rsid w:val="382F6CEC"/>
    <w:rsid w:val="4042D829"/>
    <w:rsid w:val="419EE2C7"/>
    <w:rsid w:val="41EBEABF"/>
    <w:rsid w:val="4293AB63"/>
    <w:rsid w:val="43A96780"/>
    <w:rsid w:val="43EE8CCF"/>
    <w:rsid w:val="4427448B"/>
    <w:rsid w:val="442A2D2B"/>
    <w:rsid w:val="45C8D668"/>
    <w:rsid w:val="4701F4F1"/>
    <w:rsid w:val="49070149"/>
    <w:rsid w:val="498A6508"/>
    <w:rsid w:val="4BE89A24"/>
    <w:rsid w:val="4C6D679B"/>
    <w:rsid w:val="4C7A17DD"/>
    <w:rsid w:val="4E9486A0"/>
    <w:rsid w:val="504CE3F5"/>
    <w:rsid w:val="5453CE2B"/>
    <w:rsid w:val="548FA474"/>
    <w:rsid w:val="56B9585A"/>
    <w:rsid w:val="5708A44C"/>
    <w:rsid w:val="57991DEF"/>
    <w:rsid w:val="5939B3AD"/>
    <w:rsid w:val="59B36032"/>
    <w:rsid w:val="59D083A3"/>
    <w:rsid w:val="5ADB9F99"/>
    <w:rsid w:val="5CE9646B"/>
    <w:rsid w:val="5E32245A"/>
    <w:rsid w:val="5EAB74B3"/>
    <w:rsid w:val="5F740883"/>
    <w:rsid w:val="608E6712"/>
    <w:rsid w:val="63B8FAE2"/>
    <w:rsid w:val="63D9E51F"/>
    <w:rsid w:val="642FDCE9"/>
    <w:rsid w:val="64CE748B"/>
    <w:rsid w:val="6540CDE5"/>
    <w:rsid w:val="65DABD12"/>
    <w:rsid w:val="678DE3EE"/>
    <w:rsid w:val="68FAF94F"/>
    <w:rsid w:val="69EB002C"/>
    <w:rsid w:val="6AA73DC9"/>
    <w:rsid w:val="6BAAB294"/>
    <w:rsid w:val="6D6242FF"/>
    <w:rsid w:val="6F14DDDD"/>
    <w:rsid w:val="70896A41"/>
    <w:rsid w:val="711F1D48"/>
    <w:rsid w:val="722507D1"/>
    <w:rsid w:val="72E7DBCB"/>
    <w:rsid w:val="74A7F134"/>
    <w:rsid w:val="75A568C0"/>
    <w:rsid w:val="768D1048"/>
    <w:rsid w:val="7865B83C"/>
    <w:rsid w:val="7878F6E4"/>
    <w:rsid w:val="7B526DC2"/>
    <w:rsid w:val="7FC39A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762"/>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uiPriority w:val="9"/>
    <w:qFormat/>
    <w:rsid w:val="00F02F08"/>
    <w:pPr>
      <w:spacing w:before="600" w:line="460" w:lineRule="exact"/>
      <w:outlineLvl w:val="0"/>
    </w:pPr>
    <w:rPr>
      <w:b/>
      <w:bCs w:val="0"/>
      <w:color w:val="5D779D" w:themeColor="accent3"/>
      <w:sz w:val="44"/>
    </w:rPr>
  </w:style>
  <w:style w:type="paragraph" w:styleId="Heading2">
    <w:name w:val="heading 2"/>
    <w:basedOn w:val="HeadingBase"/>
    <w:next w:val="Normal"/>
    <w:link w:val="Heading2Char"/>
    <w:uiPriority w:val="9"/>
    <w:qFormat/>
    <w:rsid w:val="00F02F08"/>
    <w:pPr>
      <w:spacing w:before="360" w:line="460" w:lineRule="exact"/>
      <w:outlineLvl w:val="1"/>
    </w:pPr>
    <w:rPr>
      <w:bCs w:val="0"/>
      <w:iCs/>
      <w:color w:val="2C384A"/>
      <w:sz w:val="36"/>
      <w:szCs w:val="28"/>
    </w:rPr>
  </w:style>
  <w:style w:type="paragraph" w:styleId="Heading3">
    <w:name w:val="heading 3"/>
    <w:basedOn w:val="HeadingBase"/>
    <w:next w:val="Normal"/>
    <w:link w:val="Heading3Char"/>
    <w:uiPriority w:val="9"/>
    <w:qFormat/>
    <w:rsid w:val="00F02F08"/>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uiPriority w:val="9"/>
    <w:qFormat/>
    <w:rsid w:val="00F02F08"/>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F02F08"/>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F02F08"/>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unhideWhenUsed/>
    <w:qFormat/>
    <w:rsid w:val="00041207"/>
    <w:pPr>
      <w:keepNext/>
      <w:keepLines/>
      <w:spacing w:before="40" w:after="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55"/>
    <w:pPr>
      <w:framePr w:w="7920" w:h="1980" w:hRule="exact" w:hSpace="180" w:wrap="auto" w:hAnchor="page" w:xAlign="center" w:yAlign="bottom"/>
      <w:spacing w:after="0"/>
      <w:ind w:left="2880"/>
    </w:pPr>
    <w:rPr>
      <w:rFonts w:ascii="Garamond" w:eastAsiaTheme="majorEastAsia" w:hAnsi="Garamond" w:cstheme="majorBidi"/>
      <w:b/>
      <w:sz w:val="24"/>
      <w:szCs w:val="24"/>
    </w:rPr>
  </w:style>
  <w:style w:type="paragraph" w:styleId="Title">
    <w:name w:val="Title"/>
    <w:basedOn w:val="Normal"/>
    <w:next w:val="Normal"/>
    <w:link w:val="TitleChar"/>
    <w:uiPriority w:val="10"/>
    <w:qFormat/>
    <w:rsid w:val="00F02F08"/>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F02F08"/>
    <w:rPr>
      <w:rFonts w:ascii="Calibri Light" w:eastAsiaTheme="majorEastAsia" w:hAnsi="Calibri Light" w:cstheme="majorBidi"/>
      <w:b/>
      <w:color w:val="FFFFFF" w:themeColor="background1"/>
      <w:spacing w:val="5"/>
      <w:kern w:val="28"/>
      <w:sz w:val="72"/>
      <w:szCs w:val="52"/>
      <w:lang w:eastAsia="en-AU"/>
    </w:rPr>
  </w:style>
  <w:style w:type="character" w:customStyle="1" w:styleId="Heading1Char">
    <w:name w:val="Heading 1 Char"/>
    <w:basedOn w:val="DefaultParagraphFont"/>
    <w:link w:val="Heading1"/>
    <w:uiPriority w:val="9"/>
    <w:rsid w:val="00F02F08"/>
    <w:rPr>
      <w:rFonts w:ascii="Calibri" w:eastAsia="Times New Roman" w:hAnsi="Calibri" w:cs="Arial"/>
      <w:b/>
      <w:color w:val="5D779D" w:themeColor="accent3"/>
      <w:kern w:val="32"/>
      <w:sz w:val="44"/>
      <w:szCs w:val="36"/>
      <w:lang w:eastAsia="en-AU"/>
    </w:rPr>
  </w:style>
  <w:style w:type="paragraph" w:styleId="TOCHeading">
    <w:name w:val="TOC Heading"/>
    <w:basedOn w:val="Heading1"/>
    <w:next w:val="Normal"/>
    <w:uiPriority w:val="39"/>
    <w:semiHidden/>
    <w:unhideWhenUsed/>
    <w:qFormat/>
    <w:rsid w:val="00E551D2"/>
    <w:pPr>
      <w:outlineLvl w:val="9"/>
    </w:pPr>
    <w:rPr>
      <w:lang w:val="en-US" w:eastAsia="ja-JP"/>
    </w:rPr>
  </w:style>
  <w:style w:type="paragraph" w:styleId="TOC1">
    <w:name w:val="toc 1"/>
    <w:basedOn w:val="Normal"/>
    <w:next w:val="Normal"/>
    <w:uiPriority w:val="39"/>
    <w:rsid w:val="00F02F08"/>
    <w:pPr>
      <w:keepNext/>
      <w:tabs>
        <w:tab w:val="right" w:leader="dot" w:pos="9072"/>
      </w:tabs>
      <w:spacing w:before="180" w:after="0"/>
      <w:ind w:right="-2"/>
    </w:pPr>
    <w:rPr>
      <w:b/>
      <w:noProof/>
      <w:color w:val="2C384A" w:themeColor="accent1"/>
      <w:szCs w:val="22"/>
    </w:rPr>
  </w:style>
  <w:style w:type="character" w:styleId="Hyperlink">
    <w:name w:val="Hyperlink"/>
    <w:basedOn w:val="DefaultParagraphFont"/>
    <w:uiPriority w:val="99"/>
    <w:rsid w:val="00F02F08"/>
    <w:rPr>
      <w:color w:val="3A6FAF"/>
      <w:u w:val="none"/>
    </w:rPr>
  </w:style>
  <w:style w:type="paragraph" w:styleId="BalloonText">
    <w:name w:val="Balloon Text"/>
    <w:basedOn w:val="Normal"/>
    <w:link w:val="BalloonTextChar"/>
    <w:uiPriority w:val="99"/>
    <w:semiHidden/>
    <w:unhideWhenUsed/>
    <w:rsid w:val="00F02F0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F08"/>
    <w:rPr>
      <w:rFonts w:ascii="Tahoma" w:eastAsia="Times New Roman" w:hAnsi="Tahoma" w:cs="Tahoma"/>
      <w:sz w:val="16"/>
      <w:szCs w:val="16"/>
      <w:lang w:eastAsia="en-AU"/>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autoRedefine/>
    <w:qFormat/>
    <w:rsid w:val="0092357C"/>
    <w:pPr>
      <w:numPr>
        <w:numId w:val="1"/>
      </w:numPr>
      <w:tabs>
        <w:tab w:val="left" w:pos="0"/>
      </w:tabs>
      <w:spacing w:before="0" w:line="276" w:lineRule="auto"/>
    </w:pPr>
  </w:style>
  <w:style w:type="character" w:customStyle="1" w:styleId="BulletChar">
    <w:name w:val="Bullet Char"/>
    <w:basedOn w:val="DefaultParagraphFont"/>
    <w:link w:val="Bullet"/>
    <w:rsid w:val="0092357C"/>
    <w:rPr>
      <w:rFonts w:ascii="Calibri Light" w:eastAsia="Times New Roman" w:hAnsi="Calibri Light" w:cs="Times New Roman"/>
      <w:szCs w:val="20"/>
      <w:lang w:eastAsia="en-AU"/>
    </w:rPr>
  </w:style>
  <w:style w:type="paragraph" w:customStyle="1" w:styleId="Dash">
    <w:name w:val="Dash"/>
    <w:basedOn w:val="Normal"/>
    <w:link w:val="DashChar"/>
    <w:qFormat/>
    <w:rsid w:val="006728C2"/>
    <w:pPr>
      <w:numPr>
        <w:ilvl w:val="1"/>
        <w:numId w:val="1"/>
      </w:numPr>
      <w:spacing w:before="0"/>
    </w:pPr>
  </w:style>
  <w:style w:type="character" w:customStyle="1" w:styleId="DashChar">
    <w:name w:val="Dash Char"/>
    <w:basedOn w:val="DefaultParagraphFont"/>
    <w:link w:val="Dash"/>
    <w:rsid w:val="006728C2"/>
    <w:rPr>
      <w:rFonts w:ascii="Calibri Light" w:eastAsia="Times New Roman" w:hAnsi="Calibri Light" w:cs="Times New Roman"/>
      <w:szCs w:val="20"/>
      <w:lang w:eastAsia="en-AU"/>
    </w:rPr>
  </w:style>
  <w:style w:type="paragraph" w:customStyle="1" w:styleId="DoubleDot">
    <w:name w:val="Double Dot"/>
    <w:basedOn w:val="Normal"/>
    <w:link w:val="DoubleDotChar"/>
    <w:qFormat/>
    <w:rsid w:val="006728C2"/>
    <w:pPr>
      <w:numPr>
        <w:ilvl w:val="2"/>
        <w:numId w:val="1"/>
      </w:numPr>
      <w:spacing w:before="0"/>
    </w:pPr>
  </w:style>
  <w:style w:type="character" w:customStyle="1" w:styleId="DoubleDotChar">
    <w:name w:val="Double Dot Char"/>
    <w:basedOn w:val="DefaultParagraphFont"/>
    <w:link w:val="DoubleDot"/>
    <w:rsid w:val="006728C2"/>
    <w:rPr>
      <w:rFonts w:ascii="Calibri Light" w:eastAsia="Times New Roman" w:hAnsi="Calibri Light" w:cs="Times New Roman"/>
      <w:szCs w:val="20"/>
      <w:lang w:eastAsia="en-AU"/>
    </w:rPr>
  </w:style>
  <w:style w:type="paragraph" w:customStyle="1" w:styleId="Singleparagraph">
    <w:name w:val="Single paragraph"/>
    <w:basedOn w:val="Normal"/>
    <w:qFormat/>
    <w:rsid w:val="007C6D12"/>
    <w:pPr>
      <w:spacing w:after="0"/>
    </w:pPr>
  </w:style>
  <w:style w:type="paragraph" w:styleId="Header">
    <w:name w:val="header"/>
    <w:basedOn w:val="Normal"/>
    <w:link w:val="HeaderChar"/>
    <w:uiPriority w:val="99"/>
    <w:unhideWhenUsed/>
    <w:rsid w:val="00F02F08"/>
    <w:pPr>
      <w:keepNext/>
      <w:spacing w:before="0" w:after="0"/>
      <w:jc w:val="right"/>
    </w:pPr>
    <w:rPr>
      <w:color w:val="004A7F"/>
      <w:sz w:val="20"/>
    </w:rPr>
  </w:style>
  <w:style w:type="character" w:customStyle="1" w:styleId="HeaderChar">
    <w:name w:val="Header Char"/>
    <w:basedOn w:val="DefaultParagraphFont"/>
    <w:link w:val="Header"/>
    <w:uiPriority w:val="99"/>
    <w:rsid w:val="00F02F08"/>
    <w:rPr>
      <w:rFonts w:ascii="Calibri Light" w:eastAsia="Times New Roman" w:hAnsi="Calibri Light" w:cs="Times New Roman"/>
      <w:color w:val="004A7F"/>
      <w:sz w:val="20"/>
      <w:szCs w:val="20"/>
      <w:lang w:eastAsia="en-AU"/>
    </w:rPr>
  </w:style>
  <w:style w:type="paragraph" w:styleId="Footer">
    <w:name w:val="footer"/>
    <w:basedOn w:val="Normal"/>
    <w:link w:val="FooterChar"/>
    <w:uiPriority w:val="99"/>
    <w:unhideWhenUsed/>
    <w:rsid w:val="00F02F0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02F08"/>
    <w:rPr>
      <w:rFonts w:ascii="Calibri Light" w:eastAsia="Times New Roman" w:hAnsi="Calibri Light" w:cs="Times New Roman"/>
      <w:color w:val="002C47"/>
      <w:sz w:val="20"/>
      <w:szCs w:val="20"/>
      <w:lang w:eastAsia="en-AU"/>
    </w:rPr>
  </w:style>
  <w:style w:type="character" w:customStyle="1" w:styleId="Heading2Char">
    <w:name w:val="Heading 2 Char"/>
    <w:basedOn w:val="DefaultParagraphFont"/>
    <w:link w:val="Heading2"/>
    <w:uiPriority w:val="9"/>
    <w:rsid w:val="00F02F08"/>
    <w:rPr>
      <w:rFonts w:ascii="Calibri" w:eastAsia="Times New Roman" w:hAnsi="Calibri" w:cs="Arial"/>
      <w:iCs/>
      <w:color w:val="2C384A"/>
      <w:kern w:val="32"/>
      <w:sz w:val="36"/>
      <w:szCs w:val="28"/>
      <w:lang w:eastAsia="en-AU"/>
    </w:rPr>
  </w:style>
  <w:style w:type="paragraph" w:styleId="FootnoteText">
    <w:name w:val="footnote text"/>
    <w:basedOn w:val="Normal"/>
    <w:link w:val="FootnoteTextChar"/>
    <w:uiPriority w:val="99"/>
    <w:rsid w:val="00EA4241"/>
    <w:pPr>
      <w:spacing w:before="0" w:after="0"/>
      <w:ind w:left="397" w:hanging="397"/>
    </w:pPr>
    <w:rPr>
      <w:sz w:val="18"/>
    </w:rPr>
  </w:style>
  <w:style w:type="character" w:customStyle="1" w:styleId="Heading3Char">
    <w:name w:val="Heading 3 Char"/>
    <w:basedOn w:val="DefaultParagraphFont"/>
    <w:link w:val="Heading3"/>
    <w:uiPriority w:val="9"/>
    <w:rsid w:val="00F02F08"/>
    <w:rPr>
      <w:rFonts w:ascii="Calibri" w:eastAsia="Times New Roman" w:hAnsi="Calibri" w:cs="Arial"/>
      <w:b/>
      <w:color w:val="4D7861" w:themeColor="accent2"/>
      <w:kern w:val="32"/>
      <w:sz w:val="28"/>
      <w:szCs w:val="26"/>
      <w:lang w:eastAsia="en-AU"/>
    </w:rPr>
  </w:style>
  <w:style w:type="character" w:customStyle="1" w:styleId="FootnoteTextChar">
    <w:name w:val="Footnote Text Char"/>
    <w:basedOn w:val="DefaultParagraphFont"/>
    <w:link w:val="FootnoteText"/>
    <w:uiPriority w:val="99"/>
    <w:rsid w:val="00EA4241"/>
    <w:rPr>
      <w:rFonts w:ascii="Calibri Light" w:eastAsia="Times New Roman" w:hAnsi="Calibri Light" w:cs="Times New Roman"/>
      <w:sz w:val="18"/>
      <w:szCs w:val="20"/>
      <w:lang w:eastAsia="en-AU"/>
    </w:rPr>
  </w:style>
  <w:style w:type="paragraph" w:styleId="Subtitle">
    <w:name w:val="Subtitle"/>
    <w:basedOn w:val="Normal"/>
    <w:next w:val="Normal"/>
    <w:link w:val="SubtitleChar"/>
    <w:uiPriority w:val="11"/>
    <w:qFormat/>
    <w:rsid w:val="00F02F08"/>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F02F08"/>
    <w:rPr>
      <w:rFonts w:ascii="Calibri Light" w:eastAsiaTheme="majorEastAsia" w:hAnsi="Calibri Light" w:cstheme="majorBidi"/>
      <w:iCs/>
      <w:color w:val="EEEEEE"/>
      <w:sz w:val="44"/>
      <w:szCs w:val="44"/>
      <w:lang w:eastAsia="en-AU"/>
    </w:rPr>
  </w:style>
  <w:style w:type="paragraph" w:styleId="TOC2">
    <w:name w:val="toc 2"/>
    <w:basedOn w:val="Normal"/>
    <w:next w:val="Normal"/>
    <w:uiPriority w:val="39"/>
    <w:rsid w:val="00F02F08"/>
    <w:pPr>
      <w:keepNext/>
      <w:tabs>
        <w:tab w:val="right" w:leader="dot" w:pos="9072"/>
      </w:tabs>
      <w:spacing w:before="40" w:after="20"/>
      <w:ind w:right="-2"/>
    </w:pPr>
    <w:rPr>
      <w:noProof/>
      <w:color w:val="5D779D" w:themeColor="accent3"/>
    </w:rPr>
  </w:style>
  <w:style w:type="paragraph" w:customStyle="1" w:styleId="AlphaParagraph">
    <w:name w:val="Alpha Paragraph"/>
    <w:basedOn w:val="Normal"/>
    <w:qFormat/>
    <w:rsid w:val="00F02F08"/>
    <w:pPr>
      <w:numPr>
        <w:ilvl w:val="1"/>
        <w:numId w:val="8"/>
      </w:numPr>
      <w:spacing w:before="0"/>
    </w:pPr>
  </w:style>
  <w:style w:type="paragraph" w:customStyle="1" w:styleId="HeadingBase">
    <w:name w:val="Heading Base"/>
    <w:rsid w:val="00F02F08"/>
    <w:pPr>
      <w:keepNext/>
      <w:spacing w:after="120" w:line="240" w:lineRule="auto"/>
    </w:pPr>
    <w:rPr>
      <w:rFonts w:ascii="Calibri" w:eastAsia="Times New Roman" w:hAnsi="Calibri" w:cs="Arial"/>
      <w:bCs/>
      <w:color w:val="002C4A"/>
      <w:kern w:val="32"/>
      <w:sz w:val="48"/>
      <w:szCs w:val="36"/>
      <w:lang w:eastAsia="en-AU"/>
    </w:rPr>
  </w:style>
  <w:style w:type="paragraph" w:customStyle="1" w:styleId="AppendixHeading">
    <w:name w:val="Appendix Heading"/>
    <w:basedOn w:val="Heading1"/>
    <w:next w:val="Normal"/>
    <w:rsid w:val="00F02F08"/>
  </w:style>
  <w:style w:type="paragraph" w:customStyle="1" w:styleId="Boxbullet">
    <w:name w:val="Box bullet"/>
    <w:basedOn w:val="Bullet"/>
    <w:rsid w:val="00F02F08"/>
    <w:pPr>
      <w:tabs>
        <w:tab w:val="num" w:pos="284"/>
      </w:tabs>
      <w:spacing w:before="60"/>
      <w:ind w:left="170" w:hanging="170"/>
    </w:pPr>
    <w:rPr>
      <w:color w:val="0D0D0D" w:themeColor="text1" w:themeTint="F2"/>
    </w:rPr>
  </w:style>
  <w:style w:type="numbering" w:customStyle="1" w:styleId="BoxBulletedList">
    <w:name w:val="Box Bulleted List"/>
    <w:uiPriority w:val="99"/>
    <w:rsid w:val="00F02F08"/>
    <w:pPr>
      <w:numPr>
        <w:numId w:val="2"/>
      </w:numPr>
    </w:pPr>
  </w:style>
  <w:style w:type="paragraph" w:customStyle="1" w:styleId="Boxdash">
    <w:name w:val="Box dash"/>
    <w:basedOn w:val="Dash"/>
    <w:rsid w:val="00F02F08"/>
    <w:pPr>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rsid w:val="00F02F08"/>
    <w:pPr>
      <w:tabs>
        <w:tab w:val="left" w:pos="567"/>
      </w:tabs>
      <w:spacing w:before="60" w:after="0" w:line="276" w:lineRule="auto"/>
      <w:ind w:left="567" w:hanging="142"/>
    </w:pPr>
    <w:rPr>
      <w:rFonts w:eastAsiaTheme="minorHAnsi"/>
      <w:color w:val="0D0D0D" w:themeColor="text1" w:themeTint="F2"/>
      <w:lang w:eastAsia="en-US"/>
    </w:rPr>
  </w:style>
  <w:style w:type="paragraph" w:customStyle="1" w:styleId="BoxHeading">
    <w:name w:val="Box Heading"/>
    <w:basedOn w:val="Normal"/>
    <w:next w:val="Normal"/>
    <w:rsid w:val="00F02F08"/>
    <w:pPr>
      <w:keepNext/>
      <w:spacing w:before="240"/>
    </w:pPr>
    <w:rPr>
      <w:b/>
      <w:color w:val="2C384A" w:themeColor="accent1"/>
      <w:sz w:val="26"/>
      <w:szCs w:val="26"/>
    </w:rPr>
  </w:style>
  <w:style w:type="paragraph" w:customStyle="1" w:styleId="BoxText">
    <w:name w:val="Box Text"/>
    <w:basedOn w:val="Normal"/>
    <w:link w:val="BoxTextChar"/>
    <w:rsid w:val="00F02F08"/>
  </w:style>
  <w:style w:type="character" w:customStyle="1" w:styleId="BoxTextChar">
    <w:name w:val="Box Text Char"/>
    <w:basedOn w:val="DefaultParagraphFont"/>
    <w:link w:val="BoxText"/>
    <w:locked/>
    <w:rsid w:val="00F02F08"/>
    <w:rPr>
      <w:rFonts w:ascii="Calibri Light" w:eastAsia="Times New Roman" w:hAnsi="Calibri Light" w:cs="Times New Roman"/>
      <w:szCs w:val="20"/>
      <w:lang w:eastAsia="en-AU"/>
    </w:rPr>
  </w:style>
  <w:style w:type="numbering" w:customStyle="1" w:styleId="BulletedList">
    <w:name w:val="Bulleted List"/>
    <w:uiPriority w:val="99"/>
    <w:rsid w:val="00F02F08"/>
  </w:style>
  <w:style w:type="paragraph" w:customStyle="1" w:styleId="ChartandTableFootnoteAlpha">
    <w:name w:val="Chart and Table Footnote Alpha"/>
    <w:rsid w:val="00F02F08"/>
    <w:pPr>
      <w:numPr>
        <w:numId w:val="4"/>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F02F08"/>
    <w:pPr>
      <w:keepNext/>
      <w:spacing w:before="0" w:after="0"/>
      <w:jc w:val="center"/>
    </w:pPr>
    <w:rPr>
      <w:color w:val="004A7F"/>
      <w:sz w:val="20"/>
    </w:rPr>
  </w:style>
  <w:style w:type="paragraph" w:customStyle="1" w:styleId="TableMainHeading">
    <w:name w:val="Table Main Heading"/>
    <w:basedOn w:val="Heading3"/>
    <w:next w:val="Normal"/>
    <w:rsid w:val="00F02F08"/>
    <w:pPr>
      <w:spacing w:before="120"/>
    </w:pPr>
    <w:rPr>
      <w:b w:val="0"/>
      <w:sz w:val="26"/>
    </w:rPr>
  </w:style>
  <w:style w:type="paragraph" w:customStyle="1" w:styleId="ChartMainHeading">
    <w:name w:val="Chart Main Heading"/>
    <w:basedOn w:val="TableMainHeading"/>
    <w:next w:val="ChartGraphic"/>
    <w:rsid w:val="00F02F08"/>
    <w:pPr>
      <w:jc w:val="center"/>
    </w:pPr>
  </w:style>
  <w:style w:type="paragraph" w:customStyle="1" w:styleId="ChartorTableNote">
    <w:name w:val="Chart or Table Note"/>
    <w:next w:val="Normal"/>
    <w:rsid w:val="00F02F08"/>
    <w:pPr>
      <w:spacing w:after="0" w:line="240" w:lineRule="auto"/>
      <w:jc w:val="both"/>
    </w:pPr>
    <w:rPr>
      <w:rFonts w:ascii="Calibri" w:eastAsia="Times New Roman" w:hAnsi="Calibri" w:cs="Times New Roman"/>
      <w:color w:val="000000"/>
      <w:sz w:val="18"/>
      <w:szCs w:val="20"/>
      <w:lang w:eastAsia="en-AU"/>
    </w:rPr>
  </w:style>
  <w:style w:type="paragraph" w:customStyle="1" w:styleId="TableSecondHeading">
    <w:name w:val="Table Second Heading"/>
    <w:basedOn w:val="Normal"/>
    <w:next w:val="Normal"/>
    <w:rsid w:val="00F02F08"/>
    <w:pPr>
      <w:keepNext/>
      <w:spacing w:before="0" w:after="20"/>
    </w:pPr>
    <w:rPr>
      <w:b/>
      <w:color w:val="004A7F"/>
    </w:rPr>
  </w:style>
  <w:style w:type="paragraph" w:customStyle="1" w:styleId="ChartSecondHeading">
    <w:name w:val="Chart Second Heading"/>
    <w:basedOn w:val="TableSecondHeading"/>
    <w:next w:val="ChartGraphic"/>
    <w:rsid w:val="00F02F08"/>
    <w:pPr>
      <w:jc w:val="center"/>
    </w:pPr>
    <w:rPr>
      <w:b w:val="0"/>
      <w:bCs/>
    </w:rPr>
  </w:style>
  <w:style w:type="numbering" w:customStyle="1" w:styleId="ChartandTableFootnoteAlphaList">
    <w:name w:val="ChartandTableFootnoteAlphaList"/>
    <w:uiPriority w:val="99"/>
    <w:rsid w:val="00F02F08"/>
    <w:pPr>
      <w:numPr>
        <w:numId w:val="4"/>
      </w:numPr>
    </w:pPr>
  </w:style>
  <w:style w:type="character" w:styleId="CommentReference">
    <w:name w:val="annotation reference"/>
    <w:basedOn w:val="DefaultParagraphFont"/>
    <w:uiPriority w:val="99"/>
    <w:semiHidden/>
    <w:unhideWhenUsed/>
    <w:rsid w:val="00F02F08"/>
    <w:rPr>
      <w:sz w:val="16"/>
      <w:szCs w:val="16"/>
    </w:rPr>
  </w:style>
  <w:style w:type="paragraph" w:styleId="CommentText">
    <w:name w:val="annotation text"/>
    <w:basedOn w:val="Normal"/>
    <w:link w:val="CommentTextChar"/>
    <w:uiPriority w:val="99"/>
    <w:unhideWhenUsed/>
    <w:rsid w:val="00F02F08"/>
    <w:rPr>
      <w:rFonts w:ascii="Calibri" w:hAnsi="Calibri"/>
      <w:sz w:val="20"/>
    </w:rPr>
  </w:style>
  <w:style w:type="character" w:customStyle="1" w:styleId="CommentTextChar">
    <w:name w:val="Comment Text Char"/>
    <w:basedOn w:val="DefaultParagraphFont"/>
    <w:link w:val="CommentText"/>
    <w:uiPriority w:val="99"/>
    <w:rsid w:val="00F02F08"/>
    <w:rPr>
      <w:rFonts w:ascii="Calibri" w:eastAsia="Times New Roman" w:hAnsi="Calibri" w:cs="Times New Roman"/>
      <w:sz w:val="20"/>
      <w:szCs w:val="20"/>
      <w:lang w:eastAsia="en-AU"/>
    </w:rPr>
  </w:style>
  <w:style w:type="paragraph" w:customStyle="1" w:styleId="FooterEven">
    <w:name w:val="Footer Even"/>
    <w:basedOn w:val="Footer"/>
    <w:rsid w:val="00F02F08"/>
    <w:pPr>
      <w:keepNext/>
      <w:tabs>
        <w:tab w:val="clear" w:pos="4513"/>
        <w:tab w:val="clear" w:pos="9026"/>
      </w:tabs>
      <w:jc w:val="left"/>
    </w:pPr>
    <w:rPr>
      <w:noProof/>
      <w:color w:val="2C384A" w:themeColor="accent1"/>
    </w:rPr>
  </w:style>
  <w:style w:type="paragraph" w:customStyle="1" w:styleId="FooterOdd">
    <w:name w:val="Footer Odd"/>
    <w:basedOn w:val="Footer"/>
    <w:rsid w:val="00F02F08"/>
    <w:pPr>
      <w:keepNext/>
      <w:tabs>
        <w:tab w:val="clear" w:pos="4513"/>
        <w:tab w:val="clear" w:pos="9026"/>
      </w:tabs>
      <w:jc w:val="right"/>
    </w:pPr>
    <w:rPr>
      <w:color w:val="2C384A" w:themeColor="accent1"/>
    </w:rPr>
  </w:style>
  <w:style w:type="character" w:styleId="FootnoteReference">
    <w:name w:val="footnote reference"/>
    <w:basedOn w:val="DefaultParagraphFont"/>
    <w:uiPriority w:val="99"/>
    <w:rsid w:val="00F02F08"/>
    <w:rPr>
      <w:sz w:val="18"/>
    </w:rPr>
  </w:style>
  <w:style w:type="paragraph" w:customStyle="1" w:styleId="HeaderEven">
    <w:name w:val="Header Even"/>
    <w:basedOn w:val="Header"/>
    <w:qFormat/>
    <w:rsid w:val="00F02F08"/>
    <w:pPr>
      <w:jc w:val="left"/>
    </w:pPr>
    <w:rPr>
      <w:color w:val="002C47"/>
    </w:rPr>
  </w:style>
  <w:style w:type="paragraph" w:customStyle="1" w:styleId="HeaderOdd">
    <w:name w:val="Header Odd"/>
    <w:basedOn w:val="Header"/>
    <w:qFormat/>
    <w:rsid w:val="00F02F08"/>
    <w:rPr>
      <w:color w:val="002C47"/>
    </w:rPr>
  </w:style>
  <w:style w:type="paragraph" w:customStyle="1" w:styleId="Heading1Numbered">
    <w:name w:val="Heading 1 Numbered"/>
    <w:basedOn w:val="Heading1"/>
    <w:next w:val="Normal"/>
    <w:rsid w:val="00F02F08"/>
    <w:pPr>
      <w:numPr>
        <w:numId w:val="10"/>
      </w:numPr>
    </w:pPr>
  </w:style>
  <w:style w:type="paragraph" w:customStyle="1" w:styleId="Heading2Numbered">
    <w:name w:val="Heading 2 Numbered"/>
    <w:basedOn w:val="Heading2"/>
    <w:next w:val="Normal"/>
    <w:rsid w:val="00F02F08"/>
    <w:pPr>
      <w:numPr>
        <w:ilvl w:val="1"/>
        <w:numId w:val="10"/>
      </w:numPr>
    </w:pPr>
  </w:style>
  <w:style w:type="paragraph" w:customStyle="1" w:styleId="Heading3Numbered">
    <w:name w:val="Heading 3 Numbered"/>
    <w:basedOn w:val="Heading3"/>
    <w:rsid w:val="00F02F08"/>
    <w:pPr>
      <w:numPr>
        <w:ilvl w:val="2"/>
        <w:numId w:val="10"/>
      </w:numPr>
    </w:pPr>
  </w:style>
  <w:style w:type="character" w:customStyle="1" w:styleId="Heading4Char">
    <w:name w:val="Heading 4 Char"/>
    <w:basedOn w:val="DefaultParagraphFont"/>
    <w:link w:val="Heading4"/>
    <w:uiPriority w:val="9"/>
    <w:rsid w:val="00F02F08"/>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F02F08"/>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F02F08"/>
    <w:rPr>
      <w:rFonts w:ascii="Calibri Light" w:eastAsia="Times New Roman" w:hAnsi="Calibri Light" w:cs="Arial"/>
      <w:color w:val="000000" w:themeColor="text1"/>
      <w:kern w:val="32"/>
      <w:lang w:eastAsia="en-AU"/>
    </w:rPr>
  </w:style>
  <w:style w:type="paragraph" w:customStyle="1" w:styleId="Instructions">
    <w:name w:val="Instructions"/>
    <w:basedOn w:val="Normal"/>
    <w:uiPriority w:val="1"/>
    <w:qFormat/>
    <w:rsid w:val="00F02F08"/>
    <w:pPr>
      <w:shd w:val="clear" w:color="auto" w:fill="FFFF00"/>
      <w:ind w:left="170" w:hanging="170"/>
    </w:pPr>
    <w:rPr>
      <w:rFonts w:asciiTheme="minorHAnsi" w:hAnsiTheme="minorHAnsi"/>
      <w:sz w:val="20"/>
      <w:szCs w:val="24"/>
    </w:rPr>
  </w:style>
  <w:style w:type="paragraph" w:styleId="ListParagraph">
    <w:name w:val="List Paragraph"/>
    <w:basedOn w:val="Normal"/>
    <w:uiPriority w:val="34"/>
    <w:qFormat/>
    <w:rsid w:val="00F02F08"/>
    <w:pPr>
      <w:ind w:left="720"/>
      <w:contextualSpacing/>
    </w:pPr>
  </w:style>
  <w:style w:type="paragraph" w:customStyle="1" w:styleId="NotesHeading">
    <w:name w:val="Notes Heading"/>
    <w:basedOn w:val="Normal"/>
    <w:rsid w:val="00F02F08"/>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F02F08"/>
    <w:pPr>
      <w:numPr>
        <w:numId w:val="31"/>
      </w:numPr>
    </w:pPr>
  </w:style>
  <w:style w:type="paragraph" w:customStyle="1" w:styleId="OutlineNumbered1">
    <w:name w:val="Outline Numbered 1"/>
    <w:basedOn w:val="Normal"/>
    <w:rsid w:val="00F02F08"/>
    <w:pPr>
      <w:tabs>
        <w:tab w:val="num" w:pos="851"/>
      </w:tabs>
      <w:spacing w:before="0"/>
      <w:ind w:left="851" w:hanging="851"/>
    </w:pPr>
  </w:style>
  <w:style w:type="paragraph" w:customStyle="1" w:styleId="OutlineNumbered2">
    <w:name w:val="Outline Numbered 2"/>
    <w:basedOn w:val="Normal"/>
    <w:rsid w:val="00F02F08"/>
    <w:pPr>
      <w:tabs>
        <w:tab w:val="num" w:pos="567"/>
      </w:tabs>
      <w:spacing w:before="0"/>
      <w:ind w:left="720" w:hanging="360"/>
    </w:pPr>
  </w:style>
  <w:style w:type="paragraph" w:customStyle="1" w:styleId="OutlineNumbered3">
    <w:name w:val="Outline Numbered 3"/>
    <w:basedOn w:val="Normal"/>
    <w:rsid w:val="00F02F08"/>
    <w:pPr>
      <w:tabs>
        <w:tab w:val="num" w:pos="850"/>
      </w:tabs>
      <w:spacing w:before="0"/>
      <w:ind w:left="850" w:hanging="283"/>
    </w:pPr>
  </w:style>
  <w:style w:type="numbering" w:customStyle="1" w:styleId="OutlineList">
    <w:name w:val="OutlineList"/>
    <w:uiPriority w:val="99"/>
    <w:rsid w:val="00F02F08"/>
    <w:pPr>
      <w:numPr>
        <w:numId w:val="3"/>
      </w:numPr>
    </w:pPr>
  </w:style>
  <w:style w:type="character" w:styleId="PlaceholderText">
    <w:name w:val="Placeholder Text"/>
    <w:basedOn w:val="DefaultParagraphFont"/>
    <w:uiPriority w:val="99"/>
    <w:semiHidden/>
    <w:rsid w:val="00F02F08"/>
    <w:rPr>
      <w:color w:val="808080"/>
    </w:rPr>
  </w:style>
  <w:style w:type="paragraph" w:customStyle="1" w:styleId="ReportDate">
    <w:name w:val="Report Date"/>
    <w:basedOn w:val="Normal"/>
    <w:link w:val="ReportDateChar"/>
    <w:rsid w:val="00AA5110"/>
    <w:pPr>
      <w:keepNext/>
      <w:spacing w:before="0" w:after="360"/>
    </w:pPr>
    <w:rPr>
      <w:color w:val="2C384A" w:themeColor="accent1"/>
      <w:sz w:val="32"/>
    </w:rPr>
  </w:style>
  <w:style w:type="character" w:customStyle="1" w:styleId="ReportDateChar">
    <w:name w:val="Report Date Char"/>
    <w:basedOn w:val="DefaultParagraphFont"/>
    <w:link w:val="ReportDate"/>
    <w:rsid w:val="00AA5110"/>
    <w:rPr>
      <w:rFonts w:ascii="Calibri Light" w:eastAsia="Times New Roman" w:hAnsi="Calibri Light" w:cs="Times New Roman"/>
      <w:color w:val="2C384A" w:themeColor="accent1"/>
      <w:sz w:val="32"/>
      <w:szCs w:val="20"/>
      <w:lang w:eastAsia="en-AU"/>
    </w:rPr>
  </w:style>
  <w:style w:type="paragraph" w:customStyle="1" w:styleId="SingleParagraph0">
    <w:name w:val="Single Paragraph"/>
    <w:basedOn w:val="Normal"/>
    <w:link w:val="SingleParagraphChar"/>
    <w:rsid w:val="00F02F08"/>
    <w:pPr>
      <w:spacing w:before="0" w:after="0"/>
    </w:pPr>
  </w:style>
  <w:style w:type="character" w:customStyle="1" w:styleId="SingleParagraphChar">
    <w:name w:val="Single Paragraph Char"/>
    <w:basedOn w:val="DefaultParagraphFont"/>
    <w:link w:val="SingleParagraph0"/>
    <w:rsid w:val="00F02F08"/>
    <w:rPr>
      <w:rFonts w:ascii="Calibri Light" w:eastAsia="Times New Roman" w:hAnsi="Calibri Light" w:cs="Times New Roman"/>
      <w:szCs w:val="20"/>
      <w:lang w:eastAsia="en-AU"/>
    </w:rPr>
  </w:style>
  <w:style w:type="paragraph" w:customStyle="1" w:styleId="TableTextRight">
    <w:name w:val="Table Text Right"/>
    <w:basedOn w:val="Normal"/>
    <w:rsid w:val="00F02F08"/>
    <w:pPr>
      <w:spacing w:before="40" w:after="40"/>
      <w:jc w:val="right"/>
    </w:pPr>
    <w:rPr>
      <w:color w:val="000000"/>
      <w:sz w:val="18"/>
    </w:rPr>
  </w:style>
  <w:style w:type="paragraph" w:customStyle="1" w:styleId="TableTextLeft">
    <w:name w:val="Table Text Left"/>
    <w:basedOn w:val="TableTextRight"/>
    <w:rsid w:val="00F02F08"/>
    <w:pPr>
      <w:jc w:val="left"/>
    </w:pPr>
  </w:style>
  <w:style w:type="paragraph" w:customStyle="1" w:styleId="TableColumnHeadingCentred">
    <w:name w:val="Table Column Heading Centred"/>
    <w:basedOn w:val="TableTextLeft"/>
    <w:rsid w:val="00F02F08"/>
    <w:pPr>
      <w:jc w:val="center"/>
    </w:pPr>
    <w:rPr>
      <w:b/>
      <w:color w:val="2C384A" w:themeColor="accent1"/>
      <w:sz w:val="20"/>
    </w:rPr>
  </w:style>
  <w:style w:type="paragraph" w:customStyle="1" w:styleId="TableColumnHeadingLeft">
    <w:name w:val="Table Column Heading Left"/>
    <w:basedOn w:val="TableTextLeft"/>
    <w:rsid w:val="00F02F08"/>
    <w:rPr>
      <w:b/>
      <w:color w:val="2C384A" w:themeColor="accent1"/>
      <w:sz w:val="20"/>
    </w:rPr>
  </w:style>
  <w:style w:type="paragraph" w:customStyle="1" w:styleId="TableColumnHeadingRight">
    <w:name w:val="Table Column Heading Right"/>
    <w:basedOn w:val="TableTextLeft"/>
    <w:rsid w:val="00F02F08"/>
    <w:pPr>
      <w:jc w:val="right"/>
    </w:pPr>
    <w:rPr>
      <w:b/>
      <w:color w:val="2C384A" w:themeColor="accent1"/>
      <w:sz w:val="20"/>
    </w:rPr>
  </w:style>
  <w:style w:type="paragraph" w:customStyle="1" w:styleId="TableGraphic">
    <w:name w:val="Table Graphic"/>
    <w:basedOn w:val="HeadingBase"/>
    <w:next w:val="Normal"/>
    <w:rsid w:val="00F02F08"/>
    <w:pPr>
      <w:spacing w:after="0"/>
    </w:pPr>
  </w:style>
  <w:style w:type="table" w:styleId="TableGrid">
    <w:name w:val="Table Grid"/>
    <w:basedOn w:val="TableNormal"/>
    <w:rsid w:val="00F02F08"/>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HeadingContinued">
    <w:name w:val="Table Heading Continued"/>
    <w:basedOn w:val="TableMainHeading"/>
    <w:next w:val="TableGraphic"/>
    <w:rsid w:val="00F02F08"/>
  </w:style>
  <w:style w:type="paragraph" w:customStyle="1" w:styleId="TableTextCentered">
    <w:name w:val="Table Text Centered"/>
    <w:basedOn w:val="TableTextRight"/>
    <w:rsid w:val="00F02F08"/>
    <w:pPr>
      <w:jc w:val="center"/>
    </w:pPr>
  </w:style>
  <w:style w:type="paragraph" w:customStyle="1" w:styleId="TableTextIndented">
    <w:name w:val="Table Text Indented"/>
    <w:basedOn w:val="TableTextLeft"/>
    <w:rsid w:val="00F02F08"/>
    <w:pPr>
      <w:ind w:left="284"/>
    </w:pPr>
  </w:style>
  <w:style w:type="paragraph" w:styleId="TOC3">
    <w:name w:val="toc 3"/>
    <w:basedOn w:val="Normal"/>
    <w:next w:val="Normal"/>
    <w:uiPriority w:val="39"/>
    <w:rsid w:val="00F02F08"/>
    <w:pPr>
      <w:tabs>
        <w:tab w:val="right" w:leader="dot" w:pos="9072"/>
      </w:tabs>
      <w:spacing w:before="20" w:after="0"/>
      <w:ind w:left="284" w:right="-2"/>
    </w:pPr>
    <w:rPr>
      <w:rFonts w:cs="Calibri"/>
      <w:noProof/>
    </w:rPr>
  </w:style>
  <w:style w:type="paragraph" w:customStyle="1" w:styleId="CoverDate">
    <w:name w:val="Cover Date"/>
    <w:basedOn w:val="Normal"/>
    <w:rsid w:val="00C725DE"/>
    <w:pPr>
      <w:keepNext/>
      <w:spacing w:before="840" w:after="0"/>
      <w:jc w:val="right"/>
    </w:pPr>
    <w:rPr>
      <w:color w:val="2C384A" w:themeColor="accent1"/>
      <w:sz w:val="28"/>
    </w:rPr>
  </w:style>
  <w:style w:type="paragraph" w:customStyle="1" w:styleId="CoverTitleMain">
    <w:name w:val="Cover Title Main"/>
    <w:basedOn w:val="Normal"/>
    <w:next w:val="Normal"/>
    <w:autoRedefine/>
    <w:qFormat/>
    <w:rsid w:val="005C6F46"/>
    <w:pPr>
      <w:keepNext/>
      <w:spacing w:before="3360" w:after="720" w:line="300" w:lineRule="auto"/>
      <w:jc w:val="right"/>
    </w:pPr>
    <w:rPr>
      <w:rFonts w:ascii="Calibri" w:hAnsi="Calibri"/>
      <w:color w:val="2C384A" w:themeColor="accent1"/>
      <w:sz w:val="56"/>
      <w:szCs w:val="40"/>
    </w:rPr>
  </w:style>
  <w:style w:type="paragraph" w:customStyle="1" w:styleId="CoverTitleSub">
    <w:name w:val="Cover Title Sub"/>
    <w:basedOn w:val="Normal"/>
    <w:rsid w:val="00647528"/>
    <w:pPr>
      <w:keepNext/>
      <w:jc w:val="right"/>
    </w:pPr>
    <w:rPr>
      <w:rFonts w:ascii="Calibri" w:hAnsi="Calibri"/>
      <w:color w:val="2C384A" w:themeColor="accent1"/>
      <w:sz w:val="40"/>
    </w:rPr>
  </w:style>
  <w:style w:type="character" w:styleId="FollowedHyperlink">
    <w:name w:val="FollowedHyperlink"/>
    <w:basedOn w:val="DefaultParagraphFont"/>
    <w:uiPriority w:val="99"/>
    <w:semiHidden/>
    <w:unhideWhenUsed/>
    <w:rsid w:val="00E02B6D"/>
    <w:rPr>
      <w:color w:val="844D9E" w:themeColor="followedHyperlink"/>
      <w:u w:val="single"/>
    </w:rPr>
  </w:style>
  <w:style w:type="character" w:styleId="UnresolvedMention">
    <w:name w:val="Unresolved Mention"/>
    <w:basedOn w:val="DefaultParagraphFont"/>
    <w:uiPriority w:val="99"/>
    <w:unhideWhenUsed/>
    <w:rsid w:val="006351F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102F1"/>
    <w:rPr>
      <w:rFonts w:ascii="Calibri Light" w:hAnsi="Calibri Light"/>
      <w:b/>
      <w:bCs/>
    </w:rPr>
  </w:style>
  <w:style w:type="character" w:customStyle="1" w:styleId="CommentSubjectChar">
    <w:name w:val="Comment Subject Char"/>
    <w:basedOn w:val="CommentTextChar"/>
    <w:link w:val="CommentSubject"/>
    <w:uiPriority w:val="99"/>
    <w:semiHidden/>
    <w:rsid w:val="00C102F1"/>
    <w:rPr>
      <w:rFonts w:ascii="Calibri Light" w:eastAsia="Times New Roman" w:hAnsi="Calibri Light" w:cs="Times New Roman"/>
      <w:b/>
      <w:bCs/>
      <w:sz w:val="20"/>
      <w:szCs w:val="20"/>
      <w:lang w:eastAsia="en-AU"/>
    </w:rPr>
  </w:style>
  <w:style w:type="paragraph" w:styleId="BodyText">
    <w:name w:val="Body Text"/>
    <w:basedOn w:val="Normal"/>
    <w:link w:val="BodyTextChar"/>
    <w:qFormat/>
    <w:rsid w:val="00197F54"/>
    <w:pPr>
      <w:spacing w:before="0" w:line="264" w:lineRule="auto"/>
    </w:pPr>
    <w:rPr>
      <w:rFonts w:asciiTheme="minorHAnsi" w:eastAsiaTheme="minorHAnsi" w:hAnsiTheme="minorHAnsi" w:cstheme="minorHAnsi"/>
      <w:color w:val="262626" w:themeColor="text1" w:themeTint="D9"/>
      <w:szCs w:val="22"/>
      <w:lang w:eastAsia="en-US"/>
    </w:rPr>
  </w:style>
  <w:style w:type="character" w:customStyle="1" w:styleId="BodyTextChar">
    <w:name w:val="Body Text Char"/>
    <w:basedOn w:val="DefaultParagraphFont"/>
    <w:link w:val="BodyText"/>
    <w:rsid w:val="00197F54"/>
    <w:rPr>
      <w:rFonts w:cstheme="minorHAnsi"/>
      <w:color w:val="262626" w:themeColor="text1" w:themeTint="D9"/>
    </w:rPr>
  </w:style>
  <w:style w:type="table" w:styleId="GridTable5Dark-Accent1">
    <w:name w:val="Grid Table 5 Dark Accent 1"/>
    <w:basedOn w:val="TableNormal"/>
    <w:uiPriority w:val="50"/>
    <w:rsid w:val="00197F54"/>
    <w:pPr>
      <w:spacing w:after="0" w:line="240" w:lineRule="auto"/>
    </w:pPr>
    <w:rPr>
      <w:color w:val="262626" w:themeColor="text1" w:themeTint="D9"/>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D5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84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84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84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84A" w:themeFill="accent1"/>
      </w:tcPr>
    </w:tblStylePr>
    <w:tblStylePr w:type="band1Vert">
      <w:tblPr/>
      <w:tcPr>
        <w:shd w:val="clear" w:color="auto" w:fill="9CACC4" w:themeFill="accent1" w:themeFillTint="66"/>
      </w:tcPr>
    </w:tblStylePr>
    <w:tblStylePr w:type="band1Horz">
      <w:tblPr/>
      <w:tcPr>
        <w:shd w:val="clear" w:color="auto" w:fill="9CACC4" w:themeFill="accent1" w:themeFillTint="66"/>
      </w:tcPr>
    </w:tblStylePr>
  </w:style>
  <w:style w:type="character" w:customStyle="1" w:styleId="ui-provider">
    <w:name w:val="ui-provider"/>
    <w:basedOn w:val="DefaultParagraphFont"/>
    <w:rsid w:val="00CD6E08"/>
  </w:style>
  <w:style w:type="character" w:customStyle="1" w:styleId="Heading7Char">
    <w:name w:val="Heading 7 Char"/>
    <w:basedOn w:val="DefaultParagraphFont"/>
    <w:link w:val="Heading7"/>
    <w:uiPriority w:val="9"/>
    <w:rsid w:val="00041207"/>
    <w:rPr>
      <w:rFonts w:asciiTheme="majorHAnsi" w:eastAsiaTheme="majorEastAsia" w:hAnsiTheme="majorHAnsi" w:cstheme="majorBidi"/>
      <w:i/>
      <w:iCs/>
      <w:color w:val="161B24" w:themeColor="accent1" w:themeShade="7F"/>
      <w:szCs w:val="20"/>
      <w:lang w:eastAsia="en-AU"/>
    </w:rPr>
  </w:style>
  <w:style w:type="paragraph" w:styleId="Caption">
    <w:name w:val="caption"/>
    <w:basedOn w:val="Normal"/>
    <w:next w:val="Normal"/>
    <w:uiPriority w:val="35"/>
    <w:unhideWhenUsed/>
    <w:qFormat/>
    <w:rsid w:val="003B3BBB"/>
    <w:pPr>
      <w:keepNext/>
      <w:tabs>
        <w:tab w:val="left" w:pos="851"/>
        <w:tab w:val="left" w:pos="1017"/>
      </w:tabs>
      <w:spacing w:line="264" w:lineRule="auto"/>
    </w:pPr>
    <w:rPr>
      <w:b/>
      <w:iCs/>
    </w:rPr>
  </w:style>
  <w:style w:type="table" w:customStyle="1" w:styleId="PMCDefaultTableStyle">
    <w:name w:val="PMC Default Table Style"/>
    <w:basedOn w:val="TableNormal"/>
    <w:uiPriority w:val="99"/>
    <w:rsid w:val="00041207"/>
    <w:pPr>
      <w:spacing w:before="60" w:after="60" w:line="264" w:lineRule="auto"/>
    </w:pPr>
    <w:rPr>
      <w:color w:val="262626" w:themeColor="text1" w:themeTint="D9"/>
      <w:sz w:val="18"/>
      <w:szCs w:val="20"/>
    </w:rPr>
    <w:tblPr>
      <w:tblStyleRowBandSize w:val="1"/>
      <w:tblBorders>
        <w:bottom w:val="single" w:sz="18" w:space="0" w:color="EEEEEE" w:themeColor="background2"/>
        <w:insideH w:val="single" w:sz="4" w:space="0" w:color="EEEEEE"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EEEEE"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041207"/>
    <w:pPr>
      <w:numPr>
        <w:numId w:val="14"/>
      </w:numPr>
      <w:spacing w:before="40" w:after="40"/>
      <w:contextualSpacing w:val="0"/>
    </w:pPr>
    <w:rPr>
      <w:rFonts w:asciiTheme="minorHAnsi" w:eastAsiaTheme="minorHAnsi" w:hAnsiTheme="minorHAnsi" w:cstheme="minorBidi"/>
      <w:color w:val="262626" w:themeColor="text1" w:themeTint="D9"/>
      <w:sz w:val="18"/>
      <w:lang w:eastAsia="en-US"/>
    </w:rPr>
  </w:style>
  <w:style w:type="paragraph" w:customStyle="1" w:styleId="NumberedListlvl1">
    <w:name w:val="Numbered List lvl1"/>
    <w:basedOn w:val="ListParagraph"/>
    <w:uiPriority w:val="9"/>
    <w:qFormat/>
    <w:rsid w:val="00041207"/>
    <w:pPr>
      <w:numPr>
        <w:numId w:val="19"/>
      </w:numPr>
      <w:spacing w:before="0" w:after="0" w:line="264" w:lineRule="auto"/>
      <w:contextualSpacing w:val="0"/>
    </w:pPr>
    <w:rPr>
      <w:rFonts w:asciiTheme="minorHAnsi" w:eastAsiaTheme="minorHAnsi" w:hAnsiTheme="minorHAnsi" w:cstheme="minorBidi"/>
      <w:color w:val="262626" w:themeColor="text1" w:themeTint="D9"/>
      <w:sz w:val="20"/>
      <w:lang w:eastAsia="en-US"/>
    </w:rPr>
  </w:style>
  <w:style w:type="paragraph" w:customStyle="1" w:styleId="BulletedListlvl1">
    <w:name w:val="Bulleted List lvl1"/>
    <w:uiPriority w:val="10"/>
    <w:qFormat/>
    <w:rsid w:val="00041207"/>
    <w:pPr>
      <w:numPr>
        <w:numId w:val="16"/>
      </w:numPr>
      <w:spacing w:after="0" w:line="264" w:lineRule="auto"/>
    </w:pPr>
    <w:rPr>
      <w:color w:val="262626" w:themeColor="text1" w:themeTint="D9"/>
      <w:sz w:val="20"/>
      <w:szCs w:val="20"/>
    </w:rPr>
  </w:style>
  <w:style w:type="paragraph" w:customStyle="1" w:styleId="NumberedListlvl2">
    <w:name w:val="Numbered List lvl2"/>
    <w:basedOn w:val="NumberedListlvl1"/>
    <w:uiPriority w:val="9"/>
    <w:rsid w:val="00041207"/>
    <w:pPr>
      <w:numPr>
        <w:ilvl w:val="1"/>
      </w:numPr>
    </w:pPr>
  </w:style>
  <w:style w:type="paragraph" w:customStyle="1" w:styleId="BulletedListlvl2">
    <w:name w:val="Bulleted List lvl2"/>
    <w:basedOn w:val="BulletedListlvl1"/>
    <w:uiPriority w:val="10"/>
    <w:rsid w:val="00EB1629"/>
    <w:pPr>
      <w:numPr>
        <w:ilvl w:val="1"/>
      </w:numPr>
      <w:ind w:left="1021" w:hanging="283"/>
    </w:pPr>
  </w:style>
  <w:style w:type="paragraph" w:customStyle="1" w:styleId="TableBody">
    <w:name w:val="Table Body"/>
    <w:basedOn w:val="Normal"/>
    <w:uiPriority w:val="11"/>
    <w:qFormat/>
    <w:rsid w:val="00041207"/>
    <w:pPr>
      <w:spacing w:before="40" w:after="40" w:line="264" w:lineRule="auto"/>
    </w:pPr>
    <w:rPr>
      <w:rFonts w:asciiTheme="minorHAnsi" w:eastAsiaTheme="minorHAnsi" w:hAnsiTheme="minorHAnsi" w:cstheme="minorBidi"/>
      <w:color w:val="000000" w:themeColor="text1"/>
      <w:sz w:val="18"/>
      <w:lang w:eastAsia="en-US"/>
    </w:rPr>
  </w:style>
  <w:style w:type="paragraph" w:customStyle="1" w:styleId="NumberedListlvl3">
    <w:name w:val="Numbered List lvl3"/>
    <w:basedOn w:val="NumberedListlvl1"/>
    <w:uiPriority w:val="9"/>
    <w:rsid w:val="00041207"/>
    <w:pPr>
      <w:numPr>
        <w:ilvl w:val="2"/>
      </w:numPr>
    </w:pPr>
  </w:style>
  <w:style w:type="paragraph" w:customStyle="1" w:styleId="BasicParagraph">
    <w:name w:val="[Basic Paragraph]"/>
    <w:basedOn w:val="Normal"/>
    <w:uiPriority w:val="99"/>
    <w:semiHidden/>
    <w:rsid w:val="00041207"/>
    <w:pPr>
      <w:autoSpaceDE w:val="0"/>
      <w:autoSpaceDN w:val="0"/>
      <w:adjustRightInd w:val="0"/>
      <w:spacing w:before="0" w:after="0" w:line="288" w:lineRule="auto"/>
      <w:textAlignment w:val="center"/>
    </w:pPr>
    <w:rPr>
      <w:rFonts w:asciiTheme="minorHAnsi" w:eastAsiaTheme="minorHAnsi" w:hAnsiTheme="minorHAnsi" w:cs="Minion Pro"/>
      <w:color w:val="000000"/>
      <w:sz w:val="20"/>
      <w:lang w:val="en-GB" w:eastAsia="en-US"/>
    </w:rPr>
  </w:style>
  <w:style w:type="paragraph" w:customStyle="1" w:styleId="TableHeading">
    <w:name w:val="Table Heading"/>
    <w:basedOn w:val="Normal"/>
    <w:uiPriority w:val="11"/>
    <w:qFormat/>
    <w:rsid w:val="00041207"/>
    <w:pPr>
      <w:spacing w:before="0" w:line="264" w:lineRule="auto"/>
    </w:pPr>
    <w:rPr>
      <w:rFonts w:asciiTheme="majorHAnsi" w:eastAsiaTheme="minorHAnsi" w:hAnsiTheme="majorHAnsi" w:cstheme="minorBidi"/>
      <w:bCs/>
      <w:color w:val="FFFFFF" w:themeColor="background1"/>
      <w:sz w:val="18"/>
      <w:lang w:eastAsia="en-US"/>
    </w:rPr>
  </w:style>
  <w:style w:type="paragraph" w:customStyle="1" w:styleId="ProtectiveMarking">
    <w:name w:val="Protective Marking"/>
    <w:basedOn w:val="Normal"/>
    <w:uiPriority w:val="13"/>
    <w:qFormat/>
    <w:rsid w:val="00041207"/>
    <w:pPr>
      <w:spacing w:before="0" w:after="0"/>
      <w:jc w:val="center"/>
    </w:pPr>
    <w:rPr>
      <w:rFonts w:asciiTheme="majorHAnsi" w:eastAsiaTheme="minorHAnsi" w:hAnsiTheme="majorHAnsi" w:cstheme="minorBidi"/>
      <w:caps/>
      <w:noProof/>
      <w:color w:val="CD1719"/>
      <w:sz w:val="16"/>
      <w:lang w:eastAsia="en-US"/>
    </w:rPr>
  </w:style>
  <w:style w:type="table" w:customStyle="1" w:styleId="PMCTableStyle2">
    <w:name w:val="PMC Table Style 2"/>
    <w:basedOn w:val="TableNormal"/>
    <w:uiPriority w:val="99"/>
    <w:rsid w:val="00041207"/>
    <w:pPr>
      <w:spacing w:before="60" w:after="60" w:line="264" w:lineRule="auto"/>
    </w:pPr>
    <w:rPr>
      <w:color w:val="262626" w:themeColor="text1" w:themeTint="D9"/>
      <w:sz w:val="20"/>
      <w:szCs w:val="20"/>
    </w:rPr>
    <w:tblPr>
      <w:tblStyleRowBandSize w:val="1"/>
      <w:tblBorders>
        <w:top w:val="single" w:sz="4" w:space="0" w:color="E5E9F0" w:themeColor="accent1" w:themeTint="1A"/>
        <w:left w:val="single" w:sz="4" w:space="0" w:color="E5E9F0" w:themeColor="accent1" w:themeTint="1A"/>
        <w:bottom w:val="single" w:sz="12" w:space="0" w:color="5F5F5F" w:themeColor="text2"/>
        <w:right w:val="single" w:sz="4" w:space="0" w:color="E5E9F0" w:themeColor="accent1" w:themeTint="1A"/>
        <w:insideH w:val="single" w:sz="4" w:space="0" w:color="E5E9F0" w:themeColor="accent1" w:themeTint="1A"/>
        <w:insideV w:val="single" w:sz="4" w:space="0" w:color="E5E9F0"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5F5F5F"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041207"/>
    <w:pPr>
      <w:spacing w:before="0" w:line="264" w:lineRule="auto"/>
      <w:ind w:left="567" w:right="567"/>
    </w:pPr>
    <w:rPr>
      <w:rFonts w:asciiTheme="majorHAnsi" w:eastAsiaTheme="minorHAnsi" w:hAnsiTheme="majorHAnsi" w:cstheme="minorBidi"/>
      <w:color w:val="5F5F5F" w:themeColor="text2"/>
      <w:sz w:val="24"/>
      <w:szCs w:val="24"/>
      <w:lang w:eastAsia="en-US"/>
    </w:rPr>
  </w:style>
  <w:style w:type="character" w:customStyle="1" w:styleId="QuoteChar">
    <w:name w:val="Quote Char"/>
    <w:basedOn w:val="DefaultParagraphFont"/>
    <w:link w:val="Quote"/>
    <w:uiPriority w:val="29"/>
    <w:rsid w:val="00041207"/>
    <w:rPr>
      <w:rFonts w:asciiTheme="majorHAnsi" w:hAnsiTheme="majorHAnsi"/>
      <w:color w:val="5F5F5F" w:themeColor="text2"/>
      <w:sz w:val="24"/>
      <w:szCs w:val="24"/>
    </w:rPr>
  </w:style>
  <w:style w:type="paragraph" w:styleId="NoSpacing">
    <w:name w:val="No Spacing"/>
    <w:basedOn w:val="BodyText"/>
    <w:link w:val="NoSpacingChar"/>
    <w:uiPriority w:val="1"/>
    <w:rsid w:val="00041207"/>
    <w:pPr>
      <w:contextualSpacing/>
    </w:pPr>
  </w:style>
  <w:style w:type="character" w:customStyle="1" w:styleId="NoSpacingChar">
    <w:name w:val="No Spacing Char"/>
    <w:basedOn w:val="DefaultParagraphFont"/>
    <w:link w:val="NoSpacing"/>
    <w:uiPriority w:val="1"/>
    <w:rsid w:val="00041207"/>
    <w:rPr>
      <w:rFonts w:cstheme="minorHAnsi"/>
      <w:color w:val="262626" w:themeColor="text1" w:themeTint="D9"/>
    </w:rPr>
  </w:style>
  <w:style w:type="paragraph" w:customStyle="1" w:styleId="CoverTitle">
    <w:name w:val="Cover Title"/>
    <w:basedOn w:val="NoSpacing"/>
    <w:uiPriority w:val="11"/>
    <w:qFormat/>
    <w:rsid w:val="00041207"/>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041207"/>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qFormat/>
    <w:rsid w:val="00041207"/>
    <w:pPr>
      <w:spacing w:after="240"/>
    </w:pPr>
    <w:rPr>
      <w:color w:val="FFFFFF" w:themeColor="background1"/>
      <w:sz w:val="24"/>
      <w:szCs w:val="28"/>
    </w:rPr>
  </w:style>
  <w:style w:type="paragraph" w:customStyle="1" w:styleId="Footerline">
    <w:name w:val="Footer line"/>
    <w:uiPriority w:val="11"/>
    <w:qFormat/>
    <w:rsid w:val="00041207"/>
    <w:pPr>
      <w:spacing w:before="20" w:after="240" w:line="264" w:lineRule="auto"/>
    </w:pPr>
    <w:rPr>
      <w:caps/>
      <w:noProof/>
      <w:color w:val="2C384A" w:themeColor="accent1"/>
      <w:sz w:val="20"/>
      <w:szCs w:val="20"/>
    </w:rPr>
  </w:style>
  <w:style w:type="paragraph" w:customStyle="1" w:styleId="TableNumbering">
    <w:name w:val="Table Numbering"/>
    <w:uiPriority w:val="11"/>
    <w:qFormat/>
    <w:rsid w:val="00EB1629"/>
    <w:pPr>
      <w:numPr>
        <w:numId w:val="15"/>
      </w:numPr>
      <w:spacing w:before="40" w:after="40" w:line="264" w:lineRule="auto"/>
      <w:ind w:left="284" w:hanging="284"/>
    </w:pPr>
    <w:rPr>
      <w:color w:val="000000" w:themeColor="text1"/>
      <w:sz w:val="18"/>
      <w:szCs w:val="20"/>
    </w:rPr>
  </w:style>
  <w:style w:type="paragraph" w:styleId="List">
    <w:name w:val="List"/>
    <w:uiPriority w:val="4"/>
    <w:semiHidden/>
    <w:rsid w:val="00EB1629"/>
    <w:pPr>
      <w:numPr>
        <w:numId w:val="17"/>
      </w:numPr>
      <w:spacing w:after="120" w:line="324" w:lineRule="auto"/>
      <w:ind w:left="567" w:hanging="283"/>
    </w:pPr>
    <w:rPr>
      <w:color w:val="464E52"/>
      <w:sz w:val="18"/>
      <w:szCs w:val="18"/>
    </w:rPr>
  </w:style>
  <w:style w:type="paragraph" w:customStyle="1" w:styleId="EmphasisPanelHeading">
    <w:name w:val="Emphasis Panel Heading"/>
    <w:basedOn w:val="Normal"/>
    <w:uiPriority w:val="11"/>
    <w:qFormat/>
    <w:rsid w:val="00041207"/>
    <w:pPr>
      <w:keepLines/>
      <w:pBdr>
        <w:top w:val="single" w:sz="4" w:space="8" w:color="EEEEEE" w:themeColor="background2"/>
        <w:left w:val="single" w:sz="4" w:space="8" w:color="EEEEEE" w:themeColor="background2"/>
        <w:bottom w:val="single" w:sz="4" w:space="8" w:color="EEEEEE" w:themeColor="background2"/>
        <w:right w:val="single" w:sz="4" w:space="8" w:color="EEEEEE" w:themeColor="background2"/>
      </w:pBdr>
      <w:shd w:val="clear" w:color="auto" w:fill="EEEEEE" w:themeFill="background2"/>
      <w:spacing w:before="60" w:after="60" w:line="240" w:lineRule="atLeast"/>
      <w:ind w:left="198" w:right="215"/>
    </w:pPr>
    <w:rPr>
      <w:rFonts w:asciiTheme="majorHAnsi" w:hAnsiTheme="majorHAnsi"/>
      <w:b/>
      <w:color w:val="5F5F5F" w:themeColor="text2"/>
      <w:sz w:val="24"/>
      <w:szCs w:val="24"/>
      <w:lang w:val="en-US" w:eastAsia="en-US"/>
    </w:rPr>
  </w:style>
  <w:style w:type="paragraph" w:customStyle="1" w:styleId="EmphasisPanelBody">
    <w:name w:val="Emphasis Panel Body"/>
    <w:basedOn w:val="Normal"/>
    <w:uiPriority w:val="11"/>
    <w:qFormat/>
    <w:rsid w:val="00041207"/>
    <w:pPr>
      <w:keepLines/>
      <w:pBdr>
        <w:top w:val="single" w:sz="4" w:space="8" w:color="EEEEEE" w:themeColor="background2"/>
        <w:left w:val="single" w:sz="4" w:space="8" w:color="EEEEEE" w:themeColor="background2"/>
        <w:bottom w:val="single" w:sz="4" w:space="8" w:color="EEEEEE" w:themeColor="background2"/>
        <w:right w:val="single" w:sz="4" w:space="8" w:color="EEEEEE" w:themeColor="background2"/>
      </w:pBdr>
      <w:shd w:val="clear" w:color="auto" w:fill="EEEEEE" w:themeFill="background2"/>
      <w:spacing w:line="264" w:lineRule="auto"/>
      <w:ind w:left="198" w:right="215"/>
    </w:pPr>
    <w:rPr>
      <w:rFonts w:asciiTheme="minorHAnsi" w:hAnsiTheme="minorHAnsi" w:cstheme="minorHAnsi"/>
      <w:color w:val="262626" w:themeColor="text1" w:themeTint="D9"/>
      <w:sz w:val="20"/>
      <w:lang w:val="en-US" w:eastAsia="en-US"/>
    </w:rPr>
  </w:style>
  <w:style w:type="paragraph" w:customStyle="1" w:styleId="EmphasisPanelBullet">
    <w:name w:val="Emphasis Panel Bullet"/>
    <w:uiPriority w:val="11"/>
    <w:qFormat/>
    <w:rsid w:val="00041207"/>
    <w:pPr>
      <w:keepLines/>
      <w:numPr>
        <w:numId w:val="18"/>
      </w:numPr>
      <w:pBdr>
        <w:top w:val="single" w:sz="4" w:space="8" w:color="EEEEEE" w:themeColor="background2"/>
        <w:left w:val="single" w:sz="4" w:space="8" w:color="EEEEEE" w:themeColor="background2"/>
        <w:bottom w:val="single" w:sz="4" w:space="8" w:color="EEEEEE" w:themeColor="background2"/>
        <w:right w:val="single" w:sz="4" w:space="8" w:color="EEEEEE" w:themeColor="background2"/>
      </w:pBdr>
      <w:shd w:val="clear" w:color="auto" w:fill="EEEEEE" w:themeFill="background2"/>
      <w:spacing w:before="120" w:after="120" w:line="264" w:lineRule="auto"/>
      <w:ind w:right="215"/>
    </w:pPr>
    <w:rPr>
      <w:rFonts w:eastAsia="Times New Roman" w:cstheme="minorHAnsi"/>
      <w:color w:val="262626" w:themeColor="text1" w:themeTint="D9"/>
      <w:sz w:val="20"/>
      <w:lang w:val="en-US"/>
    </w:rPr>
  </w:style>
  <w:style w:type="paragraph" w:customStyle="1" w:styleId="BulletedListlvl3">
    <w:name w:val="Bulleted List lvl3"/>
    <w:basedOn w:val="BulletedListlvl2"/>
    <w:uiPriority w:val="10"/>
    <w:rsid w:val="00EB1629"/>
    <w:pPr>
      <w:numPr>
        <w:ilvl w:val="2"/>
      </w:numPr>
      <w:ind w:left="1418" w:hanging="284"/>
    </w:pPr>
    <w:rPr>
      <w:sz w:val="19"/>
      <w:szCs w:val="19"/>
    </w:rPr>
  </w:style>
  <w:style w:type="table" w:customStyle="1" w:styleId="Clear">
    <w:name w:val="Clear"/>
    <w:basedOn w:val="TableNormal"/>
    <w:uiPriority w:val="99"/>
    <w:rsid w:val="00041207"/>
    <w:pPr>
      <w:spacing w:after="0" w:line="240" w:lineRule="auto"/>
    </w:pPr>
    <w:rPr>
      <w:color w:val="5F5F5F" w:themeColor="text2"/>
      <w:sz w:val="20"/>
      <w:szCs w:val="18"/>
    </w:rPr>
    <w:tblPr>
      <w:tblCellMar>
        <w:left w:w="0" w:type="dxa"/>
        <w:right w:w="0" w:type="dxa"/>
      </w:tblCellMar>
    </w:tblPr>
  </w:style>
  <w:style w:type="paragraph" w:styleId="Revision">
    <w:name w:val="Revision"/>
    <w:hidden/>
    <w:uiPriority w:val="99"/>
    <w:semiHidden/>
    <w:rsid w:val="00041207"/>
    <w:pPr>
      <w:spacing w:after="0" w:line="240" w:lineRule="auto"/>
    </w:pPr>
    <w:rPr>
      <w:color w:val="262626" w:themeColor="text1" w:themeTint="D9"/>
      <w:sz w:val="20"/>
      <w:szCs w:val="20"/>
    </w:rPr>
  </w:style>
  <w:style w:type="table" w:styleId="GridTable4-Accent1">
    <w:name w:val="Grid Table 4 Accent 1"/>
    <w:basedOn w:val="TableNormal"/>
    <w:uiPriority w:val="49"/>
    <w:rsid w:val="00041207"/>
    <w:pPr>
      <w:spacing w:after="0" w:line="240" w:lineRule="auto"/>
    </w:pPr>
    <w:rPr>
      <w:color w:val="262626" w:themeColor="text1" w:themeTint="D9"/>
      <w:sz w:val="20"/>
      <w:szCs w:val="20"/>
    </w:r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character" w:styleId="Mention">
    <w:name w:val="Mention"/>
    <w:basedOn w:val="DefaultParagraphFont"/>
    <w:uiPriority w:val="99"/>
    <w:unhideWhenUsed/>
    <w:rsid w:val="00041207"/>
    <w:rPr>
      <w:color w:val="2B579A"/>
      <w:shd w:val="clear" w:color="auto" w:fill="E1DFDD"/>
    </w:rPr>
  </w:style>
  <w:style w:type="table" w:styleId="ListTable3-Accent2">
    <w:name w:val="List Table 3 Accent 2"/>
    <w:basedOn w:val="TableNormal"/>
    <w:uiPriority w:val="48"/>
    <w:rsid w:val="00041207"/>
    <w:pPr>
      <w:spacing w:after="0" w:line="240" w:lineRule="auto"/>
    </w:pPr>
    <w:rPr>
      <w:color w:val="262626" w:themeColor="text1" w:themeTint="D9"/>
      <w:sz w:val="20"/>
      <w:szCs w:val="20"/>
    </w:rPr>
    <w:tblPr>
      <w:tblStyleRowBandSize w:val="1"/>
      <w:tblStyleColBandSize w:val="1"/>
      <w:tblBorders>
        <w:top w:val="single" w:sz="4" w:space="0" w:color="4D7861" w:themeColor="accent2"/>
        <w:left w:val="single" w:sz="4" w:space="0" w:color="4D7861" w:themeColor="accent2"/>
        <w:bottom w:val="single" w:sz="4" w:space="0" w:color="4D7861" w:themeColor="accent2"/>
        <w:right w:val="single" w:sz="4" w:space="0" w:color="4D7861" w:themeColor="accent2"/>
      </w:tblBorders>
    </w:tblPr>
    <w:tblStylePr w:type="firstRow">
      <w:rPr>
        <w:b/>
        <w:bCs/>
        <w:color w:val="FFFFFF" w:themeColor="background1"/>
      </w:rPr>
      <w:tblPr/>
      <w:tcPr>
        <w:shd w:val="clear" w:color="auto" w:fill="4D7861" w:themeFill="accent2"/>
      </w:tcPr>
    </w:tblStylePr>
    <w:tblStylePr w:type="lastRow">
      <w:rPr>
        <w:b/>
        <w:bCs/>
      </w:rPr>
      <w:tblPr/>
      <w:tcPr>
        <w:tcBorders>
          <w:top w:val="double" w:sz="4" w:space="0" w:color="4D786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7861" w:themeColor="accent2"/>
          <w:right w:val="single" w:sz="4" w:space="0" w:color="4D7861" w:themeColor="accent2"/>
        </w:tcBorders>
      </w:tcPr>
    </w:tblStylePr>
    <w:tblStylePr w:type="band1Horz">
      <w:tblPr/>
      <w:tcPr>
        <w:tcBorders>
          <w:top w:val="single" w:sz="4" w:space="0" w:color="4D7861" w:themeColor="accent2"/>
          <w:bottom w:val="single" w:sz="4" w:space="0" w:color="4D786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7861" w:themeColor="accent2"/>
          <w:left w:val="nil"/>
        </w:tcBorders>
      </w:tcPr>
    </w:tblStylePr>
    <w:tblStylePr w:type="swCell">
      <w:tblPr/>
      <w:tcPr>
        <w:tcBorders>
          <w:top w:val="double" w:sz="4" w:space="0" w:color="4D7861" w:themeColor="accent2"/>
          <w:right w:val="nil"/>
        </w:tcBorders>
      </w:tcPr>
    </w:tblStylePr>
  </w:style>
  <w:style w:type="table" w:styleId="ListTable4-Accent1">
    <w:name w:val="List Table 4 Accent 1"/>
    <w:basedOn w:val="TableNormal"/>
    <w:uiPriority w:val="49"/>
    <w:rsid w:val="00041207"/>
    <w:pPr>
      <w:spacing w:after="0" w:line="240" w:lineRule="auto"/>
    </w:pPr>
    <w:rPr>
      <w:color w:val="262626" w:themeColor="text1" w:themeTint="D9"/>
      <w:sz w:val="20"/>
      <w:szCs w:val="20"/>
    </w:r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tcBorders>
        <w:shd w:val="clear" w:color="auto" w:fill="2C384A" w:themeFill="accent1"/>
      </w:tcPr>
    </w:tblStylePr>
    <w:tblStylePr w:type="lastRow">
      <w:rPr>
        <w:b/>
        <w:bCs/>
      </w:rPr>
      <w:tblPr/>
      <w:tcPr>
        <w:tcBorders>
          <w:top w:val="double" w:sz="4" w:space="0" w:color="6B83A7" w:themeColor="accent1" w:themeTint="99"/>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character" w:styleId="Strong">
    <w:name w:val="Strong"/>
    <w:basedOn w:val="DefaultParagraphFont"/>
    <w:uiPriority w:val="22"/>
    <w:qFormat/>
    <w:rsid w:val="00DB17BB"/>
    <w:rPr>
      <w:b/>
      <w:bCs/>
    </w:rPr>
  </w:style>
  <w:style w:type="paragraph" w:styleId="NormalWeb">
    <w:name w:val="Normal (Web)"/>
    <w:basedOn w:val="Normal"/>
    <w:uiPriority w:val="99"/>
    <w:semiHidden/>
    <w:unhideWhenUsed/>
    <w:rsid w:val="007303D1"/>
    <w:pPr>
      <w:spacing w:before="100" w:beforeAutospacing="1" w:after="100" w:afterAutospacing="1"/>
    </w:pPr>
    <w:rPr>
      <w:rFonts w:ascii="Times New Roman" w:hAnsi="Times New Roman"/>
      <w:sz w:val="24"/>
      <w:szCs w:val="24"/>
    </w:rPr>
  </w:style>
  <w:style w:type="paragraph" w:customStyle="1" w:styleId="pf0">
    <w:name w:val="pf0"/>
    <w:basedOn w:val="Normal"/>
    <w:rsid w:val="00A6277C"/>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627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467">
      <w:bodyDiv w:val="1"/>
      <w:marLeft w:val="0"/>
      <w:marRight w:val="0"/>
      <w:marTop w:val="0"/>
      <w:marBottom w:val="0"/>
      <w:divBdr>
        <w:top w:val="none" w:sz="0" w:space="0" w:color="auto"/>
        <w:left w:val="none" w:sz="0" w:space="0" w:color="auto"/>
        <w:bottom w:val="none" w:sz="0" w:space="0" w:color="auto"/>
        <w:right w:val="none" w:sz="0" w:space="0" w:color="auto"/>
      </w:divBdr>
    </w:div>
    <w:div w:id="320617606">
      <w:bodyDiv w:val="1"/>
      <w:marLeft w:val="0"/>
      <w:marRight w:val="0"/>
      <w:marTop w:val="0"/>
      <w:marBottom w:val="0"/>
      <w:divBdr>
        <w:top w:val="none" w:sz="0" w:space="0" w:color="auto"/>
        <w:left w:val="none" w:sz="0" w:space="0" w:color="auto"/>
        <w:bottom w:val="none" w:sz="0" w:space="0" w:color="auto"/>
        <w:right w:val="none" w:sz="0" w:space="0" w:color="auto"/>
      </w:divBdr>
    </w:div>
    <w:div w:id="366563415">
      <w:bodyDiv w:val="1"/>
      <w:marLeft w:val="0"/>
      <w:marRight w:val="0"/>
      <w:marTop w:val="0"/>
      <w:marBottom w:val="0"/>
      <w:divBdr>
        <w:top w:val="none" w:sz="0" w:space="0" w:color="auto"/>
        <w:left w:val="none" w:sz="0" w:space="0" w:color="auto"/>
        <w:bottom w:val="none" w:sz="0" w:space="0" w:color="auto"/>
        <w:right w:val="none" w:sz="0" w:space="0" w:color="auto"/>
      </w:divBdr>
    </w:div>
    <w:div w:id="460150174">
      <w:bodyDiv w:val="1"/>
      <w:marLeft w:val="0"/>
      <w:marRight w:val="0"/>
      <w:marTop w:val="0"/>
      <w:marBottom w:val="0"/>
      <w:divBdr>
        <w:top w:val="none" w:sz="0" w:space="0" w:color="auto"/>
        <w:left w:val="none" w:sz="0" w:space="0" w:color="auto"/>
        <w:bottom w:val="none" w:sz="0" w:space="0" w:color="auto"/>
        <w:right w:val="none" w:sz="0" w:space="0" w:color="auto"/>
      </w:divBdr>
    </w:div>
    <w:div w:id="517083793">
      <w:bodyDiv w:val="1"/>
      <w:marLeft w:val="0"/>
      <w:marRight w:val="0"/>
      <w:marTop w:val="0"/>
      <w:marBottom w:val="0"/>
      <w:divBdr>
        <w:top w:val="none" w:sz="0" w:space="0" w:color="auto"/>
        <w:left w:val="none" w:sz="0" w:space="0" w:color="auto"/>
        <w:bottom w:val="none" w:sz="0" w:space="0" w:color="auto"/>
        <w:right w:val="none" w:sz="0" w:space="0" w:color="auto"/>
      </w:divBdr>
    </w:div>
    <w:div w:id="568617361">
      <w:bodyDiv w:val="1"/>
      <w:marLeft w:val="0"/>
      <w:marRight w:val="0"/>
      <w:marTop w:val="0"/>
      <w:marBottom w:val="0"/>
      <w:divBdr>
        <w:top w:val="none" w:sz="0" w:space="0" w:color="auto"/>
        <w:left w:val="none" w:sz="0" w:space="0" w:color="auto"/>
        <w:bottom w:val="none" w:sz="0" w:space="0" w:color="auto"/>
        <w:right w:val="none" w:sz="0" w:space="0" w:color="auto"/>
      </w:divBdr>
    </w:div>
    <w:div w:id="681203329">
      <w:bodyDiv w:val="1"/>
      <w:marLeft w:val="0"/>
      <w:marRight w:val="0"/>
      <w:marTop w:val="0"/>
      <w:marBottom w:val="0"/>
      <w:divBdr>
        <w:top w:val="none" w:sz="0" w:space="0" w:color="auto"/>
        <w:left w:val="none" w:sz="0" w:space="0" w:color="auto"/>
        <w:bottom w:val="none" w:sz="0" w:space="0" w:color="auto"/>
        <w:right w:val="none" w:sz="0" w:space="0" w:color="auto"/>
      </w:divBdr>
    </w:div>
    <w:div w:id="1088039457">
      <w:bodyDiv w:val="1"/>
      <w:marLeft w:val="0"/>
      <w:marRight w:val="0"/>
      <w:marTop w:val="0"/>
      <w:marBottom w:val="0"/>
      <w:divBdr>
        <w:top w:val="none" w:sz="0" w:space="0" w:color="auto"/>
        <w:left w:val="none" w:sz="0" w:space="0" w:color="auto"/>
        <w:bottom w:val="none" w:sz="0" w:space="0" w:color="auto"/>
        <w:right w:val="none" w:sz="0" w:space="0" w:color="auto"/>
      </w:divBdr>
    </w:div>
    <w:div w:id="1145659800">
      <w:bodyDiv w:val="1"/>
      <w:marLeft w:val="0"/>
      <w:marRight w:val="0"/>
      <w:marTop w:val="0"/>
      <w:marBottom w:val="0"/>
      <w:divBdr>
        <w:top w:val="none" w:sz="0" w:space="0" w:color="auto"/>
        <w:left w:val="none" w:sz="0" w:space="0" w:color="auto"/>
        <w:bottom w:val="none" w:sz="0" w:space="0" w:color="auto"/>
        <w:right w:val="none" w:sz="0" w:space="0" w:color="auto"/>
      </w:divBdr>
    </w:div>
    <w:div w:id="1192298507">
      <w:bodyDiv w:val="1"/>
      <w:marLeft w:val="0"/>
      <w:marRight w:val="0"/>
      <w:marTop w:val="0"/>
      <w:marBottom w:val="0"/>
      <w:divBdr>
        <w:top w:val="none" w:sz="0" w:space="0" w:color="auto"/>
        <w:left w:val="none" w:sz="0" w:space="0" w:color="auto"/>
        <w:bottom w:val="none" w:sz="0" w:space="0" w:color="auto"/>
        <w:right w:val="none" w:sz="0" w:space="0" w:color="auto"/>
      </w:divBdr>
    </w:div>
    <w:div w:id="1243680265">
      <w:bodyDiv w:val="1"/>
      <w:marLeft w:val="0"/>
      <w:marRight w:val="0"/>
      <w:marTop w:val="0"/>
      <w:marBottom w:val="0"/>
      <w:divBdr>
        <w:top w:val="none" w:sz="0" w:space="0" w:color="auto"/>
        <w:left w:val="none" w:sz="0" w:space="0" w:color="auto"/>
        <w:bottom w:val="none" w:sz="0" w:space="0" w:color="auto"/>
        <w:right w:val="none" w:sz="0" w:space="0" w:color="auto"/>
      </w:divBdr>
    </w:div>
    <w:div w:id="1371611663">
      <w:bodyDiv w:val="1"/>
      <w:marLeft w:val="0"/>
      <w:marRight w:val="0"/>
      <w:marTop w:val="0"/>
      <w:marBottom w:val="0"/>
      <w:divBdr>
        <w:top w:val="none" w:sz="0" w:space="0" w:color="auto"/>
        <w:left w:val="none" w:sz="0" w:space="0" w:color="auto"/>
        <w:bottom w:val="none" w:sz="0" w:space="0" w:color="auto"/>
        <w:right w:val="none" w:sz="0" w:space="0" w:color="auto"/>
      </w:divBdr>
    </w:div>
    <w:div w:id="1428190764">
      <w:bodyDiv w:val="1"/>
      <w:marLeft w:val="0"/>
      <w:marRight w:val="0"/>
      <w:marTop w:val="0"/>
      <w:marBottom w:val="0"/>
      <w:divBdr>
        <w:top w:val="none" w:sz="0" w:space="0" w:color="auto"/>
        <w:left w:val="none" w:sz="0" w:space="0" w:color="auto"/>
        <w:bottom w:val="none" w:sz="0" w:space="0" w:color="auto"/>
        <w:right w:val="none" w:sz="0" w:space="0" w:color="auto"/>
      </w:divBdr>
    </w:div>
    <w:div w:id="192599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footer" Target="footer3.xml"/><Relationship Id="rId39" Type="http://schemas.openxmlformats.org/officeDocument/2006/relationships/chart" Target="charts/chart5.xml"/><Relationship Id="rId21" Type="http://schemas.microsoft.com/office/2014/relationships/chartEx" Target="charts/chartEx1.xml"/><Relationship Id="rId34" Type="http://schemas.openxmlformats.org/officeDocument/2006/relationships/image" Target="media/image8.png"/><Relationship Id="rId42" Type="http://schemas.openxmlformats.org/officeDocument/2006/relationships/chart" Target="charts/chart8.xml"/><Relationship Id="rId47"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41"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legalcode" TargetMode="External"/><Relationship Id="rId32" Type="http://schemas.openxmlformats.org/officeDocument/2006/relationships/image" Target="media/image7.png"/><Relationship Id="rId37" Type="http://schemas.openxmlformats.org/officeDocument/2006/relationships/chart" Target="charts/chart3.xml"/><Relationship Id="rId40" Type="http://schemas.openxmlformats.org/officeDocument/2006/relationships/chart" Target="charts/chart6.xm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media@treasury.gov.au" TargetMode="External"/><Relationship Id="rId36" Type="http://schemas.openxmlformats.org/officeDocument/2006/relationships/chart" Target="charts/chart2.xml"/><Relationship Id="rId49" Type="http://schemas.openxmlformats.org/officeDocument/2006/relationships/theme" Target="theme/theme1.xml"/><Relationship Id="rId10" Type="http://schemas.openxmlformats.org/officeDocument/2006/relationships/hyperlink" Target="http://creativecommons.org/licenses/by/3.0/au/deed.en" TargetMode="External"/><Relationship Id="rId19" Type="http://schemas.openxmlformats.org/officeDocument/2006/relationships/image" Target="media/image4.png"/><Relationship Id="rId31" Type="http://schemas.microsoft.com/office/2014/relationships/chartEx" Target="charts/chartEx2.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mc.gov.au/honours-and-symbols/commonwealth-coat-arms" TargetMode="External"/><Relationship Id="rId30" Type="http://schemas.openxmlformats.org/officeDocument/2006/relationships/image" Target="media/image6.png"/><Relationship Id="rId35" Type="http://schemas.openxmlformats.org/officeDocument/2006/relationships/chart" Target="charts/chart1.xml"/><Relationship Id="rId43" Type="http://schemas.openxmlformats.org/officeDocument/2006/relationships/chart" Target="charts/chart9.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footer" Target="footer2.xml"/><Relationship Id="rId33" Type="http://schemas.microsoft.com/office/2014/relationships/chartEx" Target="charts/chartEx3.xml"/><Relationship Id="rId38" Type="http://schemas.openxmlformats.org/officeDocument/2006/relationships/chart" Target="charts/chart4.xml"/><Relationship Id="rId46"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acsi.org.au/wp-content/uploads/2023/08/ACSI-Climate-Reporting-Fact-Sheet-August-2023.pdf" TargetMode="External"/><Relationship Id="rId7" Type="http://schemas.openxmlformats.org/officeDocument/2006/relationships/hyperlink" Target="https://www.afr.com/companies/energy/big-four-accounting-firms-rush-to-join-sustainability-trend-20210901-p58nvm" TargetMode="External"/><Relationship Id="rId2" Type="http://schemas.openxmlformats.org/officeDocument/2006/relationships/hyperlink" Target="https://assets.kpmg.com/content/dam/kpmg/au/pdf/2023/australian-sustainability-reporting-trends-june-2023-update.pdf" TargetMode="External"/><Relationship Id="rId1" Type="http://schemas.openxmlformats.org/officeDocument/2006/relationships/hyperlink" Target="https://www.ifac.org/_flysystem/azure-private/publications/files/IFAC-State-of-Play-in-Sustainability-Reporting-and-Assurance-2019-2020-date.pdf" TargetMode="External"/><Relationship Id="rId6" Type="http://schemas.openxmlformats.org/officeDocument/2006/relationships/hyperlink" Target="https://treasury.gov.au/small-business/frt/factsheet" TargetMode="External"/><Relationship Id="rId5" Type="http://schemas.openxmlformats.org/officeDocument/2006/relationships/hyperlink" Target="https://www.sustainability.com/thinking/costs-and-benefits-of-climate-relateddisclosure" TargetMode="External"/><Relationship Id="rId4" Type="http://schemas.openxmlformats.org/officeDocument/2006/relationships/hyperlink" Target="https://www.bain.com/insights/closing-the-public-private-environmental-transparency-g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2.xml"/><Relationship Id="rId1" Type="http://schemas.microsoft.com/office/2011/relationships/chartStyle" Target="style1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NULL"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NULL"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Submissions received </c:v>
                </c:pt>
              </c:strCache>
            </c:strRef>
          </c:tx>
          <c:spPr>
            <a:solidFill>
              <a:schemeClr val="accent1"/>
            </a:solidFill>
            <a:ln>
              <a:noFill/>
            </a:ln>
            <a:effectLst/>
          </c:spPr>
          <c:invertIfNegative val="0"/>
          <c:cat>
            <c:strRef>
              <c:f>Sheet1!$A$2:$A$9</c:f>
              <c:strCache>
                <c:ptCount val="8"/>
                <c:pt idx="0">
                  <c:v>Finance (Includes superannuation, banking and investment managers)</c:v>
                </c:pt>
                <c:pt idx="1">
                  <c:v>Academia / NGOs (Includes policy think tanks)</c:v>
                </c:pt>
                <c:pt idx="2">
                  <c:v>Individuals</c:v>
                </c:pt>
                <c:pt idx="3">
                  <c:v>Service Providers (Includes lawyers, accountants, auditors and data providers)</c:v>
                </c:pt>
                <c:pt idx="4">
                  <c:v>Government/Regulator</c:v>
                </c:pt>
                <c:pt idx="5">
                  <c:v>Standard setter</c:v>
                </c:pt>
                <c:pt idx="6">
                  <c:v>Investor</c:v>
                </c:pt>
                <c:pt idx="7">
                  <c:v>Reporter</c:v>
                </c:pt>
              </c:strCache>
            </c:strRef>
          </c:cat>
          <c:val>
            <c:numRef>
              <c:f>Sheet1!$B$2:$B$9</c:f>
              <c:numCache>
                <c:formatCode>General</c:formatCode>
                <c:ptCount val="8"/>
                <c:pt idx="0">
                  <c:v>35</c:v>
                </c:pt>
                <c:pt idx="1">
                  <c:v>41</c:v>
                </c:pt>
                <c:pt idx="2">
                  <c:v>5</c:v>
                </c:pt>
                <c:pt idx="3">
                  <c:v>38</c:v>
                </c:pt>
                <c:pt idx="4">
                  <c:v>8</c:v>
                </c:pt>
                <c:pt idx="5">
                  <c:v>3</c:v>
                </c:pt>
                <c:pt idx="6">
                  <c:v>11</c:v>
                </c:pt>
                <c:pt idx="7">
                  <c:v>53</c:v>
                </c:pt>
              </c:numCache>
            </c:numRef>
          </c:val>
          <c:extLst>
            <c:ext xmlns:c16="http://schemas.microsoft.com/office/drawing/2014/chart" uri="{C3380CC4-5D6E-409C-BE32-E72D297353CC}">
              <c16:uniqueId val="{00000000-F3CE-4D0C-A731-5EBC264CB1F0}"/>
            </c:ext>
          </c:extLst>
        </c:ser>
        <c:dLbls>
          <c:showLegendKey val="0"/>
          <c:showVal val="0"/>
          <c:showCatName val="0"/>
          <c:showSerName val="0"/>
          <c:showPercent val="0"/>
          <c:showBubbleSize val="0"/>
        </c:dLbls>
        <c:gapWidth val="150"/>
        <c:axId val="997498128"/>
        <c:axId val="1034917792"/>
      </c:barChart>
      <c:catAx>
        <c:axId val="9974981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4917792"/>
        <c:crosses val="autoZero"/>
        <c:auto val="1"/>
        <c:lblAlgn val="ctr"/>
        <c:lblOffset val="100"/>
        <c:noMultiLvlLbl val="0"/>
      </c:catAx>
      <c:valAx>
        <c:axId val="1034917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498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Submissions received </c:v>
                </c:pt>
              </c:strCache>
            </c:strRef>
          </c:tx>
          <c:spPr>
            <a:solidFill>
              <a:schemeClr val="accent1"/>
            </a:solidFill>
            <a:ln>
              <a:noFill/>
            </a:ln>
            <a:effectLst/>
          </c:spPr>
          <c:invertIfNegative val="0"/>
          <c:cat>
            <c:strRef>
              <c:f>Sheet1!$A$2:$A$10</c:f>
              <c:strCache>
                <c:ptCount val="9"/>
                <c:pt idx="0">
                  <c:v>Finance (Includes superannuation, banking and investment managers)</c:v>
                </c:pt>
                <c:pt idx="1">
                  <c:v>Academia / NGOs (Includes policy think tanks)</c:v>
                </c:pt>
                <c:pt idx="2">
                  <c:v>Individuals</c:v>
                </c:pt>
                <c:pt idx="3">
                  <c:v>Industry Group</c:v>
                </c:pt>
                <c:pt idx="4">
                  <c:v>Service Providers (Includes lawyers, accountants, auditors and data providers)</c:v>
                </c:pt>
                <c:pt idx="5">
                  <c:v>Government/Regulator</c:v>
                </c:pt>
                <c:pt idx="6">
                  <c:v>Standard setter</c:v>
                </c:pt>
                <c:pt idx="7">
                  <c:v>Investor</c:v>
                </c:pt>
                <c:pt idx="8">
                  <c:v>Reporter</c:v>
                </c:pt>
              </c:strCache>
            </c:strRef>
          </c:cat>
          <c:val>
            <c:numRef>
              <c:f>Sheet1!$B$2:$B$10</c:f>
              <c:numCache>
                <c:formatCode>General</c:formatCode>
                <c:ptCount val="9"/>
                <c:pt idx="0">
                  <c:v>12</c:v>
                </c:pt>
                <c:pt idx="1">
                  <c:v>22</c:v>
                </c:pt>
                <c:pt idx="2">
                  <c:v>6</c:v>
                </c:pt>
                <c:pt idx="3">
                  <c:v>39</c:v>
                </c:pt>
                <c:pt idx="4">
                  <c:v>36</c:v>
                </c:pt>
                <c:pt idx="5">
                  <c:v>2</c:v>
                </c:pt>
                <c:pt idx="6">
                  <c:v>1</c:v>
                </c:pt>
                <c:pt idx="7">
                  <c:v>3</c:v>
                </c:pt>
                <c:pt idx="8">
                  <c:v>24</c:v>
                </c:pt>
              </c:numCache>
            </c:numRef>
          </c:val>
          <c:extLst>
            <c:ext xmlns:c16="http://schemas.microsoft.com/office/drawing/2014/chart" uri="{C3380CC4-5D6E-409C-BE32-E72D297353CC}">
              <c16:uniqueId val="{00000000-9535-4DA3-974D-B77A44A0C359}"/>
            </c:ext>
          </c:extLst>
        </c:ser>
        <c:dLbls>
          <c:showLegendKey val="0"/>
          <c:showVal val="0"/>
          <c:showCatName val="0"/>
          <c:showSerName val="0"/>
          <c:showPercent val="0"/>
          <c:showBubbleSize val="0"/>
        </c:dLbls>
        <c:gapWidth val="150"/>
        <c:axId val="997498128"/>
        <c:axId val="1034917792"/>
      </c:barChart>
      <c:catAx>
        <c:axId val="99749812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34917792"/>
        <c:crosses val="autoZero"/>
        <c:auto val="1"/>
        <c:lblAlgn val="ctr"/>
        <c:lblOffset val="100"/>
        <c:noMultiLvlLbl val="0"/>
      </c:catAx>
      <c:valAx>
        <c:axId val="1034917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97498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Sensitivity!$B$27</c:f>
              <c:strCache>
                <c:ptCount val="1"/>
                <c:pt idx="0">
                  <c:v>Low</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Sensitivity!$A$28:$A$30</c:f>
              <c:strCache>
                <c:ptCount val="3"/>
                <c:pt idx="0">
                  <c:v>Current entities</c:v>
                </c:pt>
                <c:pt idx="1">
                  <c:v>Future entities</c:v>
                </c:pt>
                <c:pt idx="2">
                  <c:v>Total disclosures</c:v>
                </c:pt>
              </c:strCache>
            </c:strRef>
          </c:cat>
          <c:val>
            <c:numRef>
              <c:f>Sensitivity!$B$28:$B$30</c:f>
              <c:numCache>
                <c:formatCode>General</c:formatCode>
                <c:ptCount val="3"/>
                <c:pt idx="0">
                  <c:v>275</c:v>
                </c:pt>
                <c:pt idx="1">
                  <c:v>621.6</c:v>
                </c:pt>
                <c:pt idx="2">
                  <c:v>896.6</c:v>
                </c:pt>
              </c:numCache>
            </c:numRef>
          </c:val>
          <c:extLst>
            <c:ext xmlns:c16="http://schemas.microsoft.com/office/drawing/2014/chart" uri="{C3380CC4-5D6E-409C-BE32-E72D297353CC}">
              <c16:uniqueId val="{00000000-42FC-4EF3-9517-261CF27C07C6}"/>
            </c:ext>
          </c:extLst>
        </c:ser>
        <c:ser>
          <c:idx val="1"/>
          <c:order val="1"/>
          <c:tx>
            <c:strRef>
              <c:f>Sensitivity!$C$27</c:f>
              <c:strCache>
                <c:ptCount val="1"/>
                <c:pt idx="0">
                  <c:v>Mid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Sensitivity!$A$28:$A$30</c:f>
              <c:strCache>
                <c:ptCount val="3"/>
                <c:pt idx="0">
                  <c:v>Current entities</c:v>
                </c:pt>
                <c:pt idx="1">
                  <c:v>Future entities</c:v>
                </c:pt>
                <c:pt idx="2">
                  <c:v>Total disclosures</c:v>
                </c:pt>
              </c:strCache>
            </c:strRef>
          </c:cat>
          <c:val>
            <c:numRef>
              <c:f>Sensitivity!$C$28:$C$30</c:f>
              <c:numCache>
                <c:formatCode>General</c:formatCode>
                <c:ptCount val="3"/>
                <c:pt idx="0">
                  <c:v>343</c:v>
                </c:pt>
                <c:pt idx="1">
                  <c:v>777</c:v>
                </c:pt>
                <c:pt idx="2">
                  <c:v>1120</c:v>
                </c:pt>
              </c:numCache>
            </c:numRef>
          </c:val>
          <c:extLst>
            <c:ext xmlns:c16="http://schemas.microsoft.com/office/drawing/2014/chart" uri="{C3380CC4-5D6E-409C-BE32-E72D297353CC}">
              <c16:uniqueId val="{00000001-42FC-4EF3-9517-261CF27C07C6}"/>
            </c:ext>
          </c:extLst>
        </c:ser>
        <c:ser>
          <c:idx val="2"/>
          <c:order val="2"/>
          <c:tx>
            <c:strRef>
              <c:f>Sensitivity!$D$27</c:f>
              <c:strCache>
                <c:ptCount val="1"/>
                <c:pt idx="0">
                  <c:v>High</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Sensitivity!$A$28:$A$30</c:f>
              <c:strCache>
                <c:ptCount val="3"/>
                <c:pt idx="0">
                  <c:v>Current entities</c:v>
                </c:pt>
                <c:pt idx="1">
                  <c:v>Future entities</c:v>
                </c:pt>
                <c:pt idx="2">
                  <c:v>Total disclosures</c:v>
                </c:pt>
              </c:strCache>
            </c:strRef>
          </c:cat>
          <c:val>
            <c:numRef>
              <c:f>Sensitivity!$D$28:$D$30</c:f>
              <c:numCache>
                <c:formatCode>General</c:formatCode>
                <c:ptCount val="3"/>
                <c:pt idx="0">
                  <c:v>336</c:v>
                </c:pt>
                <c:pt idx="1">
                  <c:v>932.4</c:v>
                </c:pt>
                <c:pt idx="2">
                  <c:v>1268.4000000000001</c:v>
                </c:pt>
              </c:numCache>
            </c:numRef>
          </c:val>
          <c:extLst>
            <c:ext xmlns:c16="http://schemas.microsoft.com/office/drawing/2014/chart" uri="{C3380CC4-5D6E-409C-BE32-E72D297353CC}">
              <c16:uniqueId val="{00000002-42FC-4EF3-9517-261CF27C07C6}"/>
            </c:ext>
          </c:extLst>
        </c:ser>
        <c:dLbls>
          <c:showLegendKey val="0"/>
          <c:showVal val="0"/>
          <c:showCatName val="0"/>
          <c:showSerName val="0"/>
          <c:showPercent val="0"/>
          <c:showBubbleSize val="0"/>
        </c:dLbls>
        <c:gapWidth val="219"/>
        <c:overlap val="-27"/>
        <c:axId val="589877327"/>
        <c:axId val="728156783"/>
      </c:barChart>
      <c:catAx>
        <c:axId val="589877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156783"/>
        <c:crosses val="autoZero"/>
        <c:auto val="1"/>
        <c:lblAlgn val="ctr"/>
        <c:lblOffset val="100"/>
        <c:noMultiLvlLbl val="0"/>
      </c:catAx>
      <c:valAx>
        <c:axId val="72815678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No. of reporting</a:t>
                </a:r>
                <a:r>
                  <a:rPr lang="en-AU" baseline="0"/>
                  <a:t> entities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9877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Sensitivity!$B$31</c:f>
              <c:strCache>
                <c:ptCount val="1"/>
                <c:pt idx="0">
                  <c:v>Low</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Sensitivity!$A$32:$A$35</c:f>
              <c:strCache>
                <c:ptCount val="4"/>
                <c:pt idx="0">
                  <c:v>Trans. Cost</c:v>
                </c:pt>
                <c:pt idx="1">
                  <c:v>Ongoing cost (current)</c:v>
                </c:pt>
                <c:pt idx="2">
                  <c:v>Ongoing cost (future)</c:v>
                </c:pt>
                <c:pt idx="3">
                  <c:v>Total cost</c:v>
                </c:pt>
              </c:strCache>
            </c:strRef>
          </c:cat>
          <c:val>
            <c:numRef>
              <c:f>Sensitivity!$B$32:$B$35</c:f>
              <c:numCache>
                <c:formatCode>0</c:formatCode>
                <c:ptCount val="4"/>
                <c:pt idx="0">
                  <c:v>16.273175900400002</c:v>
                </c:pt>
                <c:pt idx="1">
                  <c:v>73.242100260000001</c:v>
                </c:pt>
                <c:pt idx="2">
                  <c:v>118.62990000000001</c:v>
                </c:pt>
                <c:pt idx="3">
                  <c:v>208.14517616040001</c:v>
                </c:pt>
              </c:numCache>
            </c:numRef>
          </c:val>
          <c:extLst>
            <c:ext xmlns:c16="http://schemas.microsoft.com/office/drawing/2014/chart" uri="{C3380CC4-5D6E-409C-BE32-E72D297353CC}">
              <c16:uniqueId val="{00000000-A8AC-4EB1-A127-613EC8AA9A64}"/>
            </c:ext>
          </c:extLst>
        </c:ser>
        <c:ser>
          <c:idx val="1"/>
          <c:order val="1"/>
          <c:tx>
            <c:strRef>
              <c:f>Sensitivity!$C$31</c:f>
              <c:strCache>
                <c:ptCount val="1"/>
                <c:pt idx="0">
                  <c:v>Mid</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Sensitivity!$A$32:$A$35</c:f>
              <c:strCache>
                <c:ptCount val="4"/>
                <c:pt idx="0">
                  <c:v>Trans. Cost</c:v>
                </c:pt>
                <c:pt idx="1">
                  <c:v>Ongoing cost (current)</c:v>
                </c:pt>
                <c:pt idx="2">
                  <c:v>Ongoing cost (future)</c:v>
                </c:pt>
                <c:pt idx="3">
                  <c:v>Total cost</c:v>
                </c:pt>
              </c:strCache>
            </c:strRef>
          </c:cat>
          <c:val>
            <c:numRef>
              <c:f>Sensitivity!$C$32:$C$35</c:f>
              <c:numCache>
                <c:formatCode>General</c:formatCode>
                <c:ptCount val="4"/>
                <c:pt idx="0">
                  <c:v>20.3414698755</c:v>
                </c:pt>
                <c:pt idx="1">
                  <c:v>81.380111400000004</c:v>
                </c:pt>
                <c:pt idx="2">
                  <c:v>148.287375</c:v>
                </c:pt>
                <c:pt idx="3" formatCode="0">
                  <c:v>250.0089562755</c:v>
                </c:pt>
              </c:numCache>
            </c:numRef>
          </c:val>
          <c:extLst>
            <c:ext xmlns:c16="http://schemas.microsoft.com/office/drawing/2014/chart" uri="{C3380CC4-5D6E-409C-BE32-E72D297353CC}">
              <c16:uniqueId val="{00000001-A8AC-4EB1-A127-613EC8AA9A64}"/>
            </c:ext>
          </c:extLst>
        </c:ser>
        <c:ser>
          <c:idx val="2"/>
          <c:order val="2"/>
          <c:tx>
            <c:strRef>
              <c:f>Sensitivity!$D$31</c:f>
              <c:strCache>
                <c:ptCount val="1"/>
                <c:pt idx="0">
                  <c:v>High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Sensitivity!$A$32:$A$35</c:f>
              <c:strCache>
                <c:ptCount val="4"/>
                <c:pt idx="0">
                  <c:v>Trans. Cost</c:v>
                </c:pt>
                <c:pt idx="1">
                  <c:v>Ongoing cost (current)</c:v>
                </c:pt>
                <c:pt idx="2">
                  <c:v>Ongoing cost (future)</c:v>
                </c:pt>
                <c:pt idx="3">
                  <c:v>Total cost</c:v>
                </c:pt>
              </c:strCache>
            </c:strRef>
          </c:cat>
          <c:val>
            <c:numRef>
              <c:f>Sensitivity!$D$32:$D$35</c:f>
              <c:numCache>
                <c:formatCode>0</c:formatCode>
                <c:ptCount val="4"/>
                <c:pt idx="0">
                  <c:v>24.409763850599997</c:v>
                </c:pt>
                <c:pt idx="1">
                  <c:v>89.518122540000007</c:v>
                </c:pt>
                <c:pt idx="2">
                  <c:v>177.94485</c:v>
                </c:pt>
                <c:pt idx="3">
                  <c:v>291.87273639060004</c:v>
                </c:pt>
              </c:numCache>
            </c:numRef>
          </c:val>
          <c:extLst>
            <c:ext xmlns:c16="http://schemas.microsoft.com/office/drawing/2014/chart" uri="{C3380CC4-5D6E-409C-BE32-E72D297353CC}">
              <c16:uniqueId val="{00000002-A8AC-4EB1-A127-613EC8AA9A64}"/>
            </c:ext>
          </c:extLst>
        </c:ser>
        <c:dLbls>
          <c:showLegendKey val="0"/>
          <c:showVal val="0"/>
          <c:showCatName val="0"/>
          <c:showSerName val="0"/>
          <c:showPercent val="0"/>
          <c:showBubbleSize val="0"/>
        </c:dLbls>
        <c:gapWidth val="219"/>
        <c:overlap val="-27"/>
        <c:axId val="589886607"/>
        <c:axId val="728153903"/>
      </c:barChart>
      <c:catAx>
        <c:axId val="589886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153903"/>
        <c:crosses val="autoZero"/>
        <c:auto val="1"/>
        <c:lblAlgn val="ctr"/>
        <c:lblOffset val="100"/>
        <c:noMultiLvlLbl val="0"/>
      </c:catAx>
      <c:valAx>
        <c:axId val="72815390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Cost ($</a:t>
                </a:r>
                <a:r>
                  <a:rPr lang="en-AU" baseline="0"/>
                  <a:t> million)</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9886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Sensitivity!$B$47</c:f>
              <c:strCache>
                <c:ptCount val="1"/>
                <c:pt idx="0">
                  <c:v>Low</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Sensitivity!$A$48:$A$52</c:f>
              <c:strCache>
                <c:ptCount val="5"/>
                <c:pt idx="0">
                  <c:v>NGER</c:v>
                </c:pt>
                <c:pt idx="1">
                  <c:v>Group 1</c:v>
                </c:pt>
                <c:pt idx="2">
                  <c:v>Group 2</c:v>
                </c:pt>
                <c:pt idx="3">
                  <c:v>Group 3</c:v>
                </c:pt>
                <c:pt idx="4">
                  <c:v>Total</c:v>
                </c:pt>
              </c:strCache>
            </c:strRef>
          </c:cat>
          <c:val>
            <c:numRef>
              <c:f>Sensitivity!$B$48:$B$52</c:f>
              <c:numCache>
                <c:formatCode>General</c:formatCode>
                <c:ptCount val="5"/>
                <c:pt idx="0">
                  <c:v>325.8</c:v>
                </c:pt>
                <c:pt idx="1">
                  <c:v>656.1</c:v>
                </c:pt>
                <c:pt idx="2">
                  <c:v>679.5</c:v>
                </c:pt>
                <c:pt idx="3">
                  <c:v>3644</c:v>
                </c:pt>
                <c:pt idx="4">
                  <c:v>4979.6000000000004</c:v>
                </c:pt>
              </c:numCache>
            </c:numRef>
          </c:val>
          <c:extLst>
            <c:ext xmlns:c16="http://schemas.microsoft.com/office/drawing/2014/chart" uri="{C3380CC4-5D6E-409C-BE32-E72D297353CC}">
              <c16:uniqueId val="{00000000-AEA9-49EB-9DA6-853B2283FAF7}"/>
            </c:ext>
          </c:extLst>
        </c:ser>
        <c:ser>
          <c:idx val="1"/>
          <c:order val="1"/>
          <c:tx>
            <c:strRef>
              <c:f>Sensitivity!$C$47</c:f>
              <c:strCache>
                <c:ptCount val="1"/>
                <c:pt idx="0">
                  <c:v>Mid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Sensitivity!$A$48:$A$52</c:f>
              <c:strCache>
                <c:ptCount val="5"/>
                <c:pt idx="0">
                  <c:v>NGER</c:v>
                </c:pt>
                <c:pt idx="1">
                  <c:v>Group 1</c:v>
                </c:pt>
                <c:pt idx="2">
                  <c:v>Group 2</c:v>
                </c:pt>
                <c:pt idx="3">
                  <c:v>Group 3</c:v>
                </c:pt>
                <c:pt idx="4">
                  <c:v>Total</c:v>
                </c:pt>
              </c:strCache>
            </c:strRef>
          </c:cat>
          <c:val>
            <c:numRef>
              <c:f>Sensitivity!$C$48:$C$52</c:f>
              <c:numCache>
                <c:formatCode>General</c:formatCode>
                <c:ptCount val="5"/>
                <c:pt idx="0">
                  <c:v>362</c:v>
                </c:pt>
                <c:pt idx="1">
                  <c:v>729</c:v>
                </c:pt>
                <c:pt idx="2">
                  <c:v>755</c:v>
                </c:pt>
                <c:pt idx="3">
                  <c:v>4555</c:v>
                </c:pt>
                <c:pt idx="4">
                  <c:v>6401</c:v>
                </c:pt>
              </c:numCache>
            </c:numRef>
          </c:val>
          <c:extLst>
            <c:ext xmlns:c16="http://schemas.microsoft.com/office/drawing/2014/chart" uri="{C3380CC4-5D6E-409C-BE32-E72D297353CC}">
              <c16:uniqueId val="{00000001-AEA9-49EB-9DA6-853B2283FAF7}"/>
            </c:ext>
          </c:extLst>
        </c:ser>
        <c:ser>
          <c:idx val="2"/>
          <c:order val="2"/>
          <c:tx>
            <c:strRef>
              <c:f>Sensitivity!$D$47</c:f>
              <c:strCache>
                <c:ptCount val="1"/>
                <c:pt idx="0">
                  <c:v>High</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Sensitivity!$A$48:$A$52</c:f>
              <c:strCache>
                <c:ptCount val="5"/>
                <c:pt idx="0">
                  <c:v>NGER</c:v>
                </c:pt>
                <c:pt idx="1">
                  <c:v>Group 1</c:v>
                </c:pt>
                <c:pt idx="2">
                  <c:v>Group 2</c:v>
                </c:pt>
                <c:pt idx="3">
                  <c:v>Group 3</c:v>
                </c:pt>
                <c:pt idx="4">
                  <c:v>Total</c:v>
                </c:pt>
              </c:strCache>
            </c:strRef>
          </c:cat>
          <c:val>
            <c:numRef>
              <c:f>Sensitivity!$D$48:$D$52</c:f>
              <c:numCache>
                <c:formatCode>General</c:formatCode>
                <c:ptCount val="5"/>
                <c:pt idx="0">
                  <c:v>398.20000000000005</c:v>
                </c:pt>
                <c:pt idx="1">
                  <c:v>801.90000000000009</c:v>
                </c:pt>
                <c:pt idx="2">
                  <c:v>830.50000000000011</c:v>
                </c:pt>
                <c:pt idx="3">
                  <c:v>5466</c:v>
                </c:pt>
                <c:pt idx="4">
                  <c:v>7098.4</c:v>
                </c:pt>
              </c:numCache>
            </c:numRef>
          </c:val>
          <c:extLst>
            <c:ext xmlns:c16="http://schemas.microsoft.com/office/drawing/2014/chart" uri="{C3380CC4-5D6E-409C-BE32-E72D297353CC}">
              <c16:uniqueId val="{00000002-AEA9-49EB-9DA6-853B2283FAF7}"/>
            </c:ext>
          </c:extLst>
        </c:ser>
        <c:dLbls>
          <c:dLblPos val="outEnd"/>
          <c:showLegendKey val="0"/>
          <c:showVal val="1"/>
          <c:showCatName val="0"/>
          <c:showSerName val="0"/>
          <c:showPercent val="0"/>
          <c:showBubbleSize val="0"/>
        </c:dLbls>
        <c:gapWidth val="219"/>
        <c:overlap val="-27"/>
        <c:axId val="200039375"/>
        <c:axId val="604032943"/>
      </c:barChart>
      <c:catAx>
        <c:axId val="200039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032943"/>
        <c:crosses val="autoZero"/>
        <c:auto val="1"/>
        <c:lblAlgn val="ctr"/>
        <c:lblOffset val="100"/>
        <c:noMultiLvlLbl val="0"/>
      </c:catAx>
      <c:valAx>
        <c:axId val="60403294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No.</a:t>
                </a:r>
                <a:r>
                  <a:rPr lang="en-AU" baseline="0"/>
                  <a:t> of reporting entities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039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Sensitivity!$B$53</c:f>
              <c:strCache>
                <c:ptCount val="1"/>
                <c:pt idx="0">
                  <c:v>Low</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Sensitivity!$A$54:$A$58</c:f>
              <c:strCache>
                <c:ptCount val="5"/>
                <c:pt idx="0">
                  <c:v>NGER ($m)</c:v>
                </c:pt>
                <c:pt idx="1">
                  <c:v>Group 1 ($m)</c:v>
                </c:pt>
                <c:pt idx="2">
                  <c:v>Group 2 ($m)</c:v>
                </c:pt>
                <c:pt idx="3">
                  <c:v>Group 3 ($m)</c:v>
                </c:pt>
                <c:pt idx="4">
                  <c:v>Total ($m)</c:v>
                </c:pt>
              </c:strCache>
            </c:strRef>
          </c:cat>
          <c:val>
            <c:numRef>
              <c:f>Sensitivity!$B$54:$B$58</c:f>
              <c:numCache>
                <c:formatCode>General</c:formatCode>
                <c:ptCount val="5"/>
                <c:pt idx="0">
                  <c:v>192.64606779599998</c:v>
                </c:pt>
                <c:pt idx="1">
                  <c:v>554.21856125999989</c:v>
                </c:pt>
                <c:pt idx="2">
                  <c:v>556.22487896999996</c:v>
                </c:pt>
                <c:pt idx="3">
                  <c:v>151.06202000000002</c:v>
                </c:pt>
                <c:pt idx="4">
                  <c:v>1454.1515280259998</c:v>
                </c:pt>
              </c:numCache>
            </c:numRef>
          </c:val>
          <c:extLst>
            <c:ext xmlns:c16="http://schemas.microsoft.com/office/drawing/2014/chart" uri="{C3380CC4-5D6E-409C-BE32-E72D297353CC}">
              <c16:uniqueId val="{00000000-7F8A-421B-9CA5-C563DEAE125F}"/>
            </c:ext>
          </c:extLst>
        </c:ser>
        <c:ser>
          <c:idx val="1"/>
          <c:order val="1"/>
          <c:tx>
            <c:strRef>
              <c:f>Sensitivity!$C$53</c:f>
              <c:strCache>
                <c:ptCount val="1"/>
                <c:pt idx="0">
                  <c:v>Mid</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Sensitivity!$A$54:$A$58</c:f>
              <c:strCache>
                <c:ptCount val="5"/>
                <c:pt idx="0">
                  <c:v>NGER ($m)</c:v>
                </c:pt>
                <c:pt idx="1">
                  <c:v>Group 1 ($m)</c:v>
                </c:pt>
                <c:pt idx="2">
                  <c:v>Group 2 ($m)</c:v>
                </c:pt>
                <c:pt idx="3">
                  <c:v>Group 3 ($m)</c:v>
                </c:pt>
                <c:pt idx="4">
                  <c:v>Total ($m)</c:v>
                </c:pt>
              </c:strCache>
            </c:strRef>
          </c:cat>
          <c:val>
            <c:numRef>
              <c:f>Sensitivity!$C$54:$C$58</c:f>
              <c:numCache>
                <c:formatCode>General</c:formatCode>
                <c:ptCount val="5"/>
                <c:pt idx="0">
                  <c:v>214.05118643999998</c:v>
                </c:pt>
                <c:pt idx="1">
                  <c:v>615.79840139999988</c:v>
                </c:pt>
                <c:pt idx="2">
                  <c:v>618.02764329999991</c:v>
                </c:pt>
                <c:pt idx="3">
                  <c:v>188.82752500000001</c:v>
                </c:pt>
                <c:pt idx="4">
                  <c:v>1636.7047561399997</c:v>
                </c:pt>
              </c:numCache>
            </c:numRef>
          </c:val>
          <c:extLst>
            <c:ext xmlns:c16="http://schemas.microsoft.com/office/drawing/2014/chart" uri="{C3380CC4-5D6E-409C-BE32-E72D297353CC}">
              <c16:uniqueId val="{00000001-7F8A-421B-9CA5-C563DEAE125F}"/>
            </c:ext>
          </c:extLst>
        </c:ser>
        <c:ser>
          <c:idx val="2"/>
          <c:order val="2"/>
          <c:tx>
            <c:strRef>
              <c:f>Sensitivity!$D$53</c:f>
              <c:strCache>
                <c:ptCount val="1"/>
                <c:pt idx="0">
                  <c:v>High</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Sensitivity!$A$54:$A$58</c:f>
              <c:strCache>
                <c:ptCount val="5"/>
                <c:pt idx="0">
                  <c:v>NGER ($m)</c:v>
                </c:pt>
                <c:pt idx="1">
                  <c:v>Group 1 ($m)</c:v>
                </c:pt>
                <c:pt idx="2">
                  <c:v>Group 2 ($m)</c:v>
                </c:pt>
                <c:pt idx="3">
                  <c:v>Group 3 ($m)</c:v>
                </c:pt>
                <c:pt idx="4">
                  <c:v>Total ($m)</c:v>
                </c:pt>
              </c:strCache>
            </c:strRef>
          </c:cat>
          <c:val>
            <c:numRef>
              <c:f>Sensitivity!$D$54:$D$58</c:f>
              <c:numCache>
                <c:formatCode>General</c:formatCode>
                <c:ptCount val="5"/>
                <c:pt idx="0">
                  <c:v>235.45630508400001</c:v>
                </c:pt>
                <c:pt idx="1">
                  <c:v>677.37824153999986</c:v>
                </c:pt>
                <c:pt idx="2">
                  <c:v>679.83040762999997</c:v>
                </c:pt>
                <c:pt idx="3">
                  <c:v>226.59303</c:v>
                </c:pt>
                <c:pt idx="4">
                  <c:v>1819.2579842539999</c:v>
                </c:pt>
              </c:numCache>
            </c:numRef>
          </c:val>
          <c:extLst>
            <c:ext xmlns:c16="http://schemas.microsoft.com/office/drawing/2014/chart" uri="{C3380CC4-5D6E-409C-BE32-E72D297353CC}">
              <c16:uniqueId val="{00000002-7F8A-421B-9CA5-C563DEAE125F}"/>
            </c:ext>
          </c:extLst>
        </c:ser>
        <c:dLbls>
          <c:dLblPos val="outEnd"/>
          <c:showLegendKey val="0"/>
          <c:showVal val="1"/>
          <c:showCatName val="0"/>
          <c:showSerName val="0"/>
          <c:showPercent val="0"/>
          <c:showBubbleSize val="0"/>
        </c:dLbls>
        <c:gapWidth val="219"/>
        <c:overlap val="-27"/>
        <c:axId val="608545615"/>
        <c:axId val="1925884943"/>
      </c:barChart>
      <c:catAx>
        <c:axId val="608545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5884943"/>
        <c:crosses val="autoZero"/>
        <c:auto val="1"/>
        <c:lblAlgn val="ctr"/>
        <c:lblOffset val="100"/>
        <c:noMultiLvlLbl val="0"/>
      </c:catAx>
      <c:valAx>
        <c:axId val="192588494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Cost</a:t>
                </a:r>
                <a:r>
                  <a:rPr lang="en-AU" baseline="0"/>
                  <a:t> ($ million)</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545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Sensitivity!$B$63</c:f>
              <c:strCache>
                <c:ptCount val="1"/>
                <c:pt idx="0">
                  <c:v>Low</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Sensitivity!$A$64:$A$68</c:f>
              <c:strCache>
                <c:ptCount val="5"/>
                <c:pt idx="0">
                  <c:v>NGER</c:v>
                </c:pt>
                <c:pt idx="1">
                  <c:v>Group 1</c:v>
                </c:pt>
                <c:pt idx="2">
                  <c:v>Group 2</c:v>
                </c:pt>
                <c:pt idx="3">
                  <c:v>Group 3</c:v>
                </c:pt>
                <c:pt idx="4">
                  <c:v>Total</c:v>
                </c:pt>
              </c:strCache>
            </c:strRef>
          </c:cat>
          <c:val>
            <c:numRef>
              <c:f>Sensitivity!$B$64:$B$68</c:f>
              <c:numCache>
                <c:formatCode>General</c:formatCode>
                <c:ptCount val="5"/>
                <c:pt idx="0">
                  <c:v>325.8</c:v>
                </c:pt>
                <c:pt idx="1">
                  <c:v>656.1</c:v>
                </c:pt>
                <c:pt idx="2">
                  <c:v>679.5</c:v>
                </c:pt>
                <c:pt idx="3">
                  <c:v>0</c:v>
                </c:pt>
                <c:pt idx="4">
                  <c:v>1661.4</c:v>
                </c:pt>
              </c:numCache>
            </c:numRef>
          </c:val>
          <c:extLst>
            <c:ext xmlns:c16="http://schemas.microsoft.com/office/drawing/2014/chart" uri="{C3380CC4-5D6E-409C-BE32-E72D297353CC}">
              <c16:uniqueId val="{00000000-D085-4191-B7E7-092528E07B54}"/>
            </c:ext>
          </c:extLst>
        </c:ser>
        <c:ser>
          <c:idx val="1"/>
          <c:order val="1"/>
          <c:tx>
            <c:strRef>
              <c:f>Sensitivity!$C$63</c:f>
              <c:strCache>
                <c:ptCount val="1"/>
                <c:pt idx="0">
                  <c:v>Mid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Sensitivity!$A$64:$A$68</c:f>
              <c:strCache>
                <c:ptCount val="5"/>
                <c:pt idx="0">
                  <c:v>NGER</c:v>
                </c:pt>
                <c:pt idx="1">
                  <c:v>Group 1</c:v>
                </c:pt>
                <c:pt idx="2">
                  <c:v>Group 2</c:v>
                </c:pt>
                <c:pt idx="3">
                  <c:v>Group 3</c:v>
                </c:pt>
                <c:pt idx="4">
                  <c:v>Total</c:v>
                </c:pt>
              </c:strCache>
            </c:strRef>
          </c:cat>
          <c:val>
            <c:numRef>
              <c:f>Sensitivity!$C$64:$C$68</c:f>
              <c:numCache>
                <c:formatCode>General</c:formatCode>
                <c:ptCount val="5"/>
                <c:pt idx="0">
                  <c:v>362</c:v>
                </c:pt>
                <c:pt idx="1">
                  <c:v>729</c:v>
                </c:pt>
                <c:pt idx="2">
                  <c:v>755</c:v>
                </c:pt>
                <c:pt idx="3">
                  <c:v>228</c:v>
                </c:pt>
                <c:pt idx="4">
                  <c:v>2074</c:v>
                </c:pt>
              </c:numCache>
            </c:numRef>
          </c:val>
          <c:extLst>
            <c:ext xmlns:c16="http://schemas.microsoft.com/office/drawing/2014/chart" uri="{C3380CC4-5D6E-409C-BE32-E72D297353CC}">
              <c16:uniqueId val="{00000001-D085-4191-B7E7-092528E07B54}"/>
            </c:ext>
          </c:extLst>
        </c:ser>
        <c:ser>
          <c:idx val="2"/>
          <c:order val="2"/>
          <c:tx>
            <c:strRef>
              <c:f>Sensitivity!$D$63</c:f>
              <c:strCache>
                <c:ptCount val="1"/>
                <c:pt idx="0">
                  <c:v>High</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Sensitivity!$A$64:$A$68</c:f>
              <c:strCache>
                <c:ptCount val="5"/>
                <c:pt idx="0">
                  <c:v>NGER</c:v>
                </c:pt>
                <c:pt idx="1">
                  <c:v>Group 1</c:v>
                </c:pt>
                <c:pt idx="2">
                  <c:v>Group 2</c:v>
                </c:pt>
                <c:pt idx="3">
                  <c:v>Group 3</c:v>
                </c:pt>
                <c:pt idx="4">
                  <c:v>Total</c:v>
                </c:pt>
              </c:strCache>
            </c:strRef>
          </c:cat>
          <c:val>
            <c:numRef>
              <c:f>Sensitivity!$D$64:$D$68</c:f>
              <c:numCache>
                <c:formatCode>General</c:formatCode>
                <c:ptCount val="5"/>
                <c:pt idx="0">
                  <c:v>398.20000000000005</c:v>
                </c:pt>
                <c:pt idx="1">
                  <c:v>801.90000000000009</c:v>
                </c:pt>
                <c:pt idx="2">
                  <c:v>830.50000000000011</c:v>
                </c:pt>
                <c:pt idx="3">
                  <c:v>455.5</c:v>
                </c:pt>
                <c:pt idx="4">
                  <c:v>2486.1000000000004</c:v>
                </c:pt>
              </c:numCache>
            </c:numRef>
          </c:val>
          <c:extLst>
            <c:ext xmlns:c16="http://schemas.microsoft.com/office/drawing/2014/chart" uri="{C3380CC4-5D6E-409C-BE32-E72D297353CC}">
              <c16:uniqueId val="{00000002-D085-4191-B7E7-092528E07B54}"/>
            </c:ext>
          </c:extLst>
        </c:ser>
        <c:dLbls>
          <c:dLblPos val="outEnd"/>
          <c:showLegendKey val="0"/>
          <c:showVal val="1"/>
          <c:showCatName val="0"/>
          <c:showSerName val="0"/>
          <c:showPercent val="0"/>
          <c:showBubbleSize val="0"/>
        </c:dLbls>
        <c:gapWidth val="219"/>
        <c:overlap val="-27"/>
        <c:axId val="733896735"/>
        <c:axId val="604050703"/>
      </c:barChart>
      <c:catAx>
        <c:axId val="73389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050703"/>
        <c:crosses val="autoZero"/>
        <c:auto val="1"/>
        <c:lblAlgn val="ctr"/>
        <c:lblOffset val="100"/>
        <c:noMultiLvlLbl val="0"/>
      </c:catAx>
      <c:valAx>
        <c:axId val="60405070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No,</a:t>
                </a:r>
                <a:r>
                  <a:rPr lang="en-AU" baseline="0"/>
                  <a:t> of reporting entities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896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Sensitivity!$B$69</c:f>
              <c:strCache>
                <c:ptCount val="1"/>
                <c:pt idx="0">
                  <c:v>Low</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Sensitivity!$A$70:$A$74</c:f>
              <c:strCache>
                <c:ptCount val="5"/>
                <c:pt idx="0">
                  <c:v>NGER ($m)</c:v>
                </c:pt>
                <c:pt idx="1">
                  <c:v>Group 1 ($m)</c:v>
                </c:pt>
                <c:pt idx="2">
                  <c:v>Group 2 ($m)</c:v>
                </c:pt>
                <c:pt idx="3">
                  <c:v>Group 3 ($m)</c:v>
                </c:pt>
                <c:pt idx="4">
                  <c:v>Total ($m)</c:v>
                </c:pt>
              </c:strCache>
            </c:strRef>
          </c:cat>
          <c:val>
            <c:numRef>
              <c:f>Sensitivity!$B$70:$B$74</c:f>
              <c:numCache>
                <c:formatCode>General</c:formatCode>
                <c:ptCount val="5"/>
                <c:pt idx="0">
                  <c:v>192.64606779599998</c:v>
                </c:pt>
                <c:pt idx="1">
                  <c:v>554.21856125999989</c:v>
                </c:pt>
                <c:pt idx="2">
                  <c:v>556.22487896999996</c:v>
                </c:pt>
                <c:pt idx="3">
                  <c:v>0</c:v>
                </c:pt>
                <c:pt idx="4">
                  <c:v>1303.0895080259997</c:v>
                </c:pt>
              </c:numCache>
            </c:numRef>
          </c:val>
          <c:extLst>
            <c:ext xmlns:c16="http://schemas.microsoft.com/office/drawing/2014/chart" uri="{C3380CC4-5D6E-409C-BE32-E72D297353CC}">
              <c16:uniqueId val="{00000000-3732-4AD9-A393-2A4551550584}"/>
            </c:ext>
          </c:extLst>
        </c:ser>
        <c:ser>
          <c:idx val="1"/>
          <c:order val="1"/>
          <c:tx>
            <c:strRef>
              <c:f>Sensitivity!$C$69</c:f>
              <c:strCache>
                <c:ptCount val="1"/>
                <c:pt idx="0">
                  <c:v>Mid</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Sensitivity!$A$70:$A$74</c:f>
              <c:strCache>
                <c:ptCount val="5"/>
                <c:pt idx="0">
                  <c:v>NGER ($m)</c:v>
                </c:pt>
                <c:pt idx="1">
                  <c:v>Group 1 ($m)</c:v>
                </c:pt>
                <c:pt idx="2">
                  <c:v>Group 2 ($m)</c:v>
                </c:pt>
                <c:pt idx="3">
                  <c:v>Group 3 ($m)</c:v>
                </c:pt>
                <c:pt idx="4">
                  <c:v>Total ($m)</c:v>
                </c:pt>
              </c:strCache>
            </c:strRef>
          </c:cat>
          <c:val>
            <c:numRef>
              <c:f>Sensitivity!$C$70:$C$74</c:f>
              <c:numCache>
                <c:formatCode>General</c:formatCode>
                <c:ptCount val="5"/>
                <c:pt idx="0">
                  <c:v>214.05118643999998</c:v>
                </c:pt>
                <c:pt idx="1">
                  <c:v>615.79840139999988</c:v>
                </c:pt>
                <c:pt idx="2">
                  <c:v>618.02764329999991</c:v>
                </c:pt>
                <c:pt idx="3">
                  <c:v>9.4413762500000011</c:v>
                </c:pt>
                <c:pt idx="4">
                  <c:v>1457.3186073899999</c:v>
                </c:pt>
              </c:numCache>
            </c:numRef>
          </c:val>
          <c:extLst>
            <c:ext xmlns:c16="http://schemas.microsoft.com/office/drawing/2014/chart" uri="{C3380CC4-5D6E-409C-BE32-E72D297353CC}">
              <c16:uniqueId val="{00000001-3732-4AD9-A393-2A4551550584}"/>
            </c:ext>
          </c:extLst>
        </c:ser>
        <c:ser>
          <c:idx val="2"/>
          <c:order val="2"/>
          <c:tx>
            <c:strRef>
              <c:f>Sensitivity!$D$69</c:f>
              <c:strCache>
                <c:ptCount val="1"/>
                <c:pt idx="0">
                  <c:v>High</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Sensitivity!$A$70:$A$74</c:f>
              <c:strCache>
                <c:ptCount val="5"/>
                <c:pt idx="0">
                  <c:v>NGER ($m)</c:v>
                </c:pt>
                <c:pt idx="1">
                  <c:v>Group 1 ($m)</c:v>
                </c:pt>
                <c:pt idx="2">
                  <c:v>Group 2 ($m)</c:v>
                </c:pt>
                <c:pt idx="3">
                  <c:v>Group 3 ($m)</c:v>
                </c:pt>
                <c:pt idx="4">
                  <c:v>Total ($m)</c:v>
                </c:pt>
              </c:strCache>
            </c:strRef>
          </c:cat>
          <c:val>
            <c:numRef>
              <c:f>Sensitivity!$D$70:$D$74</c:f>
              <c:numCache>
                <c:formatCode>General</c:formatCode>
                <c:ptCount val="5"/>
                <c:pt idx="0">
                  <c:v>235.45630508400001</c:v>
                </c:pt>
                <c:pt idx="1">
                  <c:v>677.37824153999986</c:v>
                </c:pt>
                <c:pt idx="2">
                  <c:v>679.83040762999997</c:v>
                </c:pt>
                <c:pt idx="3">
                  <c:v>18.882752500000002</c:v>
                </c:pt>
                <c:pt idx="4">
                  <c:v>1611.5477067539998</c:v>
                </c:pt>
              </c:numCache>
            </c:numRef>
          </c:val>
          <c:extLst>
            <c:ext xmlns:c16="http://schemas.microsoft.com/office/drawing/2014/chart" uri="{C3380CC4-5D6E-409C-BE32-E72D297353CC}">
              <c16:uniqueId val="{00000002-3732-4AD9-A393-2A4551550584}"/>
            </c:ext>
          </c:extLst>
        </c:ser>
        <c:dLbls>
          <c:dLblPos val="outEnd"/>
          <c:showLegendKey val="0"/>
          <c:showVal val="1"/>
          <c:showCatName val="0"/>
          <c:showSerName val="0"/>
          <c:showPercent val="0"/>
          <c:showBubbleSize val="0"/>
        </c:dLbls>
        <c:gapWidth val="219"/>
        <c:overlap val="-27"/>
        <c:axId val="514771055"/>
        <c:axId val="517754207"/>
      </c:barChart>
      <c:catAx>
        <c:axId val="514771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754207"/>
        <c:crosses val="autoZero"/>
        <c:auto val="1"/>
        <c:lblAlgn val="ctr"/>
        <c:lblOffset val="100"/>
        <c:noMultiLvlLbl val="0"/>
      </c:catAx>
      <c:valAx>
        <c:axId val="517754207"/>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Cost ($ million)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4771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Sensitivity!$B$86</c:f>
              <c:strCache>
                <c:ptCount val="1"/>
                <c:pt idx="0">
                  <c:v>Low</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Sensitivity!$A$87:$A$91</c:f>
              <c:strCache>
                <c:ptCount val="5"/>
                <c:pt idx="0">
                  <c:v>NGER ($m)</c:v>
                </c:pt>
                <c:pt idx="1">
                  <c:v>Group 1 ($m)</c:v>
                </c:pt>
                <c:pt idx="2">
                  <c:v>Group 2 ($m)</c:v>
                </c:pt>
                <c:pt idx="3">
                  <c:v>Group 3 ($m)</c:v>
                </c:pt>
                <c:pt idx="4">
                  <c:v>Total ($m)</c:v>
                </c:pt>
              </c:strCache>
            </c:strRef>
          </c:cat>
          <c:val>
            <c:numRef>
              <c:f>Sensitivity!$B$87:$B$91</c:f>
              <c:numCache>
                <c:formatCode>General</c:formatCode>
                <c:ptCount val="5"/>
                <c:pt idx="0">
                  <c:v>185.14793392199999</c:v>
                </c:pt>
                <c:pt idx="1">
                  <c:v>532.64737106999996</c:v>
                </c:pt>
                <c:pt idx="2">
                  <c:v>533.88434591999999</c:v>
                </c:pt>
                <c:pt idx="3">
                  <c:v>0</c:v>
                </c:pt>
                <c:pt idx="4">
                  <c:v>1251.6796509119999</c:v>
                </c:pt>
              </c:numCache>
            </c:numRef>
          </c:val>
          <c:extLst>
            <c:ext xmlns:c16="http://schemas.microsoft.com/office/drawing/2014/chart" uri="{C3380CC4-5D6E-409C-BE32-E72D297353CC}">
              <c16:uniqueId val="{00000000-3ED7-46ED-B89B-907C78BC4086}"/>
            </c:ext>
          </c:extLst>
        </c:ser>
        <c:ser>
          <c:idx val="1"/>
          <c:order val="1"/>
          <c:tx>
            <c:strRef>
              <c:f>Sensitivity!$C$86</c:f>
              <c:strCache>
                <c:ptCount val="1"/>
                <c:pt idx="0">
                  <c:v>Mid</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Sensitivity!$A$87:$A$91</c:f>
              <c:strCache>
                <c:ptCount val="5"/>
                <c:pt idx="0">
                  <c:v>NGER ($m)</c:v>
                </c:pt>
                <c:pt idx="1">
                  <c:v>Group 1 ($m)</c:v>
                </c:pt>
                <c:pt idx="2">
                  <c:v>Group 2 ($m)</c:v>
                </c:pt>
                <c:pt idx="3">
                  <c:v>Group 3 ($m)</c:v>
                </c:pt>
                <c:pt idx="4">
                  <c:v>Total ($m)</c:v>
                </c:pt>
              </c:strCache>
            </c:strRef>
          </c:cat>
          <c:val>
            <c:numRef>
              <c:f>Sensitivity!$C$87:$C$91</c:f>
              <c:numCache>
                <c:formatCode>General</c:formatCode>
                <c:ptCount val="5"/>
                <c:pt idx="0">
                  <c:v>205.71992657999999</c:v>
                </c:pt>
                <c:pt idx="1">
                  <c:v>591.83041229999992</c:v>
                </c:pt>
                <c:pt idx="2">
                  <c:v>593.20482879999997</c:v>
                </c:pt>
                <c:pt idx="3">
                  <c:v>9.4413762500000011</c:v>
                </c:pt>
                <c:pt idx="4">
                  <c:v>1400.19654393</c:v>
                </c:pt>
              </c:numCache>
            </c:numRef>
          </c:val>
          <c:extLst>
            <c:ext xmlns:c16="http://schemas.microsoft.com/office/drawing/2014/chart" uri="{C3380CC4-5D6E-409C-BE32-E72D297353CC}">
              <c16:uniqueId val="{00000001-3ED7-46ED-B89B-907C78BC4086}"/>
            </c:ext>
          </c:extLst>
        </c:ser>
        <c:ser>
          <c:idx val="2"/>
          <c:order val="2"/>
          <c:tx>
            <c:strRef>
              <c:f>Sensitivity!$D$86</c:f>
              <c:strCache>
                <c:ptCount val="1"/>
                <c:pt idx="0">
                  <c:v>High</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Sensitivity!$A$87:$A$91</c:f>
              <c:strCache>
                <c:ptCount val="5"/>
                <c:pt idx="0">
                  <c:v>NGER ($m)</c:v>
                </c:pt>
                <c:pt idx="1">
                  <c:v>Group 1 ($m)</c:v>
                </c:pt>
                <c:pt idx="2">
                  <c:v>Group 2 ($m)</c:v>
                </c:pt>
                <c:pt idx="3">
                  <c:v>Group 3 ($m)</c:v>
                </c:pt>
                <c:pt idx="4">
                  <c:v>Total ($m)</c:v>
                </c:pt>
              </c:strCache>
            </c:strRef>
          </c:cat>
          <c:val>
            <c:numRef>
              <c:f>Sensitivity!$D$87:$D$91</c:f>
              <c:numCache>
                <c:formatCode>General</c:formatCode>
                <c:ptCount val="5"/>
                <c:pt idx="0">
                  <c:v>226.29191923800002</c:v>
                </c:pt>
                <c:pt idx="1">
                  <c:v>651.01345352999999</c:v>
                </c:pt>
                <c:pt idx="2">
                  <c:v>652.52531168000007</c:v>
                </c:pt>
                <c:pt idx="3">
                  <c:v>18.882752500000002</c:v>
                </c:pt>
                <c:pt idx="4">
                  <c:v>1548.713436948</c:v>
                </c:pt>
              </c:numCache>
            </c:numRef>
          </c:val>
          <c:extLst>
            <c:ext xmlns:c16="http://schemas.microsoft.com/office/drawing/2014/chart" uri="{C3380CC4-5D6E-409C-BE32-E72D297353CC}">
              <c16:uniqueId val="{00000002-3ED7-46ED-B89B-907C78BC4086}"/>
            </c:ext>
          </c:extLst>
        </c:ser>
        <c:dLbls>
          <c:dLblPos val="outEnd"/>
          <c:showLegendKey val="0"/>
          <c:showVal val="1"/>
          <c:showCatName val="0"/>
          <c:showSerName val="0"/>
          <c:showPercent val="0"/>
          <c:showBubbleSize val="0"/>
        </c:dLbls>
        <c:gapWidth val="219"/>
        <c:overlap val="-27"/>
        <c:axId val="61926399"/>
        <c:axId val="507359247"/>
      </c:barChart>
      <c:catAx>
        <c:axId val="61926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359247"/>
        <c:crosses val="autoZero"/>
        <c:auto val="1"/>
        <c:lblAlgn val="ctr"/>
        <c:lblOffset val="100"/>
        <c:noMultiLvlLbl val="0"/>
      </c:catAx>
      <c:valAx>
        <c:axId val="507359247"/>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Cost ($ million)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26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'Waterfall charts'!$A$2:$A$6</cx:f>
        <cx:lvl ptCount="5">
          <cx:pt idx="0">Group 1</cx:pt>
          <cx:pt idx="1">Group 2</cx:pt>
          <cx:pt idx="2">Group 3</cx:pt>
          <cx:pt idx="3">NGER</cx:pt>
          <cx:pt idx="4">Total</cx:pt>
        </cx:lvl>
      </cx:strDim>
      <cx:numDim type="val">
        <cx:f>'Waterfall charts'!$B$2:$B$6</cx:f>
        <cx:lvl ptCount="5" formatCode="General">
          <cx:pt idx="0">615.78999999999996</cx:pt>
          <cx:pt idx="1">618.02999999999997</cx:pt>
          <cx:pt idx="2">188.83000000000001</cx:pt>
          <cx:pt idx="3">214.03999999999999</cx:pt>
          <cx:pt idx="4">-1636.6899999999998</cx:pt>
        </cx:lvl>
      </cx:numDim>
    </cx:data>
  </cx:chartData>
  <cx:chart>
    <cx:plotArea>
      <cx:plotAreaRegion>
        <cx:series layoutId="waterfall" uniqueId="{37113009-A1E2-418F-8CA0-4A51F3999B9E}">
          <cx:tx>
            <cx:txData>
              <cx:f>'Waterfall charts'!$B$1</cx:f>
              <cx:v>Total ($m)</cx:v>
            </cx:txData>
          </cx:tx>
          <cx:dataLabels pos="outEnd">
            <cx:numFmt formatCode="###0;###0" sourceLinked="0"/>
            <cx:txPr>
              <a:bodyPr spcFirstLastPara="1" vertOverflow="ellipsis" horzOverflow="overflow" wrap="square" lIns="0" tIns="0" rIns="0" bIns="0" anchor="ctr" anchorCtr="1"/>
              <a:lstStyle/>
              <a:p>
                <a:pPr algn="ctr" rtl="0">
                  <a:defRPr lang="en-US"/>
                </a:pPr>
                <a:endParaRPr lang="en-US"/>
              </a:p>
            </cx:txPr>
            <cx:visibility seriesName="0" categoryName="0" value="1"/>
            <cx:separator>, </cx:separator>
            <cx:dataLabel idx="4">
              <cx:numFmt formatCode="###0;###0" sourceLinked="0"/>
              <cx:txPr>
                <a:bodyPr spcFirstLastPara="1" vertOverflow="ellipsis" horzOverflow="overflow" wrap="square" lIns="0" tIns="0" rIns="0" bIns="0" anchor="ctr" anchorCtr="1"/>
                <a:lstStyle/>
                <a:p>
                  <a:pPr algn="ctr" rtl="0">
                    <a:defRPr>
                      <a:solidFill>
                        <a:schemeClr val="bg1"/>
                      </a:solidFill>
                    </a:defRPr>
                  </a:pPr>
                  <a:r>
                    <a:rPr lang="en-US" sz="900" b="0" i="0" u="none" strike="noStrike" baseline="0">
                      <a:solidFill>
                        <a:schemeClr val="bg1"/>
                      </a:solidFill>
                      <a:latin typeface="Calibri" panose="020F0502020204030204"/>
                    </a:rPr>
                    <a:t>1637</a:t>
                  </a:r>
                </a:p>
              </cx:txPr>
              <cx:visibility seriesName="0" categoryName="0" value="1"/>
              <cx:separator>, </cx:separator>
            </cx:dataLabel>
          </cx:dataLabels>
          <cx:dataId val="0"/>
          <cx:layoutPr>
            <cx:visibility connectorLines="1"/>
            <cx:subtotals/>
          </cx:layoutPr>
        </cx:series>
      </cx:plotAreaRegion>
      <cx:axis id="0">
        <cx:catScaling gapWidth="0.5"/>
        <cx:tickLabels/>
        <cx:txPr>
          <a:bodyPr vertOverflow="overflow" horzOverflow="overflow" wrap="square" lIns="0" tIns="0" rIns="0" bIns="0"/>
          <a:lstStyle/>
          <a:p>
            <a:pPr algn="ctr" rtl="0">
              <a:defRPr lang="en-US"/>
            </a:pPr>
            <a:endParaRPr lang="en-US"/>
          </a:p>
        </cx:txPr>
      </cx:axis>
      <cx:axis id="1">
        <cx:valScaling/>
        <cx:title>
          <cx:tx>
            <cx:txData>
              <cx:v>Cost ($ million)</cx:v>
            </cx:txData>
          </cx:tx>
          <cx:txPr>
            <a:bodyPr spcFirstLastPara="1" vertOverflow="ellipsis" horzOverflow="overflow" wrap="square" lIns="0" tIns="0" rIns="0" bIns="0" anchor="ctr" anchorCtr="1"/>
            <a:lstStyle/>
            <a:p>
              <a:pPr algn="ctr" rtl="0">
                <a:defRPr lang="en-US"/>
              </a:pPr>
              <a:r>
                <a:rPr lang="en-US"/>
                <a:t>Cost ($ million)</a:t>
              </a:r>
            </a:p>
          </cx:txPr>
        </cx:title>
        <cx:tickLabels/>
        <cx:txPr>
          <a:bodyPr vertOverflow="overflow" horzOverflow="overflow" wrap="square" lIns="0" tIns="0" rIns="0" bIns="0"/>
          <a:lstStyle/>
          <a:p>
            <a:pPr algn="ctr" rtl="0">
              <a:defRPr lang="en-US"/>
            </a:pPr>
            <a:endParaRPr lang="en-US"/>
          </a:p>
        </cx:txPr>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'Waterfall charts'!$D$2:$D$6</cx:f>
        <cx:lvl ptCount="5">
          <cx:pt idx="0">Group 1</cx:pt>
          <cx:pt idx="1">Group 2</cx:pt>
          <cx:pt idx="2">Group 3</cx:pt>
          <cx:pt idx="3">NGER</cx:pt>
          <cx:pt idx="4">Total</cx:pt>
        </cx:lvl>
      </cx:strDim>
      <cx:numDim type="val">
        <cx:f>'Waterfall charts'!$E$2:$E$6</cx:f>
        <cx:lvl ptCount="5" formatCode="General">
          <cx:pt idx="0">615.78999999999996</cx:pt>
          <cx:pt idx="1">618.02999999999997</cx:pt>
          <cx:pt idx="2">9.4399999999999995</cx:pt>
          <cx:pt idx="3">214.03999999999999</cx:pt>
          <cx:pt idx="4">-1457.3</cx:pt>
        </cx:lvl>
      </cx:numDim>
    </cx:data>
  </cx:chartData>
  <cx:chart>
    <cx:plotArea>
      <cx:plotAreaRegion>
        <cx:plotSurface>
          <cx:spPr>
            <a:ln>
              <a:noFill/>
            </a:ln>
          </cx:spPr>
        </cx:plotSurface>
        <cx:series layoutId="waterfall" uniqueId="{E0F436A2-9C02-42C5-86CC-9E3AA01687F0}">
          <cx:tx>
            <cx:txData>
              <cx:f>'Waterfall charts'!$E$1</cx:f>
              <cx:v/>
            </cx:txData>
          </cx:tx>
          <cx:dataLabels pos="outEnd">
            <cx:numFmt formatCode="###0;###0" sourceLinked="0"/>
            <cx:visibility seriesName="0" categoryName="0" value="1"/>
            <cx:separator>, </cx:separator>
          </cx:dataLabels>
          <cx:dataId val="0"/>
          <cx:layoutPr>
            <cx:subtotals/>
          </cx:layoutPr>
        </cx:series>
      </cx:plotAreaRegion>
      <cx:axis id="0">
        <cx:catScaling gapWidth="0.5"/>
        <cx:tickLabels/>
      </cx:axis>
      <cx:axis id="1">
        <cx:valScaling min="0"/>
        <cx:title>
          <cx:tx>
            <cx:txData>
              <cx:v>Cost ($ million)</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a:rPr>
                <a:t>Cost ($ million)</a:t>
              </a:r>
            </a:p>
          </cx:txPr>
        </cx:title>
        <cx:majorGridlines>
          <cx:spPr>
            <a:ln>
              <a:noFill/>
            </a:ln>
          </cx:spPr>
        </cx:majorGridlines>
        <cx:tickLabels/>
      </cx:axis>
    </cx:plotArea>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'Waterfall charts'!$G$2:$G$6</cx:f>
        <cx:lvl ptCount="5">
          <cx:pt idx="0">Group 1</cx:pt>
          <cx:pt idx="1">Group 2</cx:pt>
          <cx:pt idx="2">Group 3</cx:pt>
          <cx:pt idx="3">NGER</cx:pt>
          <cx:pt idx="4">Total</cx:pt>
        </cx:lvl>
      </cx:strDim>
      <cx:numDim type="val">
        <cx:f>'Waterfall charts'!$H$2:$H$6</cx:f>
        <cx:lvl ptCount="5" formatCode="General">
          <cx:pt idx="0">591.83000000000004</cx:pt>
          <cx:pt idx="1">593.20000000000005</cx:pt>
          <cx:pt idx="2">9.4399999999999995</cx:pt>
          <cx:pt idx="3">205.72</cx:pt>
          <cx:pt idx="4">-1400.1900000000003</cx:pt>
        </cx:lvl>
      </cx:numDim>
    </cx:data>
  </cx:chartData>
  <cx:chart>
    <cx:plotArea>
      <cx:plotAreaRegion>
        <cx:series layoutId="waterfall" uniqueId="{F60E5D9F-9CEB-490B-BE23-0B219F5FC2FC}">
          <cx:tx>
            <cx:txData>
              <cx:f>'Waterfall charts'!$H$1</cx:f>
              <cx:v/>
            </cx:txData>
          </cx:tx>
          <cx:dataLabels pos="outEnd">
            <cx:numFmt formatCode="###0;###0" sourceLinked="0"/>
            <cx:visibility seriesName="0" categoryName="0" value="1"/>
            <cx:separator>, </cx:separator>
          </cx:dataLabels>
          <cx:dataId val="0"/>
          <cx:layoutPr>
            <cx:subtotals/>
          </cx:layoutPr>
        </cx:series>
      </cx:plotAreaRegion>
      <cx:axis id="0">
        <cx:catScaling gapWidth="0.5"/>
        <cx:tickLabels/>
      </cx:axis>
      <cx:axis id="1">
        <cx:valScaling/>
        <cx:majorGridlines>
          <cx:spPr>
            <a:ln>
              <a:noFill/>
            </a:ln>
          </cx:spPr>
        </cx:majorGridlines>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ED37A-CB51-4005-8909-113D90D9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17522</Words>
  <Characters>100111</Characters>
  <Application>Microsoft Office Word</Application>
  <DocSecurity>0</DocSecurity>
  <Lines>1893</Lines>
  <Paragraphs>848</Paragraphs>
  <ScaleCrop>false</ScaleCrop>
  <HeadingPairs>
    <vt:vector size="2" baseType="variant">
      <vt:variant>
        <vt:lpstr>Title</vt:lpstr>
      </vt:variant>
      <vt:variant>
        <vt:i4>1</vt:i4>
      </vt:variant>
    </vt:vector>
  </HeadingPairs>
  <TitlesOfParts>
    <vt:vector size="1" baseType="lpstr">
      <vt:lpstr>Climate-related financial disclosures - Policy Impact Analysis </vt:lpstr>
    </vt:vector>
  </TitlesOfParts>
  <Company/>
  <LinksUpToDate>false</LinksUpToDate>
  <CharactersWithSpaces>117036</CharactersWithSpaces>
  <SharedDoc>false</SharedDoc>
  <HLinks>
    <vt:vector size="288" baseType="variant">
      <vt:variant>
        <vt:i4>1310768</vt:i4>
      </vt:variant>
      <vt:variant>
        <vt:i4>227</vt:i4>
      </vt:variant>
      <vt:variant>
        <vt:i4>0</vt:i4>
      </vt:variant>
      <vt:variant>
        <vt:i4>5</vt:i4>
      </vt:variant>
      <vt:variant>
        <vt:lpwstr/>
      </vt:variant>
      <vt:variant>
        <vt:lpwstr>_Toc144742129</vt:lpwstr>
      </vt:variant>
      <vt:variant>
        <vt:i4>1310768</vt:i4>
      </vt:variant>
      <vt:variant>
        <vt:i4>221</vt:i4>
      </vt:variant>
      <vt:variant>
        <vt:i4>0</vt:i4>
      </vt:variant>
      <vt:variant>
        <vt:i4>5</vt:i4>
      </vt:variant>
      <vt:variant>
        <vt:lpwstr/>
      </vt:variant>
      <vt:variant>
        <vt:lpwstr>_Toc144742128</vt:lpwstr>
      </vt:variant>
      <vt:variant>
        <vt:i4>1310768</vt:i4>
      </vt:variant>
      <vt:variant>
        <vt:i4>215</vt:i4>
      </vt:variant>
      <vt:variant>
        <vt:i4>0</vt:i4>
      </vt:variant>
      <vt:variant>
        <vt:i4>5</vt:i4>
      </vt:variant>
      <vt:variant>
        <vt:lpwstr/>
      </vt:variant>
      <vt:variant>
        <vt:lpwstr>_Toc144742127</vt:lpwstr>
      </vt:variant>
      <vt:variant>
        <vt:i4>1310768</vt:i4>
      </vt:variant>
      <vt:variant>
        <vt:i4>209</vt:i4>
      </vt:variant>
      <vt:variant>
        <vt:i4>0</vt:i4>
      </vt:variant>
      <vt:variant>
        <vt:i4>5</vt:i4>
      </vt:variant>
      <vt:variant>
        <vt:lpwstr/>
      </vt:variant>
      <vt:variant>
        <vt:lpwstr>_Toc144742126</vt:lpwstr>
      </vt:variant>
      <vt:variant>
        <vt:i4>1310768</vt:i4>
      </vt:variant>
      <vt:variant>
        <vt:i4>203</vt:i4>
      </vt:variant>
      <vt:variant>
        <vt:i4>0</vt:i4>
      </vt:variant>
      <vt:variant>
        <vt:i4>5</vt:i4>
      </vt:variant>
      <vt:variant>
        <vt:lpwstr/>
      </vt:variant>
      <vt:variant>
        <vt:lpwstr>_Toc144742125</vt:lpwstr>
      </vt:variant>
      <vt:variant>
        <vt:i4>1310768</vt:i4>
      </vt:variant>
      <vt:variant>
        <vt:i4>197</vt:i4>
      </vt:variant>
      <vt:variant>
        <vt:i4>0</vt:i4>
      </vt:variant>
      <vt:variant>
        <vt:i4>5</vt:i4>
      </vt:variant>
      <vt:variant>
        <vt:lpwstr/>
      </vt:variant>
      <vt:variant>
        <vt:lpwstr>_Toc144742124</vt:lpwstr>
      </vt:variant>
      <vt:variant>
        <vt:i4>1310768</vt:i4>
      </vt:variant>
      <vt:variant>
        <vt:i4>191</vt:i4>
      </vt:variant>
      <vt:variant>
        <vt:i4>0</vt:i4>
      </vt:variant>
      <vt:variant>
        <vt:i4>5</vt:i4>
      </vt:variant>
      <vt:variant>
        <vt:lpwstr/>
      </vt:variant>
      <vt:variant>
        <vt:lpwstr>_Toc144742123</vt:lpwstr>
      </vt:variant>
      <vt:variant>
        <vt:i4>1310768</vt:i4>
      </vt:variant>
      <vt:variant>
        <vt:i4>185</vt:i4>
      </vt:variant>
      <vt:variant>
        <vt:i4>0</vt:i4>
      </vt:variant>
      <vt:variant>
        <vt:i4>5</vt:i4>
      </vt:variant>
      <vt:variant>
        <vt:lpwstr/>
      </vt:variant>
      <vt:variant>
        <vt:lpwstr>_Toc144742122</vt:lpwstr>
      </vt:variant>
      <vt:variant>
        <vt:i4>1310768</vt:i4>
      </vt:variant>
      <vt:variant>
        <vt:i4>179</vt:i4>
      </vt:variant>
      <vt:variant>
        <vt:i4>0</vt:i4>
      </vt:variant>
      <vt:variant>
        <vt:i4>5</vt:i4>
      </vt:variant>
      <vt:variant>
        <vt:lpwstr/>
      </vt:variant>
      <vt:variant>
        <vt:lpwstr>_Toc144742121</vt:lpwstr>
      </vt:variant>
      <vt:variant>
        <vt:i4>1310768</vt:i4>
      </vt:variant>
      <vt:variant>
        <vt:i4>173</vt:i4>
      </vt:variant>
      <vt:variant>
        <vt:i4>0</vt:i4>
      </vt:variant>
      <vt:variant>
        <vt:i4>5</vt:i4>
      </vt:variant>
      <vt:variant>
        <vt:lpwstr/>
      </vt:variant>
      <vt:variant>
        <vt:lpwstr>_Toc144742120</vt:lpwstr>
      </vt:variant>
      <vt:variant>
        <vt:i4>1507376</vt:i4>
      </vt:variant>
      <vt:variant>
        <vt:i4>167</vt:i4>
      </vt:variant>
      <vt:variant>
        <vt:i4>0</vt:i4>
      </vt:variant>
      <vt:variant>
        <vt:i4>5</vt:i4>
      </vt:variant>
      <vt:variant>
        <vt:lpwstr/>
      </vt:variant>
      <vt:variant>
        <vt:lpwstr>_Toc144742119</vt:lpwstr>
      </vt:variant>
      <vt:variant>
        <vt:i4>1507376</vt:i4>
      </vt:variant>
      <vt:variant>
        <vt:i4>161</vt:i4>
      </vt:variant>
      <vt:variant>
        <vt:i4>0</vt:i4>
      </vt:variant>
      <vt:variant>
        <vt:i4>5</vt:i4>
      </vt:variant>
      <vt:variant>
        <vt:lpwstr/>
      </vt:variant>
      <vt:variant>
        <vt:lpwstr>_Toc144742118</vt:lpwstr>
      </vt:variant>
      <vt:variant>
        <vt:i4>1507376</vt:i4>
      </vt:variant>
      <vt:variant>
        <vt:i4>155</vt:i4>
      </vt:variant>
      <vt:variant>
        <vt:i4>0</vt:i4>
      </vt:variant>
      <vt:variant>
        <vt:i4>5</vt:i4>
      </vt:variant>
      <vt:variant>
        <vt:lpwstr/>
      </vt:variant>
      <vt:variant>
        <vt:lpwstr>_Toc144742117</vt:lpwstr>
      </vt:variant>
      <vt:variant>
        <vt:i4>1507376</vt:i4>
      </vt:variant>
      <vt:variant>
        <vt:i4>149</vt:i4>
      </vt:variant>
      <vt:variant>
        <vt:i4>0</vt:i4>
      </vt:variant>
      <vt:variant>
        <vt:i4>5</vt:i4>
      </vt:variant>
      <vt:variant>
        <vt:lpwstr/>
      </vt:variant>
      <vt:variant>
        <vt:lpwstr>_Toc144742116</vt:lpwstr>
      </vt:variant>
      <vt:variant>
        <vt:i4>1507376</vt:i4>
      </vt:variant>
      <vt:variant>
        <vt:i4>143</vt:i4>
      </vt:variant>
      <vt:variant>
        <vt:i4>0</vt:i4>
      </vt:variant>
      <vt:variant>
        <vt:i4>5</vt:i4>
      </vt:variant>
      <vt:variant>
        <vt:lpwstr/>
      </vt:variant>
      <vt:variant>
        <vt:lpwstr>_Toc144742115</vt:lpwstr>
      </vt:variant>
      <vt:variant>
        <vt:i4>1507376</vt:i4>
      </vt:variant>
      <vt:variant>
        <vt:i4>137</vt:i4>
      </vt:variant>
      <vt:variant>
        <vt:i4>0</vt:i4>
      </vt:variant>
      <vt:variant>
        <vt:i4>5</vt:i4>
      </vt:variant>
      <vt:variant>
        <vt:lpwstr/>
      </vt:variant>
      <vt:variant>
        <vt:lpwstr>_Toc144742114</vt:lpwstr>
      </vt:variant>
      <vt:variant>
        <vt:i4>1507376</vt:i4>
      </vt:variant>
      <vt:variant>
        <vt:i4>131</vt:i4>
      </vt:variant>
      <vt:variant>
        <vt:i4>0</vt:i4>
      </vt:variant>
      <vt:variant>
        <vt:i4>5</vt:i4>
      </vt:variant>
      <vt:variant>
        <vt:lpwstr/>
      </vt:variant>
      <vt:variant>
        <vt:lpwstr>_Toc144742113</vt:lpwstr>
      </vt:variant>
      <vt:variant>
        <vt:i4>1507376</vt:i4>
      </vt:variant>
      <vt:variant>
        <vt:i4>125</vt:i4>
      </vt:variant>
      <vt:variant>
        <vt:i4>0</vt:i4>
      </vt:variant>
      <vt:variant>
        <vt:i4>5</vt:i4>
      </vt:variant>
      <vt:variant>
        <vt:lpwstr/>
      </vt:variant>
      <vt:variant>
        <vt:lpwstr>_Toc144742112</vt:lpwstr>
      </vt:variant>
      <vt:variant>
        <vt:i4>1507376</vt:i4>
      </vt:variant>
      <vt:variant>
        <vt:i4>119</vt:i4>
      </vt:variant>
      <vt:variant>
        <vt:i4>0</vt:i4>
      </vt:variant>
      <vt:variant>
        <vt:i4>5</vt:i4>
      </vt:variant>
      <vt:variant>
        <vt:lpwstr/>
      </vt:variant>
      <vt:variant>
        <vt:lpwstr>_Toc144742111</vt:lpwstr>
      </vt:variant>
      <vt:variant>
        <vt:i4>1507376</vt:i4>
      </vt:variant>
      <vt:variant>
        <vt:i4>113</vt:i4>
      </vt:variant>
      <vt:variant>
        <vt:i4>0</vt:i4>
      </vt:variant>
      <vt:variant>
        <vt:i4>5</vt:i4>
      </vt:variant>
      <vt:variant>
        <vt:lpwstr/>
      </vt:variant>
      <vt:variant>
        <vt:lpwstr>_Toc144742110</vt:lpwstr>
      </vt:variant>
      <vt:variant>
        <vt:i4>1441840</vt:i4>
      </vt:variant>
      <vt:variant>
        <vt:i4>107</vt:i4>
      </vt:variant>
      <vt:variant>
        <vt:i4>0</vt:i4>
      </vt:variant>
      <vt:variant>
        <vt:i4>5</vt:i4>
      </vt:variant>
      <vt:variant>
        <vt:lpwstr/>
      </vt:variant>
      <vt:variant>
        <vt:lpwstr>_Toc144742109</vt:lpwstr>
      </vt:variant>
      <vt:variant>
        <vt:i4>1441840</vt:i4>
      </vt:variant>
      <vt:variant>
        <vt:i4>101</vt:i4>
      </vt:variant>
      <vt:variant>
        <vt:i4>0</vt:i4>
      </vt:variant>
      <vt:variant>
        <vt:i4>5</vt:i4>
      </vt:variant>
      <vt:variant>
        <vt:lpwstr/>
      </vt:variant>
      <vt:variant>
        <vt:lpwstr>_Toc144742108</vt:lpwstr>
      </vt:variant>
      <vt:variant>
        <vt:i4>1441840</vt:i4>
      </vt:variant>
      <vt:variant>
        <vt:i4>95</vt:i4>
      </vt:variant>
      <vt:variant>
        <vt:i4>0</vt:i4>
      </vt:variant>
      <vt:variant>
        <vt:i4>5</vt:i4>
      </vt:variant>
      <vt:variant>
        <vt:lpwstr/>
      </vt:variant>
      <vt:variant>
        <vt:lpwstr>_Toc144742107</vt:lpwstr>
      </vt:variant>
      <vt:variant>
        <vt:i4>1441840</vt:i4>
      </vt:variant>
      <vt:variant>
        <vt:i4>89</vt:i4>
      </vt:variant>
      <vt:variant>
        <vt:i4>0</vt:i4>
      </vt:variant>
      <vt:variant>
        <vt:i4>5</vt:i4>
      </vt:variant>
      <vt:variant>
        <vt:lpwstr/>
      </vt:variant>
      <vt:variant>
        <vt:lpwstr>_Toc144742106</vt:lpwstr>
      </vt:variant>
      <vt:variant>
        <vt:i4>1441840</vt:i4>
      </vt:variant>
      <vt:variant>
        <vt:i4>83</vt:i4>
      </vt:variant>
      <vt:variant>
        <vt:i4>0</vt:i4>
      </vt:variant>
      <vt:variant>
        <vt:i4>5</vt:i4>
      </vt:variant>
      <vt:variant>
        <vt:lpwstr/>
      </vt:variant>
      <vt:variant>
        <vt:lpwstr>_Toc144742105</vt:lpwstr>
      </vt:variant>
      <vt:variant>
        <vt:i4>1441840</vt:i4>
      </vt:variant>
      <vt:variant>
        <vt:i4>77</vt:i4>
      </vt:variant>
      <vt:variant>
        <vt:i4>0</vt:i4>
      </vt:variant>
      <vt:variant>
        <vt:i4>5</vt:i4>
      </vt:variant>
      <vt:variant>
        <vt:lpwstr/>
      </vt:variant>
      <vt:variant>
        <vt:lpwstr>_Toc144742104</vt:lpwstr>
      </vt:variant>
      <vt:variant>
        <vt:i4>1441840</vt:i4>
      </vt:variant>
      <vt:variant>
        <vt:i4>71</vt:i4>
      </vt:variant>
      <vt:variant>
        <vt:i4>0</vt:i4>
      </vt:variant>
      <vt:variant>
        <vt:i4>5</vt:i4>
      </vt:variant>
      <vt:variant>
        <vt:lpwstr/>
      </vt:variant>
      <vt:variant>
        <vt:lpwstr>_Toc144742103</vt:lpwstr>
      </vt:variant>
      <vt:variant>
        <vt:i4>1441840</vt:i4>
      </vt:variant>
      <vt:variant>
        <vt:i4>65</vt:i4>
      </vt:variant>
      <vt:variant>
        <vt:i4>0</vt:i4>
      </vt:variant>
      <vt:variant>
        <vt:i4>5</vt:i4>
      </vt:variant>
      <vt:variant>
        <vt:lpwstr/>
      </vt:variant>
      <vt:variant>
        <vt:lpwstr>_Toc144742102</vt:lpwstr>
      </vt:variant>
      <vt:variant>
        <vt:i4>1441840</vt:i4>
      </vt:variant>
      <vt:variant>
        <vt:i4>59</vt:i4>
      </vt:variant>
      <vt:variant>
        <vt:i4>0</vt:i4>
      </vt:variant>
      <vt:variant>
        <vt:i4>5</vt:i4>
      </vt:variant>
      <vt:variant>
        <vt:lpwstr/>
      </vt:variant>
      <vt:variant>
        <vt:lpwstr>_Toc144742101</vt:lpwstr>
      </vt:variant>
      <vt:variant>
        <vt:i4>1441840</vt:i4>
      </vt:variant>
      <vt:variant>
        <vt:i4>53</vt:i4>
      </vt:variant>
      <vt:variant>
        <vt:i4>0</vt:i4>
      </vt:variant>
      <vt:variant>
        <vt:i4>5</vt:i4>
      </vt:variant>
      <vt:variant>
        <vt:lpwstr/>
      </vt:variant>
      <vt:variant>
        <vt:lpwstr>_Toc144742100</vt:lpwstr>
      </vt:variant>
      <vt:variant>
        <vt:i4>2031665</vt:i4>
      </vt:variant>
      <vt:variant>
        <vt:i4>47</vt:i4>
      </vt:variant>
      <vt:variant>
        <vt:i4>0</vt:i4>
      </vt:variant>
      <vt:variant>
        <vt:i4>5</vt:i4>
      </vt:variant>
      <vt:variant>
        <vt:lpwstr/>
      </vt:variant>
      <vt:variant>
        <vt:lpwstr>_Toc144742099</vt:lpwstr>
      </vt:variant>
      <vt:variant>
        <vt:i4>2031665</vt:i4>
      </vt:variant>
      <vt:variant>
        <vt:i4>41</vt:i4>
      </vt:variant>
      <vt:variant>
        <vt:i4>0</vt:i4>
      </vt:variant>
      <vt:variant>
        <vt:i4>5</vt:i4>
      </vt:variant>
      <vt:variant>
        <vt:lpwstr/>
      </vt:variant>
      <vt:variant>
        <vt:lpwstr>_Toc144742098</vt:lpwstr>
      </vt:variant>
      <vt:variant>
        <vt:i4>2031665</vt:i4>
      </vt:variant>
      <vt:variant>
        <vt:i4>35</vt:i4>
      </vt:variant>
      <vt:variant>
        <vt:i4>0</vt:i4>
      </vt:variant>
      <vt:variant>
        <vt:i4>5</vt:i4>
      </vt:variant>
      <vt:variant>
        <vt:lpwstr/>
      </vt:variant>
      <vt:variant>
        <vt:lpwstr>_Toc144742097</vt:lpwstr>
      </vt:variant>
      <vt:variant>
        <vt:i4>2031665</vt:i4>
      </vt:variant>
      <vt:variant>
        <vt:i4>29</vt:i4>
      </vt:variant>
      <vt:variant>
        <vt:i4>0</vt:i4>
      </vt:variant>
      <vt:variant>
        <vt:i4>5</vt:i4>
      </vt:variant>
      <vt:variant>
        <vt:lpwstr/>
      </vt:variant>
      <vt:variant>
        <vt:lpwstr>_Toc144742096</vt:lpwstr>
      </vt:variant>
      <vt:variant>
        <vt:i4>2031665</vt:i4>
      </vt:variant>
      <vt:variant>
        <vt:i4>23</vt:i4>
      </vt:variant>
      <vt:variant>
        <vt:i4>0</vt:i4>
      </vt:variant>
      <vt:variant>
        <vt:i4>5</vt:i4>
      </vt:variant>
      <vt:variant>
        <vt:lpwstr/>
      </vt:variant>
      <vt:variant>
        <vt:lpwstr>_Toc144742095</vt:lpwstr>
      </vt:variant>
      <vt:variant>
        <vt:i4>2031665</vt:i4>
      </vt:variant>
      <vt:variant>
        <vt:i4>17</vt:i4>
      </vt:variant>
      <vt:variant>
        <vt:i4>0</vt:i4>
      </vt:variant>
      <vt:variant>
        <vt:i4>5</vt:i4>
      </vt:variant>
      <vt:variant>
        <vt:lpwstr/>
      </vt:variant>
      <vt:variant>
        <vt:lpwstr>_Toc144742094</vt:lpwstr>
      </vt:variant>
      <vt:variant>
        <vt:i4>105</vt:i4>
      </vt:variant>
      <vt:variant>
        <vt:i4>12</vt:i4>
      </vt:variant>
      <vt:variant>
        <vt:i4>0</vt:i4>
      </vt:variant>
      <vt:variant>
        <vt:i4>5</vt:i4>
      </vt:variant>
      <vt:variant>
        <vt:lpwstr>mailto:media@treasury.gov.au</vt:lpwstr>
      </vt:variant>
      <vt:variant>
        <vt:lpwstr/>
      </vt:variant>
      <vt:variant>
        <vt:i4>25</vt:i4>
      </vt:variant>
      <vt:variant>
        <vt:i4>9</vt:i4>
      </vt:variant>
      <vt:variant>
        <vt:i4>0</vt:i4>
      </vt:variant>
      <vt:variant>
        <vt:i4>5</vt:i4>
      </vt:variant>
      <vt:variant>
        <vt:lpwstr>http://www.pmc.gov.au/honours-and-symbols/commonwealth-coat-arms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6094923</vt:i4>
      </vt:variant>
      <vt:variant>
        <vt:i4>18</vt:i4>
      </vt:variant>
      <vt:variant>
        <vt:i4>0</vt:i4>
      </vt:variant>
      <vt:variant>
        <vt:i4>5</vt:i4>
      </vt:variant>
      <vt:variant>
        <vt:lpwstr>https://www.afr.com/companies/energy/big-four-accounting-firms-rush-to-join-sustainability-trend-20210901-p58nvm</vt:lpwstr>
      </vt:variant>
      <vt:variant>
        <vt:lpwstr/>
      </vt:variant>
      <vt:variant>
        <vt:i4>131154</vt:i4>
      </vt:variant>
      <vt:variant>
        <vt:i4>15</vt:i4>
      </vt:variant>
      <vt:variant>
        <vt:i4>0</vt:i4>
      </vt:variant>
      <vt:variant>
        <vt:i4>5</vt:i4>
      </vt:variant>
      <vt:variant>
        <vt:lpwstr>https://treasury.gov.au/small-business/frt/factsheet</vt:lpwstr>
      </vt:variant>
      <vt:variant>
        <vt:lpwstr/>
      </vt:variant>
      <vt:variant>
        <vt:i4>7274608</vt:i4>
      </vt:variant>
      <vt:variant>
        <vt:i4>12</vt:i4>
      </vt:variant>
      <vt:variant>
        <vt:i4>0</vt:i4>
      </vt:variant>
      <vt:variant>
        <vt:i4>5</vt:i4>
      </vt:variant>
      <vt:variant>
        <vt:lpwstr>https://www.sustainability.com/thinking/costs-and-benefits-of-climate-relateddisclosure</vt:lpwstr>
      </vt:variant>
      <vt:variant>
        <vt:lpwstr/>
      </vt:variant>
      <vt:variant>
        <vt:i4>65560</vt:i4>
      </vt:variant>
      <vt:variant>
        <vt:i4>9</vt:i4>
      </vt:variant>
      <vt:variant>
        <vt:i4>0</vt:i4>
      </vt:variant>
      <vt:variant>
        <vt:i4>5</vt:i4>
      </vt:variant>
      <vt:variant>
        <vt:lpwstr>https://www.bain.com/insights/closing-the-public-private-environmental-transparency-gap/</vt:lpwstr>
      </vt:variant>
      <vt:variant>
        <vt:lpwstr/>
      </vt:variant>
      <vt:variant>
        <vt:i4>5046353</vt:i4>
      </vt:variant>
      <vt:variant>
        <vt:i4>6</vt:i4>
      </vt:variant>
      <vt:variant>
        <vt:i4>0</vt:i4>
      </vt:variant>
      <vt:variant>
        <vt:i4>5</vt:i4>
      </vt:variant>
      <vt:variant>
        <vt:lpwstr>https://acsi.org.au/wp-content/uploads/2023/08/ACSI-Climate-Reporting-Fact-Sheet-August-2023.pdf</vt:lpwstr>
      </vt:variant>
      <vt:variant>
        <vt:lpwstr/>
      </vt:variant>
      <vt:variant>
        <vt:i4>5242889</vt:i4>
      </vt:variant>
      <vt:variant>
        <vt:i4>3</vt:i4>
      </vt:variant>
      <vt:variant>
        <vt:i4>0</vt:i4>
      </vt:variant>
      <vt:variant>
        <vt:i4>5</vt:i4>
      </vt:variant>
      <vt:variant>
        <vt:lpwstr>https://assets.kpmg.com/content/dam/kpmg/au/pdf/2023/australian-sustainability-reporting-trends-june-2023-update.pdf</vt:lpwstr>
      </vt:variant>
      <vt:variant>
        <vt:lpwstr/>
      </vt:variant>
      <vt:variant>
        <vt:i4>2621516</vt:i4>
      </vt:variant>
      <vt:variant>
        <vt:i4>0</vt:i4>
      </vt:variant>
      <vt:variant>
        <vt:i4>0</vt:i4>
      </vt:variant>
      <vt:variant>
        <vt:i4>5</vt:i4>
      </vt:variant>
      <vt:variant>
        <vt:lpwstr>https://www.ifac.org/_flysystem/azure-private/publications/files/IFAC-State-of-Play-in-Sustainability-Reporting-and-Assurance-2019-2020-date.pdf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Climate-related financial disclosures - Policy Impact Analysis </dc:title>
  <dc:subject/>
  <dc:creator/>
  <cp:keywords/>
  <cp:lastModifiedBy/>
  <cp:revision>1</cp:revision>
  <dcterms:created xsi:type="dcterms:W3CDTF">2024-01-11T04:59:00Z</dcterms:created>
  <dcterms:modified xsi:type="dcterms:W3CDTF">2024-01-11T05:00:00Z</dcterms:modified>
</cp:coreProperties>
</file>