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5514A" w14:textId="089835B7" w:rsidR="00E24AA1" w:rsidRDefault="002F5302" w:rsidP="00E24AA1">
      <w:pPr>
        <w:pStyle w:val="Baseparagraphcentred"/>
        <w:spacing w:before="720"/>
      </w:pPr>
      <w:bookmarkStart w:id="0" w:name="_Hlk132724261"/>
      <w:bookmarkStart w:id="1" w:name="_Toc78548463"/>
      <w:bookmarkStart w:id="2" w:name="_Toc78549734"/>
      <w:bookmarkStart w:id="3" w:name="_Toc78549779"/>
      <w:bookmarkStart w:id="4" w:name="_Toc80097481"/>
      <w:bookmarkStart w:id="5" w:name="_Toc80097775"/>
      <w:bookmarkStart w:id="6" w:name="_Hlk81640909"/>
      <w:r>
        <w:t>2022</w:t>
      </w:r>
      <w:r w:rsidR="008C6F87">
        <w:t>–2023</w:t>
      </w:r>
    </w:p>
    <w:p w14:paraId="3E5C4AC4" w14:textId="77777777" w:rsidR="00E24AA1" w:rsidRDefault="00E24AA1" w:rsidP="00E24AA1">
      <w:pPr>
        <w:pStyle w:val="Baseparagraphcentred"/>
      </w:pPr>
    </w:p>
    <w:p w14:paraId="75AD1498" w14:textId="77777777" w:rsidR="00E24AA1" w:rsidRDefault="00E24AA1" w:rsidP="00E24AA1">
      <w:pPr>
        <w:pStyle w:val="Baseparagraphcentred"/>
      </w:pPr>
      <w:r>
        <w:t>THE PARLIAMENT OF THE COMMONWEALTH OF AUSTRALIA</w:t>
      </w:r>
    </w:p>
    <w:p w14:paraId="0BFC11CB" w14:textId="77777777" w:rsidR="00E24AA1" w:rsidRDefault="00E24AA1" w:rsidP="00E24AA1">
      <w:pPr>
        <w:pStyle w:val="Baseparagraphcentred"/>
      </w:pPr>
    </w:p>
    <w:p w14:paraId="604354E9" w14:textId="77777777" w:rsidR="00E24AA1" w:rsidRDefault="00E24AA1" w:rsidP="00E24AA1">
      <w:pPr>
        <w:pStyle w:val="Baseparagraphcentred"/>
      </w:pPr>
    </w:p>
    <w:p w14:paraId="121D6961" w14:textId="77777777" w:rsidR="00E24AA1" w:rsidRDefault="00E24AA1" w:rsidP="00E24AA1">
      <w:pPr>
        <w:pStyle w:val="Baseparagraphcentred"/>
      </w:pPr>
    </w:p>
    <w:p w14:paraId="0D6075F3" w14:textId="46057658" w:rsidR="00E24AA1" w:rsidRDefault="002F5302" w:rsidP="00E24AA1">
      <w:pPr>
        <w:pStyle w:val="Baseparagraphcentred"/>
      </w:pPr>
      <w:r>
        <w:t>HOUSE OF REPRESEN</w:t>
      </w:r>
      <w:r w:rsidR="003510A8">
        <w:t>T</w:t>
      </w:r>
      <w:r>
        <w:t>ATIVES</w:t>
      </w:r>
    </w:p>
    <w:p w14:paraId="4899983C" w14:textId="77777777" w:rsidR="00E24AA1" w:rsidRDefault="00E24AA1" w:rsidP="00E24AA1">
      <w:pPr>
        <w:pStyle w:val="Baseparagraphcentred"/>
      </w:pPr>
    </w:p>
    <w:p w14:paraId="47720F09" w14:textId="77777777" w:rsidR="00E24AA1" w:rsidRDefault="00E24AA1" w:rsidP="00E24AA1">
      <w:pPr>
        <w:pStyle w:val="Baseparagraphcentred"/>
      </w:pPr>
    </w:p>
    <w:p w14:paraId="7DB7B2EB" w14:textId="77777777" w:rsidR="00E24AA1" w:rsidRDefault="00E24AA1" w:rsidP="00E24AA1">
      <w:pPr>
        <w:pStyle w:val="Baseparagraphcentred"/>
        <w:pBdr>
          <w:bottom w:val="single" w:sz="4" w:space="1" w:color="auto"/>
        </w:pBdr>
      </w:pPr>
    </w:p>
    <w:p w14:paraId="0B57DBBC" w14:textId="620F29F6" w:rsidR="00E24AA1" w:rsidRPr="00E24AA1" w:rsidRDefault="00552177" w:rsidP="00E24AA1">
      <w:pPr>
        <w:pStyle w:val="BillName"/>
      </w:pPr>
      <w:bookmarkStart w:id="7" w:name="BillName"/>
      <w:bookmarkEnd w:id="7"/>
      <w:r>
        <w:t>Financial Sector Reform (</w:t>
      </w:r>
      <w:r w:rsidR="00297640">
        <w:t>Financial Market Infrastructure) Bill 2022</w:t>
      </w:r>
    </w:p>
    <w:p w14:paraId="4495603D" w14:textId="77777777" w:rsidR="00E24AA1" w:rsidRDefault="00E24AA1" w:rsidP="00E24AA1">
      <w:pPr>
        <w:pStyle w:val="Baseparagraphcentred"/>
        <w:pBdr>
          <w:top w:val="single" w:sz="4" w:space="1" w:color="auto"/>
        </w:pBdr>
      </w:pPr>
    </w:p>
    <w:p w14:paraId="3199CCB1" w14:textId="77777777" w:rsidR="00E24AA1" w:rsidRDefault="00E24AA1" w:rsidP="00E24AA1">
      <w:pPr>
        <w:pStyle w:val="Baseparagraphcentred"/>
      </w:pPr>
    </w:p>
    <w:p w14:paraId="744E758B" w14:textId="77777777" w:rsidR="00E24AA1" w:rsidRDefault="00E24AA1" w:rsidP="00E24AA1">
      <w:pPr>
        <w:pStyle w:val="Baseparagraphcentred"/>
      </w:pPr>
    </w:p>
    <w:p w14:paraId="01004E23" w14:textId="77777777" w:rsidR="00E24AA1" w:rsidRDefault="00E24AA1" w:rsidP="00E24AA1">
      <w:pPr>
        <w:pStyle w:val="Baseparagraphcentred"/>
      </w:pPr>
    </w:p>
    <w:p w14:paraId="2A89BF82" w14:textId="77777777" w:rsidR="00EC134D" w:rsidRDefault="00EC134D" w:rsidP="00E24AA1">
      <w:pPr>
        <w:pStyle w:val="Baseparagraphcentred"/>
      </w:pPr>
      <w:r>
        <w:t>EXPOSURE DRAFT EXPLANATORY MATERIALS</w:t>
      </w:r>
    </w:p>
    <w:p w14:paraId="4C27F634" w14:textId="5370D434" w:rsidR="00E24AA1" w:rsidRDefault="00E24AA1" w:rsidP="00E24AA1">
      <w:pPr>
        <w:pStyle w:val="Baseparagraphcentred"/>
      </w:pPr>
    </w:p>
    <w:p w14:paraId="341CFAE5" w14:textId="77777777" w:rsidR="00E24AA1" w:rsidRDefault="00E24AA1" w:rsidP="00E24AA1">
      <w:pPr>
        <w:pStyle w:val="Baseparagraphcentred"/>
      </w:pPr>
    </w:p>
    <w:p w14:paraId="56D20127" w14:textId="77777777" w:rsidR="00E24AA1" w:rsidRDefault="00E24AA1" w:rsidP="00E24AA1">
      <w:pPr>
        <w:pStyle w:val="ParaCentredNoSpacing"/>
      </w:pPr>
    </w:p>
    <w:p w14:paraId="51830677" w14:textId="77777777" w:rsidR="00E24AA1" w:rsidRPr="00967273" w:rsidRDefault="00E24AA1" w:rsidP="00E24AA1">
      <w:pPr>
        <w:pStyle w:val="Normalparatextnonumbers"/>
        <w:jc w:val="center"/>
        <w:rPr>
          <w:rFonts w:cs="Calibri"/>
          <w:color w:val="000000" w:themeColor="text1"/>
        </w:rPr>
      </w:pPr>
    </w:p>
    <w:p w14:paraId="2A9BE025" w14:textId="47FA9709" w:rsidR="00E24AA1" w:rsidRPr="00020288" w:rsidRDefault="00E24AA1" w:rsidP="00E24AA1">
      <w:pPr>
        <w:pStyle w:val="Normalparatextnonumbers"/>
        <w:jc w:val="center"/>
      </w:pPr>
      <w:r w:rsidRPr="00020288">
        <w:t xml:space="preserve">(Circulated by authority of </w:t>
      </w:r>
      <w:r w:rsidR="0070716A">
        <w:t>the Treasurer, the Hon Jim Chalmers MP</w:t>
      </w:r>
      <w:r w:rsidR="002F5302">
        <w:t>)</w:t>
      </w:r>
    </w:p>
    <w:p w14:paraId="38F2A7E9" w14:textId="77777777" w:rsidR="00873094" w:rsidRDefault="00873094" w:rsidP="00873094">
      <w:pPr>
        <w:pStyle w:val="Normalparatextnonumbers"/>
      </w:pPr>
    </w:p>
    <w:p w14:paraId="1D21B714" w14:textId="77777777" w:rsidR="00EC134D" w:rsidRPr="0090171F" w:rsidRDefault="00EC134D" w:rsidP="0090171F">
      <w:pPr>
        <w:pStyle w:val="Normalparatextnonumbers"/>
      </w:pPr>
      <w:bookmarkStart w:id="8" w:name="CirculatedByCoverPageText"/>
      <w:bookmarkStart w:id="9" w:name="Consult"/>
      <w:bookmarkStart w:id="10" w:name="ConsultPreamble"/>
      <w:bookmarkEnd w:id="0"/>
      <w:bookmarkEnd w:id="8"/>
      <w:bookmarkEnd w:id="9"/>
      <w:bookmarkEnd w:id="10"/>
      <w:r w:rsidRPr="0090171F">
        <w:br w:type="page"/>
      </w:r>
    </w:p>
    <w:p w14:paraId="31792DBE" w14:textId="77777777" w:rsidR="00EC134D" w:rsidRPr="0090171F" w:rsidRDefault="00EC134D" w:rsidP="00EC134D">
      <w:pPr>
        <w:pStyle w:val="Normalparatextnonumbers"/>
        <w:numPr>
          <w:ilvl w:val="4"/>
          <w:numId w:val="2"/>
        </w:numPr>
        <w:rPr>
          <w:b/>
        </w:rPr>
      </w:pPr>
      <w:r w:rsidRPr="0090171F">
        <w:rPr>
          <w:b/>
        </w:rPr>
        <w:lastRenderedPageBreak/>
        <w:t>Consultation preamble</w:t>
      </w:r>
    </w:p>
    <w:p w14:paraId="10DCA3B3" w14:textId="77777777" w:rsidR="00EC134D" w:rsidRPr="0090171F" w:rsidRDefault="00EC134D" w:rsidP="0090171F">
      <w:pPr>
        <w:pStyle w:val="Normalparatextnonumbers"/>
      </w:pPr>
      <w:r w:rsidRPr="0090171F">
        <w:t>Treasury seeks feedback on the effectiveness of this exposure draft explanatory material in explaining the policy context and operation of the proposed new law, including, but not limited to:</w:t>
      </w:r>
    </w:p>
    <w:p w14:paraId="7B80BD0D" w14:textId="77777777" w:rsidR="00EC134D" w:rsidRPr="0090171F" w:rsidRDefault="00EC134D" w:rsidP="0090171F">
      <w:pPr>
        <w:pStyle w:val="Normalparatextnonumbers"/>
      </w:pPr>
      <w:r w:rsidRPr="0090171F">
        <w:t>•</w:t>
      </w:r>
      <w:r w:rsidRPr="0090171F">
        <w:tab/>
        <w:t xml:space="preserve">how the new law is intended to </w:t>
      </w:r>
      <w:proofErr w:type="gramStart"/>
      <w:r w:rsidRPr="0090171F">
        <w:t>operate;</w:t>
      </w:r>
      <w:proofErr w:type="gramEnd"/>
    </w:p>
    <w:p w14:paraId="14E19050" w14:textId="77777777" w:rsidR="00EC134D" w:rsidRPr="0090171F" w:rsidRDefault="00EC134D" w:rsidP="00924E28">
      <w:pPr>
        <w:pStyle w:val="Normalparatextnonumbers"/>
        <w:tabs>
          <w:tab w:val="left" w:pos="709"/>
        </w:tabs>
        <w:ind w:left="709" w:hanging="709"/>
      </w:pPr>
      <w:r w:rsidRPr="0090171F">
        <w:t>•</w:t>
      </w:r>
      <w:r w:rsidRPr="0090171F">
        <w:tab/>
        <w:t xml:space="preserve">whether the background and policy context </w:t>
      </w:r>
      <w:proofErr w:type="gramStart"/>
      <w:r w:rsidRPr="0090171F">
        <w:t>is</w:t>
      </w:r>
      <w:proofErr w:type="gramEnd"/>
      <w:r w:rsidRPr="0090171F">
        <w:t xml:space="preserve"> sufficiently comprehensive to support understanding of the policy intent and outcomes of the new law;</w:t>
      </w:r>
    </w:p>
    <w:p w14:paraId="2C6A18D1" w14:textId="77777777" w:rsidR="00EC134D" w:rsidRPr="0090171F" w:rsidRDefault="00EC134D" w:rsidP="0090171F">
      <w:pPr>
        <w:pStyle w:val="Normalparatextnonumbers"/>
        <w:ind w:left="709" w:hanging="709"/>
      </w:pPr>
      <w:r w:rsidRPr="0090171F">
        <w:t>•</w:t>
      </w:r>
      <w:r w:rsidRPr="0090171F">
        <w:tab/>
        <w:t>the use of relevant examples, illustrations or diagrams as explanatory aids;</w:t>
      </w:r>
      <w:r w:rsidRPr="0090171F">
        <w:br/>
        <w:t>and</w:t>
      </w:r>
    </w:p>
    <w:p w14:paraId="7D46D5E6" w14:textId="77777777" w:rsidR="00EC134D" w:rsidRPr="0090171F" w:rsidRDefault="00EC134D" w:rsidP="0090171F">
      <w:pPr>
        <w:pStyle w:val="Normalparatextnonumbers"/>
        <w:ind w:left="709" w:hanging="709"/>
      </w:pPr>
      <w:r w:rsidRPr="0090171F">
        <w:t>•</w:t>
      </w:r>
      <w:r w:rsidRPr="0090171F">
        <w:tab/>
        <w:t>any other matters affecting the readability or presentation of the explanatory material.</w:t>
      </w:r>
    </w:p>
    <w:p w14:paraId="63BAC0D3" w14:textId="4D975DD5" w:rsidR="001F7F41" w:rsidRDefault="00EC134D" w:rsidP="001F7F41">
      <w:pPr>
        <w:pStyle w:val="Normalparatextnonumbers"/>
      </w:pPr>
      <w:r w:rsidRPr="0090171F">
        <w:t xml:space="preserve">Feedback on these matters will assist to ensure the Explanatory Memoranda for the Bill aids the Parliament’s consideration of the proposed new law and the needs of other users. </w:t>
      </w:r>
      <w:bookmarkStart w:id="11" w:name="_Toc80172450"/>
      <w:bookmarkStart w:id="12" w:name="_Toc80197114"/>
      <w:bookmarkStart w:id="13" w:name="_Toc81852681"/>
      <w:bookmarkEnd w:id="1"/>
      <w:bookmarkEnd w:id="2"/>
      <w:bookmarkEnd w:id="3"/>
      <w:bookmarkEnd w:id="4"/>
      <w:bookmarkEnd w:id="5"/>
    </w:p>
    <w:p w14:paraId="0A888687" w14:textId="7CF0A964" w:rsidR="00873094" w:rsidRPr="00020288" w:rsidRDefault="00873094" w:rsidP="00873094">
      <w:pPr>
        <w:pStyle w:val="TOCHeading"/>
      </w:pPr>
      <w:r w:rsidRPr="008843E2">
        <w:t>Table of Contents</w:t>
      </w:r>
      <w:bookmarkStart w:id="14" w:name="_Toc78549733"/>
      <w:bookmarkStart w:id="15" w:name="_Toc78549778"/>
      <w:bookmarkStart w:id="16" w:name="_Toc80097483"/>
      <w:bookmarkStart w:id="17" w:name="_Toc80097777"/>
      <w:bookmarkStart w:id="18" w:name="_Toc80115276"/>
      <w:bookmarkStart w:id="19" w:name="_Toc80172451"/>
      <w:bookmarkStart w:id="20" w:name="_Toc80197115"/>
      <w:bookmarkStart w:id="21" w:name="_Toc81852682"/>
      <w:bookmarkStart w:id="22" w:name="_Toc81852727"/>
      <w:bookmarkEnd w:id="11"/>
      <w:bookmarkEnd w:id="12"/>
      <w:bookmarkEnd w:id="13"/>
    </w:p>
    <w:p w14:paraId="51B5FE7C" w14:textId="209F0795" w:rsidR="00EC134D" w:rsidRDefault="00873094" w:rsidP="00EC134D">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EC134D">
        <w:rPr>
          <w:noProof/>
        </w:rPr>
        <w:t>Glossary</w:t>
      </w:r>
      <w:r w:rsidR="00EC134D">
        <w:rPr>
          <w:noProof/>
        </w:rPr>
        <w:tab/>
      </w:r>
      <w:r w:rsidR="00EC134D">
        <w:rPr>
          <w:noProof/>
        </w:rPr>
        <w:fldChar w:fldCharType="begin"/>
      </w:r>
      <w:r w:rsidR="00EC134D">
        <w:rPr>
          <w:noProof/>
        </w:rPr>
        <w:instrText xml:space="preserve"> PAGEREF _Toc152860439 \h </w:instrText>
      </w:r>
      <w:r w:rsidR="00EC134D">
        <w:rPr>
          <w:noProof/>
        </w:rPr>
      </w:r>
      <w:r w:rsidR="00EC134D">
        <w:rPr>
          <w:noProof/>
        </w:rPr>
        <w:fldChar w:fldCharType="separate"/>
      </w:r>
      <w:r w:rsidR="0028259D">
        <w:rPr>
          <w:noProof/>
        </w:rPr>
        <w:t>iii</w:t>
      </w:r>
      <w:r w:rsidR="00EC134D">
        <w:rPr>
          <w:noProof/>
        </w:rPr>
        <w:fldChar w:fldCharType="end"/>
      </w:r>
    </w:p>
    <w:p w14:paraId="4DF0CE49" w14:textId="6AC93521" w:rsidR="00EC134D" w:rsidRDefault="00EC134D" w:rsidP="00EC134D">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sidRPr="000236D9">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FMI Reform - Establishing a crisis management regime</w:t>
      </w:r>
      <w:r>
        <w:rPr>
          <w:noProof/>
        </w:rPr>
        <w:tab/>
      </w:r>
      <w:r>
        <w:rPr>
          <w:noProof/>
        </w:rPr>
        <w:fldChar w:fldCharType="begin"/>
      </w:r>
      <w:r>
        <w:rPr>
          <w:noProof/>
        </w:rPr>
        <w:instrText xml:space="preserve"> PAGEREF _Toc152860440 \h </w:instrText>
      </w:r>
      <w:r>
        <w:rPr>
          <w:noProof/>
        </w:rPr>
      </w:r>
      <w:r>
        <w:rPr>
          <w:noProof/>
        </w:rPr>
        <w:fldChar w:fldCharType="separate"/>
      </w:r>
      <w:r w:rsidR="0028259D">
        <w:rPr>
          <w:noProof/>
        </w:rPr>
        <w:t>5</w:t>
      </w:r>
      <w:r>
        <w:rPr>
          <w:noProof/>
        </w:rPr>
        <w:fldChar w:fldCharType="end"/>
      </w:r>
    </w:p>
    <w:p w14:paraId="2A26AE4C" w14:textId="07EBC435" w:rsidR="00EC134D" w:rsidRDefault="00EC134D" w:rsidP="00EC134D">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sidRPr="000236D9">
        <w:rPr>
          <w:noProof/>
          <w14:scene3d>
            <w14:camera w14:prst="orthographicFront"/>
            <w14:lightRig w14:rig="threePt" w14:dir="t">
              <w14:rot w14:lat="0" w14:lon="0" w14:rev="0"/>
            </w14:lightRig>
          </w14:scene3d>
        </w:rPr>
        <w:t>Chapter 2:</w:t>
      </w:r>
      <w:r>
        <w:rPr>
          <w:rFonts w:asciiTheme="minorHAnsi" w:eastAsiaTheme="minorEastAsia" w:hAnsiTheme="minorHAnsi" w:cstheme="minorBidi"/>
          <w:bCs w:val="0"/>
          <w:noProof/>
          <w:sz w:val="22"/>
          <w:szCs w:val="22"/>
          <w:lang w:eastAsia="en-AU"/>
        </w:rPr>
        <w:tab/>
      </w:r>
      <w:r>
        <w:rPr>
          <w:noProof/>
        </w:rPr>
        <w:t>FMI Reform – Crisis prevention (RBA powers)</w:t>
      </w:r>
      <w:r>
        <w:rPr>
          <w:noProof/>
        </w:rPr>
        <w:tab/>
      </w:r>
      <w:r>
        <w:rPr>
          <w:noProof/>
        </w:rPr>
        <w:fldChar w:fldCharType="begin"/>
      </w:r>
      <w:r>
        <w:rPr>
          <w:noProof/>
        </w:rPr>
        <w:instrText xml:space="preserve"> PAGEREF _Toc152860441 \h </w:instrText>
      </w:r>
      <w:r>
        <w:rPr>
          <w:noProof/>
        </w:rPr>
      </w:r>
      <w:r>
        <w:rPr>
          <w:noProof/>
        </w:rPr>
        <w:fldChar w:fldCharType="separate"/>
      </w:r>
      <w:r w:rsidR="0028259D">
        <w:rPr>
          <w:noProof/>
        </w:rPr>
        <w:t>59</w:t>
      </w:r>
      <w:r>
        <w:rPr>
          <w:noProof/>
        </w:rPr>
        <w:fldChar w:fldCharType="end"/>
      </w:r>
    </w:p>
    <w:p w14:paraId="28F9630A" w14:textId="08AE4EA2" w:rsidR="00EC134D" w:rsidRDefault="00EC134D" w:rsidP="00EC134D">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sidRPr="000236D9">
        <w:rPr>
          <w:noProof/>
          <w14:scene3d>
            <w14:camera w14:prst="orthographicFront"/>
            <w14:lightRig w14:rig="threePt" w14:dir="t">
              <w14:rot w14:lat="0" w14:lon="0" w14:rev="0"/>
            </w14:lightRig>
          </w14:scene3d>
        </w:rPr>
        <w:t>Chapter 3:</w:t>
      </w:r>
      <w:r>
        <w:rPr>
          <w:rFonts w:asciiTheme="minorHAnsi" w:eastAsiaTheme="minorEastAsia" w:hAnsiTheme="minorHAnsi" w:cstheme="minorBidi"/>
          <w:bCs w:val="0"/>
          <w:noProof/>
          <w:sz w:val="22"/>
          <w:szCs w:val="22"/>
          <w:lang w:eastAsia="en-AU"/>
        </w:rPr>
        <w:tab/>
      </w:r>
      <w:r>
        <w:rPr>
          <w:noProof/>
        </w:rPr>
        <w:t>FMI Reform - Enhancing and streamlining ASIC’s licensing and supervisory powers</w:t>
      </w:r>
      <w:r>
        <w:rPr>
          <w:noProof/>
        </w:rPr>
        <w:tab/>
      </w:r>
      <w:r>
        <w:rPr>
          <w:noProof/>
        </w:rPr>
        <w:fldChar w:fldCharType="begin"/>
      </w:r>
      <w:r>
        <w:rPr>
          <w:noProof/>
        </w:rPr>
        <w:instrText xml:space="preserve"> PAGEREF _Toc152860442 \h </w:instrText>
      </w:r>
      <w:r>
        <w:rPr>
          <w:noProof/>
        </w:rPr>
      </w:r>
      <w:r>
        <w:rPr>
          <w:noProof/>
        </w:rPr>
        <w:fldChar w:fldCharType="separate"/>
      </w:r>
      <w:r w:rsidR="0028259D">
        <w:rPr>
          <w:noProof/>
        </w:rPr>
        <w:t>77</w:t>
      </w:r>
      <w:r>
        <w:rPr>
          <w:noProof/>
        </w:rPr>
        <w:fldChar w:fldCharType="end"/>
      </w:r>
    </w:p>
    <w:p w14:paraId="3D9942F6" w14:textId="025950C7" w:rsidR="00873094" w:rsidRPr="00020288" w:rsidRDefault="00873094" w:rsidP="00BC2E4A">
      <w:pPr>
        <w:pStyle w:val="TOC1"/>
      </w:pPr>
      <w:r w:rsidRPr="00BC2E4A">
        <w:fldChar w:fldCharType="end"/>
      </w:r>
    </w:p>
    <w:p w14:paraId="0712A505" w14:textId="77777777" w:rsidR="00873094" w:rsidRPr="00020288" w:rsidRDefault="00873094" w:rsidP="00873094"/>
    <w:p w14:paraId="71516723" w14:textId="77777777" w:rsidR="00873094" w:rsidRPr="00020288" w:rsidRDefault="00873094" w:rsidP="00873094"/>
    <w:p w14:paraId="5AEE9E01" w14:textId="77777777" w:rsidR="00873094" w:rsidRPr="00020288" w:rsidRDefault="00873094" w:rsidP="00873094">
      <w:pPr>
        <w:sectPr w:rsidR="00873094" w:rsidRPr="00020288" w:rsidSect="00000BFC">
          <w:headerReference w:type="even" r:id="rId12"/>
          <w:headerReference w:type="default" r:id="rId13"/>
          <w:footerReference w:type="even" r:id="rId14"/>
          <w:footerReference w:type="default" r:id="rId15"/>
          <w:headerReference w:type="first" r:id="rId16"/>
          <w:footerReference w:type="first" r:id="rId17"/>
          <w:type w:val="oddPage"/>
          <w:pgSz w:w="9979" w:h="14175" w:code="9"/>
          <w:pgMar w:top="567" w:right="1134" w:bottom="567" w:left="1134" w:header="709" w:footer="709" w:gutter="0"/>
          <w:pgNumType w:start="1"/>
          <w:cols w:space="708"/>
          <w:titlePg/>
          <w:docGrid w:linePitch="360"/>
        </w:sectPr>
      </w:pPr>
    </w:p>
    <w:p w14:paraId="0F30629C" w14:textId="77777777" w:rsidR="00873094" w:rsidRPr="00020288" w:rsidRDefault="00873094" w:rsidP="00873094">
      <w:pPr>
        <w:pStyle w:val="Heading1"/>
        <w:rPr>
          <w:rFonts w:hint="eastAsia"/>
        </w:rPr>
      </w:pPr>
      <w:bookmarkStart w:id="23" w:name="_Toc82021619"/>
      <w:bookmarkStart w:id="24" w:name="_Toc82067318"/>
      <w:bookmarkStart w:id="25" w:name="_Toc82072959"/>
      <w:bookmarkStart w:id="26" w:name="_Toc82073275"/>
      <w:bookmarkStart w:id="27" w:name="_Toc82073912"/>
      <w:bookmarkStart w:id="28" w:name="_Toc82074016"/>
      <w:bookmarkStart w:id="29" w:name="_Toc152860439"/>
      <w:r w:rsidRPr="00020288">
        <w:lastRenderedPageBreak/>
        <w:t>Glossary</w:t>
      </w:r>
      <w:bookmarkStart w:id="30" w:name="_Toc485286223"/>
      <w:bookmarkStart w:id="31" w:name="_Toc78193244"/>
      <w:bookmarkStart w:id="32" w:name="_Toc78193401"/>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4E43B0C5"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024E4971" w14:textId="77777777" w:rsidTr="002425D9">
        <w:tc>
          <w:tcPr>
            <w:tcW w:w="3776" w:type="dxa"/>
            <w:shd w:val="clear" w:color="auto" w:fill="auto"/>
          </w:tcPr>
          <w:p w14:paraId="15E154F4" w14:textId="77777777" w:rsidR="00873094" w:rsidRPr="002E7A73" w:rsidRDefault="00873094" w:rsidP="00B7393A">
            <w:pPr>
              <w:pStyle w:val="Tableheaderrowtext"/>
            </w:pPr>
            <w:bookmarkStart w:id="33" w:name="GlossaryTableStart"/>
            <w:bookmarkEnd w:id="33"/>
            <w:r w:rsidRPr="002E7A73">
              <w:t>Abbreviation</w:t>
            </w:r>
          </w:p>
        </w:tc>
        <w:tc>
          <w:tcPr>
            <w:tcW w:w="3874" w:type="dxa"/>
            <w:shd w:val="clear" w:color="auto" w:fill="auto"/>
          </w:tcPr>
          <w:p w14:paraId="0084D0E3" w14:textId="77777777" w:rsidR="00873094" w:rsidRPr="002E7A73" w:rsidRDefault="00873094" w:rsidP="00B7393A">
            <w:pPr>
              <w:pStyle w:val="Tableheaderrowtext"/>
            </w:pPr>
            <w:r w:rsidRPr="002E7A73">
              <w:t>Definition</w:t>
            </w:r>
          </w:p>
        </w:tc>
      </w:tr>
      <w:tr w:rsidR="00730DDB" w:rsidRPr="00020288" w14:paraId="506A2DE4" w14:textId="77777777" w:rsidTr="002425D9">
        <w:tc>
          <w:tcPr>
            <w:tcW w:w="3776" w:type="dxa"/>
          </w:tcPr>
          <w:p w14:paraId="1C2CA6E1" w14:textId="35ED825A" w:rsidR="00730DDB" w:rsidRDefault="00730DDB" w:rsidP="00E61C67">
            <w:pPr>
              <w:pStyle w:val="Normalparatextnonumbers"/>
            </w:pPr>
            <w:r>
              <w:t>AFCA</w:t>
            </w:r>
          </w:p>
        </w:tc>
        <w:tc>
          <w:tcPr>
            <w:tcW w:w="3874" w:type="dxa"/>
          </w:tcPr>
          <w:p w14:paraId="780AC666" w14:textId="3ED06C01" w:rsidR="00730DDB" w:rsidRDefault="00730DDB" w:rsidP="00E61C67">
            <w:pPr>
              <w:pStyle w:val="Normalparatextnonumbers"/>
            </w:pPr>
            <w:r>
              <w:t>Australian Financial Complaints Authority</w:t>
            </w:r>
          </w:p>
        </w:tc>
      </w:tr>
      <w:tr w:rsidR="00E61C67" w:rsidRPr="00020288" w14:paraId="6E9BF5C5" w14:textId="77777777" w:rsidTr="002425D9">
        <w:tc>
          <w:tcPr>
            <w:tcW w:w="3776" w:type="dxa"/>
          </w:tcPr>
          <w:p w14:paraId="457B4518" w14:textId="0AACACE9" w:rsidR="00E61C67" w:rsidRDefault="00E61C67" w:rsidP="00E61C67">
            <w:pPr>
              <w:pStyle w:val="Normalparatextnonumbers"/>
            </w:pPr>
            <w:r>
              <w:t>APRA</w:t>
            </w:r>
          </w:p>
        </w:tc>
        <w:tc>
          <w:tcPr>
            <w:tcW w:w="3874" w:type="dxa"/>
          </w:tcPr>
          <w:p w14:paraId="25169697" w14:textId="14B0D984" w:rsidR="00E61C67" w:rsidRDefault="00E61C67" w:rsidP="00E61C67">
            <w:pPr>
              <w:pStyle w:val="Normalparatextnonumbers"/>
            </w:pPr>
            <w:r>
              <w:t>Australia</w:t>
            </w:r>
            <w:r w:rsidR="00EA1151">
              <w:t>n</w:t>
            </w:r>
            <w:r>
              <w:t xml:space="preserve"> Prudential Regulation Authority </w:t>
            </w:r>
          </w:p>
        </w:tc>
      </w:tr>
      <w:tr w:rsidR="003025F8" w:rsidRPr="00020288" w14:paraId="653B5482" w14:textId="77777777" w:rsidTr="002425D9">
        <w:tc>
          <w:tcPr>
            <w:tcW w:w="3776" w:type="dxa"/>
          </w:tcPr>
          <w:p w14:paraId="106437A4" w14:textId="4726AC36" w:rsidR="003025F8" w:rsidRPr="00020288" w:rsidRDefault="003025F8" w:rsidP="003025F8">
            <w:pPr>
              <w:pStyle w:val="Normalparatextnonumbers"/>
            </w:pPr>
            <w:r>
              <w:t>ASIC</w:t>
            </w:r>
          </w:p>
        </w:tc>
        <w:tc>
          <w:tcPr>
            <w:tcW w:w="3874" w:type="dxa"/>
          </w:tcPr>
          <w:p w14:paraId="6FB74768" w14:textId="07879CE3" w:rsidR="003025F8" w:rsidRPr="00020288" w:rsidRDefault="003025F8" w:rsidP="003025F8">
            <w:pPr>
              <w:pStyle w:val="Normalparatextnonumbers"/>
            </w:pPr>
            <w:r>
              <w:t>Australian Securities and Investments Commission</w:t>
            </w:r>
          </w:p>
        </w:tc>
      </w:tr>
      <w:tr w:rsidR="00E61C67" w:rsidRPr="00020288" w14:paraId="2BFEE37C" w14:textId="77777777" w:rsidTr="002425D9">
        <w:tc>
          <w:tcPr>
            <w:tcW w:w="3776" w:type="dxa"/>
          </w:tcPr>
          <w:p w14:paraId="5CFA339E" w14:textId="54B97F1E" w:rsidR="00E61C67" w:rsidRDefault="00E61C67" w:rsidP="00E61C67">
            <w:pPr>
              <w:pStyle w:val="Normalparatextnonumbers"/>
            </w:pPr>
            <w:r>
              <w:t>ASIC Act</w:t>
            </w:r>
          </w:p>
        </w:tc>
        <w:tc>
          <w:tcPr>
            <w:tcW w:w="3874" w:type="dxa"/>
          </w:tcPr>
          <w:p w14:paraId="059B259E" w14:textId="6B4E78F6" w:rsidR="00E61C67" w:rsidRDefault="00E61C67" w:rsidP="00E61C67">
            <w:pPr>
              <w:pStyle w:val="Normalparatextnonumbers"/>
            </w:pPr>
            <w:r>
              <w:rPr>
                <w:i/>
                <w:iCs/>
              </w:rPr>
              <w:t>Australian Securities and Investments Commission Act 2001</w:t>
            </w:r>
          </w:p>
        </w:tc>
      </w:tr>
      <w:tr w:rsidR="00873094" w:rsidRPr="00020288" w14:paraId="34167599" w14:textId="77777777" w:rsidTr="002425D9">
        <w:tc>
          <w:tcPr>
            <w:tcW w:w="3776" w:type="dxa"/>
          </w:tcPr>
          <w:p w14:paraId="3025DADD" w14:textId="6FAC7909" w:rsidR="00873094" w:rsidRPr="00020288" w:rsidRDefault="003C4460" w:rsidP="002425D9">
            <w:pPr>
              <w:pStyle w:val="Normalparatextnonumbers"/>
            </w:pPr>
            <w:r>
              <w:t>ASX</w:t>
            </w:r>
          </w:p>
        </w:tc>
        <w:tc>
          <w:tcPr>
            <w:tcW w:w="3874" w:type="dxa"/>
          </w:tcPr>
          <w:p w14:paraId="374A2FBF" w14:textId="7BDF80AD" w:rsidR="00873094" w:rsidRPr="003C4460" w:rsidRDefault="003C4460" w:rsidP="002425D9">
            <w:pPr>
              <w:pStyle w:val="Normalparatextnonumbers"/>
            </w:pPr>
            <w:r>
              <w:t xml:space="preserve">ASX Limited </w:t>
            </w:r>
          </w:p>
        </w:tc>
      </w:tr>
      <w:tr w:rsidR="00FF46B2" w:rsidRPr="00020288" w14:paraId="49528803" w14:textId="77777777" w:rsidTr="002425D9">
        <w:tc>
          <w:tcPr>
            <w:tcW w:w="3776" w:type="dxa"/>
          </w:tcPr>
          <w:p w14:paraId="7A56BFED" w14:textId="412FF35F" w:rsidR="00FF46B2" w:rsidRDefault="00FF46B2" w:rsidP="003C4460">
            <w:pPr>
              <w:pStyle w:val="Normalparatextnonumbers"/>
            </w:pPr>
            <w:r>
              <w:t>CCA</w:t>
            </w:r>
          </w:p>
        </w:tc>
        <w:tc>
          <w:tcPr>
            <w:tcW w:w="3874" w:type="dxa"/>
          </w:tcPr>
          <w:p w14:paraId="6D0DE68C" w14:textId="2BECF4C2" w:rsidR="00FF46B2" w:rsidRPr="00FF46B2" w:rsidRDefault="00FF46B2" w:rsidP="003C4460">
            <w:pPr>
              <w:pStyle w:val="Normalparatextnonumbers"/>
              <w:rPr>
                <w:i/>
                <w:iCs/>
              </w:rPr>
            </w:pPr>
            <w:r>
              <w:rPr>
                <w:i/>
                <w:iCs/>
              </w:rPr>
              <w:t>Competition and Consumer Act 2010</w:t>
            </w:r>
          </w:p>
        </w:tc>
      </w:tr>
      <w:tr w:rsidR="003C4460" w:rsidRPr="00020288" w14:paraId="5FF2AB7F" w14:textId="77777777" w:rsidTr="002425D9">
        <w:tc>
          <w:tcPr>
            <w:tcW w:w="3776" w:type="dxa"/>
          </w:tcPr>
          <w:p w14:paraId="5CAA45CC" w14:textId="5D450501" w:rsidR="003C4460" w:rsidRPr="00020288" w:rsidRDefault="00E61C67" w:rsidP="003C4460">
            <w:pPr>
              <w:pStyle w:val="Normalparatextnonumbers"/>
            </w:pPr>
            <w:r>
              <w:t>CFR</w:t>
            </w:r>
          </w:p>
        </w:tc>
        <w:tc>
          <w:tcPr>
            <w:tcW w:w="3874" w:type="dxa"/>
          </w:tcPr>
          <w:p w14:paraId="0B448D70" w14:textId="3BDDF0D3" w:rsidR="003C4460" w:rsidRPr="00020288" w:rsidRDefault="00E61C67" w:rsidP="003C4460">
            <w:pPr>
              <w:pStyle w:val="Normalparatextnonumbers"/>
            </w:pPr>
            <w:r w:rsidRPr="00425596">
              <w:t>Council of Financial Regulators</w:t>
            </w:r>
          </w:p>
        </w:tc>
      </w:tr>
      <w:tr w:rsidR="00A143D8" w:rsidRPr="00020288" w14:paraId="2C5609B1" w14:textId="77777777" w:rsidTr="002425D9">
        <w:tc>
          <w:tcPr>
            <w:tcW w:w="3776" w:type="dxa"/>
          </w:tcPr>
          <w:p w14:paraId="5A8CCC1A" w14:textId="26209181" w:rsidR="00A143D8" w:rsidRPr="00B110F1" w:rsidRDefault="00A143D8" w:rsidP="00E61C67">
            <w:pPr>
              <w:pStyle w:val="Normalparatextnonumbers"/>
            </w:pPr>
            <w:r w:rsidRPr="00B110F1">
              <w:t xml:space="preserve">CFR </w:t>
            </w:r>
            <w:r w:rsidR="00E35009" w:rsidRPr="00B110F1">
              <w:t>Advice to Government</w:t>
            </w:r>
          </w:p>
        </w:tc>
        <w:tc>
          <w:tcPr>
            <w:tcW w:w="3874" w:type="dxa"/>
          </w:tcPr>
          <w:p w14:paraId="667EDFA1" w14:textId="41DEF79E" w:rsidR="00A143D8" w:rsidRPr="00B110F1" w:rsidRDefault="00BA7C22" w:rsidP="00E61C67">
            <w:pPr>
              <w:pStyle w:val="Normalparatextnonumbers"/>
            </w:pPr>
            <w:r w:rsidRPr="00B110F1">
              <w:t xml:space="preserve">Council of Financial Regulators </w:t>
            </w:r>
            <w:r w:rsidR="00DF4513" w:rsidRPr="00B110F1">
              <w:t>Advice</w:t>
            </w:r>
            <w:r w:rsidRPr="00B110F1">
              <w:t xml:space="preserve"> to Government</w:t>
            </w:r>
            <w:r w:rsidR="00DF4513" w:rsidRPr="00B110F1">
              <w:t xml:space="preserve"> 2020</w:t>
            </w:r>
          </w:p>
        </w:tc>
      </w:tr>
      <w:tr w:rsidR="00E61C67" w:rsidRPr="00020288" w14:paraId="7FC17C0D" w14:textId="77777777" w:rsidTr="002425D9">
        <w:tc>
          <w:tcPr>
            <w:tcW w:w="3776" w:type="dxa"/>
          </w:tcPr>
          <w:p w14:paraId="25A76DE6" w14:textId="33C9D55D" w:rsidR="00E61C67" w:rsidRDefault="00E61C67" w:rsidP="00E61C67">
            <w:pPr>
              <w:pStyle w:val="Normalparatextnonumbers"/>
            </w:pPr>
            <w:r>
              <w:t xml:space="preserve">Corporations Act </w:t>
            </w:r>
          </w:p>
        </w:tc>
        <w:tc>
          <w:tcPr>
            <w:tcW w:w="3874" w:type="dxa"/>
          </w:tcPr>
          <w:p w14:paraId="232FE719" w14:textId="034F9ABC" w:rsidR="00E61C67" w:rsidRDefault="00E61C67" w:rsidP="00E61C67">
            <w:pPr>
              <w:pStyle w:val="Normalparatextnonumbers"/>
            </w:pPr>
            <w:r>
              <w:rPr>
                <w:i/>
                <w:iCs/>
              </w:rPr>
              <w:t>Corporations Act 2001</w:t>
            </w:r>
          </w:p>
        </w:tc>
      </w:tr>
      <w:tr w:rsidR="005B37EA" w:rsidRPr="00020288" w14:paraId="739D2B43" w14:textId="77777777" w:rsidTr="002425D9">
        <w:tc>
          <w:tcPr>
            <w:tcW w:w="3776" w:type="dxa"/>
          </w:tcPr>
          <w:p w14:paraId="7BAA0E9C" w14:textId="05BC47BB" w:rsidR="005B37EA" w:rsidRPr="00020288" w:rsidRDefault="000E7C19" w:rsidP="005B37EA">
            <w:pPr>
              <w:pStyle w:val="Normalparatextnonumbers"/>
            </w:pPr>
            <w:r>
              <w:t xml:space="preserve">Corporations </w:t>
            </w:r>
            <w:r w:rsidR="00E61C67">
              <w:t>Regulations</w:t>
            </w:r>
          </w:p>
        </w:tc>
        <w:tc>
          <w:tcPr>
            <w:tcW w:w="3874" w:type="dxa"/>
          </w:tcPr>
          <w:p w14:paraId="45FF70F4" w14:textId="7D2112E2" w:rsidR="005B37EA" w:rsidRPr="000F0B83" w:rsidRDefault="000E7C19" w:rsidP="005B37EA">
            <w:pPr>
              <w:pStyle w:val="Normalparatextnonumbers"/>
              <w:rPr>
                <w:i/>
                <w:iCs/>
              </w:rPr>
            </w:pPr>
            <w:r>
              <w:rPr>
                <w:i/>
                <w:iCs/>
              </w:rPr>
              <w:t xml:space="preserve">Corporations </w:t>
            </w:r>
            <w:r w:rsidR="00E61C67">
              <w:rPr>
                <w:i/>
                <w:iCs/>
              </w:rPr>
              <w:t>Regulations</w:t>
            </w:r>
            <w:r w:rsidR="005B37EA">
              <w:rPr>
                <w:i/>
                <w:iCs/>
              </w:rPr>
              <w:t xml:space="preserve"> 2001</w:t>
            </w:r>
          </w:p>
        </w:tc>
      </w:tr>
      <w:tr w:rsidR="00BE4484" w:rsidRPr="00020288" w14:paraId="2952B9FB" w14:textId="77777777" w:rsidTr="002425D9">
        <w:tc>
          <w:tcPr>
            <w:tcW w:w="3776" w:type="dxa"/>
          </w:tcPr>
          <w:p w14:paraId="09687B18" w14:textId="4CB30F79" w:rsidR="00BE4484" w:rsidRDefault="005E0B06" w:rsidP="005B37EA">
            <w:pPr>
              <w:pStyle w:val="Normalparatextnonumbers"/>
            </w:pPr>
            <w:r>
              <w:t>COVID-19</w:t>
            </w:r>
          </w:p>
        </w:tc>
        <w:tc>
          <w:tcPr>
            <w:tcW w:w="3874" w:type="dxa"/>
          </w:tcPr>
          <w:p w14:paraId="0847108E" w14:textId="4F0EE557" w:rsidR="00BE4484" w:rsidRPr="00E91076" w:rsidRDefault="00E91076" w:rsidP="005B37EA">
            <w:pPr>
              <w:pStyle w:val="Normalparatextnonumbers"/>
            </w:pPr>
            <w:r>
              <w:t xml:space="preserve">The </w:t>
            </w:r>
            <w:r w:rsidR="00575E00">
              <w:t>coronavirus known as COVID-19</w:t>
            </w:r>
          </w:p>
        </w:tc>
      </w:tr>
      <w:tr w:rsidR="005B37EA" w:rsidRPr="00020288" w14:paraId="4F1BC53D" w14:textId="77777777" w:rsidTr="002425D9">
        <w:tc>
          <w:tcPr>
            <w:tcW w:w="3776" w:type="dxa"/>
          </w:tcPr>
          <w:p w14:paraId="6F919562" w14:textId="24FF9680" w:rsidR="005B37EA" w:rsidRPr="00020288" w:rsidRDefault="00E61C67" w:rsidP="005B37EA">
            <w:pPr>
              <w:pStyle w:val="Normalparatextnonumbers"/>
            </w:pPr>
            <w:r>
              <w:t>CS facility</w:t>
            </w:r>
          </w:p>
        </w:tc>
        <w:tc>
          <w:tcPr>
            <w:tcW w:w="3874" w:type="dxa"/>
          </w:tcPr>
          <w:p w14:paraId="3F1CCE1B" w14:textId="5CC546E4" w:rsidR="005B37EA" w:rsidRPr="00020288" w:rsidRDefault="00E61C67" w:rsidP="005B37EA">
            <w:pPr>
              <w:pStyle w:val="Normalparatextnonumbers"/>
            </w:pPr>
            <w:r>
              <w:t xml:space="preserve">A clearing and settlement facility as defined in section 768A of the </w:t>
            </w:r>
            <w:r w:rsidRPr="006014F5">
              <w:rPr>
                <w:i/>
                <w:iCs/>
              </w:rPr>
              <w:t>Corporations Act</w:t>
            </w:r>
            <w:r>
              <w:rPr>
                <w:i/>
                <w:iCs/>
              </w:rPr>
              <w:t xml:space="preserve"> 2001</w:t>
            </w:r>
          </w:p>
        </w:tc>
      </w:tr>
      <w:tr w:rsidR="00E61C67" w:rsidRPr="00020288" w14:paraId="2A7C7809" w14:textId="77777777" w:rsidTr="00D10880">
        <w:trPr>
          <w:trHeight w:val="1178"/>
        </w:trPr>
        <w:tc>
          <w:tcPr>
            <w:tcW w:w="3776" w:type="dxa"/>
          </w:tcPr>
          <w:p w14:paraId="3A0B9039" w14:textId="4C990C67" w:rsidR="00E61C67" w:rsidRDefault="00E61C67" w:rsidP="00E61C67">
            <w:pPr>
              <w:pStyle w:val="Normalparatextnonumbers"/>
            </w:pPr>
            <w:r>
              <w:t>CS service</w:t>
            </w:r>
          </w:p>
        </w:tc>
        <w:tc>
          <w:tcPr>
            <w:tcW w:w="3874" w:type="dxa"/>
          </w:tcPr>
          <w:p w14:paraId="68A8B033" w14:textId="53D425B0" w:rsidR="00E61C67" w:rsidRPr="007634D0" w:rsidRDefault="00FC5870" w:rsidP="00E61C67">
            <w:pPr>
              <w:pStyle w:val="Normalparatextnonumbers"/>
              <w:rPr>
                <w:highlight w:val="yellow"/>
              </w:rPr>
            </w:pPr>
            <w:r w:rsidRPr="00037AD8">
              <w:t>A clearing and settlement service</w:t>
            </w:r>
            <w:r>
              <w:t xml:space="preserve"> as defined in section 828 of the </w:t>
            </w:r>
            <w:r w:rsidRPr="006014F5">
              <w:rPr>
                <w:i/>
                <w:iCs/>
              </w:rPr>
              <w:t>Corporations Act</w:t>
            </w:r>
            <w:r>
              <w:rPr>
                <w:i/>
                <w:iCs/>
              </w:rPr>
              <w:t xml:space="preserve"> 2001</w:t>
            </w:r>
          </w:p>
        </w:tc>
      </w:tr>
      <w:tr w:rsidR="00D6737B" w:rsidRPr="00020288" w14:paraId="6ED6812B" w14:textId="77777777" w:rsidTr="002425D9">
        <w:tc>
          <w:tcPr>
            <w:tcW w:w="3776" w:type="dxa"/>
          </w:tcPr>
          <w:p w14:paraId="4D84A099" w14:textId="71D6D521" w:rsidR="00D6737B" w:rsidRDefault="00D6737B" w:rsidP="00E61C67">
            <w:pPr>
              <w:pStyle w:val="Normalparatextnonumbers"/>
            </w:pPr>
            <w:r>
              <w:t>FMI</w:t>
            </w:r>
          </w:p>
        </w:tc>
        <w:tc>
          <w:tcPr>
            <w:tcW w:w="3874" w:type="dxa"/>
          </w:tcPr>
          <w:p w14:paraId="7411EDA3" w14:textId="181DA73B" w:rsidR="00D6737B" w:rsidRPr="00037AD8" w:rsidRDefault="00D6737B" w:rsidP="00E61C67">
            <w:pPr>
              <w:pStyle w:val="Normalparatextnonumbers"/>
            </w:pPr>
            <w:r>
              <w:t xml:space="preserve">Financial Market Infrastructure </w:t>
            </w:r>
          </w:p>
        </w:tc>
      </w:tr>
      <w:tr w:rsidR="007975B7" w:rsidRPr="00020288" w14:paraId="0855F332" w14:textId="77777777" w:rsidTr="002425D9">
        <w:tc>
          <w:tcPr>
            <w:tcW w:w="3776" w:type="dxa"/>
          </w:tcPr>
          <w:p w14:paraId="7943F9B2" w14:textId="0CB6B0DA" w:rsidR="007975B7" w:rsidRDefault="007975B7" w:rsidP="00E61C67">
            <w:pPr>
              <w:pStyle w:val="Normalparatextnonumbers"/>
            </w:pPr>
            <w:r>
              <w:lastRenderedPageBreak/>
              <w:t xml:space="preserve">FMI </w:t>
            </w:r>
            <w:r w:rsidR="00D12A1D">
              <w:t>e</w:t>
            </w:r>
            <w:r>
              <w:t>ntity</w:t>
            </w:r>
          </w:p>
        </w:tc>
        <w:tc>
          <w:tcPr>
            <w:tcW w:w="3874" w:type="dxa"/>
          </w:tcPr>
          <w:p w14:paraId="3FCF21F1" w14:textId="5482BE10" w:rsidR="007975B7" w:rsidRPr="00037AD8" w:rsidRDefault="007975B7" w:rsidP="00E61C67">
            <w:pPr>
              <w:pStyle w:val="Normalparatextnonumbers"/>
            </w:pPr>
            <w:r>
              <w:t xml:space="preserve">An entity, typically a </w:t>
            </w:r>
            <w:r w:rsidR="002C00AE">
              <w:t xml:space="preserve">licensed entity, that forms part of Australia’s financial market infrastructure. </w:t>
            </w:r>
          </w:p>
        </w:tc>
      </w:tr>
      <w:tr w:rsidR="00B1399B" w:rsidRPr="00020288" w14:paraId="0C62DD1B" w14:textId="77777777" w:rsidTr="002425D9">
        <w:tc>
          <w:tcPr>
            <w:tcW w:w="3776" w:type="dxa"/>
          </w:tcPr>
          <w:p w14:paraId="4C9C2F77" w14:textId="7FECB0DB" w:rsidR="00B1399B" w:rsidRDefault="00B1399B" w:rsidP="00E61C67">
            <w:pPr>
              <w:pStyle w:val="Normalparatextnonumbers"/>
            </w:pPr>
            <w:r>
              <w:t>PPS</w:t>
            </w:r>
            <w:r w:rsidR="00F611A0">
              <w:t>A</w:t>
            </w:r>
          </w:p>
        </w:tc>
        <w:tc>
          <w:tcPr>
            <w:tcW w:w="3874" w:type="dxa"/>
          </w:tcPr>
          <w:p w14:paraId="1ED5D541" w14:textId="3271C4EC" w:rsidR="00B1399B" w:rsidRPr="00D10880" w:rsidRDefault="00F611A0" w:rsidP="00E61C67">
            <w:pPr>
              <w:pStyle w:val="Normalparatextnonumbers"/>
              <w:rPr>
                <w:i/>
                <w:iCs/>
              </w:rPr>
            </w:pPr>
            <w:r>
              <w:rPr>
                <w:i/>
                <w:iCs/>
              </w:rPr>
              <w:t>Personal Property Securities Act 2009</w:t>
            </w:r>
          </w:p>
        </w:tc>
      </w:tr>
      <w:tr w:rsidR="00FF46B2" w:rsidRPr="00020288" w14:paraId="64BEB739" w14:textId="77777777" w:rsidTr="002425D9">
        <w:tc>
          <w:tcPr>
            <w:tcW w:w="3776" w:type="dxa"/>
          </w:tcPr>
          <w:p w14:paraId="50DDF2E5" w14:textId="511E8D73" w:rsidR="00FF46B2" w:rsidRPr="00FF46B2" w:rsidRDefault="00982666" w:rsidP="00E61C67">
            <w:pPr>
              <w:pStyle w:val="Normalparatextnonumbers"/>
            </w:pPr>
            <w:r>
              <w:t>PPSA security interest</w:t>
            </w:r>
          </w:p>
        </w:tc>
        <w:tc>
          <w:tcPr>
            <w:tcW w:w="3874" w:type="dxa"/>
          </w:tcPr>
          <w:p w14:paraId="6DBC1D58" w14:textId="494D9740" w:rsidR="00FF46B2" w:rsidRPr="00982666" w:rsidRDefault="00982666" w:rsidP="00E61C67">
            <w:pPr>
              <w:pStyle w:val="Normalparatextnonumbers"/>
              <w:rPr>
                <w:i/>
                <w:iCs/>
              </w:rPr>
            </w:pPr>
            <w:r w:rsidRPr="00982666">
              <w:t>Personal Property Security Ac</w:t>
            </w:r>
            <w:r>
              <w:t>t security interest</w:t>
            </w:r>
          </w:p>
        </w:tc>
      </w:tr>
      <w:tr w:rsidR="00982666" w:rsidRPr="00020288" w14:paraId="5A45AD55" w14:textId="77777777" w:rsidTr="002425D9">
        <w:tc>
          <w:tcPr>
            <w:tcW w:w="3776" w:type="dxa"/>
          </w:tcPr>
          <w:p w14:paraId="3C53CBC1" w14:textId="13E3E063" w:rsidR="00982666" w:rsidRDefault="00982666" w:rsidP="00982666">
            <w:pPr>
              <w:pStyle w:val="Normalparatextnonumbers"/>
            </w:pPr>
            <w:r>
              <w:t>PSN Act</w:t>
            </w:r>
          </w:p>
        </w:tc>
        <w:tc>
          <w:tcPr>
            <w:tcW w:w="3874" w:type="dxa"/>
          </w:tcPr>
          <w:p w14:paraId="75BC779D" w14:textId="2823FFEC" w:rsidR="00982666" w:rsidRPr="00FF46B2" w:rsidRDefault="00982666" w:rsidP="00982666">
            <w:pPr>
              <w:pStyle w:val="Normalparatextnonumbers"/>
              <w:rPr>
                <w:i/>
                <w:iCs/>
              </w:rPr>
            </w:pPr>
            <w:r w:rsidRPr="00FF46B2">
              <w:rPr>
                <w:i/>
                <w:iCs/>
              </w:rPr>
              <w:t>Payment Systems and Netting Act 2011</w:t>
            </w:r>
          </w:p>
        </w:tc>
      </w:tr>
      <w:tr w:rsidR="00982666" w:rsidRPr="00020288" w14:paraId="34ED6A07" w14:textId="77777777" w:rsidTr="002425D9">
        <w:tc>
          <w:tcPr>
            <w:tcW w:w="3776" w:type="dxa"/>
          </w:tcPr>
          <w:p w14:paraId="48C1ACAF" w14:textId="48AAA634" w:rsidR="00982666" w:rsidRDefault="00982666" w:rsidP="00982666">
            <w:pPr>
              <w:pStyle w:val="Normalparatextnonumbers"/>
            </w:pPr>
            <w:r>
              <w:t>RBA</w:t>
            </w:r>
          </w:p>
        </w:tc>
        <w:tc>
          <w:tcPr>
            <w:tcW w:w="3874" w:type="dxa"/>
          </w:tcPr>
          <w:p w14:paraId="490A8DC4" w14:textId="55B6E1CB" w:rsidR="00982666" w:rsidRPr="00245D7B" w:rsidRDefault="00982666" w:rsidP="00982666">
            <w:pPr>
              <w:pStyle w:val="Normalparatextnonumbers"/>
              <w:rPr>
                <w:i/>
                <w:iCs/>
              </w:rPr>
            </w:pPr>
            <w:r>
              <w:t>Reserve Bank of Australia</w:t>
            </w:r>
          </w:p>
        </w:tc>
      </w:tr>
      <w:tr w:rsidR="00982666" w:rsidRPr="00020288" w14:paraId="2A6B131C" w14:textId="77777777" w:rsidTr="002425D9">
        <w:tc>
          <w:tcPr>
            <w:tcW w:w="3776" w:type="dxa"/>
          </w:tcPr>
          <w:p w14:paraId="065197F4" w14:textId="57AB46F4" w:rsidR="00982666" w:rsidRDefault="00982666" w:rsidP="00982666">
            <w:pPr>
              <w:pStyle w:val="Normalparatextnonumbers"/>
            </w:pPr>
            <w:r>
              <w:t>RB Act</w:t>
            </w:r>
          </w:p>
        </w:tc>
        <w:tc>
          <w:tcPr>
            <w:tcW w:w="3874" w:type="dxa"/>
          </w:tcPr>
          <w:p w14:paraId="033F31ED" w14:textId="68138E96" w:rsidR="00982666" w:rsidRDefault="00982666" w:rsidP="00982666">
            <w:pPr>
              <w:pStyle w:val="Normalparatextnonumbers"/>
              <w:rPr>
                <w:i/>
                <w:iCs/>
              </w:rPr>
            </w:pPr>
            <w:r w:rsidRPr="00245D7B">
              <w:rPr>
                <w:i/>
                <w:iCs/>
              </w:rPr>
              <w:t>Reserve Bank Act 1959</w:t>
            </w:r>
          </w:p>
        </w:tc>
      </w:tr>
      <w:tr w:rsidR="00982666" w:rsidRPr="00020288" w14:paraId="4AA8E5C8" w14:textId="77777777" w:rsidTr="002425D9">
        <w:tc>
          <w:tcPr>
            <w:tcW w:w="3776" w:type="dxa"/>
          </w:tcPr>
          <w:p w14:paraId="1437EDF4" w14:textId="488F41CF" w:rsidR="00982666" w:rsidRDefault="00982666" w:rsidP="00982666">
            <w:pPr>
              <w:pStyle w:val="Normalparatextnonumbers"/>
            </w:pPr>
            <w:r>
              <w:t>The Treasury</w:t>
            </w:r>
          </w:p>
        </w:tc>
        <w:tc>
          <w:tcPr>
            <w:tcW w:w="3874" w:type="dxa"/>
          </w:tcPr>
          <w:p w14:paraId="40B06895" w14:textId="1CAD1D8E" w:rsidR="00982666" w:rsidRDefault="00982666" w:rsidP="00982666">
            <w:pPr>
              <w:pStyle w:val="Normalparatextnonumbers"/>
            </w:pPr>
            <w:r>
              <w:t>The Department of the Treasury</w:t>
            </w:r>
          </w:p>
        </w:tc>
      </w:tr>
    </w:tbl>
    <w:p w14:paraId="06A6DA54" w14:textId="77777777" w:rsidR="00873094" w:rsidRPr="00020288" w:rsidRDefault="00873094" w:rsidP="00873094"/>
    <w:p w14:paraId="2D7F5998" w14:textId="77777777" w:rsidR="00873094" w:rsidRPr="00020288" w:rsidRDefault="00873094" w:rsidP="00873094"/>
    <w:p w14:paraId="099CDAF0" w14:textId="77777777" w:rsidR="00873094" w:rsidRPr="00020288" w:rsidRDefault="00873094" w:rsidP="00873094">
      <w:pPr>
        <w:pStyle w:val="Heading1"/>
        <w:rPr>
          <w:rFonts w:hint="eastAsia"/>
        </w:rPr>
        <w:sectPr w:rsidR="00873094" w:rsidRPr="00020288" w:rsidSect="00000BFC">
          <w:headerReference w:type="even" r:id="rId18"/>
          <w:headerReference w:type="default" r:id="rId19"/>
          <w:headerReference w:type="first" r:id="rId20"/>
          <w:footerReference w:type="first" r:id="rId21"/>
          <w:type w:val="oddPage"/>
          <w:pgSz w:w="9979" w:h="14175" w:code="9"/>
          <w:pgMar w:top="567" w:right="1134" w:bottom="567" w:left="1134" w:header="709" w:footer="709" w:gutter="0"/>
          <w:pgNumType w:fmt="lowerRoman"/>
          <w:cols w:space="708"/>
          <w:docGrid w:linePitch="360"/>
        </w:sectPr>
      </w:pPr>
      <w:bookmarkStart w:id="34" w:name="_Toc78548464"/>
      <w:bookmarkStart w:id="35" w:name="_Toc78549735"/>
      <w:bookmarkStart w:id="36" w:name="_Toc78549780"/>
      <w:bookmarkStart w:id="37" w:name="_Toc80097484"/>
      <w:bookmarkStart w:id="38" w:name="_Toc80097778"/>
      <w:bookmarkStart w:id="39" w:name="_Toc80115277"/>
      <w:bookmarkStart w:id="40" w:name="_Toc80172452"/>
      <w:bookmarkStart w:id="41" w:name="_Toc80197116"/>
      <w:bookmarkStart w:id="42" w:name="_Toc81852683"/>
      <w:bookmarkStart w:id="43" w:name="_Toc81852728"/>
    </w:p>
    <w:p w14:paraId="2C083C60" w14:textId="5DD3812F" w:rsidR="00873094" w:rsidRPr="0073326A" w:rsidRDefault="00EA1627" w:rsidP="00777A92">
      <w:pPr>
        <w:pStyle w:val="Chapterheading"/>
        <w:rPr>
          <w:rFonts w:hint="eastAsia"/>
        </w:rPr>
      </w:pPr>
      <w:bookmarkStart w:id="44" w:name="GeneralOutline"/>
      <w:bookmarkStart w:id="45" w:name="_Toc152860440"/>
      <w:bookmarkEnd w:id="30"/>
      <w:bookmarkEnd w:id="31"/>
      <w:bookmarkEnd w:id="32"/>
      <w:bookmarkEnd w:id="34"/>
      <w:bookmarkEnd w:id="35"/>
      <w:bookmarkEnd w:id="36"/>
      <w:bookmarkEnd w:id="37"/>
      <w:bookmarkEnd w:id="38"/>
      <w:bookmarkEnd w:id="39"/>
      <w:bookmarkEnd w:id="40"/>
      <w:bookmarkEnd w:id="41"/>
      <w:bookmarkEnd w:id="42"/>
      <w:bookmarkEnd w:id="43"/>
      <w:bookmarkEnd w:id="44"/>
      <w:r>
        <w:lastRenderedPageBreak/>
        <w:t xml:space="preserve">FMI </w:t>
      </w:r>
      <w:r w:rsidR="00CB3E97">
        <w:t xml:space="preserve">Reform - </w:t>
      </w:r>
      <w:r w:rsidR="009969DC">
        <w:t>Establishing a crisis</w:t>
      </w:r>
      <w:r w:rsidR="00341856">
        <w:t xml:space="preserve"> management </w:t>
      </w:r>
      <w:proofErr w:type="gramStart"/>
      <w:r w:rsidR="00341856">
        <w:t>regime</w:t>
      </w:r>
      <w:bookmarkEnd w:id="45"/>
      <w:proofErr w:type="gramEnd"/>
      <w:r w:rsidR="00341856">
        <w:t xml:space="preserve"> </w:t>
      </w:r>
    </w:p>
    <w:p w14:paraId="66D84742" w14:textId="1ED6DFE0" w:rsidR="00873094" w:rsidRDefault="00844FD4" w:rsidP="00873094">
      <w:pPr>
        <w:rPr>
          <w:rFonts w:ascii="Helvitica" w:hAnsi="Helvitica"/>
          <w:sz w:val="40"/>
        </w:rPr>
      </w:pPr>
      <w:bookmarkStart w:id="46" w:name="Chapter1"/>
      <w:r>
        <w:rPr>
          <w:rFonts w:ascii="Helvitica" w:hAnsi="Helvitica"/>
          <w:sz w:val="40"/>
        </w:rPr>
        <w:t xml:space="preserve">Table of Contents: </w:t>
      </w:r>
    </w:p>
    <w:p w14:paraId="0235414F" w14:textId="512380A1" w:rsidR="00EC134D" w:rsidRDefault="00844FD4">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EC134D">
        <w:t>Outline of chapter</w:t>
      </w:r>
      <w:r w:rsidR="00EC134D">
        <w:rPr>
          <w:webHidden/>
        </w:rPr>
        <w:tab/>
      </w:r>
      <w:r w:rsidR="00EC134D">
        <w:rPr>
          <w:webHidden/>
        </w:rPr>
        <w:fldChar w:fldCharType="begin"/>
      </w:r>
      <w:r w:rsidR="00EC134D">
        <w:rPr>
          <w:webHidden/>
        </w:rPr>
        <w:instrText xml:space="preserve"> PAGEREF _Toc152860443 \h </w:instrText>
      </w:r>
      <w:r w:rsidR="00EC134D">
        <w:rPr>
          <w:webHidden/>
        </w:rPr>
      </w:r>
      <w:r w:rsidR="00EC134D">
        <w:rPr>
          <w:webHidden/>
        </w:rPr>
        <w:fldChar w:fldCharType="separate"/>
      </w:r>
      <w:r w:rsidR="0028259D">
        <w:rPr>
          <w:webHidden/>
        </w:rPr>
        <w:t>5</w:t>
      </w:r>
      <w:r w:rsidR="00EC134D">
        <w:rPr>
          <w:webHidden/>
        </w:rPr>
        <w:fldChar w:fldCharType="end"/>
      </w:r>
    </w:p>
    <w:p w14:paraId="50172467" w14:textId="61623EE6" w:rsidR="00EC134D" w:rsidRDefault="00EC134D">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_Toc152860444 \h </w:instrText>
      </w:r>
      <w:r>
        <w:rPr>
          <w:webHidden/>
        </w:rPr>
      </w:r>
      <w:r>
        <w:rPr>
          <w:webHidden/>
        </w:rPr>
        <w:fldChar w:fldCharType="separate"/>
      </w:r>
      <w:r w:rsidR="0028259D">
        <w:rPr>
          <w:webHidden/>
        </w:rPr>
        <w:t>6</w:t>
      </w:r>
      <w:r>
        <w:rPr>
          <w:webHidden/>
        </w:rPr>
        <w:fldChar w:fldCharType="end"/>
      </w:r>
    </w:p>
    <w:p w14:paraId="22DC5FCF" w14:textId="43155A06" w:rsidR="00EC134D" w:rsidRDefault="00EC134D">
      <w:pPr>
        <w:pStyle w:val="TOC2"/>
        <w:rPr>
          <w:rFonts w:asciiTheme="minorHAnsi" w:eastAsiaTheme="minorEastAsia" w:hAnsiTheme="minorHAnsi"/>
          <w:sz w:val="22"/>
          <w:lang w:eastAsia="en-AU"/>
        </w:rPr>
      </w:pPr>
      <w:r>
        <w:t>Summary of new law</w:t>
      </w:r>
      <w:r>
        <w:rPr>
          <w:webHidden/>
        </w:rPr>
        <w:tab/>
      </w:r>
      <w:r>
        <w:rPr>
          <w:webHidden/>
        </w:rPr>
        <w:fldChar w:fldCharType="begin"/>
      </w:r>
      <w:r>
        <w:rPr>
          <w:webHidden/>
        </w:rPr>
        <w:instrText xml:space="preserve"> PAGEREF _Toc152860445 \h </w:instrText>
      </w:r>
      <w:r>
        <w:rPr>
          <w:webHidden/>
        </w:rPr>
      </w:r>
      <w:r>
        <w:rPr>
          <w:webHidden/>
        </w:rPr>
        <w:fldChar w:fldCharType="separate"/>
      </w:r>
      <w:r w:rsidR="0028259D">
        <w:rPr>
          <w:webHidden/>
        </w:rPr>
        <w:t>11</w:t>
      </w:r>
      <w:r>
        <w:rPr>
          <w:webHidden/>
        </w:rPr>
        <w:fldChar w:fldCharType="end"/>
      </w:r>
    </w:p>
    <w:p w14:paraId="7B545140" w14:textId="10460A08" w:rsidR="00EC134D" w:rsidRDefault="00EC134D">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_Toc152860446 \h </w:instrText>
      </w:r>
      <w:r>
        <w:rPr>
          <w:webHidden/>
        </w:rPr>
      </w:r>
      <w:r>
        <w:rPr>
          <w:webHidden/>
        </w:rPr>
        <w:fldChar w:fldCharType="separate"/>
      </w:r>
      <w:r w:rsidR="0028259D">
        <w:rPr>
          <w:webHidden/>
        </w:rPr>
        <w:t>12</w:t>
      </w:r>
      <w:r>
        <w:rPr>
          <w:webHidden/>
        </w:rPr>
        <w:fldChar w:fldCharType="end"/>
      </w:r>
    </w:p>
    <w:p w14:paraId="6CBE0845" w14:textId="7477A912" w:rsidR="00EC134D" w:rsidRDefault="00EC134D">
      <w:pPr>
        <w:pStyle w:val="TOC3"/>
        <w:rPr>
          <w:rFonts w:asciiTheme="minorHAnsi" w:eastAsiaTheme="minorEastAsia" w:hAnsiTheme="minorHAnsi" w:cstheme="minorBidi"/>
          <w:iCs w:val="0"/>
          <w:noProof/>
          <w:sz w:val="22"/>
          <w:szCs w:val="22"/>
          <w:lang w:eastAsia="en-AU"/>
        </w:rPr>
      </w:pPr>
      <w:r>
        <w:rPr>
          <w:noProof/>
        </w:rPr>
        <w:t>Overview of crisis management regime</w:t>
      </w:r>
      <w:r>
        <w:rPr>
          <w:noProof/>
          <w:webHidden/>
        </w:rPr>
        <w:tab/>
      </w:r>
      <w:r>
        <w:rPr>
          <w:noProof/>
          <w:webHidden/>
        </w:rPr>
        <w:fldChar w:fldCharType="begin"/>
      </w:r>
      <w:r>
        <w:rPr>
          <w:noProof/>
          <w:webHidden/>
        </w:rPr>
        <w:instrText xml:space="preserve"> PAGEREF _Toc152860447 \h </w:instrText>
      </w:r>
      <w:r>
        <w:rPr>
          <w:noProof/>
          <w:webHidden/>
        </w:rPr>
      </w:r>
      <w:r>
        <w:rPr>
          <w:noProof/>
          <w:webHidden/>
        </w:rPr>
        <w:fldChar w:fldCharType="separate"/>
      </w:r>
      <w:r w:rsidR="0028259D">
        <w:rPr>
          <w:noProof/>
          <w:webHidden/>
        </w:rPr>
        <w:t>12</w:t>
      </w:r>
      <w:r>
        <w:rPr>
          <w:noProof/>
          <w:webHidden/>
        </w:rPr>
        <w:fldChar w:fldCharType="end"/>
      </w:r>
    </w:p>
    <w:p w14:paraId="5150415E" w14:textId="20A37828" w:rsidR="00EC134D" w:rsidRDefault="00EC134D">
      <w:pPr>
        <w:pStyle w:val="TOC3"/>
        <w:rPr>
          <w:rFonts w:asciiTheme="minorHAnsi" w:eastAsiaTheme="minorEastAsia" w:hAnsiTheme="minorHAnsi" w:cstheme="minorBidi"/>
          <w:iCs w:val="0"/>
          <w:noProof/>
          <w:sz w:val="22"/>
          <w:szCs w:val="22"/>
          <w:lang w:eastAsia="en-AU"/>
        </w:rPr>
      </w:pPr>
      <w:r>
        <w:rPr>
          <w:noProof/>
        </w:rPr>
        <w:t>Statutory management</w:t>
      </w:r>
      <w:r>
        <w:rPr>
          <w:noProof/>
          <w:webHidden/>
        </w:rPr>
        <w:tab/>
      </w:r>
      <w:r>
        <w:rPr>
          <w:noProof/>
          <w:webHidden/>
        </w:rPr>
        <w:fldChar w:fldCharType="begin"/>
      </w:r>
      <w:r>
        <w:rPr>
          <w:noProof/>
          <w:webHidden/>
        </w:rPr>
        <w:instrText xml:space="preserve"> PAGEREF _Toc152860448 \h </w:instrText>
      </w:r>
      <w:r>
        <w:rPr>
          <w:noProof/>
          <w:webHidden/>
        </w:rPr>
      </w:r>
      <w:r>
        <w:rPr>
          <w:noProof/>
          <w:webHidden/>
        </w:rPr>
        <w:fldChar w:fldCharType="separate"/>
      </w:r>
      <w:r w:rsidR="0028259D">
        <w:rPr>
          <w:noProof/>
          <w:webHidden/>
        </w:rPr>
        <w:t>19</w:t>
      </w:r>
      <w:r>
        <w:rPr>
          <w:noProof/>
          <w:webHidden/>
        </w:rPr>
        <w:fldChar w:fldCharType="end"/>
      </w:r>
    </w:p>
    <w:p w14:paraId="0EE88832" w14:textId="10011738" w:rsidR="00EC134D" w:rsidRDefault="00EC134D">
      <w:pPr>
        <w:pStyle w:val="TOC3"/>
        <w:rPr>
          <w:rFonts w:asciiTheme="minorHAnsi" w:eastAsiaTheme="minorEastAsia" w:hAnsiTheme="minorHAnsi" w:cstheme="minorBidi"/>
          <w:iCs w:val="0"/>
          <w:noProof/>
          <w:sz w:val="22"/>
          <w:szCs w:val="22"/>
          <w:lang w:eastAsia="en-AU"/>
        </w:rPr>
      </w:pPr>
      <w:r>
        <w:rPr>
          <w:noProof/>
        </w:rPr>
        <w:t>Transfer</w:t>
      </w:r>
      <w:r>
        <w:rPr>
          <w:noProof/>
          <w:webHidden/>
        </w:rPr>
        <w:tab/>
      </w:r>
      <w:r>
        <w:rPr>
          <w:noProof/>
          <w:webHidden/>
        </w:rPr>
        <w:fldChar w:fldCharType="begin"/>
      </w:r>
      <w:r>
        <w:rPr>
          <w:noProof/>
          <w:webHidden/>
        </w:rPr>
        <w:instrText xml:space="preserve"> PAGEREF _Toc152860449 \h </w:instrText>
      </w:r>
      <w:r>
        <w:rPr>
          <w:noProof/>
          <w:webHidden/>
        </w:rPr>
      </w:r>
      <w:r>
        <w:rPr>
          <w:noProof/>
          <w:webHidden/>
        </w:rPr>
        <w:fldChar w:fldCharType="separate"/>
      </w:r>
      <w:r w:rsidR="0028259D">
        <w:rPr>
          <w:noProof/>
          <w:webHidden/>
        </w:rPr>
        <w:t>30</w:t>
      </w:r>
      <w:r>
        <w:rPr>
          <w:noProof/>
          <w:webHidden/>
        </w:rPr>
        <w:fldChar w:fldCharType="end"/>
      </w:r>
    </w:p>
    <w:p w14:paraId="09BD9FDD" w14:textId="1D297C0A" w:rsidR="00EC134D" w:rsidRDefault="00EC134D">
      <w:pPr>
        <w:pStyle w:val="TOC3"/>
        <w:rPr>
          <w:rFonts w:asciiTheme="minorHAnsi" w:eastAsiaTheme="minorEastAsia" w:hAnsiTheme="minorHAnsi" w:cstheme="minorBidi"/>
          <w:iCs w:val="0"/>
          <w:noProof/>
          <w:sz w:val="22"/>
          <w:szCs w:val="22"/>
          <w:lang w:eastAsia="en-AU"/>
        </w:rPr>
      </w:pPr>
      <w:r>
        <w:rPr>
          <w:noProof/>
        </w:rPr>
        <w:t>Stays and moratorium provisions</w:t>
      </w:r>
      <w:r>
        <w:rPr>
          <w:noProof/>
          <w:webHidden/>
        </w:rPr>
        <w:tab/>
      </w:r>
      <w:r>
        <w:rPr>
          <w:noProof/>
          <w:webHidden/>
        </w:rPr>
        <w:fldChar w:fldCharType="begin"/>
      </w:r>
      <w:r>
        <w:rPr>
          <w:noProof/>
          <w:webHidden/>
        </w:rPr>
        <w:instrText xml:space="preserve"> PAGEREF _Toc152860450 \h </w:instrText>
      </w:r>
      <w:r>
        <w:rPr>
          <w:noProof/>
          <w:webHidden/>
        </w:rPr>
      </w:r>
      <w:r>
        <w:rPr>
          <w:noProof/>
          <w:webHidden/>
        </w:rPr>
        <w:fldChar w:fldCharType="separate"/>
      </w:r>
      <w:r w:rsidR="0028259D">
        <w:rPr>
          <w:noProof/>
          <w:webHidden/>
        </w:rPr>
        <w:t>40</w:t>
      </w:r>
      <w:r>
        <w:rPr>
          <w:noProof/>
          <w:webHidden/>
        </w:rPr>
        <w:fldChar w:fldCharType="end"/>
      </w:r>
    </w:p>
    <w:p w14:paraId="4AAA8F84" w14:textId="15937F37" w:rsidR="00EC134D" w:rsidRDefault="00EC134D">
      <w:pPr>
        <w:pStyle w:val="TOC3"/>
        <w:rPr>
          <w:rFonts w:asciiTheme="minorHAnsi" w:eastAsiaTheme="minorEastAsia" w:hAnsiTheme="minorHAnsi" w:cstheme="minorBidi"/>
          <w:iCs w:val="0"/>
          <w:noProof/>
          <w:sz w:val="22"/>
          <w:szCs w:val="22"/>
          <w:lang w:eastAsia="en-AU"/>
        </w:rPr>
      </w:pPr>
      <w:r>
        <w:rPr>
          <w:noProof/>
        </w:rPr>
        <w:t>Directions during resolution</w:t>
      </w:r>
      <w:r>
        <w:rPr>
          <w:noProof/>
          <w:webHidden/>
        </w:rPr>
        <w:tab/>
      </w:r>
      <w:r>
        <w:rPr>
          <w:noProof/>
          <w:webHidden/>
        </w:rPr>
        <w:fldChar w:fldCharType="begin"/>
      </w:r>
      <w:r>
        <w:rPr>
          <w:noProof/>
          <w:webHidden/>
        </w:rPr>
        <w:instrText xml:space="preserve"> PAGEREF _Toc152860451 \h </w:instrText>
      </w:r>
      <w:r>
        <w:rPr>
          <w:noProof/>
          <w:webHidden/>
        </w:rPr>
      </w:r>
      <w:r>
        <w:rPr>
          <w:noProof/>
          <w:webHidden/>
        </w:rPr>
        <w:fldChar w:fldCharType="separate"/>
      </w:r>
      <w:r w:rsidR="0028259D">
        <w:rPr>
          <w:noProof/>
          <w:webHidden/>
        </w:rPr>
        <w:t>49</w:t>
      </w:r>
      <w:r>
        <w:rPr>
          <w:noProof/>
          <w:webHidden/>
        </w:rPr>
        <w:fldChar w:fldCharType="end"/>
      </w:r>
    </w:p>
    <w:p w14:paraId="0C509791" w14:textId="27CED31D" w:rsidR="00EC134D" w:rsidRDefault="00EC134D">
      <w:pPr>
        <w:pStyle w:val="TOC3"/>
        <w:rPr>
          <w:rFonts w:asciiTheme="minorHAnsi" w:eastAsiaTheme="minorEastAsia" w:hAnsiTheme="minorHAnsi" w:cstheme="minorBidi"/>
          <w:iCs w:val="0"/>
          <w:noProof/>
          <w:sz w:val="22"/>
          <w:szCs w:val="22"/>
          <w:lang w:eastAsia="en-AU"/>
        </w:rPr>
      </w:pPr>
      <w:r>
        <w:rPr>
          <w:noProof/>
        </w:rPr>
        <w:t>Interactions between regulators in a crisis</w:t>
      </w:r>
      <w:r>
        <w:rPr>
          <w:noProof/>
          <w:webHidden/>
        </w:rPr>
        <w:tab/>
      </w:r>
      <w:r>
        <w:rPr>
          <w:noProof/>
          <w:webHidden/>
        </w:rPr>
        <w:fldChar w:fldCharType="begin"/>
      </w:r>
      <w:r>
        <w:rPr>
          <w:noProof/>
          <w:webHidden/>
        </w:rPr>
        <w:instrText xml:space="preserve"> PAGEREF _Toc152860452 \h </w:instrText>
      </w:r>
      <w:r>
        <w:rPr>
          <w:noProof/>
          <w:webHidden/>
        </w:rPr>
      </w:r>
      <w:r>
        <w:rPr>
          <w:noProof/>
          <w:webHidden/>
        </w:rPr>
        <w:fldChar w:fldCharType="separate"/>
      </w:r>
      <w:r w:rsidR="0028259D">
        <w:rPr>
          <w:noProof/>
          <w:webHidden/>
        </w:rPr>
        <w:t>56</w:t>
      </w:r>
      <w:r>
        <w:rPr>
          <w:noProof/>
          <w:webHidden/>
        </w:rPr>
        <w:fldChar w:fldCharType="end"/>
      </w:r>
    </w:p>
    <w:p w14:paraId="345763CD" w14:textId="0AD35CA3" w:rsidR="00844FD4" w:rsidRPr="00020288" w:rsidRDefault="00844FD4" w:rsidP="00844FD4">
      <w:r>
        <w:fldChar w:fldCharType="end"/>
      </w:r>
    </w:p>
    <w:p w14:paraId="54C7BB24" w14:textId="77777777" w:rsidR="00873094" w:rsidRPr="00020288" w:rsidRDefault="00873094" w:rsidP="005D0844">
      <w:pPr>
        <w:pStyle w:val="Heading2"/>
        <w:rPr>
          <w:rFonts w:hint="eastAsia"/>
        </w:rPr>
      </w:pPr>
      <w:bookmarkStart w:id="47" w:name="_Toc152860443"/>
      <w:r w:rsidRPr="00020288">
        <w:t xml:space="preserve">Outline </w:t>
      </w:r>
      <w:r w:rsidRPr="005D0844">
        <w:t>of</w:t>
      </w:r>
      <w:r w:rsidRPr="00020288">
        <w:t xml:space="preserve"> chapter</w:t>
      </w:r>
      <w:bookmarkEnd w:id="47"/>
    </w:p>
    <w:p w14:paraId="6111EF8A" w14:textId="5A5EF448" w:rsidR="00FA1EE4" w:rsidRDefault="00705F9A" w:rsidP="00125C2C">
      <w:pPr>
        <w:pStyle w:val="Normalparatextwithnumbers"/>
      </w:pPr>
      <w:r>
        <w:t>The</w:t>
      </w:r>
      <w:r w:rsidR="00FA1EE4">
        <w:t xml:space="preserve"> Bill implement</w:t>
      </w:r>
      <w:r w:rsidR="00E84DDF">
        <w:t>s</w:t>
      </w:r>
      <w:r w:rsidR="00FA1EE4">
        <w:t xml:space="preserve"> the</w:t>
      </w:r>
      <w:r w:rsidR="00062B6E">
        <w:t xml:space="preserve"> recommendations of the CFR to </w:t>
      </w:r>
      <w:r w:rsidR="00497DB9">
        <w:t>reform</w:t>
      </w:r>
      <w:r w:rsidR="00062B6E">
        <w:t xml:space="preserve"> Australia’s </w:t>
      </w:r>
      <w:r w:rsidR="00B9627F">
        <w:t>FMI</w:t>
      </w:r>
      <w:r w:rsidR="00ED3774">
        <w:t xml:space="preserve"> regulatory regime</w:t>
      </w:r>
      <w:r w:rsidR="00062B6E">
        <w:t xml:space="preserve">. </w:t>
      </w:r>
      <w:r w:rsidR="00AA471C">
        <w:t xml:space="preserve">These reforms </w:t>
      </w:r>
      <w:r w:rsidR="00FE4588">
        <w:t>provide the RBA with</w:t>
      </w:r>
      <w:r w:rsidR="00AA471C">
        <w:t xml:space="preserve"> </w:t>
      </w:r>
      <w:r w:rsidR="00EF2DFB">
        <w:t xml:space="preserve">powers to step in </w:t>
      </w:r>
      <w:r w:rsidR="00A53971">
        <w:t>and reso</w:t>
      </w:r>
      <w:r w:rsidR="00CF579D">
        <w:t xml:space="preserve">lve a crisis at a </w:t>
      </w:r>
      <w:r w:rsidR="005A224D">
        <w:t>licensed</w:t>
      </w:r>
      <w:r w:rsidR="00CF579D">
        <w:t xml:space="preserve"> </w:t>
      </w:r>
      <w:r w:rsidR="004B5A06">
        <w:t xml:space="preserve">CS </w:t>
      </w:r>
      <w:r w:rsidR="00CF579D">
        <w:t>facility</w:t>
      </w:r>
      <w:r w:rsidR="00573BF1">
        <w:t>.</w:t>
      </w:r>
      <w:r w:rsidR="00CF579D">
        <w:t xml:space="preserve"> </w:t>
      </w:r>
      <w:r w:rsidR="00573BF1">
        <w:t xml:space="preserve">They </w:t>
      </w:r>
      <w:proofErr w:type="gramStart"/>
      <w:r w:rsidR="00573BF1">
        <w:t xml:space="preserve">also </w:t>
      </w:r>
      <w:r w:rsidR="00341A96">
        <w:t xml:space="preserve"> strengthen</w:t>
      </w:r>
      <w:proofErr w:type="gramEnd"/>
      <w:r w:rsidR="00341A96">
        <w:t xml:space="preserve"> and streamline </w:t>
      </w:r>
      <w:r w:rsidR="008B7901">
        <w:t>ASIC and the RBA’</w:t>
      </w:r>
      <w:r w:rsidR="00180402">
        <w:t>s</w:t>
      </w:r>
      <w:r w:rsidR="00062B6E">
        <w:t xml:space="preserve"> </w:t>
      </w:r>
      <w:r w:rsidR="00F139B0">
        <w:t>licen</w:t>
      </w:r>
      <w:r w:rsidR="00180402">
        <w:t>s</w:t>
      </w:r>
      <w:r w:rsidR="00F139B0">
        <w:t>ing</w:t>
      </w:r>
      <w:r w:rsidR="00D52455">
        <w:t xml:space="preserve">, </w:t>
      </w:r>
      <w:r w:rsidR="00F139B0">
        <w:t xml:space="preserve">supervisory </w:t>
      </w:r>
      <w:r w:rsidR="00D52455">
        <w:t>and enforcement</w:t>
      </w:r>
      <w:r w:rsidR="00F139B0">
        <w:t xml:space="preserve"> powers</w:t>
      </w:r>
      <w:r w:rsidR="005B734F">
        <w:t xml:space="preserve"> for </w:t>
      </w:r>
      <w:r w:rsidR="003328B2">
        <w:t>FMI</w:t>
      </w:r>
      <w:r w:rsidR="00EF51FA">
        <w:t xml:space="preserve"> to reduce the likelihood of a crisis occurring</w:t>
      </w:r>
      <w:r w:rsidR="002008B8">
        <w:t xml:space="preserve"> and enhance supervisory oversight generally</w:t>
      </w:r>
      <w:r w:rsidR="00EF51FA">
        <w:t xml:space="preserve">. </w:t>
      </w:r>
      <w:r w:rsidR="00F139B0">
        <w:t xml:space="preserve"> </w:t>
      </w:r>
      <w:r w:rsidR="00062B6E">
        <w:t xml:space="preserve"> </w:t>
      </w:r>
      <w:r w:rsidR="00FA1EE4">
        <w:t xml:space="preserve"> </w:t>
      </w:r>
    </w:p>
    <w:p w14:paraId="1FFDE2EA" w14:textId="07CE48C0" w:rsidR="009A6A0C" w:rsidRDefault="00ED5258" w:rsidP="00125C2C">
      <w:pPr>
        <w:pStyle w:val="Normalparatextwithnumbers"/>
      </w:pPr>
      <w:r>
        <w:t xml:space="preserve">Schedule </w:t>
      </w:r>
      <w:r w:rsidR="00AF3E95">
        <w:t>1</w:t>
      </w:r>
      <w:r>
        <w:t xml:space="preserve"> </w:t>
      </w:r>
      <w:r w:rsidR="00F255CE">
        <w:t>to</w:t>
      </w:r>
      <w:r w:rsidR="000E7C19">
        <w:t xml:space="preserve"> the Bill </w:t>
      </w:r>
      <w:r>
        <w:t xml:space="preserve">establishes </w:t>
      </w:r>
      <w:r w:rsidR="00A37A1B">
        <w:t>the above</w:t>
      </w:r>
      <w:r w:rsidR="002D3566">
        <w:t>-</w:t>
      </w:r>
      <w:r w:rsidR="00A37A1B">
        <w:t>mentioned</w:t>
      </w:r>
      <w:r>
        <w:t xml:space="preserve"> crisis management regime for </w:t>
      </w:r>
      <w:r w:rsidR="00A37A1B">
        <w:t xml:space="preserve">domestic </w:t>
      </w:r>
      <w:r w:rsidR="0070280F">
        <w:t>CS</w:t>
      </w:r>
      <w:r>
        <w:t xml:space="preserve"> facilities. The</w:t>
      </w:r>
      <w:r w:rsidR="003F7EFF">
        <w:t xml:space="preserve"> amendments provide the RBA with powers</w:t>
      </w:r>
      <w:r w:rsidR="00BC48A1">
        <w:t xml:space="preserve"> to</w:t>
      </w:r>
      <w:r w:rsidR="009A6A0C">
        <w:t xml:space="preserve">: </w:t>
      </w:r>
    </w:p>
    <w:p w14:paraId="622786CD" w14:textId="1E1C5D1C" w:rsidR="009A6A0C" w:rsidRDefault="00BC48A1" w:rsidP="00F24E11">
      <w:pPr>
        <w:pStyle w:val="Dotpoint1"/>
      </w:pPr>
      <w:r>
        <w:t xml:space="preserve">resolve crisis situations in </w:t>
      </w:r>
      <w:r w:rsidR="0070280F">
        <w:t>CS</w:t>
      </w:r>
      <w:r>
        <w:t xml:space="preserve"> facilities</w:t>
      </w:r>
      <w:r w:rsidR="009A6A0C">
        <w:t xml:space="preserve">; </w:t>
      </w:r>
      <w:r>
        <w:t>and</w:t>
      </w:r>
    </w:p>
    <w:p w14:paraId="0D632E38" w14:textId="26F74430" w:rsidR="00873094" w:rsidRDefault="00E72224" w:rsidP="00F24E11">
      <w:pPr>
        <w:pStyle w:val="Dotpoint1"/>
      </w:pPr>
      <w:r>
        <w:t>reduce the risk of such crisis situations from occurring</w:t>
      </w:r>
      <w:r w:rsidR="00C54D99">
        <w:t xml:space="preserve">. </w:t>
      </w:r>
    </w:p>
    <w:p w14:paraId="693165FE" w14:textId="6D70657B" w:rsidR="002B0D95" w:rsidRPr="000E521B" w:rsidRDefault="002B0D95" w:rsidP="00125C2C">
      <w:pPr>
        <w:pStyle w:val="Normalparatextwithnumbers"/>
      </w:pPr>
      <w:r>
        <w:t xml:space="preserve">The amendments also establish </w:t>
      </w:r>
      <w:r w:rsidR="00CC5656">
        <w:t xml:space="preserve">a funding mechanism to assist in </w:t>
      </w:r>
      <w:r w:rsidR="00242A6E">
        <w:t xml:space="preserve">resolving crisis situations. </w:t>
      </w:r>
    </w:p>
    <w:p w14:paraId="61C66CDE" w14:textId="0FC99205" w:rsidR="00801CED" w:rsidRPr="000E521B" w:rsidRDefault="00801CED" w:rsidP="00125C2C">
      <w:pPr>
        <w:pStyle w:val="Normalparatextwithnumbers"/>
      </w:pPr>
      <w:r w:rsidRPr="00B110F1">
        <w:lastRenderedPageBreak/>
        <w:t xml:space="preserve">All legislative references </w:t>
      </w:r>
      <w:r w:rsidR="00E82FB8">
        <w:t>in this chapter</w:t>
      </w:r>
      <w:r w:rsidR="00E82FB8" w:rsidRPr="00B110F1">
        <w:t xml:space="preserve"> </w:t>
      </w:r>
      <w:r w:rsidRPr="00B110F1">
        <w:t xml:space="preserve">are to the Corporations Act unless otherwise </w:t>
      </w:r>
      <w:r w:rsidR="00E82FB8">
        <w:t xml:space="preserve">stated. </w:t>
      </w:r>
      <w:r w:rsidR="00E82FB8" w:rsidRPr="005219CB">
        <w:t xml:space="preserve">Further, all references to “domestic CS facility licensee” in this chapter are references to a body corporate registered under Chapter 2A who is granted an Australian CS facility licence unless the contrary intention </w:t>
      </w:r>
      <w:r w:rsidR="00127293">
        <w:t>is stated</w:t>
      </w:r>
      <w:r w:rsidR="00E82FB8" w:rsidRPr="005219CB">
        <w:t>.</w:t>
      </w:r>
      <w:r w:rsidR="00E82FB8">
        <w:t xml:space="preserve"> </w:t>
      </w:r>
    </w:p>
    <w:p w14:paraId="41439444" w14:textId="77777777" w:rsidR="00873094" w:rsidRPr="00020288" w:rsidRDefault="00873094" w:rsidP="005D0844">
      <w:pPr>
        <w:pStyle w:val="Heading2"/>
        <w:rPr>
          <w:rFonts w:hint="eastAsia"/>
        </w:rPr>
      </w:pPr>
      <w:bookmarkStart w:id="48" w:name="_Toc152860444"/>
      <w:r w:rsidRPr="00020288">
        <w:t xml:space="preserve">Context of </w:t>
      </w:r>
      <w:r w:rsidRPr="005D0844">
        <w:t>amendments</w:t>
      </w:r>
      <w:bookmarkEnd w:id="48"/>
    </w:p>
    <w:p w14:paraId="1DB9D897" w14:textId="041EF933" w:rsidR="00D4056D" w:rsidRPr="00D4056D" w:rsidRDefault="00D4056D" w:rsidP="00D4056D">
      <w:pPr>
        <w:pStyle w:val="Heading4"/>
      </w:pPr>
      <w:r>
        <w:t xml:space="preserve">Australia’s Financial Market Infrastructure </w:t>
      </w:r>
    </w:p>
    <w:p w14:paraId="02DD6F28" w14:textId="5710886F" w:rsidR="00AF6856" w:rsidRDefault="000340F9" w:rsidP="00013D25">
      <w:pPr>
        <w:pStyle w:val="Normalparatextwithnumbers"/>
      </w:pPr>
      <w:r>
        <w:t xml:space="preserve">The entities that make up </w:t>
      </w:r>
      <w:r w:rsidR="00CD4335">
        <w:t>Australia’s</w:t>
      </w:r>
      <w:r w:rsidR="00B72F2C">
        <w:t xml:space="preserve"> FMI</w:t>
      </w:r>
      <w:r w:rsidR="00CD4335">
        <w:t xml:space="preserve"> </w:t>
      </w:r>
      <w:r>
        <w:t>are</w:t>
      </w:r>
      <w:r w:rsidR="00CD4335">
        <w:t xml:space="preserve"> critical i</w:t>
      </w:r>
      <w:r>
        <w:t xml:space="preserve">n facilitating and supporting Australia’s </w:t>
      </w:r>
      <w:r w:rsidR="00FC7A8E">
        <w:t xml:space="preserve">capital markets. </w:t>
      </w:r>
      <w:r w:rsidR="00FC4DA3">
        <w:t xml:space="preserve">When these </w:t>
      </w:r>
      <w:r w:rsidR="001040CB">
        <w:t>entities</w:t>
      </w:r>
      <w:r w:rsidR="00A94EAE">
        <w:t xml:space="preserve"> work </w:t>
      </w:r>
      <w:r w:rsidR="00B9110C">
        <w:t>well,</w:t>
      </w:r>
      <w:r w:rsidR="00A94EAE">
        <w:t xml:space="preserve"> they </w:t>
      </w:r>
      <w:r w:rsidR="00B9110C">
        <w:t>contribute to the</w:t>
      </w:r>
      <w:r w:rsidR="00A94EAE">
        <w:t xml:space="preserve"> financial stability</w:t>
      </w:r>
      <w:r w:rsidR="00B9110C">
        <w:t xml:space="preserve">, </w:t>
      </w:r>
      <w:r w:rsidR="00A94EAE">
        <w:t>operation</w:t>
      </w:r>
      <w:r w:rsidR="001040CB">
        <w:t>al</w:t>
      </w:r>
      <w:r w:rsidR="00A94EAE">
        <w:t xml:space="preserve"> </w:t>
      </w:r>
      <w:r w:rsidR="00073591">
        <w:t>efficiency,</w:t>
      </w:r>
      <w:r w:rsidR="00A94EAE">
        <w:t xml:space="preserve"> </w:t>
      </w:r>
      <w:r w:rsidR="00B9110C">
        <w:t xml:space="preserve">and effective management of risk </w:t>
      </w:r>
      <w:r w:rsidR="00073591">
        <w:t xml:space="preserve">in </w:t>
      </w:r>
      <w:r w:rsidR="00316C03">
        <w:t>Australian</w:t>
      </w:r>
      <w:r w:rsidR="00073591">
        <w:t xml:space="preserve"> financial markets</w:t>
      </w:r>
      <w:r w:rsidR="001040CB">
        <w:t xml:space="preserve">. </w:t>
      </w:r>
    </w:p>
    <w:p w14:paraId="18A88867" w14:textId="6CEF5723" w:rsidR="00AF6856" w:rsidRDefault="006D6F23" w:rsidP="00013D25">
      <w:pPr>
        <w:pStyle w:val="Normalparatextwithnumbers"/>
      </w:pPr>
      <w:r>
        <w:t xml:space="preserve">FMI entities are supervised </w:t>
      </w:r>
      <w:r w:rsidR="000013D2">
        <w:t>either solely by ASIC</w:t>
      </w:r>
      <w:r w:rsidR="00787A14">
        <w:t>, or</w:t>
      </w:r>
      <w:r w:rsidR="005E15BC">
        <w:t>, in respect of CS facilities,</w:t>
      </w:r>
      <w:r w:rsidR="00787A14">
        <w:t xml:space="preserve"> both</w:t>
      </w:r>
      <w:r w:rsidR="000013D2">
        <w:t xml:space="preserve"> ASIC and the RBA</w:t>
      </w:r>
      <w:r w:rsidR="0004169E">
        <w:t xml:space="preserve">. </w:t>
      </w:r>
      <w:r w:rsidR="00A105EC">
        <w:t>The</w:t>
      </w:r>
      <w:r w:rsidR="00310D9D">
        <w:t>y</w:t>
      </w:r>
      <w:r w:rsidR="00A105EC">
        <w:t xml:space="preserve"> are typically large </w:t>
      </w:r>
      <w:r w:rsidR="00E0342C">
        <w:t>and</w:t>
      </w:r>
      <w:r w:rsidR="00EB3F8D">
        <w:t xml:space="preserve"> intertwined </w:t>
      </w:r>
      <w:r w:rsidR="00E0342C">
        <w:t>with the broader financial system</w:t>
      </w:r>
      <w:r w:rsidR="00EB3F8D">
        <w:t>.</w:t>
      </w:r>
      <w:r w:rsidR="00E0342C">
        <w:t xml:space="preserve"> </w:t>
      </w:r>
    </w:p>
    <w:p w14:paraId="589BD49C" w14:textId="4168DF10" w:rsidR="00873094" w:rsidRDefault="006F1E8F" w:rsidP="00013D25">
      <w:pPr>
        <w:pStyle w:val="Normalparatextwithnumbers"/>
      </w:pPr>
      <w:r>
        <w:t>These are</w:t>
      </w:r>
      <w:r w:rsidR="002008B8">
        <w:t>, by necessity,</w:t>
      </w:r>
      <w:r>
        <w:t xml:space="preserve"> highly regulated entities, as f</w:t>
      </w:r>
      <w:r w:rsidR="00854220">
        <w:t xml:space="preserve">ailure </w:t>
      </w:r>
      <w:r w:rsidR="00016FD7">
        <w:t>in</w:t>
      </w:r>
      <w:r w:rsidR="00854220">
        <w:t xml:space="preserve"> any of these entities </w:t>
      </w:r>
      <w:r w:rsidR="00FF3B44">
        <w:t>coul</w:t>
      </w:r>
      <w:r w:rsidR="00854220">
        <w:t xml:space="preserve">d have severe consequences for the operation of markets, and in turn </w:t>
      </w:r>
      <w:r w:rsidR="000245D5">
        <w:t xml:space="preserve">damage the Australian economy. </w:t>
      </w:r>
    </w:p>
    <w:p w14:paraId="7B489977" w14:textId="119BFD9D" w:rsidR="003D692A" w:rsidRDefault="009612CD" w:rsidP="00013D25">
      <w:pPr>
        <w:pStyle w:val="Normalparatextwithnumbers"/>
      </w:pPr>
      <w:r>
        <w:t>This</w:t>
      </w:r>
      <w:r w:rsidR="003D692A">
        <w:t xml:space="preserve"> Bil</w:t>
      </w:r>
      <w:r w:rsidR="00337638">
        <w:t xml:space="preserve">l </w:t>
      </w:r>
      <w:r w:rsidR="00FD58B8">
        <w:t>introduces</w:t>
      </w:r>
      <w:r w:rsidR="00337638">
        <w:t xml:space="preserve"> a </w:t>
      </w:r>
      <w:r w:rsidR="00BB12A0">
        <w:t>crisis management r</w:t>
      </w:r>
      <w:r w:rsidR="009F3517">
        <w:t>egime</w:t>
      </w:r>
      <w:r w:rsidR="001E0DD8">
        <w:t>, granting powers to the RBA to provide for the</w:t>
      </w:r>
      <w:r w:rsidR="009F3517">
        <w:t xml:space="preserve"> manag</w:t>
      </w:r>
      <w:r w:rsidR="001E0DD8">
        <w:t>ement</w:t>
      </w:r>
      <w:r w:rsidR="009F3517">
        <w:t xml:space="preserve"> </w:t>
      </w:r>
      <w:r w:rsidR="38775EB3">
        <w:t xml:space="preserve">of </w:t>
      </w:r>
      <w:r w:rsidR="00AF6CFA">
        <w:t>a CS facility</w:t>
      </w:r>
      <w:r w:rsidR="001B21F4">
        <w:t xml:space="preserve"> </w:t>
      </w:r>
      <w:r w:rsidR="006233AA">
        <w:t xml:space="preserve">that </w:t>
      </w:r>
      <w:r w:rsidR="00B37CDB">
        <w:t>ha</w:t>
      </w:r>
      <w:r w:rsidR="00310D9D">
        <w:t>s</w:t>
      </w:r>
      <w:r w:rsidR="00B37CDB">
        <w:t xml:space="preserve"> failed</w:t>
      </w:r>
      <w:r w:rsidR="008C1AE4">
        <w:t xml:space="preserve"> or is</w:t>
      </w:r>
      <w:r w:rsidR="006233AA">
        <w:t xml:space="preserve"> at risk of failing. </w:t>
      </w:r>
      <w:r w:rsidR="00041806">
        <w:t>New</w:t>
      </w:r>
      <w:r w:rsidR="008B3CA4">
        <w:t xml:space="preserve"> and enhanced </w:t>
      </w:r>
      <w:r w:rsidR="00041806">
        <w:t xml:space="preserve">regulatory </w:t>
      </w:r>
      <w:r w:rsidR="008B3CA4">
        <w:t xml:space="preserve">powers </w:t>
      </w:r>
      <w:r w:rsidR="00041806">
        <w:t xml:space="preserve">are also provided </w:t>
      </w:r>
      <w:r w:rsidR="008B3CA4">
        <w:t xml:space="preserve">to </w:t>
      </w:r>
      <w:r w:rsidR="00041806">
        <w:t>the RBA and ASIC</w:t>
      </w:r>
      <w:r>
        <w:t xml:space="preserve"> </w:t>
      </w:r>
      <w:r w:rsidR="006233AA">
        <w:t>to</w:t>
      </w:r>
      <w:r w:rsidR="00C509F6">
        <w:t xml:space="preserve"> assist in</w:t>
      </w:r>
      <w:r w:rsidR="009F3517">
        <w:t xml:space="preserve"> </w:t>
      </w:r>
      <w:r w:rsidR="00337638">
        <w:t>mitigat</w:t>
      </w:r>
      <w:r w:rsidR="001E0DD8">
        <w:t>ing</w:t>
      </w:r>
      <w:r w:rsidR="00337638">
        <w:t xml:space="preserve"> and manag</w:t>
      </w:r>
      <w:r w:rsidR="001E0DD8">
        <w:t>ing</w:t>
      </w:r>
      <w:r w:rsidR="00337638">
        <w:t xml:space="preserve"> </w:t>
      </w:r>
      <w:r w:rsidR="007E272C">
        <w:t xml:space="preserve">the risks FMI </w:t>
      </w:r>
      <w:r w:rsidR="00105E49">
        <w:t>entities</w:t>
      </w:r>
      <w:r w:rsidR="007E272C">
        <w:t xml:space="preserve"> face and pose to the broader financial system</w:t>
      </w:r>
      <w:r w:rsidR="00041806">
        <w:t xml:space="preserve">. The amendments also </w:t>
      </w:r>
      <w:r w:rsidR="00956295">
        <w:t xml:space="preserve">transfer certain </w:t>
      </w:r>
      <w:r w:rsidR="003860B6">
        <w:t>m</w:t>
      </w:r>
      <w:r w:rsidR="00956295">
        <w:t xml:space="preserve">inisterial powers to regulators to streamline existing financial market </w:t>
      </w:r>
      <w:proofErr w:type="gramStart"/>
      <w:r w:rsidR="00FD58B8">
        <w:t>regulation</w:t>
      </w:r>
      <w:r w:rsidR="00997A26">
        <w:t>, and</w:t>
      </w:r>
      <w:proofErr w:type="gramEnd"/>
      <w:r w:rsidR="00997A26">
        <w:t xml:space="preserve"> reflect their respective responsibilities</w:t>
      </w:r>
      <w:r w:rsidR="00FD58B8">
        <w:t xml:space="preserve">. </w:t>
      </w:r>
    </w:p>
    <w:p w14:paraId="441E5CC0" w14:textId="7195B63C" w:rsidR="00FF3B44" w:rsidRDefault="00737B2D" w:rsidP="003D692A">
      <w:pPr>
        <w:pStyle w:val="Heading5"/>
      </w:pPr>
      <w:r>
        <w:t>Regulation of f</w:t>
      </w:r>
      <w:r w:rsidR="003D692A">
        <w:t xml:space="preserve">inancial </w:t>
      </w:r>
      <w:r w:rsidR="00893DB6">
        <w:t>m</w:t>
      </w:r>
      <w:r w:rsidR="003D692A">
        <w:t xml:space="preserve">arket </w:t>
      </w:r>
      <w:r w:rsidR="00893DB6">
        <w:t>i</w:t>
      </w:r>
      <w:r w:rsidR="003D692A">
        <w:t>nfrastructure</w:t>
      </w:r>
    </w:p>
    <w:p w14:paraId="48262729" w14:textId="285D1893" w:rsidR="005F79E9" w:rsidRDefault="00984665" w:rsidP="00013D25">
      <w:pPr>
        <w:pStyle w:val="Normalparatextwithnumbers"/>
      </w:pPr>
      <w:r>
        <w:t>Australia’s</w:t>
      </w:r>
      <w:r w:rsidR="00B310EB">
        <w:t xml:space="preserve"> </w:t>
      </w:r>
      <w:r w:rsidR="00B9627F">
        <w:t>FMI</w:t>
      </w:r>
      <w:r w:rsidR="009612CD">
        <w:t xml:space="preserve"> </w:t>
      </w:r>
      <w:r w:rsidR="00747EA8">
        <w:t>is comprised of</w:t>
      </w:r>
      <w:r w:rsidR="005F79E9">
        <w:t xml:space="preserve">: </w:t>
      </w:r>
    </w:p>
    <w:p w14:paraId="486E2AB8" w14:textId="4C05F025" w:rsidR="000C0058" w:rsidRDefault="00A750A1" w:rsidP="005F79E9">
      <w:pPr>
        <w:pStyle w:val="Dotpoint1"/>
      </w:pPr>
      <w:r>
        <w:t>financial markets</w:t>
      </w:r>
      <w:r w:rsidR="000C0058">
        <w:t xml:space="preserve"> (operated by financial market operators</w:t>
      </w:r>
      <w:proofErr w:type="gramStart"/>
      <w:r w:rsidR="000C0058">
        <w:t>)</w:t>
      </w:r>
      <w:r w:rsidR="00EB42C9">
        <w:t>;</w:t>
      </w:r>
      <w:proofErr w:type="gramEnd"/>
    </w:p>
    <w:p w14:paraId="45E2F2F5" w14:textId="6B30878D" w:rsidR="000C0058" w:rsidRDefault="00747EA8" w:rsidP="005F79E9">
      <w:pPr>
        <w:pStyle w:val="Dotpoint1"/>
      </w:pPr>
      <w:r>
        <w:t>c</w:t>
      </w:r>
      <w:r w:rsidR="00FD0772">
        <w:t xml:space="preserve">learing and settlement </w:t>
      </w:r>
      <w:proofErr w:type="gramStart"/>
      <w:r w:rsidR="00A750A1">
        <w:t>facilities</w:t>
      </w:r>
      <w:r w:rsidR="00EB42C9">
        <w:t>;</w:t>
      </w:r>
      <w:proofErr w:type="gramEnd"/>
    </w:p>
    <w:p w14:paraId="393BC2DE" w14:textId="77777777" w:rsidR="000C0058" w:rsidRDefault="00A750A1" w:rsidP="005F79E9">
      <w:pPr>
        <w:pStyle w:val="Dotpoint1"/>
      </w:pPr>
      <w:r>
        <w:t>derivative trade repositories</w:t>
      </w:r>
      <w:r w:rsidR="000C0058">
        <w:t xml:space="preserve">; </w:t>
      </w:r>
      <w:r>
        <w:t xml:space="preserve">and </w:t>
      </w:r>
    </w:p>
    <w:p w14:paraId="46EA402A" w14:textId="77777777" w:rsidR="000C0058" w:rsidRDefault="00A750A1" w:rsidP="005F79E9">
      <w:pPr>
        <w:pStyle w:val="Dotpoint1"/>
      </w:pPr>
      <w:r>
        <w:t xml:space="preserve">benchmark administrators. </w:t>
      </w:r>
    </w:p>
    <w:p w14:paraId="4ABB9D61" w14:textId="4B8F0D24" w:rsidR="001856BE" w:rsidRDefault="007531B7" w:rsidP="00125C2C">
      <w:pPr>
        <w:pStyle w:val="Normalparatextwithnumbers"/>
      </w:pPr>
      <w:r>
        <w:t xml:space="preserve">These </w:t>
      </w:r>
      <w:r w:rsidR="00547F9F">
        <w:t>entities</w:t>
      </w:r>
      <w:r>
        <w:t xml:space="preserve"> </w:t>
      </w:r>
      <w:r w:rsidR="00C30345">
        <w:t>support approximately $</w:t>
      </w:r>
      <w:r w:rsidR="00B03742" w:rsidRPr="00D10880">
        <w:t>16.5</w:t>
      </w:r>
      <w:r w:rsidR="00C30345" w:rsidRPr="00D10880">
        <w:t xml:space="preserve"> trillion</w:t>
      </w:r>
      <w:r w:rsidR="00C30345">
        <w:t xml:space="preserve"> in </w:t>
      </w:r>
      <w:r w:rsidR="00547F9F">
        <w:t>securities</w:t>
      </w:r>
      <w:r w:rsidR="00C30345">
        <w:t xml:space="preserve"> transactions and </w:t>
      </w:r>
      <w:r w:rsidR="00C30345" w:rsidRPr="00D10880">
        <w:t>$</w:t>
      </w:r>
      <w:r w:rsidR="00B03742" w:rsidRPr="00D10880">
        <w:t>160</w:t>
      </w:r>
      <w:r w:rsidR="00C30345" w:rsidRPr="00D10880">
        <w:t xml:space="preserve"> trillion</w:t>
      </w:r>
      <w:r w:rsidR="00C30345">
        <w:t xml:space="preserve"> </w:t>
      </w:r>
      <w:proofErr w:type="gramStart"/>
      <w:r w:rsidR="00C30345">
        <w:t>in  derivatives</w:t>
      </w:r>
      <w:proofErr w:type="gramEnd"/>
      <w:r w:rsidR="00C30345">
        <w:t xml:space="preserve"> transactions each year. </w:t>
      </w:r>
    </w:p>
    <w:p w14:paraId="5022F465" w14:textId="019C6839" w:rsidR="001856BE" w:rsidRDefault="00601159" w:rsidP="00013D25">
      <w:pPr>
        <w:pStyle w:val="Normalparatextwithnumbers"/>
      </w:pPr>
      <w:r>
        <w:t xml:space="preserve">The systemic importance of these entities calls for a high degree of regulation and supervision. </w:t>
      </w:r>
      <w:r w:rsidR="00350C5A">
        <w:t xml:space="preserve">Each of the entities mentioned above has a specific regulatory regime contained in Chapter 7 of the </w:t>
      </w:r>
      <w:r w:rsidR="000E7C19">
        <w:t>Act</w:t>
      </w:r>
      <w:r w:rsidR="00350C5A">
        <w:t xml:space="preserve">. </w:t>
      </w:r>
      <w:r w:rsidR="00AA2DE8">
        <w:t xml:space="preserve"> </w:t>
      </w:r>
    </w:p>
    <w:p w14:paraId="6A422ECC" w14:textId="79F28478" w:rsidR="00742E4D" w:rsidRPr="00742E4D" w:rsidRDefault="00742E4D" w:rsidP="00742E4D">
      <w:pPr>
        <w:pStyle w:val="Heading6"/>
        <w:rPr>
          <w:rFonts w:hint="eastAsia"/>
        </w:rPr>
      </w:pPr>
      <w:r>
        <w:lastRenderedPageBreak/>
        <w:t xml:space="preserve">Financial Market Operators </w:t>
      </w:r>
    </w:p>
    <w:p w14:paraId="7ED2C147" w14:textId="53698A6B" w:rsidR="00A47D93" w:rsidRDefault="0031397C" w:rsidP="00013D25">
      <w:pPr>
        <w:pStyle w:val="Normalparatextwithnumbers"/>
      </w:pPr>
      <w:r>
        <w:t>Financial market</w:t>
      </w:r>
      <w:r w:rsidR="007C0A9E">
        <w:t xml:space="preserve"> operators</w:t>
      </w:r>
      <w:r w:rsidR="00AE1964">
        <w:t xml:space="preserve"> </w:t>
      </w:r>
      <w:r>
        <w:t>provide the listing and trading services that allow financial products to be issued and traded</w:t>
      </w:r>
      <w:r w:rsidR="005A4717">
        <w:t xml:space="preserve"> on a financial market</w:t>
      </w:r>
      <w:r>
        <w:t xml:space="preserve">. They also facilitate </w:t>
      </w:r>
      <w:r w:rsidR="003E7198">
        <w:t xml:space="preserve">transparent and competitive pricing of listed securities and derivatives and ensure fair and orderly trading. </w:t>
      </w:r>
    </w:p>
    <w:p w14:paraId="3C3F2D0B" w14:textId="24F739EF" w:rsidR="00A47D93" w:rsidRDefault="00A47D93" w:rsidP="00013D25">
      <w:pPr>
        <w:pStyle w:val="Normalparatextwithnumbers"/>
      </w:pPr>
      <w:r>
        <w:t xml:space="preserve">A financial market is defined in the </w:t>
      </w:r>
      <w:r w:rsidR="000E7C19">
        <w:t>Act</w:t>
      </w:r>
      <w:r>
        <w:t xml:space="preserve"> to be a facility through which offers to acquire or dispose of financial products are regularly made or accepted, or where </w:t>
      </w:r>
      <w:r w:rsidR="006145C5">
        <w:t>offers or invitations are regularly</w:t>
      </w:r>
      <w:r w:rsidR="005A4717">
        <w:t xml:space="preserve"> </w:t>
      </w:r>
      <w:r w:rsidR="006145C5">
        <w:t>made to acquire or dispose of financial products that are intended to result in the making of offers to acquire or dispose of financial pro</w:t>
      </w:r>
      <w:r w:rsidR="005A4717">
        <w:t>ducts</w:t>
      </w:r>
      <w:r w:rsidR="00B06D42">
        <w:t xml:space="preserve"> (see section </w:t>
      </w:r>
      <w:r w:rsidR="00C976F6">
        <w:t xml:space="preserve">767A of the </w:t>
      </w:r>
      <w:r w:rsidR="000E7C19">
        <w:t>Act</w:t>
      </w:r>
      <w:r w:rsidR="00C976F6">
        <w:t xml:space="preserve">). </w:t>
      </w:r>
      <w:r w:rsidR="005A4717">
        <w:t xml:space="preserve"> </w:t>
      </w:r>
    </w:p>
    <w:p w14:paraId="06DB55E5" w14:textId="136001C9" w:rsidR="001264B0" w:rsidRDefault="00F20738" w:rsidP="00013D25">
      <w:pPr>
        <w:pStyle w:val="Normalparatextwithnumbers"/>
      </w:pPr>
      <w:r>
        <w:t>M</w:t>
      </w:r>
      <w:r w:rsidR="003C4460">
        <w:t xml:space="preserve">arket </w:t>
      </w:r>
      <w:r>
        <w:t>licensee</w:t>
      </w:r>
      <w:r w:rsidR="003C4460">
        <w:t xml:space="preserve">s </w:t>
      </w:r>
      <w:r w:rsidR="00E637F8">
        <w:t>include</w:t>
      </w:r>
      <w:r w:rsidR="003C4460">
        <w:t xml:space="preserve"> ASX</w:t>
      </w:r>
      <w:r w:rsidR="003609F7">
        <w:t xml:space="preserve"> Limited</w:t>
      </w:r>
      <w:r w:rsidR="002F3521">
        <w:t>,</w:t>
      </w:r>
      <w:r w:rsidR="005504BE">
        <w:t xml:space="preserve"> </w:t>
      </w:r>
      <w:proofErr w:type="spellStart"/>
      <w:r w:rsidR="005504BE">
        <w:t>Cboe</w:t>
      </w:r>
      <w:proofErr w:type="spellEnd"/>
      <w:r w:rsidR="005504BE">
        <w:t xml:space="preserve"> Australia Pty Ltd</w:t>
      </w:r>
      <w:r w:rsidR="002F3521">
        <w:t>, National Stock Exchange of Australia Limited and Sydney Stock Exchange Limited</w:t>
      </w:r>
      <w:r w:rsidR="00D2694F">
        <w:t xml:space="preserve">. There are around </w:t>
      </w:r>
      <w:r>
        <w:t>51</w:t>
      </w:r>
      <w:r w:rsidR="00D2694F">
        <w:t xml:space="preserve"> licensed market </w:t>
      </w:r>
      <w:r w:rsidR="00804383">
        <w:t>licensees</w:t>
      </w:r>
      <w:r w:rsidR="00D2694F">
        <w:t xml:space="preserve"> in Australia of which </w:t>
      </w:r>
      <w:r w:rsidR="00804383">
        <w:t>37</w:t>
      </w:r>
      <w:r w:rsidR="00AE1964">
        <w:t xml:space="preserve"> are </w:t>
      </w:r>
      <w:r w:rsidR="00804383">
        <w:t>foreign bodies corporate</w:t>
      </w:r>
      <w:r w:rsidR="00AE1964">
        <w:t xml:space="preserve">. </w:t>
      </w:r>
    </w:p>
    <w:p w14:paraId="7B0A6560" w14:textId="25CB8795" w:rsidR="00AF575B" w:rsidRDefault="00AF575B" w:rsidP="00013D25">
      <w:pPr>
        <w:pStyle w:val="Normalparatextwithnumbers"/>
      </w:pPr>
      <w:r>
        <w:t xml:space="preserve">Financial market operators are </w:t>
      </w:r>
      <w:r w:rsidR="004D4967">
        <w:t xml:space="preserve">regulated </w:t>
      </w:r>
      <w:r w:rsidR="00E24539">
        <w:t xml:space="preserve">under </w:t>
      </w:r>
      <w:r w:rsidR="004D4967">
        <w:t xml:space="preserve">Part 7.2 of the </w:t>
      </w:r>
      <w:r w:rsidR="000E7C19">
        <w:t>Act</w:t>
      </w:r>
      <w:r w:rsidR="004D4967">
        <w:t xml:space="preserve">. </w:t>
      </w:r>
      <w:r w:rsidR="00DF6175">
        <w:t xml:space="preserve">A person that operates a financial market in this jurisdiction must </w:t>
      </w:r>
      <w:r w:rsidR="004D4967">
        <w:t xml:space="preserve">hold an Australian market </w:t>
      </w:r>
      <w:r w:rsidR="00506CBD">
        <w:t>licence</w:t>
      </w:r>
      <w:r w:rsidR="00DF6175">
        <w:t xml:space="preserve"> </w:t>
      </w:r>
      <w:r w:rsidR="000D114D">
        <w:t>as an Australian market licensee</w:t>
      </w:r>
      <w:r w:rsidR="004D4967">
        <w:t xml:space="preserve"> </w:t>
      </w:r>
      <w:r w:rsidR="008D6E35">
        <w:t>unless the financial market is exempt from the operation of Part 7.2</w:t>
      </w:r>
      <w:r w:rsidR="004D4967">
        <w:t xml:space="preserve">. </w:t>
      </w:r>
      <w:r w:rsidR="009602F6">
        <w:t xml:space="preserve">The Minister </w:t>
      </w:r>
      <w:r w:rsidR="000F4705">
        <w:t>has the power to</w:t>
      </w:r>
      <w:r w:rsidR="003E1018">
        <w:t>, among other things,</w:t>
      </w:r>
      <w:r w:rsidR="000F4705">
        <w:t xml:space="preserve"> grant an</w:t>
      </w:r>
      <w:r w:rsidR="009602F6">
        <w:t xml:space="preserve"> </w:t>
      </w:r>
      <w:r w:rsidR="000F4705">
        <w:t xml:space="preserve">Australian market licence </w:t>
      </w:r>
      <w:r w:rsidR="001C46BD">
        <w:t xml:space="preserve">and </w:t>
      </w:r>
      <w:r w:rsidR="00BA6700">
        <w:t xml:space="preserve">give </w:t>
      </w:r>
      <w:r w:rsidR="000F4705">
        <w:t xml:space="preserve">directions </w:t>
      </w:r>
      <w:r w:rsidR="00BA6700">
        <w:t xml:space="preserve">to promote </w:t>
      </w:r>
      <w:r w:rsidR="00880C2C">
        <w:t xml:space="preserve">compliance with </w:t>
      </w:r>
      <w:r w:rsidR="00932132">
        <w:t>a licensee’s obligations under Chapter 7 (including the obligation to comply with licence conditions)</w:t>
      </w:r>
      <w:r w:rsidR="008008B9">
        <w:t>. These powers are current</w:t>
      </w:r>
      <w:r w:rsidR="00912952">
        <w:t>ly</w:t>
      </w:r>
      <w:r w:rsidR="008008B9">
        <w:t xml:space="preserve"> delegated to ASIC</w:t>
      </w:r>
      <w:r w:rsidR="008A7B81">
        <w:t xml:space="preserve"> (see the </w:t>
      </w:r>
      <w:r w:rsidR="008A7B81" w:rsidRPr="00912952">
        <w:rPr>
          <w:i/>
        </w:rPr>
        <w:t>Ministerial Powers (ASIC) Delegations 2021</w:t>
      </w:r>
      <w:r w:rsidR="008A7B81">
        <w:t xml:space="preserve">). </w:t>
      </w:r>
    </w:p>
    <w:p w14:paraId="32F8DAA9" w14:textId="096A1592" w:rsidR="008008B9" w:rsidRDefault="009A0A3E" w:rsidP="00013D25">
      <w:pPr>
        <w:pStyle w:val="Normalparatextwithnumbers"/>
      </w:pPr>
      <w:r>
        <w:t xml:space="preserve">ASIC </w:t>
      </w:r>
      <w:r w:rsidR="00122957">
        <w:t>supervises licensed financial marke</w:t>
      </w:r>
      <w:r w:rsidR="00851DC2">
        <w:t xml:space="preserve">ts, </w:t>
      </w:r>
      <w:r w:rsidR="00341708">
        <w:t xml:space="preserve">issues market integrity rules, </w:t>
      </w:r>
      <w:r w:rsidR="00851DC2">
        <w:t>and monitors Australian market licensees</w:t>
      </w:r>
      <w:r w:rsidR="00341708">
        <w:t xml:space="preserve">’ </w:t>
      </w:r>
      <w:r w:rsidR="00100A55">
        <w:t>and participants</w:t>
      </w:r>
      <w:r w:rsidR="00CB0481">
        <w:t>’</w:t>
      </w:r>
      <w:r w:rsidR="00100A55">
        <w:t xml:space="preserve"> </w:t>
      </w:r>
      <w:r w:rsidR="00341708">
        <w:t xml:space="preserve">compliance with </w:t>
      </w:r>
      <w:r w:rsidR="00100A55">
        <w:t xml:space="preserve">those rules. ASIC also monitors the compliance of Australian market licensees </w:t>
      </w:r>
      <w:r w:rsidR="005E7051">
        <w:t xml:space="preserve">with </w:t>
      </w:r>
      <w:r w:rsidR="00E50F7B">
        <w:t>the conditions of their licen</w:t>
      </w:r>
      <w:r w:rsidR="00AB6379">
        <w:t>c</w:t>
      </w:r>
      <w:r w:rsidR="00E50F7B">
        <w:t>e</w:t>
      </w:r>
      <w:r w:rsidR="002C261D">
        <w:t xml:space="preserve"> and obligations set out I the Corporations Act</w:t>
      </w:r>
      <w:r w:rsidR="00E50F7B">
        <w:t xml:space="preserve">. </w:t>
      </w:r>
      <w:r w:rsidR="009C27AE">
        <w:t xml:space="preserve">Market </w:t>
      </w:r>
      <w:r w:rsidR="00F6629F">
        <w:t>integrity</w:t>
      </w:r>
      <w:r w:rsidR="009C27AE">
        <w:t xml:space="preserve"> rules made by ASIC can deal with </w:t>
      </w:r>
      <w:r w:rsidR="00C54572">
        <w:t>the activities and conduct of licensed markets</w:t>
      </w:r>
      <w:r w:rsidR="00F6629F">
        <w:t xml:space="preserve"> and of </w:t>
      </w:r>
      <w:r w:rsidR="00C54572">
        <w:t>persons in relation to licensed markets</w:t>
      </w:r>
      <w:r w:rsidR="00F6629F">
        <w:t xml:space="preserve"> </w:t>
      </w:r>
      <w:r w:rsidR="00116D0E">
        <w:t xml:space="preserve">and </w:t>
      </w:r>
      <w:r w:rsidR="00F6629F">
        <w:t xml:space="preserve">financial products traded on licensed markets (see </w:t>
      </w:r>
      <w:r w:rsidR="0057078C">
        <w:t xml:space="preserve">paragraphs </w:t>
      </w:r>
      <w:r w:rsidR="00F6629F">
        <w:t>798G</w:t>
      </w:r>
      <w:r w:rsidR="0057078C">
        <w:t>(1)(a)-(c)</w:t>
      </w:r>
      <w:r w:rsidR="00F6629F">
        <w:t xml:space="preserve"> of the </w:t>
      </w:r>
      <w:r w:rsidR="000E7C19">
        <w:t>Act</w:t>
      </w:r>
      <w:r w:rsidR="00F6629F">
        <w:t xml:space="preserve">). </w:t>
      </w:r>
    </w:p>
    <w:p w14:paraId="4F483389" w14:textId="721C2450" w:rsidR="00742E4D" w:rsidRDefault="0070280F" w:rsidP="00742E4D">
      <w:pPr>
        <w:pStyle w:val="Heading6"/>
        <w:rPr>
          <w:rFonts w:hint="eastAsia"/>
        </w:rPr>
      </w:pPr>
      <w:r>
        <w:t>CS</w:t>
      </w:r>
      <w:r w:rsidR="00742E4D">
        <w:t xml:space="preserve"> fac</w:t>
      </w:r>
      <w:r w:rsidR="001849EA">
        <w:t xml:space="preserve">ilities </w:t>
      </w:r>
    </w:p>
    <w:p w14:paraId="1C597578" w14:textId="6065449F" w:rsidR="00DC03D9" w:rsidRDefault="0070280F" w:rsidP="00090D02">
      <w:pPr>
        <w:pStyle w:val="Normalparatextwithnumbers"/>
      </w:pPr>
      <w:r>
        <w:t>CS</w:t>
      </w:r>
      <w:r w:rsidR="007C0A9E">
        <w:t xml:space="preserve"> facilities provide post</w:t>
      </w:r>
      <w:r w:rsidR="15F331F4">
        <w:t>-</w:t>
      </w:r>
      <w:r w:rsidR="007C0A9E">
        <w:t xml:space="preserve">trade </w:t>
      </w:r>
      <w:r>
        <w:t>clearing and settlement</w:t>
      </w:r>
      <w:r w:rsidR="007C0A9E">
        <w:t xml:space="preserve"> of transactions. </w:t>
      </w:r>
      <w:r w:rsidR="003155DE">
        <w:t xml:space="preserve">These facilities are </w:t>
      </w:r>
      <w:r w:rsidR="00FD537B">
        <w:t>integral</w:t>
      </w:r>
      <w:r w:rsidR="003155DE">
        <w:t xml:space="preserve"> to the functioning of financial markets. </w:t>
      </w:r>
    </w:p>
    <w:p w14:paraId="2ADE5460" w14:textId="5371EC02" w:rsidR="00B06D42" w:rsidRDefault="0070280F" w:rsidP="00090D02">
      <w:pPr>
        <w:pStyle w:val="Normalparatextwithnumbers"/>
      </w:pPr>
      <w:r>
        <w:t>CS</w:t>
      </w:r>
      <w:r w:rsidR="00B06D42">
        <w:t xml:space="preserve"> facilities are defined in the </w:t>
      </w:r>
      <w:r w:rsidR="000E7C19">
        <w:t>Act</w:t>
      </w:r>
      <w:r w:rsidR="00B06D42">
        <w:t xml:space="preserve"> as a facility that provides a </w:t>
      </w:r>
      <w:r w:rsidR="00D846AD">
        <w:t>regular</w:t>
      </w:r>
      <w:r w:rsidR="00B06D42">
        <w:t xml:space="preserve"> mechanism </w:t>
      </w:r>
      <w:r w:rsidR="00DB7561">
        <w:t xml:space="preserve">for parties </w:t>
      </w:r>
      <w:r w:rsidR="009117E1">
        <w:t>to transactions relating to financial products to meet obligations to each other that arise from entering transactions on financial markets or are of a kind prescribed in regulations</w:t>
      </w:r>
      <w:r w:rsidR="008679AC">
        <w:t xml:space="preserve"> (see section </w:t>
      </w:r>
      <w:r w:rsidR="00B15714">
        <w:t>768</w:t>
      </w:r>
      <w:proofErr w:type="gramStart"/>
      <w:r w:rsidR="00B15714">
        <w:t>A</w:t>
      </w:r>
      <w:r w:rsidR="002E6DBC">
        <w:t>(</w:t>
      </w:r>
      <w:proofErr w:type="gramEnd"/>
      <w:r w:rsidR="002E6DBC">
        <w:t>1)</w:t>
      </w:r>
      <w:r w:rsidR="00B15714">
        <w:t xml:space="preserve"> of the Act)</w:t>
      </w:r>
      <w:r w:rsidR="00D70B5F">
        <w:t xml:space="preserve">. </w:t>
      </w:r>
    </w:p>
    <w:p w14:paraId="7D36DFE6" w14:textId="15C2A0C8" w:rsidR="00AE1964" w:rsidRDefault="008E4BDF" w:rsidP="00090D02">
      <w:pPr>
        <w:pStyle w:val="Normalparatextwithnumbers"/>
      </w:pPr>
      <w:r>
        <w:t>Clearing is a post</w:t>
      </w:r>
      <w:r w:rsidR="7DD9896A">
        <w:t>-</w:t>
      </w:r>
      <w:r>
        <w:t xml:space="preserve">trade and pre-settlement risk management process which often involves novating </w:t>
      </w:r>
      <w:r w:rsidR="00A90371">
        <w:t>(</w:t>
      </w:r>
      <w:proofErr w:type="spellStart"/>
      <w:r w:rsidR="00A90371">
        <w:t>i.e</w:t>
      </w:r>
      <w:proofErr w:type="spellEnd"/>
      <w:r w:rsidR="00A90371">
        <w:t xml:space="preserve"> sub</w:t>
      </w:r>
      <w:r w:rsidR="0087734C">
        <w:t>stituting attached legal obligations of)</w:t>
      </w:r>
      <w:r>
        <w:t xml:space="preserve"> trades to an entity known as a central counterparty which acts as the buyer to every seller and the seller to every buyer. </w:t>
      </w:r>
      <w:r w:rsidR="00A546B9">
        <w:t xml:space="preserve">Clearing </w:t>
      </w:r>
      <w:r w:rsidR="008D119D">
        <w:t>provides</w:t>
      </w:r>
      <w:r w:rsidR="00A546B9">
        <w:t xml:space="preserve"> transaction efficiency </w:t>
      </w:r>
      <w:r w:rsidR="00A546B9">
        <w:lastRenderedPageBreak/>
        <w:t xml:space="preserve">and </w:t>
      </w:r>
      <w:r w:rsidR="002336E4">
        <w:t>allows</w:t>
      </w:r>
      <w:r w:rsidR="00A546B9">
        <w:t xml:space="preserve"> counterparty risk </w:t>
      </w:r>
      <w:r w:rsidR="002336E4">
        <w:t xml:space="preserve">to be managed centrally, </w:t>
      </w:r>
      <w:r w:rsidR="00F83DE5">
        <w:t>allowing investors to act confidently when trading on markets</w:t>
      </w:r>
      <w:r w:rsidR="00A546B9">
        <w:t xml:space="preserve">. Settlement </w:t>
      </w:r>
      <w:r w:rsidR="00187B0B">
        <w:t>involves the delivery of securities or cash from one party to another</w:t>
      </w:r>
      <w:r w:rsidR="008D119D">
        <w:t xml:space="preserve"> in accordance with the terms of the specific trade. </w:t>
      </w:r>
    </w:p>
    <w:p w14:paraId="0BAA0CC9" w14:textId="0F8AA734" w:rsidR="002F46B1" w:rsidRDefault="00F52A82" w:rsidP="00090D02">
      <w:pPr>
        <w:pStyle w:val="Normalparatextwithnumbers"/>
      </w:pPr>
      <w:r>
        <w:t>An o</w:t>
      </w:r>
      <w:r w:rsidR="00F3282C">
        <w:t>perator</w:t>
      </w:r>
      <w:r>
        <w:t xml:space="preserve"> </w:t>
      </w:r>
      <w:r w:rsidR="00F3282C">
        <w:t>of</w:t>
      </w:r>
      <w:r>
        <w:t xml:space="preserve"> a</w:t>
      </w:r>
      <w:r w:rsidR="00F3282C">
        <w:t xml:space="preserve"> </w:t>
      </w:r>
      <w:r>
        <w:t xml:space="preserve">CS </w:t>
      </w:r>
      <w:r w:rsidR="00F3282C">
        <w:t>facilit</w:t>
      </w:r>
      <w:r>
        <w:t>y</w:t>
      </w:r>
      <w:r w:rsidR="00F3282C">
        <w:t xml:space="preserve"> </w:t>
      </w:r>
      <w:r>
        <w:t>is</w:t>
      </w:r>
      <w:r w:rsidR="00F3282C">
        <w:t xml:space="preserve"> </w:t>
      </w:r>
      <w:r w:rsidR="00985F76">
        <w:t xml:space="preserve">regulated </w:t>
      </w:r>
      <w:r w:rsidR="00C55BF8">
        <w:t xml:space="preserve">under </w:t>
      </w:r>
      <w:r w:rsidR="00985F76">
        <w:t xml:space="preserve">Part 7.3 of the </w:t>
      </w:r>
      <w:r w:rsidR="000E7C19">
        <w:t>Act</w:t>
      </w:r>
      <w:r w:rsidR="00B117EC">
        <w:t xml:space="preserve">. A person that operates a </w:t>
      </w:r>
      <w:r w:rsidR="00B9627F">
        <w:t xml:space="preserve">CS </w:t>
      </w:r>
      <w:r w:rsidR="00B117EC">
        <w:t>facility</w:t>
      </w:r>
      <w:r w:rsidR="0070280F">
        <w:t xml:space="preserve"> </w:t>
      </w:r>
      <w:r w:rsidR="00B117EC">
        <w:t>must</w:t>
      </w:r>
      <w:r w:rsidR="00266B48">
        <w:t xml:space="preserve"> hold </w:t>
      </w:r>
      <w:r w:rsidR="002950DB">
        <w:t xml:space="preserve">an Australian </w:t>
      </w:r>
      <w:r w:rsidR="0070280F">
        <w:t>CS</w:t>
      </w:r>
      <w:r w:rsidR="002950DB">
        <w:t xml:space="preserve"> facility licence </w:t>
      </w:r>
      <w:r w:rsidR="00AF2692">
        <w:t xml:space="preserve">unless the </w:t>
      </w:r>
      <w:r w:rsidR="00B9627F">
        <w:t xml:space="preserve">CS </w:t>
      </w:r>
      <w:r w:rsidR="00AF2692">
        <w:t>facility is</w:t>
      </w:r>
      <w:r w:rsidR="00084BF3">
        <w:t xml:space="preserve"> exempt from </w:t>
      </w:r>
      <w:r w:rsidR="00AF2692">
        <w:t>the requirement to be licensed under Part 7.3</w:t>
      </w:r>
      <w:r w:rsidR="00B619F9">
        <w:t>. The Minister has the power to</w:t>
      </w:r>
      <w:r w:rsidR="00AF2692">
        <w:t>, among other things,</w:t>
      </w:r>
      <w:r w:rsidR="00B619F9">
        <w:t xml:space="preserve"> grant </w:t>
      </w:r>
      <w:r w:rsidR="00AF2692">
        <w:t>an Australian</w:t>
      </w:r>
      <w:r w:rsidR="00E758C9">
        <w:t xml:space="preserve"> </w:t>
      </w:r>
      <w:r w:rsidR="0070280F">
        <w:t>CS</w:t>
      </w:r>
      <w:r w:rsidR="00B619F9">
        <w:t xml:space="preserve"> facility licen</w:t>
      </w:r>
      <w:r w:rsidR="001115A3">
        <w:t>c</w:t>
      </w:r>
      <w:r w:rsidR="00B619F9">
        <w:t>e</w:t>
      </w:r>
      <w:r w:rsidR="00D91F36">
        <w:t xml:space="preserve">, </w:t>
      </w:r>
      <w:r w:rsidR="00403442">
        <w:t>impose licence</w:t>
      </w:r>
      <w:r w:rsidR="00E758C9">
        <w:t xml:space="preserve"> conditions and issue directions </w:t>
      </w:r>
      <w:r w:rsidR="00D91F36">
        <w:t>to promote</w:t>
      </w:r>
      <w:r w:rsidR="00E758C9">
        <w:t xml:space="preserve"> compliance</w:t>
      </w:r>
      <w:r w:rsidR="00D91F36">
        <w:t xml:space="preserve"> with a licensee’s obligations</w:t>
      </w:r>
      <w:r w:rsidR="00E758C9">
        <w:t xml:space="preserve">. These </w:t>
      </w:r>
      <w:r w:rsidR="00ED10A7">
        <w:t xml:space="preserve">powers are currently delegated to ASIC </w:t>
      </w:r>
      <w:r w:rsidR="00B608FE">
        <w:t>under</w:t>
      </w:r>
      <w:r w:rsidR="00CE67B1">
        <w:t xml:space="preserve"> the </w:t>
      </w:r>
      <w:r w:rsidR="00ED10A7" w:rsidRPr="00CE67B1">
        <w:rPr>
          <w:i/>
          <w:iCs/>
        </w:rPr>
        <w:t>Ministerial Powers (ASIC) Delegations 2021</w:t>
      </w:r>
      <w:r w:rsidR="00ED10A7">
        <w:t xml:space="preserve">. </w:t>
      </w:r>
    </w:p>
    <w:p w14:paraId="68412B3E" w14:textId="11525130" w:rsidR="005C7762" w:rsidRDefault="001E2319" w:rsidP="00090D02">
      <w:pPr>
        <w:pStyle w:val="Normalparatextwithnumbers"/>
      </w:pPr>
      <w:r>
        <w:t>A</w:t>
      </w:r>
      <w:r w:rsidR="00977C26">
        <w:t xml:space="preserve"> licensed</w:t>
      </w:r>
      <w:r w:rsidR="00E96A2E">
        <w:t xml:space="preserve"> </w:t>
      </w:r>
      <w:r w:rsidR="0070280F">
        <w:t>CS</w:t>
      </w:r>
      <w:r>
        <w:t xml:space="preserve"> facility must have operating rules. Those rules must deal with </w:t>
      </w:r>
      <w:r w:rsidR="00F800AC">
        <w:t xml:space="preserve">matters prescribed by regulations. These matters currently </w:t>
      </w:r>
      <w:r w:rsidR="000D017F">
        <w:t>go to issues of the operation of the facility, management of risk</w:t>
      </w:r>
      <w:r w:rsidR="0079430C">
        <w:t xml:space="preserve">, the requirements of participants with respect to the facility, and other matters (see section </w:t>
      </w:r>
      <w:r w:rsidR="00042FC1">
        <w:t xml:space="preserve">822A of the </w:t>
      </w:r>
      <w:r w:rsidR="000E7C19">
        <w:t>Act</w:t>
      </w:r>
      <w:r w:rsidR="00042FC1">
        <w:t xml:space="preserve"> and regulation 7.3.05</w:t>
      </w:r>
      <w:r w:rsidR="00AF66B3">
        <w:t>(a)</w:t>
      </w:r>
      <w:r w:rsidR="00EB3435">
        <w:t xml:space="preserve"> to </w:t>
      </w:r>
      <w:r w:rsidR="00AF66B3">
        <w:t>(j)</w:t>
      </w:r>
      <w:r w:rsidR="00042FC1">
        <w:t xml:space="preserve"> of the Corporations Regulations). </w:t>
      </w:r>
      <w:r w:rsidR="00E516B0">
        <w:t>However, the requirement for the content of rules to contain prescribed content does not apply if the licensee is also authorised to operate the facility in the foreign country in which its principal place of business is located, and the licence was granted in that location.</w:t>
      </w:r>
    </w:p>
    <w:p w14:paraId="05F9EB92" w14:textId="1E015690" w:rsidR="00042FC1" w:rsidRDefault="002016AA" w:rsidP="00090D02">
      <w:pPr>
        <w:pStyle w:val="Normalparatextwithnumbers"/>
      </w:pPr>
      <w:r>
        <w:t xml:space="preserve">The operating rules of a </w:t>
      </w:r>
      <w:r w:rsidR="0070280F">
        <w:t>CS</w:t>
      </w:r>
      <w:r w:rsidR="00C3243D">
        <w:t xml:space="preserve"> </w:t>
      </w:r>
      <w:r>
        <w:t>facility have effect as a contract under seal</w:t>
      </w:r>
      <w:r w:rsidR="00205C12">
        <w:t xml:space="preserve"> between</w:t>
      </w:r>
      <w:r w:rsidR="009477E1">
        <w:t xml:space="preserve"> the licensee and</w:t>
      </w:r>
      <w:r w:rsidR="00271B92">
        <w:t xml:space="preserve"> issuers of financial products, between</w:t>
      </w:r>
      <w:r w:rsidR="00205C12">
        <w:t xml:space="preserve"> participants</w:t>
      </w:r>
      <w:r w:rsidR="00CD767A">
        <w:t>,</w:t>
      </w:r>
      <w:r w:rsidR="00271B92">
        <w:t xml:space="preserve"> and between participants and issuers of financial products</w:t>
      </w:r>
      <w:r>
        <w:t>.</w:t>
      </w:r>
      <w:r w:rsidR="00256F7D">
        <w:t xml:space="preserve"> Effectively, each party </w:t>
      </w:r>
      <w:r w:rsidR="00BE588D">
        <w:t xml:space="preserve">agrees to observe the operating rules and carry out their obligations under the rules. </w:t>
      </w:r>
      <w:r w:rsidR="0052479D">
        <w:t>If changes to operating rules are made</w:t>
      </w:r>
      <w:r w:rsidR="00B85015">
        <w:t>,</w:t>
      </w:r>
      <w:r w:rsidR="0052479D">
        <w:t xml:space="preserve"> a notice of those changes must be lodged w</w:t>
      </w:r>
      <w:r w:rsidR="00E30755">
        <w:t xml:space="preserve">ith ASIC. The Minister can disallow changes to a facility’s </w:t>
      </w:r>
      <w:r w:rsidR="005309FA">
        <w:t xml:space="preserve">domestic </w:t>
      </w:r>
      <w:r w:rsidR="00E30755">
        <w:t xml:space="preserve">operating rules. </w:t>
      </w:r>
    </w:p>
    <w:p w14:paraId="4D35DC8B" w14:textId="346287AA" w:rsidR="00637AA3" w:rsidRDefault="00276CA7" w:rsidP="00090D02">
      <w:pPr>
        <w:pStyle w:val="Normalparatextwithnumbers"/>
      </w:pPr>
      <w:r>
        <w:t xml:space="preserve">ASIC and the RBA </w:t>
      </w:r>
      <w:r w:rsidR="004174A3">
        <w:t xml:space="preserve">have complementary </w:t>
      </w:r>
      <w:r w:rsidR="004C5D07">
        <w:t>supervisory</w:t>
      </w:r>
      <w:r w:rsidR="004174A3">
        <w:t xml:space="preserve"> </w:t>
      </w:r>
      <w:r w:rsidR="004C5D07">
        <w:t>responsibilities in relation to</w:t>
      </w:r>
      <w:r>
        <w:t xml:space="preserve"> </w:t>
      </w:r>
      <w:r w:rsidR="0070280F">
        <w:t>CS</w:t>
      </w:r>
      <w:r>
        <w:t xml:space="preserve"> facility licensees. Broadly, ASIC has responsibility </w:t>
      </w:r>
      <w:r w:rsidR="008F7199">
        <w:t xml:space="preserve">in relation to licensing and conduct of CS facility licensees and the RBA has responsibility in relation to financial stability and managing systemic risk. </w:t>
      </w:r>
    </w:p>
    <w:p w14:paraId="2B5AF904" w14:textId="3C8C11BE" w:rsidR="00C75B32" w:rsidRDefault="00EB6BDD" w:rsidP="00090D02">
      <w:pPr>
        <w:pStyle w:val="Normalparatextwithnumbers"/>
      </w:pPr>
      <w:r>
        <w:t xml:space="preserve">The RBA </w:t>
      </w:r>
      <w:r w:rsidR="00C96D35">
        <w:t xml:space="preserve">does not have any </w:t>
      </w:r>
      <w:r>
        <w:t xml:space="preserve">enforcement powers but may make </w:t>
      </w:r>
      <w:r w:rsidR="00C75B32">
        <w:t>Financial Stability Standards</w:t>
      </w:r>
      <w:r w:rsidR="00E264D8">
        <w:t xml:space="preserve"> under section 827D of the Act</w:t>
      </w:r>
      <w:r w:rsidR="00C75B32">
        <w:t xml:space="preserve"> </w:t>
      </w:r>
      <w:r w:rsidR="00C96D35">
        <w:t xml:space="preserve">that </w:t>
      </w:r>
      <w:r w:rsidR="00FC6032">
        <w:t xml:space="preserve">applicable </w:t>
      </w:r>
      <w:r w:rsidR="0070280F">
        <w:t>CS</w:t>
      </w:r>
      <w:r w:rsidR="00C75B32">
        <w:t xml:space="preserve"> facilities must comply with. </w:t>
      </w:r>
      <w:r w:rsidR="00E264D8">
        <w:t xml:space="preserve">The RBA may assess </w:t>
      </w:r>
      <w:r w:rsidR="000F51B7">
        <w:t xml:space="preserve">how well a </w:t>
      </w:r>
      <w:r w:rsidR="0070280F">
        <w:t>CS</w:t>
      </w:r>
      <w:r w:rsidR="000F51B7">
        <w:t xml:space="preserve"> facility </w:t>
      </w:r>
      <w:r w:rsidR="0052493D">
        <w:t>i</w:t>
      </w:r>
      <w:r w:rsidR="000F51B7">
        <w:t>s complying with relevant standards</w:t>
      </w:r>
      <w:r w:rsidR="00191C4C">
        <w:t xml:space="preserve"> and make reports to the Minister and ASIC. </w:t>
      </w:r>
    </w:p>
    <w:p w14:paraId="5D3DE895" w14:textId="49CCF715" w:rsidR="00DC03D9" w:rsidRDefault="00DC03D9" w:rsidP="00090D02">
      <w:pPr>
        <w:pStyle w:val="Normalparatextwithnumbers"/>
      </w:pPr>
      <w:r>
        <w:t>There are current</w:t>
      </w:r>
      <w:r w:rsidR="00D8086F">
        <w:t>ly</w:t>
      </w:r>
      <w:r>
        <w:t xml:space="preserve"> </w:t>
      </w:r>
      <w:r w:rsidR="0023076F">
        <w:t>f</w:t>
      </w:r>
      <w:r w:rsidR="007614DB">
        <w:t>our syste</w:t>
      </w:r>
      <w:r w:rsidR="00CD0C1D">
        <w:t>mically</w:t>
      </w:r>
      <w:r w:rsidR="007614DB">
        <w:t xml:space="preserve"> important</w:t>
      </w:r>
      <w:r>
        <w:t xml:space="preserve"> domestic </w:t>
      </w:r>
      <w:r w:rsidR="0070280F">
        <w:t>CS</w:t>
      </w:r>
      <w:r>
        <w:t xml:space="preserve"> facility licensees</w:t>
      </w:r>
      <w:r w:rsidR="0023076F">
        <w:t xml:space="preserve"> which are </w:t>
      </w:r>
      <w:r>
        <w:t xml:space="preserve">within the ASX </w:t>
      </w:r>
      <w:r w:rsidR="00DB47EF">
        <w:t>Group</w:t>
      </w:r>
      <w:r>
        <w:t xml:space="preserve">. </w:t>
      </w:r>
      <w:r w:rsidR="00D8086F">
        <w:t xml:space="preserve">There are currently two overseas </w:t>
      </w:r>
      <w:r w:rsidR="0070280F">
        <w:t>CS</w:t>
      </w:r>
      <w:r w:rsidR="00D8086F">
        <w:t xml:space="preserve"> facility licensees </w:t>
      </w:r>
      <w:r w:rsidR="0023076F">
        <w:t xml:space="preserve">operating in Australia </w:t>
      </w:r>
      <w:r w:rsidR="00DB47EF">
        <w:t xml:space="preserve">that compete with facilities in the ASX Group </w:t>
      </w:r>
      <w:r w:rsidR="00834B74">
        <w:t xml:space="preserve">in </w:t>
      </w:r>
      <w:r w:rsidR="001016B8">
        <w:t>the</w:t>
      </w:r>
      <w:r w:rsidR="00834B74">
        <w:t xml:space="preserve"> </w:t>
      </w:r>
      <w:r w:rsidR="00B74136">
        <w:t xml:space="preserve">clearing </w:t>
      </w:r>
      <w:r w:rsidR="001016B8">
        <w:t>o</w:t>
      </w:r>
      <w:r w:rsidR="00834B74">
        <w:t xml:space="preserve">f over-the-counter interest rate derivatives. </w:t>
      </w:r>
    </w:p>
    <w:p w14:paraId="30B2505E" w14:textId="77777777" w:rsidR="00D95DE4" w:rsidRDefault="00D95DE4" w:rsidP="00D95DE4">
      <w:pPr>
        <w:pStyle w:val="Heading6"/>
        <w:rPr>
          <w:rFonts w:hint="eastAsia"/>
        </w:rPr>
      </w:pPr>
      <w:r>
        <w:t xml:space="preserve">Derivative trade repositories </w:t>
      </w:r>
    </w:p>
    <w:p w14:paraId="43C1E922" w14:textId="604A5A26" w:rsidR="00D95DE4" w:rsidRDefault="00EE503C" w:rsidP="008154CD">
      <w:pPr>
        <w:pStyle w:val="Normalparatextwithnumbers"/>
      </w:pPr>
      <w:r w:rsidRPr="00EE503C">
        <w:t xml:space="preserve">A derivative trade repository is a facility to which information about over-the-counter derivative transactions, or about positions relating to over-the counter </w:t>
      </w:r>
      <w:r w:rsidRPr="00EE503C">
        <w:lastRenderedPageBreak/>
        <w:t>derivative transactions, can be reported</w:t>
      </w:r>
      <w:r w:rsidR="00D95DE4">
        <w:t xml:space="preserve">. This information is provided to regulators to provide a picture of the activity and risks present in over-the-counter derivative markets. There is </w:t>
      </w:r>
      <w:r w:rsidR="00CF1BF6">
        <w:t xml:space="preserve">currently </w:t>
      </w:r>
      <w:r w:rsidR="00D95DE4">
        <w:t xml:space="preserve">one derivative trade repository licensee operating in Australia. </w:t>
      </w:r>
    </w:p>
    <w:p w14:paraId="50032ADE" w14:textId="573F8A23" w:rsidR="00D95DE4" w:rsidRDefault="00D95DE4">
      <w:pPr>
        <w:pStyle w:val="Normalparatextwithnumbers"/>
      </w:pPr>
      <w:r>
        <w:t xml:space="preserve">Derivative trade repository licensees are regulated under Part 7.5A of the Act. ASIC can make derivative trade repository rules that deal with the </w:t>
      </w:r>
      <w:r w:rsidR="001A0ADF">
        <w:t>way</w:t>
      </w:r>
      <w:r w:rsidR="0009692B">
        <w:t xml:space="preserve"> </w:t>
      </w:r>
      <w:r>
        <w:t xml:space="preserve">licensees may provide their services, handling of data, governance of licensees, reporting and other matters (see Division 2 of Part 7.5A of the Act). </w:t>
      </w:r>
    </w:p>
    <w:p w14:paraId="249055B3" w14:textId="77777777" w:rsidR="00D95DE4" w:rsidRDefault="00D95DE4" w:rsidP="00D95DE4">
      <w:pPr>
        <w:pStyle w:val="Heading6"/>
        <w:rPr>
          <w:rFonts w:hint="eastAsia"/>
        </w:rPr>
      </w:pPr>
      <w:r>
        <w:t xml:space="preserve">Financial benchmark administrators </w:t>
      </w:r>
    </w:p>
    <w:p w14:paraId="50348B2B" w14:textId="55F85E2E" w:rsidR="00D95DE4" w:rsidRDefault="00D95DE4" w:rsidP="008154CD">
      <w:pPr>
        <w:pStyle w:val="Normalparatextwithnumbers"/>
      </w:pPr>
      <w:r>
        <w:t>Financial benchmark</w:t>
      </w:r>
      <w:r w:rsidR="00250B9E">
        <w:t>s</w:t>
      </w:r>
      <w:r>
        <w:t xml:space="preserve"> measure the price or performance of certain financial products or classes of financial products. </w:t>
      </w:r>
      <w:r w:rsidR="005F30C3">
        <w:t>They</w:t>
      </w:r>
      <w:r>
        <w:t xml:space="preserve"> are used to determine the price of, or payments due under, </w:t>
      </w:r>
      <w:r w:rsidR="00804B08">
        <w:t>many</w:t>
      </w:r>
      <w:r>
        <w:t xml:space="preserve"> financial products.</w:t>
      </w:r>
      <w:r w:rsidR="00AC3D31">
        <w:t xml:space="preserve"> Financial market benchmarks are defined in sub-section 908</w:t>
      </w:r>
      <w:proofErr w:type="gramStart"/>
      <w:r w:rsidR="00AC3D31">
        <w:t>AB(</w:t>
      </w:r>
      <w:proofErr w:type="gramEnd"/>
      <w:r w:rsidR="00AC3D31">
        <w:t xml:space="preserve">1) of the Act. </w:t>
      </w:r>
    </w:p>
    <w:p w14:paraId="0ACBD3FB" w14:textId="676CBA5C" w:rsidR="00D95DE4" w:rsidRDefault="0036186D" w:rsidP="008154CD">
      <w:pPr>
        <w:pStyle w:val="Normalparatextwithnumbers"/>
      </w:pPr>
      <w:r>
        <w:t xml:space="preserve">There are currently two benchmark administrator licensees operating in Australia. </w:t>
      </w:r>
      <w:r w:rsidR="00D17823">
        <w:t>B</w:t>
      </w:r>
      <w:r w:rsidR="00D95DE4">
        <w:t xml:space="preserve">enchmark administrator </w:t>
      </w:r>
      <w:r w:rsidR="00D17823">
        <w:t>licensees</w:t>
      </w:r>
      <w:r w:rsidR="00D95DE4">
        <w:t xml:space="preserve"> are regulated under Part 7.5B of the Act. Administrators of significant financial benchmarks must be licensed by ASIC. ASIC may impose, vary or revoke conditions on a licence. ASIC declares certain </w:t>
      </w:r>
      <w:r w:rsidR="00237BDE">
        <w:t xml:space="preserve">financial </w:t>
      </w:r>
      <w:r w:rsidR="00D95DE4">
        <w:t>benchmarks to be significant financial benchmarks by legislative instrument under section 908AC</w:t>
      </w:r>
      <w:r w:rsidR="00F37CBE">
        <w:t xml:space="preserve"> of the Act</w:t>
      </w:r>
      <w:r w:rsidR="00D95DE4">
        <w:t xml:space="preserve">. </w:t>
      </w:r>
    </w:p>
    <w:p w14:paraId="488FF21D" w14:textId="78073A8E" w:rsidR="00D95DE4" w:rsidRDefault="00D95DE4" w:rsidP="008154CD">
      <w:pPr>
        <w:pStyle w:val="Normalparatextwithnumbers"/>
      </w:pPr>
      <w:r>
        <w:t xml:space="preserve">ASIC can make </w:t>
      </w:r>
      <w:r w:rsidR="004D588A">
        <w:t>two kinds of</w:t>
      </w:r>
      <w:r>
        <w:t xml:space="preserve"> rules with respect to financial benchmark</w:t>
      </w:r>
      <w:r w:rsidR="004D588A">
        <w:t>s</w:t>
      </w:r>
      <w:r w:rsidR="00967858">
        <w:t>. Firstly,</w:t>
      </w:r>
      <w:r w:rsidR="004D588A">
        <w:t xml:space="preserve"> </w:t>
      </w:r>
      <w:r w:rsidR="009B1546">
        <w:t xml:space="preserve">the financial </w:t>
      </w:r>
      <w:r>
        <w:t xml:space="preserve">benchmark </w:t>
      </w:r>
      <w:r w:rsidR="009B1546">
        <w:t>rules</w:t>
      </w:r>
      <w:r w:rsidR="00117D2B">
        <w:t xml:space="preserve"> </w:t>
      </w:r>
      <w:r w:rsidR="009B1546">
        <w:t>prescrib</w:t>
      </w:r>
      <w:r w:rsidR="00B52664">
        <w:t>e</w:t>
      </w:r>
      <w:r w:rsidR="009B1546">
        <w:t xml:space="preserve"> detailed requirements relating to the operation of financial benchmarks specified in a licence</w:t>
      </w:r>
      <w:r w:rsidR="001936CA">
        <w:t xml:space="preserve">. Secondly, </w:t>
      </w:r>
      <w:r w:rsidR="009B1546">
        <w:t>the compelled financial benchmark rules</w:t>
      </w:r>
      <w:r w:rsidR="005E00C7">
        <w:t xml:space="preserve"> </w:t>
      </w:r>
      <w:r w:rsidR="009B1546">
        <w:t>confer powers for ASIC to compel certain activity relating to significant financial</w:t>
      </w:r>
      <w:r w:rsidDel="004D588A">
        <w:t xml:space="preserve"> </w:t>
      </w:r>
      <w:r w:rsidR="00985837">
        <w:t>benchmarks.</w:t>
      </w:r>
      <w:r>
        <w:t xml:space="preserve"> These </w:t>
      </w:r>
      <w:r w:rsidR="00985837">
        <w:t>sets of</w:t>
      </w:r>
      <w:r>
        <w:t xml:space="preserve"> rules deal with the responsibilities of licensees, the design of the benchmarks, use of data, governance of licensees and other matters (see Division 3 of Part 7.5B of the Act). </w:t>
      </w:r>
    </w:p>
    <w:p w14:paraId="554829A3" w14:textId="7A3633BB" w:rsidR="00D95DE4" w:rsidRDefault="00D95DE4" w:rsidP="00D95DE4">
      <w:pPr>
        <w:pStyle w:val="Heading6"/>
        <w:rPr>
          <w:rFonts w:hint="eastAsia"/>
        </w:rPr>
      </w:pPr>
      <w:r>
        <w:t xml:space="preserve">Other regulatory aspects of </w:t>
      </w:r>
      <w:r w:rsidR="00B9627F">
        <w:t xml:space="preserve">FMI </w:t>
      </w:r>
      <w:r>
        <w:t>entities</w:t>
      </w:r>
    </w:p>
    <w:p w14:paraId="5EBFBA2B" w14:textId="682E5A8A" w:rsidR="005D27A8" w:rsidRDefault="006F20FF" w:rsidP="00553870">
      <w:pPr>
        <w:pStyle w:val="Normalparatextwithnumbers"/>
      </w:pPr>
      <w:r>
        <w:t xml:space="preserve">Certain </w:t>
      </w:r>
      <w:r w:rsidR="00D95DE4">
        <w:t>Australian market licensees</w:t>
      </w:r>
      <w:r w:rsidR="00B701F5">
        <w:t>,</w:t>
      </w:r>
      <w:r w:rsidR="00D95DE4">
        <w:t xml:space="preserve"> CS facility licensees</w:t>
      </w:r>
      <w:r w:rsidR="00B701F5">
        <w:t>, and the holding companies of such licensees</w:t>
      </w:r>
      <w:r w:rsidR="00D95DE4">
        <w:t xml:space="preserve"> can be subject to ownership limits. Division 1 of Part 7.4 of the Act ensures Australia’s national interest is considered in the </w:t>
      </w:r>
      <w:r w:rsidR="00844AE0">
        <w:t xml:space="preserve">control </w:t>
      </w:r>
      <w:r w:rsidR="00D95DE4">
        <w:t xml:space="preserve">of significant licensees through a 15% restriction on a person’s voting power within certain bodies prescribed in regulations. These are known as widely held market bodies. Exceeding the 15% voting power </w:t>
      </w:r>
      <w:r w:rsidR="00B9627F">
        <w:t>L</w:t>
      </w:r>
      <w:r w:rsidR="00D95DE4">
        <w:t xml:space="preserve">imit requires the approval of the Minister. </w:t>
      </w:r>
      <w:r w:rsidR="008236A9">
        <w:t xml:space="preserve">Specific arrangements in this regard exist for ASX Limited, where a change in voting power above </w:t>
      </w:r>
      <w:r w:rsidR="00C30929">
        <w:t xml:space="preserve">15% </w:t>
      </w:r>
      <w:r w:rsidR="008236A9">
        <w:t xml:space="preserve">currently requires a regulation to be made. </w:t>
      </w:r>
    </w:p>
    <w:p w14:paraId="54B25176" w14:textId="427A9D00" w:rsidR="00173295" w:rsidRDefault="00607967" w:rsidP="00553870">
      <w:pPr>
        <w:pStyle w:val="Normalparatextwithnumbers"/>
      </w:pPr>
      <w:r>
        <w:t xml:space="preserve">This limit is imposed to ensure that </w:t>
      </w:r>
      <w:r w:rsidR="002F29E6">
        <w:t>Australia’s national interest</w:t>
      </w:r>
      <w:r w:rsidR="00742462">
        <w:t>,</w:t>
      </w:r>
      <w:r w:rsidR="00D6250E">
        <w:t xml:space="preserve"> </w:t>
      </w:r>
      <w:r w:rsidR="002264E1">
        <w:t xml:space="preserve">and </w:t>
      </w:r>
      <w:r w:rsidR="00D6250E">
        <w:t>financial market integrity and stability</w:t>
      </w:r>
      <w:r w:rsidR="002F29E6">
        <w:t xml:space="preserve"> </w:t>
      </w:r>
      <w:r w:rsidR="00742462">
        <w:t>are</w:t>
      </w:r>
      <w:r w:rsidR="002F29E6">
        <w:t xml:space="preserve"> </w:t>
      </w:r>
      <w:r w:rsidR="00D6250E">
        <w:t xml:space="preserve">not at risk from the ownership of </w:t>
      </w:r>
      <w:r w:rsidR="47B54A3B">
        <w:t>such widely held market bodies.</w:t>
      </w:r>
    </w:p>
    <w:p w14:paraId="13514703" w14:textId="2F5C44E3" w:rsidR="00D95DE4" w:rsidRDefault="00D95DE4" w:rsidP="00553870">
      <w:pPr>
        <w:pStyle w:val="Normalparatextwithnumbers"/>
      </w:pPr>
      <w:r>
        <w:lastRenderedPageBreak/>
        <w:t xml:space="preserve">Division 2 of Part 7.4 of the Act provides for a mechanism to prohibit disqualified individuals from being </w:t>
      </w:r>
      <w:r w:rsidR="3303C784">
        <w:t>associated with the management, ownership, or control of</w:t>
      </w:r>
      <w:r>
        <w:t xml:space="preserve"> Australian market licensees, CS facility licensees, derivative trade repository licensees and licensed financial benchmark administrators.</w:t>
      </w:r>
      <w:r w:rsidR="00AB1D76">
        <w:t xml:space="preserve"> This mechanism applies to all </w:t>
      </w:r>
      <w:r w:rsidR="00B76CAE">
        <w:t xml:space="preserve">licensees, not just widely held market bodies. </w:t>
      </w:r>
    </w:p>
    <w:p w14:paraId="6CA33166" w14:textId="6F0BA07D" w:rsidR="00C42402" w:rsidRDefault="00AE4893" w:rsidP="00553870">
      <w:pPr>
        <w:pStyle w:val="Normalparatextwithnumbers"/>
      </w:pPr>
      <w:r>
        <w:t xml:space="preserve">Part 7.5 of the Act </w:t>
      </w:r>
      <w:r w:rsidR="00570BD5">
        <w:t>establish</w:t>
      </w:r>
      <w:r w:rsidR="00814FD2">
        <w:t>es</w:t>
      </w:r>
      <w:r w:rsidR="00570BD5">
        <w:t xml:space="preserve"> a requirement for each </w:t>
      </w:r>
      <w:r w:rsidR="009A57F1">
        <w:t xml:space="preserve">financial market licensee to </w:t>
      </w:r>
      <w:r w:rsidR="00CE47F2">
        <w:t xml:space="preserve">have a compensation regime. </w:t>
      </w:r>
      <w:r>
        <w:t xml:space="preserve"> </w:t>
      </w:r>
    </w:p>
    <w:p w14:paraId="067642C0" w14:textId="43F9BD89" w:rsidR="00916EAF" w:rsidRDefault="0082660D" w:rsidP="00916EAF">
      <w:pPr>
        <w:pStyle w:val="Heading5"/>
      </w:pPr>
      <w:r>
        <w:t>Council of Financial Regulator</w:t>
      </w:r>
      <w:r w:rsidR="00CD10E5">
        <w:t>s</w:t>
      </w:r>
      <w:r>
        <w:t xml:space="preserve"> </w:t>
      </w:r>
      <w:r w:rsidR="00771C60">
        <w:t xml:space="preserve">Advice to Government </w:t>
      </w:r>
    </w:p>
    <w:p w14:paraId="579C08C7" w14:textId="49206EC9" w:rsidR="00995742" w:rsidRDefault="00995742" w:rsidP="00553870">
      <w:pPr>
        <w:pStyle w:val="Normalparatextwithnumbers"/>
      </w:pPr>
      <w:r>
        <w:t xml:space="preserve">A failure of an </w:t>
      </w:r>
      <w:r w:rsidR="00A66724">
        <w:t>FMI</w:t>
      </w:r>
      <w:r w:rsidR="00C568C9">
        <w:t xml:space="preserve"> </w:t>
      </w:r>
      <w:r w:rsidR="0049110C">
        <w:t xml:space="preserve">can cause fundamental and systemic disruption to </w:t>
      </w:r>
      <w:r w:rsidR="001856BE">
        <w:t xml:space="preserve">financial markets. </w:t>
      </w:r>
    </w:p>
    <w:p w14:paraId="532D7529" w14:textId="52694548" w:rsidR="007760F4" w:rsidRDefault="00771C60" w:rsidP="00553870">
      <w:pPr>
        <w:pStyle w:val="Normalparatextwithnumbers"/>
      </w:pPr>
      <w:r>
        <w:t xml:space="preserve">The </w:t>
      </w:r>
      <w:r w:rsidR="009867E2">
        <w:t xml:space="preserve">CFR is </w:t>
      </w:r>
      <w:r w:rsidR="00FB6568">
        <w:t xml:space="preserve">the coordinating body for Australia’s main financial regulatory agencies. </w:t>
      </w:r>
      <w:r w:rsidR="005F3CA3">
        <w:t xml:space="preserve">Its members are APRA, ASIC, the RBA </w:t>
      </w:r>
      <w:r w:rsidR="00531465">
        <w:t xml:space="preserve">and The Treasury. </w:t>
      </w:r>
      <w:r w:rsidR="002C3241">
        <w:t xml:space="preserve">The CFR’s </w:t>
      </w:r>
      <w:r w:rsidR="00330C13">
        <w:t xml:space="preserve">objectives </w:t>
      </w:r>
      <w:r w:rsidR="00022D8C">
        <w:t xml:space="preserve">are to </w:t>
      </w:r>
      <w:r w:rsidR="00820159">
        <w:t>promote stability</w:t>
      </w:r>
      <w:r>
        <w:t xml:space="preserve"> of </w:t>
      </w:r>
      <w:r w:rsidR="00820159">
        <w:t xml:space="preserve">the Australian financial system </w:t>
      </w:r>
      <w:r w:rsidR="001166CE">
        <w:t xml:space="preserve">and support effective and efficient </w:t>
      </w:r>
      <w:r w:rsidR="00B65A7B">
        <w:t xml:space="preserve">regulation </w:t>
      </w:r>
      <w:r w:rsidR="004C01A0">
        <w:t xml:space="preserve">by Australia’s financial regulatory agencies. </w:t>
      </w:r>
    </w:p>
    <w:p w14:paraId="0A1D455C" w14:textId="3C5F5E63" w:rsidR="00EC37AA" w:rsidRDefault="00771C60" w:rsidP="00553870">
      <w:pPr>
        <w:pStyle w:val="Normalparatextwithnumbers"/>
      </w:pPr>
      <w:r>
        <w:t xml:space="preserve">The </w:t>
      </w:r>
      <w:r w:rsidR="00570D3D">
        <w:t>CFR</w:t>
      </w:r>
      <w:r>
        <w:t xml:space="preserve"> provided advice to Government in 2020 </w:t>
      </w:r>
      <w:r w:rsidR="008C5561">
        <w:t>on</w:t>
      </w:r>
      <w:r w:rsidR="002973F3">
        <w:t xml:space="preserve"> measures to mitigate and address risks related to Australia’s </w:t>
      </w:r>
      <w:r w:rsidR="009A7114">
        <w:t>FMI</w:t>
      </w:r>
      <w:r w:rsidR="003E2792">
        <w:t xml:space="preserve"> (</w:t>
      </w:r>
      <w:r w:rsidR="00B73DFB">
        <w:t xml:space="preserve">see </w:t>
      </w:r>
      <w:r w:rsidR="003E2792">
        <w:t>Financial Market Infrastructure Regulatory Reforms: Advice to Government from the Council of Financial Regulators, July 2020)</w:t>
      </w:r>
      <w:r w:rsidR="002973F3">
        <w:t xml:space="preserve">. </w:t>
      </w:r>
    </w:p>
    <w:p w14:paraId="43B785B4" w14:textId="0C82CB7F" w:rsidR="00023C7E" w:rsidRDefault="00D30C21" w:rsidP="00553870">
      <w:pPr>
        <w:pStyle w:val="Normalparatextwithnumbers"/>
      </w:pPr>
      <w:r>
        <w:t xml:space="preserve">The advice to Government highlighted deficiencies in the current regulatory framework </w:t>
      </w:r>
      <w:r w:rsidR="007421E8">
        <w:t xml:space="preserve">for Australia’s </w:t>
      </w:r>
      <w:r w:rsidR="009A7114">
        <w:t>FMI</w:t>
      </w:r>
      <w:r w:rsidR="007421E8">
        <w:t xml:space="preserve">. The report identified the need for stronger powers </w:t>
      </w:r>
      <w:r w:rsidR="00DA0999">
        <w:t xml:space="preserve">to enable regulators to monitor and manage certain risks, before they materialise, and </w:t>
      </w:r>
      <w:r w:rsidR="000401A7">
        <w:t xml:space="preserve">highlighted </w:t>
      </w:r>
      <w:r w:rsidR="00DA0999">
        <w:t xml:space="preserve">the lack of an appropriate regime to ensure </w:t>
      </w:r>
      <w:r w:rsidR="00F91F75">
        <w:t xml:space="preserve">the </w:t>
      </w:r>
      <w:r w:rsidR="00DA0999">
        <w:t>con</w:t>
      </w:r>
      <w:r w:rsidR="00F91F75">
        <w:t xml:space="preserve">tinuity and stability of </w:t>
      </w:r>
      <w:r w:rsidR="0070280F">
        <w:t>CS</w:t>
      </w:r>
      <w:r w:rsidR="00F91F75">
        <w:t xml:space="preserve"> facilities in the event of a crisis. </w:t>
      </w:r>
    </w:p>
    <w:p w14:paraId="387CFA8F" w14:textId="71A7FBF1" w:rsidR="00AB7F10" w:rsidRDefault="00AB7F10" w:rsidP="00553870">
      <w:pPr>
        <w:pStyle w:val="Normalparatextwithnumbers"/>
      </w:pPr>
      <w:r>
        <w:t xml:space="preserve">The advice to Government made 16 recommendations for regulatory reform focused on: </w:t>
      </w:r>
    </w:p>
    <w:p w14:paraId="524656E1" w14:textId="10C584CE" w:rsidR="00036E50" w:rsidRDefault="00AB7F10" w:rsidP="00AB7F10">
      <w:pPr>
        <w:pStyle w:val="Dotpoint1"/>
      </w:pPr>
      <w:r>
        <w:t xml:space="preserve">Introducing a resolution regime for licensed </w:t>
      </w:r>
      <w:r w:rsidR="0070280F">
        <w:t>CS</w:t>
      </w:r>
      <w:r>
        <w:t xml:space="preserve"> facilities, supported by a standing special appropriat</w:t>
      </w:r>
      <w:r w:rsidR="001E74BC">
        <w:t>ion</w:t>
      </w:r>
      <w:r>
        <w:t xml:space="preserve"> and the establishment of a </w:t>
      </w:r>
      <w:r w:rsidR="00036E50">
        <w:t>Resolution Authority.</w:t>
      </w:r>
    </w:p>
    <w:p w14:paraId="49CEFA7A" w14:textId="0484991F" w:rsidR="00DB3CD1" w:rsidRDefault="00036E50" w:rsidP="00AB7F10">
      <w:pPr>
        <w:pStyle w:val="Dotpoint1"/>
      </w:pPr>
      <w:r>
        <w:t xml:space="preserve">Strengthening the supervisory, licensing and enforcement powers of ASIC </w:t>
      </w:r>
      <w:r w:rsidR="00DB3CD1">
        <w:t xml:space="preserve">and the RBA in relation to </w:t>
      </w:r>
      <w:r w:rsidR="009703EB">
        <w:t>FMI</w:t>
      </w:r>
      <w:r w:rsidR="00DB3CD1">
        <w:t xml:space="preserve"> entities. </w:t>
      </w:r>
    </w:p>
    <w:p w14:paraId="7635E834" w14:textId="269FF032" w:rsidR="00AB7F10" w:rsidRDefault="00DB3CD1" w:rsidP="00AB7F10">
      <w:pPr>
        <w:pStyle w:val="Dotpoint1"/>
      </w:pPr>
      <w:r>
        <w:t xml:space="preserve">Redistributing existing regulatory powers in the </w:t>
      </w:r>
      <w:r w:rsidR="000E7C19">
        <w:t>Act</w:t>
      </w:r>
      <w:r>
        <w:t xml:space="preserve"> between ASIC, the RBA and the Minister. </w:t>
      </w:r>
      <w:r w:rsidR="00036E50">
        <w:t xml:space="preserve"> </w:t>
      </w:r>
    </w:p>
    <w:p w14:paraId="4D11130F" w14:textId="76CD2DA1" w:rsidR="008B1D06" w:rsidRDefault="004714B2" w:rsidP="00125C2C">
      <w:pPr>
        <w:pStyle w:val="Normalparatextwithnumbers"/>
      </w:pPr>
      <w:r>
        <w:t xml:space="preserve">The </w:t>
      </w:r>
      <w:r w:rsidR="00AE23A0">
        <w:t>CFR</w:t>
      </w:r>
      <w:r>
        <w:t xml:space="preserve"> consulted on these proposals in November 2019. </w:t>
      </w:r>
      <w:r w:rsidR="00630A67">
        <w:t xml:space="preserve">Operators of </w:t>
      </w:r>
      <w:r w:rsidR="00033FCE">
        <w:t>FMI</w:t>
      </w:r>
      <w:r w:rsidR="00630A67">
        <w:t xml:space="preserve">, </w:t>
      </w:r>
      <w:r w:rsidR="00C20569">
        <w:t xml:space="preserve">market participants </w:t>
      </w:r>
      <w:r w:rsidR="001D3E06">
        <w:t xml:space="preserve">and industry associations </w:t>
      </w:r>
      <w:r w:rsidR="008B1D06">
        <w:t xml:space="preserve">provided feedback into the final recommendations. </w:t>
      </w:r>
    </w:p>
    <w:p w14:paraId="26F50FC3" w14:textId="083B2D74" w:rsidR="00DB3CD1" w:rsidRDefault="008A1FA6" w:rsidP="00125C2C">
      <w:pPr>
        <w:pStyle w:val="Normalparatextwithnumbers"/>
      </w:pPr>
      <w:r>
        <w:t>On 14 December 2022, t</w:t>
      </w:r>
      <w:r w:rsidR="00421BED">
        <w:t xml:space="preserve">he Government announced it would </w:t>
      </w:r>
      <w:r w:rsidR="00CE7BD5">
        <w:t xml:space="preserve">deliver </w:t>
      </w:r>
      <w:r w:rsidR="00721EE7">
        <w:t>an</w:t>
      </w:r>
      <w:r w:rsidR="000F3020">
        <w:t xml:space="preserve"> FMI regulatory reform package consistent with the CFR’s recommendations. </w:t>
      </w:r>
      <w:r w:rsidR="0034548B">
        <w:t xml:space="preserve">The amendments in this Bill implement that package. </w:t>
      </w:r>
      <w:r w:rsidR="00CE7BD5">
        <w:t xml:space="preserve"> </w:t>
      </w:r>
    </w:p>
    <w:p w14:paraId="1D9564BC" w14:textId="24711929" w:rsidR="00AB4281" w:rsidRPr="003F43DE" w:rsidRDefault="007308D9" w:rsidP="007D44A6">
      <w:pPr>
        <w:pStyle w:val="Normalparatextwithnumbers"/>
      </w:pPr>
      <w:r>
        <w:lastRenderedPageBreak/>
        <w:t xml:space="preserve">The amendments also support recommendations of the Financial System Inquiry </w:t>
      </w:r>
      <w:r w:rsidR="002F4A7B">
        <w:t xml:space="preserve">and </w:t>
      </w:r>
      <w:r w:rsidR="00FF0D88">
        <w:t>International Monetary Fund’s Financial Sector Assessment Program. The amendments are also</w:t>
      </w:r>
      <w:r>
        <w:t xml:space="preserve"> consistent with the international principles</w:t>
      </w:r>
      <w:r w:rsidR="00B203ED">
        <w:t xml:space="preserve"> established by the </w:t>
      </w:r>
      <w:r w:rsidR="00005CF3">
        <w:t xml:space="preserve">Committee on </w:t>
      </w:r>
      <w:r w:rsidR="00322364">
        <w:t xml:space="preserve">Payments and Market Infrastructure </w:t>
      </w:r>
      <w:r w:rsidR="001672BA">
        <w:t xml:space="preserve">and the </w:t>
      </w:r>
      <w:r w:rsidR="007F5809">
        <w:t xml:space="preserve">International Organisation of Securities Commissions. </w:t>
      </w:r>
    </w:p>
    <w:p w14:paraId="5F6BBFCF" w14:textId="2B34DAD9" w:rsidR="00873094" w:rsidRPr="00020288" w:rsidRDefault="00873094" w:rsidP="005D0844">
      <w:pPr>
        <w:pStyle w:val="Heading2"/>
        <w:rPr>
          <w:rFonts w:hint="eastAsia"/>
        </w:rPr>
      </w:pPr>
      <w:bookmarkStart w:id="49" w:name="_Toc152860445"/>
      <w:r w:rsidRPr="00020288">
        <w:t xml:space="preserve">Summary of </w:t>
      </w:r>
      <w:r w:rsidRPr="005D0844">
        <w:t>new</w:t>
      </w:r>
      <w:r w:rsidRPr="00020288">
        <w:t xml:space="preserve"> law</w:t>
      </w:r>
      <w:bookmarkEnd w:id="49"/>
    </w:p>
    <w:p w14:paraId="779239BE" w14:textId="7175C5D2" w:rsidR="00AE4FA9" w:rsidRDefault="00AE4FA9" w:rsidP="00125C2C">
      <w:pPr>
        <w:pStyle w:val="Normalparatextwithnumbers"/>
      </w:pPr>
      <w:r>
        <w:t>Significant events such as the G</w:t>
      </w:r>
      <w:r w:rsidR="00BE4484">
        <w:t xml:space="preserve">lobal </w:t>
      </w:r>
      <w:r>
        <w:t>F</w:t>
      </w:r>
      <w:r w:rsidR="00BE4484">
        <w:t xml:space="preserve">inancial </w:t>
      </w:r>
      <w:r>
        <w:t>C</w:t>
      </w:r>
      <w:r w:rsidR="00BE4484">
        <w:t>risis</w:t>
      </w:r>
      <w:r>
        <w:t xml:space="preserve"> and COVID</w:t>
      </w:r>
      <w:r w:rsidR="00575E00">
        <w:t>-</w:t>
      </w:r>
      <w:r>
        <w:t xml:space="preserve">19 have highlighted not only the importance of CS facilities, but also the heightened risk they pose as they </w:t>
      </w:r>
      <w:r w:rsidR="00766774">
        <w:t xml:space="preserve">can </w:t>
      </w:r>
      <w:r>
        <w:t xml:space="preserve">concentrate and transmit financial risk with the potential to adversely impact the Australian economy. </w:t>
      </w:r>
    </w:p>
    <w:p w14:paraId="3FBE3891" w14:textId="4E32ECF1" w:rsidR="00AE4FA9" w:rsidRDefault="00154284" w:rsidP="00125C2C">
      <w:pPr>
        <w:pStyle w:val="Normalparatextwithnumbers"/>
      </w:pPr>
      <w:r>
        <w:t>Schedule</w:t>
      </w:r>
      <w:r w:rsidR="00AE4FA9">
        <w:t xml:space="preserve"> </w:t>
      </w:r>
      <w:r w:rsidR="007760A1">
        <w:t>1</w:t>
      </w:r>
      <w:r w:rsidR="00AE4FA9">
        <w:t xml:space="preserve"> to </w:t>
      </w:r>
      <w:r w:rsidR="00D6737B">
        <w:t xml:space="preserve">the Bill </w:t>
      </w:r>
      <w:r w:rsidR="00AE4FA9">
        <w:t>introduce</w:t>
      </w:r>
      <w:r w:rsidR="00D6737B">
        <w:t>s</w:t>
      </w:r>
      <w:r w:rsidR="00AE4FA9">
        <w:t xml:space="preserve"> </w:t>
      </w:r>
      <w:r w:rsidR="00D6737B">
        <w:t>an FMI</w:t>
      </w:r>
      <w:r w:rsidR="00AE4FA9">
        <w:t xml:space="preserve"> crisis management regime in accordance with recommendation 1 of the 2020 </w:t>
      </w:r>
      <w:r w:rsidR="00574A22">
        <w:t xml:space="preserve">CFR </w:t>
      </w:r>
      <w:r w:rsidR="00AE4FA9">
        <w:t xml:space="preserve">advice to Government. </w:t>
      </w:r>
    </w:p>
    <w:p w14:paraId="7F8CE6F7" w14:textId="3D655DCE" w:rsidR="00AE4FA9" w:rsidRDefault="00AE4FA9" w:rsidP="00125C2C">
      <w:pPr>
        <w:pStyle w:val="Normalparatextwithnumbers"/>
      </w:pPr>
      <w:r>
        <w:t>The proposed resolution regime will provide resolution powers to the RBA to manage distressed CS facilities and support the continuity of CS facility services that are critical to the</w:t>
      </w:r>
      <w:r w:rsidR="00C568C9">
        <w:t xml:space="preserve"> </w:t>
      </w:r>
      <w:r>
        <w:t xml:space="preserve">stability of the financial system. </w:t>
      </w:r>
    </w:p>
    <w:p w14:paraId="5B859F32" w14:textId="12B8C9DF" w:rsidR="00AE4FA9" w:rsidRDefault="00AE4FA9" w:rsidP="00125C2C">
      <w:pPr>
        <w:pStyle w:val="Normalparatextwithnumbers"/>
      </w:pPr>
      <w:r>
        <w:t>In the event of a crisis, the RBA will be empowered to e</w:t>
      </w:r>
      <w:r w:rsidR="0098374A">
        <w:t>xercise</w:t>
      </w:r>
      <w:r>
        <w:t xml:space="preserve"> certain powers</w:t>
      </w:r>
      <w:r w:rsidR="0098374A">
        <w:t xml:space="preserve"> to facilitate the resolution of a CS fa</w:t>
      </w:r>
      <w:r w:rsidR="00EE34D6">
        <w:t>cility</w:t>
      </w:r>
      <w:r>
        <w:t xml:space="preserve">. A crisis is defined where certain conditions are met, broadly relating to: </w:t>
      </w:r>
    </w:p>
    <w:p w14:paraId="1971CB2D" w14:textId="77777777" w:rsidR="00AE4FA9" w:rsidRDefault="00AE4FA9" w:rsidP="00AE4FA9">
      <w:pPr>
        <w:pStyle w:val="Dotpoint1"/>
      </w:pPr>
      <w:r>
        <w:t xml:space="preserve">threats to CS facility viability or critical service continuity; or </w:t>
      </w:r>
    </w:p>
    <w:p w14:paraId="3D8C4129" w14:textId="77777777" w:rsidR="00AE4FA9" w:rsidRDefault="00AE4FA9" w:rsidP="00AE4FA9">
      <w:pPr>
        <w:pStyle w:val="Dotpoint1"/>
      </w:pPr>
      <w:r>
        <w:t xml:space="preserve">financial instability. </w:t>
      </w:r>
    </w:p>
    <w:p w14:paraId="43AA3EE4" w14:textId="3944045C" w:rsidR="00873094" w:rsidRDefault="00923809" w:rsidP="00553870">
      <w:pPr>
        <w:pStyle w:val="Normalparatextwithnumbers"/>
      </w:pPr>
      <w:r>
        <w:t xml:space="preserve">The </w:t>
      </w:r>
      <w:r w:rsidR="006748FE">
        <w:t xml:space="preserve">RBA’s powers to facilitate crisis </w:t>
      </w:r>
      <w:r w:rsidR="00227027">
        <w:t xml:space="preserve">management in a distressed CS facility include: </w:t>
      </w:r>
      <w:r w:rsidR="005F3531">
        <w:t xml:space="preserve"> </w:t>
      </w:r>
    </w:p>
    <w:p w14:paraId="5B6A4CF3" w14:textId="3F4E431E" w:rsidR="005F3531" w:rsidRDefault="005F3531" w:rsidP="005F3531">
      <w:pPr>
        <w:pStyle w:val="Dotpoint1"/>
      </w:pPr>
      <w:r>
        <w:t xml:space="preserve">giving binding directions in relation to a </w:t>
      </w:r>
      <w:proofErr w:type="gramStart"/>
      <w:r>
        <w:t>crisis</w:t>
      </w:r>
      <w:r w:rsidR="006E61C5">
        <w:t>;</w:t>
      </w:r>
      <w:proofErr w:type="gramEnd"/>
    </w:p>
    <w:p w14:paraId="483CA102" w14:textId="538E029E" w:rsidR="005F3531" w:rsidRDefault="004B25A5" w:rsidP="005F3531">
      <w:pPr>
        <w:pStyle w:val="Dotpoint1"/>
      </w:pPr>
      <w:r>
        <w:t xml:space="preserve">taking control of distressed domestic </w:t>
      </w:r>
      <w:r w:rsidR="0070280F">
        <w:t>CS</w:t>
      </w:r>
      <w:r>
        <w:t xml:space="preserve"> facility licensees and</w:t>
      </w:r>
      <w:r w:rsidR="00A432AF">
        <w:t>, in some circumstances,</w:t>
      </w:r>
      <w:r>
        <w:t xml:space="preserve"> related bodies corporate</w:t>
      </w:r>
      <w:r w:rsidR="006E61C5">
        <w:t>; a</w:t>
      </w:r>
      <w:r w:rsidR="00B560CC">
        <w:t>n</w:t>
      </w:r>
      <w:r w:rsidR="006E61C5">
        <w:t>d</w:t>
      </w:r>
    </w:p>
    <w:p w14:paraId="6A67E0E1" w14:textId="7FE5E083" w:rsidR="004B25A5" w:rsidRDefault="00C328B7" w:rsidP="005F3531">
      <w:pPr>
        <w:pStyle w:val="Dotpoint1"/>
      </w:pPr>
      <w:r>
        <w:t>initiating the transfer of business o</w:t>
      </w:r>
      <w:r w:rsidR="001A29B3">
        <w:t>r</w:t>
      </w:r>
      <w:r>
        <w:t xml:space="preserve"> shares of a domestic </w:t>
      </w:r>
      <w:r w:rsidR="0070280F">
        <w:t>CS</w:t>
      </w:r>
      <w:r w:rsidR="00300305">
        <w:t xml:space="preserve"> facility licensee (and</w:t>
      </w:r>
      <w:r w:rsidR="00A432AF">
        <w:t>, in some circumstances,</w:t>
      </w:r>
      <w:r w:rsidR="00300305">
        <w:t xml:space="preserve"> related bodies corporate) to a third party. </w:t>
      </w:r>
    </w:p>
    <w:p w14:paraId="08F9C8FA" w14:textId="36F83E83" w:rsidR="007B2323" w:rsidRPr="00020288" w:rsidRDefault="007B2323" w:rsidP="00125C2C">
      <w:pPr>
        <w:pStyle w:val="Normalparatextwithnumbers"/>
      </w:pPr>
      <w:r>
        <w:t xml:space="preserve">In exercising these powers, the RBA’s </w:t>
      </w:r>
      <w:r w:rsidR="007B61F1">
        <w:t xml:space="preserve">primary objectives will be to maintain the overall stability of the financial system and provide for the continuity of </w:t>
      </w:r>
      <w:r w:rsidR="0070280F">
        <w:t>CS</w:t>
      </w:r>
      <w:r w:rsidR="007B61F1">
        <w:t xml:space="preserve"> facility services that are critical to the functioning of the financial system. </w:t>
      </w:r>
    </w:p>
    <w:p w14:paraId="12DA54E6" w14:textId="6CFFA38E" w:rsidR="00873094" w:rsidRPr="00020288" w:rsidRDefault="00873094" w:rsidP="005E142A">
      <w:pPr>
        <w:pStyle w:val="Heading2"/>
        <w:rPr>
          <w:rFonts w:hint="eastAsia"/>
        </w:rPr>
      </w:pPr>
      <w:bookmarkStart w:id="50" w:name="_Toc152860446"/>
      <w:r w:rsidRPr="00020288">
        <w:lastRenderedPageBreak/>
        <w:t>Detailed explanation of new law</w:t>
      </w:r>
      <w:bookmarkEnd w:id="50"/>
    </w:p>
    <w:p w14:paraId="00DD81DB" w14:textId="3FDC01A6" w:rsidR="00AA595F" w:rsidRDefault="00AA595F" w:rsidP="00AA595F">
      <w:pPr>
        <w:pStyle w:val="Heading3"/>
        <w:rPr>
          <w:rFonts w:hint="eastAsia"/>
        </w:rPr>
      </w:pPr>
      <w:bookmarkStart w:id="51" w:name="_Toc152860447"/>
      <w:r>
        <w:t>Overview of crisis management regime</w:t>
      </w:r>
      <w:bookmarkEnd w:id="51"/>
      <w:r>
        <w:t xml:space="preserve"> </w:t>
      </w:r>
    </w:p>
    <w:p w14:paraId="0B892232" w14:textId="6EC0F550" w:rsidR="00F43967" w:rsidRPr="008E53CA" w:rsidRDefault="00F43967" w:rsidP="00F43967">
      <w:pPr>
        <w:pStyle w:val="Normalparatextwithnumbers"/>
        <w:rPr>
          <w:rStyle w:val="References"/>
          <w:b w:val="0"/>
          <w:i w:val="0"/>
        </w:rPr>
      </w:pPr>
      <w:r>
        <w:t xml:space="preserve">The </w:t>
      </w:r>
      <w:r w:rsidR="003C7F6B">
        <w:t xml:space="preserve">crisis management regime empowers the RBA to access a suite of powers for the purpose of </w:t>
      </w:r>
      <w:r>
        <w:t>effective</w:t>
      </w:r>
      <w:r w:rsidR="003C7F6B">
        <w:t>ly</w:t>
      </w:r>
      <w:r>
        <w:t xml:space="preserve"> manag</w:t>
      </w:r>
      <w:r w:rsidR="003C7F6B">
        <w:t>ing</w:t>
      </w:r>
      <w:r>
        <w:t xml:space="preserve"> and resol</w:t>
      </w:r>
      <w:r w:rsidR="003C7F6B">
        <w:t xml:space="preserve">ving </w:t>
      </w:r>
      <w:r>
        <w:t xml:space="preserve">threats </w:t>
      </w:r>
      <w:r w:rsidR="003C7F6B">
        <w:t xml:space="preserve">to </w:t>
      </w:r>
      <w:r>
        <w:t>CS facility licensees</w:t>
      </w:r>
      <w:r w:rsidR="003C7F6B">
        <w:t>’</w:t>
      </w:r>
      <w:r>
        <w:t xml:space="preserve"> </w:t>
      </w:r>
      <w:r w:rsidR="003C7F6B">
        <w:t>ability to continue providing CS facility services</w:t>
      </w:r>
      <w:r w:rsidR="00D0381C">
        <w:t xml:space="preserve">. This is necessary in circumstances where the provision of those services </w:t>
      </w:r>
      <w:proofErr w:type="gramStart"/>
      <w:r w:rsidR="00D0381C">
        <w:t>is</w:t>
      </w:r>
      <w:r w:rsidR="003C7F6B">
        <w:t xml:space="preserve">  critical</w:t>
      </w:r>
      <w:proofErr w:type="gramEnd"/>
      <w:r w:rsidR="003C7F6B">
        <w:t xml:space="preserve"> to </w:t>
      </w:r>
      <w:r w:rsidR="000F5190">
        <w:t xml:space="preserve">the function of </w:t>
      </w:r>
      <w:r w:rsidR="003C7F6B">
        <w:t xml:space="preserve">Australia’s financial system or </w:t>
      </w:r>
      <w:r w:rsidR="000C1EFD">
        <w:t xml:space="preserve">where the failure of those services may </w:t>
      </w:r>
      <w:r>
        <w:t>jeopardis</w:t>
      </w:r>
      <w:r w:rsidR="003C7F6B">
        <w:t>e</w:t>
      </w:r>
      <w:r>
        <w:t xml:space="preserve"> the stability of Australia’s financial system. </w:t>
      </w:r>
      <w:r>
        <w:br/>
      </w:r>
      <w:r>
        <w:rPr>
          <w:rStyle w:val="References"/>
        </w:rPr>
        <w:t xml:space="preserve">[Schedule </w:t>
      </w:r>
      <w:r w:rsidR="00E773D4">
        <w:rPr>
          <w:rStyle w:val="References"/>
        </w:rPr>
        <w:t>1</w:t>
      </w:r>
      <w:r>
        <w:rPr>
          <w:rStyle w:val="References"/>
        </w:rPr>
        <w:t>, item 1</w:t>
      </w:r>
      <w:r w:rsidR="00C568C9">
        <w:rPr>
          <w:rStyle w:val="References"/>
        </w:rPr>
        <w:t>4</w:t>
      </w:r>
      <w:r>
        <w:rPr>
          <w:rStyle w:val="References"/>
        </w:rPr>
        <w:t>, section 830</w:t>
      </w:r>
      <w:r w:rsidR="004F639D">
        <w:rPr>
          <w:rStyle w:val="References"/>
        </w:rPr>
        <w:t>B</w:t>
      </w:r>
      <w:r>
        <w:rPr>
          <w:rStyle w:val="References"/>
        </w:rPr>
        <w:t xml:space="preserve"> of the Act]</w:t>
      </w:r>
    </w:p>
    <w:p w14:paraId="3E063EBE" w14:textId="69CAA4C3" w:rsidR="008E53CA" w:rsidRPr="008E53CA" w:rsidRDefault="008E53CA">
      <w:pPr>
        <w:pStyle w:val="Normalparatextwithnumbers"/>
        <w:rPr>
          <w:rStyle w:val="References"/>
          <w:b w:val="0"/>
          <w:i w:val="0"/>
        </w:rPr>
      </w:pPr>
      <w:r w:rsidRPr="008E53CA">
        <w:rPr>
          <w:rStyle w:val="References"/>
          <w:b w:val="0"/>
          <w:i w:val="0"/>
        </w:rPr>
        <w:t xml:space="preserve">To reflect the RBA’s crisis resolution powers, the </w:t>
      </w:r>
      <w:r w:rsidR="00595B86">
        <w:rPr>
          <w:rStyle w:val="References"/>
          <w:b w:val="0"/>
          <w:i w:val="0"/>
        </w:rPr>
        <w:t xml:space="preserve">functions of the </w:t>
      </w:r>
      <w:r w:rsidR="00343990">
        <w:rPr>
          <w:rStyle w:val="References"/>
          <w:b w:val="0"/>
          <w:i w:val="0"/>
        </w:rPr>
        <w:t>RBA</w:t>
      </w:r>
      <w:r w:rsidRPr="008E53CA">
        <w:rPr>
          <w:rStyle w:val="References"/>
          <w:b w:val="0"/>
          <w:i w:val="0"/>
        </w:rPr>
        <w:t xml:space="preserve"> </w:t>
      </w:r>
      <w:r w:rsidR="007623DD">
        <w:rPr>
          <w:rStyle w:val="References"/>
          <w:b w:val="0"/>
          <w:i w:val="0"/>
        </w:rPr>
        <w:t>are</w:t>
      </w:r>
      <w:r w:rsidRPr="008E53CA">
        <w:rPr>
          <w:rStyle w:val="References"/>
          <w:b w:val="0"/>
          <w:i w:val="0"/>
        </w:rPr>
        <w:t xml:space="preserve"> updated to refer to the crisis management regime under Part 7.3B of the Act, which provides authority for the RBA to exercise new resolution powers.  </w:t>
      </w:r>
      <w:r w:rsidRPr="008E53CA">
        <w:rPr>
          <w:rStyle w:val="References"/>
          <w:b w:val="0"/>
          <w:i w:val="0"/>
        </w:rPr>
        <w:br/>
      </w:r>
      <w:r w:rsidRPr="008E53CA">
        <w:rPr>
          <w:rStyle w:val="References"/>
        </w:rPr>
        <w:t>[Schedule 1, items 37</w:t>
      </w:r>
      <w:r w:rsidR="00F008BE">
        <w:rPr>
          <w:rStyle w:val="References"/>
        </w:rPr>
        <w:t xml:space="preserve">, 38 and </w:t>
      </w:r>
      <w:r w:rsidRPr="008E53CA">
        <w:rPr>
          <w:rStyle w:val="References"/>
        </w:rPr>
        <w:t>39, paragraph 5(</w:t>
      </w:r>
      <w:r>
        <w:rPr>
          <w:rStyle w:val="References"/>
        </w:rPr>
        <w:t>1</w:t>
      </w:r>
      <w:r w:rsidRPr="008E53CA">
        <w:rPr>
          <w:rStyle w:val="References"/>
        </w:rPr>
        <w:t>)(c), subsection 10(2) and paragraph 10B(3)(c) of the RB Act]</w:t>
      </w:r>
    </w:p>
    <w:p w14:paraId="04C98789" w14:textId="4A4D01A0" w:rsidR="003164F4" w:rsidRDefault="003164F4" w:rsidP="003164F4">
      <w:pPr>
        <w:pStyle w:val="Heading5"/>
      </w:pPr>
      <w:r>
        <w:t xml:space="preserve">What resolution powers are available? </w:t>
      </w:r>
    </w:p>
    <w:p w14:paraId="42613456" w14:textId="1E1FB4C5" w:rsidR="003164F4" w:rsidRPr="00A90909" w:rsidRDefault="003164F4" w:rsidP="003164F4">
      <w:pPr>
        <w:pStyle w:val="Normalparatextwithnumbers"/>
      </w:pPr>
      <w:r>
        <w:t>The RBA may need to use tools to take control of a</w:t>
      </w:r>
      <w:r w:rsidR="00E46B57">
        <w:t xml:space="preserve"> body corporate</w:t>
      </w:r>
      <w:r>
        <w:t xml:space="preserve"> in cases where it does not have confidence that the board and management </w:t>
      </w:r>
      <w:proofErr w:type="gramStart"/>
      <w:r>
        <w:t>is capable of resolving</w:t>
      </w:r>
      <w:proofErr w:type="gramEnd"/>
      <w:r>
        <w:t xml:space="preserve"> a crisis satisfactorily, or where the board and management are mismanaging the entity, including where it is insolvent or near insolvent. </w:t>
      </w:r>
    </w:p>
    <w:p w14:paraId="2621AF78" w14:textId="1844A4F0" w:rsidR="003164F4" w:rsidRDefault="003164F4" w:rsidP="003164F4">
      <w:pPr>
        <w:pStyle w:val="Normalparatextwithnumbers"/>
      </w:pPr>
      <w:r>
        <w:t xml:space="preserve">When a condition for resolution has been met, the RBA may access its resolution powers. The suite of powers to facilitate crisis resolution and resolve distressed </w:t>
      </w:r>
      <w:r w:rsidR="00F068D2">
        <w:t xml:space="preserve">body corporates </w:t>
      </w:r>
      <w:r>
        <w:t xml:space="preserve">include: </w:t>
      </w:r>
    </w:p>
    <w:p w14:paraId="75555B78" w14:textId="77777777" w:rsidR="003164F4" w:rsidRDefault="003164F4" w:rsidP="003164F4">
      <w:pPr>
        <w:pStyle w:val="Dotpoint1"/>
      </w:pPr>
      <w:r>
        <w:t xml:space="preserve">appointing a statutory manager to the domestic CS facility licensee or a related body </w:t>
      </w:r>
      <w:proofErr w:type="gramStart"/>
      <w:r>
        <w:t>corporate;</w:t>
      </w:r>
      <w:proofErr w:type="gramEnd"/>
      <w:r>
        <w:t xml:space="preserve"> </w:t>
      </w:r>
    </w:p>
    <w:p w14:paraId="66A2F25E" w14:textId="77777777" w:rsidR="003164F4" w:rsidRDefault="003164F4" w:rsidP="003164F4">
      <w:pPr>
        <w:pStyle w:val="Dotpoint1"/>
      </w:pPr>
      <w:r>
        <w:t xml:space="preserve">initiating the transfer of business or shares of a domestic CS facility licensee (and related bodies corporate) to a third </w:t>
      </w:r>
      <w:proofErr w:type="gramStart"/>
      <w:r>
        <w:t>party;</w:t>
      </w:r>
      <w:proofErr w:type="gramEnd"/>
      <w:r>
        <w:t xml:space="preserve"> </w:t>
      </w:r>
    </w:p>
    <w:p w14:paraId="1438F005" w14:textId="77777777" w:rsidR="003164F4" w:rsidRDefault="003164F4" w:rsidP="003164F4">
      <w:pPr>
        <w:pStyle w:val="Dotpoint1"/>
      </w:pPr>
      <w:r>
        <w:t>issuing binding directions; and</w:t>
      </w:r>
    </w:p>
    <w:p w14:paraId="675CAA8F" w14:textId="38605B13" w:rsidR="003164F4" w:rsidRDefault="003164F4" w:rsidP="003164F4">
      <w:pPr>
        <w:pStyle w:val="Dotpoint1"/>
      </w:pPr>
      <w:r>
        <w:t xml:space="preserve">automatic statutory protections including stays of contractual rights, </w:t>
      </w:r>
      <w:r w:rsidR="0087428C">
        <w:t xml:space="preserve">and </w:t>
      </w:r>
      <w:r>
        <w:t>moratoriums on the commencement of certain enforcement and litigation actions.</w:t>
      </w:r>
    </w:p>
    <w:p w14:paraId="1273C262" w14:textId="4FE83E46" w:rsidR="003314FD" w:rsidRDefault="003314FD" w:rsidP="003164F4">
      <w:pPr>
        <w:pStyle w:val="Normalparatextwithnumbers"/>
      </w:pPr>
      <w:bookmarkStart w:id="52" w:name="_Hlk152693865"/>
      <w:r>
        <w:t xml:space="preserve">The RBA may use certain resolution powers in respect of </w:t>
      </w:r>
      <w:proofErr w:type="gramStart"/>
      <w:r>
        <w:t>a</w:t>
      </w:r>
      <w:proofErr w:type="gramEnd"/>
      <w:r w:rsidR="00EA409E">
        <w:t xml:space="preserve"> overseas</w:t>
      </w:r>
      <w:r>
        <w:t xml:space="preserve"> </w:t>
      </w:r>
      <w:r w:rsidR="00EA409E">
        <w:t xml:space="preserve">CS facility, as discussed in more detail from paragraph </w:t>
      </w:r>
      <w:r w:rsidR="0028259D">
        <w:t>1.69</w:t>
      </w:r>
      <w:r w:rsidR="00EA409E">
        <w:t xml:space="preserve">. </w:t>
      </w:r>
    </w:p>
    <w:bookmarkEnd w:id="52"/>
    <w:p w14:paraId="6908195F" w14:textId="6B7B8938" w:rsidR="003164F4" w:rsidRDefault="003B312A" w:rsidP="003164F4">
      <w:pPr>
        <w:pStyle w:val="Normalparatextwithnumbers"/>
      </w:pPr>
      <w:r>
        <w:t>An exercise of</w:t>
      </w:r>
      <w:r w:rsidR="003164F4">
        <w:t xml:space="preserve"> any powers </w:t>
      </w:r>
      <w:r>
        <w:t xml:space="preserve">by </w:t>
      </w:r>
      <w:r w:rsidR="003164F4">
        <w:t xml:space="preserve">the RBA </w:t>
      </w:r>
      <w:r>
        <w:t xml:space="preserve">would occur in the context of </w:t>
      </w:r>
      <w:r w:rsidR="00C11827">
        <w:t>the objects of the provisions</w:t>
      </w:r>
      <w:r w:rsidR="00AF1D57">
        <w:t xml:space="preserve">, </w:t>
      </w:r>
      <w:r w:rsidR="00AE5F45">
        <w:t>which are</w:t>
      </w:r>
      <w:r w:rsidR="00AF1D57">
        <w:t xml:space="preserve"> </w:t>
      </w:r>
      <w:r w:rsidR="00AE5F45">
        <w:t>to</w:t>
      </w:r>
      <w:r w:rsidR="003164F4">
        <w:t>:</w:t>
      </w:r>
    </w:p>
    <w:p w14:paraId="76C24127" w14:textId="77777777" w:rsidR="003164F4" w:rsidRDefault="003164F4" w:rsidP="003164F4">
      <w:pPr>
        <w:pStyle w:val="Dotpoint1"/>
      </w:pPr>
      <w:r>
        <w:t>maintain the overall stability of the financial system; and</w:t>
      </w:r>
    </w:p>
    <w:p w14:paraId="154A67BC" w14:textId="77777777" w:rsidR="003164F4" w:rsidRDefault="003164F4" w:rsidP="003164F4">
      <w:pPr>
        <w:pStyle w:val="Dotpoint1"/>
      </w:pPr>
      <w:r>
        <w:lastRenderedPageBreak/>
        <w:t>provide for the continuity of CS facility services that are critical to the functioning of the financial system.</w:t>
      </w:r>
    </w:p>
    <w:p w14:paraId="627A66CB" w14:textId="01CF97F8" w:rsidR="003164F4" w:rsidRPr="004069B6" w:rsidRDefault="003164F4" w:rsidP="003164F4">
      <w:pPr>
        <w:pStyle w:val="Normalparatextwithnumbers"/>
      </w:pPr>
      <w:r>
        <w:t xml:space="preserve">The RBA also has ongoing general powers that can be enforced at any time and do not require a condition for resolution to be satisfied. These ongoing powers are further explained in Chapter 2 which are intended to assist in preventing crises at a CS facility. </w:t>
      </w:r>
    </w:p>
    <w:p w14:paraId="0CC66F3D" w14:textId="77777777" w:rsidR="003164F4" w:rsidRPr="00EE6B53" w:rsidRDefault="003164F4" w:rsidP="003164F4">
      <w:pPr>
        <w:pStyle w:val="Heading6"/>
        <w:rPr>
          <w:rFonts w:hint="eastAsia"/>
        </w:rPr>
      </w:pPr>
      <w:r w:rsidRPr="00EE6B53">
        <w:t>Statutory management</w:t>
      </w:r>
    </w:p>
    <w:p w14:paraId="07AA8D4E" w14:textId="4AA1F44A" w:rsidR="003164F4" w:rsidRPr="004069B6" w:rsidDel="00644487" w:rsidRDefault="003164F4" w:rsidP="00D10880">
      <w:pPr>
        <w:pStyle w:val="Normalparatextwithnumbers"/>
      </w:pPr>
      <w:r>
        <w:t>The new s</w:t>
      </w:r>
      <w:r w:rsidRPr="00941BDB">
        <w:t xml:space="preserve">tatutory management </w:t>
      </w:r>
      <w:r>
        <w:t xml:space="preserve">power </w:t>
      </w:r>
      <w:r w:rsidRPr="004D6197">
        <w:t xml:space="preserve">allows the RBA to </w:t>
      </w:r>
      <w:r w:rsidRPr="00941BDB">
        <w:t>appoint itself or a third party to take control of a</w:t>
      </w:r>
      <w:r w:rsidRPr="004D6197">
        <w:t xml:space="preserve"> CS facility </w:t>
      </w:r>
      <w:r w:rsidR="003B299A">
        <w:t xml:space="preserve">and </w:t>
      </w:r>
      <w:r w:rsidR="00617400">
        <w:t xml:space="preserve">its related bodies corporate </w:t>
      </w:r>
      <w:r>
        <w:t>when a crisis condition is met.</w:t>
      </w:r>
      <w:r w:rsidRPr="00941BDB">
        <w:t xml:space="preserve"> Where a statutory manager is appointed to an entity, it replaces the board of directors and takes control of the entity. </w:t>
      </w:r>
      <w:r w:rsidR="0042599B">
        <w:t xml:space="preserve">The </w:t>
      </w:r>
      <w:r w:rsidR="0042599B" w:rsidRPr="00941BDB">
        <w:t>R</w:t>
      </w:r>
      <w:r w:rsidR="0042599B">
        <w:t>B</w:t>
      </w:r>
      <w:r w:rsidR="0042599B" w:rsidRPr="00941BDB">
        <w:t>A may need to use these powers to take control of a</w:t>
      </w:r>
      <w:r w:rsidR="0042599B">
        <w:t xml:space="preserve"> body corporate </w:t>
      </w:r>
      <w:r w:rsidR="0042599B" w:rsidRPr="004069B6">
        <w:t>to ensure that financial stability is prioritised</w:t>
      </w:r>
      <w:r w:rsidR="0042599B">
        <w:t>.</w:t>
      </w:r>
      <w:r>
        <w:br/>
      </w:r>
      <w:r w:rsidRPr="004069B6">
        <w:rPr>
          <w:rStyle w:val="References"/>
        </w:rPr>
        <w:t xml:space="preserve">[Schedule </w:t>
      </w:r>
      <w:r w:rsidR="00E773D4">
        <w:rPr>
          <w:rStyle w:val="References"/>
        </w:rPr>
        <w:t>1</w:t>
      </w:r>
      <w:r w:rsidRPr="004069B6">
        <w:rPr>
          <w:rStyle w:val="References"/>
        </w:rPr>
        <w:t xml:space="preserve">, item </w:t>
      </w:r>
      <w:r>
        <w:rPr>
          <w:rStyle w:val="References"/>
        </w:rPr>
        <w:t>1</w:t>
      </w:r>
      <w:r w:rsidR="00C568C9">
        <w:rPr>
          <w:rStyle w:val="References"/>
        </w:rPr>
        <w:t>4</w:t>
      </w:r>
      <w:r w:rsidRPr="004069B6">
        <w:rPr>
          <w:rStyle w:val="References"/>
        </w:rPr>
        <w:t xml:space="preserve">, </w:t>
      </w:r>
      <w:r w:rsidR="00035AA8">
        <w:rPr>
          <w:rStyle w:val="References"/>
        </w:rPr>
        <w:t>Division</w:t>
      </w:r>
      <w:r w:rsidR="00C568C9">
        <w:rPr>
          <w:rStyle w:val="References"/>
        </w:rPr>
        <w:t xml:space="preserve"> 3 of Part 7.3B</w:t>
      </w:r>
      <w:r w:rsidR="00035AA8">
        <w:rPr>
          <w:rStyle w:val="References"/>
        </w:rPr>
        <w:t xml:space="preserve"> </w:t>
      </w:r>
      <w:r w:rsidRPr="004069B6">
        <w:rPr>
          <w:rStyle w:val="References"/>
        </w:rPr>
        <w:t>of the Act]</w:t>
      </w:r>
    </w:p>
    <w:p w14:paraId="34FBA85A" w14:textId="6E81B26D" w:rsidR="003164F4" w:rsidRDefault="003164F4" w:rsidP="003164F4">
      <w:pPr>
        <w:pStyle w:val="Normalparatextwithnumbers"/>
      </w:pPr>
      <w:r w:rsidRPr="00EA594A">
        <w:t>The appointment of a statutory manager can help stabilise a failing entity, so that steps can be taken to implement an orderly resolution in a way that protects the interests of</w:t>
      </w:r>
      <w:r w:rsidRPr="009B71AE">
        <w:t xml:space="preserve"> participants </w:t>
      </w:r>
      <w:r w:rsidRPr="00EA594A">
        <w:t xml:space="preserve">and maintains financial system stability. Depending on the circumstances, this could include maintaining some or </w:t>
      </w:r>
      <w:proofErr w:type="gramStart"/>
      <w:r w:rsidRPr="00EA594A">
        <w:t>all of</w:t>
      </w:r>
      <w:proofErr w:type="gramEnd"/>
      <w:r w:rsidRPr="00EA594A">
        <w:t xml:space="preserve"> the entity as a going concern, recapitalising the entity, </w:t>
      </w:r>
      <w:r w:rsidRPr="009B71AE">
        <w:t xml:space="preserve">or </w:t>
      </w:r>
      <w:r w:rsidRPr="00EA594A">
        <w:t>facilitating the transfer of some or all of the business to another entity.</w:t>
      </w:r>
      <w:r>
        <w:t xml:space="preserve"> Given</w:t>
      </w:r>
      <w:r w:rsidRPr="00EA594A">
        <w:t xml:space="preserve"> the high level of intervention which it involves, statutory management would generally be used as a measure of last resort</w:t>
      </w:r>
      <w:r>
        <w:t>, however this is ultimately at the discretion of the RBA</w:t>
      </w:r>
      <w:r w:rsidRPr="00EA594A">
        <w:t>.</w:t>
      </w:r>
      <w:r w:rsidR="00267BDC" w:rsidRPr="00267BDC">
        <w:t xml:space="preserve"> </w:t>
      </w:r>
    </w:p>
    <w:p w14:paraId="42175E0C" w14:textId="11B8473E" w:rsidR="0042599B" w:rsidRDefault="0042599B" w:rsidP="005E7C91">
      <w:pPr>
        <w:pStyle w:val="Normalparatextwithnumbers"/>
      </w:pPr>
      <w:r>
        <w:t>In recognition that the use of statutory management powers could affect third party rights, including those of creditors, there are corresponding moratorium, recapitalisation, and immunity provisions.</w:t>
      </w:r>
      <w:r>
        <w:br/>
      </w:r>
      <w:r w:rsidRPr="0042599B">
        <w:rPr>
          <w:rStyle w:val="References"/>
        </w:rPr>
        <w:t>[Schedule 1, item 1</w:t>
      </w:r>
      <w:r>
        <w:rPr>
          <w:rStyle w:val="References"/>
        </w:rPr>
        <w:t>4</w:t>
      </w:r>
      <w:r w:rsidRPr="0042599B">
        <w:rPr>
          <w:rStyle w:val="References"/>
        </w:rPr>
        <w:t>, Divisions 3 and 5 of the Act]</w:t>
      </w:r>
    </w:p>
    <w:p w14:paraId="6CF20AE3" w14:textId="77777777" w:rsidR="003164F4" w:rsidRPr="00EE6B53" w:rsidRDefault="003164F4" w:rsidP="003164F4">
      <w:pPr>
        <w:pStyle w:val="Heading6"/>
        <w:rPr>
          <w:rFonts w:hint="eastAsia"/>
        </w:rPr>
      </w:pPr>
      <w:r w:rsidRPr="00EE6B53">
        <w:t xml:space="preserve">Transfer </w:t>
      </w:r>
    </w:p>
    <w:p w14:paraId="1C989357" w14:textId="36827879" w:rsidR="003164F4" w:rsidRPr="00C8096C" w:rsidRDefault="003164F4" w:rsidP="003164F4">
      <w:pPr>
        <w:pStyle w:val="Normalparatextwithnumbers"/>
        <w:rPr>
          <w:rStyle w:val="References"/>
          <w:b w:val="0"/>
          <w:bCs w:val="0"/>
          <w:i w:val="0"/>
          <w:iCs w:val="0"/>
        </w:rPr>
      </w:pPr>
      <w:r>
        <w:t xml:space="preserve">The compulsory transfer of </w:t>
      </w:r>
      <w:r w:rsidR="0042599B">
        <w:t xml:space="preserve">shares and </w:t>
      </w:r>
      <w:r>
        <w:t>business powers</w:t>
      </w:r>
      <w:r w:rsidDel="00D33327">
        <w:t xml:space="preserve"> </w:t>
      </w:r>
      <w:r>
        <w:t xml:space="preserve">are an important tool in the RBA’s crisis resolution toolkit. The transfer powers enable some or </w:t>
      </w:r>
      <w:proofErr w:type="gramStart"/>
      <w:r>
        <w:t>all of</w:t>
      </w:r>
      <w:proofErr w:type="gramEnd"/>
      <w:r>
        <w:t xml:space="preserve"> the </w:t>
      </w:r>
      <w:r w:rsidR="0042599B">
        <w:t xml:space="preserve">shares or </w:t>
      </w:r>
      <w:r>
        <w:t>business of a body corporate (including assets, liabilities, legal rights and obligations, data and systems) to be transferred to another consenting body corporate.</w:t>
      </w:r>
      <w:r>
        <w:br/>
      </w:r>
      <w:r>
        <w:rPr>
          <w:rStyle w:val="References"/>
        </w:rPr>
        <w:t xml:space="preserve">[Schedule </w:t>
      </w:r>
      <w:r w:rsidR="00E773D4">
        <w:rPr>
          <w:rStyle w:val="References"/>
        </w:rPr>
        <w:t>1</w:t>
      </w:r>
      <w:r>
        <w:rPr>
          <w:rStyle w:val="References"/>
        </w:rPr>
        <w:t xml:space="preserve">, </w:t>
      </w:r>
      <w:r w:rsidR="00C568C9">
        <w:rPr>
          <w:rStyle w:val="References"/>
        </w:rPr>
        <w:t>item 14</w:t>
      </w:r>
      <w:r>
        <w:rPr>
          <w:rStyle w:val="References"/>
        </w:rPr>
        <w:t xml:space="preserve">, </w:t>
      </w:r>
      <w:r w:rsidR="00035AA8">
        <w:rPr>
          <w:rStyle w:val="References"/>
        </w:rPr>
        <w:t xml:space="preserve">Division </w:t>
      </w:r>
      <w:r w:rsidR="00C568C9">
        <w:rPr>
          <w:rStyle w:val="References"/>
        </w:rPr>
        <w:t xml:space="preserve">4 </w:t>
      </w:r>
      <w:r>
        <w:rPr>
          <w:rStyle w:val="References"/>
        </w:rPr>
        <w:t>of the Act]</w:t>
      </w:r>
    </w:p>
    <w:p w14:paraId="2459213C" w14:textId="77777777" w:rsidR="003164F4" w:rsidRPr="00EE6B53" w:rsidRDefault="003164F4" w:rsidP="003164F4">
      <w:pPr>
        <w:pStyle w:val="Heading6"/>
        <w:rPr>
          <w:rFonts w:hint="eastAsia"/>
        </w:rPr>
      </w:pPr>
      <w:r w:rsidRPr="00EE6B53">
        <w:t>Directions</w:t>
      </w:r>
    </w:p>
    <w:p w14:paraId="0A5CD038" w14:textId="4F13F4A1" w:rsidR="003164F4" w:rsidRDefault="003164F4" w:rsidP="003164F4">
      <w:pPr>
        <w:pStyle w:val="Normalparatextwithnumbers"/>
      </w:pPr>
      <w:r>
        <w:t xml:space="preserve">Directions powers enable the RBA to compel a CS facility </w:t>
      </w:r>
      <w:r w:rsidR="001A0304">
        <w:t>licensee</w:t>
      </w:r>
      <w:r>
        <w:t xml:space="preserve"> </w:t>
      </w:r>
      <w:r w:rsidR="0042599B">
        <w:t xml:space="preserve">and/or related body corporates </w:t>
      </w:r>
      <w:r>
        <w:t>to take</w:t>
      </w:r>
      <w:r w:rsidR="00743D7D">
        <w:t>, or refrain from taking,</w:t>
      </w:r>
      <w:r>
        <w:t xml:space="preserve"> specific action to address issues</w:t>
      </w:r>
      <w:r w:rsidR="00E74D67">
        <w:t xml:space="preserve"> of concern</w:t>
      </w:r>
      <w:r>
        <w:t xml:space="preserve"> that have been identified. </w:t>
      </w:r>
      <w:r w:rsidR="00351678">
        <w:t>For example, d</w:t>
      </w:r>
      <w:r>
        <w:t xml:space="preserve">irections powers </w:t>
      </w:r>
      <w:r w:rsidR="00351678">
        <w:t>may be used</w:t>
      </w:r>
      <w:r>
        <w:t xml:space="preserve"> to limit further deterioration to the critical functioning of CS </w:t>
      </w:r>
      <w:r w:rsidR="00861326">
        <w:t xml:space="preserve">facility </w:t>
      </w:r>
      <w:r>
        <w:t>services in a period of emerging stress, and to facilitate the resolution of a distressed regulated entity.</w:t>
      </w:r>
    </w:p>
    <w:p w14:paraId="25ACAA85" w14:textId="41ED0994" w:rsidR="003164F4" w:rsidRPr="007B6954" w:rsidRDefault="003164F4" w:rsidP="003164F4">
      <w:pPr>
        <w:pStyle w:val="Normalparatextwithnumbers"/>
      </w:pPr>
      <w:r w:rsidRPr="007B6954">
        <w:lastRenderedPageBreak/>
        <w:t xml:space="preserve">Directions </w:t>
      </w:r>
      <w:r w:rsidR="00351678">
        <w:t xml:space="preserve">are intended to allow </w:t>
      </w:r>
      <w:r w:rsidRPr="007B6954">
        <w:t xml:space="preserve">the </w:t>
      </w:r>
      <w:r>
        <w:t>RBA</w:t>
      </w:r>
      <w:r w:rsidRPr="007B6954">
        <w:t xml:space="preserve"> </w:t>
      </w:r>
      <w:r w:rsidR="00351678">
        <w:t>to</w:t>
      </w:r>
      <w:r w:rsidR="00CA3C7C">
        <w:t xml:space="preserve"> </w:t>
      </w:r>
      <w:r w:rsidRPr="007B6954">
        <w:t xml:space="preserve">respond in a timely and decisive way to emerging </w:t>
      </w:r>
      <w:r>
        <w:t>CS facility</w:t>
      </w:r>
      <w:r w:rsidRPr="007B6954">
        <w:t xml:space="preserve"> </w:t>
      </w:r>
      <w:r w:rsidR="00CA3C7C">
        <w:t>issues</w:t>
      </w:r>
      <w:r w:rsidRPr="007B6954">
        <w:t xml:space="preserve">. </w:t>
      </w:r>
    </w:p>
    <w:p w14:paraId="6C16704E" w14:textId="3D953DB2" w:rsidR="003164F4" w:rsidRDefault="007E7F71" w:rsidP="003164F4">
      <w:pPr>
        <w:pStyle w:val="Normalparatextwithnumbers"/>
      </w:pPr>
      <w:r>
        <w:t xml:space="preserve">Introducing a specific immunity provision for a body corporate, its directors and other officers when complying with a RBA direction will mitigate the risk of </w:t>
      </w:r>
      <w:r w:rsidR="003164F4">
        <w:t xml:space="preserve">potential conflicts </w:t>
      </w:r>
      <w:r w:rsidR="00F401A3">
        <w:t>in</w:t>
      </w:r>
      <w:r w:rsidR="003164F4">
        <w:t xml:space="preserve"> </w:t>
      </w:r>
      <w:r w:rsidR="00CA3C7C">
        <w:t xml:space="preserve">obligations </w:t>
      </w:r>
      <w:r w:rsidR="003164F4">
        <w:t>that may give rise to delay, or impede the effectiveness of the direction, particularly in a crisis.</w:t>
      </w:r>
      <w:r>
        <w:t xml:space="preserve"> </w:t>
      </w:r>
      <w:r w:rsidR="003164F4">
        <w:t>The directions power:</w:t>
      </w:r>
    </w:p>
    <w:p w14:paraId="33DF3ED2" w14:textId="0C931DDB" w:rsidR="003164F4" w:rsidRDefault="004A5B53" w:rsidP="00C568C9">
      <w:pPr>
        <w:pStyle w:val="Dotpoint1"/>
      </w:pPr>
      <w:r>
        <w:t xml:space="preserve">may </w:t>
      </w:r>
      <w:r w:rsidR="003164F4" w:rsidRPr="00544B13">
        <w:t>requir</w:t>
      </w:r>
      <w:r w:rsidR="003164F4">
        <w:t>e</w:t>
      </w:r>
      <w:r w:rsidR="003164F4" w:rsidRPr="00544B13">
        <w:t xml:space="preserve"> entities to take specified actions to facilitate </w:t>
      </w:r>
      <w:proofErr w:type="gramStart"/>
      <w:r w:rsidR="003164F4" w:rsidRPr="00544B13">
        <w:t>resolution</w:t>
      </w:r>
      <w:r w:rsidR="008502AC">
        <w:t>;</w:t>
      </w:r>
      <w:proofErr w:type="gramEnd"/>
      <w:r>
        <w:t xml:space="preserve"> </w:t>
      </w:r>
    </w:p>
    <w:p w14:paraId="1679DA14" w14:textId="216CA1B8" w:rsidR="003164F4" w:rsidRDefault="003164F4" w:rsidP="00C568C9">
      <w:pPr>
        <w:pStyle w:val="Dotpoint1"/>
      </w:pPr>
      <w:r>
        <w:t xml:space="preserve">may be </w:t>
      </w:r>
      <w:r w:rsidR="00944644">
        <w:t>used</w:t>
      </w:r>
      <w:r>
        <w:t xml:space="preserve"> </w:t>
      </w:r>
      <w:r w:rsidRPr="00544B13">
        <w:t xml:space="preserve">despite external support being in </w:t>
      </w:r>
      <w:proofErr w:type="gramStart"/>
      <w:r w:rsidRPr="00544B13">
        <w:t>place;</w:t>
      </w:r>
      <w:proofErr w:type="gramEnd"/>
    </w:p>
    <w:p w14:paraId="5BAFF84C" w14:textId="10A4919E" w:rsidR="003164F4" w:rsidRPr="00544B13" w:rsidRDefault="003164F4" w:rsidP="00C568C9">
      <w:pPr>
        <w:pStyle w:val="Dotpoint1"/>
        <w:rPr>
          <w:color w:val="000000"/>
        </w:rPr>
      </w:pPr>
      <w:r w:rsidRPr="00544B13">
        <w:rPr>
          <w:color w:val="000000"/>
        </w:rPr>
        <w:t>ensure</w:t>
      </w:r>
      <w:r>
        <w:rPr>
          <w:color w:val="000000"/>
        </w:rPr>
        <w:t>s</w:t>
      </w:r>
      <w:r w:rsidRPr="00544B13">
        <w:rPr>
          <w:color w:val="000000"/>
        </w:rPr>
        <w:t xml:space="preserve"> that complying with an </w:t>
      </w:r>
      <w:r>
        <w:rPr>
          <w:color w:val="000000"/>
        </w:rPr>
        <w:t>RBA</w:t>
      </w:r>
      <w:r w:rsidRPr="00544B13">
        <w:rPr>
          <w:color w:val="000000"/>
        </w:rPr>
        <w:t xml:space="preserve"> direction will not be grounds for an entity, its directors or management to be held liable under any other law (subject to a good faith and reasonableness test);</w:t>
      </w:r>
      <w:r w:rsidR="007E7F71">
        <w:rPr>
          <w:color w:val="000000"/>
        </w:rPr>
        <w:t xml:space="preserve"> and</w:t>
      </w:r>
    </w:p>
    <w:p w14:paraId="08D55CF2" w14:textId="77777777" w:rsidR="003164F4" w:rsidRPr="001B55CE" w:rsidRDefault="003164F4" w:rsidP="00C568C9">
      <w:pPr>
        <w:pStyle w:val="Dotpoint1"/>
        <w:rPr>
          <w:color w:val="000000"/>
        </w:rPr>
      </w:pPr>
      <w:r w:rsidRPr="00544B13">
        <w:rPr>
          <w:color w:val="000000"/>
        </w:rPr>
        <w:t>provide</w:t>
      </w:r>
      <w:r>
        <w:rPr>
          <w:color w:val="000000"/>
        </w:rPr>
        <w:t xml:space="preserve">s </w:t>
      </w:r>
      <w:r w:rsidRPr="00544B13">
        <w:rPr>
          <w:color w:val="000000"/>
        </w:rPr>
        <w:t xml:space="preserve">for </w:t>
      </w:r>
      <w:r>
        <w:rPr>
          <w:color w:val="000000"/>
        </w:rPr>
        <w:t xml:space="preserve">the </w:t>
      </w:r>
      <w:r w:rsidRPr="00544B13">
        <w:rPr>
          <w:color w:val="000000"/>
        </w:rPr>
        <w:t>R</w:t>
      </w:r>
      <w:r>
        <w:rPr>
          <w:color w:val="000000"/>
        </w:rPr>
        <w:t>B</w:t>
      </w:r>
      <w:r w:rsidRPr="00544B13">
        <w:rPr>
          <w:color w:val="000000"/>
        </w:rPr>
        <w:t>A to determine that the giving of a direction should be confidential in certain circumstances.</w:t>
      </w:r>
    </w:p>
    <w:p w14:paraId="7C5B6183" w14:textId="2E9720D6" w:rsidR="003164F4" w:rsidRPr="00A873ED" w:rsidRDefault="003164F4" w:rsidP="003164F4">
      <w:pPr>
        <w:pStyle w:val="Heading6"/>
        <w:rPr>
          <w:rFonts w:hint="eastAsia"/>
        </w:rPr>
      </w:pPr>
      <w:r>
        <w:t>Stays</w:t>
      </w:r>
      <w:r w:rsidR="00B667C1">
        <w:t xml:space="preserve"> and moratorium</w:t>
      </w:r>
      <w:r w:rsidR="00244FA9">
        <w:t xml:space="preserve"> </w:t>
      </w:r>
      <w:proofErr w:type="gramStart"/>
      <w:r w:rsidR="00244FA9">
        <w:t>provision</w:t>
      </w:r>
      <w:r w:rsidR="00B667C1">
        <w:t>s</w:t>
      </w:r>
      <w:proofErr w:type="gramEnd"/>
    </w:p>
    <w:p w14:paraId="58B8E83B" w14:textId="4123DF6C" w:rsidR="003164F4" w:rsidRPr="00C41FF0" w:rsidRDefault="003164F4" w:rsidP="003164F4">
      <w:pPr>
        <w:pStyle w:val="Normalparatextwithnumbers"/>
      </w:pPr>
      <w:r w:rsidRPr="00C41FF0">
        <w:t xml:space="preserve">An important aspect of the resolution regime is the operation of the stay </w:t>
      </w:r>
      <w:r w:rsidR="00373C9E">
        <w:t xml:space="preserve">and </w:t>
      </w:r>
      <w:r w:rsidR="00626DEC">
        <w:t xml:space="preserve">moratorium </w:t>
      </w:r>
      <w:r w:rsidRPr="00C41FF0">
        <w:t xml:space="preserve">provisions. These provisions prevent </w:t>
      </w:r>
      <w:r w:rsidR="00373C9E">
        <w:t xml:space="preserve">third parties, including creditors and </w:t>
      </w:r>
      <w:r w:rsidRPr="00C41FF0">
        <w:t xml:space="preserve">counterparties of a failing </w:t>
      </w:r>
      <w:r w:rsidR="00373C9E">
        <w:t xml:space="preserve">body corporate </w:t>
      </w:r>
      <w:r w:rsidRPr="00C41FF0">
        <w:t xml:space="preserve">from </w:t>
      </w:r>
      <w:r>
        <w:t>exercising contractual rights</w:t>
      </w:r>
      <w:r w:rsidRPr="00C41FF0">
        <w:t xml:space="preserve"> </w:t>
      </w:r>
      <w:r>
        <w:t xml:space="preserve">solely </w:t>
      </w:r>
      <w:r w:rsidRPr="00C41FF0">
        <w:t xml:space="preserve">on the grounds </w:t>
      </w:r>
      <w:r>
        <w:t>that the RBA</w:t>
      </w:r>
      <w:r w:rsidRPr="00C41FF0">
        <w:t xml:space="preserve"> </w:t>
      </w:r>
      <w:r>
        <w:t>has</w:t>
      </w:r>
      <w:r w:rsidRPr="00C41FF0">
        <w:t xml:space="preserve"> exercis</w:t>
      </w:r>
      <w:r>
        <w:t>ed</w:t>
      </w:r>
      <w:r w:rsidRPr="00C41FF0">
        <w:t xml:space="preserve"> its powers (including directions, statutory management and transfer powers) in respect of the </w:t>
      </w:r>
      <w:r w:rsidR="00F401A3">
        <w:t>body corporate</w:t>
      </w:r>
      <w:r w:rsidRPr="00C41FF0">
        <w:t xml:space="preserve">. This is important in ensuring that pre-emptive actions by counterparties do not impede the ability for </w:t>
      </w:r>
      <w:r>
        <w:t>the RBA</w:t>
      </w:r>
      <w:r w:rsidRPr="00C41FF0">
        <w:t xml:space="preserve"> to implement an orderly resolution.</w:t>
      </w:r>
      <w:r w:rsidR="00373C9E" w:rsidRPr="00373C9E">
        <w:rPr>
          <w:rStyle w:val="References"/>
        </w:rPr>
        <w:t xml:space="preserve"> </w:t>
      </w:r>
      <w:r w:rsidR="00373C9E">
        <w:rPr>
          <w:rStyle w:val="References"/>
        </w:rPr>
        <w:br/>
        <w:t>[Schedule 1, item 14, Divisions 5 and 8 of the Act]</w:t>
      </w:r>
    </w:p>
    <w:p w14:paraId="48B21333" w14:textId="3113665B" w:rsidR="003164F4" w:rsidRPr="00C41FF0" w:rsidRDefault="003164F4" w:rsidP="003164F4">
      <w:pPr>
        <w:pStyle w:val="Normalparatextwithnumbers"/>
      </w:pPr>
      <w:r>
        <w:t xml:space="preserve">The </w:t>
      </w:r>
      <w:r w:rsidRPr="00C41FF0">
        <w:t>extend</w:t>
      </w:r>
      <w:r>
        <w:t>ed</w:t>
      </w:r>
      <w:r w:rsidRPr="00C41FF0">
        <w:t xml:space="preserve"> scope of certain powers to group entities </w:t>
      </w:r>
      <w:r>
        <w:t xml:space="preserve">means corresponding </w:t>
      </w:r>
      <w:r w:rsidRPr="00C41FF0">
        <w:t xml:space="preserve">stay provisions </w:t>
      </w:r>
      <w:r>
        <w:t xml:space="preserve">are required </w:t>
      </w:r>
      <w:r w:rsidRPr="00C41FF0">
        <w:t xml:space="preserve">to ensure that the exercise of crisis powers by </w:t>
      </w:r>
      <w:r>
        <w:t>the RBA</w:t>
      </w:r>
      <w:r w:rsidRPr="00C41FF0">
        <w:t xml:space="preserve"> does not give rise to termination or other legal rights in contracts of entities within the same relevant group of bodies corporate (</w:t>
      </w:r>
      <w:r>
        <w:t xml:space="preserve">for example, </w:t>
      </w:r>
      <w:r w:rsidRPr="00C41FF0">
        <w:t>a group comprising a</w:t>
      </w:r>
      <w:r>
        <w:t xml:space="preserve"> CS facility </w:t>
      </w:r>
      <w:r w:rsidRPr="00C41FF0">
        <w:t>and its subsidiaries)</w:t>
      </w:r>
      <w:r>
        <w:t xml:space="preserve"> where the exercise of these rights against a related body corporate would undermine the resolution of, or continuity of services by, the</w:t>
      </w:r>
      <w:r w:rsidR="00375BA9">
        <w:t xml:space="preserve"> CS facility</w:t>
      </w:r>
      <w:r>
        <w:t xml:space="preserve"> licensee</w:t>
      </w:r>
      <w:r w:rsidRPr="00C41FF0">
        <w:t>.</w:t>
      </w:r>
    </w:p>
    <w:p w14:paraId="7297575A" w14:textId="26B4A731" w:rsidR="003164F4" w:rsidRPr="00C8096C" w:rsidRDefault="003164F4" w:rsidP="003164F4">
      <w:pPr>
        <w:pStyle w:val="Normalparatextwithnumbers"/>
        <w:rPr>
          <w:rStyle w:val="References"/>
          <w:b w:val="0"/>
          <w:bCs w:val="0"/>
          <w:i w:val="0"/>
          <w:iCs w:val="0"/>
        </w:rPr>
      </w:pPr>
      <w:r w:rsidRPr="00C41FF0">
        <w:t xml:space="preserve">A further important element of the resolution regime is the interaction of the stay provisions with the PSN Act. The PSN Act overrides a range of laws in order to ensure the validity of certain provisions relating to netting and the payments systems covered by the PSN Act. </w:t>
      </w:r>
      <w:proofErr w:type="gramStart"/>
      <w:r w:rsidR="00E46B57">
        <w:t>In particular, to</w:t>
      </w:r>
      <w:proofErr w:type="gramEnd"/>
      <w:r w:rsidR="00E46B57">
        <w:t xml:space="preserve"> ensure consistency and alignment with existing laws, the d</w:t>
      </w:r>
      <w:r>
        <w:t xml:space="preserve">efinition for close-out netting contracts </w:t>
      </w:r>
      <w:r w:rsidR="00E46B57">
        <w:t xml:space="preserve">is </w:t>
      </w:r>
      <w:r>
        <w:t>included in section 9 of the Act</w:t>
      </w:r>
      <w:r w:rsidR="00E46B57">
        <w:t xml:space="preserve"> which</w:t>
      </w:r>
      <w:r>
        <w:t xml:space="preserve"> has the same meaning as in the PSN Act</w:t>
      </w:r>
      <w:r w:rsidR="00E46B57">
        <w:t xml:space="preserve">. </w:t>
      </w:r>
      <w:r>
        <w:br/>
      </w:r>
      <w:r>
        <w:rPr>
          <w:rStyle w:val="References"/>
        </w:rPr>
        <w:t xml:space="preserve">[Schedule </w:t>
      </w:r>
      <w:r w:rsidR="00E773D4">
        <w:rPr>
          <w:rStyle w:val="References"/>
        </w:rPr>
        <w:t>1</w:t>
      </w:r>
      <w:r>
        <w:rPr>
          <w:rStyle w:val="References"/>
        </w:rPr>
        <w:t>, item 1, section 9 of the Act]</w:t>
      </w:r>
    </w:p>
    <w:p w14:paraId="6EE40C90" w14:textId="564AB6D7" w:rsidR="00A161FC" w:rsidRDefault="00A161FC" w:rsidP="00964B08">
      <w:pPr>
        <w:pStyle w:val="Heading5"/>
      </w:pPr>
      <w:r>
        <w:lastRenderedPageBreak/>
        <w:t xml:space="preserve">When can </w:t>
      </w:r>
      <w:r w:rsidR="00E46B57">
        <w:t xml:space="preserve">the </w:t>
      </w:r>
      <w:r>
        <w:t xml:space="preserve">resolution powers </w:t>
      </w:r>
      <w:r w:rsidR="00E46B57">
        <w:t>be used</w:t>
      </w:r>
      <w:r>
        <w:t xml:space="preserve">? </w:t>
      </w:r>
    </w:p>
    <w:p w14:paraId="3DC2E20E" w14:textId="44A5D11A" w:rsidR="00A161FC" w:rsidRDefault="00A161FC" w:rsidP="00125C2C">
      <w:pPr>
        <w:pStyle w:val="Normalparatextwithnumbers"/>
      </w:pPr>
      <w:bookmarkStart w:id="53" w:name="_Ref137548893"/>
      <w:r>
        <w:t xml:space="preserve">The </w:t>
      </w:r>
      <w:r w:rsidR="004D4BAC">
        <w:t>RBA</w:t>
      </w:r>
      <w:r>
        <w:t xml:space="preserve"> may only exercise its resolution powers</w:t>
      </w:r>
      <w:r w:rsidR="00D8269D">
        <w:t xml:space="preserve"> in relation to a domestic CS facility licensee</w:t>
      </w:r>
      <w:r>
        <w:t xml:space="preserve"> after at least one condition for resolution has been met.</w:t>
      </w:r>
      <w:r w:rsidR="00AF3303">
        <w:t xml:space="preserve"> There are separate conditions to enact resolution powers for overseas licensees which is discussed in further detail at paragraph </w:t>
      </w:r>
      <w:r w:rsidR="0028259D">
        <w:t>1.691.69</w:t>
      </w:r>
      <w:r w:rsidR="00AF3303">
        <w:t>.</w:t>
      </w:r>
      <w:r>
        <w:t xml:space="preserve"> </w:t>
      </w:r>
      <w:r w:rsidR="00887D1E">
        <w:t>In determining whether a condition of resolution has been met, t</w:t>
      </w:r>
      <w:r>
        <w:t xml:space="preserve">he </w:t>
      </w:r>
      <w:r w:rsidR="004D4BAC">
        <w:t>RBA</w:t>
      </w:r>
      <w:r>
        <w:t xml:space="preserve"> </w:t>
      </w:r>
      <w:r w:rsidR="00887D1E">
        <w:t>must reasonably believe that there is a threat to the stability of the Australian financial system or the ability of the licensee to continue to provide one or more CS facility services that are critical to the functioning of the financial system in Australia which could occur when</w:t>
      </w:r>
      <w:r>
        <w:t>:</w:t>
      </w:r>
      <w:bookmarkEnd w:id="53"/>
    </w:p>
    <w:p w14:paraId="786702BB" w14:textId="2F36F292" w:rsidR="00A161FC" w:rsidRDefault="00A161FC" w:rsidP="00A161FC">
      <w:pPr>
        <w:pStyle w:val="Dotpoint1"/>
      </w:pPr>
      <w:r>
        <w:t xml:space="preserve">a domestic CS facility licensee requests the </w:t>
      </w:r>
      <w:r w:rsidR="004D4BAC">
        <w:t>RBA</w:t>
      </w:r>
      <w:r>
        <w:t xml:space="preserve">’s </w:t>
      </w:r>
      <w:proofErr w:type="gramStart"/>
      <w:r>
        <w:t>assistance;</w:t>
      </w:r>
      <w:proofErr w:type="gramEnd"/>
      <w:r>
        <w:t xml:space="preserve"> </w:t>
      </w:r>
    </w:p>
    <w:p w14:paraId="22E0C35C" w14:textId="18D16218" w:rsidR="00A161FC" w:rsidRDefault="00A161FC" w:rsidP="00A161FC">
      <w:pPr>
        <w:pStyle w:val="Dotpoint1"/>
      </w:pPr>
      <w:r>
        <w:t>a domestic CS facility licensee has contravened a direction</w:t>
      </w:r>
      <w:r w:rsidR="00D8269D">
        <w:t xml:space="preserve"> from the </w:t>
      </w:r>
      <w:proofErr w:type="gramStart"/>
      <w:r w:rsidR="00D8269D">
        <w:t>RBA</w:t>
      </w:r>
      <w:r>
        <w:t>;</w:t>
      </w:r>
      <w:proofErr w:type="gramEnd"/>
    </w:p>
    <w:p w14:paraId="387E64B8" w14:textId="77777777" w:rsidR="00887D1E" w:rsidRDefault="00887D1E" w:rsidP="00887D1E">
      <w:pPr>
        <w:pStyle w:val="Dotpoint1"/>
      </w:pPr>
      <w:r>
        <w:t xml:space="preserve">the licensee notifies the RBA that the licensee has ceased, intends to cease or is likely to cease providing CS facility </w:t>
      </w:r>
      <w:proofErr w:type="gramStart"/>
      <w:r>
        <w:t>services;</w:t>
      </w:r>
      <w:proofErr w:type="gramEnd"/>
    </w:p>
    <w:p w14:paraId="63EAACAD" w14:textId="77777777" w:rsidR="00887D1E" w:rsidRDefault="00887D1E" w:rsidP="00887D1E">
      <w:pPr>
        <w:pStyle w:val="Dotpoint1"/>
      </w:pPr>
      <w:r>
        <w:t xml:space="preserve">the licensee notifies the RBA its financial viability is or is likely to be at </w:t>
      </w:r>
      <w:proofErr w:type="gramStart"/>
      <w:r>
        <w:t>risk;</w:t>
      </w:r>
      <w:proofErr w:type="gramEnd"/>
    </w:p>
    <w:p w14:paraId="351BC865" w14:textId="5A431C42" w:rsidR="00A161FC" w:rsidRDefault="00A161FC" w:rsidP="00A161FC">
      <w:pPr>
        <w:pStyle w:val="Dotpoint1"/>
      </w:pPr>
      <w:r>
        <w:t>an external administrator is intended to be appointed</w:t>
      </w:r>
      <w:r w:rsidR="008B3FF5">
        <w:t xml:space="preserve"> or has been appointed</w:t>
      </w:r>
      <w:r>
        <w:t>; or</w:t>
      </w:r>
    </w:p>
    <w:p w14:paraId="05E3A0CA" w14:textId="2F42357C" w:rsidR="00A161FC" w:rsidRDefault="00A161FC" w:rsidP="00A161FC">
      <w:pPr>
        <w:pStyle w:val="Dotpoint1"/>
      </w:pPr>
      <w:r>
        <w:t xml:space="preserve">the </w:t>
      </w:r>
      <w:r w:rsidR="004D4BAC">
        <w:t>RBA</w:t>
      </w:r>
      <w:r>
        <w:t xml:space="preserve"> anticipates or identifies a threat to financial stability.</w:t>
      </w:r>
    </w:p>
    <w:p w14:paraId="4E933FC5" w14:textId="74494989" w:rsidR="0073500A" w:rsidRDefault="00A161FC" w:rsidP="00125C2C">
      <w:pPr>
        <w:pStyle w:val="Normalparatextwithnumbers"/>
      </w:pPr>
      <w:r>
        <w:t>Upon determining that one of the conditions for resolution has been met</w:t>
      </w:r>
      <w:r w:rsidR="00D11329">
        <w:t>,</w:t>
      </w:r>
      <w:r>
        <w:t xml:space="preserve"> the </w:t>
      </w:r>
      <w:r w:rsidR="004D4BAC">
        <w:t>RBA</w:t>
      </w:r>
      <w:r>
        <w:t xml:space="preserve"> may access any power </w:t>
      </w:r>
      <w:r w:rsidR="00385326">
        <w:t>given to it by Schedule</w:t>
      </w:r>
      <w:r>
        <w:t xml:space="preserve"> </w:t>
      </w:r>
      <w:r w:rsidR="005417AF">
        <w:t xml:space="preserve">1 </w:t>
      </w:r>
      <w:r>
        <w:t xml:space="preserve">(discussed in detail below). </w:t>
      </w:r>
    </w:p>
    <w:p w14:paraId="14F9B3DA" w14:textId="507D945F" w:rsidR="00CA180C" w:rsidRPr="00E773D4" w:rsidRDefault="00A161FC" w:rsidP="00C8096C">
      <w:pPr>
        <w:pStyle w:val="Normalparatextwithnumbers"/>
        <w:rPr>
          <w:rStyle w:val="References"/>
          <w:b w:val="0"/>
          <w:i w:val="0"/>
        </w:rPr>
      </w:pPr>
      <w:r>
        <w:t>It is ultimately at the discretion of the RBA</w:t>
      </w:r>
      <w:r w:rsidR="005417AF">
        <w:t xml:space="preserve"> </w:t>
      </w:r>
      <w:r w:rsidR="008B38A2">
        <w:t>to</w:t>
      </w:r>
      <w:r w:rsidR="005417AF">
        <w:t xml:space="preserve"> if it is reasonably </w:t>
      </w:r>
      <w:proofErr w:type="gramStart"/>
      <w:r w:rsidR="005417AF">
        <w:t>believe</w:t>
      </w:r>
      <w:r w:rsidR="008B38A2">
        <w:t>s</w:t>
      </w:r>
      <w:proofErr w:type="gramEnd"/>
      <w:r w:rsidR="005417AF">
        <w:t xml:space="preserve"> that </w:t>
      </w:r>
      <w:r>
        <w:t>a condition is satisfied.</w:t>
      </w:r>
      <w:r w:rsidR="0073500A">
        <w:t xml:space="preserve"> </w:t>
      </w:r>
      <w:r w:rsidR="00423370">
        <w:t xml:space="preserve">Resolution powers are intended to be used </w:t>
      </w:r>
      <w:r w:rsidR="005B75F0">
        <w:t xml:space="preserve">where </w:t>
      </w:r>
      <w:r w:rsidR="0073500A" w:rsidRPr="001F42E9">
        <w:t xml:space="preserve">the </w:t>
      </w:r>
      <w:r w:rsidR="0073500A">
        <w:t>circumstances</w:t>
      </w:r>
      <w:r w:rsidR="0008645A">
        <w:t xml:space="preserve"> </w:t>
      </w:r>
      <w:r w:rsidR="0073500A" w:rsidRPr="001F42E9">
        <w:t>pose</w:t>
      </w:r>
      <w:r w:rsidR="0008645A">
        <w:t xml:space="preserve"> </w:t>
      </w:r>
      <w:r w:rsidR="0073500A" w:rsidRPr="001F42E9">
        <w:t>a significant threat to the continuity of the CS facility or the stability of the financial system in Australia.</w:t>
      </w:r>
      <w:r w:rsidR="00C8096C">
        <w:br/>
      </w:r>
      <w:r w:rsidR="00CA180C" w:rsidRPr="00CE48F5">
        <w:rPr>
          <w:rStyle w:val="References"/>
        </w:rPr>
        <w:t xml:space="preserve">[Schedule </w:t>
      </w:r>
      <w:r w:rsidR="00E773D4">
        <w:rPr>
          <w:rStyle w:val="References"/>
        </w:rPr>
        <w:t>1</w:t>
      </w:r>
      <w:r w:rsidR="00CA180C" w:rsidRPr="00CE48F5">
        <w:rPr>
          <w:rStyle w:val="References"/>
        </w:rPr>
        <w:t xml:space="preserve">, </w:t>
      </w:r>
      <w:r w:rsidR="00C568C9">
        <w:rPr>
          <w:rStyle w:val="References"/>
        </w:rPr>
        <w:t>item 14</w:t>
      </w:r>
      <w:r w:rsidR="00CA180C" w:rsidRPr="00CE48F5">
        <w:rPr>
          <w:rStyle w:val="References"/>
        </w:rPr>
        <w:t xml:space="preserve">, </w:t>
      </w:r>
      <w:r w:rsidR="00F66C88">
        <w:rPr>
          <w:rStyle w:val="References"/>
        </w:rPr>
        <w:t>sub</w:t>
      </w:r>
      <w:r w:rsidR="00CA180C" w:rsidRPr="00CE48F5">
        <w:rPr>
          <w:rStyle w:val="References"/>
        </w:rPr>
        <w:t>section 831</w:t>
      </w:r>
      <w:proofErr w:type="gramStart"/>
      <w:r w:rsidR="00CA180C" w:rsidRPr="00CE48F5">
        <w:rPr>
          <w:rStyle w:val="References"/>
        </w:rPr>
        <w:t>A</w:t>
      </w:r>
      <w:r w:rsidR="00F66C88">
        <w:rPr>
          <w:rStyle w:val="References"/>
        </w:rPr>
        <w:t>(</w:t>
      </w:r>
      <w:proofErr w:type="gramEnd"/>
      <w:r w:rsidR="00F66C88">
        <w:rPr>
          <w:rStyle w:val="References"/>
        </w:rPr>
        <w:t>1)</w:t>
      </w:r>
      <w:r w:rsidR="00CA180C" w:rsidRPr="00CE48F5">
        <w:rPr>
          <w:rStyle w:val="References"/>
        </w:rPr>
        <w:t xml:space="preserve"> of the Act]</w:t>
      </w:r>
    </w:p>
    <w:p w14:paraId="7698F287" w14:textId="7CB1D567" w:rsidR="00964B08" w:rsidRDefault="00964B08" w:rsidP="00964B08">
      <w:pPr>
        <w:pStyle w:val="Heading6"/>
        <w:rPr>
          <w:rFonts w:hint="eastAsia"/>
        </w:rPr>
      </w:pPr>
      <w:r>
        <w:t>Recognising a</w:t>
      </w:r>
      <w:r w:rsidR="00166D52">
        <w:t>n overseas</w:t>
      </w:r>
      <w:r>
        <w:t xml:space="preserve"> CS facility crisis</w:t>
      </w:r>
    </w:p>
    <w:p w14:paraId="086E8EA1" w14:textId="5B92C0C2" w:rsidR="00AF5CC4" w:rsidRPr="005417AF" w:rsidRDefault="00964B08">
      <w:pPr>
        <w:pStyle w:val="Normalparatextwithnumbers"/>
      </w:pPr>
      <w:bookmarkStart w:id="54" w:name="_Ref152693831"/>
      <w:r w:rsidRPr="005417AF">
        <w:t>A body corporate that is</w:t>
      </w:r>
      <w:r w:rsidR="003A2210" w:rsidRPr="005417AF">
        <w:t xml:space="preserve"> incorporated </w:t>
      </w:r>
      <w:r w:rsidRPr="005417AF">
        <w:t>in a foreign jurisdiction but carries on a business in Australia or has assets and liabilities in Australia may be subject to the RBA’s powers in resolving a crisis.</w:t>
      </w:r>
      <w:bookmarkEnd w:id="54"/>
      <w:r w:rsidRPr="005417AF">
        <w:t xml:space="preserve"> </w:t>
      </w:r>
    </w:p>
    <w:p w14:paraId="1CA10103" w14:textId="565642B7" w:rsidR="0057296C" w:rsidRDefault="004F34C1" w:rsidP="005417AF">
      <w:pPr>
        <w:pStyle w:val="Normalparatextwithnumbers"/>
      </w:pPr>
      <w:r>
        <w:t xml:space="preserve">The crisis regime </w:t>
      </w:r>
      <w:r w:rsidR="004D449F">
        <w:t xml:space="preserve">is intended to </w:t>
      </w:r>
      <w:r>
        <w:t>operate</w:t>
      </w:r>
      <w:r w:rsidR="004D449F">
        <w:t xml:space="preserve"> </w:t>
      </w:r>
      <w:r w:rsidR="002E6A64">
        <w:t>differently</w:t>
      </w:r>
      <w:r w:rsidR="00485071">
        <w:t xml:space="preserve"> for </w:t>
      </w:r>
      <w:r>
        <w:t>o</w:t>
      </w:r>
      <w:r w:rsidR="0057296C" w:rsidRPr="0057296C">
        <w:t xml:space="preserve">verseas </w:t>
      </w:r>
      <w:r>
        <w:t xml:space="preserve">CS facility </w:t>
      </w:r>
      <w:r w:rsidR="0057296C" w:rsidRPr="0057296C">
        <w:t xml:space="preserve">licensees </w:t>
      </w:r>
      <w:r>
        <w:t>compared to domestic CS facility licenses</w:t>
      </w:r>
      <w:r w:rsidR="00485071">
        <w:t xml:space="preserve">. The distinction </w:t>
      </w:r>
      <w:r>
        <w:t>align</w:t>
      </w:r>
      <w:r w:rsidR="00485071">
        <w:t>s</w:t>
      </w:r>
      <w:r>
        <w:t xml:space="preserve"> with the framework under Part </w:t>
      </w:r>
      <w:r w:rsidR="0057296C" w:rsidRPr="0057296C">
        <w:t>7.3</w:t>
      </w:r>
      <w:r>
        <w:t xml:space="preserve"> of the Act</w:t>
      </w:r>
      <w:r w:rsidR="00485071">
        <w:t xml:space="preserve"> that stipulates overseas CS facility </w:t>
      </w:r>
      <w:r w:rsidR="00D90BA9">
        <w:t>licensees</w:t>
      </w:r>
      <w:r w:rsidR="00485071">
        <w:t xml:space="preserve"> </w:t>
      </w:r>
      <w:r w:rsidR="0057296C" w:rsidRPr="0057296C">
        <w:t xml:space="preserve">are primarily regulated by </w:t>
      </w:r>
      <w:r w:rsidR="004D449F">
        <w:t>the overseas</w:t>
      </w:r>
      <w:r w:rsidR="0057296C" w:rsidRPr="0057296C">
        <w:t xml:space="preserve"> regulator</w:t>
      </w:r>
      <w:r w:rsidR="004D449F">
        <w:t xml:space="preserve">. </w:t>
      </w:r>
      <w:r w:rsidR="00485071">
        <w:t xml:space="preserve">Consistent with this approach, the home regulator will primarily be responsible for resolving a distressed body corporate where the </w:t>
      </w:r>
      <w:r w:rsidR="0057296C" w:rsidRPr="0057296C">
        <w:t xml:space="preserve">RBA </w:t>
      </w:r>
      <w:r w:rsidR="00485071">
        <w:t xml:space="preserve">supports </w:t>
      </w:r>
      <w:r w:rsidR="0057296C" w:rsidRPr="0057296C">
        <w:t>the home regulators' actions</w:t>
      </w:r>
      <w:r w:rsidR="00485071">
        <w:t xml:space="preserve"> when requested</w:t>
      </w:r>
      <w:r w:rsidR="0057296C" w:rsidRPr="0057296C">
        <w:t>.</w:t>
      </w:r>
      <w:r w:rsidR="004D449F">
        <w:t xml:space="preserve"> </w:t>
      </w:r>
    </w:p>
    <w:p w14:paraId="4154EB58" w14:textId="008E1982" w:rsidR="00964B08" w:rsidRPr="005417AF" w:rsidRDefault="001352C5" w:rsidP="005417AF">
      <w:pPr>
        <w:pStyle w:val="Normalparatextwithnumbers"/>
      </w:pPr>
      <w:r w:rsidRPr="005417AF">
        <w:t>Where a</w:t>
      </w:r>
      <w:r w:rsidR="006E7F61" w:rsidRPr="005417AF">
        <w:t xml:space="preserve"> </w:t>
      </w:r>
      <w:r w:rsidRPr="005417AF">
        <w:t xml:space="preserve">foreign regulator </w:t>
      </w:r>
      <w:r w:rsidR="00DB7250">
        <w:t>requests assistance and</w:t>
      </w:r>
      <w:r w:rsidRPr="005417AF">
        <w:t xml:space="preserve"> the RBA </w:t>
      </w:r>
      <w:r w:rsidR="00DB7250" w:rsidRPr="00DB7250">
        <w:t xml:space="preserve">reasonable believes that the foreign regulator </w:t>
      </w:r>
      <w:r w:rsidR="004E14EB">
        <w:t xml:space="preserve">is considering </w:t>
      </w:r>
      <w:r w:rsidR="00DB7250" w:rsidRPr="00DB7250">
        <w:t>exercis</w:t>
      </w:r>
      <w:r w:rsidR="004E14EB">
        <w:t>ing</w:t>
      </w:r>
      <w:r w:rsidR="00DB7250" w:rsidRPr="00DB7250">
        <w:t xml:space="preserve"> similar resolution powers</w:t>
      </w:r>
      <w:r w:rsidR="00DB7250">
        <w:t>, the RBA</w:t>
      </w:r>
      <w:r w:rsidR="00DB7250" w:rsidRPr="00DB7250">
        <w:t xml:space="preserve"> </w:t>
      </w:r>
      <w:r w:rsidR="00964B08" w:rsidRPr="005417AF">
        <w:t>m</w:t>
      </w:r>
      <w:r w:rsidR="00EE0E4A" w:rsidRPr="005417AF">
        <w:t>ay</w:t>
      </w:r>
      <w:r w:rsidR="00964B08" w:rsidRPr="005417AF">
        <w:t xml:space="preserve"> make a notifiable instrument </w:t>
      </w:r>
      <w:r w:rsidR="004E14EB">
        <w:t xml:space="preserve">that </w:t>
      </w:r>
      <w:r w:rsidR="00964B08" w:rsidRPr="005417AF">
        <w:t>recognis</w:t>
      </w:r>
      <w:r w:rsidR="004E14EB">
        <w:t xml:space="preserve">es </w:t>
      </w:r>
      <w:r w:rsidRPr="005417AF">
        <w:t xml:space="preserve">the assistance </w:t>
      </w:r>
      <w:r w:rsidRPr="005417AF">
        <w:lastRenderedPageBreak/>
        <w:t xml:space="preserve">intended to be provided to </w:t>
      </w:r>
      <w:r w:rsidR="006E7F61" w:rsidRPr="005417AF">
        <w:t xml:space="preserve">overseas </w:t>
      </w:r>
      <w:r w:rsidRPr="005417AF">
        <w:t xml:space="preserve">CS </w:t>
      </w:r>
      <w:r w:rsidR="006E7F61" w:rsidRPr="005417AF">
        <w:t>facility licensees</w:t>
      </w:r>
      <w:r w:rsidRPr="005417AF">
        <w:t>.</w:t>
      </w:r>
      <w:r w:rsidR="00614C26" w:rsidRPr="005417AF">
        <w:t xml:space="preserve"> The RBA must exercise powers that are in support of the foreign regulator’s powers</w:t>
      </w:r>
      <w:r w:rsidRPr="005417AF">
        <w:t xml:space="preserve"> </w:t>
      </w:r>
      <w:r w:rsidR="005417AF" w:rsidRPr="005417AF">
        <w:br/>
      </w:r>
      <w:r w:rsidRPr="005417AF">
        <w:rPr>
          <w:rStyle w:val="References"/>
        </w:rPr>
        <w:t xml:space="preserve">[Schedule </w:t>
      </w:r>
      <w:r w:rsidR="00E773D4" w:rsidRPr="005417AF">
        <w:rPr>
          <w:rStyle w:val="References"/>
        </w:rPr>
        <w:t>1</w:t>
      </w:r>
      <w:r w:rsidRPr="005417AF">
        <w:rPr>
          <w:rStyle w:val="References"/>
        </w:rPr>
        <w:t xml:space="preserve">, </w:t>
      </w:r>
      <w:r w:rsidR="00C568C9" w:rsidRPr="005417AF">
        <w:rPr>
          <w:rStyle w:val="References"/>
        </w:rPr>
        <w:t>item 14</w:t>
      </w:r>
      <w:r w:rsidR="00DB7250">
        <w:rPr>
          <w:rStyle w:val="References"/>
        </w:rPr>
        <w:t xml:space="preserve">, </w:t>
      </w:r>
      <w:r w:rsidRPr="005417AF">
        <w:rPr>
          <w:rStyle w:val="References"/>
        </w:rPr>
        <w:t xml:space="preserve">section </w:t>
      </w:r>
      <w:r w:rsidR="00DB7250">
        <w:rPr>
          <w:rStyle w:val="References"/>
        </w:rPr>
        <w:t xml:space="preserve">848A </w:t>
      </w:r>
      <w:r w:rsidRPr="005417AF">
        <w:rPr>
          <w:rStyle w:val="References"/>
        </w:rPr>
        <w:t>of the Act]</w:t>
      </w:r>
    </w:p>
    <w:p w14:paraId="7D01B12A" w14:textId="77777777" w:rsidR="00DB7250" w:rsidRPr="00AD2752" w:rsidRDefault="00DB7250" w:rsidP="00DB7250">
      <w:pPr>
        <w:pStyle w:val="Normalparatextwithnumbers"/>
      </w:pPr>
      <w:r>
        <w:t xml:space="preserve">The RBA’s ability to exercise crisis resolution powers does not limit cross-border crisis resolution. </w:t>
      </w:r>
      <w:r>
        <w:br/>
      </w:r>
      <w:r>
        <w:rPr>
          <w:rStyle w:val="References"/>
        </w:rPr>
        <w:t>[Schedule 1, item 14, subsection 831</w:t>
      </w:r>
      <w:proofErr w:type="gramStart"/>
      <w:r>
        <w:rPr>
          <w:rStyle w:val="References"/>
        </w:rPr>
        <w:t>A(</w:t>
      </w:r>
      <w:proofErr w:type="gramEnd"/>
      <w:r>
        <w:rPr>
          <w:rStyle w:val="References"/>
        </w:rPr>
        <w:t>2) of the Act]</w:t>
      </w:r>
    </w:p>
    <w:p w14:paraId="65C0751F" w14:textId="2CAFFAAC" w:rsidR="00A161FC" w:rsidRPr="00A161FC" w:rsidRDefault="00BB49B1" w:rsidP="0081140A">
      <w:pPr>
        <w:pStyle w:val="Heading6"/>
        <w:rPr>
          <w:rFonts w:hint="eastAsia"/>
        </w:rPr>
      </w:pPr>
      <w:r>
        <w:t>The facility r</w:t>
      </w:r>
      <w:r w:rsidR="00A161FC" w:rsidRPr="00A161FC">
        <w:t>equest</w:t>
      </w:r>
      <w:r>
        <w:t>s</w:t>
      </w:r>
      <w:r w:rsidR="00A161FC" w:rsidRPr="00A161FC">
        <w:t xml:space="preserve"> resolution </w:t>
      </w:r>
    </w:p>
    <w:p w14:paraId="235A081F" w14:textId="270FCF9C" w:rsidR="00A161FC" w:rsidRDefault="00A161FC" w:rsidP="00125C2C">
      <w:pPr>
        <w:pStyle w:val="Normalparatextwithnumbers"/>
      </w:pPr>
      <w:r>
        <w:t xml:space="preserve">The domestic CS facility licensee may request to the </w:t>
      </w:r>
      <w:r w:rsidR="00BF00BD">
        <w:t xml:space="preserve">RBA </w:t>
      </w:r>
      <w:r w:rsidR="000549ED">
        <w:t>to</w:t>
      </w:r>
      <w:r w:rsidR="00BF00BD">
        <w:t xml:space="preserve"> </w:t>
      </w:r>
      <w:r>
        <w:t>exercis</w:t>
      </w:r>
      <w:r w:rsidR="000549ED">
        <w:t>e</w:t>
      </w:r>
      <w:r>
        <w:t xml:space="preserve"> its powers. </w:t>
      </w:r>
      <w:r w:rsidR="0068248F">
        <w:br/>
      </w:r>
      <w:r w:rsidR="0068248F" w:rsidRPr="0068248F">
        <w:rPr>
          <w:rStyle w:val="References"/>
        </w:rPr>
        <w:t xml:space="preserve">[Schedule </w:t>
      </w:r>
      <w:r w:rsidR="00E773D4">
        <w:rPr>
          <w:rStyle w:val="References"/>
        </w:rPr>
        <w:t>1</w:t>
      </w:r>
      <w:r w:rsidR="0068248F" w:rsidRPr="0068248F">
        <w:rPr>
          <w:rStyle w:val="References"/>
        </w:rPr>
        <w:t xml:space="preserve">, </w:t>
      </w:r>
      <w:r w:rsidR="00C568C9">
        <w:rPr>
          <w:rStyle w:val="References"/>
        </w:rPr>
        <w:t>item 14</w:t>
      </w:r>
      <w:r w:rsidR="0068248F" w:rsidRPr="0068248F">
        <w:rPr>
          <w:rStyle w:val="References"/>
        </w:rPr>
        <w:t>, paragraph 831A</w:t>
      </w:r>
      <w:r w:rsidR="005F78DD">
        <w:rPr>
          <w:rStyle w:val="References"/>
        </w:rPr>
        <w:t>(1)</w:t>
      </w:r>
      <w:r w:rsidR="0068248F" w:rsidRPr="0068248F">
        <w:rPr>
          <w:rStyle w:val="References"/>
        </w:rPr>
        <w:t>(a) of the Act]</w:t>
      </w:r>
    </w:p>
    <w:p w14:paraId="4FF64947" w14:textId="51B71092" w:rsidR="00A161FC" w:rsidRDefault="00F9056B" w:rsidP="00125C2C">
      <w:pPr>
        <w:pStyle w:val="Normalparatextwithnumbers"/>
      </w:pPr>
      <w:r>
        <w:t>The</w:t>
      </w:r>
      <w:r w:rsidR="00A161FC">
        <w:t xml:space="preserve"> request for resolution </w:t>
      </w:r>
      <w:r>
        <w:t>is included</w:t>
      </w:r>
      <w:r w:rsidR="00A161FC">
        <w:t xml:space="preserve"> as a condition to provide a mechanism for CS facility licensees </w:t>
      </w:r>
      <w:r w:rsidR="00FF61A4">
        <w:t xml:space="preserve">and their directors </w:t>
      </w:r>
      <w:r w:rsidR="00A161FC">
        <w:t xml:space="preserve">to receive the same protection from personal liability that they would have received from appointing an external administrator, as they are not able to appoint an external administrator without giving notice to the </w:t>
      </w:r>
      <w:r w:rsidR="004D4BAC">
        <w:t>RBA</w:t>
      </w:r>
      <w:r w:rsidR="00A161FC">
        <w:t xml:space="preserve">. </w:t>
      </w:r>
    </w:p>
    <w:p w14:paraId="056DBA93" w14:textId="7774CF98" w:rsidR="00BB49B1" w:rsidRPr="00F8685F" w:rsidDel="001B1D98" w:rsidRDefault="00A161FC" w:rsidP="00234D68">
      <w:pPr>
        <w:pStyle w:val="Normalparatextwithnumbers"/>
        <w:rPr>
          <w:u w:val="single"/>
        </w:rPr>
      </w:pPr>
      <w:r>
        <w:t xml:space="preserve">This condition is designed to encourage a CS facility licensee to inform the </w:t>
      </w:r>
      <w:r w:rsidR="004D4BAC">
        <w:t>RBA</w:t>
      </w:r>
      <w:r>
        <w:t xml:space="preserve"> as soon as it suspects financial trouble. The </w:t>
      </w:r>
      <w:r w:rsidR="004D4BAC">
        <w:t>RBA</w:t>
      </w:r>
      <w:r>
        <w:t xml:space="preserve"> does not have any obligation to commence resolution where a request is made, or to exercise a particular power in accordance with the request. </w:t>
      </w:r>
      <w:r w:rsidR="00BB49B1">
        <w:t xml:space="preserve">In considering the request the RBA will have </w:t>
      </w:r>
      <w:bookmarkStart w:id="55" w:name="_Hlk142376278"/>
      <w:r w:rsidR="00BB49B1">
        <w:t>consideration to the two primary objectives underpinning any resolution action</w:t>
      </w:r>
      <w:bookmarkEnd w:id="55"/>
      <w:r w:rsidR="00BB49B1">
        <w:t xml:space="preserve">. </w:t>
      </w:r>
    </w:p>
    <w:p w14:paraId="055711CF" w14:textId="5FA427E1" w:rsidR="00A161FC" w:rsidRPr="008154CD" w:rsidRDefault="00BB49B1" w:rsidP="0081140A">
      <w:pPr>
        <w:pStyle w:val="Heading6"/>
        <w:rPr>
          <w:rFonts w:hint="eastAsia"/>
        </w:rPr>
      </w:pPr>
      <w:r w:rsidRPr="008154CD">
        <w:t>The facility c</w:t>
      </w:r>
      <w:r w:rsidR="00A161FC" w:rsidRPr="008154CD">
        <w:t>ontraven</w:t>
      </w:r>
      <w:r w:rsidRPr="008154CD">
        <w:t>es</w:t>
      </w:r>
      <w:r w:rsidR="00A161FC" w:rsidRPr="008154CD">
        <w:t xml:space="preserve"> a direction issued by the </w:t>
      </w:r>
      <w:proofErr w:type="gramStart"/>
      <w:r w:rsidR="00A161FC" w:rsidRPr="008154CD">
        <w:t>RBA</w:t>
      </w:r>
      <w:proofErr w:type="gramEnd"/>
      <w:r w:rsidR="00A161FC" w:rsidRPr="008154CD">
        <w:t xml:space="preserve"> </w:t>
      </w:r>
    </w:p>
    <w:p w14:paraId="7852DE67" w14:textId="032BF281" w:rsidR="00A161FC" w:rsidRDefault="001846C4" w:rsidP="001846C4">
      <w:pPr>
        <w:pStyle w:val="Normalparatextwithnumbers"/>
      </w:pPr>
      <w:r>
        <w:t>The RBA may exercise resolution powers w</w:t>
      </w:r>
      <w:r w:rsidR="00A161FC">
        <w:t>here a domestic CS facility licensee contravenes a supervisory direction issued by the RBA</w:t>
      </w:r>
      <w:r w:rsidR="00F90C15">
        <w:t xml:space="preserve">. In deciding </w:t>
      </w:r>
      <w:r w:rsidR="00306D10">
        <w:t>whether to exercise the power, the RBA will have consideration</w:t>
      </w:r>
      <w:r>
        <w:t xml:space="preserve"> </w:t>
      </w:r>
      <w:r w:rsidRPr="001846C4">
        <w:t>to the two primary objectives underpinning any resolution action</w:t>
      </w:r>
      <w:r w:rsidR="00085F64">
        <w:t xml:space="preserve">. </w:t>
      </w:r>
      <w:r>
        <w:br/>
      </w:r>
      <w:r w:rsidR="00E3557C" w:rsidRPr="00E3557C">
        <w:rPr>
          <w:rStyle w:val="References"/>
        </w:rPr>
        <w:t xml:space="preserve">[Schedule </w:t>
      </w:r>
      <w:r w:rsidR="00E773D4">
        <w:rPr>
          <w:rStyle w:val="References"/>
        </w:rPr>
        <w:t>1</w:t>
      </w:r>
      <w:r w:rsidR="00E3557C" w:rsidRPr="00E3557C">
        <w:rPr>
          <w:rStyle w:val="References"/>
        </w:rPr>
        <w:t xml:space="preserve">, </w:t>
      </w:r>
      <w:r w:rsidR="00C568C9">
        <w:rPr>
          <w:rStyle w:val="References"/>
        </w:rPr>
        <w:t>item 14</w:t>
      </w:r>
      <w:r w:rsidR="00E3557C" w:rsidRPr="00E3557C">
        <w:rPr>
          <w:rStyle w:val="References"/>
        </w:rPr>
        <w:t>, paragraph 831A</w:t>
      </w:r>
      <w:r w:rsidR="0029075F">
        <w:rPr>
          <w:rStyle w:val="References"/>
        </w:rPr>
        <w:t>(1)</w:t>
      </w:r>
      <w:r w:rsidR="00E3557C" w:rsidRPr="00E3557C">
        <w:rPr>
          <w:rStyle w:val="References"/>
        </w:rPr>
        <w:t>(</w:t>
      </w:r>
      <w:r w:rsidR="00E3557C">
        <w:rPr>
          <w:rStyle w:val="References"/>
        </w:rPr>
        <w:t>b</w:t>
      </w:r>
      <w:r w:rsidR="00E3557C" w:rsidRPr="00E3557C">
        <w:rPr>
          <w:rStyle w:val="References"/>
        </w:rPr>
        <w:t>) of the Act]</w:t>
      </w:r>
    </w:p>
    <w:p w14:paraId="34BDB6A1" w14:textId="417285FA" w:rsidR="009D06AF" w:rsidRPr="0068248F" w:rsidRDefault="00A161FC" w:rsidP="00125C2C">
      <w:pPr>
        <w:pStyle w:val="Normalparatextwithnumbers"/>
      </w:pPr>
      <w:r>
        <w:t xml:space="preserve">Only contraventions of supervisory directions issued by the RBA </w:t>
      </w:r>
      <w:r w:rsidR="0068248F">
        <w:t>under section</w:t>
      </w:r>
      <w:r w:rsidR="00F8685F">
        <w:t xml:space="preserve">s </w:t>
      </w:r>
      <w:r w:rsidR="00F8685F" w:rsidRPr="00F8685F">
        <w:t>823E, 823F or 823FA</w:t>
      </w:r>
      <w:r w:rsidR="00F8685F">
        <w:t xml:space="preserve"> </w:t>
      </w:r>
      <w:r w:rsidR="0068248F">
        <w:t xml:space="preserve">of the Act </w:t>
      </w:r>
      <w:r>
        <w:t xml:space="preserve">may enable the </w:t>
      </w:r>
      <w:r w:rsidR="004D4BAC">
        <w:t>RBA</w:t>
      </w:r>
      <w:r>
        <w:t xml:space="preserve"> to use its powers</w:t>
      </w:r>
      <w:r w:rsidR="00F8685F">
        <w:t>.</w:t>
      </w:r>
      <w:r>
        <w:t xml:space="preserve"> </w:t>
      </w:r>
      <w:r w:rsidR="00F8685F">
        <w:t>T</w:t>
      </w:r>
      <w:r w:rsidR="00306D10">
        <w:t>he provision</w:t>
      </w:r>
      <w:r>
        <w:t xml:space="preserve"> does not extend to any directions issued by ASIC.</w:t>
      </w:r>
    </w:p>
    <w:p w14:paraId="76E07B62" w14:textId="42CCCFD1" w:rsidR="00A161FC" w:rsidRPr="00C8096C" w:rsidRDefault="00BB49B1" w:rsidP="0081140A">
      <w:pPr>
        <w:pStyle w:val="Heading6"/>
        <w:rPr>
          <w:rFonts w:hint="eastAsia"/>
        </w:rPr>
      </w:pPr>
      <w:r w:rsidRPr="00C8096C">
        <w:t>The facility faces a t</w:t>
      </w:r>
      <w:r w:rsidR="00A161FC" w:rsidRPr="00C8096C">
        <w:t xml:space="preserve">hreat to service continuity or financial </w:t>
      </w:r>
      <w:proofErr w:type="gramStart"/>
      <w:r w:rsidR="00A161FC" w:rsidRPr="00C8096C">
        <w:t>viability</w:t>
      </w:r>
      <w:proofErr w:type="gramEnd"/>
    </w:p>
    <w:p w14:paraId="7A1C138A" w14:textId="4802F0D7" w:rsidR="00BB6B8C" w:rsidRDefault="00A161FC" w:rsidP="00125C2C">
      <w:pPr>
        <w:pStyle w:val="Normalparatextwithnumbers"/>
      </w:pPr>
      <w:r>
        <w:t xml:space="preserve">The </w:t>
      </w:r>
      <w:r w:rsidR="004D4BAC">
        <w:t>RBA</w:t>
      </w:r>
      <w:r>
        <w:t xml:space="preserve"> may exercise resolution powers where there is a threat to the </w:t>
      </w:r>
      <w:r w:rsidR="007F788B">
        <w:t xml:space="preserve">continuing </w:t>
      </w:r>
      <w:r>
        <w:t xml:space="preserve">provision of CS facility services </w:t>
      </w:r>
      <w:r w:rsidR="00E3557C">
        <w:t xml:space="preserve">in the absence of external support </w:t>
      </w:r>
      <w:r>
        <w:t xml:space="preserve">or </w:t>
      </w:r>
      <w:r w:rsidR="007F788B">
        <w:t xml:space="preserve">the </w:t>
      </w:r>
      <w:r>
        <w:t xml:space="preserve">financial viability of a domestic CS facility is at risk. The </w:t>
      </w:r>
      <w:r w:rsidR="004D4BAC">
        <w:t>RBA</w:t>
      </w:r>
      <w:r>
        <w:t xml:space="preserve"> may determine that a domestic CS facility licensee requires external support due to the likelihood of critical services ceasing or the risk of becoming financially inviable.</w:t>
      </w:r>
      <w:r w:rsidR="00776550" w:rsidRPr="00776550">
        <w:rPr>
          <w:rStyle w:val="References"/>
        </w:rPr>
        <w:t xml:space="preserve"> </w:t>
      </w:r>
      <w:r w:rsidR="00776550">
        <w:rPr>
          <w:rStyle w:val="References"/>
        </w:rPr>
        <w:br/>
      </w:r>
      <w:r w:rsidR="00776550" w:rsidRPr="00E3557C">
        <w:rPr>
          <w:rStyle w:val="References"/>
        </w:rPr>
        <w:t xml:space="preserve">[Schedule </w:t>
      </w:r>
      <w:r w:rsidR="00776550">
        <w:rPr>
          <w:rStyle w:val="References"/>
        </w:rPr>
        <w:t>1</w:t>
      </w:r>
      <w:r w:rsidR="00776550" w:rsidRPr="00E3557C">
        <w:rPr>
          <w:rStyle w:val="References"/>
        </w:rPr>
        <w:t xml:space="preserve">, </w:t>
      </w:r>
      <w:r w:rsidR="00776550">
        <w:rPr>
          <w:rStyle w:val="References"/>
        </w:rPr>
        <w:t>item 14</w:t>
      </w:r>
      <w:r w:rsidR="00776550" w:rsidRPr="00E3557C">
        <w:rPr>
          <w:rStyle w:val="References"/>
        </w:rPr>
        <w:t>, paragraph</w:t>
      </w:r>
      <w:r w:rsidR="00121430">
        <w:rPr>
          <w:rStyle w:val="References"/>
        </w:rPr>
        <w:t>s</w:t>
      </w:r>
      <w:r w:rsidR="00776550" w:rsidRPr="00E3557C">
        <w:rPr>
          <w:rStyle w:val="References"/>
        </w:rPr>
        <w:t xml:space="preserve"> 831A</w:t>
      </w:r>
      <w:r w:rsidR="00776550">
        <w:rPr>
          <w:rStyle w:val="References"/>
        </w:rPr>
        <w:t>(1)(c)</w:t>
      </w:r>
      <w:r w:rsidR="00121430">
        <w:rPr>
          <w:rStyle w:val="References"/>
        </w:rPr>
        <w:t xml:space="preserve">, (d), (e) and </w:t>
      </w:r>
      <w:r w:rsidR="00776550">
        <w:rPr>
          <w:rStyle w:val="References"/>
        </w:rPr>
        <w:t>(f)</w:t>
      </w:r>
      <w:r w:rsidR="00776550" w:rsidRPr="00E3557C">
        <w:rPr>
          <w:rStyle w:val="References"/>
        </w:rPr>
        <w:t xml:space="preserve"> of the Act]</w:t>
      </w:r>
    </w:p>
    <w:p w14:paraId="65DF3B08" w14:textId="14B7C59C" w:rsidR="00A161FC" w:rsidRDefault="00A161FC" w:rsidP="00125C2C">
      <w:pPr>
        <w:pStyle w:val="Normalparatextwithnumbers"/>
      </w:pPr>
      <w:r>
        <w:lastRenderedPageBreak/>
        <w:t xml:space="preserve">The </w:t>
      </w:r>
      <w:r w:rsidR="004D4BAC">
        <w:t>RBA</w:t>
      </w:r>
      <w:r>
        <w:t xml:space="preserve"> may also access resolution powers if the domestic CS facility notifies the </w:t>
      </w:r>
      <w:r w:rsidR="004D4BAC">
        <w:t>RBA</w:t>
      </w:r>
      <w:r>
        <w:t xml:space="preserve"> that:</w:t>
      </w:r>
    </w:p>
    <w:p w14:paraId="3FE89871" w14:textId="16C88594" w:rsidR="00A161FC" w:rsidRDefault="00A161FC" w:rsidP="005F0A18">
      <w:pPr>
        <w:pStyle w:val="Dotpoint1"/>
      </w:pPr>
      <w:r>
        <w:t xml:space="preserve">the provision of critical CS facility services: </w:t>
      </w:r>
    </w:p>
    <w:p w14:paraId="592D0E87" w14:textId="77777777" w:rsidR="00A161FC" w:rsidRDefault="00A161FC" w:rsidP="00E3557C">
      <w:pPr>
        <w:pStyle w:val="dotpoint2"/>
      </w:pPr>
      <w:r>
        <w:t>has ceased; or</w:t>
      </w:r>
    </w:p>
    <w:p w14:paraId="309324F7" w14:textId="33DE47DE" w:rsidR="00A161FC" w:rsidRDefault="00890744" w:rsidP="00E3557C">
      <w:pPr>
        <w:pStyle w:val="dotpoint2"/>
      </w:pPr>
      <w:r>
        <w:t>is</w:t>
      </w:r>
      <w:r w:rsidR="00A161FC">
        <w:t xml:space="preserve"> intended to cease or are likely to cease; or</w:t>
      </w:r>
    </w:p>
    <w:p w14:paraId="2135478B" w14:textId="7177DF5F" w:rsidR="005B1CA3" w:rsidRPr="00B11FAE" w:rsidDel="002151F7" w:rsidRDefault="00890744" w:rsidP="00E3557C">
      <w:pPr>
        <w:pStyle w:val="dotpoint2"/>
      </w:pPr>
      <w:r>
        <w:t>is</w:t>
      </w:r>
      <w:r w:rsidR="00A161FC">
        <w:t xml:space="preserve"> unable to be provided in the absence of external </w:t>
      </w:r>
      <w:proofErr w:type="gramStart"/>
      <w:r w:rsidR="00A161FC">
        <w:t>support;</w:t>
      </w:r>
      <w:proofErr w:type="gramEnd"/>
    </w:p>
    <w:p w14:paraId="00ED64F6" w14:textId="77777777" w:rsidR="00A161FC" w:rsidRDefault="00A161FC" w:rsidP="005F0A18">
      <w:pPr>
        <w:pStyle w:val="Dotpoint1"/>
      </w:pPr>
      <w:r w:rsidRPr="00E3557C">
        <w:t>financial viability of the CS facility</w:t>
      </w:r>
      <w:r>
        <w:t xml:space="preserve">: </w:t>
      </w:r>
    </w:p>
    <w:p w14:paraId="2E46E1FF" w14:textId="77777777" w:rsidR="00A161FC" w:rsidRDefault="00A161FC" w:rsidP="00E3557C">
      <w:pPr>
        <w:pStyle w:val="dotpoint2"/>
      </w:pPr>
      <w:r>
        <w:t>is at risk; or</w:t>
      </w:r>
    </w:p>
    <w:p w14:paraId="7058C90E" w14:textId="77777777" w:rsidR="00A161FC" w:rsidRDefault="00A161FC" w:rsidP="00E3557C">
      <w:pPr>
        <w:pStyle w:val="dotpoint2"/>
      </w:pPr>
      <w:r>
        <w:t>is likely to become at risk; or</w:t>
      </w:r>
    </w:p>
    <w:p w14:paraId="13151D6C" w14:textId="31D7A505" w:rsidR="00337528" w:rsidDel="002151F7" w:rsidRDefault="00A161FC" w:rsidP="00E3557C">
      <w:pPr>
        <w:pStyle w:val="dotpoint2"/>
      </w:pPr>
      <w:r>
        <w:t xml:space="preserve">in the absence of external support may become at risk. </w:t>
      </w:r>
    </w:p>
    <w:p w14:paraId="71B90270" w14:textId="0001C995" w:rsidR="00CB3D52" w:rsidRDefault="00A161FC" w:rsidP="00C8096C">
      <w:pPr>
        <w:pStyle w:val="Normalparatextwithnumbers"/>
      </w:pPr>
      <w:r>
        <w:t xml:space="preserve">A threat to financial viability arises where the licensee is no longer able to meet its obligations or </w:t>
      </w:r>
      <w:r w:rsidR="00BC00BA">
        <w:t xml:space="preserve">is considered likely to be unable to meet its obligations </w:t>
      </w:r>
      <w:proofErr w:type="gramStart"/>
      <w:r w:rsidR="00BC00BA">
        <w:t>in the near future</w:t>
      </w:r>
      <w:proofErr w:type="gramEnd"/>
      <w:r w:rsidR="00BC00BA">
        <w:t xml:space="preserve">. This could arise, for example, where </w:t>
      </w:r>
      <w:r>
        <w:t xml:space="preserve">there is a material risk to the security of the assets owned by the domestic CS facility licensee. </w:t>
      </w:r>
    </w:p>
    <w:p w14:paraId="58A4E10B" w14:textId="77777777" w:rsidR="00A161FC" w:rsidRPr="00C8096C" w:rsidRDefault="00A161FC" w:rsidP="0081140A">
      <w:pPr>
        <w:pStyle w:val="Heading6"/>
        <w:rPr>
          <w:rFonts w:hint="eastAsia"/>
        </w:rPr>
      </w:pPr>
      <w:r w:rsidRPr="00C8096C">
        <w:t xml:space="preserve">Appointment of external administrator </w:t>
      </w:r>
    </w:p>
    <w:p w14:paraId="7FA9A871" w14:textId="270E9A5B" w:rsidR="00DF1579" w:rsidRPr="00CB5EFE" w:rsidDel="001405BA" w:rsidRDefault="00DF1579" w:rsidP="00DF1579">
      <w:pPr>
        <w:pStyle w:val="Normalparatextwithnumbers"/>
      </w:pPr>
      <w:r>
        <w:t>The appointment or likely appointment of</w:t>
      </w:r>
      <w:r w:rsidRPr="00A7472A">
        <w:t xml:space="preserve"> an external administrator (for example, a liquidator or receiver) to a CS facility or a related body corporate</w:t>
      </w:r>
      <w:r>
        <w:t xml:space="preserve">, </w:t>
      </w:r>
      <w:r w:rsidRPr="00A7472A">
        <w:t>has the potential to trigger contagion impacts within the group that could lead to or exacerbate distress in the CS facility</w:t>
      </w:r>
      <w:r w:rsidRPr="00D90EF3">
        <w:t>.</w:t>
      </w:r>
      <w:r w:rsidRPr="00814E3A">
        <w:t xml:space="preserve"> </w:t>
      </w:r>
      <w:r>
        <w:br/>
      </w:r>
      <w:r w:rsidRPr="004069B6">
        <w:rPr>
          <w:rStyle w:val="References"/>
        </w:rPr>
        <w:t xml:space="preserve">[Schedule </w:t>
      </w:r>
      <w:r>
        <w:rPr>
          <w:rStyle w:val="References"/>
        </w:rPr>
        <w:t>1</w:t>
      </w:r>
      <w:r w:rsidRPr="004069B6">
        <w:rPr>
          <w:rStyle w:val="References"/>
        </w:rPr>
        <w:t xml:space="preserve">, </w:t>
      </w:r>
      <w:r>
        <w:rPr>
          <w:rStyle w:val="References"/>
        </w:rPr>
        <w:t>item 14</w:t>
      </w:r>
      <w:r w:rsidRPr="004069B6">
        <w:rPr>
          <w:rStyle w:val="References"/>
        </w:rPr>
        <w:t>, paragraph</w:t>
      </w:r>
      <w:r>
        <w:rPr>
          <w:rStyle w:val="References"/>
        </w:rPr>
        <w:t>s</w:t>
      </w:r>
      <w:r w:rsidRPr="004069B6">
        <w:rPr>
          <w:rStyle w:val="References"/>
        </w:rPr>
        <w:t xml:space="preserve"> 831A(</w:t>
      </w:r>
      <w:r>
        <w:rPr>
          <w:rStyle w:val="References"/>
        </w:rPr>
        <w:t>g</w:t>
      </w:r>
      <w:r w:rsidRPr="004069B6">
        <w:rPr>
          <w:rStyle w:val="References"/>
        </w:rPr>
        <w:t>)</w:t>
      </w:r>
      <w:r>
        <w:rPr>
          <w:rStyle w:val="References"/>
        </w:rPr>
        <w:t>, (h), (</w:t>
      </w:r>
      <w:proofErr w:type="spellStart"/>
      <w:r>
        <w:rPr>
          <w:rStyle w:val="References"/>
        </w:rPr>
        <w:t>i</w:t>
      </w:r>
      <w:proofErr w:type="spellEnd"/>
      <w:r>
        <w:rPr>
          <w:rStyle w:val="References"/>
        </w:rPr>
        <w:t>), (j), (k) and (l)</w:t>
      </w:r>
      <w:r w:rsidRPr="004069B6">
        <w:rPr>
          <w:rStyle w:val="References"/>
        </w:rPr>
        <w:t xml:space="preserve"> of the Act]</w:t>
      </w:r>
    </w:p>
    <w:p w14:paraId="36113FC6" w14:textId="0996835C" w:rsidR="002E6A64" w:rsidRDefault="002E6A64" w:rsidP="002E6A64">
      <w:pPr>
        <w:pStyle w:val="Normalparatextwithnumbers"/>
      </w:pPr>
      <w:r>
        <w:t>T</w:t>
      </w:r>
      <w:r w:rsidRPr="00A7472A">
        <w:t xml:space="preserve">he </w:t>
      </w:r>
      <w:r>
        <w:t xml:space="preserve">inclusion of the </w:t>
      </w:r>
      <w:r w:rsidRPr="00A7472A">
        <w:t xml:space="preserve">appointment of an external administrator to a </w:t>
      </w:r>
      <w:r>
        <w:t>related body corporate of a CS facility licensee</w:t>
      </w:r>
      <w:r w:rsidRPr="00A7472A">
        <w:t xml:space="preserve"> </w:t>
      </w:r>
      <w:r>
        <w:t xml:space="preserve">is necessary as it has the potential to </w:t>
      </w:r>
      <w:r w:rsidRPr="00A7472A">
        <w:t xml:space="preserve">adversely affect the financial </w:t>
      </w:r>
      <w:r>
        <w:t xml:space="preserve">continuity </w:t>
      </w:r>
      <w:r w:rsidRPr="00A7472A">
        <w:t xml:space="preserve">or orderly resolution of </w:t>
      </w:r>
      <w:r>
        <w:t xml:space="preserve">the relevant </w:t>
      </w:r>
      <w:r w:rsidRPr="00A7472A">
        <w:t>CS facilities. This is because</w:t>
      </w:r>
      <w:r>
        <w:t xml:space="preserve"> there are likely to be intragroup linkages, for example, service or financial support agreements that, if terminated </w:t>
      </w:r>
      <w:proofErr w:type="gramStart"/>
      <w:r>
        <w:t>in the course of</w:t>
      </w:r>
      <w:proofErr w:type="gramEnd"/>
      <w:r w:rsidRPr="00A7472A">
        <w:t xml:space="preserve"> the external administrat</w:t>
      </w:r>
      <w:r>
        <w:t>ion</w:t>
      </w:r>
      <w:r w:rsidRPr="00A7472A">
        <w:t xml:space="preserve"> </w:t>
      </w:r>
      <w:r>
        <w:t xml:space="preserve">could negatively impact the viability and continuity of CS facility services. </w:t>
      </w:r>
    </w:p>
    <w:p w14:paraId="3EEE392A" w14:textId="283079B4" w:rsidR="001F42E9" w:rsidRDefault="001F42E9" w:rsidP="00125C2C">
      <w:pPr>
        <w:pStyle w:val="Normalparatextwithnumbers"/>
      </w:pPr>
      <w:r>
        <w:t xml:space="preserve">The </w:t>
      </w:r>
      <w:r w:rsidR="00A7472A">
        <w:t xml:space="preserve">circumstances </w:t>
      </w:r>
      <w:r w:rsidR="00F754B5">
        <w:t xml:space="preserve">relating to external administration </w:t>
      </w:r>
      <w:r w:rsidR="00A7472A">
        <w:t xml:space="preserve">that may allow the </w:t>
      </w:r>
      <w:r w:rsidR="004D4BAC">
        <w:t>RBA</w:t>
      </w:r>
      <w:r>
        <w:t xml:space="preserve"> </w:t>
      </w:r>
      <w:r w:rsidR="00A7472A">
        <w:t xml:space="preserve">to </w:t>
      </w:r>
      <w:r>
        <w:t xml:space="preserve">use resolution powers </w:t>
      </w:r>
      <w:r w:rsidR="00A7472A">
        <w:t>include</w:t>
      </w:r>
      <w:r>
        <w:t xml:space="preserve">: </w:t>
      </w:r>
    </w:p>
    <w:p w14:paraId="5413D1A1" w14:textId="616CDBA8" w:rsidR="001F42E9" w:rsidRDefault="001F42E9" w:rsidP="001F42E9">
      <w:pPr>
        <w:pStyle w:val="Dotpoint1"/>
      </w:pPr>
      <w:r>
        <w:t xml:space="preserve">an </w:t>
      </w:r>
      <w:r w:rsidR="004069B6">
        <w:t>e</w:t>
      </w:r>
      <w:r>
        <w:t xml:space="preserve">xternal </w:t>
      </w:r>
      <w:r w:rsidR="004069B6">
        <w:t>a</w:t>
      </w:r>
      <w:r>
        <w:t xml:space="preserve">dministrator </w:t>
      </w:r>
      <w:r w:rsidR="00D77D03">
        <w:t xml:space="preserve">being </w:t>
      </w:r>
      <w:r>
        <w:t>appointed to a domestic CS facility licensee</w:t>
      </w:r>
      <w:r w:rsidR="00045FBA">
        <w:t xml:space="preserve"> or related body </w:t>
      </w:r>
      <w:proofErr w:type="gramStart"/>
      <w:r w:rsidR="00045FBA">
        <w:t>corporate</w:t>
      </w:r>
      <w:r>
        <w:t>;</w:t>
      </w:r>
      <w:proofErr w:type="gramEnd"/>
      <w:r>
        <w:t xml:space="preserve"> </w:t>
      </w:r>
    </w:p>
    <w:p w14:paraId="175DF15F" w14:textId="484C5D77" w:rsidR="001F42E9" w:rsidRDefault="001F42E9" w:rsidP="001F42E9">
      <w:pPr>
        <w:pStyle w:val="Dotpoint1"/>
      </w:pPr>
      <w:r>
        <w:t xml:space="preserve">the domestic CS facility licensee or a related body corporate notifies the </w:t>
      </w:r>
      <w:r w:rsidR="004D4BAC">
        <w:t>RBA</w:t>
      </w:r>
      <w:r>
        <w:t xml:space="preserve"> that it is considering appointing an </w:t>
      </w:r>
      <w:r w:rsidR="004069B6">
        <w:t>e</w:t>
      </w:r>
      <w:r>
        <w:t xml:space="preserve">xternal </w:t>
      </w:r>
      <w:r w:rsidR="004069B6">
        <w:t>a</w:t>
      </w:r>
      <w:r>
        <w:t xml:space="preserve">dministrator; </w:t>
      </w:r>
      <w:r w:rsidR="00776550">
        <w:t>or</w:t>
      </w:r>
    </w:p>
    <w:p w14:paraId="0A0181DD" w14:textId="0E021F2A" w:rsidR="001F42E9" w:rsidRDefault="001F42E9" w:rsidP="001F42E9">
      <w:pPr>
        <w:pStyle w:val="Dotpoint1"/>
      </w:pPr>
      <w:r>
        <w:t xml:space="preserve">the </w:t>
      </w:r>
      <w:r w:rsidR="004D4BAC">
        <w:t>RBA</w:t>
      </w:r>
      <w:r>
        <w:t xml:space="preserve"> has reason to believe that a person will seek to appoint an </w:t>
      </w:r>
      <w:r w:rsidR="004069B6">
        <w:t>e</w:t>
      </w:r>
      <w:r>
        <w:t xml:space="preserve">xternal </w:t>
      </w:r>
      <w:r w:rsidR="004069B6">
        <w:t>a</w:t>
      </w:r>
      <w:r>
        <w:t>dministrator to a domestic CS facility licensee or a related body corporate</w:t>
      </w:r>
      <w:r w:rsidR="00776550">
        <w:t>.</w:t>
      </w:r>
      <w:r>
        <w:t xml:space="preserve"> </w:t>
      </w:r>
    </w:p>
    <w:p w14:paraId="11F8D2A6" w14:textId="77777777" w:rsidR="0073500A" w:rsidRPr="0073500A" w:rsidRDefault="0073500A" w:rsidP="00776550">
      <w:pPr>
        <w:pStyle w:val="Heading6"/>
        <w:rPr>
          <w:rFonts w:hint="eastAsia"/>
        </w:rPr>
      </w:pPr>
      <w:r w:rsidRPr="0073500A">
        <w:lastRenderedPageBreak/>
        <w:t>Financial stability</w:t>
      </w:r>
    </w:p>
    <w:p w14:paraId="11B5E6C6" w14:textId="6E3A0B94" w:rsidR="0073500A" w:rsidRDefault="0073500A" w:rsidP="00125C2C">
      <w:pPr>
        <w:pStyle w:val="Normalparatextwithnumbers"/>
      </w:pPr>
      <w:r>
        <w:t>The</w:t>
      </w:r>
      <w:r w:rsidR="0008645A">
        <w:t xml:space="preserve"> RBA may access resolution powers if </w:t>
      </w:r>
      <w:r>
        <w:t xml:space="preserve">the </w:t>
      </w:r>
      <w:r w:rsidR="004D4BAC">
        <w:t>RBA</w:t>
      </w:r>
      <w:r>
        <w:t xml:space="preserve"> </w:t>
      </w:r>
      <w:r w:rsidR="006E1DB9">
        <w:t>reasonably believes</w:t>
      </w:r>
      <w:r>
        <w:t xml:space="preserve"> that the domestic CS facility licensee or related body corporate is doing </w:t>
      </w:r>
      <w:r w:rsidR="000F7C05">
        <w:t xml:space="preserve">or omitting </w:t>
      </w:r>
      <w:r w:rsidR="00BB72EE">
        <w:t>to do</w:t>
      </w:r>
      <w:r w:rsidR="000F7C05">
        <w:t xml:space="preserve"> </w:t>
      </w:r>
      <w:r>
        <w:t xml:space="preserve">anything </w:t>
      </w:r>
      <w:r w:rsidR="00E56844">
        <w:t xml:space="preserve">related to the conduct or function of CS facility services </w:t>
      </w:r>
      <w:r>
        <w:t xml:space="preserve">that interferes with the stability of the Australian financial system, including:  </w:t>
      </w:r>
    </w:p>
    <w:p w14:paraId="0A6303D0" w14:textId="77777777" w:rsidR="0073500A" w:rsidRDefault="0073500A" w:rsidP="0073500A">
      <w:pPr>
        <w:pStyle w:val="Dotpoint1"/>
      </w:pPr>
      <w:r>
        <w:t xml:space="preserve">conducting affairs in a way that may cause or promote instability in the Australian financial </w:t>
      </w:r>
      <w:proofErr w:type="gramStart"/>
      <w:r>
        <w:t>system;</w:t>
      </w:r>
      <w:proofErr w:type="gramEnd"/>
      <w:r>
        <w:t xml:space="preserve"> </w:t>
      </w:r>
    </w:p>
    <w:p w14:paraId="1395F9CA" w14:textId="5D9F8E92" w:rsidR="0073500A" w:rsidRDefault="0073500A" w:rsidP="0073500A">
      <w:pPr>
        <w:pStyle w:val="Dotpoint1"/>
      </w:pPr>
      <w:r>
        <w:t xml:space="preserve">being unable to continue to provide critical CS facility services without external support; or </w:t>
      </w:r>
    </w:p>
    <w:p w14:paraId="01B8F094" w14:textId="779E83E2" w:rsidR="0054777A" w:rsidRDefault="0073500A" w:rsidP="004069B6">
      <w:pPr>
        <w:pStyle w:val="Dotpoint1"/>
      </w:pPr>
      <w:r>
        <w:t xml:space="preserve">taking recovery actions that would likely compromise financial stability. </w:t>
      </w:r>
      <w:r w:rsidR="004069B6">
        <w:br/>
      </w:r>
      <w:r w:rsidR="0054777A" w:rsidRPr="004069B6">
        <w:rPr>
          <w:rStyle w:val="References"/>
        </w:rPr>
        <w:t xml:space="preserve">[Schedule </w:t>
      </w:r>
      <w:r w:rsidR="00E773D4">
        <w:rPr>
          <w:rStyle w:val="References"/>
        </w:rPr>
        <w:t>1</w:t>
      </w:r>
      <w:r w:rsidR="0054777A" w:rsidRPr="004069B6">
        <w:rPr>
          <w:rStyle w:val="References"/>
        </w:rPr>
        <w:t xml:space="preserve">, </w:t>
      </w:r>
      <w:r w:rsidR="00C568C9">
        <w:rPr>
          <w:rStyle w:val="References"/>
        </w:rPr>
        <w:t>item 14</w:t>
      </w:r>
      <w:r w:rsidR="0054777A" w:rsidRPr="004069B6">
        <w:rPr>
          <w:rStyle w:val="References"/>
        </w:rPr>
        <w:t xml:space="preserve">, </w:t>
      </w:r>
      <w:r w:rsidR="004069B6" w:rsidRPr="004069B6">
        <w:rPr>
          <w:rStyle w:val="References"/>
        </w:rPr>
        <w:t>paragraph</w:t>
      </w:r>
      <w:r w:rsidR="0054777A" w:rsidRPr="004069B6">
        <w:rPr>
          <w:rStyle w:val="References"/>
        </w:rPr>
        <w:t xml:space="preserve"> 831A</w:t>
      </w:r>
      <w:r w:rsidR="00147948">
        <w:rPr>
          <w:rStyle w:val="References"/>
        </w:rPr>
        <w:t>(1)</w:t>
      </w:r>
      <w:r w:rsidR="0054777A" w:rsidRPr="004069B6">
        <w:rPr>
          <w:rStyle w:val="References"/>
        </w:rPr>
        <w:t>(m</w:t>
      </w:r>
      <w:r w:rsidR="004069B6" w:rsidRPr="004069B6">
        <w:rPr>
          <w:rStyle w:val="References"/>
        </w:rPr>
        <w:t>) of the Act]</w:t>
      </w:r>
    </w:p>
    <w:p w14:paraId="0C479FB0" w14:textId="0E30187B" w:rsidR="0073500A" w:rsidRDefault="0008645A" w:rsidP="00125C2C">
      <w:pPr>
        <w:pStyle w:val="Normalparatextwithnumbers"/>
      </w:pPr>
      <w:r>
        <w:t>These conditions are</w:t>
      </w:r>
      <w:r w:rsidR="004A27E3">
        <w:t xml:space="preserve">, in some cases defined relatively broadly. More specific conditions </w:t>
      </w:r>
      <w:r w:rsidR="00A55723">
        <w:t>may limit the RBA’s ability to take effective action due to</w:t>
      </w:r>
      <w:r>
        <w:t xml:space="preserve"> the difficulty </w:t>
      </w:r>
      <w:r w:rsidR="004A36F9">
        <w:t>in</w:t>
      </w:r>
      <w:r>
        <w:t xml:space="preserve"> forecast</w:t>
      </w:r>
      <w:r w:rsidR="004A36F9">
        <w:t>ing</w:t>
      </w:r>
      <w:r>
        <w:t xml:space="preserve"> what circumstances may arise</w:t>
      </w:r>
      <w:r w:rsidR="00392CBD">
        <w:t xml:space="preserve">. </w:t>
      </w:r>
    </w:p>
    <w:p w14:paraId="47918D1E" w14:textId="77777777" w:rsidR="00F94D93" w:rsidRDefault="00F94D93" w:rsidP="00F94D93">
      <w:pPr>
        <w:pStyle w:val="Heading5"/>
      </w:pPr>
      <w:r>
        <w:t>Winding up a body corporate</w:t>
      </w:r>
    </w:p>
    <w:p w14:paraId="35DF841A" w14:textId="77777777" w:rsidR="00F94D93" w:rsidRDefault="00F94D93" w:rsidP="00F94D93">
      <w:pPr>
        <w:pStyle w:val="Normalparatextwithnumbers"/>
      </w:pPr>
      <w:r>
        <w:t xml:space="preserve">If a condition for resolution is met and the RBA considers that the body corporate is insolvent and could not be restored to solvency within a reasonable period, then the RBA may apply to the Court for an order that a body corporate be wound up. The application to be wound up can only be made in respect of a body corporate that is: </w:t>
      </w:r>
    </w:p>
    <w:p w14:paraId="5ADBA8DE" w14:textId="77777777" w:rsidR="00F94D93" w:rsidRDefault="00F94D93" w:rsidP="00F94D93">
      <w:pPr>
        <w:pStyle w:val="Dotpoint1"/>
      </w:pPr>
      <w:r>
        <w:t xml:space="preserve">a CS </w:t>
      </w:r>
      <w:proofErr w:type="gramStart"/>
      <w:r>
        <w:t>facility;</w:t>
      </w:r>
      <w:proofErr w:type="gramEnd"/>
      <w:r>
        <w:t xml:space="preserve"> </w:t>
      </w:r>
    </w:p>
    <w:p w14:paraId="37EA3B2B" w14:textId="77777777" w:rsidR="00F94D93" w:rsidRDefault="00F94D93" w:rsidP="00F94D93">
      <w:pPr>
        <w:pStyle w:val="Dotpoint1"/>
      </w:pPr>
      <w:r>
        <w:t>a related body corporate of the CS facility that is incorporated in Australia; or</w:t>
      </w:r>
    </w:p>
    <w:p w14:paraId="2FECB764" w14:textId="77777777" w:rsidR="00F94D93" w:rsidRDefault="00F94D93" w:rsidP="00F94D93">
      <w:pPr>
        <w:pStyle w:val="Dotpoint1"/>
      </w:pPr>
      <w:r>
        <w:t xml:space="preserve">a related body corporate before a transfer of business or </w:t>
      </w:r>
      <w:proofErr w:type="gramStart"/>
      <w:r>
        <w:t>shares, and</w:t>
      </w:r>
      <w:proofErr w:type="gramEnd"/>
      <w:r>
        <w:t xml:space="preserve"> is still incorporated in Australia. </w:t>
      </w:r>
    </w:p>
    <w:p w14:paraId="40414FE6" w14:textId="0557F3C3" w:rsidR="00F94D93" w:rsidRDefault="00F94D93" w:rsidP="00F94D93">
      <w:pPr>
        <w:pStyle w:val="Normalparatextwithnumbers"/>
      </w:pPr>
      <w:r>
        <w:t xml:space="preserve">The RBA must inform the Minister as soon as practicable of the application for the body corporate to be wound up. </w:t>
      </w:r>
      <w:r>
        <w:br/>
      </w:r>
      <w:r w:rsidRPr="00F94D93">
        <w:rPr>
          <w:rStyle w:val="References"/>
        </w:rPr>
        <w:t xml:space="preserve">[Schedule 1, items </w:t>
      </w:r>
      <w:r>
        <w:rPr>
          <w:rStyle w:val="References"/>
        </w:rPr>
        <w:t>5</w:t>
      </w:r>
      <w:r w:rsidRPr="00F94D93">
        <w:rPr>
          <w:rStyle w:val="References"/>
        </w:rPr>
        <w:t xml:space="preserve"> and 1</w:t>
      </w:r>
      <w:r>
        <w:rPr>
          <w:rStyle w:val="References"/>
        </w:rPr>
        <w:t>4</w:t>
      </w:r>
      <w:r w:rsidRPr="00F94D93">
        <w:rPr>
          <w:rStyle w:val="References"/>
        </w:rPr>
        <w:t>, subsection 459</w:t>
      </w:r>
      <w:proofErr w:type="gramStart"/>
      <w:r w:rsidRPr="00F94D93">
        <w:rPr>
          <w:rStyle w:val="References"/>
        </w:rPr>
        <w:t>P(</w:t>
      </w:r>
      <w:proofErr w:type="gramEnd"/>
      <w:r w:rsidRPr="00F94D93">
        <w:rPr>
          <w:rStyle w:val="References"/>
        </w:rPr>
        <w:t xml:space="preserve">1) and section </w:t>
      </w:r>
      <w:r>
        <w:rPr>
          <w:rStyle w:val="References"/>
        </w:rPr>
        <w:t xml:space="preserve">849A </w:t>
      </w:r>
      <w:r w:rsidRPr="00F94D93">
        <w:rPr>
          <w:rStyle w:val="References"/>
        </w:rPr>
        <w:t>of the Act]</w:t>
      </w:r>
    </w:p>
    <w:p w14:paraId="7626A908" w14:textId="2AB06B9E" w:rsidR="0073500A" w:rsidRDefault="00C71E65" w:rsidP="00385306">
      <w:pPr>
        <w:pStyle w:val="Heading5"/>
      </w:pPr>
      <w:r>
        <w:t>S</w:t>
      </w:r>
      <w:r w:rsidR="0073500A">
        <w:t xml:space="preserve">upport </w:t>
      </w:r>
      <w:r w:rsidR="00A90909">
        <w:t xml:space="preserve">for </w:t>
      </w:r>
      <w:r w:rsidR="0073500A">
        <w:t xml:space="preserve">the RBA’s resolution </w:t>
      </w:r>
      <w:proofErr w:type="gramStart"/>
      <w:r w:rsidR="0073500A">
        <w:t>powers</w:t>
      </w:r>
      <w:proofErr w:type="gramEnd"/>
      <w:r w:rsidR="00A90909">
        <w:t xml:space="preserve"> </w:t>
      </w:r>
    </w:p>
    <w:p w14:paraId="234B4768" w14:textId="6627E5C5" w:rsidR="008054D3" w:rsidRDefault="0073500A" w:rsidP="00125C2C">
      <w:pPr>
        <w:pStyle w:val="Normalparatextwithnumbers"/>
      </w:pPr>
      <w:r>
        <w:t>Where a crisis has materialised and the RBA must use specific resolution powers, fund</w:t>
      </w:r>
      <w:r w:rsidR="00707FAF">
        <w:t>s</w:t>
      </w:r>
      <w:r>
        <w:t xml:space="preserve"> </w:t>
      </w:r>
      <w:r w:rsidR="00707FAF">
        <w:t xml:space="preserve">are made </w:t>
      </w:r>
      <w:r>
        <w:t>available</w:t>
      </w:r>
      <w:r w:rsidR="00707FAF">
        <w:t xml:space="preserve"> </w:t>
      </w:r>
      <w:r w:rsidR="00006519">
        <w:t xml:space="preserve">by the Commonwealth </w:t>
      </w:r>
      <w:r w:rsidR="008054D3">
        <w:t>to support the RBA’s activities in protecting the stability of the financial system in Australia.</w:t>
      </w:r>
      <w:r w:rsidR="005F4113">
        <w:t xml:space="preserve">  </w:t>
      </w:r>
    </w:p>
    <w:p w14:paraId="5213C81C" w14:textId="23A6B486" w:rsidR="004F2E73" w:rsidRDefault="00C150A4" w:rsidP="00125C2C">
      <w:pPr>
        <w:pStyle w:val="Normalparatextwithnumbers"/>
      </w:pPr>
      <w:r w:rsidRPr="00C150A4">
        <w:t>The Treasurer</w:t>
      </w:r>
      <w:r w:rsidR="00A8509D">
        <w:t xml:space="preserve">, with the written approval of the </w:t>
      </w:r>
      <w:proofErr w:type="gramStart"/>
      <w:r w:rsidR="00A8509D">
        <w:t>Finance Minister</w:t>
      </w:r>
      <w:proofErr w:type="gramEnd"/>
      <w:r w:rsidR="00A8509D">
        <w:t>,</w:t>
      </w:r>
      <w:r w:rsidRPr="00C150A4">
        <w:t xml:space="preserve"> </w:t>
      </w:r>
      <w:r w:rsidR="004F2E73">
        <w:t xml:space="preserve">is permitted </w:t>
      </w:r>
      <w:r w:rsidRPr="00C150A4">
        <w:t>to activate a maximum appropriation of up to</w:t>
      </w:r>
      <w:r w:rsidR="008054D3" w:rsidRPr="00707FAF">
        <w:t xml:space="preserve"> $5</w:t>
      </w:r>
      <w:r w:rsidR="00A6033A">
        <w:t> </w:t>
      </w:r>
      <w:r w:rsidR="008054D3" w:rsidRPr="00707FAF">
        <w:t>billion per event to maintain the vital functions of a domestic CS facility during a crisis.</w:t>
      </w:r>
      <w:r w:rsidR="004F2E73" w:rsidRPr="004F2E73">
        <w:t xml:space="preserve"> </w:t>
      </w:r>
      <w:r w:rsidR="009A49A7" w:rsidRPr="009A2DBF">
        <w:t xml:space="preserve">This authorisation </w:t>
      </w:r>
      <w:r w:rsidR="009A49A7">
        <w:t xml:space="preserve">must specify </w:t>
      </w:r>
      <w:r w:rsidR="009A49A7" w:rsidRPr="009A2DBF">
        <w:t>the amount of funds</w:t>
      </w:r>
      <w:r w:rsidR="009A49A7">
        <w:t>,</w:t>
      </w:r>
      <w:r w:rsidR="009A49A7" w:rsidRPr="009A2DBF">
        <w:t xml:space="preserve"> </w:t>
      </w:r>
      <w:r w:rsidR="009A49A7">
        <w:t>that does not exceed $5 billion</w:t>
      </w:r>
      <w:r w:rsidR="009A49A7" w:rsidRPr="009A2DBF">
        <w:t xml:space="preserve"> </w:t>
      </w:r>
      <w:r w:rsidR="009A49A7">
        <w:t xml:space="preserve">per event, </w:t>
      </w:r>
      <w:r w:rsidR="009A49A7" w:rsidRPr="009A2DBF">
        <w:t>authorised to be drawn down from the appropriation</w:t>
      </w:r>
      <w:r w:rsidR="005B1BF4">
        <w:t>.</w:t>
      </w:r>
      <w:r w:rsidR="009A49A7">
        <w:t xml:space="preserve"> </w:t>
      </w:r>
      <w:r w:rsidR="00340B44">
        <w:t xml:space="preserve">The initial appropriation may be less than the limit, with the </w:t>
      </w:r>
      <w:r w:rsidR="005B4C1B" w:rsidRPr="005B4C1B">
        <w:t xml:space="preserve">Treasurer and Finance </w:t>
      </w:r>
      <w:r w:rsidR="00340B44">
        <w:t xml:space="preserve">Minister being </w:t>
      </w:r>
      <w:r w:rsidR="00340B44">
        <w:lastRenderedPageBreak/>
        <w:t xml:space="preserve">permitted to amend </w:t>
      </w:r>
      <w:r w:rsidR="004F2E73">
        <w:t>the appropriation</w:t>
      </w:r>
      <w:r w:rsidR="00340B44">
        <w:t xml:space="preserve"> amount to provide </w:t>
      </w:r>
      <w:r w:rsidR="00A6033A">
        <w:t xml:space="preserve">additional </w:t>
      </w:r>
      <w:r w:rsidR="00340B44">
        <w:t xml:space="preserve">funds </w:t>
      </w:r>
      <w:r w:rsidR="00A6033A">
        <w:t>up to the maximum amount.</w:t>
      </w:r>
      <w:r w:rsidR="004F2E73">
        <w:br/>
      </w:r>
      <w:r w:rsidR="004F2E73" w:rsidRPr="00C150A4">
        <w:rPr>
          <w:rStyle w:val="References"/>
        </w:rPr>
        <w:t>[</w:t>
      </w:r>
      <w:r w:rsidR="004F2E73">
        <w:rPr>
          <w:rStyle w:val="References"/>
        </w:rPr>
        <w:t xml:space="preserve">Schedule </w:t>
      </w:r>
      <w:r w:rsidR="00E773D4">
        <w:rPr>
          <w:rStyle w:val="References"/>
        </w:rPr>
        <w:t>1</w:t>
      </w:r>
      <w:r w:rsidR="004F2E73" w:rsidRPr="00C150A4">
        <w:rPr>
          <w:rStyle w:val="References"/>
        </w:rPr>
        <w:t xml:space="preserve">, </w:t>
      </w:r>
      <w:r w:rsidR="00C568C9">
        <w:rPr>
          <w:rStyle w:val="References"/>
        </w:rPr>
        <w:t>item 14</w:t>
      </w:r>
      <w:r w:rsidR="003F35E8">
        <w:rPr>
          <w:rStyle w:val="References"/>
        </w:rPr>
        <w:t xml:space="preserve">, </w:t>
      </w:r>
      <w:r w:rsidR="009A49A7">
        <w:rPr>
          <w:rStyle w:val="References"/>
        </w:rPr>
        <w:t>sub</w:t>
      </w:r>
      <w:r w:rsidR="004F2E73" w:rsidRPr="00C150A4">
        <w:rPr>
          <w:rStyle w:val="References"/>
        </w:rPr>
        <w:t>section</w:t>
      </w:r>
      <w:r w:rsidR="009A49A7">
        <w:rPr>
          <w:rStyle w:val="References"/>
        </w:rPr>
        <w:t>s</w:t>
      </w:r>
      <w:r w:rsidR="004F2E73" w:rsidRPr="00C150A4">
        <w:rPr>
          <w:rStyle w:val="References"/>
        </w:rPr>
        <w:t xml:space="preserve"> </w:t>
      </w:r>
      <w:r w:rsidR="003F35E8">
        <w:rPr>
          <w:rStyle w:val="References"/>
        </w:rPr>
        <w:t>846</w:t>
      </w:r>
      <w:proofErr w:type="gramStart"/>
      <w:r w:rsidR="003F35E8">
        <w:rPr>
          <w:rStyle w:val="References"/>
        </w:rPr>
        <w:t>A(</w:t>
      </w:r>
      <w:proofErr w:type="gramEnd"/>
      <w:r w:rsidR="009A49A7">
        <w:rPr>
          <w:rStyle w:val="References"/>
        </w:rPr>
        <w:t>1</w:t>
      </w:r>
      <w:r w:rsidR="00773C9E">
        <w:rPr>
          <w:rStyle w:val="References"/>
        </w:rPr>
        <w:t>)</w:t>
      </w:r>
      <w:r w:rsidR="00921A8B">
        <w:rPr>
          <w:rStyle w:val="References"/>
        </w:rPr>
        <w:t xml:space="preserve">, (2), (3) and </w:t>
      </w:r>
      <w:r w:rsidR="00773C9E">
        <w:rPr>
          <w:rStyle w:val="References"/>
        </w:rPr>
        <w:t xml:space="preserve">(4) </w:t>
      </w:r>
      <w:r w:rsidR="004F2E73" w:rsidRPr="00C150A4">
        <w:rPr>
          <w:rStyle w:val="References"/>
        </w:rPr>
        <w:t xml:space="preserve">of the </w:t>
      </w:r>
      <w:r w:rsidR="004F2E73">
        <w:rPr>
          <w:rStyle w:val="References"/>
        </w:rPr>
        <w:t>Act</w:t>
      </w:r>
      <w:r w:rsidR="004F2E73" w:rsidRPr="00C150A4">
        <w:rPr>
          <w:rStyle w:val="References"/>
        </w:rPr>
        <w:t>]</w:t>
      </w:r>
      <w:r w:rsidR="004F2E73">
        <w:t xml:space="preserve"> </w:t>
      </w:r>
    </w:p>
    <w:p w14:paraId="68C05610" w14:textId="7B74D273" w:rsidR="008054D3" w:rsidRDefault="008054D3" w:rsidP="00125C2C">
      <w:pPr>
        <w:pStyle w:val="Normalparatextwithnumbers"/>
      </w:pPr>
      <w:r>
        <w:t>Prior to the release of funding, t</w:t>
      </w:r>
      <w:r w:rsidRPr="009A2DBF">
        <w:t xml:space="preserve">he </w:t>
      </w:r>
      <w:r w:rsidR="005B4C1B">
        <w:t>Treasurer must seek</w:t>
      </w:r>
      <w:r w:rsidRPr="009A2DBF">
        <w:t xml:space="preserve"> the Finance Minister’s written </w:t>
      </w:r>
      <w:r>
        <w:t xml:space="preserve">consent, </w:t>
      </w:r>
      <w:r w:rsidR="005B4C1B">
        <w:t>to</w:t>
      </w:r>
      <w:r w:rsidRPr="009A2DBF">
        <w:t xml:space="preserve"> </w:t>
      </w:r>
      <w:r>
        <w:t xml:space="preserve">authorise the </w:t>
      </w:r>
      <w:r w:rsidRPr="009A2DBF">
        <w:t xml:space="preserve">making of contracts and arrangements by the Commonwealth for the purpose of </w:t>
      </w:r>
      <w:r>
        <w:t xml:space="preserve">resolving a CS facility licensee or </w:t>
      </w:r>
      <w:r w:rsidRPr="009A2DBF">
        <w:t>protecting financial system stability in Australia</w:t>
      </w:r>
      <w:r w:rsidR="00C13953">
        <w:t xml:space="preserve">. </w:t>
      </w:r>
      <w:r w:rsidR="00C150A4">
        <w:br/>
      </w:r>
      <w:r w:rsidR="00C150A4" w:rsidRPr="00C150A4">
        <w:rPr>
          <w:rStyle w:val="References"/>
        </w:rPr>
        <w:t>[</w:t>
      </w:r>
      <w:r w:rsidR="00A93424">
        <w:rPr>
          <w:rStyle w:val="References"/>
        </w:rPr>
        <w:t xml:space="preserve">Schedule </w:t>
      </w:r>
      <w:r w:rsidR="00E773D4">
        <w:rPr>
          <w:rStyle w:val="References"/>
        </w:rPr>
        <w:t>1</w:t>
      </w:r>
      <w:r w:rsidR="00C150A4" w:rsidRPr="00C150A4">
        <w:rPr>
          <w:rStyle w:val="References"/>
        </w:rPr>
        <w:t xml:space="preserve">, </w:t>
      </w:r>
      <w:r w:rsidR="00C568C9">
        <w:rPr>
          <w:rStyle w:val="References"/>
        </w:rPr>
        <w:t>item 14</w:t>
      </w:r>
      <w:r w:rsidR="00C150A4" w:rsidRPr="00C150A4">
        <w:rPr>
          <w:rStyle w:val="References"/>
        </w:rPr>
        <w:t xml:space="preserve">, section </w:t>
      </w:r>
      <w:r w:rsidR="003F35E8">
        <w:rPr>
          <w:rStyle w:val="References"/>
        </w:rPr>
        <w:t xml:space="preserve">846B </w:t>
      </w:r>
      <w:r w:rsidR="00C150A4" w:rsidRPr="00C150A4">
        <w:rPr>
          <w:rStyle w:val="References"/>
        </w:rPr>
        <w:t xml:space="preserve">of the </w:t>
      </w:r>
      <w:r w:rsidR="000E7C19">
        <w:rPr>
          <w:rStyle w:val="References"/>
        </w:rPr>
        <w:t>Act</w:t>
      </w:r>
      <w:r w:rsidR="00C150A4" w:rsidRPr="00C150A4">
        <w:rPr>
          <w:rStyle w:val="References"/>
        </w:rPr>
        <w:t>]</w:t>
      </w:r>
    </w:p>
    <w:p w14:paraId="46FD2015" w14:textId="7D0314AC" w:rsidR="004F2E73" w:rsidRDefault="00707FAF" w:rsidP="00125C2C">
      <w:pPr>
        <w:pStyle w:val="Normalparatextwithnumbers"/>
      </w:pPr>
      <w:r w:rsidRPr="00707FAF">
        <w:t>Funds designated for use in a CS facility resolution are limited to actions that are necessary to facilitate effective resolution. Public funds for CS facility resolution will be limited to situations where a CS facility</w:t>
      </w:r>
      <w:r w:rsidR="008855E4">
        <w:t>’s</w:t>
      </w:r>
      <w:r w:rsidRPr="00707FAF">
        <w:t xml:space="preserve"> resources and recovery tools are insufficient to address losses, or the </w:t>
      </w:r>
      <w:r w:rsidR="004D4BAC">
        <w:t>RBA</w:t>
      </w:r>
      <w:r w:rsidRPr="00707FAF">
        <w:t xml:space="preserve"> considers the use of some recovery tools poses a threat to financial stability or otherwise compromises resolution objectives. </w:t>
      </w:r>
      <w:r w:rsidR="005B4C1B">
        <w:t xml:space="preserve">It is </w:t>
      </w:r>
      <w:r w:rsidR="005B4C1B" w:rsidRPr="005B4C1B">
        <w:t>expect</w:t>
      </w:r>
      <w:r w:rsidR="005B4C1B">
        <w:t xml:space="preserve">ed </w:t>
      </w:r>
      <w:r w:rsidR="005B4C1B" w:rsidRPr="005B4C1B">
        <w:t>that funds will be recovered after the crisis</w:t>
      </w:r>
      <w:r w:rsidR="00FC3B9F">
        <w:t xml:space="preserve"> is resolved</w:t>
      </w:r>
      <w:r w:rsidR="005B4C1B" w:rsidRPr="005B4C1B">
        <w:t>.</w:t>
      </w:r>
      <w:r w:rsidR="005B4C1B">
        <w:t xml:space="preserve"> The provision of </w:t>
      </w:r>
      <w:r w:rsidR="00FC3B9F">
        <w:t xml:space="preserve">public </w:t>
      </w:r>
      <w:r w:rsidR="005B4C1B">
        <w:t xml:space="preserve">funds is intended to </w:t>
      </w:r>
      <w:r w:rsidR="005B4C1B" w:rsidRPr="005B4C1B">
        <w:t>be</w:t>
      </w:r>
      <w:r w:rsidR="005B4C1B">
        <w:t xml:space="preserve"> </w:t>
      </w:r>
      <w:r w:rsidR="005B4C1B" w:rsidRPr="005B4C1B">
        <w:t>a last resort</w:t>
      </w:r>
      <w:r w:rsidR="005B4C1B">
        <w:t xml:space="preserve"> option, as preliminary tools in </w:t>
      </w:r>
      <w:r w:rsidR="005B4C1B" w:rsidRPr="003F35E8">
        <w:t>Chapter</w:t>
      </w:r>
      <w:r w:rsidR="009876BE">
        <w:t>s</w:t>
      </w:r>
      <w:r w:rsidR="005B4C1B" w:rsidRPr="003F35E8">
        <w:t xml:space="preserve"> 2 and 3</w:t>
      </w:r>
      <w:r w:rsidR="005B4C1B">
        <w:t xml:space="preserve"> are expected to assist in crisis prevention. </w:t>
      </w:r>
      <w:r w:rsidR="003F35E8">
        <w:t>The funds will not be available for activities outside of the resolution.</w:t>
      </w:r>
    </w:p>
    <w:p w14:paraId="2733B01D" w14:textId="68A81BF0" w:rsidR="008054D3" w:rsidRPr="004F2E73" w:rsidRDefault="008054D3" w:rsidP="00125C2C">
      <w:pPr>
        <w:pStyle w:val="Normalparatextwithnumbers"/>
        <w:rPr>
          <w:rStyle w:val="References"/>
          <w:b w:val="0"/>
          <w:bCs w:val="0"/>
          <w:i w:val="0"/>
          <w:iCs w:val="0"/>
        </w:rPr>
      </w:pPr>
      <w:r w:rsidRPr="005420C6">
        <w:t xml:space="preserve">The </w:t>
      </w:r>
      <w:r>
        <w:t>authorisation</w:t>
      </w:r>
      <w:r w:rsidR="004F2E73">
        <w:t xml:space="preserve"> cannot be revoked</w:t>
      </w:r>
      <w:r>
        <w:t>.</w:t>
      </w:r>
      <w:r w:rsidRPr="008054D3">
        <w:t xml:space="preserve"> The authorisation or amendment commences from the time it is made rather than when it is registered or specified on the instrument</w:t>
      </w:r>
      <w:r>
        <w:t>. R</w:t>
      </w:r>
      <w:r w:rsidRPr="008054D3">
        <w:t xml:space="preserve">etrospective application in subsection 12(2) of the </w:t>
      </w:r>
      <w:r w:rsidRPr="004F2E73">
        <w:rPr>
          <w:i/>
          <w:iCs/>
        </w:rPr>
        <w:t>Legislation Act 2003</w:t>
      </w:r>
      <w:r>
        <w:t xml:space="preserve"> </w:t>
      </w:r>
      <w:r w:rsidRPr="003128A7">
        <w:t>(Legislation Act)</w:t>
      </w:r>
      <w:r w:rsidRPr="008054D3">
        <w:t xml:space="preserve"> is not applicable to the authorisation as it will only be prospective</w:t>
      </w:r>
      <w:r>
        <w:t>.</w:t>
      </w:r>
      <w:r>
        <w:br/>
      </w:r>
      <w:r>
        <w:rPr>
          <w:rStyle w:val="References"/>
        </w:rPr>
        <w:t>[</w:t>
      </w:r>
      <w:r w:rsidR="00A93424">
        <w:rPr>
          <w:rStyle w:val="References"/>
        </w:rPr>
        <w:t xml:space="preserve">Schedule </w:t>
      </w:r>
      <w:r w:rsidR="00E773D4">
        <w:rPr>
          <w:rStyle w:val="References"/>
        </w:rPr>
        <w:t>1</w:t>
      </w:r>
      <w:r>
        <w:rPr>
          <w:rStyle w:val="References"/>
        </w:rPr>
        <w:t xml:space="preserve">, </w:t>
      </w:r>
      <w:r w:rsidR="00C568C9">
        <w:rPr>
          <w:rStyle w:val="References"/>
        </w:rPr>
        <w:t>item 14</w:t>
      </w:r>
      <w:r w:rsidR="00F269D7">
        <w:rPr>
          <w:rStyle w:val="References"/>
        </w:rPr>
        <w:t xml:space="preserve">, </w:t>
      </w:r>
      <w:r w:rsidRPr="008054D3">
        <w:rPr>
          <w:rStyle w:val="References"/>
        </w:rPr>
        <w:t>subsections</w:t>
      </w:r>
      <w:r w:rsidR="004F2E73">
        <w:rPr>
          <w:rStyle w:val="References"/>
        </w:rPr>
        <w:t xml:space="preserve"> </w:t>
      </w:r>
      <w:r w:rsidR="003F35E8">
        <w:rPr>
          <w:rStyle w:val="References"/>
        </w:rPr>
        <w:t>846</w:t>
      </w:r>
      <w:proofErr w:type="gramStart"/>
      <w:r w:rsidR="003F35E8">
        <w:rPr>
          <w:rStyle w:val="References"/>
        </w:rPr>
        <w:t>A</w:t>
      </w:r>
      <w:r w:rsidR="004F2E73">
        <w:rPr>
          <w:rStyle w:val="References"/>
        </w:rPr>
        <w:t>(</w:t>
      </w:r>
      <w:proofErr w:type="gramEnd"/>
      <w:r w:rsidR="004F2E73">
        <w:rPr>
          <w:rStyle w:val="References"/>
        </w:rPr>
        <w:t>5)</w:t>
      </w:r>
      <w:r w:rsidR="003C4D58">
        <w:rPr>
          <w:rStyle w:val="References"/>
        </w:rPr>
        <w:t xml:space="preserve"> and</w:t>
      </w:r>
      <w:r w:rsidR="004F2E73">
        <w:rPr>
          <w:rStyle w:val="References"/>
        </w:rPr>
        <w:t xml:space="preserve"> (7)</w:t>
      </w:r>
      <w:r w:rsidR="00692901">
        <w:rPr>
          <w:rStyle w:val="References"/>
        </w:rPr>
        <w:t xml:space="preserve"> </w:t>
      </w:r>
      <w:r w:rsidRPr="008054D3">
        <w:rPr>
          <w:rStyle w:val="References"/>
        </w:rPr>
        <w:t xml:space="preserve">of the </w:t>
      </w:r>
      <w:r w:rsidR="000E7C19">
        <w:rPr>
          <w:rStyle w:val="References"/>
        </w:rPr>
        <w:t>Act</w:t>
      </w:r>
      <w:r>
        <w:rPr>
          <w:rStyle w:val="References"/>
        </w:rPr>
        <w:t>]</w:t>
      </w:r>
      <w:r w:rsidRPr="008054D3">
        <w:rPr>
          <w:rStyle w:val="References"/>
        </w:rPr>
        <w:t xml:space="preserve">. </w:t>
      </w:r>
    </w:p>
    <w:p w14:paraId="6C27425D" w14:textId="2565A136" w:rsidR="005A73CF" w:rsidRDefault="008054D3" w:rsidP="00234D68">
      <w:pPr>
        <w:pStyle w:val="Normalparatextwithnumbers"/>
      </w:pPr>
      <w:r>
        <w:t>The authorisation is a legislative instrument but is not subject to disallowance under section 42 of the</w:t>
      </w:r>
      <w:r w:rsidRPr="008054D3">
        <w:t xml:space="preserve"> Legislation Act</w:t>
      </w:r>
      <w:r>
        <w:t xml:space="preserve">. The authorisation is not subject to sunsetting as specified in Part 4 of Chapter 3 of the </w:t>
      </w:r>
      <w:r w:rsidRPr="006A68AF">
        <w:t>Legislation Act</w:t>
      </w:r>
      <w:r w:rsidR="00883F81">
        <w:t>.</w:t>
      </w:r>
      <w:r>
        <w:t xml:space="preserve"> </w:t>
      </w:r>
      <w:r>
        <w:br/>
      </w:r>
      <w:r w:rsidRPr="008054D3">
        <w:rPr>
          <w:rStyle w:val="References"/>
        </w:rPr>
        <w:t>(</w:t>
      </w:r>
      <w:r w:rsidR="00A93424">
        <w:rPr>
          <w:rStyle w:val="References"/>
        </w:rPr>
        <w:t xml:space="preserve">Schedule </w:t>
      </w:r>
      <w:r w:rsidR="00E773D4">
        <w:rPr>
          <w:rStyle w:val="References"/>
        </w:rPr>
        <w:t>1</w:t>
      </w:r>
      <w:r>
        <w:rPr>
          <w:rStyle w:val="References"/>
        </w:rPr>
        <w:t xml:space="preserve">, </w:t>
      </w:r>
      <w:r w:rsidR="00C568C9">
        <w:rPr>
          <w:rStyle w:val="References"/>
        </w:rPr>
        <w:t>item 14</w:t>
      </w:r>
      <w:r w:rsidR="00F269D7">
        <w:rPr>
          <w:rStyle w:val="References"/>
        </w:rPr>
        <w:t xml:space="preserve">, </w:t>
      </w:r>
      <w:r w:rsidR="004F2E73">
        <w:rPr>
          <w:rStyle w:val="References"/>
        </w:rPr>
        <w:t>sub</w:t>
      </w:r>
      <w:r w:rsidRPr="008054D3">
        <w:rPr>
          <w:rStyle w:val="References"/>
        </w:rPr>
        <w:t xml:space="preserve">section </w:t>
      </w:r>
      <w:r w:rsidR="003F35E8">
        <w:rPr>
          <w:rStyle w:val="References"/>
        </w:rPr>
        <w:t>846</w:t>
      </w:r>
      <w:proofErr w:type="gramStart"/>
      <w:r w:rsidR="003F35E8">
        <w:rPr>
          <w:rStyle w:val="References"/>
        </w:rPr>
        <w:t>A</w:t>
      </w:r>
      <w:r w:rsidR="004F2E73">
        <w:rPr>
          <w:rStyle w:val="References"/>
        </w:rPr>
        <w:t>(</w:t>
      </w:r>
      <w:proofErr w:type="gramEnd"/>
      <w:r w:rsidR="004F2E73">
        <w:rPr>
          <w:rStyle w:val="References"/>
        </w:rPr>
        <w:t xml:space="preserve">6) </w:t>
      </w:r>
      <w:r w:rsidRPr="008054D3">
        <w:rPr>
          <w:rStyle w:val="References"/>
        </w:rPr>
        <w:t xml:space="preserve">of the </w:t>
      </w:r>
      <w:r w:rsidR="000E7C19">
        <w:rPr>
          <w:rStyle w:val="References"/>
        </w:rPr>
        <w:t>Act</w:t>
      </w:r>
      <w:r>
        <w:rPr>
          <w:rStyle w:val="References"/>
        </w:rPr>
        <w:t>]</w:t>
      </w:r>
      <w:r w:rsidR="005A73CF">
        <w:t xml:space="preserve"> </w:t>
      </w:r>
    </w:p>
    <w:p w14:paraId="47D15C28" w14:textId="715BFDA4" w:rsidR="00AA595F" w:rsidRDefault="005A73CF" w:rsidP="00385306">
      <w:pPr>
        <w:pStyle w:val="Heading3"/>
        <w:rPr>
          <w:rFonts w:hint="eastAsia"/>
        </w:rPr>
      </w:pPr>
      <w:bookmarkStart w:id="56" w:name="_Toc152860448"/>
      <w:r>
        <w:t>Statutory management</w:t>
      </w:r>
      <w:bookmarkEnd w:id="56"/>
    </w:p>
    <w:p w14:paraId="09287403" w14:textId="339CFB79" w:rsidR="00134B57" w:rsidRPr="00EA594A" w:rsidRDefault="00134B57" w:rsidP="00125C2C">
      <w:pPr>
        <w:pStyle w:val="Normalparatextwithnumbers"/>
      </w:pPr>
      <w:bookmarkStart w:id="57" w:name="_Ref140593418"/>
      <w:r>
        <w:t xml:space="preserve">The introduction of a statutory management regime ensures </w:t>
      </w:r>
      <w:r w:rsidR="259D73E7">
        <w:t xml:space="preserve">domestic licensed </w:t>
      </w:r>
      <w:r>
        <w:t xml:space="preserve">CS facilities and related </w:t>
      </w:r>
      <w:r w:rsidR="00942C15">
        <w:t>bodies corporate</w:t>
      </w:r>
      <w:r>
        <w:t xml:space="preserve"> continue to have effective operation in </w:t>
      </w:r>
      <w:r w:rsidR="00067421">
        <w:t xml:space="preserve">the event of </w:t>
      </w:r>
      <w:r>
        <w:t>a crisis</w:t>
      </w:r>
      <w:r w:rsidR="2FCF1976">
        <w:t xml:space="preserve"> at a distressed CS facility</w:t>
      </w:r>
      <w:r>
        <w:t xml:space="preserve">. Extending the appointment of the statutory management regime to related entities addresses the complex group structures </w:t>
      </w:r>
      <w:r w:rsidR="00E22BF3">
        <w:t>of</w:t>
      </w:r>
      <w:r>
        <w:t xml:space="preserve"> CS facilities. The RBA needs the ability to appoint a statutory manager to a CS facility on the basis that there is potential for the facility to be part of a large or complex financial group, or its distress poses a risk to the financial system or economy, so a more rapid resolution response may be needed.</w:t>
      </w:r>
      <w:bookmarkEnd w:id="57"/>
    </w:p>
    <w:p w14:paraId="7A7930B4" w14:textId="1444C618" w:rsidR="005A73CF" w:rsidRDefault="000F6216" w:rsidP="00125C2C">
      <w:pPr>
        <w:pStyle w:val="Normalparatextwithnumbers"/>
      </w:pPr>
      <w:r w:rsidRPr="000F6216">
        <w:t xml:space="preserve">In the absence of group resolution powers, it may be particularly difficult to resolve a distressed </w:t>
      </w:r>
      <w:r w:rsidR="007452DF">
        <w:t>CS facility</w:t>
      </w:r>
      <w:r w:rsidRPr="000F6216">
        <w:t xml:space="preserve"> or group quickly and effectively. </w:t>
      </w:r>
      <w:r w:rsidR="003C71B4">
        <w:t>This is because i</w:t>
      </w:r>
      <w:r w:rsidRPr="000F6216">
        <w:t xml:space="preserve">t may not be </w:t>
      </w:r>
      <w:r w:rsidR="00A45DEA">
        <w:t xml:space="preserve">explicit </w:t>
      </w:r>
      <w:r w:rsidRPr="000F6216">
        <w:t xml:space="preserve">how the different members of a group are linked </w:t>
      </w:r>
      <w:r w:rsidRPr="000F6216">
        <w:lastRenderedPageBreak/>
        <w:t>by inter-dependencies, for example through the provision of critical intra-group services, or where the risks and control in a group ultimately lie</w:t>
      </w:r>
      <w:r>
        <w:t xml:space="preserve">. </w:t>
      </w:r>
    </w:p>
    <w:p w14:paraId="59B9217C" w14:textId="59014656" w:rsidR="004254F0" w:rsidRDefault="00C37706" w:rsidP="009E0C90">
      <w:pPr>
        <w:pStyle w:val="Heading5"/>
      </w:pPr>
      <w:r>
        <w:t>Appointment of a statutory manager</w:t>
      </w:r>
    </w:p>
    <w:p w14:paraId="6A58B060" w14:textId="5D5CA764" w:rsidR="004254F0" w:rsidRDefault="004254F0" w:rsidP="00125C2C">
      <w:pPr>
        <w:pStyle w:val="Normalparatextwithnumbers"/>
      </w:pPr>
      <w:r>
        <w:t xml:space="preserve">The RBA has the power to appoint a </w:t>
      </w:r>
      <w:r w:rsidRPr="00254883">
        <w:t xml:space="preserve">statutory manager </w:t>
      </w:r>
      <w:r>
        <w:t xml:space="preserve">to a distressed CS facility or related </w:t>
      </w:r>
      <w:r w:rsidR="00942C15">
        <w:t>bodies corporate</w:t>
      </w:r>
      <w:r>
        <w:t xml:space="preserve"> to promote effective resolution. The RBA may only appoint a statutory manager if </w:t>
      </w:r>
      <w:r w:rsidR="00FC3B9F">
        <w:t xml:space="preserve">at least </w:t>
      </w:r>
      <w:r>
        <w:t>one of the conditions of resolution has been met</w:t>
      </w:r>
      <w:r w:rsidR="002E74DC">
        <w:t xml:space="preserve"> (</w:t>
      </w:r>
      <w:r w:rsidR="000403B9">
        <w:t>‘</w:t>
      </w:r>
      <w:r w:rsidR="002E74DC">
        <w:t>crisis condition</w:t>
      </w:r>
      <w:r w:rsidR="000403B9">
        <w:t>’</w:t>
      </w:r>
      <w:r w:rsidR="002E74DC">
        <w:t>)</w:t>
      </w:r>
      <w:r>
        <w:t xml:space="preserve">. The statutory manager appointed would </w:t>
      </w:r>
      <w:r w:rsidRPr="00254883">
        <w:t xml:space="preserve">either </w:t>
      </w:r>
      <w:r>
        <w:t xml:space="preserve">be the RBA </w:t>
      </w:r>
      <w:r w:rsidRPr="00254883">
        <w:t xml:space="preserve">(where it is in control) or an </w:t>
      </w:r>
      <w:r w:rsidR="00004595">
        <w:t>independent</w:t>
      </w:r>
      <w:r w:rsidRPr="00254883">
        <w:t xml:space="preserve"> appoint</w:t>
      </w:r>
      <w:r w:rsidR="00004595">
        <w:t xml:space="preserve">ment </w:t>
      </w:r>
      <w:r w:rsidRPr="00254883">
        <w:t xml:space="preserve">by </w:t>
      </w:r>
      <w:r>
        <w:t xml:space="preserve">the </w:t>
      </w:r>
      <w:r w:rsidRPr="00254883">
        <w:t>R</w:t>
      </w:r>
      <w:r>
        <w:t>B</w:t>
      </w:r>
      <w:r w:rsidRPr="00254883">
        <w:t xml:space="preserve">A to control </w:t>
      </w:r>
      <w:r>
        <w:t>a CS facility or related body corporate</w:t>
      </w:r>
      <w:r w:rsidRPr="00254883">
        <w:t>.</w:t>
      </w:r>
      <w:r w:rsidR="001760DB">
        <w:t xml:space="preserve"> </w:t>
      </w:r>
      <w:r w:rsidR="00CB0E87">
        <w:br/>
      </w:r>
      <w:r w:rsidR="00CB0E87" w:rsidRPr="00CB0E87">
        <w:rPr>
          <w:rStyle w:val="References"/>
        </w:rPr>
        <w:t>[</w:t>
      </w:r>
      <w:r w:rsidR="00A93424">
        <w:rPr>
          <w:rStyle w:val="References"/>
        </w:rPr>
        <w:t xml:space="preserve">Schedule </w:t>
      </w:r>
      <w:r w:rsidR="00E773D4">
        <w:rPr>
          <w:rStyle w:val="References"/>
        </w:rPr>
        <w:t>1</w:t>
      </w:r>
      <w:r w:rsidR="00CB0E87" w:rsidRPr="00CB0E87">
        <w:rPr>
          <w:rStyle w:val="References"/>
        </w:rPr>
        <w:t>, item</w:t>
      </w:r>
      <w:r w:rsidR="00990F6E">
        <w:rPr>
          <w:rStyle w:val="References"/>
        </w:rPr>
        <w:t xml:space="preserve">s </w:t>
      </w:r>
      <w:r w:rsidR="00957EC4">
        <w:rPr>
          <w:rStyle w:val="References"/>
        </w:rPr>
        <w:t>3</w:t>
      </w:r>
      <w:r w:rsidR="00990F6E">
        <w:rPr>
          <w:rStyle w:val="References"/>
        </w:rPr>
        <w:t xml:space="preserve"> and</w:t>
      </w:r>
      <w:r w:rsidR="00CB0E87" w:rsidRPr="00CB0E87">
        <w:rPr>
          <w:rStyle w:val="References"/>
        </w:rPr>
        <w:t xml:space="preserve"> </w:t>
      </w:r>
      <w:r w:rsidR="00085F64">
        <w:rPr>
          <w:rStyle w:val="References"/>
        </w:rPr>
        <w:t>1</w:t>
      </w:r>
      <w:r w:rsidR="003F35E8">
        <w:rPr>
          <w:rStyle w:val="References"/>
        </w:rPr>
        <w:t>4</w:t>
      </w:r>
      <w:r w:rsidR="00CB0E87" w:rsidRPr="00CB0E87">
        <w:rPr>
          <w:rStyle w:val="References"/>
        </w:rPr>
        <w:t>,</w:t>
      </w:r>
      <w:r w:rsidR="007B1363">
        <w:rPr>
          <w:rStyle w:val="References"/>
        </w:rPr>
        <w:t xml:space="preserve"> </w:t>
      </w:r>
      <w:r w:rsidR="00990F6E">
        <w:rPr>
          <w:rStyle w:val="References"/>
        </w:rPr>
        <w:t xml:space="preserve">section 9 and subsections </w:t>
      </w:r>
      <w:r w:rsidR="00E80410">
        <w:rPr>
          <w:rStyle w:val="References"/>
        </w:rPr>
        <w:t>832</w:t>
      </w:r>
      <w:proofErr w:type="gramStart"/>
      <w:r w:rsidR="00E80410">
        <w:rPr>
          <w:rStyle w:val="References"/>
        </w:rPr>
        <w:t>A</w:t>
      </w:r>
      <w:r w:rsidR="007B1363">
        <w:rPr>
          <w:rStyle w:val="References"/>
        </w:rPr>
        <w:t>(</w:t>
      </w:r>
      <w:proofErr w:type="gramEnd"/>
      <w:r w:rsidR="007B1363">
        <w:rPr>
          <w:rStyle w:val="References"/>
        </w:rPr>
        <w:t>1</w:t>
      </w:r>
      <w:r w:rsidR="00DE3ED0">
        <w:rPr>
          <w:rStyle w:val="References"/>
        </w:rPr>
        <w:t>) and (2)</w:t>
      </w:r>
      <w:r w:rsidR="00E80410">
        <w:rPr>
          <w:rStyle w:val="References"/>
        </w:rPr>
        <w:t xml:space="preserve"> </w:t>
      </w:r>
      <w:r w:rsidR="00CB0E87" w:rsidRPr="00CB0E87">
        <w:rPr>
          <w:rStyle w:val="References"/>
        </w:rPr>
        <w:t xml:space="preserve">of the </w:t>
      </w:r>
      <w:r w:rsidR="000E7C19">
        <w:rPr>
          <w:rStyle w:val="References"/>
        </w:rPr>
        <w:t>Act</w:t>
      </w:r>
      <w:r w:rsidR="00CB0E87" w:rsidRPr="00CB0E87">
        <w:rPr>
          <w:rStyle w:val="References"/>
        </w:rPr>
        <w:t>]</w:t>
      </w:r>
    </w:p>
    <w:p w14:paraId="5FD217F0" w14:textId="468E9BEB" w:rsidR="004C403A" w:rsidRPr="004C403A" w:rsidRDefault="00C64C40" w:rsidP="00125C2C">
      <w:pPr>
        <w:pStyle w:val="Normalparatextwithnumbers"/>
        <w:rPr>
          <w:rStyle w:val="References"/>
          <w:b w:val="0"/>
          <w:bCs w:val="0"/>
          <w:i w:val="0"/>
          <w:iCs w:val="0"/>
        </w:rPr>
      </w:pPr>
      <w:r w:rsidRPr="794C5FF5">
        <w:rPr>
          <w:rStyle w:val="References"/>
          <w:b w:val="0"/>
          <w:bCs w:val="0"/>
          <w:i w:val="0"/>
          <w:iCs w:val="0"/>
        </w:rPr>
        <w:t xml:space="preserve">If the RBA appoints a statutory manager to a related body corporate of a domestic CS facility licensee, a statutory manager must be, or about to be, simultaneously appointed to the domestic CS facility licensee. The RBA must consider that the appointment would facilitate resolution of the CS facility licensee. The statutory manager appointed to a related body corporate may be different to the one appointed to the domestic CS facility licensee. </w:t>
      </w:r>
      <w:r>
        <w:br/>
      </w:r>
      <w:r w:rsidRPr="794C5FF5">
        <w:rPr>
          <w:rStyle w:val="References"/>
        </w:rPr>
        <w:t xml:space="preserve">[Schedule </w:t>
      </w:r>
      <w:r>
        <w:rPr>
          <w:rStyle w:val="References"/>
        </w:rPr>
        <w:t>1</w:t>
      </w:r>
      <w:r w:rsidRPr="794C5FF5">
        <w:rPr>
          <w:rStyle w:val="References"/>
        </w:rPr>
        <w:t>, item 1</w:t>
      </w:r>
      <w:r>
        <w:rPr>
          <w:rStyle w:val="References"/>
        </w:rPr>
        <w:t>4</w:t>
      </w:r>
      <w:r w:rsidRPr="794C5FF5">
        <w:rPr>
          <w:rStyle w:val="References"/>
        </w:rPr>
        <w:t>, subsection 832</w:t>
      </w:r>
      <w:proofErr w:type="gramStart"/>
      <w:r w:rsidRPr="794C5FF5">
        <w:rPr>
          <w:rStyle w:val="References"/>
        </w:rPr>
        <w:t>A(</w:t>
      </w:r>
      <w:proofErr w:type="gramEnd"/>
      <w:r w:rsidR="00B235C6">
        <w:rPr>
          <w:rStyle w:val="References"/>
        </w:rPr>
        <w:t>3</w:t>
      </w:r>
      <w:r w:rsidRPr="794C5FF5">
        <w:rPr>
          <w:rStyle w:val="References"/>
        </w:rPr>
        <w:t>)</w:t>
      </w:r>
      <w:r w:rsidR="004C403A">
        <w:rPr>
          <w:rStyle w:val="References"/>
        </w:rPr>
        <w:t xml:space="preserve"> </w:t>
      </w:r>
      <w:r w:rsidRPr="794C5FF5">
        <w:rPr>
          <w:rStyle w:val="References"/>
        </w:rPr>
        <w:t>of the Act]</w:t>
      </w:r>
    </w:p>
    <w:p w14:paraId="2D61D5F6" w14:textId="50627034" w:rsidR="00CB0E87" w:rsidRPr="00941BDB" w:rsidRDefault="00CB0E87" w:rsidP="00125C2C">
      <w:pPr>
        <w:pStyle w:val="Normalparatextwithnumbers"/>
      </w:pPr>
      <w:r w:rsidRPr="00941BDB">
        <w:t>The R</w:t>
      </w:r>
      <w:r>
        <w:t>B</w:t>
      </w:r>
      <w:r w:rsidRPr="00941BDB">
        <w:t xml:space="preserve">A must provide a body corporate with written notice </w:t>
      </w:r>
      <w:r w:rsidR="001903BE">
        <w:t xml:space="preserve">of the intention to appoint a </w:t>
      </w:r>
      <w:r w:rsidRPr="00941BDB">
        <w:t xml:space="preserve">statutory manager. </w:t>
      </w:r>
      <w:r w:rsidR="004C403A">
        <w:t>The body corporate is under statutory management at the time a statutory manager is in control of the body corporate’s business</w:t>
      </w:r>
      <w:r w:rsidR="004C403A" w:rsidRPr="00941BDB">
        <w:t xml:space="preserve"> </w:t>
      </w:r>
      <w:r w:rsidR="004C403A">
        <w:t xml:space="preserve">which is either at future time specified on the notice or the time the notice is given. The appointment of a statutory manager </w:t>
      </w:r>
      <w:r w:rsidR="00FB1AAD">
        <w:t xml:space="preserve">cannot have a </w:t>
      </w:r>
      <w:r w:rsidRPr="00941BDB">
        <w:t>retrospective</w:t>
      </w:r>
      <w:r w:rsidR="00FB1AAD">
        <w:t xml:space="preserve"> start date</w:t>
      </w:r>
      <w:r w:rsidRPr="00941BDB">
        <w:t xml:space="preserve">. </w:t>
      </w:r>
      <w:r>
        <w:br/>
      </w:r>
      <w:r w:rsidRPr="00CB0E87">
        <w:rPr>
          <w:rStyle w:val="References"/>
        </w:rPr>
        <w:t>[</w:t>
      </w:r>
      <w:r w:rsidR="00A93424">
        <w:rPr>
          <w:rStyle w:val="References"/>
        </w:rPr>
        <w:t xml:space="preserve">Schedule </w:t>
      </w:r>
      <w:r w:rsidR="00E773D4">
        <w:rPr>
          <w:rStyle w:val="References"/>
        </w:rPr>
        <w:t>1</w:t>
      </w:r>
      <w:r w:rsidRPr="00CB0E87">
        <w:rPr>
          <w:rStyle w:val="References"/>
        </w:rPr>
        <w:t xml:space="preserve">, </w:t>
      </w:r>
      <w:r w:rsidR="00C568C9">
        <w:rPr>
          <w:rStyle w:val="References"/>
        </w:rPr>
        <w:t>item 14</w:t>
      </w:r>
      <w:r w:rsidR="00AC692D" w:rsidRPr="00CB0E87">
        <w:rPr>
          <w:rStyle w:val="References"/>
        </w:rPr>
        <w:t xml:space="preserve">, </w:t>
      </w:r>
      <w:r w:rsidR="007B1363">
        <w:rPr>
          <w:rStyle w:val="References"/>
        </w:rPr>
        <w:t>sub</w:t>
      </w:r>
      <w:r w:rsidRPr="00CB0E87">
        <w:rPr>
          <w:rStyle w:val="References"/>
        </w:rPr>
        <w:t>section</w:t>
      </w:r>
      <w:r w:rsidR="004C403A">
        <w:rPr>
          <w:rStyle w:val="References"/>
        </w:rPr>
        <w:t>s</w:t>
      </w:r>
      <w:r w:rsidRPr="00CB0E87">
        <w:rPr>
          <w:rStyle w:val="References"/>
        </w:rPr>
        <w:t xml:space="preserve"> </w:t>
      </w:r>
      <w:r w:rsidR="00CB367E">
        <w:rPr>
          <w:rStyle w:val="References"/>
        </w:rPr>
        <w:t>832</w:t>
      </w:r>
      <w:proofErr w:type="gramStart"/>
      <w:r w:rsidR="00CB367E">
        <w:rPr>
          <w:rStyle w:val="References"/>
        </w:rPr>
        <w:t>A(</w:t>
      </w:r>
      <w:proofErr w:type="gramEnd"/>
      <w:r w:rsidR="00FB1AAD">
        <w:rPr>
          <w:rStyle w:val="References"/>
        </w:rPr>
        <w:t>5</w:t>
      </w:r>
      <w:r w:rsidR="00CB367E">
        <w:rPr>
          <w:rStyle w:val="References"/>
        </w:rPr>
        <w:t>)</w:t>
      </w:r>
      <w:r w:rsidR="004C403A">
        <w:rPr>
          <w:rStyle w:val="References"/>
        </w:rPr>
        <w:t xml:space="preserve">, </w:t>
      </w:r>
      <w:r w:rsidR="00EA6652">
        <w:rPr>
          <w:rStyle w:val="References"/>
        </w:rPr>
        <w:t>832B(1)</w:t>
      </w:r>
      <w:r w:rsidR="004C403A">
        <w:rPr>
          <w:rStyle w:val="References"/>
        </w:rPr>
        <w:t xml:space="preserve"> and (5)</w:t>
      </w:r>
      <w:r w:rsidR="00EA6652">
        <w:rPr>
          <w:rStyle w:val="References"/>
        </w:rPr>
        <w:t xml:space="preserve"> </w:t>
      </w:r>
      <w:r w:rsidRPr="00CB0E87">
        <w:rPr>
          <w:rStyle w:val="References"/>
        </w:rPr>
        <w:t xml:space="preserve">of the </w:t>
      </w:r>
      <w:r w:rsidR="000E7C19">
        <w:rPr>
          <w:rStyle w:val="References"/>
        </w:rPr>
        <w:t>Act</w:t>
      </w:r>
      <w:r w:rsidRPr="00CB0E87">
        <w:rPr>
          <w:rStyle w:val="References"/>
        </w:rPr>
        <w:t>]</w:t>
      </w:r>
    </w:p>
    <w:p w14:paraId="010E41C5" w14:textId="6800521F" w:rsidR="005A769F" w:rsidRPr="0074193F" w:rsidRDefault="00CB0E87" w:rsidP="003F35E8">
      <w:pPr>
        <w:pStyle w:val="Normalparatextwithnumbers"/>
      </w:pPr>
      <w:r w:rsidRPr="0074193F">
        <w:t>The RBA must consult with ASIC prior to appointing a statutory manger. However, a failure to consult with ASIC does not invalidate the appointment.</w:t>
      </w:r>
      <w:r w:rsidR="005A769F">
        <w:br/>
      </w:r>
      <w:r w:rsidR="005A769F" w:rsidRPr="003F35E8">
        <w:rPr>
          <w:rStyle w:val="References"/>
        </w:rPr>
        <w:t xml:space="preserve">[Schedule </w:t>
      </w:r>
      <w:r w:rsidR="005A769F">
        <w:rPr>
          <w:rStyle w:val="References"/>
        </w:rPr>
        <w:t>1</w:t>
      </w:r>
      <w:r w:rsidR="005A769F" w:rsidRPr="003F35E8">
        <w:rPr>
          <w:rStyle w:val="References"/>
        </w:rPr>
        <w:t xml:space="preserve">, </w:t>
      </w:r>
      <w:r w:rsidR="00C568C9">
        <w:rPr>
          <w:rStyle w:val="References"/>
        </w:rPr>
        <w:t>item 14</w:t>
      </w:r>
      <w:r w:rsidR="005A769F" w:rsidRPr="003F35E8">
        <w:rPr>
          <w:rStyle w:val="References"/>
        </w:rPr>
        <w:t xml:space="preserve">, </w:t>
      </w:r>
      <w:r w:rsidR="00600A56">
        <w:rPr>
          <w:rStyle w:val="References"/>
        </w:rPr>
        <w:t>subsection 832</w:t>
      </w:r>
      <w:proofErr w:type="gramStart"/>
      <w:r w:rsidR="00600A56">
        <w:rPr>
          <w:rStyle w:val="References"/>
        </w:rPr>
        <w:t>A</w:t>
      </w:r>
      <w:r w:rsidR="00FB1AAD">
        <w:rPr>
          <w:rStyle w:val="References"/>
        </w:rPr>
        <w:t>(</w:t>
      </w:r>
      <w:proofErr w:type="gramEnd"/>
      <w:r w:rsidR="00FB1AAD">
        <w:rPr>
          <w:rStyle w:val="References"/>
        </w:rPr>
        <w:t>6)</w:t>
      </w:r>
      <w:r w:rsidR="00600A56">
        <w:rPr>
          <w:rStyle w:val="References"/>
        </w:rPr>
        <w:t xml:space="preserve"> of the Act</w:t>
      </w:r>
      <w:r w:rsidR="005A769F" w:rsidRPr="003F35E8">
        <w:rPr>
          <w:rStyle w:val="References"/>
        </w:rPr>
        <w:t xml:space="preserve">] </w:t>
      </w:r>
    </w:p>
    <w:p w14:paraId="75F7BDCF" w14:textId="02FD4B4A" w:rsidR="00A84F4B" w:rsidRDefault="00A84F4B" w:rsidP="005A769F">
      <w:pPr>
        <w:pStyle w:val="Normalparatextwithnumbers"/>
      </w:pPr>
      <w:r w:rsidRPr="00A84F4B">
        <w:t>The</w:t>
      </w:r>
      <w:r>
        <w:t xml:space="preserve">re is no specified duration for the term of statutory management. The </w:t>
      </w:r>
      <w:r w:rsidRPr="00A84F4B">
        <w:t xml:space="preserve">appointment of a statutory manager </w:t>
      </w:r>
      <w:r>
        <w:t xml:space="preserve">will be terminated </w:t>
      </w:r>
      <w:r w:rsidR="00AD062F">
        <w:t>where</w:t>
      </w:r>
      <w:r w:rsidDel="00EA267B">
        <w:t xml:space="preserve"> </w:t>
      </w:r>
      <w:r w:rsidRPr="00A84F4B" w:rsidDel="00EA267B">
        <w:t>the R</w:t>
      </w:r>
      <w:r w:rsidR="00A12306" w:rsidDel="00EA267B">
        <w:t>B</w:t>
      </w:r>
      <w:r w:rsidRPr="00A84F4B" w:rsidDel="00EA267B">
        <w:t xml:space="preserve">A considers </w:t>
      </w:r>
      <w:r w:rsidR="00871300">
        <w:t xml:space="preserve">it is no longer appropriate </w:t>
      </w:r>
      <w:r w:rsidR="00AD062F">
        <w:t>to continue</w:t>
      </w:r>
      <w:r w:rsidR="00871300">
        <w:t xml:space="preserve"> the statutory </w:t>
      </w:r>
      <w:r w:rsidR="00AD062F">
        <w:t>appointment</w:t>
      </w:r>
      <w:r w:rsidR="000A56A7">
        <w:t>, such as,</w:t>
      </w:r>
      <w:r w:rsidR="000A56A7" w:rsidRPr="000A56A7">
        <w:t xml:space="preserve"> </w:t>
      </w:r>
      <w:r w:rsidR="000A56A7">
        <w:t>where there is no longer a threat to Australia’s financial system stability or the continuity of CS facility services</w:t>
      </w:r>
      <w:r w:rsidR="00AD062F">
        <w:t xml:space="preserve">. The RBA </w:t>
      </w:r>
      <w:r w:rsidR="000A56A7">
        <w:t>must</w:t>
      </w:r>
      <w:r w:rsidR="00AD062F">
        <w:t xml:space="preserve"> provide written notice </w:t>
      </w:r>
      <w:r w:rsidR="00AE1E69">
        <w:t xml:space="preserve">to the statutory manager </w:t>
      </w:r>
      <w:r w:rsidR="000A56A7">
        <w:t>and body corporate that statutory management has ceased.</w:t>
      </w:r>
      <w:r w:rsidRPr="00A84F4B">
        <w:t xml:space="preserve"> </w:t>
      </w:r>
      <w:r>
        <w:br/>
      </w:r>
      <w:r w:rsidRPr="00A84F4B">
        <w:rPr>
          <w:rStyle w:val="References"/>
        </w:rPr>
        <w:t>[</w:t>
      </w:r>
      <w:r w:rsidR="00A93424">
        <w:rPr>
          <w:rStyle w:val="References"/>
        </w:rPr>
        <w:t xml:space="preserve">Schedule </w:t>
      </w:r>
      <w:r w:rsidR="00E773D4">
        <w:rPr>
          <w:rStyle w:val="References"/>
        </w:rPr>
        <w:t>1</w:t>
      </w:r>
      <w:r w:rsidRPr="00A84F4B">
        <w:rPr>
          <w:rStyle w:val="References"/>
        </w:rPr>
        <w:t xml:space="preserve">, </w:t>
      </w:r>
      <w:r w:rsidR="00C568C9">
        <w:rPr>
          <w:rStyle w:val="References"/>
        </w:rPr>
        <w:t>item 14</w:t>
      </w:r>
      <w:r w:rsidR="00AC692D" w:rsidRPr="00A84F4B">
        <w:rPr>
          <w:rStyle w:val="References"/>
        </w:rPr>
        <w:t xml:space="preserve">, </w:t>
      </w:r>
      <w:r w:rsidR="00557502">
        <w:rPr>
          <w:rStyle w:val="References"/>
        </w:rPr>
        <w:t>sub</w:t>
      </w:r>
      <w:r w:rsidRPr="00A84F4B">
        <w:rPr>
          <w:rStyle w:val="References"/>
        </w:rPr>
        <w:t xml:space="preserve">section </w:t>
      </w:r>
      <w:r w:rsidR="00557502">
        <w:rPr>
          <w:rStyle w:val="References"/>
        </w:rPr>
        <w:t>832</w:t>
      </w:r>
      <w:proofErr w:type="gramStart"/>
      <w:r w:rsidR="00557502">
        <w:rPr>
          <w:rStyle w:val="References"/>
        </w:rPr>
        <w:t>A(</w:t>
      </w:r>
      <w:proofErr w:type="gramEnd"/>
      <w:r w:rsidR="007E081C">
        <w:rPr>
          <w:rStyle w:val="References"/>
        </w:rPr>
        <w:t>9</w:t>
      </w:r>
      <w:r w:rsidR="00B169D2">
        <w:rPr>
          <w:rStyle w:val="References"/>
        </w:rPr>
        <w:t>)</w:t>
      </w:r>
      <w:r w:rsidR="00E70B7C">
        <w:rPr>
          <w:rStyle w:val="References"/>
        </w:rPr>
        <w:t xml:space="preserve"> </w:t>
      </w:r>
      <w:r w:rsidR="0057297A">
        <w:rPr>
          <w:rStyle w:val="References"/>
        </w:rPr>
        <w:t>832B(2</w:t>
      </w:r>
      <w:r w:rsidR="000A56A7">
        <w:rPr>
          <w:rStyle w:val="References"/>
        </w:rPr>
        <w:t>)</w:t>
      </w:r>
      <w:r w:rsidR="003A226F">
        <w:rPr>
          <w:rStyle w:val="References"/>
        </w:rPr>
        <w:t>, (3</w:t>
      </w:r>
      <w:r w:rsidR="000A56A7">
        <w:rPr>
          <w:rStyle w:val="References"/>
        </w:rPr>
        <w:t>)</w:t>
      </w:r>
      <w:r w:rsidR="000A56A7" w:rsidRPr="000A56A7">
        <w:rPr>
          <w:rStyle w:val="References"/>
        </w:rPr>
        <w:t xml:space="preserve"> </w:t>
      </w:r>
      <w:r w:rsidR="000A56A7">
        <w:rPr>
          <w:rStyle w:val="References"/>
        </w:rPr>
        <w:t>and (4</w:t>
      </w:r>
      <w:r w:rsidR="0057297A">
        <w:rPr>
          <w:rStyle w:val="References"/>
        </w:rPr>
        <w:t xml:space="preserve">) </w:t>
      </w:r>
      <w:r w:rsidRPr="00A84F4B">
        <w:rPr>
          <w:rStyle w:val="References"/>
        </w:rPr>
        <w:t xml:space="preserve">of the </w:t>
      </w:r>
      <w:r w:rsidR="000E7C19">
        <w:rPr>
          <w:rStyle w:val="References"/>
        </w:rPr>
        <w:t>Act</w:t>
      </w:r>
      <w:r w:rsidRPr="00A84F4B">
        <w:rPr>
          <w:rStyle w:val="References"/>
        </w:rPr>
        <w:t>]</w:t>
      </w:r>
    </w:p>
    <w:p w14:paraId="18B62AD7" w14:textId="55B23FE3" w:rsidR="0057082B" w:rsidRDefault="00772B03" w:rsidP="00125C2C">
      <w:pPr>
        <w:pStyle w:val="Normalparatextwithnumbers"/>
        <w:rPr>
          <w:rStyle w:val="References"/>
          <w:b w:val="0"/>
          <w:bCs w:val="0"/>
          <w:i w:val="0"/>
          <w:iCs w:val="0"/>
        </w:rPr>
      </w:pPr>
      <w:r w:rsidRPr="00772B03">
        <w:rPr>
          <w:rStyle w:val="References"/>
          <w:b w:val="0"/>
          <w:bCs w:val="0"/>
          <w:i w:val="0"/>
          <w:iCs w:val="0"/>
        </w:rPr>
        <w:t xml:space="preserve">More than one statutory manager may be appointed, which can either be the </w:t>
      </w:r>
      <w:r w:rsidR="004D4BAC">
        <w:rPr>
          <w:rStyle w:val="References"/>
          <w:b w:val="0"/>
          <w:bCs w:val="0"/>
          <w:i w:val="0"/>
          <w:iCs w:val="0"/>
        </w:rPr>
        <w:t>RBA</w:t>
      </w:r>
      <w:r w:rsidRPr="00772B03">
        <w:rPr>
          <w:rStyle w:val="References"/>
          <w:b w:val="0"/>
          <w:bCs w:val="0"/>
          <w:i w:val="0"/>
          <w:iCs w:val="0"/>
        </w:rPr>
        <w:t xml:space="preserve"> itself or a</w:t>
      </w:r>
      <w:r w:rsidR="00AD062F">
        <w:rPr>
          <w:rStyle w:val="References"/>
          <w:b w:val="0"/>
          <w:bCs w:val="0"/>
          <w:i w:val="0"/>
          <w:iCs w:val="0"/>
        </w:rPr>
        <w:t>n independent</w:t>
      </w:r>
      <w:r w:rsidRPr="00772B03">
        <w:rPr>
          <w:rStyle w:val="References"/>
          <w:b w:val="0"/>
          <w:bCs w:val="0"/>
          <w:i w:val="0"/>
          <w:iCs w:val="0"/>
        </w:rPr>
        <w:t xml:space="preserve"> person. Where two or more statutory managers are appointed, the functions and powers of the statutory manager may be performed by either </w:t>
      </w:r>
      <w:r w:rsidR="00307AA6">
        <w:rPr>
          <w:rStyle w:val="References"/>
          <w:b w:val="0"/>
          <w:bCs w:val="0"/>
          <w:i w:val="0"/>
          <w:iCs w:val="0"/>
        </w:rPr>
        <w:t xml:space="preserve">or </w:t>
      </w:r>
      <w:r w:rsidRPr="00772B03">
        <w:rPr>
          <w:rStyle w:val="References"/>
          <w:b w:val="0"/>
          <w:bCs w:val="0"/>
          <w:i w:val="0"/>
          <w:iCs w:val="0"/>
        </w:rPr>
        <w:t xml:space="preserve">all statutory managers acting jointly and severally, except to the extent otherwise specified under a notice from the </w:t>
      </w:r>
      <w:r w:rsidR="004D4BAC">
        <w:rPr>
          <w:rStyle w:val="References"/>
          <w:b w:val="0"/>
          <w:bCs w:val="0"/>
          <w:i w:val="0"/>
          <w:iCs w:val="0"/>
        </w:rPr>
        <w:t>RBA</w:t>
      </w:r>
      <w:r w:rsidRPr="00772B03">
        <w:rPr>
          <w:rStyle w:val="References"/>
          <w:b w:val="0"/>
          <w:bCs w:val="0"/>
          <w:i w:val="0"/>
          <w:iCs w:val="0"/>
        </w:rPr>
        <w:t>.</w:t>
      </w:r>
      <w:r w:rsidR="0030644E">
        <w:rPr>
          <w:rStyle w:val="References"/>
          <w:b w:val="0"/>
          <w:bCs w:val="0"/>
          <w:i w:val="0"/>
          <w:iCs w:val="0"/>
        </w:rPr>
        <w:t xml:space="preserve"> </w:t>
      </w:r>
      <w:r w:rsidR="00B169D2">
        <w:rPr>
          <w:rStyle w:val="References"/>
          <w:b w:val="0"/>
          <w:bCs w:val="0"/>
          <w:i w:val="0"/>
          <w:iCs w:val="0"/>
        </w:rPr>
        <w:br/>
      </w:r>
      <w:r w:rsidR="00B169D2" w:rsidRPr="00F07B47">
        <w:rPr>
          <w:rStyle w:val="References"/>
        </w:rPr>
        <w:t xml:space="preserve">[Schedule </w:t>
      </w:r>
      <w:r w:rsidR="00E773D4">
        <w:rPr>
          <w:rStyle w:val="References"/>
        </w:rPr>
        <w:t>1</w:t>
      </w:r>
      <w:r w:rsidR="00B169D2" w:rsidRPr="00F07B47">
        <w:rPr>
          <w:rStyle w:val="References"/>
        </w:rPr>
        <w:t xml:space="preserve">, </w:t>
      </w:r>
      <w:r w:rsidR="00C568C9">
        <w:rPr>
          <w:rStyle w:val="References"/>
        </w:rPr>
        <w:t>item 1</w:t>
      </w:r>
      <w:r w:rsidR="008739A6">
        <w:rPr>
          <w:rStyle w:val="References"/>
        </w:rPr>
        <w:t>4</w:t>
      </w:r>
      <w:r w:rsidR="00C37706">
        <w:rPr>
          <w:rStyle w:val="References"/>
        </w:rPr>
        <w:t>,</w:t>
      </w:r>
      <w:r w:rsidR="008739A6">
        <w:rPr>
          <w:rStyle w:val="References"/>
        </w:rPr>
        <w:t xml:space="preserve"> </w:t>
      </w:r>
      <w:r w:rsidR="00B169D2" w:rsidRPr="00F07B47">
        <w:rPr>
          <w:rStyle w:val="References"/>
        </w:rPr>
        <w:t xml:space="preserve">section </w:t>
      </w:r>
      <w:r w:rsidR="00C37706">
        <w:rPr>
          <w:rStyle w:val="References"/>
        </w:rPr>
        <w:t>836B</w:t>
      </w:r>
      <w:r w:rsidR="008739A6">
        <w:rPr>
          <w:rStyle w:val="References"/>
        </w:rPr>
        <w:t xml:space="preserve"> </w:t>
      </w:r>
      <w:r w:rsidR="00B169D2" w:rsidRPr="00F07B47">
        <w:rPr>
          <w:rStyle w:val="References"/>
        </w:rPr>
        <w:t>of the Act</w:t>
      </w:r>
      <w:r w:rsidR="00F07B47" w:rsidRPr="00F07B47">
        <w:rPr>
          <w:rStyle w:val="References"/>
        </w:rPr>
        <w:t>]</w:t>
      </w:r>
      <w:r w:rsidRPr="00772B03">
        <w:rPr>
          <w:rStyle w:val="References"/>
          <w:b w:val="0"/>
          <w:bCs w:val="0"/>
          <w:i w:val="0"/>
          <w:iCs w:val="0"/>
        </w:rPr>
        <w:t xml:space="preserve"> </w:t>
      </w:r>
    </w:p>
    <w:p w14:paraId="4A83D821" w14:textId="05D36C1C" w:rsidR="0057082B" w:rsidRPr="0057082B" w:rsidRDefault="004C47DD" w:rsidP="0057082B">
      <w:pPr>
        <w:pStyle w:val="Heading6"/>
        <w:rPr>
          <w:rStyle w:val="References"/>
          <w:rFonts w:ascii="Helvetica" w:hAnsi="Helvetica" w:cs="Helvetica"/>
          <w:b w:val="0"/>
          <w:bCs w:val="0"/>
          <w:i/>
          <w:iCs w:val="0"/>
        </w:rPr>
      </w:pPr>
      <w:r>
        <w:rPr>
          <w:rStyle w:val="References"/>
          <w:rFonts w:ascii="Helvetica" w:hAnsi="Helvetica" w:cs="Helvetica"/>
          <w:b w:val="0"/>
          <w:bCs w:val="0"/>
          <w:i/>
          <w:iCs w:val="0"/>
        </w:rPr>
        <w:lastRenderedPageBreak/>
        <w:t xml:space="preserve">Limits may be </w:t>
      </w:r>
      <w:proofErr w:type="gramStart"/>
      <w:r>
        <w:rPr>
          <w:rStyle w:val="References"/>
          <w:rFonts w:ascii="Helvetica" w:hAnsi="Helvetica" w:cs="Helvetica"/>
          <w:b w:val="0"/>
          <w:bCs w:val="0"/>
          <w:i/>
          <w:iCs w:val="0"/>
        </w:rPr>
        <w:t>specified</w:t>
      </w:r>
      <w:proofErr w:type="gramEnd"/>
    </w:p>
    <w:p w14:paraId="4580FB94" w14:textId="4A3DF67A" w:rsidR="0057082B" w:rsidRPr="007D697E" w:rsidRDefault="00772B03" w:rsidP="00125C2C">
      <w:pPr>
        <w:pStyle w:val="Normalparatextwithnumbers"/>
        <w:rPr>
          <w:rStyle w:val="References"/>
          <w:b w:val="0"/>
          <w:bCs w:val="0"/>
          <w:i w:val="0"/>
          <w:iCs w:val="0"/>
        </w:rPr>
      </w:pPr>
      <w:bookmarkStart w:id="58" w:name="_Ref140593427"/>
      <w:r w:rsidRPr="00772B03">
        <w:rPr>
          <w:rStyle w:val="References"/>
          <w:b w:val="0"/>
          <w:bCs w:val="0"/>
          <w:i w:val="0"/>
          <w:iCs w:val="0"/>
        </w:rPr>
        <w:t>At the time of appointment, the R</w:t>
      </w:r>
      <w:r w:rsidR="0057082B">
        <w:rPr>
          <w:rStyle w:val="References"/>
          <w:b w:val="0"/>
          <w:bCs w:val="0"/>
          <w:i w:val="0"/>
          <w:iCs w:val="0"/>
        </w:rPr>
        <w:t>B</w:t>
      </w:r>
      <w:r w:rsidRPr="00772B03">
        <w:rPr>
          <w:rStyle w:val="References"/>
          <w:b w:val="0"/>
          <w:bCs w:val="0"/>
          <w:i w:val="0"/>
          <w:iCs w:val="0"/>
        </w:rPr>
        <w:t xml:space="preserve">A may provide notice to statutory managers specifying limits or conditions on </w:t>
      </w:r>
      <w:r w:rsidR="0057082B">
        <w:rPr>
          <w:rStyle w:val="References"/>
          <w:b w:val="0"/>
          <w:bCs w:val="0"/>
          <w:i w:val="0"/>
          <w:iCs w:val="0"/>
        </w:rPr>
        <w:t>any or all statutory managers</w:t>
      </w:r>
      <w:r w:rsidR="003D205D">
        <w:rPr>
          <w:rStyle w:val="References"/>
          <w:b w:val="0"/>
          <w:bCs w:val="0"/>
          <w:i w:val="0"/>
          <w:iCs w:val="0"/>
        </w:rPr>
        <w:t>’</w:t>
      </w:r>
      <w:r w:rsidR="0057082B">
        <w:rPr>
          <w:rStyle w:val="References"/>
          <w:b w:val="0"/>
          <w:bCs w:val="0"/>
          <w:i w:val="0"/>
          <w:iCs w:val="0"/>
        </w:rPr>
        <w:t xml:space="preserve"> </w:t>
      </w:r>
      <w:r w:rsidRPr="00772B03">
        <w:rPr>
          <w:rStyle w:val="References"/>
          <w:b w:val="0"/>
          <w:bCs w:val="0"/>
          <w:i w:val="0"/>
          <w:iCs w:val="0"/>
        </w:rPr>
        <w:t xml:space="preserve">ability to perform functions and exercise powers </w:t>
      </w:r>
      <w:r w:rsidR="0057082B">
        <w:rPr>
          <w:rStyle w:val="References"/>
          <w:b w:val="0"/>
          <w:bCs w:val="0"/>
          <w:i w:val="0"/>
          <w:iCs w:val="0"/>
        </w:rPr>
        <w:t xml:space="preserve">jointly or </w:t>
      </w:r>
      <w:r w:rsidRPr="00772B03">
        <w:rPr>
          <w:rStyle w:val="References"/>
          <w:b w:val="0"/>
          <w:bCs w:val="0"/>
          <w:i w:val="0"/>
          <w:iCs w:val="0"/>
        </w:rPr>
        <w:t>individually</w:t>
      </w:r>
      <w:r w:rsidR="00B12B70">
        <w:rPr>
          <w:rStyle w:val="References"/>
          <w:b w:val="0"/>
          <w:bCs w:val="0"/>
          <w:i w:val="0"/>
          <w:iCs w:val="0"/>
        </w:rPr>
        <w:t>.</w:t>
      </w:r>
      <w:r w:rsidR="00035890">
        <w:rPr>
          <w:rStyle w:val="References"/>
          <w:b w:val="0"/>
          <w:bCs w:val="0"/>
          <w:i w:val="0"/>
          <w:iCs w:val="0"/>
        </w:rPr>
        <w:t xml:space="preserve"> </w:t>
      </w:r>
      <w:r w:rsidR="00B12B70">
        <w:rPr>
          <w:rStyle w:val="References"/>
          <w:b w:val="0"/>
          <w:bCs w:val="0"/>
          <w:i w:val="0"/>
          <w:iCs w:val="0"/>
        </w:rPr>
        <w:br/>
      </w:r>
      <w:r w:rsidR="00B12B70" w:rsidRPr="00B12B70">
        <w:rPr>
          <w:rStyle w:val="References"/>
        </w:rPr>
        <w:t>[</w:t>
      </w:r>
      <w:r w:rsidR="00A93424">
        <w:rPr>
          <w:rStyle w:val="References"/>
        </w:rPr>
        <w:t xml:space="preserve">Schedule </w:t>
      </w:r>
      <w:r w:rsidR="00E773D4">
        <w:rPr>
          <w:rStyle w:val="References"/>
        </w:rPr>
        <w:t>1</w:t>
      </w:r>
      <w:r w:rsidR="00B12B70" w:rsidRPr="00B12B70">
        <w:rPr>
          <w:rStyle w:val="References"/>
        </w:rPr>
        <w:t xml:space="preserve">, item </w:t>
      </w:r>
      <w:r w:rsidR="00660B2B">
        <w:rPr>
          <w:rStyle w:val="References"/>
        </w:rPr>
        <w:t>1</w:t>
      </w:r>
      <w:r w:rsidR="001556F4">
        <w:rPr>
          <w:rStyle w:val="References"/>
        </w:rPr>
        <w:t>4</w:t>
      </w:r>
      <w:r w:rsidR="00660B2B" w:rsidRPr="00B12B70">
        <w:rPr>
          <w:rStyle w:val="References"/>
        </w:rPr>
        <w:t xml:space="preserve">, </w:t>
      </w:r>
      <w:r w:rsidR="00000A4C">
        <w:rPr>
          <w:rStyle w:val="References"/>
        </w:rPr>
        <w:t>sub</w:t>
      </w:r>
      <w:r w:rsidR="00B12B70" w:rsidRPr="00B12B70">
        <w:rPr>
          <w:rStyle w:val="References"/>
        </w:rPr>
        <w:t>section</w:t>
      </w:r>
      <w:r w:rsidR="00907EA2">
        <w:rPr>
          <w:rStyle w:val="References"/>
        </w:rPr>
        <w:t>s</w:t>
      </w:r>
      <w:r w:rsidR="00B12B70" w:rsidRPr="00B12B70">
        <w:rPr>
          <w:rStyle w:val="References"/>
        </w:rPr>
        <w:t xml:space="preserve"> </w:t>
      </w:r>
      <w:r w:rsidR="007A4669">
        <w:rPr>
          <w:rStyle w:val="References"/>
        </w:rPr>
        <w:t>832</w:t>
      </w:r>
      <w:proofErr w:type="gramStart"/>
      <w:r w:rsidR="007A4669">
        <w:rPr>
          <w:rStyle w:val="References"/>
        </w:rPr>
        <w:t>A(</w:t>
      </w:r>
      <w:proofErr w:type="gramEnd"/>
      <w:r w:rsidR="00035890">
        <w:rPr>
          <w:rStyle w:val="References"/>
        </w:rPr>
        <w:t>7</w:t>
      </w:r>
      <w:r w:rsidR="00000A4C">
        <w:rPr>
          <w:rStyle w:val="References"/>
        </w:rPr>
        <w:t>)</w:t>
      </w:r>
      <w:r w:rsidR="00907EA2">
        <w:rPr>
          <w:rStyle w:val="References"/>
        </w:rPr>
        <w:t xml:space="preserve"> and </w:t>
      </w:r>
      <w:r w:rsidR="003F030E">
        <w:rPr>
          <w:rStyle w:val="References"/>
        </w:rPr>
        <w:t>(</w:t>
      </w:r>
      <w:r w:rsidR="00035890">
        <w:rPr>
          <w:rStyle w:val="References"/>
        </w:rPr>
        <w:t>8</w:t>
      </w:r>
      <w:r w:rsidR="003F030E">
        <w:rPr>
          <w:rStyle w:val="References"/>
        </w:rPr>
        <w:t xml:space="preserve">) </w:t>
      </w:r>
      <w:r w:rsidR="00B12B70" w:rsidRPr="00B12B70">
        <w:rPr>
          <w:rStyle w:val="References"/>
        </w:rPr>
        <w:t xml:space="preserve">of the </w:t>
      </w:r>
      <w:r w:rsidR="000E7C19">
        <w:rPr>
          <w:rStyle w:val="References"/>
        </w:rPr>
        <w:t>Act</w:t>
      </w:r>
      <w:r w:rsidR="00B12B70" w:rsidRPr="00B12B70">
        <w:rPr>
          <w:rStyle w:val="References"/>
        </w:rPr>
        <w:t>]</w:t>
      </w:r>
      <w:bookmarkEnd w:id="58"/>
    </w:p>
    <w:p w14:paraId="709D30B0" w14:textId="77777777" w:rsidR="00B96E7B" w:rsidRPr="009E0C90" w:rsidRDefault="00B96E7B" w:rsidP="00B96E7B">
      <w:pPr>
        <w:pStyle w:val="Heading6"/>
        <w:rPr>
          <w:rFonts w:ascii="Helvetica" w:hAnsi="Helvetica" w:cs="Helvetica"/>
          <w:iCs/>
        </w:rPr>
      </w:pPr>
      <w:r w:rsidRPr="009E0C90">
        <w:rPr>
          <w:rFonts w:ascii="Helvetica" w:hAnsi="Helvetica" w:cs="Helvetica"/>
          <w:iCs/>
        </w:rPr>
        <w:t>PGPA Act</w:t>
      </w:r>
      <w:r>
        <w:rPr>
          <w:rFonts w:ascii="Helvetica" w:hAnsi="Helvetica" w:cs="Helvetica"/>
          <w:iCs/>
        </w:rPr>
        <w:t xml:space="preserve"> not applicable under statutory </w:t>
      </w:r>
      <w:proofErr w:type="gramStart"/>
      <w:r>
        <w:rPr>
          <w:rFonts w:ascii="Helvetica" w:hAnsi="Helvetica" w:cs="Helvetica"/>
          <w:iCs/>
        </w:rPr>
        <w:t>management</w:t>
      </w:r>
      <w:proofErr w:type="gramEnd"/>
    </w:p>
    <w:p w14:paraId="14042B94" w14:textId="59EDDA87" w:rsidR="003A2373" w:rsidRPr="003A2373" w:rsidRDefault="00B96E7B" w:rsidP="00125C2C">
      <w:pPr>
        <w:pStyle w:val="Normalparatextwithnumbers"/>
        <w:rPr>
          <w:rStyle w:val="References"/>
          <w:rFonts w:ascii="Helvetica" w:hAnsi="Helvetica" w:cs="Helvetica"/>
          <w:b w:val="0"/>
          <w:bCs w:val="0"/>
        </w:rPr>
      </w:pPr>
      <w:r>
        <w:t>T</w:t>
      </w:r>
      <w:r w:rsidRPr="002918E6">
        <w:t xml:space="preserve">he </w:t>
      </w:r>
      <w:r w:rsidRPr="003A2373">
        <w:rPr>
          <w:i/>
          <w:iCs/>
        </w:rPr>
        <w:t>Public Governance, Performance and Accountability Act 2013</w:t>
      </w:r>
      <w:r w:rsidRPr="002918E6">
        <w:t xml:space="preserve"> (PGPA Act) does not apply to a statutory manager</w:t>
      </w:r>
      <w:r>
        <w:t xml:space="preserve"> in a crisis. Directors of a body corporate are not </w:t>
      </w:r>
      <w:r w:rsidR="004B3BDF">
        <w:t xml:space="preserve">automatically </w:t>
      </w:r>
      <w:r>
        <w:t>removed at the time a statutory manager is appointed. Therefore, the RBA’s</w:t>
      </w:r>
      <w:r w:rsidRPr="002918E6">
        <w:t xml:space="preserve"> influence or control in relation to the statutory management process </w:t>
      </w:r>
      <w:r>
        <w:t xml:space="preserve">does not </w:t>
      </w:r>
      <w:r w:rsidRPr="002918E6">
        <w:t xml:space="preserve">result in the entity falling within the definition of Commonwealth company in the PGPA Act. </w:t>
      </w:r>
      <w:r>
        <w:t xml:space="preserve">Further, the </w:t>
      </w:r>
      <w:r w:rsidRPr="002918E6">
        <w:t xml:space="preserve">PGPA Act </w:t>
      </w:r>
      <w:r>
        <w:t xml:space="preserve">does not apply as that Act </w:t>
      </w:r>
      <w:r w:rsidRPr="002918E6">
        <w:t>imposes a variety of corporate governance and financial reporting obligations on Commonwealth companies, having regard to their public sector ownership or control.</w:t>
      </w:r>
      <w:r w:rsidR="003A2373">
        <w:br/>
      </w:r>
      <w:r w:rsidR="003A2373" w:rsidRPr="003A2373">
        <w:rPr>
          <w:rStyle w:val="References"/>
        </w:rPr>
        <w:t xml:space="preserve">[Schedule </w:t>
      </w:r>
      <w:r w:rsidR="00E773D4">
        <w:rPr>
          <w:rStyle w:val="References"/>
        </w:rPr>
        <w:t>1</w:t>
      </w:r>
      <w:r w:rsidR="003A2373" w:rsidRPr="003A2373">
        <w:rPr>
          <w:rStyle w:val="References"/>
        </w:rPr>
        <w:t xml:space="preserve">, </w:t>
      </w:r>
      <w:r w:rsidR="00C568C9">
        <w:rPr>
          <w:rStyle w:val="References"/>
        </w:rPr>
        <w:t>item 14</w:t>
      </w:r>
      <w:r w:rsidR="00C37706">
        <w:rPr>
          <w:rStyle w:val="References"/>
        </w:rPr>
        <w:t xml:space="preserve">, </w:t>
      </w:r>
      <w:r w:rsidR="003A2373" w:rsidRPr="003A2373">
        <w:rPr>
          <w:rStyle w:val="References"/>
        </w:rPr>
        <w:t>subsection 83</w:t>
      </w:r>
      <w:r w:rsidR="00643AF2">
        <w:rPr>
          <w:rStyle w:val="References"/>
        </w:rPr>
        <w:t>2</w:t>
      </w:r>
      <w:proofErr w:type="gramStart"/>
      <w:r w:rsidR="003A2373" w:rsidRPr="003A2373">
        <w:rPr>
          <w:rStyle w:val="References"/>
        </w:rPr>
        <w:t>B(</w:t>
      </w:r>
      <w:proofErr w:type="gramEnd"/>
      <w:r w:rsidR="00C37706">
        <w:rPr>
          <w:rStyle w:val="References"/>
        </w:rPr>
        <w:t>6</w:t>
      </w:r>
      <w:r w:rsidR="003A2373" w:rsidRPr="003A2373">
        <w:rPr>
          <w:rStyle w:val="References"/>
        </w:rPr>
        <w:t>) of the Act]</w:t>
      </w:r>
    </w:p>
    <w:p w14:paraId="60DB6CDE" w14:textId="0B08BCB5" w:rsidR="00C75A1D" w:rsidRPr="00C75A1D" w:rsidRDefault="00C75A1D" w:rsidP="00C75A1D">
      <w:pPr>
        <w:pStyle w:val="Heading6"/>
        <w:rPr>
          <w:rStyle w:val="References"/>
          <w:rFonts w:ascii="Helvitica" w:hAnsi="Helvitica" w:hint="eastAsia"/>
          <w:b w:val="0"/>
          <w:bCs w:val="0"/>
          <w:i/>
          <w:iCs w:val="0"/>
        </w:rPr>
      </w:pPr>
      <w:r w:rsidRPr="00C75A1D">
        <w:rPr>
          <w:rStyle w:val="References"/>
          <w:rFonts w:ascii="Helvitica" w:hAnsi="Helvitica"/>
          <w:b w:val="0"/>
          <w:bCs w:val="0"/>
          <w:i/>
          <w:iCs w:val="0"/>
        </w:rPr>
        <w:t xml:space="preserve">Reviewability </w:t>
      </w:r>
    </w:p>
    <w:p w14:paraId="0A35F116" w14:textId="6F1E599B" w:rsidR="00FB593F" w:rsidRPr="005725A8" w:rsidRDefault="00ED064D" w:rsidP="0091405C">
      <w:pPr>
        <w:pStyle w:val="Normalparatextwithnumbers"/>
        <w:rPr>
          <w:rStyle w:val="References"/>
          <w:rFonts w:eastAsiaTheme="majorEastAsia" w:cstheme="majorBidi"/>
          <w:b w:val="0"/>
          <w:bCs w:val="0"/>
          <w:i w:val="0"/>
          <w:iCs w:val="0"/>
        </w:rPr>
      </w:pPr>
      <w:r>
        <w:rPr>
          <w:rStyle w:val="References"/>
          <w:b w:val="0"/>
          <w:bCs w:val="0"/>
          <w:i w:val="0"/>
          <w:iCs w:val="0"/>
        </w:rPr>
        <w:t>A</w:t>
      </w:r>
      <w:r w:rsidR="004C403A">
        <w:rPr>
          <w:rStyle w:val="References"/>
          <w:b w:val="0"/>
          <w:bCs w:val="0"/>
          <w:i w:val="0"/>
          <w:iCs w:val="0"/>
        </w:rPr>
        <w:t xml:space="preserve"> notice to appoint, terminate or impose conditions on a statutory manager are not legislative instruments. </w:t>
      </w:r>
      <w:r w:rsidR="00C75A1D" w:rsidRPr="005725A8">
        <w:rPr>
          <w:rStyle w:val="References"/>
          <w:b w:val="0"/>
          <w:bCs w:val="0"/>
          <w:i w:val="0"/>
          <w:iCs w:val="0"/>
        </w:rPr>
        <w:t xml:space="preserve">The appointment of </w:t>
      </w:r>
      <w:r w:rsidR="00380E48">
        <w:rPr>
          <w:rStyle w:val="References"/>
          <w:b w:val="0"/>
          <w:bCs w:val="0"/>
          <w:i w:val="0"/>
          <w:iCs w:val="0"/>
        </w:rPr>
        <w:t xml:space="preserve">a </w:t>
      </w:r>
      <w:r w:rsidR="00C75A1D" w:rsidRPr="005725A8">
        <w:rPr>
          <w:rStyle w:val="References"/>
          <w:b w:val="0"/>
          <w:bCs w:val="0"/>
          <w:i w:val="0"/>
          <w:iCs w:val="0"/>
        </w:rPr>
        <w:t>statutory manage</w:t>
      </w:r>
      <w:r w:rsidR="00380E48">
        <w:rPr>
          <w:rStyle w:val="References"/>
          <w:b w:val="0"/>
          <w:bCs w:val="0"/>
          <w:i w:val="0"/>
          <w:iCs w:val="0"/>
        </w:rPr>
        <w:t>r</w:t>
      </w:r>
      <w:r w:rsidR="00C75A1D" w:rsidRPr="005725A8">
        <w:rPr>
          <w:rStyle w:val="References"/>
          <w:b w:val="0"/>
          <w:bCs w:val="0"/>
          <w:i w:val="0"/>
          <w:iCs w:val="0"/>
        </w:rPr>
        <w:t xml:space="preserve"> is not subject to merits review. This is justified on the basis that </w:t>
      </w:r>
      <w:r w:rsidR="002A5DEC" w:rsidRPr="002A5DEC">
        <w:rPr>
          <w:rStyle w:val="References"/>
          <w:b w:val="0"/>
          <w:bCs w:val="0"/>
          <w:i w:val="0"/>
          <w:iCs w:val="0"/>
        </w:rPr>
        <w:t>the decision to appoint a statutory manager is likely to be one with a strong public interest element and to occur where there is a need to take rapid action to restore or maintain confidence in the markets serviced by the CS facility.</w:t>
      </w:r>
      <w:r w:rsidR="002A5DEC">
        <w:rPr>
          <w:rStyle w:val="References"/>
          <w:b w:val="0"/>
          <w:bCs w:val="0"/>
          <w:i w:val="0"/>
          <w:iCs w:val="0"/>
        </w:rPr>
        <w:t xml:space="preserve"> M</w:t>
      </w:r>
      <w:r w:rsidR="00C75A1D" w:rsidRPr="005725A8">
        <w:rPr>
          <w:rStyle w:val="References"/>
          <w:b w:val="0"/>
          <w:bCs w:val="0"/>
          <w:i w:val="0"/>
          <w:iCs w:val="0"/>
        </w:rPr>
        <w:t xml:space="preserve">erits review could cause substantial delay in resolution and could result in the original decision being varied, substituted with a new decision, or remitted back to the RBA for reconsideration. This delay in the ability for the statutory manager to </w:t>
      </w:r>
      <w:proofErr w:type="gramStart"/>
      <w:r w:rsidR="00C75A1D" w:rsidRPr="005725A8">
        <w:rPr>
          <w:rStyle w:val="References"/>
          <w:b w:val="0"/>
          <w:bCs w:val="0"/>
          <w:i w:val="0"/>
          <w:iCs w:val="0"/>
        </w:rPr>
        <w:t>take action</w:t>
      </w:r>
      <w:proofErr w:type="gramEnd"/>
      <w:r w:rsidR="00C75A1D" w:rsidRPr="005725A8">
        <w:rPr>
          <w:rStyle w:val="References"/>
          <w:b w:val="0"/>
          <w:bCs w:val="0"/>
          <w:i w:val="0"/>
          <w:iCs w:val="0"/>
        </w:rPr>
        <w:t xml:space="preserve"> has potential to </w:t>
      </w:r>
      <w:r w:rsidR="004B038E" w:rsidRPr="005725A8">
        <w:rPr>
          <w:rStyle w:val="References"/>
          <w:b w:val="0"/>
          <w:bCs w:val="0"/>
          <w:i w:val="0"/>
          <w:iCs w:val="0"/>
        </w:rPr>
        <w:t xml:space="preserve">significantly impact </w:t>
      </w:r>
      <w:r w:rsidR="00C75A1D" w:rsidRPr="005725A8">
        <w:rPr>
          <w:rStyle w:val="References"/>
          <w:b w:val="0"/>
          <w:bCs w:val="0"/>
          <w:i w:val="0"/>
          <w:iCs w:val="0"/>
        </w:rPr>
        <w:t xml:space="preserve">financial stability or the continuity of CS </w:t>
      </w:r>
      <w:r w:rsidR="00455677" w:rsidRPr="005725A8">
        <w:rPr>
          <w:rStyle w:val="References"/>
          <w:b w:val="0"/>
          <w:bCs w:val="0"/>
          <w:i w:val="0"/>
          <w:iCs w:val="0"/>
        </w:rPr>
        <w:t>facility</w:t>
      </w:r>
      <w:r w:rsidR="00C75A1D" w:rsidRPr="005725A8">
        <w:rPr>
          <w:rStyle w:val="References"/>
          <w:b w:val="0"/>
          <w:bCs w:val="0"/>
          <w:i w:val="0"/>
          <w:iCs w:val="0"/>
        </w:rPr>
        <w:t xml:space="preserve"> services.</w:t>
      </w:r>
      <w:r w:rsidR="005725A8">
        <w:rPr>
          <w:rStyle w:val="References"/>
          <w:b w:val="0"/>
          <w:bCs w:val="0"/>
          <w:i w:val="0"/>
          <w:iCs w:val="0"/>
        </w:rPr>
        <w:br/>
      </w:r>
      <w:r w:rsidR="00FB593F" w:rsidRPr="794C5FF5">
        <w:rPr>
          <w:rStyle w:val="References"/>
        </w:rPr>
        <w:t xml:space="preserve">[Schedule </w:t>
      </w:r>
      <w:r w:rsidR="00E773D4">
        <w:rPr>
          <w:rStyle w:val="References"/>
        </w:rPr>
        <w:t>1</w:t>
      </w:r>
      <w:r w:rsidR="00FB593F" w:rsidRPr="794C5FF5">
        <w:rPr>
          <w:rStyle w:val="References"/>
        </w:rPr>
        <w:t xml:space="preserve">, item </w:t>
      </w:r>
      <w:r w:rsidR="004C403A">
        <w:rPr>
          <w:rStyle w:val="References"/>
        </w:rPr>
        <w:t>3</w:t>
      </w:r>
      <w:r w:rsidR="00A95CC1">
        <w:rPr>
          <w:rStyle w:val="References"/>
        </w:rPr>
        <w:t>2</w:t>
      </w:r>
      <w:r w:rsidR="00FB593F" w:rsidRPr="794C5FF5">
        <w:rPr>
          <w:rStyle w:val="References"/>
        </w:rPr>
        <w:t>, paragraph 1317C(</w:t>
      </w:r>
      <w:proofErr w:type="spellStart"/>
      <w:r w:rsidR="00FB593F" w:rsidRPr="794C5FF5">
        <w:rPr>
          <w:rStyle w:val="References"/>
        </w:rPr>
        <w:t>g</w:t>
      </w:r>
      <w:r w:rsidR="00967826" w:rsidRPr="794C5FF5">
        <w:rPr>
          <w:rStyle w:val="References"/>
        </w:rPr>
        <w:t>i</w:t>
      </w:r>
      <w:proofErr w:type="spellEnd"/>
      <w:r w:rsidR="00FB593F" w:rsidRPr="794C5FF5">
        <w:rPr>
          <w:rStyle w:val="References"/>
        </w:rPr>
        <w:t>) of the Act]</w:t>
      </w:r>
    </w:p>
    <w:p w14:paraId="5C1EF5CA" w14:textId="64DB87E1" w:rsidR="00C9222B" w:rsidRPr="00C9222B" w:rsidRDefault="004D24A1" w:rsidP="008865FF">
      <w:pPr>
        <w:pStyle w:val="Heading5"/>
        <w:rPr>
          <w:rStyle w:val="References"/>
          <w:rFonts w:ascii="Helvetica" w:hAnsi="Helvetica" w:cs="Helvetica"/>
          <w:b/>
          <w:bCs w:val="0"/>
          <w:i w:val="0"/>
          <w:iCs w:val="0"/>
        </w:rPr>
      </w:pPr>
      <w:r>
        <w:rPr>
          <w:rStyle w:val="References"/>
          <w:rFonts w:ascii="Helvetica" w:hAnsi="Helvetica" w:cs="Helvetica"/>
          <w:b/>
          <w:bCs w:val="0"/>
          <w:i w:val="0"/>
          <w:iCs w:val="0"/>
        </w:rPr>
        <w:t>P</w:t>
      </w:r>
      <w:r w:rsidR="00C9222B" w:rsidRPr="00C9222B">
        <w:rPr>
          <w:rStyle w:val="References"/>
          <w:rFonts w:ascii="Helvetica" w:hAnsi="Helvetica" w:cs="Helvetica"/>
          <w:b/>
          <w:bCs w:val="0"/>
          <w:i w:val="0"/>
          <w:iCs w:val="0"/>
        </w:rPr>
        <w:t xml:space="preserve">owers and functions </w:t>
      </w:r>
      <w:r>
        <w:rPr>
          <w:rStyle w:val="References"/>
          <w:rFonts w:ascii="Helvetica" w:hAnsi="Helvetica" w:cs="Helvetica"/>
          <w:b/>
          <w:bCs w:val="0"/>
          <w:i w:val="0"/>
          <w:iCs w:val="0"/>
        </w:rPr>
        <w:t>of</w:t>
      </w:r>
      <w:r w:rsidR="00C9222B" w:rsidRPr="00C9222B">
        <w:rPr>
          <w:rStyle w:val="References"/>
          <w:rFonts w:ascii="Helvetica" w:hAnsi="Helvetica" w:cs="Helvetica"/>
          <w:b/>
          <w:bCs w:val="0"/>
          <w:i w:val="0"/>
          <w:iCs w:val="0"/>
        </w:rPr>
        <w:t xml:space="preserve"> a statutory manager </w:t>
      </w:r>
    </w:p>
    <w:p w14:paraId="511CB795" w14:textId="3386B435" w:rsidR="004D24A1" w:rsidRDefault="00C9222B">
      <w:pPr>
        <w:pStyle w:val="Normalparatextwithnumbers"/>
        <w:rPr>
          <w:rStyle w:val="References"/>
          <w:b w:val="0"/>
          <w:bCs w:val="0"/>
          <w:i w:val="0"/>
          <w:iCs w:val="0"/>
        </w:rPr>
      </w:pPr>
      <w:r w:rsidRPr="00990F6E">
        <w:rPr>
          <w:rStyle w:val="References"/>
          <w:b w:val="0"/>
          <w:bCs w:val="0"/>
          <w:i w:val="0"/>
          <w:iCs w:val="0"/>
        </w:rPr>
        <w:t xml:space="preserve">When a statutory manager is appointed to a domestic CS facility licensee, it has the power to perform any function, and exercise any power, that the body corporate or any of its officers could perform or exercise if the body corporate were not under statutory management. </w:t>
      </w:r>
      <w:r w:rsidR="00A209C4">
        <w:rPr>
          <w:rStyle w:val="References"/>
          <w:b w:val="0"/>
          <w:bCs w:val="0"/>
          <w:i w:val="0"/>
          <w:iCs w:val="0"/>
        </w:rPr>
        <w:t xml:space="preserve">In this capacity, </w:t>
      </w:r>
      <w:r w:rsidR="00A209C4">
        <w:t xml:space="preserve">when a statutory manager </w:t>
      </w:r>
      <w:r w:rsidR="00A209C4" w:rsidRPr="00990F6E">
        <w:rPr>
          <w:rStyle w:val="References"/>
          <w:b w:val="0"/>
          <w:bCs w:val="0"/>
          <w:i w:val="0"/>
          <w:iCs w:val="0"/>
        </w:rPr>
        <w:t>perform</w:t>
      </w:r>
      <w:r w:rsidR="00A209C4">
        <w:rPr>
          <w:rStyle w:val="References"/>
          <w:b w:val="0"/>
          <w:bCs w:val="0"/>
          <w:i w:val="0"/>
          <w:iCs w:val="0"/>
        </w:rPr>
        <w:t>s</w:t>
      </w:r>
      <w:r w:rsidR="00A209C4" w:rsidRPr="00990F6E">
        <w:rPr>
          <w:rStyle w:val="References"/>
          <w:b w:val="0"/>
          <w:bCs w:val="0"/>
          <w:i w:val="0"/>
          <w:iCs w:val="0"/>
        </w:rPr>
        <w:t xml:space="preserve"> a function or exercis</w:t>
      </w:r>
      <w:r w:rsidR="00A209C4">
        <w:rPr>
          <w:rStyle w:val="References"/>
          <w:b w:val="0"/>
          <w:bCs w:val="0"/>
          <w:i w:val="0"/>
          <w:iCs w:val="0"/>
        </w:rPr>
        <w:t>es</w:t>
      </w:r>
      <w:r w:rsidR="00A209C4" w:rsidRPr="00990F6E">
        <w:rPr>
          <w:rStyle w:val="References"/>
          <w:b w:val="0"/>
          <w:bCs w:val="0"/>
          <w:i w:val="0"/>
          <w:iCs w:val="0"/>
        </w:rPr>
        <w:t xml:space="preserve"> a power</w:t>
      </w:r>
      <w:r w:rsidR="00A209C4">
        <w:rPr>
          <w:rStyle w:val="References"/>
          <w:b w:val="0"/>
          <w:bCs w:val="0"/>
          <w:i w:val="0"/>
          <w:iCs w:val="0"/>
        </w:rPr>
        <w:t>, it is taken</w:t>
      </w:r>
      <w:r w:rsidR="00A209C4" w:rsidRPr="00A209C4">
        <w:rPr>
          <w:rStyle w:val="References"/>
          <w:b w:val="0"/>
          <w:bCs w:val="0"/>
          <w:i w:val="0"/>
          <w:iCs w:val="0"/>
        </w:rPr>
        <w:t xml:space="preserve"> </w:t>
      </w:r>
      <w:r w:rsidR="00A209C4" w:rsidRPr="00990F6E">
        <w:rPr>
          <w:rStyle w:val="References"/>
          <w:b w:val="0"/>
          <w:bCs w:val="0"/>
          <w:i w:val="0"/>
          <w:iCs w:val="0"/>
        </w:rPr>
        <w:t>to be acting as the body corporate’s agent</w:t>
      </w:r>
      <w:r w:rsidR="00A209C4">
        <w:rPr>
          <w:rStyle w:val="References"/>
          <w:b w:val="0"/>
          <w:bCs w:val="0"/>
          <w:i w:val="0"/>
          <w:iCs w:val="0"/>
        </w:rPr>
        <w:t>.</w:t>
      </w:r>
      <w:r w:rsidR="00A209C4" w:rsidRPr="00A209C4">
        <w:rPr>
          <w:rStyle w:val="References"/>
        </w:rPr>
        <w:t xml:space="preserve"> </w:t>
      </w:r>
      <w:r w:rsidR="00A209C4">
        <w:rPr>
          <w:rStyle w:val="References"/>
        </w:rPr>
        <w:br/>
        <w:t>[Schedule 1, item 14, and section 833F of the Act]</w:t>
      </w:r>
    </w:p>
    <w:p w14:paraId="73913994" w14:textId="77777777" w:rsidR="00C9222B" w:rsidRPr="00C9222B" w:rsidRDefault="00C9222B" w:rsidP="00125C2C">
      <w:pPr>
        <w:pStyle w:val="Normalparatextwithnumbers"/>
        <w:rPr>
          <w:rStyle w:val="References"/>
          <w:b w:val="0"/>
          <w:bCs w:val="0"/>
          <w:i w:val="0"/>
          <w:iCs w:val="0"/>
        </w:rPr>
      </w:pPr>
      <w:r w:rsidRPr="00C9222B">
        <w:rPr>
          <w:rStyle w:val="References"/>
          <w:b w:val="0"/>
          <w:bCs w:val="0"/>
          <w:i w:val="0"/>
          <w:iCs w:val="0"/>
        </w:rPr>
        <w:t xml:space="preserve">The statutory manager may: </w:t>
      </w:r>
    </w:p>
    <w:p w14:paraId="4BA72629" w14:textId="04B35E84" w:rsidR="00190517" w:rsidRPr="00DE39BE" w:rsidRDefault="00C9222B" w:rsidP="00DE39BE">
      <w:pPr>
        <w:pStyle w:val="Dotpoint1"/>
        <w:rPr>
          <w:rStyle w:val="References"/>
          <w:b w:val="0"/>
          <w:bCs w:val="0"/>
          <w:i w:val="0"/>
          <w:iCs w:val="0"/>
        </w:rPr>
      </w:pPr>
      <w:r w:rsidRPr="00C9222B">
        <w:rPr>
          <w:rStyle w:val="References"/>
          <w:b w:val="0"/>
          <w:bCs w:val="0"/>
          <w:i w:val="0"/>
          <w:iCs w:val="0"/>
        </w:rPr>
        <w:t xml:space="preserve">exercise powers under the operating </w:t>
      </w:r>
      <w:proofErr w:type="gramStart"/>
      <w:r w:rsidRPr="00C9222B">
        <w:rPr>
          <w:rStyle w:val="References"/>
          <w:b w:val="0"/>
          <w:bCs w:val="0"/>
          <w:i w:val="0"/>
          <w:iCs w:val="0"/>
        </w:rPr>
        <w:t>rules;</w:t>
      </w:r>
      <w:proofErr w:type="gramEnd"/>
      <w:r w:rsidRPr="00C9222B">
        <w:rPr>
          <w:rStyle w:val="References"/>
          <w:b w:val="0"/>
          <w:bCs w:val="0"/>
          <w:i w:val="0"/>
          <w:iCs w:val="0"/>
        </w:rPr>
        <w:t xml:space="preserve"> </w:t>
      </w:r>
    </w:p>
    <w:p w14:paraId="2AFB9341" w14:textId="77777777" w:rsidR="00C9222B" w:rsidRPr="00C9222B" w:rsidRDefault="00C9222B" w:rsidP="00C9222B">
      <w:pPr>
        <w:pStyle w:val="Dotpoint1"/>
        <w:rPr>
          <w:rStyle w:val="References"/>
          <w:b w:val="0"/>
          <w:bCs w:val="0"/>
          <w:i w:val="0"/>
          <w:iCs w:val="0"/>
        </w:rPr>
      </w:pPr>
      <w:r w:rsidRPr="00C9222B">
        <w:rPr>
          <w:rStyle w:val="References"/>
          <w:b w:val="0"/>
          <w:bCs w:val="0"/>
          <w:i w:val="0"/>
          <w:iCs w:val="0"/>
        </w:rPr>
        <w:t xml:space="preserve">remove a director of the body </w:t>
      </w:r>
      <w:proofErr w:type="gramStart"/>
      <w:r w:rsidRPr="00C9222B">
        <w:rPr>
          <w:rStyle w:val="References"/>
          <w:b w:val="0"/>
          <w:bCs w:val="0"/>
          <w:i w:val="0"/>
          <w:iCs w:val="0"/>
        </w:rPr>
        <w:t>corporate;</w:t>
      </w:r>
      <w:proofErr w:type="gramEnd"/>
      <w:r w:rsidRPr="00C9222B">
        <w:rPr>
          <w:rStyle w:val="References"/>
          <w:b w:val="0"/>
          <w:bCs w:val="0"/>
          <w:i w:val="0"/>
          <w:iCs w:val="0"/>
        </w:rPr>
        <w:t xml:space="preserve"> </w:t>
      </w:r>
    </w:p>
    <w:p w14:paraId="104CFF48" w14:textId="77777777" w:rsidR="00C9222B" w:rsidRPr="00C9222B" w:rsidRDefault="00C9222B" w:rsidP="00C9222B">
      <w:pPr>
        <w:pStyle w:val="Dotpoint1"/>
        <w:rPr>
          <w:rStyle w:val="References"/>
          <w:b w:val="0"/>
          <w:bCs w:val="0"/>
          <w:i w:val="0"/>
          <w:iCs w:val="0"/>
        </w:rPr>
      </w:pPr>
      <w:r w:rsidRPr="00C9222B">
        <w:rPr>
          <w:rStyle w:val="References"/>
          <w:b w:val="0"/>
          <w:bCs w:val="0"/>
          <w:i w:val="0"/>
          <w:iCs w:val="0"/>
        </w:rPr>
        <w:lastRenderedPageBreak/>
        <w:t>appoint a person as a director of the body corporate (regardless of whether it is fulfilling a vacancy</w:t>
      </w:r>
      <w:proofErr w:type="gramStart"/>
      <w:r w:rsidRPr="00C9222B">
        <w:rPr>
          <w:rStyle w:val="References"/>
          <w:b w:val="0"/>
          <w:bCs w:val="0"/>
          <w:i w:val="0"/>
          <w:iCs w:val="0"/>
        </w:rPr>
        <w:t>);</w:t>
      </w:r>
      <w:proofErr w:type="gramEnd"/>
      <w:r w:rsidRPr="00C9222B">
        <w:rPr>
          <w:rStyle w:val="References"/>
          <w:b w:val="0"/>
          <w:bCs w:val="0"/>
          <w:i w:val="0"/>
          <w:iCs w:val="0"/>
        </w:rPr>
        <w:t xml:space="preserve"> </w:t>
      </w:r>
    </w:p>
    <w:p w14:paraId="74EA1863" w14:textId="77777777" w:rsidR="00C9222B" w:rsidRPr="00C9222B" w:rsidRDefault="00C9222B" w:rsidP="00C9222B">
      <w:pPr>
        <w:pStyle w:val="Dotpoint1"/>
        <w:rPr>
          <w:rStyle w:val="References"/>
          <w:b w:val="0"/>
          <w:bCs w:val="0"/>
          <w:i w:val="0"/>
          <w:iCs w:val="0"/>
        </w:rPr>
      </w:pPr>
      <w:r w:rsidRPr="00C9222B">
        <w:rPr>
          <w:rStyle w:val="References"/>
          <w:b w:val="0"/>
          <w:bCs w:val="0"/>
          <w:i w:val="0"/>
          <w:iCs w:val="0"/>
        </w:rPr>
        <w:t xml:space="preserve">execute a document, bring or defend </w:t>
      </w:r>
      <w:proofErr w:type="gramStart"/>
      <w:r w:rsidRPr="00C9222B">
        <w:rPr>
          <w:rStyle w:val="References"/>
          <w:b w:val="0"/>
          <w:bCs w:val="0"/>
          <w:i w:val="0"/>
          <w:iCs w:val="0"/>
        </w:rPr>
        <w:t>proceedings;</w:t>
      </w:r>
      <w:proofErr w:type="gramEnd"/>
      <w:r w:rsidRPr="00C9222B">
        <w:rPr>
          <w:rStyle w:val="References"/>
          <w:b w:val="0"/>
          <w:bCs w:val="0"/>
          <w:i w:val="0"/>
          <w:iCs w:val="0"/>
        </w:rPr>
        <w:t xml:space="preserve"> </w:t>
      </w:r>
    </w:p>
    <w:p w14:paraId="53B686C0" w14:textId="77777777" w:rsidR="00C9222B" w:rsidRPr="00C9222B" w:rsidRDefault="00C9222B" w:rsidP="00C9222B">
      <w:pPr>
        <w:pStyle w:val="Dotpoint1"/>
        <w:rPr>
          <w:rStyle w:val="References"/>
          <w:b w:val="0"/>
          <w:bCs w:val="0"/>
          <w:i w:val="0"/>
          <w:iCs w:val="0"/>
        </w:rPr>
      </w:pPr>
      <w:r w:rsidRPr="00C9222B">
        <w:rPr>
          <w:rStyle w:val="References"/>
          <w:b w:val="0"/>
          <w:bCs w:val="0"/>
          <w:i w:val="0"/>
          <w:iCs w:val="0"/>
        </w:rPr>
        <w:t xml:space="preserve">control the body corporate’s business, property and </w:t>
      </w:r>
      <w:proofErr w:type="gramStart"/>
      <w:r w:rsidRPr="00C9222B">
        <w:rPr>
          <w:rStyle w:val="References"/>
          <w:b w:val="0"/>
          <w:bCs w:val="0"/>
          <w:i w:val="0"/>
          <w:iCs w:val="0"/>
        </w:rPr>
        <w:t>affairs;</w:t>
      </w:r>
      <w:proofErr w:type="gramEnd"/>
      <w:r w:rsidRPr="00C9222B">
        <w:rPr>
          <w:rStyle w:val="References"/>
          <w:b w:val="0"/>
          <w:bCs w:val="0"/>
          <w:i w:val="0"/>
          <w:iCs w:val="0"/>
        </w:rPr>
        <w:t xml:space="preserve"> </w:t>
      </w:r>
    </w:p>
    <w:p w14:paraId="1C5C4619" w14:textId="77777777" w:rsidR="00C9222B" w:rsidRPr="00C9222B" w:rsidRDefault="00C9222B" w:rsidP="00C9222B">
      <w:pPr>
        <w:pStyle w:val="Dotpoint1"/>
        <w:rPr>
          <w:rStyle w:val="References"/>
          <w:b w:val="0"/>
          <w:bCs w:val="0"/>
          <w:i w:val="0"/>
          <w:iCs w:val="0"/>
        </w:rPr>
      </w:pPr>
      <w:r w:rsidRPr="00C9222B">
        <w:rPr>
          <w:rStyle w:val="References"/>
          <w:b w:val="0"/>
          <w:bCs w:val="0"/>
          <w:i w:val="0"/>
          <w:iCs w:val="0"/>
        </w:rPr>
        <w:t xml:space="preserve">alter the body corporate’s constitution, operating rules or other arrangements for governance; or </w:t>
      </w:r>
    </w:p>
    <w:p w14:paraId="1AF9F876" w14:textId="6AAB867B" w:rsidR="00C9222B" w:rsidRPr="006B593F" w:rsidRDefault="00C9222B" w:rsidP="00C9222B">
      <w:pPr>
        <w:pStyle w:val="Dotpoint1"/>
        <w:rPr>
          <w:rStyle w:val="References"/>
          <w:b w:val="0"/>
          <w:i w:val="0"/>
        </w:rPr>
      </w:pPr>
      <w:r w:rsidRPr="00C9222B">
        <w:rPr>
          <w:rStyle w:val="References"/>
          <w:b w:val="0"/>
          <w:bCs w:val="0"/>
          <w:i w:val="0"/>
          <w:iCs w:val="0"/>
        </w:rPr>
        <w:t>do anything else, in the name of the body corporate and on its behalf</w:t>
      </w:r>
      <w:r w:rsidR="004B3BDF">
        <w:rPr>
          <w:rStyle w:val="References"/>
          <w:b w:val="0"/>
          <w:bCs w:val="0"/>
          <w:i w:val="0"/>
          <w:iCs w:val="0"/>
        </w:rPr>
        <w:t xml:space="preserve"> for the purposes of resolving a crisis</w:t>
      </w:r>
      <w:r w:rsidRPr="00C9222B">
        <w:rPr>
          <w:rStyle w:val="References"/>
          <w:b w:val="0"/>
          <w:bCs w:val="0"/>
          <w:i w:val="0"/>
          <w:iCs w:val="0"/>
        </w:rPr>
        <w:t>.</w:t>
      </w:r>
      <w:r w:rsidR="00C8096C">
        <w:rPr>
          <w:rStyle w:val="References"/>
          <w:b w:val="0"/>
          <w:bCs w:val="0"/>
          <w:i w:val="0"/>
          <w:iCs w:val="0"/>
        </w:rPr>
        <w:br/>
      </w:r>
      <w:r w:rsidR="002160D4" w:rsidRPr="002160D4">
        <w:rPr>
          <w:rStyle w:val="References"/>
        </w:rPr>
        <w:t xml:space="preserve">[Schedule </w:t>
      </w:r>
      <w:r w:rsidR="00E773D4">
        <w:rPr>
          <w:rStyle w:val="References"/>
        </w:rPr>
        <w:t>1</w:t>
      </w:r>
      <w:r w:rsidR="002160D4" w:rsidRPr="002160D4">
        <w:rPr>
          <w:rStyle w:val="References"/>
        </w:rPr>
        <w:t xml:space="preserve">, </w:t>
      </w:r>
      <w:r w:rsidR="00C568C9">
        <w:rPr>
          <w:rStyle w:val="References"/>
        </w:rPr>
        <w:t>item 14</w:t>
      </w:r>
      <w:r w:rsidR="000C4228" w:rsidRPr="002160D4">
        <w:rPr>
          <w:rStyle w:val="References"/>
        </w:rPr>
        <w:t xml:space="preserve">, </w:t>
      </w:r>
      <w:r w:rsidR="0062019A" w:rsidRPr="002160D4">
        <w:rPr>
          <w:rStyle w:val="References"/>
        </w:rPr>
        <w:t>s</w:t>
      </w:r>
      <w:r w:rsidR="0062019A">
        <w:rPr>
          <w:rStyle w:val="References"/>
        </w:rPr>
        <w:t xml:space="preserve">ubsection </w:t>
      </w:r>
      <w:r w:rsidR="009E60EF">
        <w:rPr>
          <w:rStyle w:val="References"/>
        </w:rPr>
        <w:t>83</w:t>
      </w:r>
      <w:r w:rsidR="004D24A1">
        <w:rPr>
          <w:rStyle w:val="References"/>
        </w:rPr>
        <w:t>3</w:t>
      </w:r>
      <w:proofErr w:type="gramStart"/>
      <w:r w:rsidR="004D24A1">
        <w:rPr>
          <w:rStyle w:val="References"/>
        </w:rPr>
        <w:t>A(</w:t>
      </w:r>
      <w:proofErr w:type="gramEnd"/>
      <w:r w:rsidR="004D24A1">
        <w:rPr>
          <w:rStyle w:val="References"/>
        </w:rPr>
        <w:t>1)</w:t>
      </w:r>
      <w:r w:rsidR="004B3BDF">
        <w:rPr>
          <w:rStyle w:val="References"/>
        </w:rPr>
        <w:t xml:space="preserve"> and</w:t>
      </w:r>
      <w:r w:rsidR="0062019A">
        <w:rPr>
          <w:rStyle w:val="References"/>
        </w:rPr>
        <w:t xml:space="preserve"> section</w:t>
      </w:r>
      <w:r w:rsidR="004D24A1">
        <w:rPr>
          <w:rStyle w:val="References"/>
        </w:rPr>
        <w:t>s</w:t>
      </w:r>
      <w:r w:rsidR="004B3BDF">
        <w:rPr>
          <w:rStyle w:val="References"/>
        </w:rPr>
        <w:t xml:space="preserve"> </w:t>
      </w:r>
      <w:r w:rsidR="004D24A1">
        <w:rPr>
          <w:rStyle w:val="References"/>
        </w:rPr>
        <w:t xml:space="preserve">833B, </w:t>
      </w:r>
      <w:r w:rsidR="009E60EF">
        <w:rPr>
          <w:rStyle w:val="References"/>
        </w:rPr>
        <w:t>83</w:t>
      </w:r>
      <w:r w:rsidR="004D24A1">
        <w:rPr>
          <w:rStyle w:val="References"/>
        </w:rPr>
        <w:t>3C</w:t>
      </w:r>
      <w:r w:rsidR="009E60EF" w:rsidRPr="002160D4">
        <w:rPr>
          <w:rStyle w:val="References"/>
        </w:rPr>
        <w:t xml:space="preserve"> </w:t>
      </w:r>
      <w:r w:rsidR="002160D4" w:rsidRPr="002160D4">
        <w:rPr>
          <w:rStyle w:val="References"/>
        </w:rPr>
        <w:t>of the Act]</w:t>
      </w:r>
    </w:p>
    <w:p w14:paraId="02BD965F" w14:textId="7A6081A5" w:rsidR="00C9222B" w:rsidRPr="00C9222B" w:rsidRDefault="00C9222B" w:rsidP="00125C2C">
      <w:pPr>
        <w:pStyle w:val="Normalparatextwithnumbers"/>
        <w:rPr>
          <w:rStyle w:val="References"/>
          <w:b w:val="0"/>
          <w:bCs w:val="0"/>
          <w:i w:val="0"/>
          <w:iCs w:val="0"/>
        </w:rPr>
      </w:pPr>
      <w:r w:rsidRPr="00C9222B">
        <w:rPr>
          <w:rStyle w:val="References"/>
          <w:b w:val="0"/>
          <w:bCs w:val="0"/>
          <w:i w:val="0"/>
          <w:iCs w:val="0"/>
        </w:rPr>
        <w:t>The statutory manager may only alter the body corporate’s constitution or rules if it considers it is necessary or convenient for facilitating the performance of the statutory manager’s functions and duties, or the exercise of powers</w:t>
      </w:r>
      <w:r w:rsidR="0044152B">
        <w:rPr>
          <w:rStyle w:val="References"/>
          <w:b w:val="0"/>
          <w:bCs w:val="0"/>
          <w:i w:val="0"/>
          <w:iCs w:val="0"/>
        </w:rPr>
        <w:t xml:space="preserve">. </w:t>
      </w:r>
      <w:r w:rsidR="00174C9C">
        <w:rPr>
          <w:rStyle w:val="References"/>
          <w:b w:val="0"/>
          <w:bCs w:val="0"/>
          <w:i w:val="0"/>
          <w:iCs w:val="0"/>
        </w:rPr>
        <w:t>T</w:t>
      </w:r>
      <w:r w:rsidRPr="00C9222B">
        <w:rPr>
          <w:rStyle w:val="References"/>
          <w:b w:val="0"/>
          <w:bCs w:val="0"/>
          <w:i w:val="0"/>
          <w:iCs w:val="0"/>
        </w:rPr>
        <w:t xml:space="preserve">he alteration </w:t>
      </w:r>
      <w:r w:rsidR="00174C9C">
        <w:rPr>
          <w:rStyle w:val="References"/>
          <w:b w:val="0"/>
          <w:bCs w:val="0"/>
          <w:i w:val="0"/>
          <w:iCs w:val="0"/>
        </w:rPr>
        <w:t xml:space="preserve">must either </w:t>
      </w:r>
      <w:r w:rsidRPr="00C9222B">
        <w:rPr>
          <w:rStyle w:val="References"/>
          <w:b w:val="0"/>
          <w:bCs w:val="0"/>
          <w:i w:val="0"/>
          <w:iCs w:val="0"/>
        </w:rPr>
        <w:t>promote</w:t>
      </w:r>
      <w:r w:rsidR="00174C9C">
        <w:rPr>
          <w:rStyle w:val="References"/>
          <w:b w:val="0"/>
          <w:bCs w:val="0"/>
          <w:i w:val="0"/>
          <w:iCs w:val="0"/>
        </w:rPr>
        <w:t xml:space="preserve"> </w:t>
      </w:r>
      <w:r w:rsidRPr="00C9222B">
        <w:rPr>
          <w:rStyle w:val="References"/>
          <w:b w:val="0"/>
          <w:bCs w:val="0"/>
          <w:i w:val="0"/>
          <w:iCs w:val="0"/>
        </w:rPr>
        <w:t>financial system stability in Australia</w:t>
      </w:r>
      <w:r w:rsidR="00174C9C">
        <w:rPr>
          <w:rStyle w:val="References"/>
          <w:b w:val="0"/>
          <w:bCs w:val="0"/>
          <w:i w:val="0"/>
          <w:iCs w:val="0"/>
        </w:rPr>
        <w:t xml:space="preserve"> or </w:t>
      </w:r>
      <w:r w:rsidR="00BD60BD">
        <w:rPr>
          <w:rStyle w:val="References"/>
          <w:b w:val="0"/>
          <w:bCs w:val="0"/>
          <w:i w:val="0"/>
          <w:iCs w:val="0"/>
        </w:rPr>
        <w:t xml:space="preserve">ensure the continuity of critical CS </w:t>
      </w:r>
      <w:r w:rsidR="00455677">
        <w:rPr>
          <w:rStyle w:val="References"/>
          <w:b w:val="0"/>
          <w:bCs w:val="0"/>
          <w:i w:val="0"/>
          <w:iCs w:val="0"/>
        </w:rPr>
        <w:t xml:space="preserve">facility </w:t>
      </w:r>
      <w:r w:rsidR="00BD60BD">
        <w:rPr>
          <w:rStyle w:val="References"/>
          <w:b w:val="0"/>
          <w:bCs w:val="0"/>
          <w:i w:val="0"/>
          <w:iCs w:val="0"/>
        </w:rPr>
        <w:t>services</w:t>
      </w:r>
      <w:r w:rsidRPr="00C9222B">
        <w:rPr>
          <w:rStyle w:val="References"/>
          <w:b w:val="0"/>
          <w:bCs w:val="0"/>
          <w:i w:val="0"/>
          <w:iCs w:val="0"/>
        </w:rPr>
        <w:t>.</w:t>
      </w:r>
      <w:r w:rsidR="003F75D6">
        <w:rPr>
          <w:rStyle w:val="References"/>
          <w:b w:val="0"/>
          <w:bCs w:val="0"/>
          <w:i w:val="0"/>
          <w:iCs w:val="0"/>
        </w:rPr>
        <w:t xml:space="preserve"> Altering the body’s corporate constitution does not allow the statutory manager to initiate a transfer of the body corporate’s shares or business other than in accordance with </w:t>
      </w:r>
      <w:r w:rsidR="004D24A1">
        <w:rPr>
          <w:rStyle w:val="References"/>
          <w:b w:val="0"/>
          <w:bCs w:val="0"/>
          <w:i w:val="0"/>
          <w:iCs w:val="0"/>
        </w:rPr>
        <w:t>Division 4 of Part 7.3B</w:t>
      </w:r>
      <w:r w:rsidR="003F75D6">
        <w:rPr>
          <w:rStyle w:val="References"/>
          <w:b w:val="0"/>
          <w:bCs w:val="0"/>
          <w:i w:val="0"/>
          <w:iCs w:val="0"/>
        </w:rPr>
        <w:t xml:space="preserve">. </w:t>
      </w:r>
      <w:r>
        <w:rPr>
          <w:rStyle w:val="References"/>
          <w:b w:val="0"/>
          <w:bCs w:val="0"/>
          <w:i w:val="0"/>
          <w:iCs w:val="0"/>
        </w:rPr>
        <w:br/>
      </w:r>
      <w:r w:rsidRPr="00C9222B">
        <w:rPr>
          <w:rStyle w:val="References"/>
        </w:rPr>
        <w:t>[</w:t>
      </w:r>
      <w:r w:rsidR="00A93424">
        <w:rPr>
          <w:rStyle w:val="References"/>
        </w:rPr>
        <w:t xml:space="preserve">Schedule </w:t>
      </w:r>
      <w:r w:rsidR="00E773D4">
        <w:rPr>
          <w:rStyle w:val="References"/>
        </w:rPr>
        <w:t>1</w:t>
      </w:r>
      <w:r w:rsidRPr="00C9222B">
        <w:rPr>
          <w:rStyle w:val="References"/>
        </w:rPr>
        <w:t xml:space="preserve">, </w:t>
      </w:r>
      <w:r w:rsidR="00C568C9">
        <w:rPr>
          <w:rStyle w:val="References"/>
        </w:rPr>
        <w:t>item</w:t>
      </w:r>
      <w:r w:rsidR="004D24A1">
        <w:rPr>
          <w:rStyle w:val="References"/>
        </w:rPr>
        <w:t xml:space="preserve"> </w:t>
      </w:r>
      <w:r w:rsidR="00C568C9">
        <w:rPr>
          <w:rStyle w:val="References"/>
        </w:rPr>
        <w:t>14</w:t>
      </w:r>
      <w:r w:rsidR="000C4228" w:rsidRPr="00C9222B">
        <w:rPr>
          <w:rStyle w:val="References"/>
        </w:rPr>
        <w:t xml:space="preserve">, </w:t>
      </w:r>
      <w:r w:rsidR="00A209C4">
        <w:rPr>
          <w:rStyle w:val="References"/>
        </w:rPr>
        <w:t>sub</w:t>
      </w:r>
      <w:r w:rsidR="00883DB0">
        <w:rPr>
          <w:rStyle w:val="References"/>
        </w:rPr>
        <w:t>section</w:t>
      </w:r>
      <w:r w:rsidR="00A209C4">
        <w:rPr>
          <w:rStyle w:val="References"/>
        </w:rPr>
        <w:t>s</w:t>
      </w:r>
      <w:r w:rsidR="00883DB0">
        <w:rPr>
          <w:rStyle w:val="References"/>
        </w:rPr>
        <w:t xml:space="preserve"> </w:t>
      </w:r>
      <w:r w:rsidR="007B5408">
        <w:rPr>
          <w:rStyle w:val="References"/>
        </w:rPr>
        <w:t>83</w:t>
      </w:r>
      <w:r w:rsidR="004D24A1">
        <w:rPr>
          <w:rStyle w:val="References"/>
        </w:rPr>
        <w:t>3</w:t>
      </w:r>
      <w:proofErr w:type="gramStart"/>
      <w:r w:rsidR="004D24A1">
        <w:rPr>
          <w:rStyle w:val="References"/>
        </w:rPr>
        <w:t>C</w:t>
      </w:r>
      <w:r w:rsidR="00A209C4">
        <w:rPr>
          <w:rStyle w:val="References"/>
        </w:rPr>
        <w:t>(</w:t>
      </w:r>
      <w:proofErr w:type="gramEnd"/>
      <w:r w:rsidR="00A209C4">
        <w:rPr>
          <w:rStyle w:val="References"/>
        </w:rPr>
        <w:t>1)</w:t>
      </w:r>
      <w:r w:rsidR="00C928F6">
        <w:rPr>
          <w:rStyle w:val="References"/>
        </w:rPr>
        <w:t xml:space="preserve"> and </w:t>
      </w:r>
      <w:r w:rsidR="00A209C4">
        <w:rPr>
          <w:rStyle w:val="References"/>
        </w:rPr>
        <w:t>(2)</w:t>
      </w:r>
      <w:r w:rsidR="004D24A1">
        <w:rPr>
          <w:rStyle w:val="References"/>
        </w:rPr>
        <w:t xml:space="preserve"> </w:t>
      </w:r>
      <w:r w:rsidRPr="00C9222B">
        <w:rPr>
          <w:rStyle w:val="References"/>
        </w:rPr>
        <w:t xml:space="preserve">of the </w:t>
      </w:r>
      <w:r w:rsidR="000E7C19">
        <w:rPr>
          <w:rStyle w:val="References"/>
        </w:rPr>
        <w:t>Act</w:t>
      </w:r>
      <w:r w:rsidRPr="00C9222B">
        <w:rPr>
          <w:rStyle w:val="References"/>
        </w:rPr>
        <w:t>]</w:t>
      </w:r>
    </w:p>
    <w:p w14:paraId="6242B890" w14:textId="2B0A2EE9" w:rsidR="004D24A1" w:rsidRPr="00A209C4" w:rsidRDefault="00C9222B" w:rsidP="00A209C4">
      <w:pPr>
        <w:pStyle w:val="Normalparatextwithnumbers"/>
        <w:rPr>
          <w:rStyle w:val="References"/>
          <w:b w:val="0"/>
          <w:bCs w:val="0"/>
          <w:i w:val="0"/>
          <w:iCs w:val="0"/>
        </w:rPr>
      </w:pPr>
      <w:r w:rsidRPr="003F75D6">
        <w:rPr>
          <w:rStyle w:val="References"/>
          <w:b w:val="0"/>
          <w:bCs w:val="0"/>
          <w:i w:val="0"/>
          <w:iCs w:val="0"/>
        </w:rPr>
        <w:t xml:space="preserve">These powers are intended to override any restrictions that are present in the </w:t>
      </w:r>
      <w:r w:rsidR="000E7C19" w:rsidRPr="003F75D6">
        <w:rPr>
          <w:rStyle w:val="References"/>
          <w:b w:val="0"/>
          <w:bCs w:val="0"/>
          <w:i w:val="0"/>
          <w:iCs w:val="0"/>
        </w:rPr>
        <w:t>Act</w:t>
      </w:r>
      <w:r w:rsidRPr="003F75D6">
        <w:rPr>
          <w:rStyle w:val="References"/>
          <w:b w:val="0"/>
          <w:bCs w:val="0"/>
          <w:i w:val="0"/>
          <w:iCs w:val="0"/>
        </w:rPr>
        <w:t>, the body corporate’s constitution, any contracts</w:t>
      </w:r>
      <w:r w:rsidR="00DF05DC">
        <w:rPr>
          <w:rStyle w:val="References"/>
          <w:b w:val="0"/>
          <w:bCs w:val="0"/>
          <w:i w:val="0"/>
          <w:iCs w:val="0"/>
        </w:rPr>
        <w:t>, agreements</w:t>
      </w:r>
      <w:r w:rsidRPr="003F75D6">
        <w:rPr>
          <w:rStyle w:val="References"/>
          <w:b w:val="0"/>
          <w:bCs w:val="0"/>
          <w:i w:val="0"/>
          <w:iCs w:val="0"/>
        </w:rPr>
        <w:t xml:space="preserve"> or arrangements to which the body corporate is a party, and any listing </w:t>
      </w:r>
      <w:r w:rsidR="007934E5" w:rsidRPr="003F75D6">
        <w:rPr>
          <w:rStyle w:val="References"/>
          <w:b w:val="0"/>
          <w:bCs w:val="0"/>
          <w:i w:val="0"/>
          <w:iCs w:val="0"/>
        </w:rPr>
        <w:t xml:space="preserve">or operating </w:t>
      </w:r>
      <w:r w:rsidRPr="003F75D6">
        <w:rPr>
          <w:rStyle w:val="References"/>
          <w:b w:val="0"/>
          <w:bCs w:val="0"/>
          <w:i w:val="0"/>
          <w:iCs w:val="0"/>
        </w:rPr>
        <w:t>rules of a financial market on which the body corporate is listed.</w:t>
      </w:r>
      <w:r w:rsidRPr="003F75D6">
        <w:rPr>
          <w:rStyle w:val="References"/>
          <w:b w:val="0"/>
          <w:bCs w:val="0"/>
          <w:i w:val="0"/>
          <w:iCs w:val="0"/>
        </w:rPr>
        <w:br/>
      </w:r>
      <w:r w:rsidRPr="00B32821">
        <w:rPr>
          <w:rStyle w:val="References"/>
        </w:rPr>
        <w:t>[</w:t>
      </w:r>
      <w:r w:rsidR="00A93424">
        <w:rPr>
          <w:rStyle w:val="References"/>
        </w:rPr>
        <w:t xml:space="preserve">Schedule </w:t>
      </w:r>
      <w:r w:rsidR="00E773D4">
        <w:rPr>
          <w:rStyle w:val="References"/>
        </w:rPr>
        <w:t>1</w:t>
      </w:r>
      <w:r w:rsidRPr="00B32821">
        <w:rPr>
          <w:rStyle w:val="References"/>
        </w:rPr>
        <w:t xml:space="preserve">, </w:t>
      </w:r>
      <w:r w:rsidR="00C568C9">
        <w:rPr>
          <w:rStyle w:val="References"/>
        </w:rPr>
        <w:t>item 14</w:t>
      </w:r>
      <w:r w:rsidR="00A209C4">
        <w:rPr>
          <w:rStyle w:val="References"/>
        </w:rPr>
        <w:t xml:space="preserve">, </w:t>
      </w:r>
      <w:r w:rsidR="00D10C76">
        <w:rPr>
          <w:rStyle w:val="References"/>
        </w:rPr>
        <w:t>sub</w:t>
      </w:r>
      <w:r w:rsidRPr="00B32821">
        <w:rPr>
          <w:rStyle w:val="References"/>
        </w:rPr>
        <w:t xml:space="preserve">section </w:t>
      </w:r>
      <w:r w:rsidR="00A209C4">
        <w:rPr>
          <w:rStyle w:val="References"/>
        </w:rPr>
        <w:t>833</w:t>
      </w:r>
      <w:proofErr w:type="gramStart"/>
      <w:r w:rsidR="00A209C4">
        <w:rPr>
          <w:rStyle w:val="References"/>
        </w:rPr>
        <w:t>C</w:t>
      </w:r>
      <w:r w:rsidR="00D10C76">
        <w:rPr>
          <w:rStyle w:val="References"/>
        </w:rPr>
        <w:t>(</w:t>
      </w:r>
      <w:proofErr w:type="gramEnd"/>
      <w:r w:rsidR="009D497E">
        <w:rPr>
          <w:rStyle w:val="References"/>
        </w:rPr>
        <w:t>3</w:t>
      </w:r>
      <w:r w:rsidR="00D10C76">
        <w:rPr>
          <w:rStyle w:val="References"/>
        </w:rPr>
        <w:t xml:space="preserve">) </w:t>
      </w:r>
      <w:r w:rsidRPr="00B32821">
        <w:rPr>
          <w:rStyle w:val="References"/>
        </w:rPr>
        <w:t xml:space="preserve">of the </w:t>
      </w:r>
      <w:r w:rsidR="000E7C19">
        <w:rPr>
          <w:rStyle w:val="References"/>
        </w:rPr>
        <w:t>Act</w:t>
      </w:r>
      <w:r w:rsidRPr="00B32821">
        <w:rPr>
          <w:rStyle w:val="References"/>
        </w:rPr>
        <w:t>]</w:t>
      </w:r>
    </w:p>
    <w:p w14:paraId="0E5D463F" w14:textId="2078453D" w:rsidR="000A7DEC" w:rsidRPr="00A13507" w:rsidRDefault="00C9222B" w:rsidP="00A13507">
      <w:pPr>
        <w:pStyle w:val="Normalparatextwithnumbers"/>
        <w:rPr>
          <w:rStyle w:val="References"/>
          <w:b w:val="0"/>
          <w:i w:val="0"/>
        </w:rPr>
      </w:pPr>
      <w:r w:rsidRPr="00A13507">
        <w:rPr>
          <w:rStyle w:val="References"/>
          <w:b w:val="0"/>
          <w:bCs w:val="0"/>
          <w:i w:val="0"/>
        </w:rPr>
        <w:t xml:space="preserve">In addition to exercising functions that the body corporate would ordinarily do without being </w:t>
      </w:r>
      <w:r w:rsidR="00A209C4">
        <w:rPr>
          <w:rStyle w:val="References"/>
          <w:b w:val="0"/>
          <w:bCs w:val="0"/>
          <w:i w:val="0"/>
        </w:rPr>
        <w:t>under</w:t>
      </w:r>
      <w:r w:rsidRPr="00A13507">
        <w:rPr>
          <w:rStyle w:val="References"/>
          <w:b w:val="0"/>
          <w:bCs w:val="0"/>
          <w:i w:val="0"/>
        </w:rPr>
        <w:t xml:space="preserve"> statutory management, the statutory manager is afforded information gathering powers and </w:t>
      </w:r>
      <w:r w:rsidR="00006519" w:rsidRPr="00A13507">
        <w:rPr>
          <w:rStyle w:val="References"/>
          <w:b w:val="0"/>
          <w:bCs w:val="0"/>
          <w:i w:val="0"/>
        </w:rPr>
        <w:t xml:space="preserve">the power to do </w:t>
      </w:r>
      <w:r w:rsidRPr="00A13507">
        <w:rPr>
          <w:rStyle w:val="References"/>
          <w:b w:val="0"/>
          <w:bCs w:val="0"/>
          <w:i w:val="0"/>
        </w:rPr>
        <w:t xml:space="preserve">recapitalisation </w:t>
      </w:r>
      <w:r w:rsidR="00006519" w:rsidRPr="00A13507">
        <w:rPr>
          <w:rStyle w:val="References"/>
          <w:b w:val="0"/>
          <w:bCs w:val="0"/>
          <w:i w:val="0"/>
        </w:rPr>
        <w:t>acts</w:t>
      </w:r>
      <w:r w:rsidR="00B32821" w:rsidRPr="00A13507">
        <w:rPr>
          <w:rStyle w:val="References"/>
          <w:b w:val="0"/>
          <w:bCs w:val="0"/>
          <w:i w:val="0"/>
        </w:rPr>
        <w:t>.</w:t>
      </w:r>
    </w:p>
    <w:p w14:paraId="2F823C46" w14:textId="5A51C772" w:rsidR="00D17B54" w:rsidRPr="009E0C90" w:rsidRDefault="00381039" w:rsidP="008865FF">
      <w:pPr>
        <w:pStyle w:val="Heading6"/>
        <w:rPr>
          <w:rStyle w:val="References"/>
          <w:rFonts w:ascii="Helvetica" w:hAnsi="Helvetica" w:cs="Helvetica"/>
          <w:b w:val="0"/>
          <w:bCs w:val="0"/>
          <w:i/>
        </w:rPr>
      </w:pPr>
      <w:r>
        <w:rPr>
          <w:rStyle w:val="References"/>
          <w:rFonts w:ascii="Helvetica" w:hAnsi="Helvetica" w:cs="Helvetica"/>
          <w:b w:val="0"/>
          <w:bCs w:val="0"/>
          <w:i/>
        </w:rPr>
        <w:t xml:space="preserve">Requests for information and assistance </w:t>
      </w:r>
    </w:p>
    <w:p w14:paraId="67BD98EE" w14:textId="2C58FCA6" w:rsidR="005876E2" w:rsidRPr="00C9689F" w:rsidRDefault="002A5DEC" w:rsidP="00125C2C">
      <w:pPr>
        <w:pStyle w:val="Normalparatextwithnumbers"/>
        <w:rPr>
          <w:rStyle w:val="References"/>
          <w:b w:val="0"/>
          <w:bCs w:val="0"/>
          <w:i w:val="0"/>
          <w:iCs w:val="0"/>
        </w:rPr>
      </w:pPr>
      <w:r>
        <w:rPr>
          <w:rStyle w:val="References"/>
          <w:b w:val="0"/>
          <w:bCs w:val="0"/>
          <w:i w:val="0"/>
          <w:iCs w:val="0"/>
        </w:rPr>
        <w:t>In order to facilitate effective resolution, t</w:t>
      </w:r>
      <w:r w:rsidR="005876E2" w:rsidRPr="00C9689F">
        <w:rPr>
          <w:rStyle w:val="References"/>
          <w:b w:val="0"/>
          <w:bCs w:val="0"/>
          <w:i w:val="0"/>
          <w:iCs w:val="0"/>
        </w:rPr>
        <w:t xml:space="preserve">he RBA </w:t>
      </w:r>
      <w:r w:rsidR="009807B0">
        <w:rPr>
          <w:rStyle w:val="References"/>
          <w:b w:val="0"/>
          <w:bCs w:val="0"/>
          <w:i w:val="0"/>
          <w:iCs w:val="0"/>
        </w:rPr>
        <w:t xml:space="preserve">must </w:t>
      </w:r>
      <w:r w:rsidR="005876E2" w:rsidRPr="00C9689F">
        <w:rPr>
          <w:rStyle w:val="References"/>
          <w:b w:val="0"/>
          <w:bCs w:val="0"/>
          <w:i w:val="0"/>
          <w:iCs w:val="0"/>
        </w:rPr>
        <w:t>ha</w:t>
      </w:r>
      <w:r w:rsidR="009807B0">
        <w:rPr>
          <w:rStyle w:val="References"/>
          <w:b w:val="0"/>
          <w:bCs w:val="0"/>
          <w:i w:val="0"/>
          <w:iCs w:val="0"/>
        </w:rPr>
        <w:t>ve</w:t>
      </w:r>
      <w:r w:rsidR="005876E2" w:rsidRPr="00C9689F">
        <w:rPr>
          <w:rStyle w:val="References"/>
          <w:b w:val="0"/>
          <w:bCs w:val="0"/>
          <w:i w:val="0"/>
          <w:iCs w:val="0"/>
        </w:rPr>
        <w:t xml:space="preserve"> access to critical information about the operations of domestic CS facilities. The RBA may need information that relates to services provided by, and arrangements of, other group entities on which the operation of the CS </w:t>
      </w:r>
      <w:r w:rsidR="00455677">
        <w:rPr>
          <w:rStyle w:val="References"/>
          <w:b w:val="0"/>
          <w:bCs w:val="0"/>
          <w:i w:val="0"/>
          <w:iCs w:val="0"/>
        </w:rPr>
        <w:t>facility</w:t>
      </w:r>
      <w:r w:rsidR="005876E2" w:rsidRPr="00C9689F">
        <w:rPr>
          <w:rStyle w:val="References"/>
          <w:b w:val="0"/>
          <w:bCs w:val="0"/>
          <w:i w:val="0"/>
          <w:iCs w:val="0"/>
        </w:rPr>
        <w:t xml:space="preserve"> services rely, or which could potentially affect the Domestic CS facility licensee. </w:t>
      </w:r>
    </w:p>
    <w:p w14:paraId="542B44C1" w14:textId="0474D0B7" w:rsidR="005876E2" w:rsidRPr="00131417" w:rsidRDefault="005876E2" w:rsidP="00131417">
      <w:pPr>
        <w:pStyle w:val="Normalparatextwithnumbers"/>
        <w:rPr>
          <w:rStyle w:val="References"/>
          <w:b w:val="0"/>
          <w:bCs w:val="0"/>
          <w:i w:val="0"/>
          <w:iCs w:val="0"/>
        </w:rPr>
      </w:pPr>
      <w:r>
        <w:rPr>
          <w:rStyle w:val="References"/>
          <w:b w:val="0"/>
          <w:bCs w:val="0"/>
          <w:i w:val="0"/>
          <w:iCs w:val="0"/>
        </w:rPr>
        <w:t xml:space="preserve">At the request of a </w:t>
      </w:r>
      <w:r w:rsidRPr="00003EC8">
        <w:rPr>
          <w:rStyle w:val="References"/>
          <w:b w:val="0"/>
          <w:bCs w:val="0"/>
          <w:i w:val="0"/>
          <w:iCs w:val="0"/>
        </w:rPr>
        <w:t xml:space="preserve">statutory manager, </w:t>
      </w:r>
      <w:r w:rsidR="00BB6964">
        <w:rPr>
          <w:rStyle w:val="References"/>
          <w:b w:val="0"/>
          <w:bCs w:val="0"/>
          <w:i w:val="0"/>
          <w:iCs w:val="0"/>
        </w:rPr>
        <w:t xml:space="preserve">past and current </w:t>
      </w:r>
      <w:r w:rsidR="003B302C">
        <w:rPr>
          <w:rStyle w:val="References"/>
          <w:b w:val="0"/>
          <w:bCs w:val="0"/>
          <w:i w:val="0"/>
          <w:iCs w:val="0"/>
        </w:rPr>
        <w:t xml:space="preserve">officers </w:t>
      </w:r>
      <w:r w:rsidRPr="00003EC8">
        <w:rPr>
          <w:rStyle w:val="References"/>
          <w:b w:val="0"/>
          <w:bCs w:val="0"/>
          <w:i w:val="0"/>
          <w:iCs w:val="0"/>
        </w:rPr>
        <w:t>of the domestic CS facility licensee, or related body corporate must</w:t>
      </w:r>
      <w:r w:rsidR="00A8514E" w:rsidRPr="00A8514E">
        <w:rPr>
          <w:rStyle w:val="References"/>
          <w:b w:val="0"/>
          <w:bCs w:val="0"/>
          <w:i w:val="0"/>
          <w:iCs w:val="0"/>
        </w:rPr>
        <w:t xml:space="preserve"> </w:t>
      </w:r>
      <w:r w:rsidR="00A8514E" w:rsidRPr="00003EC8">
        <w:rPr>
          <w:rStyle w:val="References"/>
          <w:b w:val="0"/>
          <w:bCs w:val="0"/>
          <w:i w:val="0"/>
          <w:iCs w:val="0"/>
        </w:rPr>
        <w:t xml:space="preserve">provide any information relating to the business of the body corporate. A requirement to give information may include a requirement to produce books, accounts, documents or </w:t>
      </w:r>
      <w:r w:rsidR="002A5DEC">
        <w:rPr>
          <w:rStyle w:val="References"/>
          <w:b w:val="0"/>
          <w:bCs w:val="0"/>
          <w:i w:val="0"/>
          <w:iCs w:val="0"/>
        </w:rPr>
        <w:t xml:space="preserve">the </w:t>
      </w:r>
      <w:r w:rsidR="00A8514E" w:rsidRPr="00003EC8">
        <w:rPr>
          <w:rStyle w:val="References"/>
          <w:b w:val="0"/>
          <w:bCs w:val="0"/>
          <w:i w:val="0"/>
          <w:iCs w:val="0"/>
        </w:rPr>
        <w:t>location of information</w:t>
      </w:r>
      <w:r w:rsidR="00A8514E" w:rsidRPr="00D52B77">
        <w:rPr>
          <w:rStyle w:val="References"/>
          <w:b w:val="0"/>
          <w:bCs w:val="0"/>
          <w:i w:val="0"/>
          <w:iCs w:val="0"/>
          <w:sz w:val="20"/>
          <w:szCs w:val="20"/>
        </w:rPr>
        <w:t>.</w:t>
      </w:r>
      <w:r w:rsidR="00A8514E" w:rsidRPr="00034E94">
        <w:rPr>
          <w:rStyle w:val="References"/>
          <w:b w:val="0"/>
          <w:bCs w:val="0"/>
          <w:i w:val="0"/>
          <w:iCs w:val="0"/>
        </w:rPr>
        <w:br/>
      </w:r>
      <w:r w:rsidR="00A8514E" w:rsidRPr="00D52B77">
        <w:rPr>
          <w:rStyle w:val="References"/>
        </w:rPr>
        <w:t>[</w:t>
      </w:r>
      <w:r w:rsidR="00A8514E">
        <w:rPr>
          <w:rStyle w:val="References"/>
        </w:rPr>
        <w:t xml:space="preserve">Schedule </w:t>
      </w:r>
      <w:r w:rsidR="00E773D4">
        <w:rPr>
          <w:rStyle w:val="References"/>
        </w:rPr>
        <w:t>1</w:t>
      </w:r>
      <w:r w:rsidR="00A8514E" w:rsidRPr="00D52B77">
        <w:rPr>
          <w:rStyle w:val="References"/>
        </w:rPr>
        <w:t xml:space="preserve">, </w:t>
      </w:r>
      <w:r w:rsidR="00C568C9">
        <w:rPr>
          <w:rStyle w:val="References"/>
        </w:rPr>
        <w:t>item 14</w:t>
      </w:r>
      <w:r w:rsidR="00B81BB0" w:rsidRPr="00D52B77">
        <w:rPr>
          <w:rStyle w:val="References"/>
        </w:rPr>
        <w:t xml:space="preserve">, </w:t>
      </w:r>
      <w:r w:rsidR="00034E94" w:rsidRPr="007E57DB">
        <w:rPr>
          <w:rStyle w:val="References"/>
        </w:rPr>
        <w:t>sub</w:t>
      </w:r>
      <w:r w:rsidR="00A8514E" w:rsidRPr="007E57DB">
        <w:rPr>
          <w:rStyle w:val="References"/>
        </w:rPr>
        <w:t>section</w:t>
      </w:r>
      <w:r w:rsidR="00034E94" w:rsidRPr="007E57DB">
        <w:rPr>
          <w:rStyle w:val="References"/>
        </w:rPr>
        <w:t>s</w:t>
      </w:r>
      <w:r w:rsidR="00A8514E" w:rsidRPr="00D52B77">
        <w:rPr>
          <w:rStyle w:val="References"/>
        </w:rPr>
        <w:t xml:space="preserve"> </w:t>
      </w:r>
      <w:r w:rsidR="00F46422">
        <w:rPr>
          <w:rStyle w:val="References"/>
        </w:rPr>
        <w:t>83</w:t>
      </w:r>
      <w:r w:rsidR="00A209C4">
        <w:rPr>
          <w:rStyle w:val="References"/>
        </w:rPr>
        <w:t>3</w:t>
      </w:r>
      <w:proofErr w:type="gramStart"/>
      <w:r w:rsidR="00A209C4">
        <w:rPr>
          <w:rStyle w:val="References"/>
        </w:rPr>
        <w:t>E</w:t>
      </w:r>
      <w:r w:rsidR="00A8514E">
        <w:rPr>
          <w:rStyle w:val="References"/>
        </w:rPr>
        <w:t>(</w:t>
      </w:r>
      <w:proofErr w:type="gramEnd"/>
      <w:r w:rsidR="00A8514E">
        <w:rPr>
          <w:rStyle w:val="References"/>
        </w:rPr>
        <w:t>1)</w:t>
      </w:r>
      <w:r w:rsidR="007744EE">
        <w:rPr>
          <w:rStyle w:val="References"/>
        </w:rPr>
        <w:t xml:space="preserve"> and </w:t>
      </w:r>
      <w:r w:rsidR="00A8514E">
        <w:rPr>
          <w:rStyle w:val="References"/>
        </w:rPr>
        <w:t xml:space="preserve">(2) </w:t>
      </w:r>
      <w:r w:rsidR="00A8514E" w:rsidRPr="00D52B77">
        <w:rPr>
          <w:rStyle w:val="References"/>
        </w:rPr>
        <w:t xml:space="preserve">of the </w:t>
      </w:r>
      <w:r w:rsidR="00A8514E">
        <w:rPr>
          <w:rStyle w:val="References"/>
        </w:rPr>
        <w:t>Act</w:t>
      </w:r>
      <w:r w:rsidR="00A8514E" w:rsidRPr="00D52B77">
        <w:rPr>
          <w:rStyle w:val="References"/>
        </w:rPr>
        <w:t>]</w:t>
      </w:r>
    </w:p>
    <w:p w14:paraId="510B00D6" w14:textId="022B310F" w:rsidR="00AB7387" w:rsidRPr="00003EC8" w:rsidRDefault="00B111E5" w:rsidP="00125C2C">
      <w:pPr>
        <w:pStyle w:val="Normalparatextwithnumbers"/>
        <w:rPr>
          <w:rStyle w:val="References"/>
          <w:b w:val="0"/>
          <w:bCs w:val="0"/>
          <w:i w:val="0"/>
          <w:iCs w:val="0"/>
        </w:rPr>
      </w:pPr>
      <w:r>
        <w:rPr>
          <w:rStyle w:val="References"/>
          <w:b w:val="0"/>
          <w:bCs w:val="0"/>
          <w:i w:val="0"/>
          <w:iCs w:val="0"/>
        </w:rPr>
        <w:lastRenderedPageBreak/>
        <w:t xml:space="preserve">Directors </w:t>
      </w:r>
      <w:r w:rsidR="009D497E">
        <w:rPr>
          <w:rStyle w:val="References"/>
          <w:b w:val="0"/>
          <w:bCs w:val="0"/>
          <w:i w:val="0"/>
          <w:iCs w:val="0"/>
        </w:rPr>
        <w:t xml:space="preserve">and </w:t>
      </w:r>
      <w:r w:rsidR="00961691">
        <w:rPr>
          <w:rStyle w:val="References"/>
          <w:b w:val="0"/>
          <w:bCs w:val="0"/>
          <w:i w:val="0"/>
          <w:iCs w:val="0"/>
        </w:rPr>
        <w:t xml:space="preserve">other </w:t>
      </w:r>
      <w:r w:rsidR="009D497E">
        <w:rPr>
          <w:rStyle w:val="References"/>
          <w:b w:val="0"/>
          <w:bCs w:val="0"/>
          <w:i w:val="0"/>
          <w:iCs w:val="0"/>
        </w:rPr>
        <w:t>officers</w:t>
      </w:r>
      <w:r>
        <w:rPr>
          <w:rStyle w:val="References"/>
          <w:b w:val="0"/>
          <w:bCs w:val="0"/>
          <w:i w:val="0"/>
          <w:iCs w:val="0"/>
        </w:rPr>
        <w:t xml:space="preserve"> have additional </w:t>
      </w:r>
      <w:r w:rsidR="003A7A79">
        <w:rPr>
          <w:rStyle w:val="References"/>
          <w:b w:val="0"/>
          <w:bCs w:val="0"/>
          <w:i w:val="0"/>
          <w:iCs w:val="0"/>
        </w:rPr>
        <w:t>obligations to assi</w:t>
      </w:r>
      <w:r w:rsidR="00F54AEB">
        <w:rPr>
          <w:rStyle w:val="References"/>
          <w:b w:val="0"/>
          <w:bCs w:val="0"/>
          <w:i w:val="0"/>
          <w:iCs w:val="0"/>
        </w:rPr>
        <w:t>s</w:t>
      </w:r>
      <w:r w:rsidR="003A7A79">
        <w:rPr>
          <w:rStyle w:val="References"/>
          <w:b w:val="0"/>
          <w:bCs w:val="0"/>
          <w:i w:val="0"/>
          <w:iCs w:val="0"/>
        </w:rPr>
        <w:t xml:space="preserve">t during statutory </w:t>
      </w:r>
      <w:r w:rsidR="00F54AEB">
        <w:rPr>
          <w:rStyle w:val="References"/>
          <w:b w:val="0"/>
          <w:bCs w:val="0"/>
          <w:i w:val="0"/>
          <w:iCs w:val="0"/>
        </w:rPr>
        <w:t>management including the requirement to</w:t>
      </w:r>
      <w:r w:rsidR="00AB7387" w:rsidRPr="00003EC8">
        <w:rPr>
          <w:rStyle w:val="References"/>
          <w:b w:val="0"/>
          <w:bCs w:val="0"/>
          <w:i w:val="0"/>
          <w:iCs w:val="0"/>
        </w:rPr>
        <w:t xml:space="preserve">: </w:t>
      </w:r>
    </w:p>
    <w:p w14:paraId="2E2BEC08" w14:textId="0F114535" w:rsidR="00AB7387" w:rsidRPr="00003EC8" w:rsidRDefault="00AB7387" w:rsidP="00AB7387">
      <w:pPr>
        <w:pStyle w:val="Dotpoint1"/>
        <w:rPr>
          <w:rStyle w:val="References"/>
          <w:b w:val="0"/>
          <w:bCs w:val="0"/>
          <w:i w:val="0"/>
          <w:iCs w:val="0"/>
        </w:rPr>
      </w:pPr>
      <w:r>
        <w:rPr>
          <w:rStyle w:val="References"/>
          <w:b w:val="0"/>
          <w:bCs w:val="0"/>
          <w:i w:val="0"/>
          <w:iCs w:val="0"/>
        </w:rPr>
        <w:t xml:space="preserve">provide </w:t>
      </w:r>
      <w:r w:rsidRPr="00003EC8">
        <w:rPr>
          <w:rStyle w:val="References"/>
          <w:b w:val="0"/>
          <w:bCs w:val="0"/>
          <w:i w:val="0"/>
          <w:iCs w:val="0"/>
        </w:rPr>
        <w:t xml:space="preserve">any information </w:t>
      </w:r>
      <w:r>
        <w:rPr>
          <w:rStyle w:val="References"/>
          <w:b w:val="0"/>
          <w:bCs w:val="0"/>
          <w:i w:val="0"/>
          <w:iCs w:val="0"/>
        </w:rPr>
        <w:t xml:space="preserve">relating to the body corporate’s business, property or affairs that is in </w:t>
      </w:r>
      <w:r w:rsidRPr="00003EC8">
        <w:rPr>
          <w:rStyle w:val="References"/>
          <w:b w:val="0"/>
          <w:bCs w:val="0"/>
          <w:i w:val="0"/>
          <w:iCs w:val="0"/>
        </w:rPr>
        <w:t xml:space="preserve">their </w:t>
      </w:r>
      <w:proofErr w:type="gramStart"/>
      <w:r w:rsidRPr="00003EC8">
        <w:rPr>
          <w:rStyle w:val="References"/>
          <w:b w:val="0"/>
          <w:bCs w:val="0"/>
          <w:i w:val="0"/>
          <w:iCs w:val="0"/>
        </w:rPr>
        <w:t>possession</w:t>
      </w:r>
      <w:r>
        <w:rPr>
          <w:rStyle w:val="References"/>
          <w:b w:val="0"/>
          <w:bCs w:val="0"/>
          <w:i w:val="0"/>
          <w:iCs w:val="0"/>
        </w:rPr>
        <w:t>;</w:t>
      </w:r>
      <w:proofErr w:type="gramEnd"/>
    </w:p>
    <w:p w14:paraId="660AC406" w14:textId="77777777" w:rsidR="00AB7387" w:rsidRDefault="00AB7387" w:rsidP="00AB7387">
      <w:pPr>
        <w:pStyle w:val="Dotpoint1"/>
        <w:rPr>
          <w:rStyle w:val="References"/>
          <w:b w:val="0"/>
          <w:bCs w:val="0"/>
          <w:i w:val="0"/>
          <w:iCs w:val="0"/>
        </w:rPr>
      </w:pPr>
      <w:r w:rsidRPr="00003EC8">
        <w:rPr>
          <w:rStyle w:val="References"/>
          <w:b w:val="0"/>
          <w:bCs w:val="0"/>
          <w:i w:val="0"/>
          <w:iCs w:val="0"/>
        </w:rPr>
        <w:t>attend on the statutory manager as reasonably require</w:t>
      </w:r>
      <w:r>
        <w:rPr>
          <w:rStyle w:val="References"/>
          <w:b w:val="0"/>
          <w:bCs w:val="0"/>
          <w:i w:val="0"/>
          <w:iCs w:val="0"/>
        </w:rPr>
        <w:t>d; and</w:t>
      </w:r>
    </w:p>
    <w:p w14:paraId="460F0135" w14:textId="13902E50" w:rsidR="00AB7387" w:rsidRPr="00003EC8" w:rsidRDefault="00AB7387" w:rsidP="00AB7387">
      <w:pPr>
        <w:pStyle w:val="Dotpoint1"/>
        <w:rPr>
          <w:rStyle w:val="References"/>
          <w:b w:val="0"/>
          <w:bCs w:val="0"/>
          <w:i w:val="0"/>
          <w:iCs w:val="0"/>
        </w:rPr>
      </w:pPr>
      <w:r>
        <w:rPr>
          <w:rStyle w:val="References"/>
          <w:b w:val="0"/>
          <w:bCs w:val="0"/>
          <w:i w:val="0"/>
          <w:iCs w:val="0"/>
        </w:rPr>
        <w:t xml:space="preserve">allow the statutory manager to inspect and take copies of the </w:t>
      </w:r>
      <w:r w:rsidR="00942C15">
        <w:rPr>
          <w:rStyle w:val="References"/>
          <w:b w:val="0"/>
          <w:bCs w:val="0"/>
          <w:i w:val="0"/>
          <w:iCs w:val="0"/>
        </w:rPr>
        <w:t>bodies corporate</w:t>
      </w:r>
      <w:r>
        <w:rPr>
          <w:rStyle w:val="References"/>
          <w:b w:val="0"/>
          <w:bCs w:val="0"/>
          <w:i w:val="0"/>
          <w:iCs w:val="0"/>
        </w:rPr>
        <w:t xml:space="preserve"> books</w:t>
      </w:r>
      <w:r w:rsidRPr="00003EC8">
        <w:rPr>
          <w:rStyle w:val="References"/>
          <w:b w:val="0"/>
          <w:bCs w:val="0"/>
          <w:i w:val="0"/>
          <w:iCs w:val="0"/>
        </w:rPr>
        <w:t>.</w:t>
      </w:r>
      <w:r>
        <w:rPr>
          <w:rStyle w:val="References"/>
          <w:b w:val="0"/>
          <w:bCs w:val="0"/>
          <w:i w:val="0"/>
          <w:iCs w:val="0"/>
        </w:rPr>
        <w:br/>
      </w:r>
      <w:r w:rsidRPr="00D17B54">
        <w:rPr>
          <w:rStyle w:val="References"/>
        </w:rPr>
        <w:t>[</w:t>
      </w:r>
      <w:r>
        <w:rPr>
          <w:rStyle w:val="References"/>
        </w:rPr>
        <w:t xml:space="preserve">Schedule </w:t>
      </w:r>
      <w:r w:rsidR="00E773D4">
        <w:rPr>
          <w:rStyle w:val="References"/>
        </w:rPr>
        <w:t>1</w:t>
      </w:r>
      <w:r w:rsidRPr="00D17B54">
        <w:rPr>
          <w:rStyle w:val="References"/>
        </w:rPr>
        <w:t xml:space="preserve">, </w:t>
      </w:r>
      <w:r w:rsidR="00C568C9">
        <w:rPr>
          <w:rStyle w:val="References"/>
        </w:rPr>
        <w:t>item 14</w:t>
      </w:r>
      <w:r w:rsidR="00700450" w:rsidRPr="00D17B54">
        <w:rPr>
          <w:rStyle w:val="References"/>
        </w:rPr>
        <w:t xml:space="preserve">, </w:t>
      </w:r>
      <w:r>
        <w:rPr>
          <w:rStyle w:val="References"/>
        </w:rPr>
        <w:t>sub</w:t>
      </w:r>
      <w:r w:rsidRPr="00D17B54">
        <w:rPr>
          <w:rStyle w:val="References"/>
        </w:rPr>
        <w:t>section</w:t>
      </w:r>
      <w:r>
        <w:rPr>
          <w:rStyle w:val="References"/>
        </w:rPr>
        <w:t xml:space="preserve"> </w:t>
      </w:r>
      <w:r w:rsidR="00F46422">
        <w:rPr>
          <w:rStyle w:val="References"/>
        </w:rPr>
        <w:t>83</w:t>
      </w:r>
      <w:r w:rsidR="00A209C4">
        <w:rPr>
          <w:rStyle w:val="References"/>
        </w:rPr>
        <w:t>3</w:t>
      </w:r>
      <w:proofErr w:type="gramStart"/>
      <w:r w:rsidR="00A209C4">
        <w:rPr>
          <w:rStyle w:val="References"/>
        </w:rPr>
        <w:t>E</w:t>
      </w:r>
      <w:r>
        <w:rPr>
          <w:rStyle w:val="References"/>
        </w:rPr>
        <w:t>(</w:t>
      </w:r>
      <w:proofErr w:type="gramEnd"/>
      <w:r>
        <w:rPr>
          <w:rStyle w:val="References"/>
        </w:rPr>
        <w:t>1)</w:t>
      </w:r>
      <w:r w:rsidRPr="00D17B54">
        <w:rPr>
          <w:rStyle w:val="References"/>
        </w:rPr>
        <w:t xml:space="preserve"> of the </w:t>
      </w:r>
      <w:r>
        <w:rPr>
          <w:rStyle w:val="References"/>
        </w:rPr>
        <w:t>Act</w:t>
      </w:r>
      <w:r w:rsidRPr="00D17B54">
        <w:rPr>
          <w:rStyle w:val="References"/>
        </w:rPr>
        <w:t>]</w:t>
      </w:r>
    </w:p>
    <w:p w14:paraId="4D77E44F" w14:textId="29497373" w:rsidR="00B37256" w:rsidRPr="00C8096C" w:rsidRDefault="00B37256" w:rsidP="00B37256">
      <w:pPr>
        <w:pStyle w:val="Normalparatextwithnumbers"/>
        <w:rPr>
          <w:rStyle w:val="References"/>
          <w:b w:val="0"/>
          <w:bCs w:val="0"/>
          <w:i w:val="0"/>
          <w:iCs w:val="0"/>
        </w:rPr>
      </w:pPr>
      <w:r w:rsidRPr="00003EC8">
        <w:rPr>
          <w:rStyle w:val="References"/>
          <w:b w:val="0"/>
          <w:bCs w:val="0"/>
          <w:i w:val="0"/>
          <w:iCs w:val="0"/>
        </w:rPr>
        <w:t xml:space="preserve">The statutory manager may pass on any information to the </w:t>
      </w:r>
      <w:r>
        <w:rPr>
          <w:rStyle w:val="References"/>
          <w:b w:val="0"/>
          <w:bCs w:val="0"/>
          <w:i w:val="0"/>
          <w:iCs w:val="0"/>
        </w:rPr>
        <w:t>RBA</w:t>
      </w:r>
      <w:r w:rsidRPr="00003EC8">
        <w:rPr>
          <w:rStyle w:val="References"/>
          <w:b w:val="0"/>
          <w:bCs w:val="0"/>
          <w:i w:val="0"/>
          <w:iCs w:val="0"/>
        </w:rPr>
        <w:t xml:space="preserve"> that it receives under its power to request information. </w:t>
      </w:r>
      <w:r>
        <w:rPr>
          <w:rStyle w:val="References"/>
          <w:b w:val="0"/>
          <w:bCs w:val="0"/>
          <w:i w:val="0"/>
          <w:iCs w:val="0"/>
        </w:rPr>
        <w:t xml:space="preserve">The secrecy provision in section 79A of the </w:t>
      </w:r>
      <w:r w:rsidRPr="00A81F26">
        <w:rPr>
          <w:rStyle w:val="References"/>
          <w:b w:val="0"/>
          <w:bCs w:val="0"/>
          <w:i w:val="0"/>
          <w:iCs w:val="0"/>
        </w:rPr>
        <w:t>RBA Act</w:t>
      </w:r>
      <w:r>
        <w:rPr>
          <w:rStyle w:val="References"/>
          <w:b w:val="0"/>
          <w:bCs w:val="0"/>
        </w:rPr>
        <w:t xml:space="preserve"> </w:t>
      </w:r>
      <w:r>
        <w:rPr>
          <w:rStyle w:val="References"/>
          <w:b w:val="0"/>
          <w:bCs w:val="0"/>
          <w:i w:val="0"/>
          <w:iCs w:val="0"/>
        </w:rPr>
        <w:t xml:space="preserve">applies to information and documents the RBA obtained as a statutory manager. </w:t>
      </w:r>
      <w:r>
        <w:rPr>
          <w:rStyle w:val="References"/>
          <w:b w:val="0"/>
          <w:bCs w:val="0"/>
          <w:i w:val="0"/>
          <w:iCs w:val="0"/>
        </w:rPr>
        <w:br/>
      </w:r>
      <w:r>
        <w:rPr>
          <w:rStyle w:val="References"/>
        </w:rPr>
        <w:t>[Schedule 1, item 14</w:t>
      </w:r>
      <w:r w:rsidRPr="00B37256">
        <w:rPr>
          <w:rStyle w:val="References"/>
        </w:rPr>
        <w:t xml:space="preserve"> </w:t>
      </w:r>
      <w:r>
        <w:rPr>
          <w:rStyle w:val="References"/>
        </w:rPr>
        <w:t xml:space="preserve">and </w:t>
      </w:r>
      <w:r w:rsidR="00463938">
        <w:rPr>
          <w:rStyle w:val="References"/>
        </w:rPr>
        <w:t>4</w:t>
      </w:r>
      <w:r w:rsidR="00560359">
        <w:rPr>
          <w:rStyle w:val="References"/>
        </w:rPr>
        <w:t>0</w:t>
      </w:r>
      <w:r w:rsidR="00747AB4">
        <w:rPr>
          <w:rStyle w:val="References"/>
        </w:rPr>
        <w:t xml:space="preserve">, 41, 42, 43, </w:t>
      </w:r>
      <w:r w:rsidR="00463938">
        <w:rPr>
          <w:rStyle w:val="References"/>
        </w:rPr>
        <w:t>4</w:t>
      </w:r>
      <w:r w:rsidR="00DA006B">
        <w:rPr>
          <w:rStyle w:val="References"/>
        </w:rPr>
        <w:t>4</w:t>
      </w:r>
      <w:r w:rsidR="00747AB4">
        <w:rPr>
          <w:rStyle w:val="References"/>
        </w:rPr>
        <w:t xml:space="preserve"> and 4</w:t>
      </w:r>
      <w:r w:rsidR="00DA006B">
        <w:rPr>
          <w:rStyle w:val="References"/>
        </w:rPr>
        <w:t>5</w:t>
      </w:r>
      <w:r>
        <w:rPr>
          <w:rStyle w:val="References"/>
        </w:rPr>
        <w:t>, subsection 833</w:t>
      </w:r>
      <w:proofErr w:type="gramStart"/>
      <w:r>
        <w:rPr>
          <w:rStyle w:val="References"/>
        </w:rPr>
        <w:t>E(</w:t>
      </w:r>
      <w:proofErr w:type="gramEnd"/>
      <w:r>
        <w:rPr>
          <w:rStyle w:val="References"/>
        </w:rPr>
        <w:t>4) of the Act</w:t>
      </w:r>
      <w:r w:rsidRPr="00B37256">
        <w:rPr>
          <w:rStyle w:val="References"/>
        </w:rPr>
        <w:t xml:space="preserve"> </w:t>
      </w:r>
      <w:r>
        <w:rPr>
          <w:rStyle w:val="References"/>
        </w:rPr>
        <w:t>and subsection 79A(1)</w:t>
      </w:r>
      <w:r w:rsidR="00587429">
        <w:rPr>
          <w:rStyle w:val="References"/>
        </w:rPr>
        <w:t>-(2)</w:t>
      </w:r>
      <w:r w:rsidR="00DA006B">
        <w:rPr>
          <w:rStyle w:val="References"/>
        </w:rPr>
        <w:t xml:space="preserve"> </w:t>
      </w:r>
      <w:r w:rsidR="009F336B">
        <w:rPr>
          <w:rStyle w:val="References"/>
        </w:rPr>
        <w:t>and (4)</w:t>
      </w:r>
      <w:r>
        <w:rPr>
          <w:rStyle w:val="References"/>
        </w:rPr>
        <w:t xml:space="preserve"> of the RB Act]</w:t>
      </w:r>
    </w:p>
    <w:p w14:paraId="3041F7A5" w14:textId="70916FDC" w:rsidR="004619D4" w:rsidRPr="00003EC8" w:rsidRDefault="00A209C4" w:rsidP="5FC07D12">
      <w:pPr>
        <w:pStyle w:val="Normalparatextwithnumbers"/>
        <w:rPr>
          <w:rStyle w:val="References"/>
          <w:b w:val="0"/>
          <w:bCs w:val="0"/>
          <w:i w:val="0"/>
          <w:iCs w:val="0"/>
        </w:rPr>
      </w:pPr>
      <w:r>
        <w:rPr>
          <w:rStyle w:val="References"/>
          <w:b w:val="0"/>
          <w:bCs w:val="0"/>
          <w:i w:val="0"/>
          <w:iCs w:val="0"/>
        </w:rPr>
        <w:t>A</w:t>
      </w:r>
      <w:r w:rsidR="004619D4" w:rsidRPr="5FC07D12">
        <w:rPr>
          <w:rStyle w:val="References"/>
          <w:b w:val="0"/>
          <w:bCs w:val="0"/>
          <w:i w:val="0"/>
          <w:iCs w:val="0"/>
        </w:rPr>
        <w:t xml:space="preserve"> </w:t>
      </w:r>
      <w:r w:rsidR="0054149A">
        <w:rPr>
          <w:rStyle w:val="References"/>
          <w:b w:val="0"/>
          <w:bCs w:val="0"/>
          <w:i w:val="0"/>
          <w:iCs w:val="0"/>
        </w:rPr>
        <w:t>person</w:t>
      </w:r>
      <w:r w:rsidR="004619D4" w:rsidRPr="5FC07D12">
        <w:rPr>
          <w:rStyle w:val="References"/>
          <w:b w:val="0"/>
          <w:bCs w:val="0"/>
          <w:i w:val="0"/>
          <w:iCs w:val="0"/>
        </w:rPr>
        <w:t xml:space="preserve"> that fails to deliver all information relevant to the body corporate to the statutory manager is liable to a criminal offence of 12 months imprisonment or 50 penalty units, or both. </w:t>
      </w:r>
      <w:r w:rsidR="004619D4">
        <w:br/>
      </w:r>
      <w:r w:rsidR="004619D4" w:rsidRPr="5FC07D12">
        <w:rPr>
          <w:rStyle w:val="References"/>
        </w:rPr>
        <w:t xml:space="preserve">[Schedule </w:t>
      </w:r>
      <w:r w:rsidR="00E773D4">
        <w:rPr>
          <w:rStyle w:val="References"/>
        </w:rPr>
        <w:t>1</w:t>
      </w:r>
      <w:r w:rsidR="004619D4" w:rsidRPr="5FC07D12">
        <w:rPr>
          <w:rStyle w:val="References"/>
        </w:rPr>
        <w:t xml:space="preserve">, </w:t>
      </w:r>
      <w:r w:rsidR="00C568C9">
        <w:rPr>
          <w:rStyle w:val="References"/>
        </w:rPr>
        <w:t>item</w:t>
      </w:r>
      <w:r w:rsidR="00B37256">
        <w:rPr>
          <w:rStyle w:val="References"/>
        </w:rPr>
        <w:t>s</w:t>
      </w:r>
      <w:r w:rsidR="00C568C9">
        <w:rPr>
          <w:rStyle w:val="References"/>
        </w:rPr>
        <w:t xml:space="preserve"> 14</w:t>
      </w:r>
      <w:r w:rsidR="00276C70" w:rsidRPr="5FC07D12">
        <w:rPr>
          <w:rStyle w:val="References"/>
        </w:rPr>
        <w:t xml:space="preserve">, </w:t>
      </w:r>
      <w:r w:rsidR="004619D4" w:rsidRPr="5FC07D12">
        <w:rPr>
          <w:rStyle w:val="References"/>
        </w:rPr>
        <w:t xml:space="preserve">subsection </w:t>
      </w:r>
      <w:r w:rsidR="00F46422" w:rsidRPr="5FC07D12">
        <w:rPr>
          <w:rStyle w:val="References"/>
        </w:rPr>
        <w:t>83</w:t>
      </w:r>
      <w:r>
        <w:rPr>
          <w:rStyle w:val="References"/>
        </w:rPr>
        <w:t>3</w:t>
      </w:r>
      <w:proofErr w:type="gramStart"/>
      <w:r>
        <w:rPr>
          <w:rStyle w:val="References"/>
        </w:rPr>
        <w:t>E</w:t>
      </w:r>
      <w:r w:rsidR="004619D4" w:rsidRPr="5FC07D12">
        <w:rPr>
          <w:rStyle w:val="References"/>
        </w:rPr>
        <w:t>(</w:t>
      </w:r>
      <w:proofErr w:type="gramEnd"/>
      <w:r w:rsidR="004619D4" w:rsidRPr="5FC07D12">
        <w:rPr>
          <w:rStyle w:val="References"/>
        </w:rPr>
        <w:t>3</w:t>
      </w:r>
      <w:r w:rsidR="00A95CC1">
        <w:rPr>
          <w:rStyle w:val="References"/>
        </w:rPr>
        <w:t xml:space="preserve">) </w:t>
      </w:r>
      <w:r w:rsidR="004619D4" w:rsidRPr="5FC07D12">
        <w:rPr>
          <w:rStyle w:val="References"/>
        </w:rPr>
        <w:t>of the Act]</w:t>
      </w:r>
    </w:p>
    <w:p w14:paraId="7627A95F" w14:textId="77777777" w:rsidR="00B32821" w:rsidRPr="009E0C90" w:rsidRDefault="00B32821" w:rsidP="009E0C90">
      <w:pPr>
        <w:pStyle w:val="Heading6"/>
        <w:rPr>
          <w:rStyle w:val="References"/>
          <w:rFonts w:ascii="Helvetica" w:hAnsi="Helvetica" w:cs="Helvetica"/>
          <w:b w:val="0"/>
          <w:bCs w:val="0"/>
          <w:i/>
        </w:rPr>
      </w:pPr>
      <w:r w:rsidRPr="009E0C90">
        <w:rPr>
          <w:rStyle w:val="References"/>
          <w:rFonts w:ascii="Helvetica" w:hAnsi="Helvetica" w:cs="Helvetica"/>
          <w:b w:val="0"/>
          <w:bCs w:val="0"/>
          <w:i/>
        </w:rPr>
        <w:t xml:space="preserve">Recapitalisation </w:t>
      </w:r>
    </w:p>
    <w:p w14:paraId="19722855" w14:textId="01DEC817" w:rsidR="003E61A4" w:rsidRDefault="00B433CC" w:rsidP="00125C2C">
      <w:pPr>
        <w:pStyle w:val="Normalparatextwithnumbers"/>
        <w:rPr>
          <w:rStyle w:val="References"/>
          <w:b w:val="0"/>
          <w:bCs w:val="0"/>
          <w:i w:val="0"/>
          <w:iCs w:val="0"/>
        </w:rPr>
      </w:pPr>
      <w:r w:rsidRPr="00B433CC">
        <w:rPr>
          <w:rStyle w:val="References"/>
          <w:b w:val="0"/>
          <w:bCs w:val="0"/>
          <w:i w:val="0"/>
          <w:iCs w:val="0"/>
        </w:rPr>
        <w:t>The recapitalisation of a</w:t>
      </w:r>
      <w:r>
        <w:rPr>
          <w:rStyle w:val="References"/>
          <w:b w:val="0"/>
          <w:bCs w:val="0"/>
          <w:i w:val="0"/>
          <w:iCs w:val="0"/>
        </w:rPr>
        <w:t xml:space="preserve">n </w:t>
      </w:r>
      <w:r w:rsidRPr="00B433CC">
        <w:rPr>
          <w:rStyle w:val="References"/>
          <w:b w:val="0"/>
          <w:bCs w:val="0"/>
          <w:i w:val="0"/>
          <w:iCs w:val="0"/>
        </w:rPr>
        <w:t>institution is an internationally recognised method of addressing a distressed institution and restoring the institution’s financial health.</w:t>
      </w:r>
      <w:r>
        <w:rPr>
          <w:rStyle w:val="References"/>
          <w:b w:val="0"/>
          <w:bCs w:val="0"/>
          <w:i w:val="0"/>
          <w:iCs w:val="0"/>
        </w:rPr>
        <w:t xml:space="preserve"> </w:t>
      </w:r>
      <w:r w:rsidRPr="00B433CC">
        <w:rPr>
          <w:rStyle w:val="References"/>
          <w:b w:val="0"/>
          <w:bCs w:val="0"/>
          <w:i w:val="0"/>
          <w:iCs w:val="0"/>
        </w:rPr>
        <w:t xml:space="preserve">The recapitalisation powers are intended to be strong and flexible to allow a </w:t>
      </w:r>
      <w:r>
        <w:rPr>
          <w:rStyle w:val="References"/>
          <w:b w:val="0"/>
          <w:bCs w:val="0"/>
          <w:i w:val="0"/>
          <w:iCs w:val="0"/>
        </w:rPr>
        <w:t>statutory</w:t>
      </w:r>
      <w:r w:rsidRPr="00B433CC">
        <w:rPr>
          <w:rStyle w:val="References"/>
          <w:b w:val="0"/>
          <w:bCs w:val="0"/>
          <w:i w:val="0"/>
          <w:iCs w:val="0"/>
        </w:rPr>
        <w:t xml:space="preserve"> manager to respond quickly and decisively to a range of circumstances.</w:t>
      </w:r>
      <w:r w:rsidR="0097687B">
        <w:rPr>
          <w:rStyle w:val="References"/>
          <w:b w:val="0"/>
          <w:bCs w:val="0"/>
          <w:i w:val="0"/>
          <w:iCs w:val="0"/>
        </w:rPr>
        <w:t xml:space="preserve"> Given the high </w:t>
      </w:r>
      <w:r w:rsidR="00AA35CB">
        <w:rPr>
          <w:rStyle w:val="References"/>
          <w:b w:val="0"/>
          <w:bCs w:val="0"/>
          <w:i w:val="0"/>
          <w:iCs w:val="0"/>
        </w:rPr>
        <w:t xml:space="preserve">level of </w:t>
      </w:r>
      <w:r w:rsidR="0097687B">
        <w:rPr>
          <w:rStyle w:val="References"/>
          <w:b w:val="0"/>
          <w:bCs w:val="0"/>
          <w:i w:val="0"/>
          <w:iCs w:val="0"/>
        </w:rPr>
        <w:t>intervention recapitalisation</w:t>
      </w:r>
      <w:r w:rsidR="00224F12">
        <w:rPr>
          <w:rStyle w:val="References"/>
          <w:b w:val="0"/>
          <w:bCs w:val="0"/>
          <w:i w:val="0"/>
          <w:iCs w:val="0"/>
        </w:rPr>
        <w:t xml:space="preserve"> represents</w:t>
      </w:r>
      <w:r w:rsidR="0097687B">
        <w:rPr>
          <w:rStyle w:val="References"/>
          <w:b w:val="0"/>
          <w:bCs w:val="0"/>
          <w:i w:val="0"/>
          <w:iCs w:val="0"/>
        </w:rPr>
        <w:t xml:space="preserve">, the statutory manager’s powers to facilitate recapitalisation can only be enforced at the direction of the RBA or with the RBA’s consent. </w:t>
      </w:r>
    </w:p>
    <w:p w14:paraId="38E59F0D" w14:textId="2693F59F" w:rsidR="003E61A4" w:rsidRDefault="003E61A4" w:rsidP="00125C2C">
      <w:pPr>
        <w:pStyle w:val="Normalparatextwithnumbers"/>
        <w:rPr>
          <w:rStyle w:val="References"/>
          <w:b w:val="0"/>
          <w:bCs w:val="0"/>
          <w:i w:val="0"/>
          <w:iCs w:val="0"/>
        </w:rPr>
      </w:pPr>
      <w:r>
        <w:rPr>
          <w:rStyle w:val="References"/>
          <w:b w:val="0"/>
          <w:bCs w:val="0"/>
          <w:i w:val="0"/>
          <w:iCs w:val="0"/>
        </w:rPr>
        <w:t xml:space="preserve">Recapitalisation is when a statutory </w:t>
      </w:r>
      <w:r w:rsidRPr="003E61A4">
        <w:rPr>
          <w:rStyle w:val="References"/>
          <w:b w:val="0"/>
          <w:bCs w:val="0"/>
          <w:i w:val="0"/>
          <w:iCs w:val="0"/>
        </w:rPr>
        <w:t>manager</w:t>
      </w:r>
      <w:r w:rsidR="0097687B">
        <w:rPr>
          <w:rStyle w:val="References"/>
          <w:b w:val="0"/>
          <w:bCs w:val="0"/>
          <w:i w:val="0"/>
          <w:iCs w:val="0"/>
        </w:rPr>
        <w:t xml:space="preserve"> acts in accordance with the RBA’s direction or obtains consent from the RBA to</w:t>
      </w:r>
      <w:r w:rsidRPr="003E61A4">
        <w:rPr>
          <w:rStyle w:val="References"/>
          <w:b w:val="0"/>
          <w:bCs w:val="0"/>
          <w:i w:val="0"/>
          <w:iCs w:val="0"/>
        </w:rPr>
        <w:t xml:space="preserve">: </w:t>
      </w:r>
    </w:p>
    <w:p w14:paraId="35C1602C" w14:textId="63E30C40" w:rsidR="003E61A4" w:rsidRPr="00941BDB" w:rsidRDefault="003E61A4" w:rsidP="003E61A4">
      <w:pPr>
        <w:pStyle w:val="Dotpoint1"/>
      </w:pPr>
      <w:r w:rsidRPr="00941BDB">
        <w:t xml:space="preserve">issue, cancel or sell shares, or rights to acquire </w:t>
      </w:r>
      <w:proofErr w:type="gramStart"/>
      <w:r w:rsidRPr="00941BDB">
        <w:t>shares;</w:t>
      </w:r>
      <w:proofErr w:type="gramEnd"/>
      <w:r w:rsidRPr="00941BDB">
        <w:t xml:space="preserve"> </w:t>
      </w:r>
    </w:p>
    <w:p w14:paraId="569344C9" w14:textId="0B68399A" w:rsidR="003E61A4" w:rsidRPr="00941BDB" w:rsidRDefault="003E61A4" w:rsidP="003E61A4">
      <w:pPr>
        <w:pStyle w:val="Dotpoint1"/>
      </w:pPr>
      <w:r w:rsidRPr="00941BDB">
        <w:t xml:space="preserve">reduce share capital by cancelling any paid-up share capital that is not represented by available assets; and </w:t>
      </w:r>
    </w:p>
    <w:p w14:paraId="6AC2B3D3" w14:textId="77CD245F" w:rsidR="003E61A4" w:rsidRPr="00941BDB" w:rsidRDefault="003E61A4" w:rsidP="003E61A4">
      <w:pPr>
        <w:pStyle w:val="Dotpoint1"/>
      </w:pPr>
      <w:r w:rsidRPr="00941BDB">
        <w:t>var</w:t>
      </w:r>
      <w:r w:rsidR="0097687B">
        <w:t>y</w:t>
      </w:r>
      <w:r w:rsidRPr="00941BDB">
        <w:t xml:space="preserve"> or cancel rights or restrictions attached to shares in a class of shares in the body corporate.</w:t>
      </w:r>
      <w:r w:rsidR="00AD31E1">
        <w:br/>
      </w:r>
      <w:r w:rsidR="00AD31E1" w:rsidRPr="00AD31E1">
        <w:rPr>
          <w:rStyle w:val="References"/>
        </w:rPr>
        <w:t xml:space="preserve">[Schedule 1, </w:t>
      </w:r>
      <w:r w:rsidR="00C568C9">
        <w:rPr>
          <w:rStyle w:val="References"/>
        </w:rPr>
        <w:t>item 14</w:t>
      </w:r>
      <w:r w:rsidR="006519F3">
        <w:rPr>
          <w:rStyle w:val="References"/>
        </w:rPr>
        <w:t xml:space="preserve">, </w:t>
      </w:r>
      <w:r w:rsidR="00DE6590">
        <w:rPr>
          <w:rStyle w:val="References"/>
        </w:rPr>
        <w:t>sub</w:t>
      </w:r>
      <w:r w:rsidR="00AD31E1" w:rsidRPr="00AD31E1">
        <w:rPr>
          <w:rStyle w:val="References"/>
        </w:rPr>
        <w:t>section 83</w:t>
      </w:r>
      <w:r w:rsidR="006519F3">
        <w:rPr>
          <w:rStyle w:val="References"/>
        </w:rPr>
        <w:t>3</w:t>
      </w:r>
      <w:proofErr w:type="gramStart"/>
      <w:r w:rsidR="006519F3">
        <w:rPr>
          <w:rStyle w:val="References"/>
        </w:rPr>
        <w:t>D</w:t>
      </w:r>
      <w:r w:rsidR="00DE6590">
        <w:rPr>
          <w:rStyle w:val="References"/>
        </w:rPr>
        <w:t>(</w:t>
      </w:r>
      <w:proofErr w:type="gramEnd"/>
      <w:r w:rsidR="00DE6590">
        <w:rPr>
          <w:rStyle w:val="References"/>
        </w:rPr>
        <w:t>1)</w:t>
      </w:r>
      <w:r w:rsidR="00AD31E1" w:rsidRPr="00AD31E1">
        <w:rPr>
          <w:rStyle w:val="References"/>
        </w:rPr>
        <w:t xml:space="preserve"> of the Act]</w:t>
      </w:r>
    </w:p>
    <w:p w14:paraId="6A0EB720" w14:textId="5AAECE81" w:rsidR="003E61A4" w:rsidRDefault="00F61166" w:rsidP="00125C2C">
      <w:pPr>
        <w:pStyle w:val="Normalparatextwithnumbers"/>
        <w:rPr>
          <w:rStyle w:val="References"/>
          <w:b w:val="0"/>
          <w:bCs w:val="0"/>
          <w:i w:val="0"/>
          <w:iCs w:val="0"/>
        </w:rPr>
      </w:pPr>
      <w:bookmarkStart w:id="59" w:name="_Ref152337458"/>
      <w:r w:rsidRPr="00F61166">
        <w:rPr>
          <w:rStyle w:val="References"/>
          <w:b w:val="0"/>
          <w:bCs w:val="0"/>
          <w:i w:val="0"/>
          <w:iCs w:val="0"/>
        </w:rPr>
        <w:t xml:space="preserve">Prior to undertaking an action to recapitalise the </w:t>
      </w:r>
      <w:r>
        <w:rPr>
          <w:rStyle w:val="References"/>
          <w:b w:val="0"/>
          <w:bCs w:val="0"/>
          <w:i w:val="0"/>
          <w:iCs w:val="0"/>
        </w:rPr>
        <w:t>CS facility</w:t>
      </w:r>
      <w:r w:rsidRPr="00F61166">
        <w:rPr>
          <w:rStyle w:val="References"/>
          <w:b w:val="0"/>
          <w:bCs w:val="0"/>
          <w:i w:val="0"/>
          <w:iCs w:val="0"/>
        </w:rPr>
        <w:t xml:space="preserve">, the </w:t>
      </w:r>
      <w:r>
        <w:rPr>
          <w:rStyle w:val="References"/>
          <w:b w:val="0"/>
          <w:bCs w:val="0"/>
          <w:i w:val="0"/>
          <w:iCs w:val="0"/>
        </w:rPr>
        <w:t xml:space="preserve">statutory </w:t>
      </w:r>
      <w:r w:rsidRPr="00F61166">
        <w:rPr>
          <w:rStyle w:val="References"/>
          <w:b w:val="0"/>
          <w:bCs w:val="0"/>
          <w:i w:val="0"/>
          <w:iCs w:val="0"/>
        </w:rPr>
        <w:t xml:space="preserve">manager </w:t>
      </w:r>
      <w:r w:rsidR="000E1494">
        <w:rPr>
          <w:rStyle w:val="References"/>
          <w:b w:val="0"/>
          <w:bCs w:val="0"/>
          <w:i w:val="0"/>
          <w:iCs w:val="0"/>
        </w:rPr>
        <w:t>or</w:t>
      </w:r>
      <w:r w:rsidR="00487768">
        <w:rPr>
          <w:rStyle w:val="References"/>
          <w:b w:val="0"/>
          <w:bCs w:val="0"/>
          <w:i w:val="0"/>
          <w:iCs w:val="0"/>
        </w:rPr>
        <w:t xml:space="preserve"> the RBA, </w:t>
      </w:r>
      <w:r w:rsidR="000E1494">
        <w:rPr>
          <w:rStyle w:val="References"/>
          <w:b w:val="0"/>
          <w:bCs w:val="0"/>
          <w:i w:val="0"/>
          <w:iCs w:val="0"/>
        </w:rPr>
        <w:t>must</w:t>
      </w:r>
      <w:r w:rsidRPr="00F61166">
        <w:rPr>
          <w:rStyle w:val="References"/>
          <w:b w:val="0"/>
          <w:bCs w:val="0"/>
          <w:i w:val="0"/>
          <w:iCs w:val="0"/>
        </w:rPr>
        <w:t xml:space="preserve"> obtain an independent valuation report which sets out the expert’s opinion of the fair value for each of the shares and rights, or the fair value of the rights affected.</w:t>
      </w:r>
      <w:r>
        <w:rPr>
          <w:rStyle w:val="References"/>
          <w:b w:val="0"/>
          <w:bCs w:val="0"/>
          <w:i w:val="0"/>
          <w:iCs w:val="0"/>
        </w:rPr>
        <w:t xml:space="preserve"> </w:t>
      </w:r>
      <w:r w:rsidR="00B04811">
        <w:rPr>
          <w:rStyle w:val="References"/>
          <w:b w:val="0"/>
          <w:bCs w:val="0"/>
          <w:i w:val="0"/>
          <w:iCs w:val="0"/>
        </w:rPr>
        <w:t xml:space="preserve">The expert responsible for the report must not be an associate of the body corporate or the statutory manger. </w:t>
      </w:r>
      <w:r w:rsidRPr="00F61166">
        <w:rPr>
          <w:rStyle w:val="References"/>
          <w:b w:val="0"/>
          <w:bCs w:val="0"/>
          <w:i w:val="0"/>
          <w:iCs w:val="0"/>
        </w:rPr>
        <w:t xml:space="preserve">The </w:t>
      </w:r>
      <w:r>
        <w:rPr>
          <w:rStyle w:val="References"/>
          <w:b w:val="0"/>
          <w:bCs w:val="0"/>
          <w:i w:val="0"/>
          <w:iCs w:val="0"/>
        </w:rPr>
        <w:t xml:space="preserve">statutory </w:t>
      </w:r>
      <w:r w:rsidRPr="00F61166">
        <w:rPr>
          <w:rStyle w:val="References"/>
          <w:b w:val="0"/>
          <w:bCs w:val="0"/>
          <w:i w:val="0"/>
          <w:iCs w:val="0"/>
        </w:rPr>
        <w:t xml:space="preserve">manager </w:t>
      </w:r>
      <w:r w:rsidR="000E1494">
        <w:rPr>
          <w:rStyle w:val="References"/>
          <w:b w:val="0"/>
          <w:bCs w:val="0"/>
          <w:i w:val="0"/>
          <w:iCs w:val="0"/>
        </w:rPr>
        <w:t>or the RBA are</w:t>
      </w:r>
      <w:r w:rsidRPr="00F61166">
        <w:rPr>
          <w:rStyle w:val="References"/>
          <w:b w:val="0"/>
          <w:bCs w:val="0"/>
          <w:i w:val="0"/>
          <w:iCs w:val="0"/>
        </w:rPr>
        <w:t xml:space="preserve"> required to consider the report, and may draw on its </w:t>
      </w:r>
      <w:r w:rsidRPr="00F61166">
        <w:rPr>
          <w:rStyle w:val="References"/>
          <w:b w:val="0"/>
          <w:bCs w:val="0"/>
          <w:i w:val="0"/>
          <w:iCs w:val="0"/>
        </w:rPr>
        <w:lastRenderedPageBreak/>
        <w:t>content, but is not compelled to follow the recommendations of the report when determining the terms of a recapitalisation action.</w:t>
      </w:r>
      <w:r>
        <w:rPr>
          <w:rStyle w:val="References"/>
          <w:b w:val="0"/>
          <w:bCs w:val="0"/>
          <w:i w:val="0"/>
          <w:iCs w:val="0"/>
        </w:rPr>
        <w:br/>
      </w:r>
      <w:r w:rsidRPr="00F61166">
        <w:rPr>
          <w:rStyle w:val="References"/>
        </w:rPr>
        <w:t>[</w:t>
      </w:r>
      <w:r w:rsidR="00A93424">
        <w:rPr>
          <w:rStyle w:val="References"/>
        </w:rPr>
        <w:t xml:space="preserve">Schedule </w:t>
      </w:r>
      <w:r w:rsidR="00E773D4">
        <w:rPr>
          <w:rStyle w:val="References"/>
        </w:rPr>
        <w:t>1</w:t>
      </w:r>
      <w:r w:rsidRPr="00F61166">
        <w:rPr>
          <w:rStyle w:val="References"/>
        </w:rPr>
        <w:t xml:space="preserve">, </w:t>
      </w:r>
      <w:r w:rsidR="00C568C9">
        <w:rPr>
          <w:rStyle w:val="References"/>
        </w:rPr>
        <w:t>item 14</w:t>
      </w:r>
      <w:r w:rsidR="006519F3">
        <w:rPr>
          <w:rStyle w:val="References"/>
        </w:rPr>
        <w:t xml:space="preserve">, </w:t>
      </w:r>
      <w:r w:rsidR="00810181">
        <w:rPr>
          <w:rStyle w:val="References"/>
        </w:rPr>
        <w:t>sub</w:t>
      </w:r>
      <w:r w:rsidRPr="00F61166">
        <w:rPr>
          <w:rStyle w:val="References"/>
        </w:rPr>
        <w:t xml:space="preserve">section </w:t>
      </w:r>
      <w:r w:rsidR="003B09E4">
        <w:rPr>
          <w:rStyle w:val="References"/>
        </w:rPr>
        <w:t>849</w:t>
      </w:r>
      <w:proofErr w:type="gramStart"/>
      <w:r w:rsidR="006519F3">
        <w:rPr>
          <w:rStyle w:val="References"/>
        </w:rPr>
        <w:t>D</w:t>
      </w:r>
      <w:r w:rsidR="00810181">
        <w:rPr>
          <w:rStyle w:val="References"/>
        </w:rPr>
        <w:t>(</w:t>
      </w:r>
      <w:proofErr w:type="gramEnd"/>
      <w:r w:rsidR="00810181">
        <w:rPr>
          <w:rStyle w:val="References"/>
        </w:rPr>
        <w:t>1)</w:t>
      </w:r>
      <w:r w:rsidR="0028550D">
        <w:rPr>
          <w:rStyle w:val="References"/>
        </w:rPr>
        <w:t xml:space="preserve">, (2) and </w:t>
      </w:r>
      <w:r w:rsidR="00810181">
        <w:rPr>
          <w:rStyle w:val="References"/>
        </w:rPr>
        <w:t>(</w:t>
      </w:r>
      <w:r w:rsidR="00171E7F">
        <w:rPr>
          <w:rStyle w:val="References"/>
        </w:rPr>
        <w:t>3</w:t>
      </w:r>
      <w:r w:rsidR="00810181">
        <w:rPr>
          <w:rStyle w:val="References"/>
        </w:rPr>
        <w:t>)</w:t>
      </w:r>
      <w:r w:rsidR="003B09E4">
        <w:rPr>
          <w:rStyle w:val="References"/>
        </w:rPr>
        <w:t xml:space="preserve"> </w:t>
      </w:r>
      <w:r w:rsidRPr="00F61166">
        <w:rPr>
          <w:rStyle w:val="References"/>
        </w:rPr>
        <w:t xml:space="preserve">of the </w:t>
      </w:r>
      <w:r w:rsidR="000E7C19">
        <w:rPr>
          <w:rStyle w:val="References"/>
        </w:rPr>
        <w:t>Act</w:t>
      </w:r>
      <w:r w:rsidRPr="00F61166">
        <w:rPr>
          <w:rStyle w:val="References"/>
        </w:rPr>
        <w:t>]</w:t>
      </w:r>
      <w:bookmarkEnd w:id="59"/>
    </w:p>
    <w:p w14:paraId="565A7FA2" w14:textId="5ED98659" w:rsidR="00BC09F9" w:rsidRDefault="00F907C5" w:rsidP="00125C2C">
      <w:pPr>
        <w:pStyle w:val="Normalparatextwithnumbers"/>
        <w:rPr>
          <w:rStyle w:val="References"/>
          <w:b w:val="0"/>
          <w:bCs w:val="0"/>
          <w:i w:val="0"/>
          <w:iCs w:val="0"/>
        </w:rPr>
      </w:pPr>
      <w:r w:rsidRPr="00F907C5">
        <w:rPr>
          <w:rStyle w:val="References"/>
          <w:b w:val="0"/>
          <w:bCs w:val="0"/>
          <w:i w:val="0"/>
          <w:iCs w:val="0"/>
        </w:rPr>
        <w:t xml:space="preserve">The </w:t>
      </w:r>
      <w:r w:rsidR="004D4BAC">
        <w:rPr>
          <w:rStyle w:val="References"/>
          <w:b w:val="0"/>
          <w:bCs w:val="0"/>
          <w:i w:val="0"/>
          <w:iCs w:val="0"/>
        </w:rPr>
        <w:t>RBA</w:t>
      </w:r>
      <w:r w:rsidRPr="00F907C5">
        <w:rPr>
          <w:rStyle w:val="References"/>
          <w:b w:val="0"/>
          <w:bCs w:val="0"/>
          <w:i w:val="0"/>
          <w:iCs w:val="0"/>
        </w:rPr>
        <w:t xml:space="preserve"> may determine in writing that a statutory manager is </w:t>
      </w:r>
      <w:r>
        <w:rPr>
          <w:rStyle w:val="References"/>
          <w:b w:val="0"/>
          <w:bCs w:val="0"/>
          <w:i w:val="0"/>
          <w:iCs w:val="0"/>
        </w:rPr>
        <w:t>not required</w:t>
      </w:r>
      <w:r w:rsidRPr="00F907C5">
        <w:rPr>
          <w:rStyle w:val="References"/>
          <w:b w:val="0"/>
          <w:bCs w:val="0"/>
          <w:i w:val="0"/>
          <w:iCs w:val="0"/>
        </w:rPr>
        <w:t xml:space="preserve"> to obtain a report if it is satisfied that the delay </w:t>
      </w:r>
      <w:r w:rsidR="000E1494">
        <w:rPr>
          <w:rStyle w:val="References"/>
          <w:b w:val="0"/>
          <w:bCs w:val="0"/>
          <w:i w:val="0"/>
          <w:iCs w:val="0"/>
        </w:rPr>
        <w:t>in obtaining the</w:t>
      </w:r>
      <w:r w:rsidR="005249AB">
        <w:rPr>
          <w:rStyle w:val="References"/>
          <w:b w:val="0"/>
          <w:bCs w:val="0"/>
          <w:i w:val="0"/>
          <w:iCs w:val="0"/>
        </w:rPr>
        <w:t xml:space="preserve"> report</w:t>
      </w:r>
      <w:r w:rsidRPr="00F907C5">
        <w:rPr>
          <w:rStyle w:val="References"/>
          <w:b w:val="0"/>
          <w:bCs w:val="0"/>
          <w:i w:val="0"/>
          <w:iCs w:val="0"/>
        </w:rPr>
        <w:t xml:space="preserve"> would detrimentally affect </w:t>
      </w:r>
      <w:r w:rsidR="00F30D8E">
        <w:rPr>
          <w:rStyle w:val="References"/>
          <w:b w:val="0"/>
          <w:bCs w:val="0"/>
          <w:i w:val="0"/>
          <w:iCs w:val="0"/>
        </w:rPr>
        <w:t xml:space="preserve">either </w:t>
      </w:r>
      <w:r w:rsidRPr="00F907C5">
        <w:rPr>
          <w:rStyle w:val="References"/>
          <w:b w:val="0"/>
          <w:bCs w:val="0"/>
          <w:i w:val="0"/>
          <w:iCs w:val="0"/>
        </w:rPr>
        <w:t>financial system stability in Australia</w:t>
      </w:r>
      <w:r w:rsidR="00F30D8E">
        <w:rPr>
          <w:rStyle w:val="References"/>
          <w:b w:val="0"/>
          <w:bCs w:val="0"/>
          <w:i w:val="0"/>
          <w:iCs w:val="0"/>
        </w:rPr>
        <w:t xml:space="preserve"> or the continuity of CS </w:t>
      </w:r>
      <w:r w:rsidR="00455677">
        <w:rPr>
          <w:rStyle w:val="References"/>
          <w:b w:val="0"/>
          <w:bCs w:val="0"/>
          <w:i w:val="0"/>
          <w:iCs w:val="0"/>
        </w:rPr>
        <w:t>facility</w:t>
      </w:r>
      <w:r w:rsidR="00F30D8E">
        <w:rPr>
          <w:rStyle w:val="References"/>
          <w:b w:val="0"/>
          <w:bCs w:val="0"/>
          <w:i w:val="0"/>
          <w:iCs w:val="0"/>
        </w:rPr>
        <w:t xml:space="preserve"> services</w:t>
      </w:r>
      <w:r w:rsidRPr="00F907C5">
        <w:rPr>
          <w:rStyle w:val="References"/>
          <w:b w:val="0"/>
          <w:bCs w:val="0"/>
          <w:i w:val="0"/>
          <w:iCs w:val="0"/>
        </w:rPr>
        <w:t xml:space="preserve">. </w:t>
      </w:r>
      <w:r w:rsidR="00643AF2">
        <w:rPr>
          <w:rStyle w:val="References"/>
          <w:b w:val="0"/>
          <w:bCs w:val="0"/>
          <w:i w:val="0"/>
          <w:iCs w:val="0"/>
        </w:rPr>
        <w:br/>
      </w:r>
      <w:r w:rsidR="00643AF2" w:rsidRPr="00643AF2">
        <w:rPr>
          <w:rStyle w:val="References"/>
        </w:rPr>
        <w:t xml:space="preserve">[Schedule </w:t>
      </w:r>
      <w:r w:rsidR="00E773D4">
        <w:rPr>
          <w:rStyle w:val="References"/>
        </w:rPr>
        <w:t>1</w:t>
      </w:r>
      <w:r w:rsidR="00643AF2" w:rsidRPr="00643AF2">
        <w:rPr>
          <w:rStyle w:val="References"/>
        </w:rPr>
        <w:t xml:space="preserve">, </w:t>
      </w:r>
      <w:r w:rsidR="00C568C9">
        <w:rPr>
          <w:rStyle w:val="References"/>
        </w:rPr>
        <w:t>item 14</w:t>
      </w:r>
      <w:r w:rsidR="00643AF2" w:rsidRPr="00643AF2">
        <w:rPr>
          <w:rStyle w:val="References"/>
        </w:rPr>
        <w:t>, subsection 84</w:t>
      </w:r>
      <w:r w:rsidR="006519F3">
        <w:rPr>
          <w:rStyle w:val="References"/>
        </w:rPr>
        <w:t>9</w:t>
      </w:r>
      <w:proofErr w:type="gramStart"/>
      <w:r w:rsidR="006519F3">
        <w:rPr>
          <w:rStyle w:val="References"/>
        </w:rPr>
        <w:t>D</w:t>
      </w:r>
      <w:r w:rsidR="00643AF2" w:rsidRPr="00643AF2">
        <w:rPr>
          <w:rStyle w:val="References"/>
        </w:rPr>
        <w:t>(</w:t>
      </w:r>
      <w:proofErr w:type="gramEnd"/>
      <w:r w:rsidR="006519F3">
        <w:rPr>
          <w:rStyle w:val="References"/>
        </w:rPr>
        <w:t>5</w:t>
      </w:r>
      <w:r w:rsidR="00643AF2" w:rsidRPr="00643AF2">
        <w:rPr>
          <w:rStyle w:val="References"/>
        </w:rPr>
        <w:t>) of the Act]</w:t>
      </w:r>
    </w:p>
    <w:p w14:paraId="21E1A4FF" w14:textId="6EE15301" w:rsidR="00F907C5" w:rsidRPr="00F907C5" w:rsidRDefault="00464A1E" w:rsidP="00125C2C">
      <w:pPr>
        <w:pStyle w:val="Normalparatextwithnumbers"/>
        <w:rPr>
          <w:rStyle w:val="References"/>
          <w:b w:val="0"/>
          <w:bCs w:val="0"/>
          <w:i w:val="0"/>
          <w:iCs w:val="0"/>
        </w:rPr>
      </w:pPr>
      <w:r>
        <w:rPr>
          <w:rStyle w:val="References"/>
          <w:b w:val="0"/>
          <w:bCs w:val="0"/>
          <w:i w:val="0"/>
          <w:iCs w:val="0"/>
        </w:rPr>
        <w:t xml:space="preserve">The RBA </w:t>
      </w:r>
      <w:r w:rsidR="006519F3">
        <w:rPr>
          <w:rStyle w:val="References"/>
          <w:b w:val="0"/>
          <w:bCs w:val="0"/>
          <w:i w:val="0"/>
          <w:iCs w:val="0"/>
        </w:rPr>
        <w:t>may</w:t>
      </w:r>
      <w:r>
        <w:rPr>
          <w:rStyle w:val="References"/>
          <w:b w:val="0"/>
          <w:bCs w:val="0"/>
          <w:i w:val="0"/>
          <w:iCs w:val="0"/>
        </w:rPr>
        <w:t xml:space="preserve"> publish </w:t>
      </w:r>
      <w:r w:rsidR="006519F3">
        <w:rPr>
          <w:rStyle w:val="References"/>
          <w:b w:val="0"/>
          <w:bCs w:val="0"/>
          <w:i w:val="0"/>
          <w:iCs w:val="0"/>
        </w:rPr>
        <w:t xml:space="preserve">details of the report on its website. </w:t>
      </w:r>
      <w:r w:rsidR="00BC09F9">
        <w:rPr>
          <w:rStyle w:val="References"/>
          <w:b w:val="0"/>
          <w:bCs w:val="0"/>
          <w:i w:val="0"/>
          <w:iCs w:val="0"/>
        </w:rPr>
        <w:t xml:space="preserve">Publication of the determination may occur when the RBA considers it is appropriate, such as after the relevant secrecy notices have ceased to apply. </w:t>
      </w:r>
      <w:r w:rsidR="00810181">
        <w:rPr>
          <w:rStyle w:val="References"/>
          <w:b w:val="0"/>
          <w:bCs w:val="0"/>
          <w:i w:val="0"/>
          <w:iCs w:val="0"/>
        </w:rPr>
        <w:br/>
      </w:r>
      <w:r w:rsidR="00810181" w:rsidRPr="00810181">
        <w:rPr>
          <w:rStyle w:val="References"/>
        </w:rPr>
        <w:t xml:space="preserve">[Schedule </w:t>
      </w:r>
      <w:r w:rsidR="00E773D4">
        <w:rPr>
          <w:rStyle w:val="References"/>
        </w:rPr>
        <w:t>1</w:t>
      </w:r>
      <w:r w:rsidR="00810181" w:rsidRPr="00810181">
        <w:rPr>
          <w:rStyle w:val="References"/>
        </w:rPr>
        <w:t xml:space="preserve">, </w:t>
      </w:r>
      <w:r w:rsidR="00C568C9">
        <w:rPr>
          <w:rStyle w:val="References"/>
        </w:rPr>
        <w:t>item 14</w:t>
      </w:r>
      <w:r w:rsidR="000A1EB8" w:rsidRPr="00810181">
        <w:rPr>
          <w:rStyle w:val="References"/>
        </w:rPr>
        <w:t xml:space="preserve">, </w:t>
      </w:r>
      <w:r w:rsidR="00810181">
        <w:rPr>
          <w:rStyle w:val="References"/>
        </w:rPr>
        <w:t>sub</w:t>
      </w:r>
      <w:r w:rsidR="00810181" w:rsidRPr="00810181">
        <w:rPr>
          <w:rStyle w:val="References"/>
        </w:rPr>
        <w:t xml:space="preserve">section </w:t>
      </w:r>
      <w:r w:rsidR="006519F3">
        <w:rPr>
          <w:rStyle w:val="References"/>
        </w:rPr>
        <w:t>849</w:t>
      </w:r>
      <w:proofErr w:type="gramStart"/>
      <w:r w:rsidR="006519F3">
        <w:rPr>
          <w:rStyle w:val="References"/>
        </w:rPr>
        <w:t>D(</w:t>
      </w:r>
      <w:proofErr w:type="gramEnd"/>
      <w:r w:rsidR="006519F3">
        <w:rPr>
          <w:rStyle w:val="References"/>
        </w:rPr>
        <w:t>4)</w:t>
      </w:r>
      <w:r w:rsidR="00810181" w:rsidRPr="00810181">
        <w:rPr>
          <w:rStyle w:val="References"/>
        </w:rPr>
        <w:t xml:space="preserve"> of the Act]</w:t>
      </w:r>
    </w:p>
    <w:p w14:paraId="6C268AEC" w14:textId="7F3514E3" w:rsidR="00F907C5" w:rsidRDefault="00F907C5" w:rsidP="00125C2C">
      <w:pPr>
        <w:pStyle w:val="Normalparatextwithnumbers"/>
        <w:rPr>
          <w:rStyle w:val="References"/>
          <w:b w:val="0"/>
          <w:bCs w:val="0"/>
          <w:i w:val="0"/>
          <w:iCs w:val="0"/>
        </w:rPr>
      </w:pPr>
      <w:r>
        <w:rPr>
          <w:rStyle w:val="References"/>
          <w:b w:val="0"/>
          <w:bCs w:val="0"/>
          <w:i w:val="0"/>
          <w:iCs w:val="0"/>
        </w:rPr>
        <w:t>A</w:t>
      </w:r>
      <w:r w:rsidRPr="00F907C5">
        <w:rPr>
          <w:rStyle w:val="References"/>
          <w:b w:val="0"/>
          <w:bCs w:val="0"/>
          <w:i w:val="0"/>
          <w:iCs w:val="0"/>
        </w:rPr>
        <w:t xml:space="preserve">s soon as practicable after </w:t>
      </w:r>
      <w:r>
        <w:rPr>
          <w:rStyle w:val="References"/>
          <w:b w:val="0"/>
          <w:bCs w:val="0"/>
          <w:i w:val="0"/>
          <w:iCs w:val="0"/>
        </w:rPr>
        <w:t xml:space="preserve">completing </w:t>
      </w:r>
      <w:r w:rsidRPr="00F907C5">
        <w:rPr>
          <w:rStyle w:val="References"/>
          <w:b w:val="0"/>
          <w:bCs w:val="0"/>
          <w:i w:val="0"/>
          <w:iCs w:val="0"/>
        </w:rPr>
        <w:t xml:space="preserve">a </w:t>
      </w:r>
      <w:r>
        <w:rPr>
          <w:rStyle w:val="References"/>
          <w:b w:val="0"/>
          <w:bCs w:val="0"/>
          <w:i w:val="0"/>
          <w:iCs w:val="0"/>
        </w:rPr>
        <w:t>r</w:t>
      </w:r>
      <w:r w:rsidRPr="00F907C5">
        <w:rPr>
          <w:rStyle w:val="References"/>
          <w:b w:val="0"/>
          <w:bCs w:val="0"/>
          <w:i w:val="0"/>
          <w:iCs w:val="0"/>
        </w:rPr>
        <w:t xml:space="preserve">ecapitalisation </w:t>
      </w:r>
      <w:r>
        <w:rPr>
          <w:rStyle w:val="References"/>
          <w:b w:val="0"/>
          <w:bCs w:val="0"/>
          <w:i w:val="0"/>
          <w:iCs w:val="0"/>
        </w:rPr>
        <w:t>a</w:t>
      </w:r>
      <w:r w:rsidRPr="00F907C5">
        <w:rPr>
          <w:rStyle w:val="References"/>
          <w:b w:val="0"/>
          <w:bCs w:val="0"/>
          <w:i w:val="0"/>
          <w:iCs w:val="0"/>
        </w:rPr>
        <w:t>ct</w:t>
      </w:r>
      <w:r w:rsidR="00A82947">
        <w:rPr>
          <w:rStyle w:val="References"/>
          <w:b w:val="0"/>
          <w:bCs w:val="0"/>
          <w:i w:val="0"/>
          <w:iCs w:val="0"/>
        </w:rPr>
        <w:t>,</w:t>
      </w:r>
      <w:r w:rsidRPr="00F907C5">
        <w:rPr>
          <w:rStyle w:val="References"/>
          <w:b w:val="0"/>
          <w:bCs w:val="0"/>
          <w:i w:val="0"/>
          <w:iCs w:val="0"/>
        </w:rPr>
        <w:t xml:space="preserve"> </w:t>
      </w:r>
      <w:r>
        <w:rPr>
          <w:rStyle w:val="References"/>
          <w:b w:val="0"/>
          <w:bCs w:val="0"/>
          <w:i w:val="0"/>
          <w:iCs w:val="0"/>
        </w:rPr>
        <w:t>t</w:t>
      </w:r>
      <w:r w:rsidRPr="00F907C5">
        <w:rPr>
          <w:rStyle w:val="References"/>
          <w:b w:val="0"/>
          <w:bCs w:val="0"/>
          <w:i w:val="0"/>
          <w:iCs w:val="0"/>
        </w:rPr>
        <w:t xml:space="preserve">he statutory manager must give written notice to the members </w:t>
      </w:r>
      <w:r w:rsidR="002A5DEC">
        <w:rPr>
          <w:rStyle w:val="References"/>
          <w:b w:val="0"/>
          <w:bCs w:val="0"/>
          <w:i w:val="0"/>
          <w:iCs w:val="0"/>
        </w:rPr>
        <w:t xml:space="preserve">of the body corporate </w:t>
      </w:r>
      <w:r w:rsidRPr="00F907C5">
        <w:rPr>
          <w:rStyle w:val="References"/>
          <w:b w:val="0"/>
          <w:bCs w:val="0"/>
          <w:i w:val="0"/>
          <w:iCs w:val="0"/>
        </w:rPr>
        <w:t>that identifies the act and explains its effect on member interests.</w:t>
      </w:r>
      <w:r w:rsidRPr="00DE6590">
        <w:rPr>
          <w:rStyle w:val="References"/>
        </w:rPr>
        <w:t xml:space="preserve"> </w:t>
      </w:r>
      <w:r w:rsidR="00DE6590">
        <w:rPr>
          <w:rStyle w:val="References"/>
        </w:rPr>
        <w:br/>
      </w:r>
      <w:r w:rsidR="00DE6590" w:rsidRPr="00DE6590">
        <w:rPr>
          <w:rStyle w:val="References"/>
        </w:rPr>
        <w:t xml:space="preserve">[Schedule 1, </w:t>
      </w:r>
      <w:r w:rsidR="00C568C9">
        <w:rPr>
          <w:rStyle w:val="References"/>
        </w:rPr>
        <w:t>item 14</w:t>
      </w:r>
      <w:r w:rsidR="00476663">
        <w:rPr>
          <w:rStyle w:val="References"/>
        </w:rPr>
        <w:t xml:space="preserve">, </w:t>
      </w:r>
      <w:r w:rsidR="00DE6590" w:rsidRPr="00DE6590">
        <w:rPr>
          <w:rStyle w:val="References"/>
        </w:rPr>
        <w:t>subsection 833</w:t>
      </w:r>
      <w:proofErr w:type="gramStart"/>
      <w:r w:rsidR="009B2103">
        <w:rPr>
          <w:rStyle w:val="References"/>
        </w:rPr>
        <w:t>D</w:t>
      </w:r>
      <w:r w:rsidR="00DE6590" w:rsidRPr="00DE6590">
        <w:rPr>
          <w:rStyle w:val="References"/>
        </w:rPr>
        <w:t>(</w:t>
      </w:r>
      <w:proofErr w:type="gramEnd"/>
      <w:r w:rsidR="00DE6590" w:rsidRPr="00DE6590">
        <w:rPr>
          <w:rStyle w:val="References"/>
        </w:rPr>
        <w:t>2</w:t>
      </w:r>
      <w:r w:rsidR="00476663">
        <w:rPr>
          <w:rStyle w:val="References"/>
        </w:rPr>
        <w:t xml:space="preserve">) </w:t>
      </w:r>
      <w:r w:rsidR="00DE6590" w:rsidRPr="00DE6590">
        <w:rPr>
          <w:rStyle w:val="References"/>
        </w:rPr>
        <w:t>of the Act]</w:t>
      </w:r>
    </w:p>
    <w:p w14:paraId="30E52D7A" w14:textId="326F3A22" w:rsidR="00F13BB2" w:rsidRDefault="00F13BB2" w:rsidP="00125C2C">
      <w:pPr>
        <w:pStyle w:val="Normalparatextwithnumbers"/>
        <w:rPr>
          <w:rStyle w:val="References"/>
          <w:b w:val="0"/>
          <w:bCs w:val="0"/>
          <w:i w:val="0"/>
          <w:iCs w:val="0"/>
        </w:rPr>
      </w:pPr>
      <w:r>
        <w:rPr>
          <w:rStyle w:val="References"/>
          <w:b w:val="0"/>
          <w:bCs w:val="0"/>
          <w:i w:val="0"/>
          <w:iCs w:val="0"/>
        </w:rPr>
        <w:t xml:space="preserve">The validity of the power to facilitate recapitalisation is not affected by failing to acquire an expert report or providing notice to members. </w:t>
      </w:r>
      <w:r w:rsidR="00914A8D">
        <w:rPr>
          <w:rStyle w:val="References"/>
          <w:b w:val="0"/>
          <w:bCs w:val="0"/>
          <w:i w:val="0"/>
          <w:iCs w:val="0"/>
        </w:rPr>
        <w:br/>
      </w:r>
      <w:r w:rsidR="00914A8D" w:rsidRPr="00914A8D">
        <w:rPr>
          <w:rStyle w:val="References"/>
        </w:rPr>
        <w:t xml:space="preserve">[Schedule </w:t>
      </w:r>
      <w:r w:rsidR="00E773D4">
        <w:rPr>
          <w:rStyle w:val="References"/>
        </w:rPr>
        <w:t>1</w:t>
      </w:r>
      <w:r w:rsidR="00914A8D" w:rsidRPr="00914A8D">
        <w:rPr>
          <w:rStyle w:val="References"/>
        </w:rPr>
        <w:t xml:space="preserve">, </w:t>
      </w:r>
      <w:r w:rsidR="00C568C9">
        <w:rPr>
          <w:rStyle w:val="References"/>
        </w:rPr>
        <w:t>item 14</w:t>
      </w:r>
      <w:r w:rsidR="00476663">
        <w:rPr>
          <w:rStyle w:val="References"/>
        </w:rPr>
        <w:t xml:space="preserve">, </w:t>
      </w:r>
      <w:r w:rsidR="00914A8D">
        <w:rPr>
          <w:rStyle w:val="References"/>
        </w:rPr>
        <w:t>sub</w:t>
      </w:r>
      <w:r w:rsidR="00914A8D" w:rsidRPr="00914A8D">
        <w:rPr>
          <w:rStyle w:val="References"/>
        </w:rPr>
        <w:t>section</w:t>
      </w:r>
      <w:r w:rsidR="00914A8D">
        <w:rPr>
          <w:rStyle w:val="References"/>
        </w:rPr>
        <w:t>s</w:t>
      </w:r>
      <w:r w:rsidR="00914A8D" w:rsidRPr="00914A8D">
        <w:rPr>
          <w:rStyle w:val="References"/>
        </w:rPr>
        <w:t xml:space="preserve"> </w:t>
      </w:r>
      <w:r w:rsidR="00914A8D">
        <w:rPr>
          <w:rStyle w:val="References"/>
        </w:rPr>
        <w:t>8</w:t>
      </w:r>
      <w:r w:rsidR="00476663">
        <w:rPr>
          <w:rStyle w:val="References"/>
        </w:rPr>
        <w:t>33</w:t>
      </w:r>
      <w:proofErr w:type="gramStart"/>
      <w:r w:rsidR="00BA7FC1">
        <w:rPr>
          <w:rStyle w:val="References"/>
        </w:rPr>
        <w:t>D</w:t>
      </w:r>
      <w:r w:rsidR="00914A8D">
        <w:rPr>
          <w:rStyle w:val="References"/>
        </w:rPr>
        <w:t>(</w:t>
      </w:r>
      <w:proofErr w:type="gramEnd"/>
      <w:r w:rsidR="00914A8D">
        <w:rPr>
          <w:rStyle w:val="References"/>
        </w:rPr>
        <w:t xml:space="preserve">3) and </w:t>
      </w:r>
      <w:r w:rsidR="00476663">
        <w:rPr>
          <w:rStyle w:val="References"/>
        </w:rPr>
        <w:t>849D(6)</w:t>
      </w:r>
      <w:r w:rsidR="00914A8D">
        <w:rPr>
          <w:rStyle w:val="References"/>
        </w:rPr>
        <w:t xml:space="preserve"> </w:t>
      </w:r>
      <w:r w:rsidR="00914A8D" w:rsidRPr="00914A8D">
        <w:rPr>
          <w:rStyle w:val="References"/>
        </w:rPr>
        <w:t>of the Act]</w:t>
      </w:r>
    </w:p>
    <w:p w14:paraId="6F14081C" w14:textId="0B3FB5E4" w:rsidR="00F61166" w:rsidRPr="00F61166" w:rsidRDefault="00F61166" w:rsidP="00125C2C">
      <w:pPr>
        <w:pStyle w:val="Normalparatextwithnumbers"/>
        <w:rPr>
          <w:rStyle w:val="References"/>
          <w:b w:val="0"/>
          <w:bCs w:val="0"/>
          <w:i w:val="0"/>
          <w:iCs w:val="0"/>
        </w:rPr>
      </w:pPr>
      <w:r w:rsidRPr="00F61166">
        <w:rPr>
          <w:rStyle w:val="References"/>
          <w:b w:val="0"/>
          <w:bCs w:val="0"/>
          <w:i w:val="0"/>
          <w:iCs w:val="0"/>
        </w:rPr>
        <w:t>As an example</w:t>
      </w:r>
      <w:r w:rsidR="00F907C5">
        <w:rPr>
          <w:rStyle w:val="References"/>
          <w:b w:val="0"/>
          <w:bCs w:val="0"/>
          <w:i w:val="0"/>
          <w:iCs w:val="0"/>
        </w:rPr>
        <w:t xml:space="preserve"> of a recapitalisation act</w:t>
      </w:r>
      <w:r w:rsidRPr="00F61166">
        <w:rPr>
          <w:rStyle w:val="References"/>
          <w:b w:val="0"/>
          <w:bCs w:val="0"/>
          <w:i w:val="0"/>
          <w:iCs w:val="0"/>
        </w:rPr>
        <w:t>, a statutory manager may facilitate a capital injection into a CS facility by issuing new shares and selling them to a new investor. Under this example the new investor would gain a stake in the company and pre-existing shareholders would have their stake in the company diluted but would retain their shares in the company.</w:t>
      </w:r>
      <w:r>
        <w:rPr>
          <w:rStyle w:val="References"/>
          <w:b w:val="0"/>
          <w:bCs w:val="0"/>
          <w:i w:val="0"/>
          <w:iCs w:val="0"/>
        </w:rPr>
        <w:t xml:space="preserve"> </w:t>
      </w:r>
    </w:p>
    <w:p w14:paraId="73A3AD36" w14:textId="5874481C" w:rsidR="00C9222B" w:rsidRDefault="003E61A4" w:rsidP="00125C2C">
      <w:pPr>
        <w:pStyle w:val="Normalparatextwithnumbers"/>
        <w:rPr>
          <w:rStyle w:val="References"/>
          <w:b w:val="0"/>
          <w:bCs w:val="0"/>
          <w:i w:val="0"/>
          <w:iCs w:val="0"/>
        </w:rPr>
      </w:pPr>
      <w:r w:rsidRPr="003E61A4">
        <w:rPr>
          <w:rStyle w:val="References"/>
          <w:b w:val="0"/>
          <w:bCs w:val="0"/>
          <w:i w:val="0"/>
          <w:iCs w:val="0"/>
        </w:rPr>
        <w:t xml:space="preserve">A statutory manager may do one or more </w:t>
      </w:r>
      <w:r>
        <w:rPr>
          <w:rStyle w:val="References"/>
          <w:b w:val="0"/>
          <w:bCs w:val="0"/>
          <w:i w:val="0"/>
          <w:iCs w:val="0"/>
        </w:rPr>
        <w:t>r</w:t>
      </w:r>
      <w:r w:rsidRPr="003E61A4">
        <w:rPr>
          <w:rStyle w:val="References"/>
          <w:b w:val="0"/>
          <w:bCs w:val="0"/>
          <w:i w:val="0"/>
          <w:iCs w:val="0"/>
        </w:rPr>
        <w:t xml:space="preserve">ecapitalisation </w:t>
      </w:r>
      <w:r>
        <w:rPr>
          <w:rStyle w:val="References"/>
          <w:b w:val="0"/>
          <w:bCs w:val="0"/>
          <w:i w:val="0"/>
          <w:iCs w:val="0"/>
        </w:rPr>
        <w:t>a</w:t>
      </w:r>
      <w:r w:rsidRPr="003E61A4">
        <w:rPr>
          <w:rStyle w:val="References"/>
          <w:b w:val="0"/>
          <w:bCs w:val="0"/>
          <w:i w:val="0"/>
          <w:iCs w:val="0"/>
        </w:rPr>
        <w:t xml:space="preserve">cts on terms they determine, despite the Act, the constitution, any contract or arrangement to which the </w:t>
      </w:r>
      <w:r w:rsidR="00914A8D">
        <w:rPr>
          <w:rStyle w:val="References"/>
          <w:b w:val="0"/>
          <w:bCs w:val="0"/>
          <w:i w:val="0"/>
          <w:iCs w:val="0"/>
        </w:rPr>
        <w:t>body corporate</w:t>
      </w:r>
      <w:r w:rsidRPr="003E61A4">
        <w:rPr>
          <w:rStyle w:val="References"/>
          <w:b w:val="0"/>
          <w:bCs w:val="0"/>
          <w:i w:val="0"/>
          <w:iCs w:val="0"/>
        </w:rPr>
        <w:t xml:space="preserve"> is a party and any relevant listing </w:t>
      </w:r>
      <w:r w:rsidR="00345ED5">
        <w:rPr>
          <w:rStyle w:val="References"/>
          <w:b w:val="0"/>
          <w:bCs w:val="0"/>
          <w:i w:val="0"/>
          <w:iCs w:val="0"/>
        </w:rPr>
        <w:t>or operating</w:t>
      </w:r>
      <w:r w:rsidRPr="003E61A4">
        <w:rPr>
          <w:rStyle w:val="References"/>
          <w:b w:val="0"/>
          <w:bCs w:val="0"/>
          <w:i w:val="0"/>
          <w:iCs w:val="0"/>
        </w:rPr>
        <w:t xml:space="preserve"> rules </w:t>
      </w:r>
      <w:r w:rsidR="00D86D93">
        <w:rPr>
          <w:rStyle w:val="References"/>
          <w:b w:val="0"/>
          <w:bCs w:val="0"/>
          <w:i w:val="0"/>
          <w:iCs w:val="0"/>
        </w:rPr>
        <w:t>that apply to th</w:t>
      </w:r>
      <w:r w:rsidR="00914A8D">
        <w:rPr>
          <w:rStyle w:val="References"/>
          <w:b w:val="0"/>
          <w:bCs w:val="0"/>
          <w:i w:val="0"/>
          <w:iCs w:val="0"/>
        </w:rPr>
        <w:t>e body corporate</w:t>
      </w:r>
      <w:r w:rsidRPr="003E61A4">
        <w:rPr>
          <w:rStyle w:val="References"/>
          <w:b w:val="0"/>
          <w:bCs w:val="0"/>
          <w:i w:val="0"/>
          <w:iCs w:val="0"/>
        </w:rPr>
        <w:t>.</w:t>
      </w:r>
      <w:r w:rsidR="00914A8D">
        <w:rPr>
          <w:rStyle w:val="References"/>
          <w:b w:val="0"/>
          <w:bCs w:val="0"/>
          <w:i w:val="0"/>
          <w:iCs w:val="0"/>
        </w:rPr>
        <w:t xml:space="preserve"> </w:t>
      </w:r>
      <w:r w:rsidR="00DC72E1">
        <w:rPr>
          <w:rStyle w:val="References"/>
          <w:b w:val="0"/>
          <w:bCs w:val="0"/>
          <w:i w:val="0"/>
          <w:iCs w:val="0"/>
        </w:rPr>
        <w:t>A statutory manager may only</w:t>
      </w:r>
      <w:r w:rsidR="00737667">
        <w:rPr>
          <w:rStyle w:val="References"/>
          <w:b w:val="0"/>
          <w:bCs w:val="0"/>
          <w:i w:val="0"/>
          <w:iCs w:val="0"/>
        </w:rPr>
        <w:t xml:space="preserve"> facilitate recapitalisation </w:t>
      </w:r>
      <w:r w:rsidR="005C5C1B">
        <w:rPr>
          <w:rStyle w:val="References"/>
          <w:b w:val="0"/>
          <w:bCs w:val="0"/>
          <w:i w:val="0"/>
          <w:iCs w:val="0"/>
        </w:rPr>
        <w:t xml:space="preserve">in accordance with </w:t>
      </w:r>
      <w:r w:rsidR="00DC72E1">
        <w:rPr>
          <w:rStyle w:val="References"/>
          <w:b w:val="0"/>
          <w:bCs w:val="0"/>
          <w:i w:val="0"/>
          <w:iCs w:val="0"/>
        </w:rPr>
        <w:t xml:space="preserve">the transfer provisions under </w:t>
      </w:r>
      <w:r w:rsidR="005C5C1B">
        <w:rPr>
          <w:rStyle w:val="References"/>
          <w:b w:val="0"/>
          <w:bCs w:val="0"/>
          <w:i w:val="0"/>
          <w:iCs w:val="0"/>
        </w:rPr>
        <w:t>Division 4 of</w:t>
      </w:r>
      <w:r w:rsidR="00476663">
        <w:rPr>
          <w:rStyle w:val="References"/>
          <w:b w:val="0"/>
          <w:bCs w:val="0"/>
          <w:i w:val="0"/>
          <w:iCs w:val="0"/>
        </w:rPr>
        <w:t xml:space="preserve"> Part 7.3B</w:t>
      </w:r>
      <w:r w:rsidR="005C5C1B">
        <w:rPr>
          <w:rStyle w:val="References"/>
          <w:b w:val="0"/>
          <w:bCs w:val="0"/>
          <w:i w:val="0"/>
          <w:iCs w:val="0"/>
        </w:rPr>
        <w:t xml:space="preserve"> the Act</w:t>
      </w:r>
      <w:r w:rsidRPr="003E61A4">
        <w:rPr>
          <w:rStyle w:val="References"/>
          <w:b w:val="0"/>
          <w:bCs w:val="0"/>
          <w:i w:val="0"/>
          <w:iCs w:val="0"/>
        </w:rPr>
        <w:t>.</w:t>
      </w:r>
      <w:r w:rsidR="00FA19D0">
        <w:rPr>
          <w:rStyle w:val="References"/>
          <w:b w:val="0"/>
          <w:bCs w:val="0"/>
          <w:i w:val="0"/>
          <w:iCs w:val="0"/>
        </w:rPr>
        <w:t xml:space="preserve"> </w:t>
      </w:r>
      <w:r>
        <w:rPr>
          <w:rStyle w:val="References"/>
          <w:b w:val="0"/>
          <w:bCs w:val="0"/>
          <w:i w:val="0"/>
          <w:iCs w:val="0"/>
        </w:rPr>
        <w:br/>
      </w:r>
      <w:r w:rsidRPr="003E61A4">
        <w:rPr>
          <w:rStyle w:val="References"/>
        </w:rPr>
        <w:t>[</w:t>
      </w:r>
      <w:r w:rsidR="00A93424">
        <w:rPr>
          <w:rStyle w:val="References"/>
        </w:rPr>
        <w:t xml:space="preserve">Schedule </w:t>
      </w:r>
      <w:r w:rsidR="009A3F5E">
        <w:rPr>
          <w:rStyle w:val="References"/>
        </w:rPr>
        <w:t>1</w:t>
      </w:r>
      <w:r w:rsidRPr="003E61A4">
        <w:rPr>
          <w:rStyle w:val="References"/>
        </w:rPr>
        <w:t xml:space="preserve">, item </w:t>
      </w:r>
      <w:r w:rsidR="00476663">
        <w:rPr>
          <w:rStyle w:val="References"/>
        </w:rPr>
        <w:t>14</w:t>
      </w:r>
      <w:r w:rsidRPr="003E61A4">
        <w:rPr>
          <w:rStyle w:val="References"/>
        </w:rPr>
        <w:t>, s</w:t>
      </w:r>
      <w:r w:rsidR="009A7553">
        <w:rPr>
          <w:rStyle w:val="References"/>
        </w:rPr>
        <w:t>ubs</w:t>
      </w:r>
      <w:r w:rsidRPr="003E61A4">
        <w:rPr>
          <w:rStyle w:val="References"/>
        </w:rPr>
        <w:t>ection</w:t>
      </w:r>
      <w:r w:rsidR="00914A8D">
        <w:rPr>
          <w:rStyle w:val="References"/>
        </w:rPr>
        <w:t>s</w:t>
      </w:r>
      <w:r w:rsidRPr="003E61A4">
        <w:rPr>
          <w:rStyle w:val="References"/>
        </w:rPr>
        <w:t xml:space="preserve"> </w:t>
      </w:r>
      <w:r w:rsidR="009A7553">
        <w:rPr>
          <w:rStyle w:val="References"/>
        </w:rPr>
        <w:t>833</w:t>
      </w:r>
      <w:proofErr w:type="gramStart"/>
      <w:r w:rsidR="007466C1">
        <w:rPr>
          <w:rStyle w:val="References"/>
        </w:rPr>
        <w:t>D</w:t>
      </w:r>
      <w:r w:rsidR="009A7553">
        <w:rPr>
          <w:rStyle w:val="References"/>
        </w:rPr>
        <w:t>(</w:t>
      </w:r>
      <w:proofErr w:type="gramEnd"/>
      <w:r w:rsidR="009A7553">
        <w:rPr>
          <w:rStyle w:val="References"/>
        </w:rPr>
        <w:t>4)</w:t>
      </w:r>
      <w:r w:rsidR="00567977">
        <w:rPr>
          <w:rStyle w:val="References"/>
        </w:rPr>
        <w:t xml:space="preserve"> and </w:t>
      </w:r>
      <w:r w:rsidR="00914A8D">
        <w:rPr>
          <w:rStyle w:val="References"/>
        </w:rPr>
        <w:t>(5</w:t>
      </w:r>
      <w:r w:rsidR="009A7553">
        <w:rPr>
          <w:rStyle w:val="References"/>
        </w:rPr>
        <w:t>)</w:t>
      </w:r>
      <w:r w:rsidRPr="003E61A4">
        <w:rPr>
          <w:rStyle w:val="References"/>
        </w:rPr>
        <w:t xml:space="preserve"> of the </w:t>
      </w:r>
      <w:r w:rsidR="000E7C19">
        <w:rPr>
          <w:rStyle w:val="References"/>
        </w:rPr>
        <w:t>Act</w:t>
      </w:r>
      <w:r w:rsidRPr="003E61A4">
        <w:rPr>
          <w:rStyle w:val="References"/>
        </w:rPr>
        <w:t>]</w:t>
      </w:r>
      <w:r w:rsidR="00B433CC" w:rsidRPr="00B433CC">
        <w:rPr>
          <w:rStyle w:val="References"/>
          <w:b w:val="0"/>
          <w:bCs w:val="0"/>
          <w:i w:val="0"/>
          <w:iCs w:val="0"/>
        </w:rPr>
        <w:t xml:space="preserve">  </w:t>
      </w:r>
    </w:p>
    <w:p w14:paraId="4065C998" w14:textId="75B77288" w:rsidR="0012180B" w:rsidRDefault="0012180B" w:rsidP="00125C2C">
      <w:pPr>
        <w:pStyle w:val="Normalparatextwithnumbers"/>
        <w:rPr>
          <w:rStyle w:val="References"/>
          <w:b w:val="0"/>
          <w:bCs w:val="0"/>
          <w:i w:val="0"/>
          <w:iCs w:val="0"/>
        </w:rPr>
      </w:pPr>
      <w:r>
        <w:rPr>
          <w:rStyle w:val="References"/>
          <w:b w:val="0"/>
          <w:bCs w:val="0"/>
          <w:i w:val="0"/>
          <w:iCs w:val="0"/>
        </w:rPr>
        <w:t>A</w:t>
      </w:r>
      <w:r w:rsidRPr="0012180B">
        <w:rPr>
          <w:rStyle w:val="References"/>
          <w:b w:val="0"/>
          <w:bCs w:val="0"/>
          <w:i w:val="0"/>
          <w:iCs w:val="0"/>
        </w:rPr>
        <w:t>ny action that would result in an acquisition of property from a person otherwise than on just terms would remain valid, with the Commonwealth liable to pay compensation of a reasonable amount as agreed with the person. Many potential recapitalisation actions</w:t>
      </w:r>
      <w:r>
        <w:rPr>
          <w:rStyle w:val="References"/>
          <w:b w:val="0"/>
          <w:bCs w:val="0"/>
          <w:i w:val="0"/>
          <w:iCs w:val="0"/>
        </w:rPr>
        <w:t>,</w:t>
      </w:r>
      <w:r w:rsidRPr="0012180B">
        <w:rPr>
          <w:rStyle w:val="References"/>
          <w:b w:val="0"/>
          <w:bCs w:val="0"/>
          <w:i w:val="0"/>
          <w:iCs w:val="0"/>
        </w:rPr>
        <w:t xml:space="preserve"> however, are unlikely to result in an ‘acquisition of property’.</w:t>
      </w:r>
      <w:r>
        <w:rPr>
          <w:rStyle w:val="References"/>
          <w:b w:val="0"/>
          <w:bCs w:val="0"/>
          <w:i w:val="0"/>
          <w:iCs w:val="0"/>
        </w:rPr>
        <w:t xml:space="preserve"> </w:t>
      </w:r>
      <w:r w:rsidRPr="0012180B">
        <w:rPr>
          <w:rStyle w:val="References"/>
          <w:b w:val="0"/>
          <w:bCs w:val="0"/>
          <w:i w:val="0"/>
          <w:iCs w:val="0"/>
        </w:rPr>
        <w:t>An example would be where existing shareholders’ stakes in the company are diluted by the statutory manager issuing and selling new shares in the company</w:t>
      </w:r>
      <w:r w:rsidR="00AC3F85">
        <w:rPr>
          <w:rStyle w:val="References"/>
          <w:b w:val="0"/>
          <w:bCs w:val="0"/>
          <w:i w:val="0"/>
          <w:iCs w:val="0"/>
        </w:rPr>
        <w:t xml:space="preserve"> to a non-Commonwealth entity</w:t>
      </w:r>
      <w:r w:rsidRPr="0012180B">
        <w:rPr>
          <w:rStyle w:val="References"/>
          <w:b w:val="0"/>
          <w:bCs w:val="0"/>
          <w:i w:val="0"/>
          <w:iCs w:val="0"/>
        </w:rPr>
        <w:t>.</w:t>
      </w:r>
      <w:r w:rsidR="001E139D">
        <w:rPr>
          <w:rStyle w:val="References"/>
          <w:b w:val="0"/>
          <w:bCs w:val="0"/>
          <w:i w:val="0"/>
          <w:iCs w:val="0"/>
        </w:rPr>
        <w:br/>
      </w:r>
      <w:r w:rsidR="001E139D" w:rsidRPr="001E139D">
        <w:rPr>
          <w:rStyle w:val="References"/>
        </w:rPr>
        <w:t xml:space="preserve">[Schedule </w:t>
      </w:r>
      <w:r w:rsidR="002223F7">
        <w:rPr>
          <w:rStyle w:val="References"/>
        </w:rPr>
        <w:t>1</w:t>
      </w:r>
      <w:r w:rsidR="001E139D" w:rsidRPr="001E139D">
        <w:rPr>
          <w:rStyle w:val="References"/>
        </w:rPr>
        <w:t xml:space="preserve">, </w:t>
      </w:r>
      <w:r w:rsidR="00C568C9">
        <w:rPr>
          <w:rStyle w:val="References"/>
        </w:rPr>
        <w:t>item 14</w:t>
      </w:r>
      <w:r w:rsidR="0097687B">
        <w:rPr>
          <w:rStyle w:val="References"/>
        </w:rPr>
        <w:t xml:space="preserve">, </w:t>
      </w:r>
      <w:r w:rsidR="001E139D" w:rsidRPr="001E139D">
        <w:rPr>
          <w:rStyle w:val="References"/>
        </w:rPr>
        <w:t xml:space="preserve">section </w:t>
      </w:r>
      <w:r w:rsidR="0097687B">
        <w:rPr>
          <w:rStyle w:val="References"/>
        </w:rPr>
        <w:t>849G</w:t>
      </w:r>
      <w:r w:rsidR="009B6408" w:rsidRPr="001E139D">
        <w:rPr>
          <w:rStyle w:val="References"/>
        </w:rPr>
        <w:t xml:space="preserve"> </w:t>
      </w:r>
      <w:r w:rsidR="001E139D" w:rsidRPr="001E139D">
        <w:rPr>
          <w:rStyle w:val="References"/>
        </w:rPr>
        <w:t>of the Act]</w:t>
      </w:r>
    </w:p>
    <w:p w14:paraId="75AED6BF" w14:textId="6A432117" w:rsidR="00B12B70" w:rsidRDefault="0097687B" w:rsidP="009E0C90">
      <w:pPr>
        <w:pStyle w:val="Heading5"/>
      </w:pPr>
      <w:r>
        <w:lastRenderedPageBreak/>
        <w:t>E</w:t>
      </w:r>
      <w:r w:rsidR="00B12B70" w:rsidRPr="00B12B70">
        <w:t xml:space="preserve">ffects of statutory management on the body corporate </w:t>
      </w:r>
    </w:p>
    <w:p w14:paraId="76A6FB6A" w14:textId="55F984B0" w:rsidR="00984A4A" w:rsidRDefault="00984A4A" w:rsidP="00125C2C">
      <w:pPr>
        <w:pStyle w:val="Normalparatextwithnumbers"/>
      </w:pPr>
      <w:r w:rsidRPr="00984A4A">
        <w:t xml:space="preserve">At the time a statutory manager is appointed to a body corporate, officers of that body corporate </w:t>
      </w:r>
      <w:r w:rsidR="00F44D5E">
        <w:t xml:space="preserve">are not </w:t>
      </w:r>
      <w:r w:rsidR="00BD1D7D">
        <w:t xml:space="preserve">automatically </w:t>
      </w:r>
      <w:r w:rsidR="00F44D5E">
        <w:t>removed from office.</w:t>
      </w:r>
      <w:r w:rsidR="00BD1D7D">
        <w:t xml:space="preserve"> </w:t>
      </w:r>
      <w:r w:rsidR="003B2C52">
        <w:t xml:space="preserve">However, </w:t>
      </w:r>
      <w:r w:rsidR="00F44D5E">
        <w:t xml:space="preserve">those officers </w:t>
      </w:r>
      <w:r w:rsidR="00004595">
        <w:t>a</w:t>
      </w:r>
      <w:r w:rsidR="008D1F9D">
        <w:t>re</w:t>
      </w:r>
      <w:r w:rsidR="00004595">
        <w:t xml:space="preserve"> prohibited from</w:t>
      </w:r>
      <w:r w:rsidRPr="00984A4A">
        <w:t xml:space="preserve"> perform</w:t>
      </w:r>
      <w:r w:rsidR="00004595">
        <w:t xml:space="preserve">ing </w:t>
      </w:r>
      <w:r w:rsidRPr="00984A4A">
        <w:t>or exercis</w:t>
      </w:r>
      <w:r w:rsidR="00004595">
        <w:t xml:space="preserve">ing </w:t>
      </w:r>
      <w:r w:rsidRPr="00984A4A">
        <w:t>their functions and powers and must not purport to perform or exercise a function or power as an officer of the body corporate.</w:t>
      </w:r>
      <w:r w:rsidR="003E2667">
        <w:t xml:space="preserve"> </w:t>
      </w:r>
      <w:r>
        <w:br/>
      </w:r>
      <w:r w:rsidR="00BD1D7D" w:rsidRPr="00984A4A">
        <w:rPr>
          <w:rStyle w:val="References"/>
        </w:rPr>
        <w:t xml:space="preserve">[Schedule </w:t>
      </w:r>
      <w:r w:rsidR="00BD1D7D">
        <w:rPr>
          <w:rStyle w:val="References"/>
        </w:rPr>
        <w:t>1</w:t>
      </w:r>
      <w:r w:rsidR="00BD1D7D" w:rsidRPr="00984A4A">
        <w:rPr>
          <w:rStyle w:val="References"/>
        </w:rPr>
        <w:t xml:space="preserve">, </w:t>
      </w:r>
      <w:r w:rsidR="00BD1D7D">
        <w:rPr>
          <w:rStyle w:val="References"/>
        </w:rPr>
        <w:t>item 14</w:t>
      </w:r>
      <w:r w:rsidR="00BD1D7D" w:rsidRPr="00984A4A">
        <w:rPr>
          <w:rStyle w:val="References"/>
        </w:rPr>
        <w:t>, subsection</w:t>
      </w:r>
      <w:r w:rsidR="00BD1D7D">
        <w:rPr>
          <w:rStyle w:val="References"/>
        </w:rPr>
        <w:t>s 834</w:t>
      </w:r>
      <w:proofErr w:type="gramStart"/>
      <w:r w:rsidR="00BD1D7D">
        <w:rPr>
          <w:rStyle w:val="References"/>
        </w:rPr>
        <w:t>A(</w:t>
      </w:r>
      <w:proofErr w:type="gramEnd"/>
      <w:r w:rsidR="004E2288">
        <w:rPr>
          <w:rStyle w:val="References"/>
        </w:rPr>
        <w:t>1)</w:t>
      </w:r>
      <w:r w:rsidR="002223F7">
        <w:rPr>
          <w:rStyle w:val="References"/>
        </w:rPr>
        <w:t>,</w:t>
      </w:r>
      <w:r w:rsidR="00BD1D7D">
        <w:rPr>
          <w:rStyle w:val="References"/>
        </w:rPr>
        <w:t xml:space="preserve"> (7)</w:t>
      </w:r>
      <w:r w:rsidR="002223F7">
        <w:rPr>
          <w:rStyle w:val="References"/>
        </w:rPr>
        <w:t xml:space="preserve"> and </w:t>
      </w:r>
      <w:r w:rsidR="004E2288">
        <w:rPr>
          <w:rStyle w:val="References"/>
        </w:rPr>
        <w:t>(8)</w:t>
      </w:r>
      <w:r w:rsidR="00BD1D7D">
        <w:rPr>
          <w:rStyle w:val="References"/>
        </w:rPr>
        <w:t xml:space="preserve"> of the Act]</w:t>
      </w:r>
    </w:p>
    <w:p w14:paraId="4D81094A" w14:textId="60644946" w:rsidR="00B12B70" w:rsidRPr="004840E1" w:rsidRDefault="00984A4A" w:rsidP="00125C2C">
      <w:pPr>
        <w:pStyle w:val="Normalparatextwithnumbers"/>
        <w:rPr>
          <w:rStyle w:val="References"/>
          <w:b w:val="0"/>
          <w:bCs w:val="0"/>
          <w:i w:val="0"/>
          <w:iCs w:val="0"/>
        </w:rPr>
      </w:pPr>
      <w:r w:rsidRPr="00984A4A">
        <w:t xml:space="preserve">A function or power may only be exercised by an officer </w:t>
      </w:r>
      <w:r w:rsidR="00004595">
        <w:t xml:space="preserve">of the body corporate </w:t>
      </w:r>
      <w:r w:rsidRPr="00984A4A">
        <w:t xml:space="preserve">if the RBA or statutory manager has provided written approval or </w:t>
      </w:r>
      <w:r w:rsidR="00D56FDD">
        <w:t xml:space="preserve">to the extent </w:t>
      </w:r>
      <w:r w:rsidRPr="00984A4A">
        <w:t>the officer is expressly permitted under the Act</w:t>
      </w:r>
      <w:r w:rsidR="00B12B70">
        <w:t xml:space="preserve">. </w:t>
      </w:r>
      <w:r w:rsidR="00BD1D7D">
        <w:t xml:space="preserve">If the statutory manager provides approval, the statutory manager must immediately notify the </w:t>
      </w:r>
      <w:r w:rsidR="00F81755">
        <w:t>RBA</w:t>
      </w:r>
      <w:r w:rsidR="00BD1D7D">
        <w:t>,</w:t>
      </w:r>
      <w:r w:rsidR="004736CE">
        <w:t xml:space="preserve"> </w:t>
      </w:r>
      <w:r w:rsidR="006927FA">
        <w:t xml:space="preserve">and </w:t>
      </w:r>
      <w:r w:rsidR="004736CE">
        <w:t xml:space="preserve">where the RBA has discretion to vary or revoke the approval. </w:t>
      </w:r>
      <w:r w:rsidR="00F81755">
        <w:t>Any unapproved exercise of power is void</w:t>
      </w:r>
      <w:r w:rsidR="00245F88">
        <w:t xml:space="preserve">. </w:t>
      </w:r>
      <w:r w:rsidR="00FD6D4C">
        <w:br/>
      </w:r>
      <w:r w:rsidR="00FD6D4C" w:rsidRPr="00FD6D4C">
        <w:rPr>
          <w:rStyle w:val="References"/>
        </w:rPr>
        <w:t xml:space="preserve">[Schedule </w:t>
      </w:r>
      <w:r w:rsidR="00E773D4">
        <w:rPr>
          <w:rStyle w:val="References"/>
        </w:rPr>
        <w:t>1</w:t>
      </w:r>
      <w:r w:rsidR="00FD6D4C" w:rsidRPr="00FD6D4C">
        <w:rPr>
          <w:rStyle w:val="References"/>
        </w:rPr>
        <w:t xml:space="preserve">, item </w:t>
      </w:r>
      <w:r w:rsidR="00F014D9">
        <w:rPr>
          <w:rStyle w:val="References"/>
        </w:rPr>
        <w:t>1</w:t>
      </w:r>
      <w:r w:rsidR="00BD1D7D">
        <w:rPr>
          <w:rStyle w:val="References"/>
        </w:rPr>
        <w:t>4</w:t>
      </w:r>
      <w:r w:rsidR="00F014D9" w:rsidRPr="00FD6D4C">
        <w:rPr>
          <w:rStyle w:val="References"/>
        </w:rPr>
        <w:t xml:space="preserve">, </w:t>
      </w:r>
      <w:r w:rsidR="002D6968">
        <w:rPr>
          <w:rStyle w:val="References"/>
        </w:rPr>
        <w:t>sub</w:t>
      </w:r>
      <w:r w:rsidR="00FD6D4C" w:rsidRPr="00FD6D4C">
        <w:rPr>
          <w:rStyle w:val="References"/>
        </w:rPr>
        <w:t>section</w:t>
      </w:r>
      <w:r w:rsidR="00BD1D7D">
        <w:rPr>
          <w:rStyle w:val="References"/>
        </w:rPr>
        <w:t>s</w:t>
      </w:r>
      <w:r w:rsidR="00FD6D4C" w:rsidRPr="00FD6D4C">
        <w:rPr>
          <w:rStyle w:val="References"/>
        </w:rPr>
        <w:t xml:space="preserve"> </w:t>
      </w:r>
      <w:r w:rsidR="004944A8" w:rsidRPr="00FD6D4C">
        <w:rPr>
          <w:rStyle w:val="References"/>
        </w:rPr>
        <w:t>8</w:t>
      </w:r>
      <w:r w:rsidR="004944A8">
        <w:rPr>
          <w:rStyle w:val="References"/>
        </w:rPr>
        <w:t>3</w:t>
      </w:r>
      <w:r w:rsidR="00BD1D7D">
        <w:rPr>
          <w:rStyle w:val="References"/>
        </w:rPr>
        <w:t>4</w:t>
      </w:r>
      <w:proofErr w:type="gramStart"/>
      <w:r w:rsidR="004944A8">
        <w:rPr>
          <w:rStyle w:val="References"/>
        </w:rPr>
        <w:t>A</w:t>
      </w:r>
      <w:r w:rsidR="00037929">
        <w:rPr>
          <w:rStyle w:val="References"/>
        </w:rPr>
        <w:t>(</w:t>
      </w:r>
      <w:proofErr w:type="gramEnd"/>
      <w:r w:rsidR="00554FEA">
        <w:rPr>
          <w:rStyle w:val="References"/>
        </w:rPr>
        <w:t>3</w:t>
      </w:r>
      <w:r w:rsidR="00037929">
        <w:rPr>
          <w:rStyle w:val="References"/>
        </w:rPr>
        <w:t>)</w:t>
      </w:r>
      <w:r w:rsidR="00FB16A2">
        <w:rPr>
          <w:rStyle w:val="References"/>
        </w:rPr>
        <w:t xml:space="preserve">, (4) and </w:t>
      </w:r>
      <w:r w:rsidR="00BD1D7D">
        <w:rPr>
          <w:rStyle w:val="References"/>
        </w:rPr>
        <w:t>(5)</w:t>
      </w:r>
      <w:r>
        <w:rPr>
          <w:rStyle w:val="References"/>
        </w:rPr>
        <w:t xml:space="preserve"> </w:t>
      </w:r>
      <w:r w:rsidR="00FD6D4C" w:rsidRPr="00FD6D4C">
        <w:rPr>
          <w:rStyle w:val="References"/>
        </w:rPr>
        <w:t>of the Act]</w:t>
      </w:r>
    </w:p>
    <w:p w14:paraId="0873EDB4" w14:textId="77777777" w:rsidR="00BB68A4" w:rsidRDefault="004840E1">
      <w:pPr>
        <w:pStyle w:val="Normalparatextwithnumbers"/>
      </w:pPr>
      <w:r>
        <w:t>Whilst under statutory management an officer</w:t>
      </w:r>
      <w:r w:rsidR="00DE59D9">
        <w:t xml:space="preserve"> is permitted to carry out any general obligations that do not conflict with the statutory manager’s functions and that </w:t>
      </w:r>
      <w:r w:rsidR="00A54353">
        <w:t xml:space="preserve">are </w:t>
      </w:r>
      <w:r w:rsidR="00DE59D9">
        <w:t>not expressly disallowed by other provisions within Part</w:t>
      </w:r>
      <w:r w:rsidR="00C40FA4">
        <w:t xml:space="preserve"> 7.3B</w:t>
      </w:r>
      <w:r w:rsidR="00DE59D9">
        <w:t xml:space="preserve">. </w:t>
      </w:r>
      <w:r w:rsidR="00554FEA">
        <w:t xml:space="preserve">For example, an officer may have code of conduct obligations under Part 7.12 of the Act. The officer is permitted to do these types of acts under the Act as these things do not conflict with the statutory manager’s functions to resolve a body corporate. </w:t>
      </w:r>
    </w:p>
    <w:p w14:paraId="6B115529" w14:textId="58965517" w:rsidR="00BB68A4" w:rsidRDefault="00C40FA4">
      <w:pPr>
        <w:pStyle w:val="Normalparatextwithnumbers"/>
      </w:pPr>
      <w:r>
        <w:t>Where an officer</w:t>
      </w:r>
      <w:r w:rsidR="00900EBB">
        <w:t>’s</w:t>
      </w:r>
      <w:r>
        <w:t xml:space="preserve"> actions conflict with a function or power of the statutory manager, the statutory manager’s act prevails.</w:t>
      </w:r>
      <w:r w:rsidR="00BB68A4">
        <w:t xml:space="preserve"> Further, where an officer performs a function or power whilst under statutory management and without either having explicit consent or being permitted under the Act, that person commits an offence of </w:t>
      </w:r>
      <w:r w:rsidR="004E2288">
        <w:t xml:space="preserve">up to </w:t>
      </w:r>
      <w:r w:rsidR="00BB68A4">
        <w:t xml:space="preserve">30 penalty units. </w:t>
      </w:r>
      <w:r w:rsidR="00BB68A4">
        <w:br/>
      </w:r>
      <w:r w:rsidR="00BB68A4" w:rsidRPr="009649EB">
        <w:rPr>
          <w:rStyle w:val="References"/>
        </w:rPr>
        <w:t xml:space="preserve">[Schedule 1, </w:t>
      </w:r>
      <w:r w:rsidR="00C568C9">
        <w:rPr>
          <w:rStyle w:val="References"/>
        </w:rPr>
        <w:t>item 14</w:t>
      </w:r>
      <w:r w:rsidR="00BB68A4" w:rsidRPr="009649EB">
        <w:rPr>
          <w:rStyle w:val="References"/>
        </w:rPr>
        <w:t>, subsection</w:t>
      </w:r>
      <w:r w:rsidR="00216C30">
        <w:rPr>
          <w:rStyle w:val="References"/>
        </w:rPr>
        <w:t>s</w:t>
      </w:r>
      <w:r w:rsidR="00BB68A4" w:rsidRPr="009649EB">
        <w:rPr>
          <w:rStyle w:val="References"/>
        </w:rPr>
        <w:t xml:space="preserve"> 83</w:t>
      </w:r>
      <w:r w:rsidR="004E2288">
        <w:rPr>
          <w:rStyle w:val="References"/>
        </w:rPr>
        <w:t>4</w:t>
      </w:r>
      <w:proofErr w:type="gramStart"/>
      <w:r w:rsidR="00BB68A4">
        <w:rPr>
          <w:rStyle w:val="References"/>
        </w:rPr>
        <w:t>A</w:t>
      </w:r>
      <w:r w:rsidR="004E2288">
        <w:rPr>
          <w:rStyle w:val="References"/>
        </w:rPr>
        <w:t>(</w:t>
      </w:r>
      <w:proofErr w:type="gramEnd"/>
      <w:r w:rsidR="004E2288">
        <w:rPr>
          <w:rStyle w:val="References"/>
        </w:rPr>
        <w:t xml:space="preserve">2) and </w:t>
      </w:r>
      <w:r w:rsidR="00BB68A4">
        <w:rPr>
          <w:rStyle w:val="References"/>
        </w:rPr>
        <w:t>(6)</w:t>
      </w:r>
      <w:r w:rsidR="00BB68A4" w:rsidRPr="009649EB">
        <w:rPr>
          <w:rStyle w:val="References"/>
        </w:rPr>
        <w:t xml:space="preserve"> of the Act]</w:t>
      </w:r>
    </w:p>
    <w:p w14:paraId="304CC650" w14:textId="455192E8" w:rsidR="00BB68A4" w:rsidRDefault="004E2288" w:rsidP="00BB68A4">
      <w:pPr>
        <w:pStyle w:val="Normalparatextwithnumbers"/>
      </w:pPr>
      <w:r>
        <w:t>O</w:t>
      </w:r>
      <w:r w:rsidR="00CF60B1">
        <w:t xml:space="preserve">nly the statutory manager may </w:t>
      </w:r>
      <w:proofErr w:type="gramStart"/>
      <w:r w:rsidR="00CF60B1">
        <w:t>enter into</w:t>
      </w:r>
      <w:proofErr w:type="gramEnd"/>
      <w:r w:rsidR="00CF60B1">
        <w:t xml:space="preserve"> transactions or dealings affecting the property of the body corporate. Transactions or dealings entered into by</w:t>
      </w:r>
      <w:r w:rsidR="00BB68A4">
        <w:t xml:space="preserve"> an officer or employee of the body corporate </w:t>
      </w:r>
      <w:r w:rsidR="00F01510">
        <w:t xml:space="preserve">are </w:t>
      </w:r>
      <w:r w:rsidR="00CF60B1">
        <w:t>only permitted with the consent of the statutory manager or</w:t>
      </w:r>
      <w:r w:rsidR="006927FA">
        <w:t xml:space="preserve"> the</w:t>
      </w:r>
      <w:r w:rsidR="00CF60B1">
        <w:t xml:space="preserve"> RBA, or by an order of </w:t>
      </w:r>
      <w:r w:rsidR="008F0256">
        <w:t xml:space="preserve">the </w:t>
      </w:r>
      <w:r w:rsidR="00CF60B1">
        <w:t>Court</w:t>
      </w:r>
      <w:r w:rsidR="00EE6D1F">
        <w:t xml:space="preserve"> that is made after the purported transaction or </w:t>
      </w:r>
      <w:proofErr w:type="gramStart"/>
      <w:r w:rsidR="00EE6D1F">
        <w:t>dealing.</w:t>
      </w:r>
      <w:r w:rsidR="00CF60B1">
        <w:t>.</w:t>
      </w:r>
      <w:proofErr w:type="gramEnd"/>
      <w:r w:rsidR="00CF60B1">
        <w:t xml:space="preserve"> </w:t>
      </w:r>
      <w:r w:rsidR="005115C2">
        <w:t xml:space="preserve">Officers or employees </w:t>
      </w:r>
      <w:r w:rsidR="00BB68A4">
        <w:t xml:space="preserve">who purport to </w:t>
      </w:r>
      <w:proofErr w:type="gramStart"/>
      <w:r w:rsidR="00BB68A4">
        <w:t>enter into</w:t>
      </w:r>
      <w:proofErr w:type="gramEnd"/>
      <w:r w:rsidR="00BB68A4">
        <w:t xml:space="preserve"> a transaction or </w:t>
      </w:r>
      <w:r w:rsidR="00283DC7">
        <w:t xml:space="preserve">are </w:t>
      </w:r>
      <w:r w:rsidR="00BB68A4">
        <w:t xml:space="preserve">knowingly involved in the transaction that is </w:t>
      </w:r>
      <w:r w:rsidR="005115C2">
        <w:t xml:space="preserve">otherwise </w:t>
      </w:r>
      <w:r w:rsidR="00BB68A4">
        <w:t>void commits an offence of</w:t>
      </w:r>
      <w:r>
        <w:t xml:space="preserve"> up to</w:t>
      </w:r>
      <w:r w:rsidR="00BB68A4">
        <w:t xml:space="preserve"> 30 penalty units. </w:t>
      </w:r>
      <w:r w:rsidR="00BB68A4">
        <w:br/>
      </w:r>
      <w:r w:rsidR="00BB68A4" w:rsidRPr="00E416A7">
        <w:rPr>
          <w:rStyle w:val="References"/>
        </w:rPr>
        <w:t xml:space="preserve">[Schedule 1, </w:t>
      </w:r>
      <w:r w:rsidR="00C568C9">
        <w:rPr>
          <w:rStyle w:val="References"/>
        </w:rPr>
        <w:t>item 14</w:t>
      </w:r>
      <w:r w:rsidR="00BB68A4" w:rsidRPr="00E416A7">
        <w:rPr>
          <w:rStyle w:val="References"/>
        </w:rPr>
        <w:t>, subsection</w:t>
      </w:r>
      <w:r w:rsidR="00216C30">
        <w:rPr>
          <w:rStyle w:val="References"/>
        </w:rPr>
        <w:t>s</w:t>
      </w:r>
      <w:r w:rsidR="00BB68A4" w:rsidRPr="00E416A7">
        <w:rPr>
          <w:rStyle w:val="References"/>
        </w:rPr>
        <w:t xml:space="preserve"> 83</w:t>
      </w:r>
      <w:r>
        <w:rPr>
          <w:rStyle w:val="References"/>
        </w:rPr>
        <w:t>4</w:t>
      </w:r>
      <w:proofErr w:type="gramStart"/>
      <w:r w:rsidR="00BB68A4">
        <w:rPr>
          <w:rStyle w:val="References"/>
        </w:rPr>
        <w:t>B</w:t>
      </w:r>
      <w:r w:rsidR="00A56136">
        <w:rPr>
          <w:rStyle w:val="References"/>
        </w:rPr>
        <w:t>(</w:t>
      </w:r>
      <w:proofErr w:type="gramEnd"/>
      <w:r w:rsidR="00A56136">
        <w:rPr>
          <w:rStyle w:val="References"/>
        </w:rPr>
        <w:t>1)</w:t>
      </w:r>
      <w:r w:rsidR="00216C30">
        <w:rPr>
          <w:rStyle w:val="References"/>
        </w:rPr>
        <w:t xml:space="preserve">, </w:t>
      </w:r>
      <w:r w:rsidR="00A56136">
        <w:rPr>
          <w:rStyle w:val="References"/>
        </w:rPr>
        <w:t>(2)</w:t>
      </w:r>
      <w:r w:rsidR="00216C30">
        <w:rPr>
          <w:rStyle w:val="References"/>
        </w:rPr>
        <w:t xml:space="preserve">, </w:t>
      </w:r>
      <w:r w:rsidR="00BB68A4" w:rsidRPr="00E416A7">
        <w:rPr>
          <w:rStyle w:val="References"/>
        </w:rPr>
        <w:t>(</w:t>
      </w:r>
      <w:r w:rsidR="00EE6D1F">
        <w:rPr>
          <w:rStyle w:val="References"/>
        </w:rPr>
        <w:t>4</w:t>
      </w:r>
      <w:r w:rsidR="00BB68A4" w:rsidRPr="00E416A7">
        <w:rPr>
          <w:rStyle w:val="References"/>
        </w:rPr>
        <w:t>)</w:t>
      </w:r>
      <w:r w:rsidR="00216C30">
        <w:rPr>
          <w:rStyle w:val="References"/>
        </w:rPr>
        <w:t xml:space="preserve"> and </w:t>
      </w:r>
      <w:r w:rsidR="00EE6D1F">
        <w:rPr>
          <w:rStyle w:val="References"/>
        </w:rPr>
        <w:t>(5)</w:t>
      </w:r>
      <w:r w:rsidR="00BB68A4" w:rsidRPr="00E416A7">
        <w:rPr>
          <w:rStyle w:val="References"/>
        </w:rPr>
        <w:t xml:space="preserve"> the Act]</w:t>
      </w:r>
    </w:p>
    <w:p w14:paraId="61C11532" w14:textId="657D9696" w:rsidR="009C67ED" w:rsidRDefault="009C67ED" w:rsidP="00125C2C">
      <w:pPr>
        <w:pStyle w:val="Normalparatextwithnumbers"/>
      </w:pPr>
      <w:r>
        <w:t xml:space="preserve">A protection is included for payments made by an </w:t>
      </w:r>
      <w:r w:rsidR="006927FA">
        <w:t>ADI</w:t>
      </w:r>
      <w:r>
        <w:t xml:space="preserve"> out of a body corporate’s account in good faith and in the ordinary course of business. Where such a payment is made after statutory management and before the ADI received written notice of the body corporate being under statutory management, that transaction will continue to have effect. </w:t>
      </w:r>
      <w:r>
        <w:br/>
      </w:r>
      <w:r w:rsidRPr="009C67ED">
        <w:rPr>
          <w:rStyle w:val="References"/>
        </w:rPr>
        <w:t xml:space="preserve">[Schedule </w:t>
      </w:r>
      <w:r w:rsidR="009A3F5E">
        <w:rPr>
          <w:rStyle w:val="References"/>
        </w:rPr>
        <w:t>1</w:t>
      </w:r>
      <w:r w:rsidRPr="009C67ED">
        <w:rPr>
          <w:rStyle w:val="References"/>
        </w:rPr>
        <w:t xml:space="preserve">, </w:t>
      </w:r>
      <w:r w:rsidR="00C568C9">
        <w:rPr>
          <w:rStyle w:val="References"/>
        </w:rPr>
        <w:t>item 14</w:t>
      </w:r>
      <w:r w:rsidR="00F014D9" w:rsidRPr="009C67ED">
        <w:rPr>
          <w:rStyle w:val="References"/>
        </w:rPr>
        <w:t xml:space="preserve">, </w:t>
      </w:r>
      <w:r w:rsidRPr="009C67ED">
        <w:rPr>
          <w:rStyle w:val="References"/>
        </w:rPr>
        <w:t xml:space="preserve">subsection </w:t>
      </w:r>
      <w:r w:rsidR="009D731C" w:rsidRPr="009C67ED">
        <w:rPr>
          <w:rStyle w:val="References"/>
        </w:rPr>
        <w:t>83</w:t>
      </w:r>
      <w:r w:rsidR="004E2288">
        <w:rPr>
          <w:rStyle w:val="References"/>
        </w:rPr>
        <w:t>4</w:t>
      </w:r>
      <w:proofErr w:type="gramStart"/>
      <w:r w:rsidR="009D731C">
        <w:rPr>
          <w:rStyle w:val="References"/>
        </w:rPr>
        <w:t>B</w:t>
      </w:r>
      <w:r w:rsidRPr="009C67ED">
        <w:rPr>
          <w:rStyle w:val="References"/>
        </w:rPr>
        <w:t>(</w:t>
      </w:r>
      <w:proofErr w:type="gramEnd"/>
      <w:r w:rsidRPr="009C67ED">
        <w:rPr>
          <w:rStyle w:val="References"/>
        </w:rPr>
        <w:t>3</w:t>
      </w:r>
      <w:r w:rsidR="00EE6D1F">
        <w:rPr>
          <w:rStyle w:val="References"/>
        </w:rPr>
        <w:t>)</w:t>
      </w:r>
      <w:r w:rsidRPr="009C67ED">
        <w:rPr>
          <w:rStyle w:val="References"/>
        </w:rPr>
        <w:t xml:space="preserve"> of the Act]</w:t>
      </w:r>
    </w:p>
    <w:p w14:paraId="560CC53A" w14:textId="385DE7BB" w:rsidR="00554FEA" w:rsidRDefault="00EE6D1F" w:rsidP="00554FEA">
      <w:pPr>
        <w:pStyle w:val="Normalparatextwithnumbers"/>
      </w:pPr>
      <w:r>
        <w:lastRenderedPageBreak/>
        <w:t>In addition,</w:t>
      </w:r>
      <w:r w:rsidR="00554FEA">
        <w:t xml:space="preserve"> secured creditors will continue to have rights to realise or otherwise deal with their security interest. </w:t>
      </w:r>
      <w:r w:rsidR="00554FEA">
        <w:br/>
      </w:r>
      <w:r w:rsidR="00554FEA" w:rsidRPr="002463ED">
        <w:rPr>
          <w:rStyle w:val="References"/>
        </w:rPr>
        <w:t xml:space="preserve">[Schedule </w:t>
      </w:r>
      <w:r w:rsidR="009A3F5E">
        <w:rPr>
          <w:rStyle w:val="References"/>
        </w:rPr>
        <w:t>1</w:t>
      </w:r>
      <w:r w:rsidR="00554FEA" w:rsidRPr="002463ED">
        <w:rPr>
          <w:rStyle w:val="References"/>
        </w:rPr>
        <w:t xml:space="preserve">, </w:t>
      </w:r>
      <w:r w:rsidR="00C568C9">
        <w:rPr>
          <w:rStyle w:val="References"/>
        </w:rPr>
        <w:t>item 14</w:t>
      </w:r>
      <w:r w:rsidR="00554FEA" w:rsidRPr="002463ED">
        <w:rPr>
          <w:rStyle w:val="References"/>
        </w:rPr>
        <w:t>, subsection 83</w:t>
      </w:r>
      <w:r w:rsidR="004E2288">
        <w:rPr>
          <w:rStyle w:val="References"/>
        </w:rPr>
        <w:t>4</w:t>
      </w:r>
      <w:proofErr w:type="gramStart"/>
      <w:r w:rsidR="00554FEA">
        <w:rPr>
          <w:rStyle w:val="References"/>
        </w:rPr>
        <w:t>A</w:t>
      </w:r>
      <w:r w:rsidR="00554FEA" w:rsidRPr="002463ED">
        <w:rPr>
          <w:rStyle w:val="References"/>
        </w:rPr>
        <w:t>(</w:t>
      </w:r>
      <w:proofErr w:type="gramEnd"/>
      <w:r w:rsidR="00554FEA">
        <w:rPr>
          <w:rStyle w:val="References"/>
        </w:rPr>
        <w:t>9</w:t>
      </w:r>
      <w:r w:rsidR="00554FEA" w:rsidRPr="002463ED">
        <w:rPr>
          <w:rStyle w:val="References"/>
        </w:rPr>
        <w:t>)</w:t>
      </w:r>
      <w:r w:rsidR="00554FEA">
        <w:rPr>
          <w:rStyle w:val="References"/>
        </w:rPr>
        <w:t xml:space="preserve"> </w:t>
      </w:r>
      <w:r w:rsidR="00554FEA" w:rsidRPr="002463ED">
        <w:rPr>
          <w:rStyle w:val="References"/>
        </w:rPr>
        <w:t>of the Act]</w:t>
      </w:r>
    </w:p>
    <w:p w14:paraId="6C51BB99" w14:textId="0D822224" w:rsidR="00F44D5E" w:rsidRDefault="00F44D5E" w:rsidP="00F44D5E">
      <w:pPr>
        <w:pStyle w:val="Heading6"/>
        <w:rPr>
          <w:rFonts w:hint="eastAsia"/>
        </w:rPr>
      </w:pPr>
      <w:r>
        <w:t>Compensating payment</w:t>
      </w:r>
    </w:p>
    <w:p w14:paraId="4B360FD2" w14:textId="2C82CA8E" w:rsidR="00E416A7" w:rsidRDefault="00075590" w:rsidP="00125C2C">
      <w:pPr>
        <w:pStyle w:val="Normalparatextwithnumbers"/>
      </w:pPr>
      <w:r>
        <w:t xml:space="preserve">The </w:t>
      </w:r>
      <w:r w:rsidR="00E6234C">
        <w:t>C</w:t>
      </w:r>
      <w:r>
        <w:t xml:space="preserve">ourt may order a compensating payment for </w:t>
      </w:r>
      <w:proofErr w:type="gramStart"/>
      <w:r>
        <w:t>entering into</w:t>
      </w:r>
      <w:proofErr w:type="gramEnd"/>
      <w:r>
        <w:t xml:space="preserve"> an </w:t>
      </w:r>
      <w:r w:rsidR="006823E0">
        <w:t xml:space="preserve">invalid </w:t>
      </w:r>
      <w:r w:rsidR="00E416A7">
        <w:t>transaction</w:t>
      </w:r>
      <w:r>
        <w:t xml:space="preserve">. A compensating payment may arise if the </w:t>
      </w:r>
      <w:r w:rsidR="00E6234C">
        <w:t>C</w:t>
      </w:r>
      <w:r>
        <w:t>ourt considers that the transaction has resulted in a loss or damage.</w:t>
      </w:r>
      <w:r w:rsidR="008060A8">
        <w:t xml:space="preserve"> </w:t>
      </w:r>
      <w:r>
        <w:t xml:space="preserve">Regardless of whether a penalty is payable, the person that </w:t>
      </w:r>
      <w:proofErr w:type="gramStart"/>
      <w:r>
        <w:t>entered into</w:t>
      </w:r>
      <w:proofErr w:type="gramEnd"/>
      <w:r>
        <w:t xml:space="preserve"> the transaction may be required to pay compensation to the person that suffered the loss or damage. </w:t>
      </w:r>
      <w:r w:rsidR="001E1A56" w:rsidRPr="001E1A56">
        <w:t xml:space="preserve">This ensures that those who suffer losses are </w:t>
      </w:r>
      <w:proofErr w:type="gramStart"/>
      <w:r w:rsidR="001E1A56" w:rsidRPr="001E1A56">
        <w:t>fairly compensated</w:t>
      </w:r>
      <w:proofErr w:type="gramEnd"/>
      <w:r w:rsidR="001E1A56" w:rsidRPr="001E1A56">
        <w:t>.</w:t>
      </w:r>
      <w:r w:rsidR="00EE6D1F" w:rsidRPr="00EE6D1F">
        <w:t xml:space="preserve"> </w:t>
      </w:r>
      <w:r w:rsidR="00EE6D1F">
        <w:t xml:space="preserve">The </w:t>
      </w:r>
      <w:r w:rsidR="00BC39B6">
        <w:t xml:space="preserve">Court may also use the powers under section 1318 of the Act to </w:t>
      </w:r>
      <w:r w:rsidR="00EE6D1F">
        <w:t>reliev</w:t>
      </w:r>
      <w:r w:rsidR="00BC39B6">
        <w:t>e</w:t>
      </w:r>
      <w:r w:rsidR="00EE6D1F">
        <w:t xml:space="preserve"> a person from </w:t>
      </w:r>
      <w:r w:rsidR="00BC39B6">
        <w:t xml:space="preserve">being </w:t>
      </w:r>
      <w:r w:rsidR="00EE6D1F">
        <w:t>liabl</w:t>
      </w:r>
      <w:r w:rsidR="00BC39B6">
        <w:t>e</w:t>
      </w:r>
      <w:r w:rsidR="00EE6D1F">
        <w:t xml:space="preserve"> to pay compensation.</w:t>
      </w:r>
      <w:r w:rsidR="00E416A7">
        <w:br/>
      </w:r>
      <w:r w:rsidR="00E416A7" w:rsidRPr="00E416A7">
        <w:rPr>
          <w:rStyle w:val="References"/>
        </w:rPr>
        <w:t xml:space="preserve">[Schedule 1, </w:t>
      </w:r>
      <w:r w:rsidR="00C568C9">
        <w:rPr>
          <w:rStyle w:val="References"/>
        </w:rPr>
        <w:t>item 14</w:t>
      </w:r>
      <w:r w:rsidR="00F014D9" w:rsidRPr="00E416A7">
        <w:rPr>
          <w:rStyle w:val="References"/>
        </w:rPr>
        <w:t xml:space="preserve">, </w:t>
      </w:r>
      <w:r w:rsidR="00E416A7" w:rsidRPr="00E416A7">
        <w:rPr>
          <w:rStyle w:val="References"/>
        </w:rPr>
        <w:t>section 83</w:t>
      </w:r>
      <w:r w:rsidR="00EE6D1F">
        <w:rPr>
          <w:rStyle w:val="References"/>
        </w:rPr>
        <w:t>4</w:t>
      </w:r>
      <w:r w:rsidR="0016506E">
        <w:rPr>
          <w:rStyle w:val="References"/>
        </w:rPr>
        <w:t>C</w:t>
      </w:r>
      <w:r w:rsidR="00EE6D1F">
        <w:rPr>
          <w:rStyle w:val="References"/>
        </w:rPr>
        <w:t xml:space="preserve"> </w:t>
      </w:r>
      <w:r w:rsidR="00E416A7" w:rsidRPr="00E416A7">
        <w:rPr>
          <w:rStyle w:val="References"/>
        </w:rPr>
        <w:t>of the Act]</w:t>
      </w:r>
      <w:r w:rsidR="00E416A7">
        <w:t xml:space="preserve"> </w:t>
      </w:r>
    </w:p>
    <w:p w14:paraId="4CFF91F9" w14:textId="77777777" w:rsidR="008739A6" w:rsidRDefault="008739A6" w:rsidP="008739A6">
      <w:pPr>
        <w:pStyle w:val="Heading6"/>
        <w:rPr>
          <w:rFonts w:hint="eastAsia"/>
        </w:rPr>
      </w:pPr>
      <w:r>
        <w:t xml:space="preserve">Body corporate under external administration </w:t>
      </w:r>
    </w:p>
    <w:p w14:paraId="0D024E62" w14:textId="1E06DD33" w:rsidR="008739A6" w:rsidRDefault="008739A6" w:rsidP="008739A6">
      <w:pPr>
        <w:pStyle w:val="Normalparatextwithnumbers"/>
      </w:pPr>
      <w:r>
        <w:t xml:space="preserve">If a statutory manager is appointed to a body corporate that is under external administration, the external administrator’s appointment is terminated at the time the statutory manager takes control of the body corporate. Any subsequent actions or purported actions by the external administrator in relation to the body corporate’s business, property and affairs after the termination are invalid. </w:t>
      </w:r>
      <w:r>
        <w:br/>
      </w:r>
      <w:r w:rsidRPr="00812044">
        <w:rPr>
          <w:rStyle w:val="References"/>
        </w:rPr>
        <w:t xml:space="preserve">[Schedule 1, </w:t>
      </w:r>
      <w:r>
        <w:rPr>
          <w:rStyle w:val="References"/>
        </w:rPr>
        <w:t>item 14, sub</w:t>
      </w:r>
      <w:r w:rsidRPr="00812044">
        <w:rPr>
          <w:rStyle w:val="References"/>
        </w:rPr>
        <w:t>section</w:t>
      </w:r>
      <w:r w:rsidR="00FA2063">
        <w:rPr>
          <w:rStyle w:val="References"/>
        </w:rPr>
        <w:t>s</w:t>
      </w:r>
      <w:r w:rsidRPr="00812044">
        <w:rPr>
          <w:rStyle w:val="References"/>
        </w:rPr>
        <w:t xml:space="preserve"> </w:t>
      </w:r>
      <w:r>
        <w:rPr>
          <w:rStyle w:val="References"/>
        </w:rPr>
        <w:t>836</w:t>
      </w:r>
      <w:proofErr w:type="gramStart"/>
      <w:r>
        <w:rPr>
          <w:rStyle w:val="References"/>
        </w:rPr>
        <w:t>A(</w:t>
      </w:r>
      <w:proofErr w:type="gramEnd"/>
      <w:r>
        <w:rPr>
          <w:rStyle w:val="References"/>
        </w:rPr>
        <w:t xml:space="preserve">1) and </w:t>
      </w:r>
      <w:r w:rsidR="00FA2063">
        <w:rPr>
          <w:rStyle w:val="References"/>
        </w:rPr>
        <w:t>(</w:t>
      </w:r>
      <w:r>
        <w:rPr>
          <w:rStyle w:val="References"/>
        </w:rPr>
        <w:t xml:space="preserve">4) </w:t>
      </w:r>
      <w:r w:rsidRPr="00812044">
        <w:rPr>
          <w:rStyle w:val="References"/>
        </w:rPr>
        <w:t>of the Act]</w:t>
      </w:r>
    </w:p>
    <w:p w14:paraId="3E12C980" w14:textId="0860A5CD" w:rsidR="008739A6" w:rsidRPr="00FA2063" w:rsidRDefault="008739A6" w:rsidP="00234D68">
      <w:pPr>
        <w:pStyle w:val="Normalparatextwithnumbers"/>
        <w:rPr>
          <w:rStyle w:val="References"/>
          <w:b w:val="0"/>
          <w:bCs w:val="0"/>
          <w:i w:val="0"/>
          <w:iCs w:val="0"/>
        </w:rPr>
      </w:pPr>
      <w:r>
        <w:t xml:space="preserve">The RBA must provide written notice of the statutory management appointment to the external administrator, however, a failure to provide notice does not invalidate the appointment of the statutory manager. </w:t>
      </w:r>
      <w:r w:rsidR="00FA2063">
        <w:t>Throughout the duration of statutory management, an external administrator can only be appointed if the RBA consents.</w:t>
      </w:r>
      <w:r w:rsidR="00FA2063">
        <w:br/>
      </w:r>
      <w:r w:rsidRPr="00812044">
        <w:rPr>
          <w:rStyle w:val="References"/>
        </w:rPr>
        <w:t xml:space="preserve">[Schedule 1, </w:t>
      </w:r>
      <w:r>
        <w:rPr>
          <w:rStyle w:val="References"/>
        </w:rPr>
        <w:t>item 14</w:t>
      </w:r>
      <w:r w:rsidRPr="00812044">
        <w:rPr>
          <w:rStyle w:val="References"/>
        </w:rPr>
        <w:t xml:space="preserve">, </w:t>
      </w:r>
      <w:r>
        <w:rPr>
          <w:rStyle w:val="References"/>
        </w:rPr>
        <w:t>subsections 83</w:t>
      </w:r>
      <w:r w:rsidR="00FA2063">
        <w:rPr>
          <w:rStyle w:val="References"/>
        </w:rPr>
        <w:t>6</w:t>
      </w:r>
      <w:proofErr w:type="gramStart"/>
      <w:r>
        <w:rPr>
          <w:rStyle w:val="References"/>
        </w:rPr>
        <w:t>A(</w:t>
      </w:r>
      <w:proofErr w:type="gramEnd"/>
      <w:r>
        <w:rPr>
          <w:rStyle w:val="References"/>
        </w:rPr>
        <w:t>2)</w:t>
      </w:r>
      <w:r w:rsidR="007E00B9">
        <w:rPr>
          <w:rStyle w:val="References"/>
        </w:rPr>
        <w:t xml:space="preserve"> and </w:t>
      </w:r>
      <w:r w:rsidR="00FA2063">
        <w:rPr>
          <w:rStyle w:val="References"/>
        </w:rPr>
        <w:t>(3)</w:t>
      </w:r>
      <w:r>
        <w:rPr>
          <w:rStyle w:val="References"/>
        </w:rPr>
        <w:t xml:space="preserve"> </w:t>
      </w:r>
      <w:r w:rsidRPr="00812044">
        <w:rPr>
          <w:rStyle w:val="References"/>
        </w:rPr>
        <w:t>of the Act]</w:t>
      </w:r>
    </w:p>
    <w:p w14:paraId="71C90ADD" w14:textId="7EC56CC1" w:rsidR="008739A6" w:rsidRDefault="008739A6" w:rsidP="008739A6">
      <w:pPr>
        <w:pStyle w:val="Normalparatextwithnumbers"/>
        <w:rPr>
          <w:rStyle w:val="References"/>
          <w:b w:val="0"/>
          <w:bCs w:val="0"/>
          <w:i w:val="0"/>
          <w:iCs w:val="0"/>
        </w:rPr>
      </w:pPr>
      <w:r>
        <w:t xml:space="preserve">The amendments use a modified definition of external administrator that covers receivers, managers and managing controllers. As a result, the external administrator definition in section 9 of the Act and subsequent references are </w:t>
      </w:r>
      <w:r w:rsidR="006927FA">
        <w:t>repealed</w:t>
      </w:r>
      <w:r w:rsidR="00FA2063">
        <w:t xml:space="preserve">. </w:t>
      </w:r>
      <w:r>
        <w:br/>
      </w:r>
      <w:r>
        <w:rPr>
          <w:rStyle w:val="References"/>
        </w:rPr>
        <w:t>[Schedule 1, item</w:t>
      </w:r>
      <w:r w:rsidR="00D768E1">
        <w:rPr>
          <w:rStyle w:val="References"/>
        </w:rPr>
        <w:t>s</w:t>
      </w:r>
      <w:r>
        <w:rPr>
          <w:rStyle w:val="References"/>
        </w:rPr>
        <w:t xml:space="preserve"> 1</w:t>
      </w:r>
      <w:r w:rsidR="00D768E1">
        <w:rPr>
          <w:rStyle w:val="References"/>
        </w:rPr>
        <w:t>, 4 and 8</w:t>
      </w:r>
      <w:r>
        <w:rPr>
          <w:rStyle w:val="References"/>
        </w:rPr>
        <w:t>, section</w:t>
      </w:r>
      <w:r w:rsidR="00D768E1">
        <w:rPr>
          <w:rStyle w:val="References"/>
        </w:rPr>
        <w:t>s</w:t>
      </w:r>
      <w:r>
        <w:rPr>
          <w:rStyle w:val="References"/>
        </w:rPr>
        <w:t xml:space="preserve"> 9</w:t>
      </w:r>
      <w:r w:rsidR="00D768E1">
        <w:rPr>
          <w:rStyle w:val="References"/>
        </w:rPr>
        <w:t xml:space="preserve">, </w:t>
      </w:r>
      <w:bookmarkStart w:id="60" w:name="_Hlk152706484"/>
      <w:r w:rsidR="00D768E1">
        <w:rPr>
          <w:rStyle w:val="References"/>
        </w:rPr>
        <w:t>subsections 198</w:t>
      </w:r>
      <w:proofErr w:type="gramStart"/>
      <w:r w:rsidR="00D768E1">
        <w:rPr>
          <w:rStyle w:val="References"/>
        </w:rPr>
        <w:t>G(</w:t>
      </w:r>
      <w:proofErr w:type="gramEnd"/>
      <w:r w:rsidR="00D768E1">
        <w:rPr>
          <w:rStyle w:val="References"/>
        </w:rPr>
        <w:t>9) and 600J(5)</w:t>
      </w:r>
      <w:r>
        <w:rPr>
          <w:rStyle w:val="References"/>
        </w:rPr>
        <w:t xml:space="preserve"> of the Act</w:t>
      </w:r>
      <w:bookmarkEnd w:id="60"/>
      <w:r>
        <w:rPr>
          <w:rStyle w:val="References"/>
        </w:rPr>
        <w:t>]</w:t>
      </w:r>
    </w:p>
    <w:p w14:paraId="673B3F4D" w14:textId="746CB2B5" w:rsidR="00F44D5E" w:rsidRDefault="00F44D5E" w:rsidP="00F44D5E">
      <w:pPr>
        <w:pStyle w:val="Heading6"/>
        <w:rPr>
          <w:rFonts w:hint="eastAsia"/>
        </w:rPr>
      </w:pPr>
      <w:r>
        <w:t xml:space="preserve">Annual general meeting </w:t>
      </w:r>
    </w:p>
    <w:p w14:paraId="6804962C" w14:textId="4CC11910" w:rsidR="001A6FDB" w:rsidRDefault="008C3592" w:rsidP="00125C2C">
      <w:pPr>
        <w:pStyle w:val="Normalparatextwithnumbers"/>
      </w:pPr>
      <w:r>
        <w:t>T</w:t>
      </w:r>
      <w:r w:rsidR="00995262">
        <w:t xml:space="preserve">here is no obligation to continue to hold annual </w:t>
      </w:r>
      <w:r w:rsidR="00995262" w:rsidRPr="00941BDB">
        <w:t>general meeting</w:t>
      </w:r>
      <w:r w:rsidR="00995262">
        <w:t xml:space="preserve">s </w:t>
      </w:r>
      <w:r w:rsidR="00995262" w:rsidRPr="00941BDB">
        <w:t xml:space="preserve">under section 250N </w:t>
      </w:r>
      <w:r w:rsidR="00995262">
        <w:t>or 601BR</w:t>
      </w:r>
      <w:r w:rsidR="00995262" w:rsidRPr="00941BDB">
        <w:t xml:space="preserve"> of the </w:t>
      </w:r>
      <w:r w:rsidR="00995262">
        <w:t>Act w</w:t>
      </w:r>
      <w:r w:rsidR="001E1A56">
        <w:t>h</w:t>
      </w:r>
      <w:r w:rsidR="00995262">
        <w:t>ilst the body corporate is under</w:t>
      </w:r>
      <w:r w:rsidR="001E1A56">
        <w:t xml:space="preserve"> statutory management</w:t>
      </w:r>
      <w:r w:rsidR="001A6FDB" w:rsidRPr="00941BDB">
        <w:t>.</w:t>
      </w:r>
      <w:r w:rsidR="00995262">
        <w:t xml:space="preserve"> The annual meetings may resume once statutory management concludes. </w:t>
      </w:r>
      <w:r w:rsidR="00155674">
        <w:br/>
      </w:r>
      <w:r w:rsidR="004C7384" w:rsidRPr="00AE5E43">
        <w:rPr>
          <w:rStyle w:val="References"/>
        </w:rPr>
        <w:t xml:space="preserve">[Schedule </w:t>
      </w:r>
      <w:r w:rsidR="009A3F5E">
        <w:rPr>
          <w:rStyle w:val="References"/>
        </w:rPr>
        <w:t>1</w:t>
      </w:r>
      <w:r w:rsidR="004C7384" w:rsidRPr="00AE5E43">
        <w:rPr>
          <w:rStyle w:val="References"/>
        </w:rPr>
        <w:t xml:space="preserve">, </w:t>
      </w:r>
      <w:r w:rsidR="00C568C9">
        <w:rPr>
          <w:rStyle w:val="References"/>
        </w:rPr>
        <w:t>item 14</w:t>
      </w:r>
      <w:r w:rsidR="006D25CF">
        <w:rPr>
          <w:rStyle w:val="References"/>
        </w:rPr>
        <w:t xml:space="preserve">, </w:t>
      </w:r>
      <w:r w:rsidR="004C7384" w:rsidRPr="00AE5E43">
        <w:rPr>
          <w:rStyle w:val="References"/>
        </w:rPr>
        <w:t xml:space="preserve">section </w:t>
      </w:r>
      <w:r w:rsidR="006D25CF">
        <w:rPr>
          <w:rStyle w:val="References"/>
        </w:rPr>
        <w:t xml:space="preserve">836E </w:t>
      </w:r>
      <w:r w:rsidR="004C7384" w:rsidRPr="00AE5E43">
        <w:rPr>
          <w:rStyle w:val="References"/>
        </w:rPr>
        <w:t>of the Act]</w:t>
      </w:r>
    </w:p>
    <w:p w14:paraId="01ECACE5" w14:textId="78EA2DFB" w:rsidR="00F44D5E" w:rsidRPr="00F153AE" w:rsidRDefault="00F44D5E" w:rsidP="00F153AE">
      <w:pPr>
        <w:pStyle w:val="Heading6"/>
        <w:rPr>
          <w:rStyle w:val="References"/>
          <w:rFonts w:ascii="Helvetica" w:hAnsi="Helvetica"/>
          <w:b w:val="0"/>
          <w:bCs w:val="0"/>
          <w:i/>
          <w:iCs w:val="0"/>
        </w:rPr>
      </w:pPr>
      <w:r w:rsidRPr="00F153AE">
        <w:rPr>
          <w:rStyle w:val="References"/>
          <w:rFonts w:ascii="Helvetica" w:hAnsi="Helvetica"/>
          <w:b w:val="0"/>
          <w:bCs w:val="0"/>
          <w:i/>
          <w:iCs w:val="0"/>
        </w:rPr>
        <w:lastRenderedPageBreak/>
        <w:t xml:space="preserve">Time for doing an </w:t>
      </w:r>
      <w:proofErr w:type="gramStart"/>
      <w:r w:rsidRPr="00F153AE">
        <w:rPr>
          <w:rStyle w:val="References"/>
          <w:rFonts w:ascii="Helvetica" w:hAnsi="Helvetica"/>
          <w:b w:val="0"/>
          <w:bCs w:val="0"/>
          <w:i/>
          <w:iCs w:val="0"/>
        </w:rPr>
        <w:t>act</w:t>
      </w:r>
      <w:proofErr w:type="gramEnd"/>
    </w:p>
    <w:p w14:paraId="36B612EB" w14:textId="52E51423" w:rsidR="0029366A" w:rsidRPr="00C8096C" w:rsidRDefault="0029366A" w:rsidP="0029366A">
      <w:pPr>
        <w:pStyle w:val="Normalparatextwithnumbers"/>
        <w:rPr>
          <w:rStyle w:val="References"/>
          <w:b w:val="0"/>
          <w:bCs w:val="0"/>
          <w:i w:val="0"/>
          <w:iCs w:val="0"/>
        </w:rPr>
      </w:pPr>
      <w:r>
        <w:rPr>
          <w:rStyle w:val="References"/>
          <w:b w:val="0"/>
          <w:bCs w:val="0"/>
          <w:i w:val="0"/>
          <w:iCs w:val="0"/>
        </w:rPr>
        <w:t>The time for doing an act does not run while prevented by Part 7.3B of the Act.</w:t>
      </w:r>
      <w:r w:rsidRPr="0029366A">
        <w:rPr>
          <w:rStyle w:val="References"/>
          <w:b w:val="0"/>
          <w:bCs w:val="0"/>
          <w:i w:val="0"/>
          <w:iCs w:val="0"/>
        </w:rPr>
        <w:t xml:space="preserve"> </w:t>
      </w:r>
      <w:r w:rsidR="00DE2B7D">
        <w:rPr>
          <w:rStyle w:val="References"/>
          <w:b w:val="0"/>
          <w:bCs w:val="0"/>
          <w:i w:val="0"/>
          <w:iCs w:val="0"/>
        </w:rPr>
        <w:t xml:space="preserve">This could be for any act under a </w:t>
      </w:r>
      <w:r w:rsidR="00EE6A0A">
        <w:rPr>
          <w:rStyle w:val="References"/>
          <w:b w:val="0"/>
          <w:bCs w:val="0"/>
          <w:i w:val="0"/>
          <w:iCs w:val="0"/>
        </w:rPr>
        <w:t>law or other agreement. The</w:t>
      </w:r>
      <w:r w:rsidRPr="0029366A">
        <w:rPr>
          <w:rStyle w:val="References"/>
          <w:b w:val="0"/>
          <w:bCs w:val="0"/>
          <w:i w:val="0"/>
          <w:iCs w:val="0"/>
        </w:rPr>
        <w:t xml:space="preserve"> </w:t>
      </w:r>
      <w:proofErr w:type="gramStart"/>
      <w:r w:rsidRPr="0029366A">
        <w:rPr>
          <w:rStyle w:val="References"/>
          <w:b w:val="0"/>
          <w:bCs w:val="0"/>
          <w:i w:val="0"/>
          <w:iCs w:val="0"/>
        </w:rPr>
        <w:t>period of time</w:t>
      </w:r>
      <w:proofErr w:type="gramEnd"/>
      <w:r w:rsidRPr="0029366A">
        <w:rPr>
          <w:rStyle w:val="References"/>
          <w:b w:val="0"/>
          <w:bCs w:val="0"/>
          <w:i w:val="0"/>
          <w:iCs w:val="0"/>
        </w:rPr>
        <w:t xml:space="preserve"> to do the act is extended or deferred according to how long it is prevented by </w:t>
      </w:r>
      <w:r w:rsidR="00D86378">
        <w:rPr>
          <w:rStyle w:val="References"/>
          <w:b w:val="0"/>
          <w:bCs w:val="0"/>
          <w:i w:val="0"/>
          <w:iCs w:val="0"/>
        </w:rPr>
        <w:t>the exercise of powers under Part 7.3B</w:t>
      </w:r>
      <w:r w:rsidRPr="0029366A">
        <w:rPr>
          <w:rStyle w:val="References"/>
          <w:b w:val="0"/>
          <w:bCs w:val="0"/>
          <w:i w:val="0"/>
          <w:iCs w:val="0"/>
        </w:rPr>
        <w:t xml:space="preserve">. </w:t>
      </w:r>
      <w:r>
        <w:rPr>
          <w:rStyle w:val="References"/>
        </w:rPr>
        <w:br/>
        <w:t xml:space="preserve">[Schedule </w:t>
      </w:r>
      <w:r w:rsidR="009A3F5E">
        <w:rPr>
          <w:rStyle w:val="References"/>
        </w:rPr>
        <w:t>1</w:t>
      </w:r>
      <w:r>
        <w:rPr>
          <w:rStyle w:val="References"/>
        </w:rPr>
        <w:t xml:space="preserve">, </w:t>
      </w:r>
      <w:r w:rsidR="00C568C9">
        <w:rPr>
          <w:rStyle w:val="References"/>
        </w:rPr>
        <w:t>item 14</w:t>
      </w:r>
      <w:r>
        <w:rPr>
          <w:rStyle w:val="References"/>
        </w:rPr>
        <w:t>, section 83</w:t>
      </w:r>
      <w:r w:rsidR="006D25CF">
        <w:rPr>
          <w:rStyle w:val="References"/>
        </w:rPr>
        <w:t>6</w:t>
      </w:r>
      <w:r>
        <w:rPr>
          <w:rStyle w:val="References"/>
        </w:rPr>
        <w:t>D of the Act]</w:t>
      </w:r>
    </w:p>
    <w:p w14:paraId="430025BF" w14:textId="6D813453" w:rsidR="008C3592" w:rsidRDefault="006E5D64" w:rsidP="008C3592">
      <w:pPr>
        <w:pStyle w:val="Heading6"/>
        <w:rPr>
          <w:rFonts w:hint="eastAsia"/>
        </w:rPr>
      </w:pPr>
      <w:r>
        <w:t>T</w:t>
      </w:r>
      <w:r w:rsidR="008C3592">
        <w:t xml:space="preserve">ransfer </w:t>
      </w:r>
      <w:r>
        <w:t xml:space="preserve">or alteration </w:t>
      </w:r>
      <w:r w:rsidR="00E74664">
        <w:t>e</w:t>
      </w:r>
      <w:r w:rsidR="008C3592">
        <w:t xml:space="preserve">ffect on members </w:t>
      </w:r>
    </w:p>
    <w:p w14:paraId="4614FCDD" w14:textId="27C65FD5" w:rsidR="00A56987" w:rsidRDefault="00A56987" w:rsidP="00A56987">
      <w:pPr>
        <w:pStyle w:val="Normalparatextwithnumbers"/>
      </w:pPr>
      <w:r w:rsidRPr="00701EC4">
        <w:t xml:space="preserve">Any transfer of shares or alteration in the status of members of a company is void except with </w:t>
      </w:r>
      <w:r>
        <w:t xml:space="preserve">either </w:t>
      </w:r>
      <w:r w:rsidRPr="00701EC4">
        <w:t xml:space="preserve">the </w:t>
      </w:r>
      <w:r>
        <w:t>consent of the RBA or statutory manager. Further, only the statutory manager is permitted to deal with a transfer or alteration in the status of the members.</w:t>
      </w:r>
      <w:r w:rsidR="00E745CC">
        <w:t xml:space="preserve"> T</w:t>
      </w:r>
      <w:r>
        <w:t>he statutory manager and the RBA must not give consent if the alteration would contravene Part 2F.2 of the Act</w:t>
      </w:r>
      <w:r w:rsidR="002B11FC">
        <w:t xml:space="preserve"> that deals with class rights</w:t>
      </w:r>
      <w:r>
        <w:t xml:space="preserve">. </w:t>
      </w:r>
      <w:r>
        <w:br/>
      </w:r>
      <w:r w:rsidRPr="00DE2DDF">
        <w:rPr>
          <w:rStyle w:val="References"/>
        </w:rPr>
        <w:t>[</w:t>
      </w:r>
      <w:r>
        <w:rPr>
          <w:rStyle w:val="References"/>
        </w:rPr>
        <w:t xml:space="preserve">Schedule </w:t>
      </w:r>
      <w:r w:rsidR="009A3F5E">
        <w:rPr>
          <w:rStyle w:val="References"/>
        </w:rPr>
        <w:t>1</w:t>
      </w:r>
      <w:r w:rsidRPr="00DE2DDF">
        <w:rPr>
          <w:rStyle w:val="References"/>
        </w:rPr>
        <w:t xml:space="preserve">, </w:t>
      </w:r>
      <w:r w:rsidR="00C568C9">
        <w:rPr>
          <w:rStyle w:val="References"/>
        </w:rPr>
        <w:t>item 14</w:t>
      </w:r>
      <w:r w:rsidRPr="00DE2DDF">
        <w:rPr>
          <w:rStyle w:val="References"/>
        </w:rPr>
        <w:t xml:space="preserve">, section </w:t>
      </w:r>
      <w:r>
        <w:rPr>
          <w:rStyle w:val="References"/>
        </w:rPr>
        <w:t>83</w:t>
      </w:r>
      <w:r w:rsidR="00D11A59">
        <w:rPr>
          <w:rStyle w:val="References"/>
        </w:rPr>
        <w:t>4</w:t>
      </w:r>
      <w:r>
        <w:rPr>
          <w:rStyle w:val="References"/>
        </w:rPr>
        <w:t xml:space="preserve">E </w:t>
      </w:r>
      <w:r w:rsidRPr="00DE2DDF">
        <w:rPr>
          <w:rStyle w:val="References"/>
        </w:rPr>
        <w:t xml:space="preserve">of the </w:t>
      </w:r>
      <w:r>
        <w:rPr>
          <w:rStyle w:val="References"/>
        </w:rPr>
        <w:t>Act</w:t>
      </w:r>
      <w:r w:rsidRPr="00DE2DDF">
        <w:rPr>
          <w:rStyle w:val="References"/>
        </w:rPr>
        <w:t>]</w:t>
      </w:r>
    </w:p>
    <w:p w14:paraId="7C7FAEA0" w14:textId="5BE593B0" w:rsidR="00F67E20" w:rsidRDefault="00E745CC" w:rsidP="00125C2C">
      <w:pPr>
        <w:pStyle w:val="Normalparatextwithnumbers"/>
      </w:pPr>
      <w:r>
        <w:t>Any</w:t>
      </w:r>
      <w:r w:rsidR="00F67E20">
        <w:t xml:space="preserve"> </w:t>
      </w:r>
      <w:r>
        <w:t>transfer or alteration</w:t>
      </w:r>
      <w:r w:rsidR="00C62C10">
        <w:t xml:space="preserve"> of shares</w:t>
      </w:r>
      <w:r>
        <w:t xml:space="preserve"> that </w:t>
      </w:r>
      <w:r w:rsidR="00F67E20">
        <w:t>effect</w:t>
      </w:r>
      <w:r>
        <w:t>s</w:t>
      </w:r>
      <w:r w:rsidR="00F67E20">
        <w:t xml:space="preserve"> members </w:t>
      </w:r>
      <w:r>
        <w:t>would be</w:t>
      </w:r>
      <w:r w:rsidR="00F67E20">
        <w:t xml:space="preserve"> primarily concerned with the change in legal rights, and not with adverse commercial consequences. It operates as a statutory bar to rescission of the contract for the subscription of shares.</w:t>
      </w:r>
    </w:p>
    <w:p w14:paraId="584DA169" w14:textId="7A0D8CCF" w:rsidR="00AF7468" w:rsidRDefault="00D11A59" w:rsidP="00AF7468">
      <w:pPr>
        <w:pStyle w:val="Heading6"/>
        <w:rPr>
          <w:rFonts w:hint="eastAsia"/>
        </w:rPr>
      </w:pPr>
      <w:r>
        <w:t>Dealing with i</w:t>
      </w:r>
      <w:r w:rsidR="00AF7468">
        <w:t>nterests in property</w:t>
      </w:r>
    </w:p>
    <w:p w14:paraId="16119172" w14:textId="4913FC25" w:rsidR="00A678B0" w:rsidRDefault="00A678B0" w:rsidP="00A678B0">
      <w:pPr>
        <w:pStyle w:val="Normalparatextwithnumbers"/>
        <w:rPr>
          <w:rStyle w:val="References"/>
          <w:b w:val="0"/>
          <w:bCs w:val="0"/>
          <w:i w:val="0"/>
          <w:iCs w:val="0"/>
        </w:rPr>
      </w:pPr>
      <w:r w:rsidRPr="0030538F">
        <w:rPr>
          <w:rStyle w:val="References"/>
          <w:b w:val="0"/>
          <w:bCs w:val="0"/>
          <w:i w:val="0"/>
          <w:iCs w:val="0"/>
        </w:rPr>
        <w:t xml:space="preserve">A statutory manager may deal with </w:t>
      </w:r>
      <w:r w:rsidR="0031487F">
        <w:rPr>
          <w:rStyle w:val="References"/>
          <w:b w:val="0"/>
          <w:bCs w:val="0"/>
          <w:i w:val="0"/>
          <w:iCs w:val="0"/>
        </w:rPr>
        <w:t xml:space="preserve">the </w:t>
      </w:r>
      <w:r w:rsidRPr="0030538F">
        <w:rPr>
          <w:rStyle w:val="References"/>
          <w:b w:val="0"/>
          <w:bCs w:val="0"/>
          <w:i w:val="0"/>
          <w:iCs w:val="0"/>
        </w:rPr>
        <w:t>secured property</w:t>
      </w:r>
      <w:r w:rsidR="0031487F">
        <w:rPr>
          <w:rStyle w:val="References"/>
          <w:b w:val="0"/>
          <w:bCs w:val="0"/>
          <w:i w:val="0"/>
          <w:iCs w:val="0"/>
        </w:rPr>
        <w:t xml:space="preserve"> of a body corporate </w:t>
      </w:r>
      <w:r w:rsidRPr="0030538F">
        <w:rPr>
          <w:rStyle w:val="References"/>
          <w:b w:val="0"/>
          <w:bCs w:val="0"/>
          <w:i w:val="0"/>
          <w:iCs w:val="0"/>
        </w:rPr>
        <w:t xml:space="preserve">in any way the body corporate could deal with the secured property subject to </w:t>
      </w:r>
      <w:r w:rsidR="0031487F">
        <w:rPr>
          <w:rStyle w:val="References"/>
          <w:b w:val="0"/>
          <w:bCs w:val="0"/>
          <w:i w:val="0"/>
          <w:iCs w:val="0"/>
        </w:rPr>
        <w:t>certain conditions</w:t>
      </w:r>
      <w:r w:rsidRPr="0030538F">
        <w:rPr>
          <w:rStyle w:val="References"/>
          <w:b w:val="0"/>
          <w:bCs w:val="0"/>
          <w:i w:val="0"/>
          <w:iCs w:val="0"/>
        </w:rPr>
        <w:t xml:space="preserve">. The </w:t>
      </w:r>
      <w:r>
        <w:rPr>
          <w:rStyle w:val="References"/>
          <w:b w:val="0"/>
          <w:bCs w:val="0"/>
          <w:i w:val="0"/>
          <w:iCs w:val="0"/>
        </w:rPr>
        <w:t xml:space="preserve">statutory manager </w:t>
      </w:r>
      <w:r w:rsidRPr="0030538F">
        <w:rPr>
          <w:rStyle w:val="References"/>
          <w:b w:val="0"/>
          <w:bCs w:val="0"/>
          <w:i w:val="0"/>
          <w:iCs w:val="0"/>
        </w:rPr>
        <w:t xml:space="preserve">may deal with </w:t>
      </w:r>
      <w:r>
        <w:rPr>
          <w:rStyle w:val="References"/>
          <w:b w:val="0"/>
          <w:bCs w:val="0"/>
          <w:i w:val="0"/>
          <w:iCs w:val="0"/>
        </w:rPr>
        <w:t xml:space="preserve">the </w:t>
      </w:r>
      <w:r w:rsidRPr="0030538F">
        <w:rPr>
          <w:rStyle w:val="References"/>
          <w:b w:val="0"/>
          <w:bCs w:val="0"/>
          <w:i w:val="0"/>
          <w:iCs w:val="0"/>
        </w:rPr>
        <w:t xml:space="preserve">secured property </w:t>
      </w:r>
      <w:r>
        <w:rPr>
          <w:rStyle w:val="References"/>
          <w:b w:val="0"/>
          <w:bCs w:val="0"/>
          <w:i w:val="0"/>
          <w:iCs w:val="0"/>
        </w:rPr>
        <w:t>as if it had the original character, where the secured property may be treated as:</w:t>
      </w:r>
      <w:r w:rsidRPr="007E0C25">
        <w:rPr>
          <w:rStyle w:val="References"/>
          <w:b w:val="0"/>
          <w:bCs w:val="0"/>
          <w:i w:val="0"/>
          <w:iCs w:val="0"/>
        </w:rPr>
        <w:t xml:space="preserve"> </w:t>
      </w:r>
    </w:p>
    <w:p w14:paraId="3B058567" w14:textId="62591A67" w:rsidR="00A678B0" w:rsidRDefault="00A678B0" w:rsidP="00A678B0">
      <w:pPr>
        <w:pStyle w:val="Dotpoint1"/>
        <w:rPr>
          <w:rStyle w:val="References"/>
          <w:b w:val="0"/>
          <w:bCs w:val="0"/>
          <w:i w:val="0"/>
          <w:iCs w:val="0"/>
        </w:rPr>
      </w:pPr>
      <w:r>
        <w:rPr>
          <w:rStyle w:val="References"/>
          <w:b w:val="0"/>
          <w:bCs w:val="0"/>
          <w:i w:val="0"/>
          <w:iCs w:val="0"/>
        </w:rPr>
        <w:t xml:space="preserve">a circulating asset – if </w:t>
      </w:r>
      <w:r w:rsidR="0031487F">
        <w:rPr>
          <w:rStyle w:val="References"/>
          <w:b w:val="0"/>
          <w:bCs w:val="0"/>
          <w:i w:val="0"/>
          <w:iCs w:val="0"/>
        </w:rPr>
        <w:t>the PPSA security interest</w:t>
      </w:r>
      <w:r>
        <w:rPr>
          <w:rStyle w:val="References"/>
          <w:b w:val="0"/>
          <w:bCs w:val="0"/>
          <w:i w:val="0"/>
          <w:iCs w:val="0"/>
        </w:rPr>
        <w:t xml:space="preserve"> had </w:t>
      </w:r>
      <w:r w:rsidRPr="007E0C25">
        <w:rPr>
          <w:rStyle w:val="References"/>
          <w:b w:val="0"/>
          <w:bCs w:val="0"/>
          <w:i w:val="0"/>
          <w:iCs w:val="0"/>
        </w:rPr>
        <w:t>stopped being a circulating asset</w:t>
      </w:r>
      <w:r>
        <w:rPr>
          <w:rStyle w:val="References"/>
          <w:b w:val="0"/>
          <w:bCs w:val="0"/>
          <w:i w:val="0"/>
          <w:iCs w:val="0"/>
        </w:rPr>
        <w:t>; or</w:t>
      </w:r>
    </w:p>
    <w:p w14:paraId="4CA5888E" w14:textId="1DEE9A51" w:rsidR="00A678B0" w:rsidRPr="0031487F" w:rsidRDefault="00A678B0" w:rsidP="0031487F">
      <w:pPr>
        <w:pStyle w:val="Dotpoint1"/>
        <w:rPr>
          <w:rStyle w:val="References"/>
          <w:b w:val="0"/>
          <w:bCs w:val="0"/>
          <w:i w:val="0"/>
          <w:iCs w:val="0"/>
        </w:rPr>
      </w:pPr>
      <w:r>
        <w:rPr>
          <w:rStyle w:val="References"/>
          <w:b w:val="0"/>
          <w:bCs w:val="0"/>
          <w:i w:val="0"/>
          <w:iCs w:val="0"/>
        </w:rPr>
        <w:t>a</w:t>
      </w:r>
      <w:r w:rsidRPr="007E0C25">
        <w:rPr>
          <w:rStyle w:val="References"/>
          <w:b w:val="0"/>
          <w:bCs w:val="0"/>
          <w:i w:val="0"/>
          <w:iCs w:val="0"/>
        </w:rPr>
        <w:t xml:space="preserve"> floating charge</w:t>
      </w:r>
      <w:r>
        <w:rPr>
          <w:rStyle w:val="References"/>
          <w:b w:val="0"/>
          <w:bCs w:val="0"/>
          <w:i w:val="0"/>
          <w:iCs w:val="0"/>
        </w:rPr>
        <w:t xml:space="preserve"> – if </w:t>
      </w:r>
      <w:r w:rsidR="0031487F">
        <w:rPr>
          <w:rStyle w:val="References"/>
          <w:b w:val="0"/>
          <w:bCs w:val="0"/>
          <w:i w:val="0"/>
          <w:iCs w:val="0"/>
        </w:rPr>
        <w:t>the security interest</w:t>
      </w:r>
      <w:r w:rsidRPr="007E0C25">
        <w:rPr>
          <w:rStyle w:val="References"/>
          <w:b w:val="0"/>
          <w:bCs w:val="0"/>
          <w:i w:val="0"/>
          <w:iCs w:val="0"/>
        </w:rPr>
        <w:t xml:space="preserve"> has become a fixed or specific charge</w:t>
      </w:r>
      <w:r>
        <w:rPr>
          <w:rStyle w:val="References"/>
          <w:b w:val="0"/>
          <w:bCs w:val="0"/>
          <w:i w:val="0"/>
          <w:iCs w:val="0"/>
        </w:rPr>
        <w:t xml:space="preserve">. </w:t>
      </w:r>
      <w:r w:rsidRPr="007E0C25">
        <w:rPr>
          <w:rStyle w:val="References"/>
          <w:b w:val="0"/>
          <w:bCs w:val="0"/>
          <w:i w:val="0"/>
          <w:iCs w:val="0"/>
        </w:rPr>
        <w:t xml:space="preserve"> </w:t>
      </w:r>
      <w:r w:rsidR="0031487F">
        <w:rPr>
          <w:rStyle w:val="References"/>
          <w:b w:val="0"/>
          <w:bCs w:val="0"/>
          <w:i w:val="0"/>
          <w:iCs w:val="0"/>
        </w:rPr>
        <w:br/>
      </w:r>
      <w:r>
        <w:rPr>
          <w:rStyle w:val="References"/>
        </w:rPr>
        <w:t xml:space="preserve">[Schedule </w:t>
      </w:r>
      <w:r w:rsidR="009A3F5E">
        <w:rPr>
          <w:rStyle w:val="References"/>
        </w:rPr>
        <w:t>1</w:t>
      </w:r>
      <w:r>
        <w:rPr>
          <w:rStyle w:val="References"/>
        </w:rPr>
        <w:t xml:space="preserve">, </w:t>
      </w:r>
      <w:r w:rsidR="00C568C9">
        <w:rPr>
          <w:rStyle w:val="References"/>
        </w:rPr>
        <w:t>item 14</w:t>
      </w:r>
      <w:r>
        <w:rPr>
          <w:rStyle w:val="References"/>
        </w:rPr>
        <w:t>, section 83</w:t>
      </w:r>
      <w:r w:rsidR="00D11A59">
        <w:rPr>
          <w:rStyle w:val="References"/>
        </w:rPr>
        <w:t>6</w:t>
      </w:r>
      <w:r>
        <w:rPr>
          <w:rStyle w:val="References"/>
        </w:rPr>
        <w:t>F of the Act]</w:t>
      </w:r>
    </w:p>
    <w:p w14:paraId="67E42BF6" w14:textId="77777777" w:rsidR="009F061F" w:rsidRDefault="009F061F" w:rsidP="009F061F">
      <w:pPr>
        <w:pStyle w:val="Normalparatextwithnumbers"/>
        <w:rPr>
          <w:bCs/>
          <w:iCs/>
        </w:rPr>
      </w:pPr>
      <w:r>
        <w:t xml:space="preserve">To safeguard the interests of creditors whose rights have been suspended from the operation of stay provisions, limits are introduced to prevent the statutory manager from disposing of the property that provides the security. The safeguard will be extended to prevent disposal of property owned or leased by another and operated by the body corporate. </w:t>
      </w:r>
      <w:r>
        <w:br/>
      </w:r>
      <w:r>
        <w:rPr>
          <w:rStyle w:val="References"/>
        </w:rPr>
        <w:t>[Schedule 1, item 14, subsection 836</w:t>
      </w:r>
      <w:proofErr w:type="gramStart"/>
      <w:r>
        <w:rPr>
          <w:rStyle w:val="References"/>
        </w:rPr>
        <w:t>G(</w:t>
      </w:r>
      <w:proofErr w:type="gramEnd"/>
      <w:r>
        <w:rPr>
          <w:rStyle w:val="References"/>
        </w:rPr>
        <w:t>1) of the Act]</w:t>
      </w:r>
    </w:p>
    <w:p w14:paraId="64577203" w14:textId="502D756B" w:rsidR="00BE60AB" w:rsidRDefault="00BE60AB" w:rsidP="003015A4">
      <w:pPr>
        <w:pStyle w:val="Normalparatextwithnumbers"/>
        <w:rPr>
          <w:bCs/>
          <w:iCs/>
        </w:rPr>
      </w:pPr>
      <w:r>
        <w:rPr>
          <w:bCs/>
          <w:iCs/>
        </w:rPr>
        <w:t>There are t</w:t>
      </w:r>
      <w:r w:rsidRPr="00BE60AB">
        <w:rPr>
          <w:bCs/>
          <w:iCs/>
        </w:rPr>
        <w:t xml:space="preserve">hree exceptions </w:t>
      </w:r>
      <w:r w:rsidR="00A81ED6">
        <w:rPr>
          <w:bCs/>
          <w:iCs/>
        </w:rPr>
        <w:t>that allow</w:t>
      </w:r>
      <w:r w:rsidR="006927FA">
        <w:rPr>
          <w:bCs/>
          <w:iCs/>
        </w:rPr>
        <w:t xml:space="preserve"> for</w:t>
      </w:r>
      <w:r w:rsidR="00A81ED6">
        <w:rPr>
          <w:bCs/>
          <w:iCs/>
        </w:rPr>
        <w:t xml:space="preserve"> disposal of property that is subject to a security interest under statutory management which distinguishes the security interest, </w:t>
      </w:r>
      <w:r>
        <w:rPr>
          <w:bCs/>
          <w:iCs/>
        </w:rPr>
        <w:t>including:</w:t>
      </w:r>
    </w:p>
    <w:p w14:paraId="61C3B736" w14:textId="58A5F90C" w:rsidR="00BE60AB" w:rsidRPr="00BE60AB" w:rsidRDefault="00BE60AB" w:rsidP="00BE60AB">
      <w:pPr>
        <w:pStyle w:val="Dotpoint1"/>
      </w:pPr>
      <w:r>
        <w:rPr>
          <w:bCs/>
          <w:iCs/>
        </w:rPr>
        <w:t>d</w:t>
      </w:r>
      <w:r w:rsidRPr="00BE60AB">
        <w:rPr>
          <w:bCs/>
          <w:iCs/>
        </w:rPr>
        <w:t>ispos</w:t>
      </w:r>
      <w:r>
        <w:rPr>
          <w:bCs/>
          <w:iCs/>
        </w:rPr>
        <w:t xml:space="preserve">ing </w:t>
      </w:r>
      <w:r w:rsidRPr="00BE60AB">
        <w:rPr>
          <w:bCs/>
          <w:iCs/>
        </w:rPr>
        <w:t xml:space="preserve">of </w:t>
      </w:r>
      <w:r w:rsidR="00A81ED6">
        <w:rPr>
          <w:bCs/>
          <w:iCs/>
        </w:rPr>
        <w:t xml:space="preserve">property </w:t>
      </w:r>
      <w:r w:rsidRPr="00BE60AB">
        <w:rPr>
          <w:bCs/>
          <w:iCs/>
        </w:rPr>
        <w:t xml:space="preserve">where this is done in the ordinary course of the </w:t>
      </w:r>
      <w:r w:rsidR="00A81ED6">
        <w:rPr>
          <w:bCs/>
          <w:iCs/>
        </w:rPr>
        <w:t xml:space="preserve">body corporate’s </w:t>
      </w:r>
      <w:proofErr w:type="gramStart"/>
      <w:r w:rsidRPr="00BE60AB">
        <w:rPr>
          <w:bCs/>
          <w:iCs/>
        </w:rPr>
        <w:t>business</w:t>
      </w:r>
      <w:r>
        <w:rPr>
          <w:bCs/>
          <w:iCs/>
        </w:rPr>
        <w:t>;</w:t>
      </w:r>
      <w:proofErr w:type="gramEnd"/>
      <w:r w:rsidRPr="00BE60AB">
        <w:rPr>
          <w:bCs/>
          <w:iCs/>
        </w:rPr>
        <w:t xml:space="preserve"> </w:t>
      </w:r>
    </w:p>
    <w:p w14:paraId="53665121" w14:textId="37C2E9D7" w:rsidR="00BE60AB" w:rsidRPr="00BE60AB" w:rsidRDefault="00BE60AB" w:rsidP="00BE60AB">
      <w:pPr>
        <w:pStyle w:val="Dotpoint1"/>
      </w:pPr>
      <w:r w:rsidRPr="00BE60AB">
        <w:rPr>
          <w:bCs/>
          <w:iCs/>
        </w:rPr>
        <w:t xml:space="preserve">the </w:t>
      </w:r>
      <w:r w:rsidR="009F061F">
        <w:rPr>
          <w:bCs/>
          <w:iCs/>
        </w:rPr>
        <w:t>c</w:t>
      </w:r>
      <w:r w:rsidR="00D11A59">
        <w:rPr>
          <w:bCs/>
          <w:iCs/>
        </w:rPr>
        <w:t>harge</w:t>
      </w:r>
      <w:r w:rsidRPr="00BE60AB">
        <w:rPr>
          <w:bCs/>
          <w:iCs/>
        </w:rPr>
        <w:t>, owner or lessor consent</w:t>
      </w:r>
      <w:r w:rsidR="00A81ED6">
        <w:rPr>
          <w:bCs/>
          <w:iCs/>
        </w:rPr>
        <w:t>s</w:t>
      </w:r>
      <w:r w:rsidRPr="00BE60AB">
        <w:rPr>
          <w:bCs/>
          <w:iCs/>
        </w:rPr>
        <w:t xml:space="preserve"> to the disposal</w:t>
      </w:r>
      <w:r w:rsidR="00A81ED6">
        <w:rPr>
          <w:bCs/>
          <w:iCs/>
        </w:rPr>
        <w:t xml:space="preserve">; or </w:t>
      </w:r>
      <w:r w:rsidRPr="00BE60AB">
        <w:rPr>
          <w:bCs/>
          <w:iCs/>
        </w:rPr>
        <w:t xml:space="preserve"> </w:t>
      </w:r>
    </w:p>
    <w:p w14:paraId="2D192B77" w14:textId="1EBCE24C" w:rsidR="0070797C" w:rsidRPr="00BE60AB" w:rsidRDefault="00A81ED6" w:rsidP="00BE60AB">
      <w:pPr>
        <w:pStyle w:val="Dotpoint1"/>
      </w:pPr>
      <w:r>
        <w:rPr>
          <w:bCs/>
          <w:iCs/>
        </w:rPr>
        <w:lastRenderedPageBreak/>
        <w:t xml:space="preserve">the RBA consents or directs the disposal of property. </w:t>
      </w:r>
      <w:r>
        <w:rPr>
          <w:bCs/>
          <w:iCs/>
        </w:rPr>
        <w:br/>
      </w:r>
      <w:r>
        <w:rPr>
          <w:rStyle w:val="References"/>
        </w:rPr>
        <w:t xml:space="preserve">[Schedule </w:t>
      </w:r>
      <w:r w:rsidR="009A3F5E">
        <w:rPr>
          <w:rStyle w:val="References"/>
        </w:rPr>
        <w:t>1</w:t>
      </w:r>
      <w:r>
        <w:rPr>
          <w:rStyle w:val="References"/>
        </w:rPr>
        <w:t xml:space="preserve">, </w:t>
      </w:r>
      <w:r w:rsidR="00C568C9">
        <w:rPr>
          <w:rStyle w:val="References"/>
        </w:rPr>
        <w:t>item 14</w:t>
      </w:r>
      <w:r>
        <w:rPr>
          <w:rStyle w:val="References"/>
        </w:rPr>
        <w:t>, subsections 83</w:t>
      </w:r>
      <w:r w:rsidR="00D11A59">
        <w:rPr>
          <w:rStyle w:val="References"/>
        </w:rPr>
        <w:t>6</w:t>
      </w:r>
      <w:proofErr w:type="gramStart"/>
      <w:r>
        <w:rPr>
          <w:rStyle w:val="References"/>
        </w:rPr>
        <w:t>G(</w:t>
      </w:r>
      <w:proofErr w:type="gramEnd"/>
      <w:r>
        <w:rPr>
          <w:rStyle w:val="References"/>
        </w:rPr>
        <w:t>2)</w:t>
      </w:r>
      <w:r w:rsidR="000046EE">
        <w:rPr>
          <w:rStyle w:val="References"/>
        </w:rPr>
        <w:t xml:space="preserve"> and </w:t>
      </w:r>
      <w:r>
        <w:rPr>
          <w:rStyle w:val="References"/>
        </w:rPr>
        <w:t>(3) of the Act</w:t>
      </w:r>
      <w:r w:rsidR="00D11A59">
        <w:rPr>
          <w:rStyle w:val="References"/>
        </w:rPr>
        <w:t>]</w:t>
      </w:r>
    </w:p>
    <w:p w14:paraId="27662587" w14:textId="35D3374B" w:rsidR="008F6F54" w:rsidRDefault="008F6F54" w:rsidP="006110BC">
      <w:pPr>
        <w:pStyle w:val="Normalparatextwithnumbers"/>
        <w:rPr>
          <w:rStyle w:val="References"/>
          <w:b w:val="0"/>
          <w:bCs w:val="0"/>
          <w:i w:val="0"/>
          <w:iCs w:val="0"/>
        </w:rPr>
      </w:pPr>
      <w:r>
        <w:rPr>
          <w:rStyle w:val="References"/>
          <w:b w:val="0"/>
          <w:bCs w:val="0"/>
          <w:i w:val="0"/>
          <w:iCs w:val="0"/>
        </w:rPr>
        <w:t>A disposal of property may be considered in the ordinary course of business despite the owner demanding the return of property, subject to</w:t>
      </w:r>
      <w:r w:rsidR="006468BC">
        <w:rPr>
          <w:rStyle w:val="References"/>
          <w:b w:val="0"/>
          <w:bCs w:val="0"/>
          <w:i w:val="0"/>
          <w:iCs w:val="0"/>
        </w:rPr>
        <w:t xml:space="preserve"> the f</w:t>
      </w:r>
      <w:r w:rsidR="000066DF">
        <w:rPr>
          <w:rStyle w:val="References"/>
          <w:b w:val="0"/>
          <w:bCs w:val="0"/>
          <w:i w:val="0"/>
          <w:iCs w:val="0"/>
        </w:rPr>
        <w:t>ollowing conditions</w:t>
      </w:r>
      <w:r>
        <w:rPr>
          <w:rStyle w:val="References"/>
          <w:b w:val="0"/>
          <w:bCs w:val="0"/>
          <w:i w:val="0"/>
          <w:iCs w:val="0"/>
        </w:rPr>
        <w:t xml:space="preserve">: </w:t>
      </w:r>
    </w:p>
    <w:p w14:paraId="0277E882" w14:textId="1D0100AF" w:rsidR="008F6F54" w:rsidRDefault="008F6F54" w:rsidP="008F6F54">
      <w:pPr>
        <w:pStyle w:val="Dotpoint1"/>
        <w:rPr>
          <w:rStyle w:val="References"/>
          <w:b w:val="0"/>
          <w:bCs w:val="0"/>
          <w:i w:val="0"/>
          <w:iCs w:val="0"/>
        </w:rPr>
      </w:pPr>
      <w:r>
        <w:rPr>
          <w:rStyle w:val="References"/>
          <w:b w:val="0"/>
          <w:bCs w:val="0"/>
          <w:i w:val="0"/>
          <w:iCs w:val="0"/>
        </w:rPr>
        <w:t xml:space="preserve">the </w:t>
      </w:r>
      <w:r w:rsidR="00AF7468">
        <w:rPr>
          <w:rStyle w:val="References"/>
          <w:b w:val="0"/>
          <w:bCs w:val="0"/>
          <w:i w:val="0"/>
          <w:iCs w:val="0"/>
        </w:rPr>
        <w:t>property is us</w:t>
      </w:r>
      <w:r>
        <w:rPr>
          <w:rStyle w:val="References"/>
          <w:b w:val="0"/>
          <w:bCs w:val="0"/>
          <w:i w:val="0"/>
          <w:iCs w:val="0"/>
        </w:rPr>
        <w:t>ed</w:t>
      </w:r>
      <w:r w:rsidR="00AF7468">
        <w:rPr>
          <w:rStyle w:val="References"/>
          <w:b w:val="0"/>
          <w:bCs w:val="0"/>
          <w:i w:val="0"/>
          <w:iCs w:val="0"/>
        </w:rPr>
        <w:t xml:space="preserve"> or occupi</w:t>
      </w:r>
      <w:r>
        <w:rPr>
          <w:rStyle w:val="References"/>
          <w:b w:val="0"/>
          <w:bCs w:val="0"/>
          <w:i w:val="0"/>
          <w:iCs w:val="0"/>
        </w:rPr>
        <w:t>ed</w:t>
      </w:r>
      <w:r w:rsidR="00AF7468">
        <w:rPr>
          <w:rStyle w:val="References"/>
          <w:b w:val="0"/>
          <w:bCs w:val="0"/>
          <w:i w:val="0"/>
          <w:iCs w:val="0"/>
        </w:rPr>
        <w:t>,</w:t>
      </w:r>
      <w:r>
        <w:rPr>
          <w:rStyle w:val="References"/>
          <w:b w:val="0"/>
          <w:bCs w:val="0"/>
          <w:i w:val="0"/>
          <w:iCs w:val="0"/>
        </w:rPr>
        <w:t xml:space="preserve"> or in the possession of a body corporate;</w:t>
      </w:r>
      <w:r w:rsidR="00AF7468">
        <w:rPr>
          <w:rStyle w:val="References"/>
          <w:b w:val="0"/>
          <w:bCs w:val="0"/>
          <w:i w:val="0"/>
          <w:iCs w:val="0"/>
        </w:rPr>
        <w:t xml:space="preserve"> </w:t>
      </w:r>
      <w:r>
        <w:rPr>
          <w:rStyle w:val="References"/>
          <w:b w:val="0"/>
          <w:bCs w:val="0"/>
          <w:i w:val="0"/>
          <w:iCs w:val="0"/>
        </w:rPr>
        <w:t>and</w:t>
      </w:r>
    </w:p>
    <w:p w14:paraId="2AE1993A" w14:textId="6447A467" w:rsidR="008F6F54" w:rsidRDefault="00AF7468" w:rsidP="008F6F54">
      <w:pPr>
        <w:pStyle w:val="Dotpoint1"/>
        <w:rPr>
          <w:rStyle w:val="References"/>
          <w:b w:val="0"/>
          <w:bCs w:val="0"/>
          <w:i w:val="0"/>
          <w:iCs w:val="0"/>
        </w:rPr>
      </w:pPr>
      <w:r>
        <w:rPr>
          <w:rStyle w:val="References"/>
          <w:b w:val="0"/>
          <w:bCs w:val="0"/>
          <w:i w:val="0"/>
          <w:iCs w:val="0"/>
        </w:rPr>
        <w:t>another person is the owner</w:t>
      </w:r>
      <w:r w:rsidR="008F6F54">
        <w:rPr>
          <w:rStyle w:val="References"/>
          <w:b w:val="0"/>
          <w:bCs w:val="0"/>
          <w:i w:val="0"/>
          <w:iCs w:val="0"/>
        </w:rPr>
        <w:t xml:space="preserve"> of</w:t>
      </w:r>
      <w:r>
        <w:rPr>
          <w:rStyle w:val="References"/>
          <w:b w:val="0"/>
          <w:bCs w:val="0"/>
          <w:i w:val="0"/>
          <w:iCs w:val="0"/>
        </w:rPr>
        <w:t xml:space="preserve"> the property</w:t>
      </w:r>
      <w:r w:rsidR="008F6F54">
        <w:rPr>
          <w:rStyle w:val="References"/>
          <w:b w:val="0"/>
          <w:bCs w:val="0"/>
          <w:i w:val="0"/>
          <w:iCs w:val="0"/>
        </w:rPr>
        <w:t>; and</w:t>
      </w:r>
      <w:r>
        <w:rPr>
          <w:rStyle w:val="References"/>
          <w:b w:val="0"/>
          <w:bCs w:val="0"/>
          <w:i w:val="0"/>
          <w:iCs w:val="0"/>
        </w:rPr>
        <w:t xml:space="preserve"> </w:t>
      </w:r>
    </w:p>
    <w:p w14:paraId="7F95EABB" w14:textId="4A83EF5F" w:rsidR="00AF7468" w:rsidRPr="006E652A" w:rsidRDefault="008F6F54" w:rsidP="008F6F54">
      <w:pPr>
        <w:pStyle w:val="Dotpoint1"/>
        <w:rPr>
          <w:rStyle w:val="References"/>
          <w:b w:val="0"/>
          <w:i w:val="0"/>
        </w:rPr>
      </w:pPr>
      <w:r>
        <w:rPr>
          <w:rStyle w:val="References"/>
          <w:b w:val="0"/>
          <w:bCs w:val="0"/>
          <w:i w:val="0"/>
          <w:iCs w:val="0"/>
        </w:rPr>
        <w:t>the property is either a</w:t>
      </w:r>
      <w:r w:rsidR="00AF7468">
        <w:rPr>
          <w:rStyle w:val="References"/>
          <w:b w:val="0"/>
          <w:bCs w:val="0"/>
          <w:i w:val="0"/>
          <w:iCs w:val="0"/>
        </w:rPr>
        <w:t xml:space="preserve"> </w:t>
      </w:r>
      <w:r w:rsidR="00AF7468" w:rsidRPr="006110BC">
        <w:rPr>
          <w:rStyle w:val="References"/>
          <w:b w:val="0"/>
          <w:bCs w:val="0"/>
          <w:i w:val="0"/>
          <w:iCs w:val="0"/>
        </w:rPr>
        <w:t>P</w:t>
      </w:r>
      <w:r w:rsidR="006110BC" w:rsidRPr="00D17A3E">
        <w:rPr>
          <w:rStyle w:val="References"/>
          <w:b w:val="0"/>
          <w:bCs w:val="0"/>
          <w:i w:val="0"/>
          <w:iCs w:val="0"/>
        </w:rPr>
        <w:t>P</w:t>
      </w:r>
      <w:r w:rsidR="00AF7468" w:rsidRPr="006110BC">
        <w:rPr>
          <w:rStyle w:val="References"/>
          <w:b w:val="0"/>
          <w:bCs w:val="0"/>
          <w:i w:val="0"/>
          <w:iCs w:val="0"/>
        </w:rPr>
        <w:t>SA retention of title property or subject to a retention of title clause under a contract</w:t>
      </w:r>
      <w:r>
        <w:rPr>
          <w:rStyle w:val="References"/>
          <w:b w:val="0"/>
          <w:bCs w:val="0"/>
          <w:i w:val="0"/>
          <w:iCs w:val="0"/>
        </w:rPr>
        <w:t>.</w:t>
      </w:r>
      <w:r w:rsidR="00AF7468">
        <w:rPr>
          <w:rStyle w:val="References"/>
        </w:rPr>
        <w:br/>
        <w:t xml:space="preserve">[Schedule </w:t>
      </w:r>
      <w:r w:rsidR="009A3F5E">
        <w:rPr>
          <w:rStyle w:val="References"/>
        </w:rPr>
        <w:t>1</w:t>
      </w:r>
      <w:r w:rsidR="00AF7468">
        <w:rPr>
          <w:rStyle w:val="References"/>
        </w:rPr>
        <w:t xml:space="preserve">, </w:t>
      </w:r>
      <w:r w:rsidR="00C568C9">
        <w:rPr>
          <w:rStyle w:val="References"/>
        </w:rPr>
        <w:t>item 14</w:t>
      </w:r>
      <w:r w:rsidR="00AF7468">
        <w:rPr>
          <w:rStyle w:val="References"/>
        </w:rPr>
        <w:t>, subsection 83</w:t>
      </w:r>
      <w:r w:rsidR="00D11A59">
        <w:rPr>
          <w:rStyle w:val="References"/>
        </w:rPr>
        <w:t>6</w:t>
      </w:r>
      <w:proofErr w:type="gramStart"/>
      <w:r w:rsidR="00897B25">
        <w:rPr>
          <w:rStyle w:val="References"/>
        </w:rPr>
        <w:t>G</w:t>
      </w:r>
      <w:r w:rsidR="00AF7468">
        <w:rPr>
          <w:rStyle w:val="References"/>
        </w:rPr>
        <w:t>(</w:t>
      </w:r>
      <w:proofErr w:type="gramEnd"/>
      <w:r w:rsidR="00AF7468">
        <w:rPr>
          <w:rStyle w:val="References"/>
        </w:rPr>
        <w:t>4) of the Act]</w:t>
      </w:r>
    </w:p>
    <w:p w14:paraId="6B37E729" w14:textId="77AEE56F" w:rsidR="00A678B0" w:rsidRPr="00A678B0" w:rsidRDefault="00A678B0" w:rsidP="00A678B0">
      <w:pPr>
        <w:pStyle w:val="Heading6"/>
        <w:rPr>
          <w:rStyle w:val="References"/>
          <w:rFonts w:ascii="Helvetica" w:hAnsi="Helvetica"/>
          <w:b w:val="0"/>
          <w:bCs w:val="0"/>
          <w:i/>
          <w:iCs w:val="0"/>
        </w:rPr>
      </w:pPr>
      <w:r w:rsidRPr="00A678B0">
        <w:rPr>
          <w:rStyle w:val="References"/>
          <w:rFonts w:ascii="Helvetica" w:hAnsi="Helvetica"/>
          <w:b w:val="0"/>
          <w:bCs w:val="0"/>
          <w:i/>
          <w:iCs w:val="0"/>
        </w:rPr>
        <w:t>Proceeds of sale of property</w:t>
      </w:r>
    </w:p>
    <w:p w14:paraId="349D8C77" w14:textId="77A43411" w:rsidR="00C50A12" w:rsidRDefault="00AF7468" w:rsidP="00AF7468">
      <w:pPr>
        <w:pStyle w:val="Normalparatextwithnumbers"/>
        <w:rPr>
          <w:rStyle w:val="References"/>
          <w:b w:val="0"/>
          <w:bCs w:val="0"/>
          <w:i w:val="0"/>
          <w:iCs w:val="0"/>
        </w:rPr>
      </w:pPr>
      <w:r>
        <w:rPr>
          <w:rStyle w:val="References"/>
          <w:b w:val="0"/>
          <w:bCs w:val="0"/>
          <w:i w:val="0"/>
          <w:iCs w:val="0"/>
        </w:rPr>
        <w:t xml:space="preserve">The amendments include specific procedures for the net sale proceeds of a property a statutory manager disposes of by sale if a body corporate is under statutory management. </w:t>
      </w:r>
    </w:p>
    <w:p w14:paraId="355AF328" w14:textId="380325C0" w:rsidR="00AF7468" w:rsidRPr="006E652A" w:rsidRDefault="00AF7468" w:rsidP="00AF7468">
      <w:pPr>
        <w:pStyle w:val="Normalparatextwithnumbers"/>
        <w:rPr>
          <w:rStyle w:val="References"/>
          <w:b w:val="0"/>
          <w:i w:val="0"/>
        </w:rPr>
      </w:pPr>
      <w:r w:rsidRPr="00C1542C">
        <w:rPr>
          <w:rStyle w:val="References"/>
          <w:b w:val="0"/>
          <w:bCs w:val="0"/>
          <w:i w:val="0"/>
          <w:iCs w:val="0"/>
        </w:rPr>
        <w:t>I</w:t>
      </w:r>
      <w:r w:rsidR="00B276AE">
        <w:rPr>
          <w:rStyle w:val="References"/>
          <w:b w:val="0"/>
          <w:bCs w:val="0"/>
          <w:i w:val="0"/>
          <w:iCs w:val="0"/>
        </w:rPr>
        <w:t xml:space="preserve">n the event there is </w:t>
      </w:r>
      <w:r w:rsidR="00655F72">
        <w:rPr>
          <w:rStyle w:val="References"/>
          <w:b w:val="0"/>
          <w:bCs w:val="0"/>
          <w:i w:val="0"/>
          <w:iCs w:val="0"/>
        </w:rPr>
        <w:t xml:space="preserve">excess proceeds </w:t>
      </w:r>
      <w:r w:rsidR="00B276AE">
        <w:rPr>
          <w:rStyle w:val="References"/>
          <w:b w:val="0"/>
          <w:bCs w:val="0"/>
          <w:i w:val="0"/>
          <w:iCs w:val="0"/>
        </w:rPr>
        <w:t xml:space="preserve">from the </w:t>
      </w:r>
      <w:r w:rsidRPr="00C1542C">
        <w:rPr>
          <w:rStyle w:val="References"/>
          <w:b w:val="0"/>
          <w:bCs w:val="0"/>
          <w:i w:val="0"/>
          <w:iCs w:val="0"/>
        </w:rPr>
        <w:t xml:space="preserve">sale </w:t>
      </w:r>
      <w:r w:rsidR="00B276AE">
        <w:rPr>
          <w:rStyle w:val="References"/>
          <w:b w:val="0"/>
          <w:bCs w:val="0"/>
          <w:i w:val="0"/>
          <w:iCs w:val="0"/>
        </w:rPr>
        <w:t xml:space="preserve">of property, </w:t>
      </w:r>
      <w:r w:rsidRPr="00C1542C">
        <w:rPr>
          <w:rStyle w:val="References"/>
          <w:b w:val="0"/>
          <w:bCs w:val="0"/>
          <w:i w:val="0"/>
          <w:iCs w:val="0"/>
        </w:rPr>
        <w:t xml:space="preserve">the </w:t>
      </w:r>
      <w:r w:rsidR="00B276AE" w:rsidRPr="00C1542C">
        <w:rPr>
          <w:rStyle w:val="References"/>
          <w:b w:val="0"/>
          <w:bCs w:val="0"/>
          <w:i w:val="0"/>
          <w:iCs w:val="0"/>
        </w:rPr>
        <w:t xml:space="preserve">statutory manager must set aside the net proceeds </w:t>
      </w:r>
      <w:r w:rsidR="00B276AE">
        <w:rPr>
          <w:rStyle w:val="References"/>
          <w:b w:val="0"/>
          <w:bCs w:val="0"/>
          <w:i w:val="0"/>
          <w:iCs w:val="0"/>
        </w:rPr>
        <w:t xml:space="preserve">to pay any </w:t>
      </w:r>
      <w:r w:rsidRPr="00C1542C">
        <w:rPr>
          <w:rStyle w:val="References"/>
          <w:b w:val="0"/>
          <w:bCs w:val="0"/>
          <w:i w:val="0"/>
          <w:iCs w:val="0"/>
        </w:rPr>
        <w:t xml:space="preserve">debts </w:t>
      </w:r>
      <w:r w:rsidR="00B276AE">
        <w:rPr>
          <w:rStyle w:val="References"/>
          <w:b w:val="0"/>
          <w:bCs w:val="0"/>
          <w:i w:val="0"/>
          <w:iCs w:val="0"/>
        </w:rPr>
        <w:t xml:space="preserve">secured by </w:t>
      </w:r>
      <w:r w:rsidRPr="00C1542C">
        <w:rPr>
          <w:rStyle w:val="References"/>
          <w:b w:val="0"/>
          <w:bCs w:val="0"/>
          <w:i w:val="0"/>
          <w:iCs w:val="0"/>
        </w:rPr>
        <w:t xml:space="preserve">the possessory security interest </w:t>
      </w:r>
      <w:r w:rsidR="00B276AE">
        <w:rPr>
          <w:rStyle w:val="References"/>
          <w:b w:val="0"/>
          <w:bCs w:val="0"/>
          <w:i w:val="0"/>
          <w:iCs w:val="0"/>
        </w:rPr>
        <w:t>and</w:t>
      </w:r>
      <w:r w:rsidRPr="00C1542C">
        <w:rPr>
          <w:rStyle w:val="References"/>
          <w:b w:val="0"/>
          <w:bCs w:val="0"/>
          <w:i w:val="0"/>
          <w:iCs w:val="0"/>
        </w:rPr>
        <w:t xml:space="preserve"> any other security interest in the property with a priority interest</w:t>
      </w:r>
      <w:r w:rsidR="00B276AE">
        <w:rPr>
          <w:rStyle w:val="References"/>
          <w:b w:val="0"/>
          <w:bCs w:val="0"/>
          <w:i w:val="0"/>
          <w:iCs w:val="0"/>
        </w:rPr>
        <w:t>.</w:t>
      </w:r>
      <w:r w:rsidRPr="00C1542C">
        <w:rPr>
          <w:rStyle w:val="References"/>
          <w:b w:val="0"/>
          <w:bCs w:val="0"/>
          <w:i w:val="0"/>
          <w:iCs w:val="0"/>
        </w:rPr>
        <w:t xml:space="preserve"> </w:t>
      </w:r>
      <w:r>
        <w:rPr>
          <w:rStyle w:val="References"/>
        </w:rPr>
        <w:br/>
        <w:t xml:space="preserve">[Schedule </w:t>
      </w:r>
      <w:r w:rsidR="009A3F5E">
        <w:rPr>
          <w:rStyle w:val="References"/>
        </w:rPr>
        <w:t>1</w:t>
      </w:r>
      <w:r>
        <w:rPr>
          <w:rStyle w:val="References"/>
        </w:rPr>
        <w:t xml:space="preserve">, </w:t>
      </w:r>
      <w:r w:rsidR="00C568C9">
        <w:rPr>
          <w:rStyle w:val="References"/>
        </w:rPr>
        <w:t>item 14</w:t>
      </w:r>
      <w:r>
        <w:rPr>
          <w:rStyle w:val="References"/>
        </w:rPr>
        <w:t>, paragraphs 83</w:t>
      </w:r>
      <w:r w:rsidR="00D11A59">
        <w:rPr>
          <w:rStyle w:val="References"/>
        </w:rPr>
        <w:t>6H</w:t>
      </w:r>
      <w:r>
        <w:rPr>
          <w:rStyle w:val="References"/>
        </w:rPr>
        <w:t>(1)(a)</w:t>
      </w:r>
      <w:r w:rsidR="003626F5">
        <w:rPr>
          <w:rStyle w:val="References"/>
        </w:rPr>
        <w:t xml:space="preserve">, (b), (c) and </w:t>
      </w:r>
      <w:r>
        <w:rPr>
          <w:rStyle w:val="References"/>
        </w:rPr>
        <w:t>(d) of the Act]</w:t>
      </w:r>
    </w:p>
    <w:p w14:paraId="7D2F1CAB" w14:textId="0E94034E" w:rsidR="00AF7468" w:rsidRPr="003163F1" w:rsidRDefault="00B276AE" w:rsidP="00AF7468">
      <w:pPr>
        <w:pStyle w:val="Normalparatextwithnumbers"/>
        <w:rPr>
          <w:rStyle w:val="References"/>
          <w:b w:val="0"/>
          <w:i w:val="0"/>
        </w:rPr>
      </w:pPr>
      <w:r>
        <w:rPr>
          <w:rStyle w:val="References"/>
          <w:b w:val="0"/>
          <w:bCs w:val="0"/>
          <w:i w:val="0"/>
          <w:iCs w:val="0"/>
        </w:rPr>
        <w:t>Where there is a short</w:t>
      </w:r>
      <w:r w:rsidR="00AF7468" w:rsidRPr="00760DD6">
        <w:rPr>
          <w:rStyle w:val="References"/>
          <w:b w:val="0"/>
          <w:bCs w:val="0"/>
          <w:i w:val="0"/>
          <w:iCs w:val="0"/>
        </w:rPr>
        <w:t xml:space="preserve">fall </w:t>
      </w:r>
      <w:r>
        <w:rPr>
          <w:rStyle w:val="References"/>
          <w:b w:val="0"/>
          <w:bCs w:val="0"/>
          <w:i w:val="0"/>
          <w:iCs w:val="0"/>
        </w:rPr>
        <w:t>from the sale of property</w:t>
      </w:r>
      <w:r w:rsidR="006838A7">
        <w:rPr>
          <w:rStyle w:val="References"/>
          <w:b w:val="0"/>
          <w:bCs w:val="0"/>
          <w:i w:val="0"/>
          <w:iCs w:val="0"/>
        </w:rPr>
        <w:t>, debts must be paid in the order o</w:t>
      </w:r>
      <w:r w:rsidR="004766F7">
        <w:rPr>
          <w:rStyle w:val="References"/>
          <w:b w:val="0"/>
          <w:bCs w:val="0"/>
          <w:i w:val="0"/>
          <w:iCs w:val="0"/>
        </w:rPr>
        <w:t>f</w:t>
      </w:r>
      <w:r w:rsidR="006838A7">
        <w:rPr>
          <w:rStyle w:val="References"/>
          <w:b w:val="0"/>
          <w:bCs w:val="0"/>
          <w:i w:val="0"/>
          <w:iCs w:val="0"/>
        </w:rPr>
        <w:t xml:space="preserve"> priority, and where there </w:t>
      </w:r>
      <w:r w:rsidR="004766F7">
        <w:rPr>
          <w:rStyle w:val="References"/>
          <w:b w:val="0"/>
          <w:bCs w:val="0"/>
          <w:i w:val="0"/>
          <w:iCs w:val="0"/>
        </w:rPr>
        <w:t>are</w:t>
      </w:r>
      <w:r w:rsidR="006838A7">
        <w:rPr>
          <w:rStyle w:val="References"/>
          <w:b w:val="0"/>
          <w:bCs w:val="0"/>
          <w:i w:val="0"/>
          <w:iCs w:val="0"/>
        </w:rPr>
        <w:t xml:space="preserve"> outstanding debts </w:t>
      </w:r>
      <w:r w:rsidR="00A969AC">
        <w:rPr>
          <w:rStyle w:val="References"/>
          <w:b w:val="0"/>
          <w:bCs w:val="0"/>
          <w:i w:val="0"/>
          <w:iCs w:val="0"/>
        </w:rPr>
        <w:t>the amount of</w:t>
      </w:r>
      <w:r w:rsidR="00AF7468" w:rsidRPr="00760DD6">
        <w:rPr>
          <w:rStyle w:val="References"/>
          <w:b w:val="0"/>
          <w:bCs w:val="0"/>
          <w:i w:val="0"/>
          <w:iCs w:val="0"/>
        </w:rPr>
        <w:t xml:space="preserve"> debt </w:t>
      </w:r>
      <w:r w:rsidR="00A969AC">
        <w:rPr>
          <w:rStyle w:val="References"/>
          <w:b w:val="0"/>
          <w:bCs w:val="0"/>
          <w:i w:val="0"/>
          <w:iCs w:val="0"/>
        </w:rPr>
        <w:t>that</w:t>
      </w:r>
      <w:r w:rsidR="00AF7468" w:rsidRPr="00760DD6">
        <w:rPr>
          <w:rStyle w:val="References"/>
          <w:b w:val="0"/>
          <w:bCs w:val="0"/>
          <w:i w:val="0"/>
          <w:iCs w:val="0"/>
        </w:rPr>
        <w:t xml:space="preserve"> remains unpaid can be recovered from the body corporate as an unsecured debt.</w:t>
      </w:r>
      <w:r w:rsidR="00AF7468">
        <w:rPr>
          <w:rStyle w:val="References"/>
          <w:b w:val="0"/>
          <w:bCs w:val="0"/>
          <w:i w:val="0"/>
          <w:iCs w:val="0"/>
        </w:rPr>
        <w:br/>
      </w:r>
      <w:r w:rsidR="00AF7468">
        <w:rPr>
          <w:rStyle w:val="References"/>
        </w:rPr>
        <w:t xml:space="preserve">[Schedule </w:t>
      </w:r>
      <w:r w:rsidR="009A3F5E">
        <w:rPr>
          <w:rStyle w:val="References"/>
        </w:rPr>
        <w:t>1</w:t>
      </w:r>
      <w:r w:rsidR="00AF7468">
        <w:rPr>
          <w:rStyle w:val="References"/>
        </w:rPr>
        <w:t xml:space="preserve">, </w:t>
      </w:r>
      <w:r w:rsidR="00C568C9">
        <w:rPr>
          <w:rStyle w:val="References"/>
        </w:rPr>
        <w:t>item 14</w:t>
      </w:r>
      <w:r w:rsidR="00AF7468">
        <w:rPr>
          <w:rStyle w:val="References"/>
        </w:rPr>
        <w:t>, paragraph 83</w:t>
      </w:r>
      <w:r w:rsidR="00D11A59">
        <w:rPr>
          <w:rStyle w:val="References"/>
        </w:rPr>
        <w:t>6</w:t>
      </w:r>
      <w:r w:rsidR="000A50A6">
        <w:rPr>
          <w:rStyle w:val="References"/>
        </w:rPr>
        <w:t>H</w:t>
      </w:r>
      <w:r w:rsidR="00AF7468">
        <w:rPr>
          <w:rStyle w:val="References"/>
        </w:rPr>
        <w:t>(1)</w:t>
      </w:r>
      <w:r w:rsidR="002D28D6">
        <w:rPr>
          <w:rStyle w:val="References"/>
        </w:rPr>
        <w:t>(e</w:t>
      </w:r>
      <w:r w:rsidR="00AF7468">
        <w:rPr>
          <w:rStyle w:val="References"/>
        </w:rPr>
        <w:t>) of the Act]</w:t>
      </w:r>
    </w:p>
    <w:p w14:paraId="35921B05" w14:textId="47A9003C" w:rsidR="00655F72" w:rsidRPr="00655F72" w:rsidRDefault="00655F72" w:rsidP="003015A4">
      <w:pPr>
        <w:pStyle w:val="Normalparatextwithnumbers"/>
        <w:rPr>
          <w:rStyle w:val="References"/>
          <w:b w:val="0"/>
          <w:bCs w:val="0"/>
          <w:i w:val="0"/>
          <w:iCs w:val="0"/>
        </w:rPr>
      </w:pPr>
      <w:r>
        <w:rPr>
          <w:rStyle w:val="References"/>
          <w:b w:val="0"/>
          <w:bCs w:val="0"/>
          <w:i w:val="0"/>
          <w:iCs w:val="0"/>
        </w:rPr>
        <w:t>The same process of determining excess or shortfall is used w</w:t>
      </w:r>
      <w:r w:rsidRPr="00655F72">
        <w:rPr>
          <w:rStyle w:val="References"/>
          <w:b w:val="0"/>
          <w:bCs w:val="0"/>
          <w:i w:val="0"/>
          <w:iCs w:val="0"/>
        </w:rPr>
        <w:t xml:space="preserve">hen a statutory manager sells property that is subject to a retention of title clause under the contract. </w:t>
      </w:r>
      <w:r w:rsidRPr="00655F72">
        <w:rPr>
          <w:rStyle w:val="References"/>
          <w:b w:val="0"/>
          <w:bCs w:val="0"/>
          <w:i w:val="0"/>
          <w:iCs w:val="0"/>
        </w:rPr>
        <w:br/>
      </w:r>
      <w:r>
        <w:rPr>
          <w:rStyle w:val="References"/>
        </w:rPr>
        <w:t xml:space="preserve">[Schedule </w:t>
      </w:r>
      <w:r w:rsidR="009A3F5E">
        <w:rPr>
          <w:rStyle w:val="References"/>
        </w:rPr>
        <w:t>1</w:t>
      </w:r>
      <w:r>
        <w:rPr>
          <w:rStyle w:val="References"/>
        </w:rPr>
        <w:t xml:space="preserve">, </w:t>
      </w:r>
      <w:r w:rsidR="00C568C9">
        <w:rPr>
          <w:rStyle w:val="References"/>
        </w:rPr>
        <w:t>item 14</w:t>
      </w:r>
      <w:r>
        <w:rPr>
          <w:rStyle w:val="References"/>
        </w:rPr>
        <w:t>, subsection 83</w:t>
      </w:r>
      <w:r w:rsidR="00D11A59">
        <w:rPr>
          <w:rStyle w:val="References"/>
        </w:rPr>
        <w:t>6</w:t>
      </w:r>
      <w:proofErr w:type="gramStart"/>
      <w:r>
        <w:rPr>
          <w:rStyle w:val="References"/>
        </w:rPr>
        <w:t>H(</w:t>
      </w:r>
      <w:proofErr w:type="gramEnd"/>
      <w:r>
        <w:rPr>
          <w:rStyle w:val="References"/>
        </w:rPr>
        <w:t>3) of the Act]</w:t>
      </w:r>
    </w:p>
    <w:p w14:paraId="136BD5D8" w14:textId="62D2DE62" w:rsidR="00AF7468" w:rsidRPr="006E652A" w:rsidRDefault="00655F72" w:rsidP="00AF7468">
      <w:pPr>
        <w:pStyle w:val="Normalparatextwithnumbers"/>
        <w:rPr>
          <w:rStyle w:val="References"/>
          <w:b w:val="0"/>
          <w:i w:val="0"/>
        </w:rPr>
      </w:pPr>
      <w:r>
        <w:rPr>
          <w:rStyle w:val="References"/>
          <w:b w:val="0"/>
          <w:bCs w:val="0"/>
          <w:i w:val="0"/>
          <w:iCs w:val="0"/>
        </w:rPr>
        <w:t>Contrastingly, for the</w:t>
      </w:r>
      <w:r w:rsidR="006838A7">
        <w:rPr>
          <w:rStyle w:val="References"/>
          <w:b w:val="0"/>
          <w:bCs w:val="0"/>
          <w:i w:val="0"/>
          <w:iCs w:val="0"/>
        </w:rPr>
        <w:t xml:space="preserve"> disposal of property that is a PPSA retention of title property, </w:t>
      </w:r>
      <w:r w:rsidR="00AF7468">
        <w:rPr>
          <w:rStyle w:val="References"/>
          <w:b w:val="0"/>
          <w:bCs w:val="0"/>
          <w:i w:val="0"/>
          <w:iCs w:val="0"/>
        </w:rPr>
        <w:t xml:space="preserve">the statutory manager must </w:t>
      </w:r>
      <w:r>
        <w:rPr>
          <w:rStyle w:val="References"/>
          <w:b w:val="0"/>
          <w:bCs w:val="0"/>
          <w:i w:val="0"/>
          <w:iCs w:val="0"/>
        </w:rPr>
        <w:t xml:space="preserve">instead </w:t>
      </w:r>
      <w:r w:rsidR="00AF7468">
        <w:rPr>
          <w:rStyle w:val="References"/>
          <w:b w:val="0"/>
          <w:bCs w:val="0"/>
          <w:i w:val="0"/>
          <w:iCs w:val="0"/>
        </w:rPr>
        <w:t xml:space="preserve">apply the net proceeds of the sale in the same way as a secured party is required to under the PPSA. This involves applying an amount, personal property or proceeds of collateral received by the secured party as a result of enforcing a security interest in the property. </w:t>
      </w:r>
      <w:r w:rsidR="00AF7468">
        <w:rPr>
          <w:rStyle w:val="References"/>
        </w:rPr>
        <w:br/>
        <w:t xml:space="preserve">[Schedule </w:t>
      </w:r>
      <w:r w:rsidR="009A3F5E">
        <w:rPr>
          <w:rStyle w:val="References"/>
        </w:rPr>
        <w:t>1</w:t>
      </w:r>
      <w:r w:rsidR="00AF7468">
        <w:rPr>
          <w:rStyle w:val="References"/>
        </w:rPr>
        <w:t xml:space="preserve">, </w:t>
      </w:r>
      <w:r w:rsidR="00C568C9">
        <w:rPr>
          <w:rStyle w:val="References"/>
        </w:rPr>
        <w:t>item 14</w:t>
      </w:r>
      <w:r w:rsidR="00AF7468">
        <w:rPr>
          <w:rStyle w:val="References"/>
        </w:rPr>
        <w:t>, subsection 83</w:t>
      </w:r>
      <w:r w:rsidR="00D11A59">
        <w:rPr>
          <w:rStyle w:val="References"/>
        </w:rPr>
        <w:t>6</w:t>
      </w:r>
      <w:proofErr w:type="gramStart"/>
      <w:r w:rsidR="000A50A6">
        <w:rPr>
          <w:rStyle w:val="References"/>
        </w:rPr>
        <w:t>H</w:t>
      </w:r>
      <w:r w:rsidR="00AF7468">
        <w:rPr>
          <w:rStyle w:val="References"/>
        </w:rPr>
        <w:t>(</w:t>
      </w:r>
      <w:proofErr w:type="gramEnd"/>
      <w:r w:rsidR="00AF7468">
        <w:rPr>
          <w:rStyle w:val="References"/>
        </w:rPr>
        <w:t>2) of the Act]</w:t>
      </w:r>
    </w:p>
    <w:p w14:paraId="0B1C9E40" w14:textId="336C99F8" w:rsidR="003F78E4" w:rsidRPr="00A84F4B" w:rsidRDefault="00F94D93" w:rsidP="003F78E4">
      <w:pPr>
        <w:pStyle w:val="Heading5"/>
        <w:rPr>
          <w:rStyle w:val="References"/>
          <w:rFonts w:ascii="Helvetica" w:hAnsi="Helvetica" w:cs="Helvetica"/>
          <w:b/>
          <w:bCs w:val="0"/>
          <w:i w:val="0"/>
          <w:iCs w:val="0"/>
        </w:rPr>
      </w:pPr>
      <w:r>
        <w:rPr>
          <w:rStyle w:val="References"/>
          <w:rFonts w:ascii="Helvetica" w:hAnsi="Helvetica" w:cs="Helvetica"/>
          <w:b/>
          <w:bCs w:val="0"/>
          <w:i w:val="0"/>
          <w:iCs w:val="0"/>
        </w:rPr>
        <w:t>S</w:t>
      </w:r>
      <w:r w:rsidR="003F78E4" w:rsidRPr="00A84F4B">
        <w:rPr>
          <w:rStyle w:val="References"/>
          <w:rFonts w:ascii="Helvetica" w:hAnsi="Helvetica" w:cs="Helvetica"/>
          <w:b/>
          <w:bCs w:val="0"/>
          <w:i w:val="0"/>
          <w:iCs w:val="0"/>
        </w:rPr>
        <w:t xml:space="preserve">tatutory manager </w:t>
      </w:r>
      <w:r>
        <w:rPr>
          <w:rStyle w:val="References"/>
          <w:rFonts w:ascii="Helvetica" w:hAnsi="Helvetica" w:cs="Helvetica"/>
          <w:b/>
          <w:bCs w:val="0"/>
          <w:i w:val="0"/>
          <w:iCs w:val="0"/>
        </w:rPr>
        <w:t>obligations</w:t>
      </w:r>
    </w:p>
    <w:p w14:paraId="63EFC04F" w14:textId="77777777" w:rsidR="003F78E4" w:rsidRDefault="003F78E4" w:rsidP="00125C2C">
      <w:pPr>
        <w:pStyle w:val="Normalparatextwithnumbers"/>
        <w:rPr>
          <w:rStyle w:val="References"/>
          <w:b w:val="0"/>
          <w:bCs w:val="0"/>
          <w:i w:val="0"/>
          <w:iCs w:val="0"/>
        </w:rPr>
      </w:pPr>
      <w:r w:rsidRPr="008C6D1E">
        <w:rPr>
          <w:rStyle w:val="References"/>
          <w:b w:val="0"/>
          <w:bCs w:val="0"/>
          <w:i w:val="0"/>
          <w:iCs w:val="0"/>
        </w:rPr>
        <w:t xml:space="preserve">The </w:t>
      </w:r>
      <w:r>
        <w:rPr>
          <w:rStyle w:val="References"/>
          <w:b w:val="0"/>
          <w:bCs w:val="0"/>
          <w:i w:val="0"/>
          <w:iCs w:val="0"/>
        </w:rPr>
        <w:t>RBA</w:t>
      </w:r>
      <w:r w:rsidRPr="008C6D1E">
        <w:rPr>
          <w:rStyle w:val="References"/>
          <w:b w:val="0"/>
          <w:bCs w:val="0"/>
          <w:i w:val="0"/>
          <w:iCs w:val="0"/>
        </w:rPr>
        <w:t xml:space="preserve"> will have oversight of any powers exercised by the statutory manager. To assist in this oversight, the statutory manager must</w:t>
      </w:r>
      <w:r>
        <w:rPr>
          <w:rStyle w:val="References"/>
          <w:b w:val="0"/>
          <w:bCs w:val="0"/>
          <w:i w:val="0"/>
          <w:iCs w:val="0"/>
        </w:rPr>
        <w:t>:</w:t>
      </w:r>
      <w:r w:rsidRPr="008C6D1E">
        <w:rPr>
          <w:rStyle w:val="References"/>
          <w:b w:val="0"/>
          <w:bCs w:val="0"/>
          <w:i w:val="0"/>
          <w:iCs w:val="0"/>
        </w:rPr>
        <w:t xml:space="preserve"> </w:t>
      </w:r>
    </w:p>
    <w:p w14:paraId="7FB18657" w14:textId="77777777" w:rsidR="003F78E4" w:rsidRDefault="003F78E4" w:rsidP="003F78E4">
      <w:pPr>
        <w:pStyle w:val="Dotpoint1"/>
        <w:rPr>
          <w:rStyle w:val="References"/>
          <w:b w:val="0"/>
          <w:bCs w:val="0"/>
          <w:i w:val="0"/>
          <w:iCs w:val="0"/>
        </w:rPr>
      </w:pPr>
      <w:r w:rsidRPr="008C6D1E">
        <w:rPr>
          <w:rStyle w:val="References"/>
          <w:b w:val="0"/>
          <w:bCs w:val="0"/>
          <w:i w:val="0"/>
          <w:iCs w:val="0"/>
        </w:rPr>
        <w:lastRenderedPageBreak/>
        <w:t xml:space="preserve">report to the </w:t>
      </w:r>
      <w:proofErr w:type="gramStart"/>
      <w:r>
        <w:rPr>
          <w:rStyle w:val="References"/>
          <w:b w:val="0"/>
          <w:bCs w:val="0"/>
          <w:i w:val="0"/>
          <w:iCs w:val="0"/>
        </w:rPr>
        <w:t>RBA;</w:t>
      </w:r>
      <w:proofErr w:type="gramEnd"/>
      <w:r>
        <w:rPr>
          <w:rStyle w:val="References"/>
          <w:b w:val="0"/>
          <w:bCs w:val="0"/>
          <w:i w:val="0"/>
          <w:iCs w:val="0"/>
        </w:rPr>
        <w:t xml:space="preserve"> </w:t>
      </w:r>
    </w:p>
    <w:p w14:paraId="587BAA2B" w14:textId="77777777" w:rsidR="003F78E4" w:rsidRDefault="003F78E4" w:rsidP="003F78E4">
      <w:pPr>
        <w:pStyle w:val="Dotpoint1"/>
        <w:rPr>
          <w:rStyle w:val="References"/>
          <w:b w:val="0"/>
          <w:bCs w:val="0"/>
          <w:i w:val="0"/>
          <w:iCs w:val="0"/>
        </w:rPr>
      </w:pPr>
      <w:r w:rsidRPr="008C6D1E">
        <w:rPr>
          <w:rStyle w:val="References"/>
          <w:b w:val="0"/>
          <w:bCs w:val="0"/>
          <w:i w:val="0"/>
          <w:iCs w:val="0"/>
        </w:rPr>
        <w:t xml:space="preserve">comply with any directions issued by the </w:t>
      </w:r>
      <w:r>
        <w:rPr>
          <w:rStyle w:val="References"/>
          <w:b w:val="0"/>
          <w:bCs w:val="0"/>
          <w:i w:val="0"/>
          <w:iCs w:val="0"/>
        </w:rPr>
        <w:t>RBA;</w:t>
      </w:r>
      <w:r w:rsidRPr="008C6D1E">
        <w:rPr>
          <w:rStyle w:val="References"/>
          <w:b w:val="0"/>
          <w:bCs w:val="0"/>
          <w:i w:val="0"/>
          <w:iCs w:val="0"/>
        </w:rPr>
        <w:t xml:space="preserve"> and </w:t>
      </w:r>
    </w:p>
    <w:p w14:paraId="1B3C297C" w14:textId="77777777" w:rsidR="003F78E4" w:rsidRPr="008C6D1E" w:rsidRDefault="003F78E4" w:rsidP="003F78E4">
      <w:pPr>
        <w:pStyle w:val="Dotpoint1"/>
        <w:rPr>
          <w:rStyle w:val="References"/>
          <w:b w:val="0"/>
          <w:bCs w:val="0"/>
          <w:i w:val="0"/>
          <w:iCs w:val="0"/>
        </w:rPr>
      </w:pPr>
      <w:r w:rsidRPr="008C6D1E">
        <w:rPr>
          <w:rStyle w:val="References"/>
          <w:b w:val="0"/>
          <w:bCs w:val="0"/>
          <w:i w:val="0"/>
          <w:iCs w:val="0"/>
        </w:rPr>
        <w:t xml:space="preserve">notify the </w:t>
      </w:r>
      <w:r>
        <w:rPr>
          <w:rStyle w:val="References"/>
          <w:b w:val="0"/>
          <w:bCs w:val="0"/>
          <w:i w:val="0"/>
          <w:iCs w:val="0"/>
        </w:rPr>
        <w:t>RBA</w:t>
      </w:r>
      <w:r w:rsidRPr="008C6D1E">
        <w:rPr>
          <w:rStyle w:val="References"/>
          <w:b w:val="0"/>
          <w:bCs w:val="0"/>
          <w:i w:val="0"/>
          <w:iCs w:val="0"/>
        </w:rPr>
        <w:t xml:space="preserve"> of any actions that may affect financial stability.</w:t>
      </w:r>
    </w:p>
    <w:p w14:paraId="6E10492B" w14:textId="31B835FB" w:rsidR="003F78E4" w:rsidRPr="008C6D1E" w:rsidRDefault="00CC7751" w:rsidP="7BCF42C4">
      <w:pPr>
        <w:pStyle w:val="Normalparatextwithnumbers"/>
        <w:rPr>
          <w:rStyle w:val="References"/>
          <w:b w:val="0"/>
          <w:bCs w:val="0"/>
          <w:i w:val="0"/>
          <w:iCs w:val="0"/>
        </w:rPr>
      </w:pPr>
      <w:r w:rsidRPr="7BCF42C4">
        <w:rPr>
          <w:rStyle w:val="References"/>
          <w:b w:val="0"/>
          <w:bCs w:val="0"/>
          <w:i w:val="0"/>
          <w:iCs w:val="0"/>
        </w:rPr>
        <w:t xml:space="preserve">When the </w:t>
      </w:r>
      <w:r w:rsidR="003F78E4" w:rsidRPr="7BCF42C4">
        <w:rPr>
          <w:rStyle w:val="References"/>
          <w:b w:val="0"/>
          <w:bCs w:val="0"/>
          <w:i w:val="0"/>
          <w:iCs w:val="0"/>
        </w:rPr>
        <w:t>RBA requests, a statutory manager must give a written report to the RBA, within a reasonable time, showing how the control of the body corporate’s business, property and affairs is being carried out.</w:t>
      </w:r>
      <w:r w:rsidRPr="7BCF42C4">
        <w:rPr>
          <w:rStyle w:val="References"/>
          <w:b w:val="0"/>
          <w:bCs w:val="0"/>
          <w:i w:val="0"/>
          <w:iCs w:val="0"/>
        </w:rPr>
        <w:t xml:space="preserve"> Similarly, where statutory management is terminated, a written report must be provided to the RBA within a reasonable time. This is to be provided without </w:t>
      </w:r>
      <w:r w:rsidR="00D84342">
        <w:rPr>
          <w:rStyle w:val="References"/>
          <w:b w:val="0"/>
          <w:bCs w:val="0"/>
          <w:i w:val="0"/>
          <w:iCs w:val="0"/>
        </w:rPr>
        <w:t>a request from the RBA</w:t>
      </w:r>
      <w:r w:rsidRPr="7BCF42C4">
        <w:rPr>
          <w:rStyle w:val="References"/>
          <w:b w:val="0"/>
          <w:bCs w:val="0"/>
          <w:i w:val="0"/>
          <w:iCs w:val="0"/>
        </w:rPr>
        <w:t xml:space="preserve"> and is part of the process when statutory management ends.</w:t>
      </w:r>
      <w:r w:rsidR="003F78E4" w:rsidRPr="7BCF42C4">
        <w:rPr>
          <w:rStyle w:val="References"/>
          <w:b w:val="0"/>
          <w:bCs w:val="0"/>
          <w:i w:val="0"/>
          <w:iCs w:val="0"/>
        </w:rPr>
        <w:t xml:space="preserve"> </w:t>
      </w:r>
      <w:r>
        <w:br/>
      </w:r>
      <w:r w:rsidRPr="7BCF42C4">
        <w:rPr>
          <w:rStyle w:val="References"/>
        </w:rPr>
        <w:t xml:space="preserve">[Schedule </w:t>
      </w:r>
      <w:r w:rsidR="009A3F5E">
        <w:rPr>
          <w:rStyle w:val="References"/>
        </w:rPr>
        <w:t>1</w:t>
      </w:r>
      <w:r w:rsidRPr="7BCF42C4">
        <w:rPr>
          <w:rStyle w:val="References"/>
        </w:rPr>
        <w:t xml:space="preserve">, </w:t>
      </w:r>
      <w:r w:rsidR="00C568C9">
        <w:rPr>
          <w:rStyle w:val="References"/>
        </w:rPr>
        <w:t>item 14</w:t>
      </w:r>
      <w:r w:rsidRPr="7BCF42C4">
        <w:rPr>
          <w:rStyle w:val="References"/>
        </w:rPr>
        <w:t xml:space="preserve">, section </w:t>
      </w:r>
      <w:r w:rsidR="00D84342">
        <w:rPr>
          <w:rStyle w:val="References"/>
        </w:rPr>
        <w:t xml:space="preserve">835A </w:t>
      </w:r>
      <w:r w:rsidRPr="7BCF42C4">
        <w:rPr>
          <w:rStyle w:val="References"/>
        </w:rPr>
        <w:t>of the Act]</w:t>
      </w:r>
    </w:p>
    <w:p w14:paraId="01D3EFA2" w14:textId="58EABF8D" w:rsidR="003F78E4" w:rsidRPr="008C6D1E" w:rsidRDefault="00CC7751" w:rsidP="00125C2C">
      <w:pPr>
        <w:pStyle w:val="Normalparatextwithnumbers"/>
        <w:rPr>
          <w:rStyle w:val="References"/>
          <w:b w:val="0"/>
          <w:bCs w:val="0"/>
          <w:i w:val="0"/>
          <w:iCs w:val="0"/>
        </w:rPr>
      </w:pPr>
      <w:r>
        <w:rPr>
          <w:rStyle w:val="References"/>
          <w:b w:val="0"/>
          <w:bCs w:val="0"/>
          <w:i w:val="0"/>
          <w:iCs w:val="0"/>
        </w:rPr>
        <w:t xml:space="preserve">The RBA </w:t>
      </w:r>
      <w:r w:rsidR="00D84342">
        <w:rPr>
          <w:rStyle w:val="References"/>
          <w:b w:val="0"/>
          <w:bCs w:val="0"/>
          <w:i w:val="0"/>
          <w:iCs w:val="0"/>
        </w:rPr>
        <w:t xml:space="preserve">may </w:t>
      </w:r>
      <w:r>
        <w:rPr>
          <w:rStyle w:val="References"/>
          <w:b w:val="0"/>
          <w:bCs w:val="0"/>
          <w:i w:val="0"/>
          <w:iCs w:val="0"/>
        </w:rPr>
        <w:t xml:space="preserve">direct a statutory manager to take a specified action </w:t>
      </w:r>
      <w:r w:rsidR="003F78E4" w:rsidRPr="008C6D1E">
        <w:rPr>
          <w:rStyle w:val="References"/>
          <w:b w:val="0"/>
          <w:bCs w:val="0"/>
          <w:i w:val="0"/>
          <w:iCs w:val="0"/>
        </w:rPr>
        <w:t xml:space="preserve">relating to the business, property or affairs of the body corporate to which it is appointed. </w:t>
      </w:r>
      <w:r>
        <w:rPr>
          <w:rStyle w:val="References"/>
          <w:b w:val="0"/>
          <w:bCs w:val="0"/>
          <w:i w:val="0"/>
          <w:iCs w:val="0"/>
        </w:rPr>
        <w:br/>
      </w:r>
      <w:r w:rsidR="00BF067F" w:rsidRPr="00BF067F">
        <w:rPr>
          <w:rStyle w:val="References"/>
        </w:rPr>
        <w:t xml:space="preserve">[Schedule </w:t>
      </w:r>
      <w:r w:rsidR="009A3F5E">
        <w:rPr>
          <w:rStyle w:val="References"/>
        </w:rPr>
        <w:t>1</w:t>
      </w:r>
      <w:r w:rsidR="00BF067F" w:rsidRPr="00BF067F">
        <w:rPr>
          <w:rStyle w:val="References"/>
        </w:rPr>
        <w:t xml:space="preserve">, </w:t>
      </w:r>
      <w:r w:rsidR="00C568C9">
        <w:rPr>
          <w:rStyle w:val="References"/>
        </w:rPr>
        <w:t>item 14</w:t>
      </w:r>
      <w:r w:rsidR="00BF067F" w:rsidRPr="00BF067F">
        <w:rPr>
          <w:rStyle w:val="References"/>
        </w:rPr>
        <w:t xml:space="preserve">, </w:t>
      </w:r>
      <w:r w:rsidR="00BF067F">
        <w:rPr>
          <w:rStyle w:val="References"/>
        </w:rPr>
        <w:t>sub</w:t>
      </w:r>
      <w:r w:rsidR="00BF067F" w:rsidRPr="00BF067F">
        <w:rPr>
          <w:rStyle w:val="References"/>
        </w:rPr>
        <w:t xml:space="preserve">section </w:t>
      </w:r>
      <w:r w:rsidR="00A24DDB">
        <w:rPr>
          <w:rStyle w:val="References"/>
        </w:rPr>
        <w:t>835</w:t>
      </w:r>
      <w:proofErr w:type="gramStart"/>
      <w:r w:rsidR="00A24DDB">
        <w:rPr>
          <w:rStyle w:val="References"/>
        </w:rPr>
        <w:t>B</w:t>
      </w:r>
      <w:r w:rsidR="00BF067F">
        <w:rPr>
          <w:rStyle w:val="References"/>
        </w:rPr>
        <w:t>(</w:t>
      </w:r>
      <w:proofErr w:type="gramEnd"/>
      <w:r w:rsidR="00BF067F">
        <w:rPr>
          <w:rStyle w:val="References"/>
        </w:rPr>
        <w:t>1)</w:t>
      </w:r>
      <w:r w:rsidR="00BF067F" w:rsidRPr="00BF067F">
        <w:rPr>
          <w:rStyle w:val="References"/>
        </w:rPr>
        <w:t xml:space="preserve"> of the Act]</w:t>
      </w:r>
    </w:p>
    <w:p w14:paraId="3A9CDAD1" w14:textId="5F4F9316" w:rsidR="003F78E4" w:rsidRDefault="00CC7751" w:rsidP="00125C2C">
      <w:pPr>
        <w:pStyle w:val="Normalparatextwithnumbers"/>
        <w:rPr>
          <w:rStyle w:val="References"/>
          <w:b w:val="0"/>
          <w:bCs w:val="0"/>
          <w:i w:val="0"/>
          <w:iCs w:val="0"/>
        </w:rPr>
      </w:pPr>
      <w:r>
        <w:rPr>
          <w:rStyle w:val="References"/>
          <w:b w:val="0"/>
          <w:bCs w:val="0"/>
          <w:i w:val="0"/>
          <w:iCs w:val="0"/>
        </w:rPr>
        <w:t>The</w:t>
      </w:r>
      <w:r w:rsidRPr="008C6D1E">
        <w:rPr>
          <w:rStyle w:val="References"/>
          <w:b w:val="0"/>
          <w:bCs w:val="0"/>
          <w:i w:val="0"/>
          <w:iCs w:val="0"/>
        </w:rPr>
        <w:t xml:space="preserve"> statutory manager must comply</w:t>
      </w:r>
      <w:r>
        <w:rPr>
          <w:rStyle w:val="References"/>
          <w:b w:val="0"/>
          <w:bCs w:val="0"/>
          <w:i w:val="0"/>
          <w:iCs w:val="0"/>
        </w:rPr>
        <w:t xml:space="preserve"> with the direction </w:t>
      </w:r>
      <w:r w:rsidR="00BF067F">
        <w:rPr>
          <w:rStyle w:val="References"/>
          <w:b w:val="0"/>
          <w:bCs w:val="0"/>
          <w:i w:val="0"/>
          <w:iCs w:val="0"/>
        </w:rPr>
        <w:t>or varied direction issued by the RBA.</w:t>
      </w:r>
      <w:r w:rsidR="00A24DDB">
        <w:rPr>
          <w:rStyle w:val="References"/>
          <w:b w:val="0"/>
          <w:bCs w:val="0"/>
          <w:i w:val="0"/>
          <w:iCs w:val="0"/>
        </w:rPr>
        <w:t xml:space="preserve"> </w:t>
      </w:r>
      <w:r w:rsidR="00BF067F">
        <w:rPr>
          <w:rStyle w:val="References"/>
          <w:b w:val="0"/>
          <w:bCs w:val="0"/>
          <w:i w:val="0"/>
          <w:iCs w:val="0"/>
        </w:rPr>
        <w:t>Alternatively, the statutory manager must immediately</w:t>
      </w:r>
      <w:r>
        <w:rPr>
          <w:rStyle w:val="References"/>
          <w:b w:val="0"/>
          <w:bCs w:val="0"/>
          <w:i w:val="0"/>
          <w:iCs w:val="0"/>
        </w:rPr>
        <w:t xml:space="preserve"> </w:t>
      </w:r>
      <w:r w:rsidR="003F78E4" w:rsidRPr="008C6D1E">
        <w:rPr>
          <w:rStyle w:val="References"/>
          <w:b w:val="0"/>
          <w:bCs w:val="0"/>
          <w:i w:val="0"/>
          <w:iCs w:val="0"/>
        </w:rPr>
        <w:t xml:space="preserve">request </w:t>
      </w:r>
      <w:r>
        <w:rPr>
          <w:rStyle w:val="References"/>
          <w:b w:val="0"/>
          <w:bCs w:val="0"/>
          <w:i w:val="0"/>
          <w:iCs w:val="0"/>
        </w:rPr>
        <w:t xml:space="preserve">the </w:t>
      </w:r>
      <w:r w:rsidR="003F78E4" w:rsidRPr="008C6D1E">
        <w:rPr>
          <w:rStyle w:val="References"/>
          <w:b w:val="0"/>
          <w:bCs w:val="0"/>
          <w:i w:val="0"/>
          <w:iCs w:val="0"/>
        </w:rPr>
        <w:t>direction to be altered</w:t>
      </w:r>
      <w:r w:rsidR="00BF067F">
        <w:rPr>
          <w:rStyle w:val="References"/>
          <w:b w:val="0"/>
          <w:bCs w:val="0"/>
          <w:i w:val="0"/>
          <w:iCs w:val="0"/>
        </w:rPr>
        <w:t xml:space="preserve"> and provide supporting information justifying the request. It is at the discretion of the </w:t>
      </w:r>
      <w:r w:rsidR="003F78E4">
        <w:rPr>
          <w:rStyle w:val="References"/>
          <w:b w:val="0"/>
          <w:bCs w:val="0"/>
          <w:i w:val="0"/>
          <w:iCs w:val="0"/>
        </w:rPr>
        <w:t>RBA</w:t>
      </w:r>
      <w:r w:rsidR="003F78E4" w:rsidRPr="008C6D1E">
        <w:rPr>
          <w:rStyle w:val="References"/>
          <w:b w:val="0"/>
          <w:bCs w:val="0"/>
          <w:i w:val="0"/>
          <w:iCs w:val="0"/>
        </w:rPr>
        <w:t xml:space="preserve"> </w:t>
      </w:r>
      <w:r w:rsidR="00BF067F">
        <w:rPr>
          <w:rStyle w:val="References"/>
          <w:b w:val="0"/>
          <w:bCs w:val="0"/>
          <w:i w:val="0"/>
          <w:iCs w:val="0"/>
        </w:rPr>
        <w:t xml:space="preserve">to </w:t>
      </w:r>
      <w:r w:rsidR="003F78E4" w:rsidRPr="008C6D1E">
        <w:rPr>
          <w:rStyle w:val="References"/>
          <w:b w:val="0"/>
          <w:bCs w:val="0"/>
          <w:i w:val="0"/>
          <w:iCs w:val="0"/>
        </w:rPr>
        <w:t xml:space="preserve">comply with </w:t>
      </w:r>
      <w:r w:rsidR="00BF067F">
        <w:rPr>
          <w:rStyle w:val="References"/>
          <w:b w:val="0"/>
          <w:bCs w:val="0"/>
          <w:i w:val="0"/>
          <w:iCs w:val="0"/>
        </w:rPr>
        <w:t xml:space="preserve">the statutory manager’s </w:t>
      </w:r>
      <w:r w:rsidR="003F78E4" w:rsidRPr="008C6D1E">
        <w:rPr>
          <w:rStyle w:val="References"/>
          <w:b w:val="0"/>
          <w:bCs w:val="0"/>
          <w:i w:val="0"/>
          <w:iCs w:val="0"/>
        </w:rPr>
        <w:t>request.</w:t>
      </w:r>
      <w:r w:rsidR="00BF067F">
        <w:rPr>
          <w:rStyle w:val="References"/>
          <w:b w:val="0"/>
          <w:bCs w:val="0"/>
          <w:i w:val="0"/>
          <w:iCs w:val="0"/>
        </w:rPr>
        <w:t xml:space="preserve"> Where the RBA declines the statutory manager’s request, the statutory manager must comply with the original direction. </w:t>
      </w:r>
      <w:r w:rsidR="00A47731">
        <w:rPr>
          <w:rStyle w:val="References"/>
          <w:b w:val="0"/>
          <w:bCs w:val="0"/>
          <w:i w:val="0"/>
          <w:iCs w:val="0"/>
        </w:rPr>
        <w:br/>
      </w:r>
      <w:r w:rsidR="00A47731" w:rsidRPr="00A47731">
        <w:rPr>
          <w:rStyle w:val="References"/>
        </w:rPr>
        <w:t xml:space="preserve">[Schedule </w:t>
      </w:r>
      <w:r w:rsidR="009A3F5E">
        <w:rPr>
          <w:rStyle w:val="References"/>
        </w:rPr>
        <w:t>1</w:t>
      </w:r>
      <w:r w:rsidR="00A47731" w:rsidRPr="00A47731">
        <w:rPr>
          <w:rStyle w:val="References"/>
        </w:rPr>
        <w:t xml:space="preserve">, </w:t>
      </w:r>
      <w:r w:rsidR="00C568C9">
        <w:rPr>
          <w:rStyle w:val="References"/>
        </w:rPr>
        <w:t>item 14</w:t>
      </w:r>
      <w:r w:rsidR="00A47731" w:rsidRPr="00A47731">
        <w:rPr>
          <w:rStyle w:val="References"/>
        </w:rPr>
        <w:t>, subsections 83</w:t>
      </w:r>
      <w:r w:rsidR="00A24DDB">
        <w:rPr>
          <w:rStyle w:val="References"/>
        </w:rPr>
        <w:t>5</w:t>
      </w:r>
      <w:proofErr w:type="gramStart"/>
      <w:r w:rsidR="00A24DDB">
        <w:rPr>
          <w:rStyle w:val="References"/>
        </w:rPr>
        <w:t>B</w:t>
      </w:r>
      <w:r w:rsidR="00A47731" w:rsidRPr="00A47731">
        <w:rPr>
          <w:rStyle w:val="References"/>
        </w:rPr>
        <w:t>(</w:t>
      </w:r>
      <w:proofErr w:type="gramEnd"/>
      <w:r w:rsidR="00A47731" w:rsidRPr="00A47731">
        <w:rPr>
          <w:rStyle w:val="References"/>
        </w:rPr>
        <w:t>2)</w:t>
      </w:r>
      <w:r w:rsidR="00ED468F">
        <w:rPr>
          <w:rStyle w:val="References"/>
        </w:rPr>
        <w:t xml:space="preserve"> and </w:t>
      </w:r>
      <w:r w:rsidR="00A47731" w:rsidRPr="00A47731">
        <w:rPr>
          <w:rStyle w:val="References"/>
        </w:rPr>
        <w:t>(3)</w:t>
      </w:r>
      <w:r w:rsidR="00A0635B">
        <w:rPr>
          <w:rStyle w:val="References"/>
        </w:rPr>
        <w:t xml:space="preserve"> </w:t>
      </w:r>
      <w:r w:rsidR="004D73D4">
        <w:rPr>
          <w:rStyle w:val="References"/>
        </w:rPr>
        <w:t>of the Act</w:t>
      </w:r>
      <w:r w:rsidR="00A47731" w:rsidRPr="00A47731">
        <w:rPr>
          <w:rStyle w:val="References"/>
        </w:rPr>
        <w:t>]</w:t>
      </w:r>
    </w:p>
    <w:p w14:paraId="2E8349EA" w14:textId="5416CD3D" w:rsidR="003F78E4" w:rsidRPr="004A4DF3" w:rsidRDefault="000B1C26" w:rsidP="004A4DF3">
      <w:pPr>
        <w:pStyle w:val="Normalparatextwithnumbers"/>
        <w:rPr>
          <w:rStyle w:val="References"/>
          <w:b w:val="0"/>
          <w:bCs w:val="0"/>
          <w:i w:val="0"/>
          <w:iCs w:val="0"/>
        </w:rPr>
      </w:pPr>
      <w:r>
        <w:rPr>
          <w:rStyle w:val="References"/>
          <w:b w:val="0"/>
          <w:bCs w:val="0"/>
          <w:i w:val="0"/>
          <w:iCs w:val="0"/>
        </w:rPr>
        <w:t xml:space="preserve">In general, the statutory manager may take actions to resolve a distressed </w:t>
      </w:r>
      <w:r w:rsidR="004A4DF3">
        <w:rPr>
          <w:rStyle w:val="References"/>
          <w:b w:val="0"/>
          <w:bCs w:val="0"/>
          <w:i w:val="0"/>
          <w:iCs w:val="0"/>
        </w:rPr>
        <w:t>body corporate</w:t>
      </w:r>
      <w:r>
        <w:rPr>
          <w:rStyle w:val="References"/>
          <w:b w:val="0"/>
          <w:bCs w:val="0"/>
          <w:i w:val="0"/>
          <w:iCs w:val="0"/>
        </w:rPr>
        <w:t xml:space="preserve">. However, where an action may threaten Australia’s financial system stability or the continuity of critical CS services, the statutory manager must notify the RBA and </w:t>
      </w:r>
      <w:r w:rsidR="004A4DF3">
        <w:rPr>
          <w:rStyle w:val="References"/>
          <w:b w:val="0"/>
          <w:bCs w:val="0"/>
          <w:i w:val="0"/>
          <w:iCs w:val="0"/>
        </w:rPr>
        <w:t xml:space="preserve">at a minimum </w:t>
      </w:r>
      <w:r>
        <w:rPr>
          <w:rStyle w:val="References"/>
          <w:b w:val="0"/>
          <w:bCs w:val="0"/>
          <w:i w:val="0"/>
          <w:iCs w:val="0"/>
        </w:rPr>
        <w:t xml:space="preserve">obtain </w:t>
      </w:r>
      <w:r w:rsidR="004A4DF3">
        <w:rPr>
          <w:rStyle w:val="References"/>
          <w:b w:val="0"/>
          <w:bCs w:val="0"/>
          <w:i w:val="0"/>
          <w:iCs w:val="0"/>
        </w:rPr>
        <w:t xml:space="preserve">verbal </w:t>
      </w:r>
      <w:r>
        <w:rPr>
          <w:rStyle w:val="References"/>
          <w:b w:val="0"/>
          <w:bCs w:val="0"/>
          <w:i w:val="0"/>
          <w:iCs w:val="0"/>
        </w:rPr>
        <w:t xml:space="preserve">approval to complete the action. The RBA may </w:t>
      </w:r>
      <w:r w:rsidR="004A4DF3">
        <w:rPr>
          <w:rStyle w:val="References"/>
          <w:b w:val="0"/>
          <w:bCs w:val="0"/>
          <w:i w:val="0"/>
          <w:iCs w:val="0"/>
        </w:rPr>
        <w:t xml:space="preserve">subsequently </w:t>
      </w:r>
      <w:r>
        <w:rPr>
          <w:rStyle w:val="References"/>
          <w:b w:val="0"/>
          <w:bCs w:val="0"/>
          <w:i w:val="0"/>
          <w:iCs w:val="0"/>
        </w:rPr>
        <w:t xml:space="preserve">provide written </w:t>
      </w:r>
      <w:r w:rsidR="004A4DF3">
        <w:rPr>
          <w:rStyle w:val="References"/>
          <w:b w:val="0"/>
          <w:bCs w:val="0"/>
          <w:i w:val="0"/>
          <w:iCs w:val="0"/>
        </w:rPr>
        <w:t xml:space="preserve">notification of the </w:t>
      </w:r>
      <w:r>
        <w:rPr>
          <w:rStyle w:val="References"/>
          <w:b w:val="0"/>
          <w:bCs w:val="0"/>
          <w:i w:val="0"/>
          <w:iCs w:val="0"/>
        </w:rPr>
        <w:t xml:space="preserve">consent. </w:t>
      </w:r>
      <w:r w:rsidR="003E648F" w:rsidRPr="003E648F">
        <w:rPr>
          <w:rStyle w:val="References"/>
          <w:b w:val="0"/>
          <w:bCs w:val="0"/>
          <w:i w:val="0"/>
          <w:iCs w:val="0"/>
        </w:rPr>
        <w:t>An action by the statutory manager is not invalidated by a failure to comply with this requirement.</w:t>
      </w:r>
      <w:r w:rsidR="003E648F">
        <w:rPr>
          <w:rStyle w:val="References"/>
          <w:b w:val="0"/>
          <w:bCs w:val="0"/>
          <w:i w:val="0"/>
          <w:iCs w:val="0"/>
        </w:rPr>
        <w:br/>
      </w:r>
      <w:r w:rsidR="003E648F" w:rsidRPr="003E648F">
        <w:rPr>
          <w:rStyle w:val="References"/>
        </w:rPr>
        <w:t xml:space="preserve">[Schedule </w:t>
      </w:r>
      <w:r w:rsidR="009A3F5E">
        <w:rPr>
          <w:rStyle w:val="References"/>
        </w:rPr>
        <w:t>1</w:t>
      </w:r>
      <w:r w:rsidR="003E648F" w:rsidRPr="003E648F">
        <w:rPr>
          <w:rStyle w:val="References"/>
        </w:rPr>
        <w:t xml:space="preserve">, </w:t>
      </w:r>
      <w:r w:rsidR="00C568C9">
        <w:rPr>
          <w:rStyle w:val="References"/>
        </w:rPr>
        <w:t>item 14</w:t>
      </w:r>
      <w:r w:rsidR="003E648F" w:rsidRPr="003E648F">
        <w:rPr>
          <w:rStyle w:val="References"/>
        </w:rPr>
        <w:t xml:space="preserve">, section </w:t>
      </w:r>
      <w:r w:rsidR="004A4DF3">
        <w:rPr>
          <w:rStyle w:val="References"/>
        </w:rPr>
        <w:t>835C</w:t>
      </w:r>
      <w:r w:rsidR="003E648F" w:rsidRPr="003E648F">
        <w:rPr>
          <w:rStyle w:val="References"/>
        </w:rPr>
        <w:t xml:space="preserve"> of the Act]</w:t>
      </w:r>
      <w:r w:rsidR="003F78E4" w:rsidRPr="004A4DF3">
        <w:rPr>
          <w:rStyle w:val="References"/>
          <w:b w:val="0"/>
          <w:bCs w:val="0"/>
          <w:i w:val="0"/>
          <w:iCs w:val="0"/>
        </w:rPr>
        <w:t xml:space="preserve"> </w:t>
      </w:r>
    </w:p>
    <w:p w14:paraId="6CAE9835" w14:textId="552F7544" w:rsidR="00D84342" w:rsidRPr="00006519" w:rsidRDefault="00D84342" w:rsidP="00D84342">
      <w:pPr>
        <w:pStyle w:val="Heading5"/>
        <w:rPr>
          <w:rStyle w:val="References"/>
          <w:rFonts w:ascii="Helvetica" w:hAnsi="Helvetica" w:cs="Helvetica"/>
          <w:b/>
          <w:bCs w:val="0"/>
          <w:i w:val="0"/>
          <w:iCs w:val="0"/>
        </w:rPr>
      </w:pPr>
      <w:r>
        <w:rPr>
          <w:rStyle w:val="References"/>
          <w:rFonts w:ascii="Helvetica" w:hAnsi="Helvetica" w:cs="Helvetica"/>
          <w:b/>
          <w:bCs w:val="0"/>
          <w:i w:val="0"/>
          <w:iCs w:val="0"/>
        </w:rPr>
        <w:t>Legal protections</w:t>
      </w:r>
      <w:r w:rsidRPr="00006519">
        <w:rPr>
          <w:rStyle w:val="References"/>
          <w:rFonts w:ascii="Helvetica" w:hAnsi="Helvetica" w:cs="Helvetica"/>
          <w:b/>
          <w:bCs w:val="0"/>
          <w:i w:val="0"/>
          <w:iCs w:val="0"/>
        </w:rPr>
        <w:t xml:space="preserve"> </w:t>
      </w:r>
    </w:p>
    <w:p w14:paraId="011212D5" w14:textId="0ACAA556" w:rsidR="00D84342" w:rsidRDefault="00D84342" w:rsidP="00D84342">
      <w:pPr>
        <w:pStyle w:val="Normalparatextwithnumbers"/>
        <w:rPr>
          <w:rStyle w:val="References"/>
          <w:b w:val="0"/>
          <w:bCs w:val="0"/>
          <w:i w:val="0"/>
          <w:iCs w:val="0"/>
        </w:rPr>
      </w:pPr>
      <w:r>
        <w:rPr>
          <w:rStyle w:val="References"/>
          <w:b w:val="0"/>
          <w:bCs w:val="0"/>
          <w:i w:val="0"/>
          <w:iCs w:val="0"/>
        </w:rPr>
        <w:t>Whilst a body corporate is under s</w:t>
      </w:r>
      <w:r w:rsidRPr="00BF4A94">
        <w:rPr>
          <w:rStyle w:val="References"/>
          <w:b w:val="0"/>
          <w:bCs w:val="0"/>
          <w:i w:val="0"/>
          <w:iCs w:val="0"/>
        </w:rPr>
        <w:t>tatutory manage</w:t>
      </w:r>
      <w:r w:rsidR="004766F7">
        <w:rPr>
          <w:rStyle w:val="References"/>
          <w:b w:val="0"/>
          <w:bCs w:val="0"/>
          <w:i w:val="0"/>
          <w:iCs w:val="0"/>
        </w:rPr>
        <w:t>ment</w:t>
      </w:r>
      <w:r>
        <w:rPr>
          <w:rStyle w:val="References"/>
          <w:b w:val="0"/>
          <w:bCs w:val="0"/>
          <w:i w:val="0"/>
          <w:iCs w:val="0"/>
        </w:rPr>
        <w:t xml:space="preserve">, qualified privilege is afforded to statutory managers when exercising any </w:t>
      </w:r>
      <w:r w:rsidRPr="00BF4A94">
        <w:rPr>
          <w:rStyle w:val="References"/>
          <w:b w:val="0"/>
          <w:bCs w:val="0"/>
          <w:i w:val="0"/>
          <w:iCs w:val="0"/>
        </w:rPr>
        <w:t>powers, functions, or duties</w:t>
      </w:r>
      <w:r>
        <w:rPr>
          <w:rStyle w:val="References"/>
          <w:b w:val="0"/>
          <w:bCs w:val="0"/>
          <w:i w:val="0"/>
          <w:iCs w:val="0"/>
        </w:rPr>
        <w:t xml:space="preserve">, </w:t>
      </w:r>
      <w:r w:rsidRPr="00BF4A94">
        <w:rPr>
          <w:rStyle w:val="References"/>
          <w:b w:val="0"/>
          <w:bCs w:val="0"/>
          <w:i w:val="0"/>
          <w:iCs w:val="0"/>
        </w:rPr>
        <w:t xml:space="preserve">except where these actions or omissions are </w:t>
      </w:r>
      <w:r>
        <w:rPr>
          <w:rStyle w:val="References"/>
          <w:b w:val="0"/>
          <w:bCs w:val="0"/>
          <w:i w:val="0"/>
          <w:iCs w:val="0"/>
        </w:rPr>
        <w:t>not</w:t>
      </w:r>
      <w:r w:rsidRPr="00BF4A94">
        <w:rPr>
          <w:rStyle w:val="References"/>
          <w:b w:val="0"/>
          <w:bCs w:val="0"/>
          <w:i w:val="0"/>
          <w:iCs w:val="0"/>
        </w:rPr>
        <w:t xml:space="preserve"> in </w:t>
      </w:r>
      <w:r>
        <w:rPr>
          <w:rStyle w:val="References"/>
          <w:b w:val="0"/>
          <w:bCs w:val="0"/>
          <w:i w:val="0"/>
          <w:iCs w:val="0"/>
        </w:rPr>
        <w:t xml:space="preserve">good </w:t>
      </w:r>
      <w:r w:rsidRPr="00BF4A94">
        <w:rPr>
          <w:rStyle w:val="References"/>
          <w:b w:val="0"/>
          <w:bCs w:val="0"/>
          <w:i w:val="0"/>
          <w:iCs w:val="0"/>
        </w:rPr>
        <w:t>faith.</w:t>
      </w:r>
      <w:r>
        <w:rPr>
          <w:rStyle w:val="References"/>
          <w:b w:val="0"/>
          <w:bCs w:val="0"/>
          <w:i w:val="0"/>
          <w:iCs w:val="0"/>
        </w:rPr>
        <w:t xml:space="preserve"> </w:t>
      </w:r>
      <w:r>
        <w:rPr>
          <w:rStyle w:val="References"/>
          <w:b w:val="0"/>
          <w:bCs w:val="0"/>
          <w:i w:val="0"/>
          <w:iCs w:val="0"/>
        </w:rPr>
        <w:br/>
      </w:r>
      <w:r w:rsidRPr="00BC7228">
        <w:rPr>
          <w:rStyle w:val="References"/>
        </w:rPr>
        <w:t xml:space="preserve">[Schedule </w:t>
      </w:r>
      <w:r>
        <w:rPr>
          <w:rStyle w:val="References"/>
        </w:rPr>
        <w:t>1</w:t>
      </w:r>
      <w:r w:rsidRPr="00BC7228">
        <w:rPr>
          <w:rStyle w:val="References"/>
        </w:rPr>
        <w:t xml:space="preserve">, </w:t>
      </w:r>
      <w:r>
        <w:rPr>
          <w:rStyle w:val="References"/>
        </w:rPr>
        <w:t>item 14</w:t>
      </w:r>
      <w:r w:rsidRPr="00BC7228">
        <w:rPr>
          <w:rStyle w:val="References"/>
        </w:rPr>
        <w:t xml:space="preserve">, section </w:t>
      </w:r>
      <w:r>
        <w:rPr>
          <w:rStyle w:val="References"/>
        </w:rPr>
        <w:t xml:space="preserve">836J </w:t>
      </w:r>
      <w:r w:rsidRPr="00BC7228">
        <w:rPr>
          <w:rStyle w:val="References"/>
        </w:rPr>
        <w:t>of the Act]</w:t>
      </w:r>
    </w:p>
    <w:p w14:paraId="2D69264F" w14:textId="1B358EC4" w:rsidR="00D84342" w:rsidRDefault="00D84342" w:rsidP="00D84342">
      <w:pPr>
        <w:pStyle w:val="Normalparatextwithnumbers"/>
        <w:rPr>
          <w:rStyle w:val="References"/>
          <w:b w:val="0"/>
          <w:bCs w:val="0"/>
          <w:i w:val="0"/>
          <w:iCs w:val="0"/>
        </w:rPr>
      </w:pPr>
      <w:r>
        <w:rPr>
          <w:rStyle w:val="References"/>
          <w:b w:val="0"/>
          <w:bCs w:val="0"/>
          <w:i w:val="0"/>
          <w:iCs w:val="0"/>
        </w:rPr>
        <w:t>However, c</w:t>
      </w:r>
      <w:r w:rsidRPr="001705DE">
        <w:rPr>
          <w:rStyle w:val="References"/>
          <w:b w:val="0"/>
          <w:bCs w:val="0"/>
          <w:i w:val="0"/>
          <w:iCs w:val="0"/>
        </w:rPr>
        <w:t>onsistent with section 1316A of the Act</w:t>
      </w:r>
      <w:r>
        <w:rPr>
          <w:rStyle w:val="References"/>
          <w:b w:val="0"/>
          <w:bCs w:val="0"/>
          <w:i w:val="0"/>
          <w:iCs w:val="0"/>
        </w:rPr>
        <w:t>,</w:t>
      </w:r>
      <w:r w:rsidRPr="001705DE">
        <w:rPr>
          <w:rStyle w:val="References"/>
          <w:b w:val="0"/>
          <w:bCs w:val="0"/>
          <w:i w:val="0"/>
          <w:iCs w:val="0"/>
        </w:rPr>
        <w:t xml:space="preserve"> the privilege against self</w:t>
      </w:r>
      <w:r>
        <w:rPr>
          <w:rStyle w:val="References"/>
          <w:b w:val="0"/>
          <w:bCs w:val="0"/>
          <w:i w:val="0"/>
          <w:iCs w:val="0"/>
        </w:rPr>
        <w:noBreakHyphen/>
      </w:r>
      <w:r w:rsidRPr="001705DE">
        <w:rPr>
          <w:rStyle w:val="References"/>
          <w:b w:val="0"/>
          <w:bCs w:val="0"/>
          <w:i w:val="0"/>
          <w:iCs w:val="0"/>
        </w:rPr>
        <w:t>incrimination is not available to bodies corporate.</w:t>
      </w:r>
    </w:p>
    <w:p w14:paraId="35EF6FA1" w14:textId="77777777" w:rsidR="00D84342" w:rsidRPr="002B2478" w:rsidRDefault="00D84342" w:rsidP="00D84342">
      <w:pPr>
        <w:pStyle w:val="Normalparatextwithnumbers"/>
        <w:rPr>
          <w:rStyle w:val="References"/>
          <w:b w:val="0"/>
          <w:bCs w:val="0"/>
          <w:i w:val="0"/>
          <w:iCs w:val="0"/>
        </w:rPr>
      </w:pPr>
      <w:r>
        <w:t xml:space="preserve">Where the statutory manager of a body corporate makes a </w:t>
      </w:r>
      <w:proofErr w:type="gramStart"/>
      <w:r>
        <w:t>payment, or</w:t>
      </w:r>
      <w:proofErr w:type="gramEnd"/>
      <w:r>
        <w:t xml:space="preserve"> enters into a transaction or does any other thing in good faith or with the consent of the RBA, that action is valid and is not liable to be set aside in a winding up of the body corporate.</w:t>
      </w:r>
      <w:r>
        <w:br/>
      </w:r>
      <w:r>
        <w:rPr>
          <w:rStyle w:val="References"/>
        </w:rPr>
        <w:t>[Schedule 1, item 14, section 834D of the Act]</w:t>
      </w:r>
    </w:p>
    <w:p w14:paraId="1BA43576" w14:textId="70B2A35B" w:rsidR="002B2478" w:rsidRPr="007E34BD" w:rsidRDefault="002B2478" w:rsidP="002B2478">
      <w:pPr>
        <w:pStyle w:val="Normalparatextwithnumbers"/>
        <w:rPr>
          <w:rFonts w:cs="Arial"/>
          <w:bCs/>
          <w:iCs/>
        </w:rPr>
      </w:pPr>
      <w:r w:rsidRPr="007E34BD">
        <w:lastRenderedPageBreak/>
        <w:t xml:space="preserve">Disclosing information to a statutory manager of a body corporate is an authorised use and disclosure of information. This has been introduced to facilitate the statutory manager’s role in resolving a crisis.  </w:t>
      </w:r>
      <w:r w:rsidRPr="007E34BD">
        <w:br/>
      </w:r>
      <w:r w:rsidRPr="007E34BD">
        <w:rPr>
          <w:rFonts w:cs="Arial"/>
          <w:b/>
          <w:bCs/>
          <w:i/>
          <w:iCs/>
        </w:rPr>
        <w:t xml:space="preserve">[Schedule </w:t>
      </w:r>
      <w:r>
        <w:rPr>
          <w:rFonts w:cs="Arial"/>
          <w:b/>
          <w:bCs/>
          <w:i/>
          <w:iCs/>
        </w:rPr>
        <w:t>1</w:t>
      </w:r>
      <w:r w:rsidRPr="007E34BD">
        <w:rPr>
          <w:rFonts w:cs="Arial"/>
          <w:b/>
          <w:bCs/>
          <w:i/>
          <w:iCs/>
        </w:rPr>
        <w:t xml:space="preserve">, item </w:t>
      </w:r>
      <w:r>
        <w:rPr>
          <w:rFonts w:cs="Arial"/>
          <w:b/>
          <w:bCs/>
          <w:i/>
          <w:iCs/>
        </w:rPr>
        <w:t>34</w:t>
      </w:r>
      <w:r w:rsidRPr="007E34BD">
        <w:rPr>
          <w:rFonts w:cs="Arial"/>
          <w:b/>
          <w:bCs/>
          <w:i/>
          <w:iCs/>
        </w:rPr>
        <w:t>, paragraph 127(2</w:t>
      </w:r>
      <w:proofErr w:type="gramStart"/>
      <w:r w:rsidRPr="007E34BD">
        <w:rPr>
          <w:rFonts w:cs="Arial"/>
          <w:b/>
          <w:bCs/>
          <w:i/>
          <w:iCs/>
        </w:rPr>
        <w:t>A)(</w:t>
      </w:r>
      <w:proofErr w:type="gramEnd"/>
      <w:r w:rsidRPr="007E34BD">
        <w:rPr>
          <w:rFonts w:cs="Arial"/>
          <w:b/>
          <w:bCs/>
          <w:i/>
          <w:iCs/>
        </w:rPr>
        <w:t>d) of the</w:t>
      </w:r>
      <w:r w:rsidR="002375D8">
        <w:rPr>
          <w:rFonts w:cs="Arial"/>
          <w:b/>
          <w:bCs/>
          <w:i/>
          <w:iCs/>
        </w:rPr>
        <w:t xml:space="preserve"> ASIC</w:t>
      </w:r>
      <w:r w:rsidRPr="007E34BD">
        <w:rPr>
          <w:rFonts w:cs="Arial"/>
          <w:b/>
          <w:bCs/>
          <w:i/>
          <w:iCs/>
        </w:rPr>
        <w:t xml:space="preserve"> Act]</w:t>
      </w:r>
    </w:p>
    <w:p w14:paraId="3D9A4B0B" w14:textId="745E4349" w:rsidR="00D84342" w:rsidRPr="00FB0986" w:rsidRDefault="00D84342" w:rsidP="00D84342">
      <w:pPr>
        <w:pStyle w:val="Heading6"/>
        <w:rPr>
          <w:rStyle w:val="References"/>
          <w:rFonts w:ascii="Helvitica" w:hAnsi="Helvitica" w:hint="eastAsia"/>
          <w:b w:val="0"/>
          <w:bCs w:val="0"/>
          <w:i/>
          <w:iCs w:val="0"/>
        </w:rPr>
      </w:pPr>
      <w:r w:rsidRPr="00FB0986">
        <w:rPr>
          <w:rStyle w:val="References"/>
          <w:rFonts w:ascii="Helvitica" w:hAnsi="Helvitica"/>
          <w:b w:val="0"/>
          <w:bCs w:val="0"/>
          <w:i/>
          <w:iCs w:val="0"/>
        </w:rPr>
        <w:t xml:space="preserve">Protections </w:t>
      </w:r>
      <w:r>
        <w:rPr>
          <w:rStyle w:val="References"/>
          <w:rFonts w:ascii="Helvitica" w:hAnsi="Helvitica"/>
          <w:b w:val="0"/>
          <w:bCs w:val="0"/>
          <w:i/>
          <w:iCs w:val="0"/>
        </w:rPr>
        <w:t xml:space="preserve">for a </w:t>
      </w:r>
      <w:r w:rsidRPr="00FB0986">
        <w:rPr>
          <w:rStyle w:val="References"/>
          <w:rFonts w:ascii="Helvitica" w:hAnsi="Helvitica"/>
          <w:b w:val="0"/>
          <w:bCs w:val="0"/>
          <w:i/>
          <w:iCs w:val="0"/>
        </w:rPr>
        <w:t xml:space="preserve">person dealing with </w:t>
      </w:r>
      <w:r w:rsidR="00737D9F">
        <w:rPr>
          <w:rStyle w:val="References"/>
          <w:rFonts w:ascii="Helvitica" w:hAnsi="Helvitica"/>
          <w:b w:val="0"/>
          <w:bCs w:val="0"/>
          <w:i/>
          <w:iCs w:val="0"/>
        </w:rPr>
        <w:t xml:space="preserve">a </w:t>
      </w:r>
      <w:r w:rsidRPr="00FB0986">
        <w:rPr>
          <w:rStyle w:val="References"/>
          <w:rFonts w:ascii="Helvitica" w:hAnsi="Helvitica"/>
          <w:b w:val="0"/>
          <w:bCs w:val="0"/>
          <w:i/>
          <w:iCs w:val="0"/>
        </w:rPr>
        <w:t xml:space="preserve">statutory </w:t>
      </w:r>
      <w:proofErr w:type="gramStart"/>
      <w:r w:rsidRPr="00FB0986">
        <w:rPr>
          <w:rStyle w:val="References"/>
          <w:rFonts w:ascii="Helvitica" w:hAnsi="Helvitica"/>
          <w:b w:val="0"/>
          <w:bCs w:val="0"/>
          <w:i/>
          <w:iCs w:val="0"/>
        </w:rPr>
        <w:t>manager</w:t>
      </w:r>
      <w:proofErr w:type="gramEnd"/>
      <w:r w:rsidRPr="00FB0986">
        <w:rPr>
          <w:rStyle w:val="References"/>
          <w:rFonts w:ascii="Helvitica" w:hAnsi="Helvitica"/>
          <w:b w:val="0"/>
          <w:bCs w:val="0"/>
          <w:i/>
          <w:iCs w:val="0"/>
        </w:rPr>
        <w:t xml:space="preserve"> </w:t>
      </w:r>
    </w:p>
    <w:p w14:paraId="633DB52B" w14:textId="77777777" w:rsidR="00D84342" w:rsidRPr="00FB0986" w:rsidRDefault="00D84342" w:rsidP="00D84342">
      <w:pPr>
        <w:pStyle w:val="Normalparatextwithnumbers"/>
        <w:rPr>
          <w:rStyle w:val="References"/>
          <w:b w:val="0"/>
          <w:bCs w:val="0"/>
          <w:i w:val="0"/>
          <w:iCs w:val="0"/>
        </w:rPr>
      </w:pPr>
      <w:r>
        <w:t>Persons dealing with the statutory manager will be entitled to make the same kinds of assumptions about the authority of persons to act, as if the statutory manager was the officer of the company. This includes assumptions about compliance with the company’s internal management procedures as such persons are entitled to make in dealing with other company officers.</w:t>
      </w:r>
      <w:r>
        <w:br/>
      </w:r>
      <w:r w:rsidRPr="00FB0986">
        <w:rPr>
          <w:rStyle w:val="References"/>
        </w:rPr>
        <w:t xml:space="preserve">[Schedule </w:t>
      </w:r>
      <w:r>
        <w:rPr>
          <w:rStyle w:val="References"/>
        </w:rPr>
        <w:t>1</w:t>
      </w:r>
      <w:r w:rsidRPr="00FB0986">
        <w:rPr>
          <w:rStyle w:val="References"/>
        </w:rPr>
        <w:t xml:space="preserve">, </w:t>
      </w:r>
      <w:r>
        <w:rPr>
          <w:rStyle w:val="References"/>
        </w:rPr>
        <w:t>item 14</w:t>
      </w:r>
      <w:r w:rsidRPr="00FB0986">
        <w:rPr>
          <w:rStyle w:val="References"/>
        </w:rPr>
        <w:t>, section 83</w:t>
      </w:r>
      <w:r>
        <w:rPr>
          <w:rStyle w:val="References"/>
        </w:rPr>
        <w:t>6K</w:t>
      </w:r>
      <w:r w:rsidRPr="00FB0986">
        <w:rPr>
          <w:rStyle w:val="References"/>
        </w:rPr>
        <w:t xml:space="preserve"> of the Act]</w:t>
      </w:r>
    </w:p>
    <w:p w14:paraId="163F30E3" w14:textId="5C7D0F6A" w:rsidR="00F44C49" w:rsidRPr="00172705" w:rsidRDefault="004A4DF3" w:rsidP="009E0C90">
      <w:pPr>
        <w:pStyle w:val="Heading5"/>
        <w:rPr>
          <w:rStyle w:val="References"/>
          <w:rFonts w:ascii="Helvetica" w:hAnsi="Helvetica" w:cs="Helvetica"/>
          <w:b/>
          <w:bCs w:val="0"/>
          <w:i w:val="0"/>
          <w:iCs w:val="0"/>
        </w:rPr>
      </w:pPr>
      <w:r>
        <w:rPr>
          <w:rStyle w:val="References"/>
          <w:rFonts w:ascii="Helvetica" w:hAnsi="Helvetica" w:cs="Helvetica"/>
          <w:b/>
          <w:bCs w:val="0"/>
          <w:i w:val="0"/>
          <w:iCs w:val="0"/>
        </w:rPr>
        <w:t>C</w:t>
      </w:r>
      <w:r w:rsidR="00F44C49" w:rsidRPr="00172705">
        <w:rPr>
          <w:rStyle w:val="References"/>
          <w:rFonts w:ascii="Helvetica" w:hAnsi="Helvetica" w:cs="Helvetica"/>
          <w:b/>
          <w:bCs w:val="0"/>
          <w:i w:val="0"/>
          <w:iCs w:val="0"/>
        </w:rPr>
        <w:t xml:space="preserve">osts of statutory management </w:t>
      </w:r>
    </w:p>
    <w:p w14:paraId="134F05A4" w14:textId="15ED9944" w:rsidR="002C6014" w:rsidRDefault="00172705" w:rsidP="00125C2C">
      <w:pPr>
        <w:pStyle w:val="Normalparatextwithnumbers"/>
        <w:rPr>
          <w:rStyle w:val="References"/>
          <w:b w:val="0"/>
          <w:bCs w:val="0"/>
          <w:i w:val="0"/>
          <w:iCs w:val="0"/>
        </w:rPr>
      </w:pPr>
      <w:r w:rsidRPr="00172705">
        <w:rPr>
          <w:rStyle w:val="References"/>
          <w:b w:val="0"/>
          <w:bCs w:val="0"/>
          <w:i w:val="0"/>
          <w:iCs w:val="0"/>
        </w:rPr>
        <w:t xml:space="preserve">The costs incurred by the </w:t>
      </w:r>
      <w:r w:rsidR="004D4BAC">
        <w:rPr>
          <w:rStyle w:val="References"/>
          <w:b w:val="0"/>
          <w:bCs w:val="0"/>
          <w:i w:val="0"/>
          <w:iCs w:val="0"/>
        </w:rPr>
        <w:t>RBA</w:t>
      </w:r>
      <w:r w:rsidRPr="00172705">
        <w:rPr>
          <w:rStyle w:val="References"/>
          <w:b w:val="0"/>
          <w:bCs w:val="0"/>
          <w:i w:val="0"/>
          <w:iCs w:val="0"/>
        </w:rPr>
        <w:t xml:space="preserve"> in appointing statutory management to a body corporate are payable from the body corporate’s funds and are a debt due to the </w:t>
      </w:r>
      <w:r w:rsidR="004D4BAC">
        <w:rPr>
          <w:rStyle w:val="References"/>
          <w:b w:val="0"/>
          <w:bCs w:val="0"/>
          <w:i w:val="0"/>
          <w:iCs w:val="0"/>
        </w:rPr>
        <w:t>RBA</w:t>
      </w:r>
      <w:r w:rsidRPr="00172705">
        <w:rPr>
          <w:rStyle w:val="References"/>
          <w:b w:val="0"/>
          <w:bCs w:val="0"/>
          <w:i w:val="0"/>
          <w:iCs w:val="0"/>
        </w:rPr>
        <w:t>.</w:t>
      </w:r>
      <w:r w:rsidR="002C6014">
        <w:rPr>
          <w:rStyle w:val="References"/>
          <w:b w:val="0"/>
          <w:bCs w:val="0"/>
          <w:i w:val="0"/>
          <w:iCs w:val="0"/>
        </w:rPr>
        <w:br/>
      </w:r>
      <w:r w:rsidR="002C6014" w:rsidRPr="002C6014">
        <w:rPr>
          <w:rStyle w:val="References"/>
        </w:rPr>
        <w:t xml:space="preserve">[Schedule </w:t>
      </w:r>
      <w:r w:rsidR="00D84342">
        <w:rPr>
          <w:rStyle w:val="References"/>
        </w:rPr>
        <w:t>1</w:t>
      </w:r>
      <w:r w:rsidR="002C6014" w:rsidRPr="002C6014">
        <w:rPr>
          <w:rStyle w:val="References"/>
        </w:rPr>
        <w:t xml:space="preserve">, </w:t>
      </w:r>
      <w:r w:rsidR="00C568C9">
        <w:rPr>
          <w:rStyle w:val="References"/>
        </w:rPr>
        <w:t>item 14</w:t>
      </w:r>
      <w:r w:rsidR="00D84342">
        <w:rPr>
          <w:rStyle w:val="References"/>
        </w:rPr>
        <w:t>,</w:t>
      </w:r>
      <w:r w:rsidR="00BB2C23" w:rsidRPr="002C6014">
        <w:rPr>
          <w:rStyle w:val="References"/>
        </w:rPr>
        <w:t xml:space="preserve"> </w:t>
      </w:r>
      <w:r w:rsidR="002C6014" w:rsidRPr="002C6014">
        <w:rPr>
          <w:rStyle w:val="References"/>
        </w:rPr>
        <w:t xml:space="preserve">subsection </w:t>
      </w:r>
      <w:r w:rsidR="00D84342">
        <w:rPr>
          <w:rStyle w:val="References"/>
        </w:rPr>
        <w:t>836</w:t>
      </w:r>
      <w:proofErr w:type="gramStart"/>
      <w:r w:rsidR="00D84342">
        <w:rPr>
          <w:rStyle w:val="References"/>
        </w:rPr>
        <w:t>C</w:t>
      </w:r>
      <w:r w:rsidR="002C6014" w:rsidRPr="002C6014">
        <w:rPr>
          <w:rStyle w:val="References"/>
        </w:rPr>
        <w:t>(</w:t>
      </w:r>
      <w:proofErr w:type="gramEnd"/>
      <w:r w:rsidR="002C6014" w:rsidRPr="002C6014">
        <w:rPr>
          <w:rStyle w:val="References"/>
        </w:rPr>
        <w:t>1) of the Act]</w:t>
      </w:r>
      <w:r w:rsidRPr="00172705">
        <w:rPr>
          <w:rStyle w:val="References"/>
          <w:b w:val="0"/>
          <w:bCs w:val="0"/>
          <w:i w:val="0"/>
          <w:iCs w:val="0"/>
        </w:rPr>
        <w:t xml:space="preserve"> </w:t>
      </w:r>
    </w:p>
    <w:p w14:paraId="6895291C" w14:textId="56D35ED0" w:rsidR="00172705" w:rsidRPr="00172705" w:rsidRDefault="00172705" w:rsidP="00125C2C">
      <w:pPr>
        <w:pStyle w:val="Normalparatextwithnumbers"/>
        <w:rPr>
          <w:rStyle w:val="References"/>
          <w:b w:val="0"/>
          <w:bCs w:val="0"/>
          <w:i w:val="0"/>
          <w:iCs w:val="0"/>
        </w:rPr>
      </w:pPr>
      <w:r w:rsidRPr="00172705">
        <w:rPr>
          <w:rStyle w:val="References"/>
          <w:b w:val="0"/>
          <w:bCs w:val="0"/>
          <w:i w:val="0"/>
          <w:iCs w:val="0"/>
        </w:rPr>
        <w:t xml:space="preserve">These costs include remuneration and expenses of a statutory manager, regardless of whether the </w:t>
      </w:r>
      <w:r w:rsidR="004D4BAC">
        <w:rPr>
          <w:rStyle w:val="References"/>
          <w:b w:val="0"/>
          <w:bCs w:val="0"/>
          <w:i w:val="0"/>
          <w:iCs w:val="0"/>
        </w:rPr>
        <w:t>RBA</w:t>
      </w:r>
      <w:r w:rsidRPr="00172705">
        <w:rPr>
          <w:rStyle w:val="References"/>
          <w:b w:val="0"/>
          <w:bCs w:val="0"/>
          <w:i w:val="0"/>
          <w:iCs w:val="0"/>
        </w:rPr>
        <w:t xml:space="preserve"> and/or another person is the statutory manager. Debts due to the </w:t>
      </w:r>
      <w:r w:rsidR="004D4BAC">
        <w:rPr>
          <w:rStyle w:val="References"/>
          <w:b w:val="0"/>
          <w:bCs w:val="0"/>
          <w:i w:val="0"/>
          <w:iCs w:val="0"/>
        </w:rPr>
        <w:t>RBA</w:t>
      </w:r>
      <w:r w:rsidRPr="00172705">
        <w:rPr>
          <w:rStyle w:val="References"/>
          <w:b w:val="0"/>
          <w:bCs w:val="0"/>
          <w:i w:val="0"/>
          <w:iCs w:val="0"/>
        </w:rPr>
        <w:t xml:space="preserve"> as a result of the costs of statutory management have priority in a winding-up of the body corporate over all other unsecured debts</w:t>
      </w:r>
      <w:r w:rsidR="002C6014">
        <w:rPr>
          <w:rStyle w:val="References"/>
          <w:b w:val="0"/>
          <w:bCs w:val="0"/>
          <w:i w:val="0"/>
          <w:iCs w:val="0"/>
        </w:rPr>
        <w:t xml:space="preserve">. </w:t>
      </w:r>
      <w:r w:rsidRPr="00172705">
        <w:rPr>
          <w:rStyle w:val="References"/>
          <w:b w:val="0"/>
          <w:bCs w:val="0"/>
          <w:i w:val="0"/>
          <w:iCs w:val="0"/>
        </w:rPr>
        <w:t xml:space="preserve"> </w:t>
      </w:r>
      <w:r w:rsidR="002C6014">
        <w:br/>
      </w:r>
      <w:r w:rsidR="002C6014" w:rsidRPr="002C6014">
        <w:rPr>
          <w:rStyle w:val="References"/>
        </w:rPr>
        <w:t xml:space="preserve">[Schedule </w:t>
      </w:r>
      <w:r w:rsidR="009A3F5E">
        <w:rPr>
          <w:rStyle w:val="References"/>
        </w:rPr>
        <w:t>1</w:t>
      </w:r>
      <w:r w:rsidR="002C6014" w:rsidRPr="002C6014">
        <w:rPr>
          <w:rStyle w:val="References"/>
        </w:rPr>
        <w:t xml:space="preserve">, </w:t>
      </w:r>
      <w:r w:rsidR="00C568C9">
        <w:rPr>
          <w:rStyle w:val="References"/>
        </w:rPr>
        <w:t>item 14</w:t>
      </w:r>
      <w:r w:rsidR="002C6014" w:rsidRPr="002C6014">
        <w:rPr>
          <w:rStyle w:val="References"/>
        </w:rPr>
        <w:t xml:space="preserve">, subsection </w:t>
      </w:r>
      <w:r w:rsidR="00D84342">
        <w:rPr>
          <w:rStyle w:val="References"/>
        </w:rPr>
        <w:t>836</w:t>
      </w:r>
      <w:proofErr w:type="gramStart"/>
      <w:r w:rsidR="00D84342">
        <w:rPr>
          <w:rStyle w:val="References"/>
        </w:rPr>
        <w:t>C</w:t>
      </w:r>
      <w:r w:rsidR="002C6014" w:rsidRPr="002C6014">
        <w:rPr>
          <w:rStyle w:val="References"/>
        </w:rPr>
        <w:t>(</w:t>
      </w:r>
      <w:proofErr w:type="gramEnd"/>
      <w:r w:rsidR="002C6014">
        <w:rPr>
          <w:rStyle w:val="References"/>
        </w:rPr>
        <w:t>2</w:t>
      </w:r>
      <w:r w:rsidR="002C6014" w:rsidRPr="002C6014">
        <w:rPr>
          <w:rStyle w:val="References"/>
        </w:rPr>
        <w:t>) of the Act]</w:t>
      </w:r>
    </w:p>
    <w:p w14:paraId="0D978093" w14:textId="77777777" w:rsidR="00EA63FF" w:rsidRDefault="00EA63FF" w:rsidP="00EA63FF">
      <w:pPr>
        <w:pStyle w:val="Heading3"/>
        <w:rPr>
          <w:rFonts w:hint="eastAsia"/>
        </w:rPr>
      </w:pPr>
      <w:bookmarkStart w:id="61" w:name="_Toc152860449"/>
      <w:r w:rsidRPr="00E74664">
        <w:t>Transfer</w:t>
      </w:r>
      <w:bookmarkEnd w:id="61"/>
      <w:r>
        <w:t xml:space="preserve"> </w:t>
      </w:r>
    </w:p>
    <w:p w14:paraId="082C31D1" w14:textId="1031D611" w:rsidR="00EA63FF" w:rsidRDefault="00EA63FF" w:rsidP="00125C2C">
      <w:pPr>
        <w:pStyle w:val="Normalparatextwithnumbers"/>
      </w:pPr>
      <w:r>
        <w:t xml:space="preserve">Compulsory transfer of </w:t>
      </w:r>
      <w:r w:rsidR="17475D64">
        <w:t xml:space="preserve">shares and </w:t>
      </w:r>
      <w:r>
        <w:t>business is an important tool in the package of resolution options available to the RBA.</w:t>
      </w:r>
      <w:r w:rsidR="00494297">
        <w:t xml:space="preserve"> This power enables the RBA to transfer a failing or insolvent CS facility to a solvent body corporate to continue providing critical CS services. </w:t>
      </w:r>
    </w:p>
    <w:p w14:paraId="227FCB10" w14:textId="62B51879" w:rsidR="00EA63FF" w:rsidRPr="00C46A11" w:rsidRDefault="00EA63FF" w:rsidP="00125C2C">
      <w:pPr>
        <w:pStyle w:val="Normalparatextwithnumbers"/>
      </w:pPr>
      <w:r w:rsidRPr="00C46A11">
        <w:t>Once a condition for resolution has been met, the R</w:t>
      </w:r>
      <w:r>
        <w:t>B</w:t>
      </w:r>
      <w:r w:rsidRPr="00C46A11">
        <w:t>A has discretion to issue a transfer determination for a transfer of shares or business of the domestic CS facility licensee, and related bodies corporate.</w:t>
      </w:r>
      <w:r w:rsidR="00E74664">
        <w:t xml:space="preserve"> </w:t>
      </w:r>
      <w:r w:rsidR="008F053F">
        <w:t xml:space="preserve">Given the </w:t>
      </w:r>
      <w:r w:rsidR="00494297">
        <w:t>degree of</w:t>
      </w:r>
      <w:r w:rsidR="008F053F">
        <w:t xml:space="preserve"> </w:t>
      </w:r>
      <w:r w:rsidR="0092029E">
        <w:t>intervention in transferring a business or shares, t</w:t>
      </w:r>
      <w:r w:rsidR="00E74664">
        <w:t xml:space="preserve">his power is exclusively </w:t>
      </w:r>
      <w:r w:rsidR="008F053F">
        <w:t>available to the RBA</w:t>
      </w:r>
      <w:r w:rsidR="0092029E">
        <w:t>. A</w:t>
      </w:r>
      <w:r w:rsidR="00494297">
        <w:t>n appointed</w:t>
      </w:r>
      <w:r w:rsidR="005C7C3D">
        <w:t xml:space="preserve"> statutory manager cannot authorise </w:t>
      </w:r>
      <w:r w:rsidR="0092029E">
        <w:t>a transfer</w:t>
      </w:r>
      <w:r w:rsidR="005C7C3D">
        <w:t xml:space="preserve">, but </w:t>
      </w:r>
      <w:r w:rsidR="0092029E">
        <w:t xml:space="preserve">may </w:t>
      </w:r>
      <w:r w:rsidR="005C7C3D">
        <w:t xml:space="preserve">facilitate the transfer, </w:t>
      </w:r>
      <w:r w:rsidR="004766F7">
        <w:t>at the direction of the RBA</w:t>
      </w:r>
      <w:r w:rsidR="005C7C3D">
        <w:t xml:space="preserve">. </w:t>
      </w:r>
    </w:p>
    <w:p w14:paraId="1B9DD7C4" w14:textId="77777777" w:rsidR="00EA63FF" w:rsidRDefault="00EA63FF" w:rsidP="00EA63FF">
      <w:pPr>
        <w:pStyle w:val="Heading4"/>
      </w:pPr>
      <w:r>
        <w:t xml:space="preserve">Compulsory transfer </w:t>
      </w:r>
    </w:p>
    <w:p w14:paraId="116B4177" w14:textId="2EAC2D3B" w:rsidR="00EA63FF" w:rsidRDefault="00EA63FF" w:rsidP="00125C2C">
      <w:pPr>
        <w:pStyle w:val="Normalparatextwithnumbers"/>
      </w:pPr>
      <w:r w:rsidRPr="00773BAA">
        <w:t xml:space="preserve">The </w:t>
      </w:r>
      <w:r>
        <w:t xml:space="preserve">amendments </w:t>
      </w:r>
      <w:r w:rsidRPr="00773BAA">
        <w:t xml:space="preserve">enable some or </w:t>
      </w:r>
      <w:proofErr w:type="gramStart"/>
      <w:r w:rsidRPr="00773BAA">
        <w:t>all of</w:t>
      </w:r>
      <w:proofErr w:type="gramEnd"/>
      <w:r w:rsidRPr="00773BAA">
        <w:t xml:space="preserve"> the</w:t>
      </w:r>
      <w:r w:rsidR="001814BF">
        <w:t xml:space="preserve"> shares or</w:t>
      </w:r>
      <w:r w:rsidRPr="00773BAA">
        <w:t xml:space="preserve"> business of a </w:t>
      </w:r>
      <w:r>
        <w:t xml:space="preserve">CS facility or a related body corporate </w:t>
      </w:r>
      <w:r w:rsidRPr="00773BAA">
        <w:t xml:space="preserve">(including assets, liabilities, legal rights and obligations, data and systems) to be transferred to </w:t>
      </w:r>
      <w:r w:rsidR="007C5066">
        <w:t>another body corporate or</w:t>
      </w:r>
      <w:r w:rsidR="007C5066" w:rsidRPr="00773BAA">
        <w:t xml:space="preserve"> </w:t>
      </w:r>
      <w:r w:rsidRPr="00773BAA">
        <w:t xml:space="preserve">a newly established bridge entity </w:t>
      </w:r>
      <w:r w:rsidR="00AF7B8B">
        <w:t>that is incorporated in Australia</w:t>
      </w:r>
      <w:r w:rsidRPr="00773BAA">
        <w:t>.</w:t>
      </w:r>
      <w:r w:rsidR="009C5402">
        <w:t xml:space="preserve"> </w:t>
      </w:r>
    </w:p>
    <w:p w14:paraId="78F8DC8E" w14:textId="1EF96E7F" w:rsidR="00DC36D5" w:rsidRDefault="00C82FC9" w:rsidP="00125C2C">
      <w:pPr>
        <w:pStyle w:val="Normalparatextwithnumbers"/>
      </w:pPr>
      <w:r>
        <w:lastRenderedPageBreak/>
        <w:t>In general</w:t>
      </w:r>
      <w:r w:rsidR="00DC36D5">
        <w:t>,</w:t>
      </w:r>
      <w:r>
        <w:t xml:space="preserve"> the process for a transfer </w:t>
      </w:r>
      <w:r w:rsidR="005E6C87">
        <w:t xml:space="preserve">of shares or business from one entity to another </w:t>
      </w:r>
      <w:r>
        <w:t>is for the RBA to obtain consent from the appropriate parties, issue a determination outlin</w:t>
      </w:r>
      <w:r w:rsidR="005E6C87">
        <w:t xml:space="preserve">ing </w:t>
      </w:r>
      <w:r>
        <w:t xml:space="preserve">a transfer </w:t>
      </w:r>
      <w:r w:rsidR="005E6C87">
        <w:t xml:space="preserve">will </w:t>
      </w:r>
      <w:r>
        <w:t xml:space="preserve">take effect, </w:t>
      </w:r>
      <w:r w:rsidR="005E6C87">
        <w:t xml:space="preserve">and finally issue a certificate of transfer stating the transfer is to occur. </w:t>
      </w:r>
    </w:p>
    <w:p w14:paraId="2394216A" w14:textId="4728BDEE" w:rsidR="00E037E6" w:rsidRDefault="00BD3A83" w:rsidP="00EB2107">
      <w:pPr>
        <w:pStyle w:val="Heading6"/>
        <w:rPr>
          <w:rFonts w:hint="eastAsia"/>
        </w:rPr>
      </w:pPr>
      <w:r>
        <w:t xml:space="preserve">Transferring </w:t>
      </w:r>
      <w:r w:rsidR="004E6E3E">
        <w:t xml:space="preserve">shares or business of </w:t>
      </w:r>
      <w:r>
        <w:t>a related body corporate</w:t>
      </w:r>
    </w:p>
    <w:p w14:paraId="21500CAF" w14:textId="5878B571" w:rsidR="00BD3A83" w:rsidRPr="005F2592" w:rsidRDefault="009C5402" w:rsidP="005F2592">
      <w:pPr>
        <w:pStyle w:val="Normalparatextwithnumbers"/>
        <w:rPr>
          <w:rStyle w:val="References"/>
          <w:b w:val="0"/>
          <w:bCs w:val="0"/>
          <w:i w:val="0"/>
          <w:iCs w:val="0"/>
        </w:rPr>
      </w:pPr>
      <w:r>
        <w:t xml:space="preserve">The RBA may determine that a </w:t>
      </w:r>
      <w:r w:rsidR="00BD3A83">
        <w:t xml:space="preserve">transfer of shares, or part or </w:t>
      </w:r>
      <w:proofErr w:type="gramStart"/>
      <w:r w:rsidR="00BD3A83">
        <w:t>all of</w:t>
      </w:r>
      <w:proofErr w:type="gramEnd"/>
      <w:r w:rsidR="00BD3A83">
        <w:t xml:space="preserve"> the business of a related body corporate </w:t>
      </w:r>
      <w:r w:rsidR="00BE2028">
        <w:t xml:space="preserve">is reasonably appropriate </w:t>
      </w:r>
      <w:r w:rsidR="00BD3A83">
        <w:t>when a domestic CS facility licensee is being</w:t>
      </w:r>
      <w:r w:rsidR="00BE2028">
        <w:t>,</w:t>
      </w:r>
      <w:r w:rsidR="00BD3A83">
        <w:t xml:space="preserve"> or has been</w:t>
      </w:r>
      <w:r w:rsidR="00BE2028">
        <w:t>,</w:t>
      </w:r>
      <w:r w:rsidR="00BD3A83">
        <w:t xml:space="preserve"> transferred. This includes a body corporate that was a related body corporate </w:t>
      </w:r>
      <w:r w:rsidR="009E3323">
        <w:t xml:space="preserve">immediately </w:t>
      </w:r>
      <w:r w:rsidR="00BD3A83">
        <w:t>prior to the transfer of the domestic CS facility licensee.</w:t>
      </w:r>
      <w:r w:rsidR="00326547">
        <w:t xml:space="preserve"> </w:t>
      </w:r>
      <w:r w:rsidR="00BE2028" w:rsidRPr="00B17374">
        <w:rPr>
          <w:rStyle w:val="References"/>
        </w:rPr>
        <w:t xml:space="preserve">[Schedule </w:t>
      </w:r>
      <w:r w:rsidR="009A3F5E">
        <w:rPr>
          <w:rStyle w:val="References"/>
        </w:rPr>
        <w:t>1</w:t>
      </w:r>
      <w:r w:rsidR="00BE2028" w:rsidRPr="00B17374">
        <w:rPr>
          <w:rStyle w:val="References"/>
        </w:rPr>
        <w:t xml:space="preserve">, </w:t>
      </w:r>
      <w:r w:rsidR="00C568C9">
        <w:rPr>
          <w:rStyle w:val="References"/>
        </w:rPr>
        <w:t>item 14</w:t>
      </w:r>
      <w:r w:rsidR="00BE2028" w:rsidRPr="00B17374">
        <w:rPr>
          <w:rStyle w:val="References"/>
        </w:rPr>
        <w:t>, subsection</w:t>
      </w:r>
      <w:r w:rsidR="006D1E53" w:rsidRPr="00B17374">
        <w:rPr>
          <w:rStyle w:val="References"/>
        </w:rPr>
        <w:t>s</w:t>
      </w:r>
      <w:r w:rsidR="00BE2028" w:rsidRPr="00B17374">
        <w:rPr>
          <w:rStyle w:val="References"/>
        </w:rPr>
        <w:t xml:space="preserve"> </w:t>
      </w:r>
      <w:r w:rsidR="00FA21B0">
        <w:rPr>
          <w:rStyle w:val="References"/>
        </w:rPr>
        <w:t>83</w:t>
      </w:r>
      <w:r w:rsidR="009F061F">
        <w:rPr>
          <w:rStyle w:val="References"/>
        </w:rPr>
        <w:t>7</w:t>
      </w:r>
      <w:proofErr w:type="gramStart"/>
      <w:r w:rsidR="00FA21B0">
        <w:rPr>
          <w:rStyle w:val="References"/>
        </w:rPr>
        <w:t>A</w:t>
      </w:r>
      <w:r w:rsidR="00BE2028" w:rsidRPr="00B17374">
        <w:rPr>
          <w:rStyle w:val="References"/>
        </w:rPr>
        <w:t>(</w:t>
      </w:r>
      <w:proofErr w:type="gramEnd"/>
      <w:r w:rsidR="00BE2028" w:rsidRPr="00B17374">
        <w:rPr>
          <w:rStyle w:val="References"/>
        </w:rPr>
        <w:t>2)</w:t>
      </w:r>
      <w:r w:rsidR="006D1E53" w:rsidRPr="00B17374">
        <w:rPr>
          <w:rStyle w:val="References"/>
        </w:rPr>
        <w:t xml:space="preserve"> </w:t>
      </w:r>
      <w:r w:rsidR="00AD7EBB">
        <w:rPr>
          <w:rStyle w:val="References"/>
        </w:rPr>
        <w:t xml:space="preserve">and </w:t>
      </w:r>
      <w:r w:rsidR="00970C71">
        <w:rPr>
          <w:rStyle w:val="References"/>
        </w:rPr>
        <w:t>83</w:t>
      </w:r>
      <w:r w:rsidR="009F061F">
        <w:rPr>
          <w:rStyle w:val="References"/>
        </w:rPr>
        <w:t>7</w:t>
      </w:r>
      <w:r w:rsidR="00970C71">
        <w:rPr>
          <w:rStyle w:val="References"/>
        </w:rPr>
        <w:t xml:space="preserve">B(2) </w:t>
      </w:r>
      <w:r w:rsidR="00BE2028" w:rsidRPr="00B17374">
        <w:rPr>
          <w:rStyle w:val="References"/>
        </w:rPr>
        <w:t>of the Act]</w:t>
      </w:r>
    </w:p>
    <w:p w14:paraId="258CA54F" w14:textId="3C414A0E" w:rsidR="009F061F" w:rsidRPr="009F061F" w:rsidRDefault="00AF7B8B" w:rsidP="00125C2C">
      <w:pPr>
        <w:pStyle w:val="Normalparatextwithnumbers"/>
        <w:rPr>
          <w:rStyle w:val="References"/>
          <w:b w:val="0"/>
          <w:bCs w:val="0"/>
          <w:i w:val="0"/>
          <w:iCs w:val="0"/>
        </w:rPr>
      </w:pPr>
      <w:r>
        <w:t xml:space="preserve">For the transfer of shares or business of the related body corporate of a domestic CS facility licensee the </w:t>
      </w:r>
      <w:r w:rsidR="00FC69D6">
        <w:t>target</w:t>
      </w:r>
      <w:r>
        <w:t xml:space="preserve"> body must be incorporated in Australia.</w:t>
      </w:r>
      <w:r w:rsidR="001533BB">
        <w:t xml:space="preserve"> </w:t>
      </w:r>
      <w:r>
        <w:br/>
      </w:r>
      <w:r w:rsidRPr="00AF7B8B">
        <w:rPr>
          <w:rStyle w:val="References"/>
        </w:rPr>
        <w:t xml:space="preserve">[Schedule </w:t>
      </w:r>
      <w:r w:rsidR="009A3F5E">
        <w:rPr>
          <w:rStyle w:val="References"/>
        </w:rPr>
        <w:t>1</w:t>
      </w:r>
      <w:r w:rsidRPr="00AF7B8B">
        <w:rPr>
          <w:rStyle w:val="References"/>
        </w:rPr>
        <w:t xml:space="preserve">, item </w:t>
      </w:r>
      <w:r w:rsidR="009A3F5E">
        <w:rPr>
          <w:rStyle w:val="References"/>
        </w:rPr>
        <w:t>1</w:t>
      </w:r>
      <w:r w:rsidR="00C568C9">
        <w:rPr>
          <w:rStyle w:val="References"/>
        </w:rPr>
        <w:t>4</w:t>
      </w:r>
      <w:r w:rsidRPr="00AF7B8B">
        <w:rPr>
          <w:rStyle w:val="References"/>
        </w:rPr>
        <w:t xml:space="preserve">, </w:t>
      </w:r>
      <w:r w:rsidR="003A10CD">
        <w:rPr>
          <w:rStyle w:val="References"/>
        </w:rPr>
        <w:t>paragraphs</w:t>
      </w:r>
      <w:r w:rsidR="003A10CD" w:rsidRPr="00AF7B8B">
        <w:rPr>
          <w:rStyle w:val="References"/>
        </w:rPr>
        <w:t xml:space="preserve"> 8</w:t>
      </w:r>
      <w:r w:rsidR="004A3F74">
        <w:rPr>
          <w:rStyle w:val="References"/>
        </w:rPr>
        <w:t>3</w:t>
      </w:r>
      <w:r w:rsidR="009F061F">
        <w:rPr>
          <w:rStyle w:val="References"/>
        </w:rPr>
        <w:t>7</w:t>
      </w:r>
      <w:r w:rsidR="009A3F5E">
        <w:rPr>
          <w:rStyle w:val="References"/>
        </w:rPr>
        <w:t>A</w:t>
      </w:r>
      <w:r w:rsidR="003A10CD" w:rsidRPr="00AF7B8B">
        <w:rPr>
          <w:rStyle w:val="References"/>
        </w:rPr>
        <w:t>(2)</w:t>
      </w:r>
      <w:r w:rsidR="003A10CD">
        <w:rPr>
          <w:rStyle w:val="References"/>
        </w:rPr>
        <w:t>(d)</w:t>
      </w:r>
      <w:r w:rsidR="003A10CD" w:rsidRPr="00AF7B8B">
        <w:rPr>
          <w:rStyle w:val="References"/>
        </w:rPr>
        <w:t xml:space="preserve"> and 8</w:t>
      </w:r>
      <w:r w:rsidR="004A3F74">
        <w:rPr>
          <w:rStyle w:val="References"/>
        </w:rPr>
        <w:t>3</w:t>
      </w:r>
      <w:r w:rsidR="009F061F">
        <w:rPr>
          <w:rStyle w:val="References"/>
        </w:rPr>
        <w:t>7</w:t>
      </w:r>
      <w:r w:rsidR="004A3F74">
        <w:rPr>
          <w:rStyle w:val="References"/>
        </w:rPr>
        <w:t>B</w:t>
      </w:r>
      <w:r w:rsidR="003A10CD" w:rsidRPr="00AF7B8B">
        <w:rPr>
          <w:rStyle w:val="References"/>
        </w:rPr>
        <w:t>(2)</w:t>
      </w:r>
      <w:r w:rsidR="003A10CD">
        <w:rPr>
          <w:rStyle w:val="References"/>
        </w:rPr>
        <w:t>(d)</w:t>
      </w:r>
      <w:r w:rsidR="003A10CD" w:rsidRPr="00AF7B8B">
        <w:rPr>
          <w:rStyle w:val="References"/>
        </w:rPr>
        <w:t xml:space="preserve"> </w:t>
      </w:r>
      <w:r w:rsidRPr="00AF7B8B">
        <w:rPr>
          <w:rStyle w:val="References"/>
        </w:rPr>
        <w:t>of the Act]</w:t>
      </w:r>
    </w:p>
    <w:p w14:paraId="1703556A" w14:textId="04986DA5" w:rsidR="00BD3A83" w:rsidRDefault="00BD3A83" w:rsidP="00125C2C">
      <w:pPr>
        <w:pStyle w:val="Normalparatextwithnumbers"/>
      </w:pPr>
      <w:r>
        <w:t xml:space="preserve">Discretion to transfer </w:t>
      </w:r>
      <w:r w:rsidR="009E3323">
        <w:t>a related body corporate</w:t>
      </w:r>
      <w:r>
        <w:t xml:space="preserve"> is based on the RBA’s assessment that it is required to facilitate the CS facility’s resolution, including to enable the conduct of default management actions</w:t>
      </w:r>
      <w:r w:rsidR="000F2C42">
        <w:t>, restor</w:t>
      </w:r>
      <w:r w:rsidR="00994B5D">
        <w:t>e</w:t>
      </w:r>
      <w:r w:rsidR="000F2C42">
        <w:t xml:space="preserve"> or maintain financial stability</w:t>
      </w:r>
      <w:r>
        <w:t xml:space="preserve"> or anything else that the RBA considers is necessary for the CS facility’s resolution. </w:t>
      </w:r>
      <w:r w:rsidR="00994B5D">
        <w:t xml:space="preserve">For example, </w:t>
      </w:r>
      <w:r w:rsidR="00FF3CF9">
        <w:t>the</w:t>
      </w:r>
      <w:r>
        <w:t xml:space="preserve"> RBA may consider it necessary to transfer the business or shares of related bodies corporate of a domestic CS facility licensee, where a related body corporate: </w:t>
      </w:r>
    </w:p>
    <w:p w14:paraId="75F0940E" w14:textId="59E8105C" w:rsidR="00BD3A83" w:rsidRDefault="00BD3A83" w:rsidP="00BD3A83">
      <w:pPr>
        <w:pStyle w:val="Dotpoint1"/>
        <w:numPr>
          <w:ilvl w:val="0"/>
          <w:numId w:val="17"/>
        </w:numPr>
        <w:ind w:left="1418" w:hanging="709"/>
      </w:pPr>
      <w:r>
        <w:t xml:space="preserve">supplies services or funding that are necessary for the domestic CS facility licensee to operate its CS facility services, and access </w:t>
      </w:r>
      <w:r w:rsidR="00FF3CF9">
        <w:t>to those services</w:t>
      </w:r>
      <w:r>
        <w:t xml:space="preserve"> could not be guaranteed unless the related body corporate is transferred with the domestic CS facility licensee; or</w:t>
      </w:r>
    </w:p>
    <w:p w14:paraId="296CC10B" w14:textId="77777777" w:rsidR="00BD3A83" w:rsidRDefault="00BD3A83" w:rsidP="00BD3A83">
      <w:pPr>
        <w:pStyle w:val="Dotpoint1"/>
        <w:numPr>
          <w:ilvl w:val="0"/>
          <w:numId w:val="17"/>
        </w:numPr>
        <w:ind w:left="1418" w:hanging="709"/>
      </w:pPr>
      <w:r>
        <w:t xml:space="preserve">operates a market for which the domestic CS facility licensee provides CS facility </w:t>
      </w:r>
      <w:proofErr w:type="gramStart"/>
      <w:r>
        <w:t>services</w:t>
      </w:r>
      <w:proofErr w:type="gramEnd"/>
      <w:r>
        <w:t xml:space="preserve"> and the operation of this market is required to effectively conduct default management actions that are necessary for resolution. </w:t>
      </w:r>
    </w:p>
    <w:p w14:paraId="4C368276" w14:textId="01C4B960" w:rsidR="00BD3A83" w:rsidRDefault="00BD3A83" w:rsidP="00125C2C">
      <w:pPr>
        <w:pStyle w:val="Normalparatextwithnumbers"/>
      </w:pPr>
      <w:r>
        <w:t>Where a related body corporate has an Australian Market Licence under Part 7.2 of the Act, a Derivative Transaction Reporting Licen</w:t>
      </w:r>
      <w:r w:rsidR="001A2241">
        <w:t>c</w:t>
      </w:r>
      <w:r>
        <w:t xml:space="preserve">e under Part 7.5A or a Benchmark Administrator Licence under Part 7.5B, the RBA must consult with ASIC as soon as possible. Failure to consult would not invalidate the transfer.  </w:t>
      </w:r>
      <w:r w:rsidR="009C5402">
        <w:br/>
      </w:r>
      <w:r w:rsidR="009C5402" w:rsidRPr="009C5402">
        <w:rPr>
          <w:rStyle w:val="References"/>
        </w:rPr>
        <w:t xml:space="preserve">[Schedule 1, </w:t>
      </w:r>
      <w:r w:rsidR="00C568C9">
        <w:rPr>
          <w:rStyle w:val="References"/>
        </w:rPr>
        <w:t>item 14</w:t>
      </w:r>
      <w:r w:rsidR="009C5402" w:rsidRPr="009C5402">
        <w:rPr>
          <w:rStyle w:val="References"/>
        </w:rPr>
        <w:t xml:space="preserve">, </w:t>
      </w:r>
      <w:r w:rsidR="003D3F3A">
        <w:rPr>
          <w:rStyle w:val="References"/>
        </w:rPr>
        <w:t>sub</w:t>
      </w:r>
      <w:r w:rsidR="009C5402" w:rsidRPr="009C5402">
        <w:rPr>
          <w:rStyle w:val="References"/>
        </w:rPr>
        <w:t>section</w:t>
      </w:r>
      <w:r w:rsidR="00FD3E56">
        <w:rPr>
          <w:rStyle w:val="References"/>
        </w:rPr>
        <w:t xml:space="preserve">s </w:t>
      </w:r>
      <w:r w:rsidR="00BD489A">
        <w:rPr>
          <w:rStyle w:val="References"/>
        </w:rPr>
        <w:t>8</w:t>
      </w:r>
      <w:r w:rsidR="00FA21B0">
        <w:rPr>
          <w:rStyle w:val="References"/>
        </w:rPr>
        <w:t>3</w:t>
      </w:r>
      <w:r w:rsidR="009F061F">
        <w:rPr>
          <w:rStyle w:val="References"/>
        </w:rPr>
        <w:t>7</w:t>
      </w:r>
      <w:proofErr w:type="gramStart"/>
      <w:r w:rsidR="00FA21B0">
        <w:rPr>
          <w:rStyle w:val="References"/>
        </w:rPr>
        <w:t>A</w:t>
      </w:r>
      <w:r w:rsidR="00BD489A">
        <w:rPr>
          <w:rStyle w:val="References"/>
        </w:rPr>
        <w:t>(</w:t>
      </w:r>
      <w:proofErr w:type="gramEnd"/>
      <w:r w:rsidR="00BD489A">
        <w:rPr>
          <w:rStyle w:val="References"/>
        </w:rPr>
        <w:t>6)</w:t>
      </w:r>
      <w:r w:rsidR="00503D62">
        <w:rPr>
          <w:rStyle w:val="References"/>
        </w:rPr>
        <w:t xml:space="preserve"> and 83</w:t>
      </w:r>
      <w:r w:rsidR="009F061F">
        <w:rPr>
          <w:rStyle w:val="References"/>
        </w:rPr>
        <w:t>7</w:t>
      </w:r>
      <w:r w:rsidR="00503D62">
        <w:rPr>
          <w:rStyle w:val="References"/>
        </w:rPr>
        <w:t>B(6</w:t>
      </w:r>
      <w:r w:rsidR="00352BDB">
        <w:rPr>
          <w:rStyle w:val="References"/>
        </w:rPr>
        <w:t>)</w:t>
      </w:r>
      <w:r w:rsidR="009C5402" w:rsidRPr="009C5402">
        <w:rPr>
          <w:rStyle w:val="References"/>
        </w:rPr>
        <w:t xml:space="preserve"> of the Act]</w:t>
      </w:r>
    </w:p>
    <w:p w14:paraId="7ABB7859" w14:textId="57AAE899" w:rsidR="00BD3A83" w:rsidRDefault="009F7A5C" w:rsidP="00BD3A83">
      <w:pPr>
        <w:pStyle w:val="Heading5"/>
      </w:pPr>
      <w:r>
        <w:t>T</w:t>
      </w:r>
      <w:r w:rsidR="00BD3A83">
        <w:t xml:space="preserve">ransfer </w:t>
      </w:r>
      <w:r w:rsidR="007A2E9E">
        <w:t>determination</w:t>
      </w:r>
    </w:p>
    <w:p w14:paraId="38047E4D" w14:textId="4BC1074D" w:rsidR="00BD3A83" w:rsidRDefault="00E47AA7" w:rsidP="00125C2C">
      <w:pPr>
        <w:pStyle w:val="Normalparatextwithnumbers"/>
      </w:pPr>
      <w:r>
        <w:t xml:space="preserve">Regardless of whether the RBA makes a transfer of shares or a transfer of business, there are certain requirements that must be satisfied. </w:t>
      </w:r>
      <w:r w:rsidR="006D1E53">
        <w:t>The</w:t>
      </w:r>
      <w:r w:rsidR="00D02133">
        <w:t xml:space="preserve"> written</w:t>
      </w:r>
      <w:r w:rsidR="006D1E53">
        <w:t xml:space="preserve"> transfer determination sets out how a transfer is to </w:t>
      </w:r>
      <w:r w:rsidR="007A2E9E">
        <w:t xml:space="preserve">take effect for </w:t>
      </w:r>
      <w:r w:rsidR="006D1E53">
        <w:t xml:space="preserve">either </w:t>
      </w:r>
      <w:r w:rsidR="007A2E9E">
        <w:t>a domestic CS facility licensee or a related body corporate</w:t>
      </w:r>
      <w:r w:rsidR="006D1E53">
        <w:t>. Prior to making the determination</w:t>
      </w:r>
      <w:r w:rsidR="007A2E9E">
        <w:t xml:space="preserve"> t</w:t>
      </w:r>
      <w:r w:rsidR="00BD3A83">
        <w:t xml:space="preserve">he RBA </w:t>
      </w:r>
      <w:r w:rsidR="006D1E53">
        <w:t>must</w:t>
      </w:r>
      <w:r w:rsidR="00BD3A83">
        <w:t xml:space="preserve">: </w:t>
      </w:r>
    </w:p>
    <w:p w14:paraId="7C54F00A" w14:textId="2EE08886" w:rsidR="006D1E53" w:rsidRDefault="006D1E53" w:rsidP="006D1E53">
      <w:pPr>
        <w:pStyle w:val="Dotpoint1"/>
        <w:ind w:left="1418" w:hanging="709"/>
      </w:pPr>
      <w:r>
        <w:lastRenderedPageBreak/>
        <w:t>obtain the Minister’s consent to the transfer or</w:t>
      </w:r>
      <w:r w:rsidR="00574B82">
        <w:t xml:space="preserve"> be</w:t>
      </w:r>
      <w:r>
        <w:t xml:space="preserve"> provided </w:t>
      </w:r>
      <w:r w:rsidR="00A750B9">
        <w:t xml:space="preserve">with </w:t>
      </w:r>
      <w:r>
        <w:t xml:space="preserve">written confirmation that consent is not required in relation to the </w:t>
      </w:r>
      <w:proofErr w:type="gramStart"/>
      <w:r>
        <w:t>transfer;</w:t>
      </w:r>
      <w:proofErr w:type="gramEnd"/>
      <w:r>
        <w:t xml:space="preserve"> </w:t>
      </w:r>
    </w:p>
    <w:p w14:paraId="0BCBF1C2" w14:textId="6218E22E" w:rsidR="002E0CE0" w:rsidRDefault="002E0CE0" w:rsidP="00F063A8">
      <w:pPr>
        <w:pStyle w:val="Dotpoint1"/>
        <w:ind w:left="1418" w:hanging="709"/>
      </w:pPr>
      <w:r>
        <w:t xml:space="preserve">consider the transfer to the receiving body </w:t>
      </w:r>
      <w:r w:rsidR="00A455D8">
        <w:t xml:space="preserve">is reasonably appropriate to manage or respond to a condition being satisfied in relation to the </w:t>
      </w:r>
      <w:proofErr w:type="gramStart"/>
      <w:r w:rsidR="00A455D8">
        <w:t>licensee;</w:t>
      </w:r>
      <w:proofErr w:type="gramEnd"/>
      <w:r w:rsidR="00A455D8">
        <w:t xml:space="preserve"> </w:t>
      </w:r>
    </w:p>
    <w:p w14:paraId="6244137F" w14:textId="7C88AE5C" w:rsidR="0019150F" w:rsidRDefault="0019150F" w:rsidP="00F063A8">
      <w:pPr>
        <w:pStyle w:val="Dotpoint1"/>
        <w:ind w:left="1418" w:hanging="709"/>
      </w:pPr>
      <w:r>
        <w:t xml:space="preserve">be satisfied </w:t>
      </w:r>
      <w:r w:rsidR="00D67A22">
        <w:t xml:space="preserve">that </w:t>
      </w:r>
      <w:r>
        <w:t xml:space="preserve">the </w:t>
      </w:r>
      <w:r w:rsidR="0098112D">
        <w:t>target</w:t>
      </w:r>
      <w:r>
        <w:t xml:space="preserve"> body </w:t>
      </w:r>
      <w:r w:rsidR="00880B11">
        <w:t xml:space="preserve">is </w:t>
      </w:r>
      <w:r>
        <w:t xml:space="preserve">incorporated in </w:t>
      </w:r>
      <w:proofErr w:type="gramStart"/>
      <w:r>
        <w:t>Australia;</w:t>
      </w:r>
      <w:proofErr w:type="gramEnd"/>
      <w:r>
        <w:t xml:space="preserve"> </w:t>
      </w:r>
    </w:p>
    <w:p w14:paraId="5D3345AB" w14:textId="3556EF9B" w:rsidR="00BD3A83" w:rsidRDefault="006D1E53" w:rsidP="00BD3A83">
      <w:pPr>
        <w:pStyle w:val="Dotpoint1"/>
        <w:numPr>
          <w:ilvl w:val="0"/>
          <w:numId w:val="17"/>
        </w:numPr>
        <w:ind w:left="1418" w:hanging="709"/>
      </w:pPr>
      <w:r>
        <w:t xml:space="preserve">be </w:t>
      </w:r>
      <w:r w:rsidR="00BD3A83">
        <w:t>satisfied that the board of directors of the receiving body has consented to the transfer (where the consent remains in force until it is withdrawn by the board of directors with the RBA’s agreement);</w:t>
      </w:r>
      <w:r>
        <w:t xml:space="preserve"> and</w:t>
      </w:r>
    </w:p>
    <w:p w14:paraId="32C0B51B" w14:textId="378FB76D" w:rsidR="00BD3A83" w:rsidRDefault="00BD3A83" w:rsidP="00BD3A83">
      <w:pPr>
        <w:pStyle w:val="Dotpoint1"/>
        <w:numPr>
          <w:ilvl w:val="0"/>
          <w:numId w:val="17"/>
        </w:numPr>
        <w:ind w:left="1418" w:hanging="709"/>
      </w:pPr>
      <w:r>
        <w:t>consult with the ACCC and ASIC</w:t>
      </w:r>
      <w:r w:rsidR="006D1E53">
        <w:t xml:space="preserve"> about the transfer</w:t>
      </w:r>
      <w:r w:rsidR="009F7A5C">
        <w:t xml:space="preserve"> -</w:t>
      </w:r>
      <w:r w:rsidR="006D1E53">
        <w:t xml:space="preserve"> </w:t>
      </w:r>
      <w:r w:rsidR="009F7A5C">
        <w:t>h</w:t>
      </w:r>
      <w:r w:rsidR="006D1E53">
        <w:t>owever, without consultation the transfer determination will continue to have effect</w:t>
      </w:r>
      <w:r>
        <w:t>.</w:t>
      </w:r>
      <w:r w:rsidR="007A2E9E" w:rsidRPr="007A2E9E">
        <w:rPr>
          <w:rStyle w:val="References"/>
        </w:rPr>
        <w:t xml:space="preserve"> </w:t>
      </w:r>
      <w:r w:rsidR="007A2E9E">
        <w:rPr>
          <w:rStyle w:val="References"/>
        </w:rPr>
        <w:br/>
      </w:r>
      <w:r w:rsidR="007A2E9E" w:rsidRPr="00E47AA7">
        <w:rPr>
          <w:rStyle w:val="References"/>
        </w:rPr>
        <w:t xml:space="preserve">[Schedule </w:t>
      </w:r>
      <w:r w:rsidR="009A3F5E">
        <w:rPr>
          <w:rStyle w:val="References"/>
        </w:rPr>
        <w:t>1</w:t>
      </w:r>
      <w:r w:rsidR="007A2E9E" w:rsidRPr="00E47AA7">
        <w:rPr>
          <w:rStyle w:val="References"/>
        </w:rPr>
        <w:t xml:space="preserve">, </w:t>
      </w:r>
      <w:r w:rsidR="00C568C9">
        <w:rPr>
          <w:rStyle w:val="References"/>
        </w:rPr>
        <w:t>item 14</w:t>
      </w:r>
      <w:r w:rsidR="007A2E9E" w:rsidRPr="00E47AA7">
        <w:rPr>
          <w:rStyle w:val="References"/>
        </w:rPr>
        <w:t>, subsection</w:t>
      </w:r>
      <w:r w:rsidR="007A2E9E">
        <w:rPr>
          <w:rStyle w:val="References"/>
        </w:rPr>
        <w:t>s</w:t>
      </w:r>
      <w:r w:rsidR="007A2E9E" w:rsidRPr="00E47AA7">
        <w:rPr>
          <w:rStyle w:val="References"/>
        </w:rPr>
        <w:t xml:space="preserve"> </w:t>
      </w:r>
      <w:r w:rsidR="00094F2D">
        <w:rPr>
          <w:rStyle w:val="References"/>
        </w:rPr>
        <w:t>8</w:t>
      </w:r>
      <w:r w:rsidR="00FA21B0">
        <w:rPr>
          <w:rStyle w:val="References"/>
        </w:rPr>
        <w:t>3</w:t>
      </w:r>
      <w:r w:rsidR="009F061F">
        <w:rPr>
          <w:rStyle w:val="References"/>
        </w:rPr>
        <w:t>7</w:t>
      </w:r>
      <w:proofErr w:type="gramStart"/>
      <w:r w:rsidR="00FA21B0">
        <w:rPr>
          <w:rStyle w:val="References"/>
        </w:rPr>
        <w:t>A</w:t>
      </w:r>
      <w:r w:rsidR="007A2E9E">
        <w:rPr>
          <w:rStyle w:val="References"/>
        </w:rPr>
        <w:t>(</w:t>
      </w:r>
      <w:proofErr w:type="gramEnd"/>
      <w:r w:rsidR="007A2E9E">
        <w:rPr>
          <w:rStyle w:val="References"/>
        </w:rPr>
        <w:t>1)</w:t>
      </w:r>
      <w:r w:rsidR="00C911FF">
        <w:rPr>
          <w:rStyle w:val="References"/>
        </w:rPr>
        <w:t xml:space="preserve"> and </w:t>
      </w:r>
      <w:r w:rsidR="007A2E9E">
        <w:rPr>
          <w:rStyle w:val="References"/>
        </w:rPr>
        <w:t>(2), (6)</w:t>
      </w:r>
      <w:r w:rsidR="00E06B72">
        <w:rPr>
          <w:rStyle w:val="References"/>
        </w:rPr>
        <w:t xml:space="preserve"> and </w:t>
      </w:r>
      <w:r w:rsidR="00E06B72" w:rsidRPr="00E47AA7">
        <w:rPr>
          <w:rStyle w:val="References"/>
        </w:rPr>
        <w:t>8</w:t>
      </w:r>
      <w:r w:rsidR="00E06B72">
        <w:rPr>
          <w:rStyle w:val="References"/>
        </w:rPr>
        <w:t>3</w:t>
      </w:r>
      <w:r w:rsidR="009F061F">
        <w:rPr>
          <w:rStyle w:val="References"/>
        </w:rPr>
        <w:t>7</w:t>
      </w:r>
      <w:r w:rsidR="00E06B72">
        <w:rPr>
          <w:rStyle w:val="References"/>
        </w:rPr>
        <w:t>B(1)</w:t>
      </w:r>
      <w:r w:rsidR="00DB7AB1">
        <w:rPr>
          <w:rStyle w:val="References"/>
        </w:rPr>
        <w:t xml:space="preserve"> and </w:t>
      </w:r>
      <w:r w:rsidR="00E06B72">
        <w:rPr>
          <w:rStyle w:val="References"/>
        </w:rPr>
        <w:t xml:space="preserve">(2), </w:t>
      </w:r>
      <w:r w:rsidR="00E06B72" w:rsidRPr="00E47AA7">
        <w:rPr>
          <w:rStyle w:val="References"/>
        </w:rPr>
        <w:t>(</w:t>
      </w:r>
      <w:r w:rsidR="00E06B72">
        <w:rPr>
          <w:rStyle w:val="References"/>
        </w:rPr>
        <w:t>6</w:t>
      </w:r>
      <w:r w:rsidR="00E06B72" w:rsidRPr="00E47AA7">
        <w:rPr>
          <w:rStyle w:val="References"/>
        </w:rPr>
        <w:t>)</w:t>
      </w:r>
      <w:r w:rsidR="007A2E9E">
        <w:rPr>
          <w:rStyle w:val="References"/>
        </w:rPr>
        <w:t xml:space="preserve"> </w:t>
      </w:r>
      <w:r w:rsidR="007A2E9E" w:rsidRPr="00E47AA7">
        <w:rPr>
          <w:rStyle w:val="References"/>
        </w:rPr>
        <w:t>of the Act]</w:t>
      </w:r>
    </w:p>
    <w:p w14:paraId="067124B9" w14:textId="77777777" w:rsidR="00BD3A83" w:rsidRDefault="00BD3A83" w:rsidP="00125C2C">
      <w:pPr>
        <w:pStyle w:val="Normalparatextwithnumbers"/>
      </w:pPr>
      <w:r>
        <w:t xml:space="preserve">A transfer determination must include the particulars of the transfer including: </w:t>
      </w:r>
    </w:p>
    <w:p w14:paraId="3D9A713F" w14:textId="212EC130" w:rsidR="00BD3A83" w:rsidRDefault="00BD3A83" w:rsidP="00BD3A83">
      <w:pPr>
        <w:pStyle w:val="Dotpoint1"/>
        <w:numPr>
          <w:ilvl w:val="0"/>
          <w:numId w:val="17"/>
        </w:numPr>
        <w:ind w:left="1418" w:hanging="709"/>
      </w:pPr>
      <w:r>
        <w:t xml:space="preserve">the names of the </w:t>
      </w:r>
      <w:r w:rsidR="00FC69D6">
        <w:t>target</w:t>
      </w:r>
      <w:r>
        <w:t xml:space="preserve"> body and the receiving </w:t>
      </w:r>
      <w:proofErr w:type="gramStart"/>
      <w:r>
        <w:t>body;</w:t>
      </w:r>
      <w:proofErr w:type="gramEnd"/>
      <w:r>
        <w:t xml:space="preserve"> </w:t>
      </w:r>
    </w:p>
    <w:p w14:paraId="4765268E" w14:textId="5BF2B61D" w:rsidR="00AF332E" w:rsidRDefault="00AF332E" w:rsidP="00BD3A83">
      <w:pPr>
        <w:pStyle w:val="Dotpoint1"/>
        <w:ind w:left="1418" w:hanging="709"/>
      </w:pPr>
      <w:r>
        <w:t xml:space="preserve">a statement of reasons why the transfer is </w:t>
      </w:r>
      <w:proofErr w:type="gramStart"/>
      <w:r>
        <w:t>made</w:t>
      </w:r>
      <w:r w:rsidR="001513F9">
        <w:t>;</w:t>
      </w:r>
      <w:proofErr w:type="gramEnd"/>
    </w:p>
    <w:p w14:paraId="68F765E3" w14:textId="77777777" w:rsidR="00BD3A83" w:rsidRDefault="00BD3A83" w:rsidP="00BD3A83">
      <w:pPr>
        <w:pStyle w:val="Dotpoint1"/>
        <w:numPr>
          <w:ilvl w:val="0"/>
          <w:numId w:val="17"/>
        </w:numPr>
        <w:ind w:left="1418" w:hanging="709"/>
      </w:pPr>
      <w:r>
        <w:t xml:space="preserve">whether it will be a total transfer or a partial transfer; and </w:t>
      </w:r>
    </w:p>
    <w:p w14:paraId="760C93CC" w14:textId="37A7F46A" w:rsidR="00BD3A83" w:rsidRDefault="00BD3A83" w:rsidP="00BD3A83">
      <w:pPr>
        <w:pStyle w:val="Dotpoint1"/>
        <w:numPr>
          <w:ilvl w:val="0"/>
          <w:numId w:val="17"/>
        </w:numPr>
        <w:ind w:left="1418" w:hanging="709"/>
      </w:pPr>
      <w:r>
        <w:t xml:space="preserve">in the case of a partial transfer, an identification of the part of the </w:t>
      </w:r>
      <w:r w:rsidR="00FC69D6">
        <w:t>target</w:t>
      </w:r>
      <w:r>
        <w:t xml:space="preserve"> body’s business </w:t>
      </w:r>
      <w:r w:rsidR="007A6968">
        <w:t>or shares</w:t>
      </w:r>
      <w:r>
        <w:t xml:space="preserve"> to be transferred.</w:t>
      </w:r>
      <w:r w:rsidR="007A2E9E">
        <w:br/>
      </w:r>
      <w:r w:rsidR="007A2E9E" w:rsidRPr="008E1576">
        <w:rPr>
          <w:rStyle w:val="References"/>
        </w:rPr>
        <w:t xml:space="preserve">[Schedule </w:t>
      </w:r>
      <w:r w:rsidR="009A3F5E">
        <w:rPr>
          <w:rStyle w:val="References"/>
        </w:rPr>
        <w:t>1</w:t>
      </w:r>
      <w:r w:rsidR="007A2E9E" w:rsidRPr="008E1576">
        <w:rPr>
          <w:rStyle w:val="References"/>
        </w:rPr>
        <w:t xml:space="preserve">, </w:t>
      </w:r>
      <w:r w:rsidR="00C568C9">
        <w:rPr>
          <w:rStyle w:val="References"/>
        </w:rPr>
        <w:t>item 14</w:t>
      </w:r>
      <w:r w:rsidR="007A2E9E" w:rsidRPr="008E1576">
        <w:rPr>
          <w:rStyle w:val="References"/>
        </w:rPr>
        <w:t>, subsection</w:t>
      </w:r>
      <w:r w:rsidR="007A2E9E">
        <w:rPr>
          <w:rStyle w:val="References"/>
        </w:rPr>
        <w:t>s</w:t>
      </w:r>
      <w:r w:rsidR="007A2E9E" w:rsidRPr="008E1576">
        <w:rPr>
          <w:rStyle w:val="References"/>
        </w:rPr>
        <w:t xml:space="preserve"> </w:t>
      </w:r>
      <w:r w:rsidR="00E60735" w:rsidRPr="008E1576">
        <w:rPr>
          <w:rStyle w:val="References"/>
        </w:rPr>
        <w:t>8</w:t>
      </w:r>
      <w:r w:rsidR="00617B2E">
        <w:rPr>
          <w:rStyle w:val="References"/>
        </w:rPr>
        <w:t>3</w:t>
      </w:r>
      <w:r w:rsidR="009F7A5C">
        <w:rPr>
          <w:rStyle w:val="References"/>
        </w:rPr>
        <w:t>7</w:t>
      </w:r>
      <w:proofErr w:type="gramStart"/>
      <w:r w:rsidR="009F7A5C">
        <w:rPr>
          <w:rStyle w:val="References"/>
        </w:rPr>
        <w:t>A</w:t>
      </w:r>
      <w:r w:rsidR="007A2E9E" w:rsidRPr="008E1576">
        <w:rPr>
          <w:rStyle w:val="References"/>
        </w:rPr>
        <w:t>(</w:t>
      </w:r>
      <w:proofErr w:type="gramEnd"/>
      <w:r w:rsidR="007A2E9E">
        <w:rPr>
          <w:rStyle w:val="References"/>
        </w:rPr>
        <w:t>3</w:t>
      </w:r>
      <w:r w:rsidR="007A2E9E" w:rsidRPr="008E1576">
        <w:rPr>
          <w:rStyle w:val="References"/>
        </w:rPr>
        <w:t>)</w:t>
      </w:r>
      <w:r w:rsidR="007A2E9E">
        <w:rPr>
          <w:rStyle w:val="References"/>
        </w:rPr>
        <w:t>and 8</w:t>
      </w:r>
      <w:r w:rsidR="009F7A5C">
        <w:rPr>
          <w:rStyle w:val="References"/>
        </w:rPr>
        <w:t>37</w:t>
      </w:r>
      <w:r w:rsidR="007A2E9E">
        <w:rPr>
          <w:rStyle w:val="References"/>
        </w:rPr>
        <w:t>B(3)</w:t>
      </w:r>
      <w:r w:rsidR="007A2E9E" w:rsidRPr="008E1576">
        <w:rPr>
          <w:rStyle w:val="References"/>
        </w:rPr>
        <w:t xml:space="preserve"> of the Act]</w:t>
      </w:r>
    </w:p>
    <w:p w14:paraId="5B8EED3F" w14:textId="08E6276E" w:rsidR="00BD3A83" w:rsidRDefault="00BD3A83" w:rsidP="00125C2C">
      <w:pPr>
        <w:pStyle w:val="Normalparatextwithnumbers"/>
      </w:pPr>
      <w:r>
        <w:t xml:space="preserve">A copy of the </w:t>
      </w:r>
      <w:r w:rsidR="009F7A5C">
        <w:t xml:space="preserve">transfer </w:t>
      </w:r>
      <w:r>
        <w:t xml:space="preserve">determination must be provided to the </w:t>
      </w:r>
      <w:r w:rsidR="00FC69D6">
        <w:t xml:space="preserve">target </w:t>
      </w:r>
      <w:r>
        <w:t xml:space="preserve">body and receiving body. </w:t>
      </w:r>
      <w:r w:rsidR="007A2E9E">
        <w:t xml:space="preserve">Given the time critical nature of the transfer, the determination is not a legislative instrument. </w:t>
      </w:r>
      <w:r w:rsidR="007A2E9E">
        <w:br/>
      </w:r>
      <w:r w:rsidR="007A2E9E" w:rsidRPr="008E1576">
        <w:rPr>
          <w:rStyle w:val="References"/>
        </w:rPr>
        <w:t xml:space="preserve">[Schedule </w:t>
      </w:r>
      <w:r w:rsidR="009A3F5E">
        <w:rPr>
          <w:rStyle w:val="References"/>
        </w:rPr>
        <w:t>1</w:t>
      </w:r>
      <w:r w:rsidR="007A2E9E" w:rsidRPr="008E1576">
        <w:rPr>
          <w:rStyle w:val="References"/>
        </w:rPr>
        <w:t xml:space="preserve">, </w:t>
      </w:r>
      <w:r w:rsidR="00C568C9">
        <w:rPr>
          <w:rStyle w:val="References"/>
        </w:rPr>
        <w:t>item 14</w:t>
      </w:r>
      <w:r w:rsidR="007A2E9E" w:rsidRPr="008E1576">
        <w:rPr>
          <w:rStyle w:val="References"/>
        </w:rPr>
        <w:t>, subsection</w:t>
      </w:r>
      <w:r w:rsidR="007A2E9E">
        <w:rPr>
          <w:rStyle w:val="References"/>
        </w:rPr>
        <w:t>s</w:t>
      </w:r>
      <w:r w:rsidR="007A2E9E" w:rsidRPr="008E1576">
        <w:rPr>
          <w:rStyle w:val="References"/>
        </w:rPr>
        <w:t xml:space="preserve"> </w:t>
      </w:r>
      <w:r w:rsidR="00CD17D7" w:rsidRPr="008E1576">
        <w:rPr>
          <w:rStyle w:val="References"/>
        </w:rPr>
        <w:t>8</w:t>
      </w:r>
      <w:r w:rsidR="00FA21B0">
        <w:rPr>
          <w:rStyle w:val="References"/>
        </w:rPr>
        <w:t>3</w:t>
      </w:r>
      <w:r w:rsidR="009F7A5C">
        <w:rPr>
          <w:rStyle w:val="References"/>
        </w:rPr>
        <w:t>7</w:t>
      </w:r>
      <w:proofErr w:type="gramStart"/>
      <w:r w:rsidR="009F7A5C">
        <w:rPr>
          <w:rStyle w:val="References"/>
        </w:rPr>
        <w:t>A</w:t>
      </w:r>
      <w:r w:rsidR="007A2E9E" w:rsidRPr="008E1576">
        <w:rPr>
          <w:rStyle w:val="References"/>
        </w:rPr>
        <w:t>(</w:t>
      </w:r>
      <w:proofErr w:type="gramEnd"/>
      <w:r w:rsidR="007A2E9E" w:rsidRPr="008E1576">
        <w:rPr>
          <w:rStyle w:val="References"/>
        </w:rPr>
        <w:t>4)</w:t>
      </w:r>
      <w:r w:rsidR="00272725">
        <w:rPr>
          <w:rStyle w:val="References"/>
        </w:rPr>
        <w:t xml:space="preserve"> and </w:t>
      </w:r>
      <w:r w:rsidR="007A2E9E" w:rsidRPr="008E1576">
        <w:rPr>
          <w:rStyle w:val="References"/>
        </w:rPr>
        <w:t xml:space="preserve">(5) </w:t>
      </w:r>
      <w:r w:rsidR="007A2E9E">
        <w:rPr>
          <w:rStyle w:val="References"/>
        </w:rPr>
        <w:t>and 8</w:t>
      </w:r>
      <w:r w:rsidR="009F7A5C">
        <w:rPr>
          <w:rStyle w:val="References"/>
        </w:rPr>
        <w:t>37B</w:t>
      </w:r>
      <w:r w:rsidR="007A2E9E">
        <w:rPr>
          <w:rStyle w:val="References"/>
        </w:rPr>
        <w:t>(4)</w:t>
      </w:r>
      <w:r w:rsidR="00272725">
        <w:rPr>
          <w:rStyle w:val="References"/>
        </w:rPr>
        <w:t xml:space="preserve"> and </w:t>
      </w:r>
      <w:r w:rsidR="007A2E9E">
        <w:rPr>
          <w:rStyle w:val="References"/>
        </w:rPr>
        <w:t xml:space="preserve">(5) </w:t>
      </w:r>
      <w:r w:rsidR="007A2E9E" w:rsidRPr="008E1576">
        <w:rPr>
          <w:rStyle w:val="References"/>
        </w:rPr>
        <w:t>of the Act]</w:t>
      </w:r>
    </w:p>
    <w:p w14:paraId="766FCB04" w14:textId="384D5FE3" w:rsidR="00A67DEF" w:rsidRDefault="00A67DEF" w:rsidP="00A67DEF">
      <w:pPr>
        <w:pStyle w:val="Heading6"/>
        <w:rPr>
          <w:rFonts w:hint="eastAsia"/>
        </w:rPr>
      </w:pPr>
      <w:r>
        <w:t>Consent conditions</w:t>
      </w:r>
    </w:p>
    <w:p w14:paraId="1943725E" w14:textId="48BF8576" w:rsidR="00621636" w:rsidRPr="001F1CBE" w:rsidRDefault="001F1CBE" w:rsidP="00125C2C">
      <w:pPr>
        <w:pStyle w:val="Normalparatextwithnumbers"/>
        <w:rPr>
          <w:rStyle w:val="References"/>
          <w:b w:val="0"/>
          <w:bCs w:val="0"/>
          <w:i w:val="0"/>
          <w:iCs w:val="0"/>
        </w:rPr>
      </w:pPr>
      <w:r>
        <w:t>T</w:t>
      </w:r>
      <w:r w:rsidR="00621636">
        <w:t xml:space="preserve">he </w:t>
      </w:r>
      <w:r>
        <w:t xml:space="preserve">Minister may determine that consent is not required for a transfer or a class of transfers. The regulations may specify criteria that the Minister is to consider in whether to </w:t>
      </w:r>
      <w:proofErr w:type="gramStart"/>
      <w:r>
        <w:t>make a determination</w:t>
      </w:r>
      <w:proofErr w:type="gramEnd"/>
      <w:r>
        <w:t>. If a determination applies in respect of a class of transfers, it is a legislative instrument. However, if the Minister’s determination only applies to a</w:t>
      </w:r>
      <w:r w:rsidR="00614C4E">
        <w:t xml:space="preserve"> particular</w:t>
      </w:r>
      <w:r>
        <w:t xml:space="preserve"> </w:t>
      </w:r>
      <w:proofErr w:type="gramStart"/>
      <w:r>
        <w:t>transfer</w:t>
      </w:r>
      <w:proofErr w:type="gramEnd"/>
      <w:r>
        <w:t xml:space="preserve"> it is not a legislative instrument. </w:t>
      </w:r>
      <w:r>
        <w:br/>
      </w:r>
      <w:r w:rsidRPr="001F1CBE">
        <w:rPr>
          <w:rStyle w:val="References"/>
        </w:rPr>
        <w:t xml:space="preserve">[Schedule </w:t>
      </w:r>
      <w:r w:rsidR="009A3F5E">
        <w:rPr>
          <w:rStyle w:val="References"/>
        </w:rPr>
        <w:t>1</w:t>
      </w:r>
      <w:r w:rsidRPr="001F1CBE">
        <w:rPr>
          <w:rStyle w:val="References"/>
        </w:rPr>
        <w:t xml:space="preserve">, </w:t>
      </w:r>
      <w:r w:rsidR="00C568C9">
        <w:rPr>
          <w:rStyle w:val="References"/>
        </w:rPr>
        <w:t>item 14</w:t>
      </w:r>
      <w:r w:rsidRPr="001F1CBE">
        <w:rPr>
          <w:rStyle w:val="References"/>
        </w:rPr>
        <w:t xml:space="preserve">, subsections </w:t>
      </w:r>
      <w:r w:rsidR="007D2510">
        <w:rPr>
          <w:rStyle w:val="References"/>
        </w:rPr>
        <w:t>83</w:t>
      </w:r>
      <w:r w:rsidR="009F7A5C">
        <w:rPr>
          <w:rStyle w:val="References"/>
        </w:rPr>
        <w:t>7</w:t>
      </w:r>
      <w:r w:rsidR="007D2510">
        <w:rPr>
          <w:rStyle w:val="References"/>
        </w:rPr>
        <w:t>D</w:t>
      </w:r>
      <w:r w:rsidR="007D2510" w:rsidRPr="001F1CBE">
        <w:rPr>
          <w:rStyle w:val="References"/>
        </w:rPr>
        <w:t xml:space="preserve"> </w:t>
      </w:r>
      <w:r w:rsidRPr="001F1CBE">
        <w:rPr>
          <w:rStyle w:val="References"/>
        </w:rPr>
        <w:t>of the Act]</w:t>
      </w:r>
    </w:p>
    <w:p w14:paraId="513A8197" w14:textId="2DF45EDF" w:rsidR="001F1CBE" w:rsidRDefault="001F1CBE" w:rsidP="00125C2C">
      <w:pPr>
        <w:pStyle w:val="Normalparatextwithnumbers"/>
      </w:pPr>
      <w:r>
        <w:t xml:space="preserve">The regulation making power is necessary as the criteria for not providing consent may vary and needs to be flexible to accommodate changing parameters. </w:t>
      </w:r>
    </w:p>
    <w:p w14:paraId="0C9BBFC2" w14:textId="77777777" w:rsidR="00A67DEF" w:rsidRDefault="00A67DEF" w:rsidP="00A67DEF">
      <w:pPr>
        <w:pStyle w:val="Normalparatextwithnumbers"/>
      </w:pPr>
      <w:r>
        <w:lastRenderedPageBreak/>
        <w:t xml:space="preserve">The consent of the board of directors of the receiving body to receive the transfer of shares or business continues to have effect until the consent is withdrawn and the RBA agrees to the withdrawal having regard to any of the following: </w:t>
      </w:r>
    </w:p>
    <w:p w14:paraId="4E1831DE" w14:textId="77777777" w:rsidR="00A67DEF" w:rsidRDefault="00A67DEF" w:rsidP="00A67DEF">
      <w:pPr>
        <w:pStyle w:val="Dotpoint1"/>
        <w:ind w:left="1418" w:hanging="709"/>
      </w:pPr>
      <w:r>
        <w:t xml:space="preserve">circumstances that have arisen since the consent was </w:t>
      </w:r>
      <w:proofErr w:type="gramStart"/>
      <w:r>
        <w:t>given;</w:t>
      </w:r>
      <w:proofErr w:type="gramEnd"/>
    </w:p>
    <w:p w14:paraId="113DFAED" w14:textId="77777777" w:rsidR="00A67DEF" w:rsidRDefault="00A67DEF" w:rsidP="00A67DEF">
      <w:pPr>
        <w:pStyle w:val="Dotpoint1"/>
        <w:ind w:left="1418" w:hanging="709"/>
      </w:pPr>
      <w:r>
        <w:t>circumstances that were in existence at or before the time when the consent was given but which were not known to the receiving body’s board when it gave its consent; or</w:t>
      </w:r>
    </w:p>
    <w:p w14:paraId="11D01172" w14:textId="77777777" w:rsidR="00A67DEF" w:rsidRDefault="00A67DEF" w:rsidP="00A67DEF">
      <w:pPr>
        <w:pStyle w:val="Dotpoint1"/>
        <w:ind w:left="1418" w:hanging="709"/>
      </w:pPr>
      <w:r>
        <w:t>any other relevant matter.</w:t>
      </w:r>
      <w:r>
        <w:br/>
      </w:r>
      <w:r w:rsidRPr="00621636">
        <w:rPr>
          <w:rStyle w:val="References"/>
        </w:rPr>
        <w:t xml:space="preserve">[Schedule </w:t>
      </w:r>
      <w:r>
        <w:rPr>
          <w:rStyle w:val="References"/>
        </w:rPr>
        <w:t>1</w:t>
      </w:r>
      <w:r w:rsidRPr="00621636">
        <w:rPr>
          <w:rStyle w:val="References"/>
        </w:rPr>
        <w:t xml:space="preserve">, </w:t>
      </w:r>
      <w:r>
        <w:rPr>
          <w:rStyle w:val="References"/>
        </w:rPr>
        <w:t>item 14</w:t>
      </w:r>
      <w:r w:rsidRPr="00621636">
        <w:rPr>
          <w:rStyle w:val="References"/>
        </w:rPr>
        <w:t>, section 8</w:t>
      </w:r>
      <w:r>
        <w:rPr>
          <w:rStyle w:val="References"/>
        </w:rPr>
        <w:t>37C</w:t>
      </w:r>
      <w:r w:rsidRPr="00621636">
        <w:rPr>
          <w:rStyle w:val="References"/>
        </w:rPr>
        <w:t xml:space="preserve"> of the Act]</w:t>
      </w:r>
    </w:p>
    <w:p w14:paraId="41294D1B" w14:textId="62CAEC28" w:rsidR="00A67DEF" w:rsidRDefault="00A67DEF" w:rsidP="00A67DEF">
      <w:pPr>
        <w:pStyle w:val="Heading6"/>
        <w:rPr>
          <w:rFonts w:hint="eastAsia"/>
        </w:rPr>
      </w:pPr>
      <w:r>
        <w:t>Transfer determination conditions</w:t>
      </w:r>
    </w:p>
    <w:p w14:paraId="13CE3716" w14:textId="7F5DA222" w:rsidR="00BD3A83" w:rsidRDefault="00BD3A83" w:rsidP="00125C2C">
      <w:pPr>
        <w:pStyle w:val="Normalparatextwithnumbers"/>
      </w:pPr>
      <w:r>
        <w:t xml:space="preserve">The determination may impose conditions that the </w:t>
      </w:r>
      <w:r w:rsidR="00FC69D6">
        <w:t>target</w:t>
      </w:r>
      <w:r>
        <w:t xml:space="preserve"> body or receiving body must comply with either before or after the certificate of transfer is issued.</w:t>
      </w:r>
      <w:r w:rsidR="00C82FC9">
        <w:br/>
      </w:r>
      <w:r w:rsidR="00C82FC9" w:rsidRPr="00C82FC9">
        <w:rPr>
          <w:rStyle w:val="References"/>
        </w:rPr>
        <w:t xml:space="preserve">[Schedule </w:t>
      </w:r>
      <w:r w:rsidR="009A3F5E">
        <w:rPr>
          <w:rStyle w:val="References"/>
        </w:rPr>
        <w:t>1</w:t>
      </w:r>
      <w:r w:rsidR="00C82FC9" w:rsidRPr="00C82FC9">
        <w:rPr>
          <w:rStyle w:val="References"/>
        </w:rPr>
        <w:t xml:space="preserve">, </w:t>
      </w:r>
      <w:r w:rsidR="00C568C9">
        <w:rPr>
          <w:rStyle w:val="References"/>
        </w:rPr>
        <w:t>item 14</w:t>
      </w:r>
      <w:r w:rsidR="00A67DEF">
        <w:rPr>
          <w:rStyle w:val="References"/>
        </w:rPr>
        <w:t xml:space="preserve">, </w:t>
      </w:r>
      <w:r w:rsidR="00C82FC9" w:rsidRPr="00C82FC9">
        <w:rPr>
          <w:rStyle w:val="References"/>
        </w:rPr>
        <w:t xml:space="preserve">subsection </w:t>
      </w:r>
      <w:r w:rsidR="00CF08F4">
        <w:rPr>
          <w:rStyle w:val="References"/>
        </w:rPr>
        <w:t>83</w:t>
      </w:r>
      <w:r w:rsidR="00A67DEF">
        <w:rPr>
          <w:rStyle w:val="References"/>
        </w:rPr>
        <w:t>7</w:t>
      </w:r>
      <w:proofErr w:type="gramStart"/>
      <w:r w:rsidR="00CF08F4">
        <w:rPr>
          <w:rStyle w:val="References"/>
        </w:rPr>
        <w:t>F</w:t>
      </w:r>
      <w:r w:rsidR="00F71998">
        <w:rPr>
          <w:rStyle w:val="References"/>
        </w:rPr>
        <w:t>(</w:t>
      </w:r>
      <w:proofErr w:type="gramEnd"/>
      <w:r w:rsidR="00F71998">
        <w:rPr>
          <w:rStyle w:val="References"/>
        </w:rPr>
        <w:t>1)</w:t>
      </w:r>
      <w:r w:rsidR="00C82FC9" w:rsidRPr="00C82FC9">
        <w:rPr>
          <w:rStyle w:val="References"/>
        </w:rPr>
        <w:t xml:space="preserve"> of the Act]</w:t>
      </w:r>
      <w:r>
        <w:t xml:space="preserve"> </w:t>
      </w:r>
    </w:p>
    <w:p w14:paraId="76521A49" w14:textId="2C0B0250" w:rsidR="004060F1" w:rsidRPr="004060F1" w:rsidRDefault="004060F1" w:rsidP="00125C2C">
      <w:pPr>
        <w:pStyle w:val="Normalparatextwithnumbers"/>
        <w:rPr>
          <w:rStyle w:val="References"/>
          <w:b w:val="0"/>
          <w:bCs w:val="0"/>
          <w:i w:val="0"/>
          <w:iCs w:val="0"/>
        </w:rPr>
      </w:pPr>
      <w:r>
        <w:t xml:space="preserve">The RBA, either on its own volition or at the request of the </w:t>
      </w:r>
      <w:r w:rsidR="00BD3A83">
        <w:t>tar</w:t>
      </w:r>
      <w:r w:rsidR="00F20E8C">
        <w:t>get</w:t>
      </w:r>
      <w:r w:rsidR="00BD3A83">
        <w:t xml:space="preserve"> or receiving body</w:t>
      </w:r>
      <w:r w:rsidR="00844215">
        <w:t>,</w:t>
      </w:r>
      <w:r w:rsidR="00BD3A83">
        <w:t xml:space="preserve"> </w:t>
      </w:r>
      <w:r>
        <w:t xml:space="preserve">may vary or revoke a </w:t>
      </w:r>
      <w:r w:rsidR="00BD3A83">
        <w:t xml:space="preserve">condition. The RBA is not obliged to </w:t>
      </w:r>
      <w:r>
        <w:t xml:space="preserve">comply with </w:t>
      </w:r>
      <w:r w:rsidR="00BD3A83">
        <w:t>the request</w:t>
      </w:r>
      <w:r w:rsidR="00F66F15">
        <w:t>. H</w:t>
      </w:r>
      <w:r w:rsidR="00BD3A83">
        <w:t xml:space="preserve">owever, where the RBA </w:t>
      </w:r>
      <w:r>
        <w:t xml:space="preserve">varies or revokes a condition, </w:t>
      </w:r>
      <w:r w:rsidR="00BD3A83">
        <w:t xml:space="preserve">written notice </w:t>
      </w:r>
      <w:r>
        <w:t xml:space="preserve">must be provided to each affected entity so that all entities </w:t>
      </w:r>
      <w:r w:rsidR="00BD3A83">
        <w:t xml:space="preserve">are aware of the </w:t>
      </w:r>
      <w:r>
        <w:t>conditions</w:t>
      </w:r>
      <w:r w:rsidR="00BD3A83">
        <w:t>.</w:t>
      </w:r>
      <w:r>
        <w:br/>
      </w:r>
      <w:r w:rsidRPr="004060F1">
        <w:rPr>
          <w:rStyle w:val="References"/>
        </w:rPr>
        <w:t xml:space="preserve">[Schedule </w:t>
      </w:r>
      <w:r w:rsidR="009A3F5E">
        <w:rPr>
          <w:rStyle w:val="References"/>
        </w:rPr>
        <w:t>1</w:t>
      </w:r>
      <w:r w:rsidRPr="004060F1">
        <w:rPr>
          <w:rStyle w:val="References"/>
        </w:rPr>
        <w:t xml:space="preserve">, </w:t>
      </w:r>
      <w:r w:rsidR="00C568C9">
        <w:rPr>
          <w:rStyle w:val="References"/>
        </w:rPr>
        <w:t>item 14</w:t>
      </w:r>
      <w:r w:rsidRPr="004060F1">
        <w:rPr>
          <w:rStyle w:val="References"/>
        </w:rPr>
        <w:t xml:space="preserve">, subsection </w:t>
      </w:r>
      <w:r w:rsidR="00CF08F4">
        <w:rPr>
          <w:rStyle w:val="References"/>
        </w:rPr>
        <w:t>83</w:t>
      </w:r>
      <w:r w:rsidR="00A67DEF">
        <w:rPr>
          <w:rStyle w:val="References"/>
        </w:rPr>
        <w:t>7</w:t>
      </w:r>
      <w:proofErr w:type="gramStart"/>
      <w:r w:rsidR="00CF08F4">
        <w:rPr>
          <w:rStyle w:val="References"/>
        </w:rPr>
        <w:t>F</w:t>
      </w:r>
      <w:r w:rsidRPr="004060F1">
        <w:rPr>
          <w:rStyle w:val="References"/>
        </w:rPr>
        <w:t>(</w:t>
      </w:r>
      <w:proofErr w:type="gramEnd"/>
      <w:r>
        <w:rPr>
          <w:rStyle w:val="References"/>
        </w:rPr>
        <w:t>2</w:t>
      </w:r>
      <w:r w:rsidRPr="004060F1">
        <w:rPr>
          <w:rStyle w:val="References"/>
        </w:rPr>
        <w:t>)</w:t>
      </w:r>
      <w:r w:rsidR="00FE4FBA">
        <w:rPr>
          <w:rStyle w:val="References"/>
        </w:rPr>
        <w:t xml:space="preserve">, (3) and </w:t>
      </w:r>
      <w:r>
        <w:rPr>
          <w:rStyle w:val="References"/>
        </w:rPr>
        <w:t>(4)</w:t>
      </w:r>
      <w:r w:rsidRPr="004060F1">
        <w:rPr>
          <w:rStyle w:val="References"/>
        </w:rPr>
        <w:t xml:space="preserve"> of the Act]</w:t>
      </w:r>
    </w:p>
    <w:p w14:paraId="6923FEBD" w14:textId="1619FE9E" w:rsidR="00BD3A83" w:rsidRDefault="00307584" w:rsidP="00125C2C">
      <w:pPr>
        <w:pStyle w:val="Normalparatextwithnumbers"/>
      </w:pPr>
      <w:r>
        <w:t xml:space="preserve">The body corporate must comply with the conditions imposed on the determination if there is no </w:t>
      </w:r>
      <w:r w:rsidR="004060F1">
        <w:t xml:space="preserve">certificate of transfer in force and a </w:t>
      </w:r>
      <w:r>
        <w:t xml:space="preserve">subsequent </w:t>
      </w:r>
      <w:r w:rsidR="004060F1">
        <w:t xml:space="preserve">determination </w:t>
      </w:r>
      <w:r>
        <w:t xml:space="preserve">that a transfer </w:t>
      </w:r>
      <w:r w:rsidR="004060F1">
        <w:t xml:space="preserve">is not </w:t>
      </w:r>
      <w:r>
        <w:t>to take effect is not issued.</w:t>
      </w:r>
      <w:r w:rsidR="009A3F5E">
        <w:br/>
      </w:r>
      <w:r w:rsidRPr="00307584">
        <w:rPr>
          <w:rStyle w:val="References"/>
        </w:rPr>
        <w:t xml:space="preserve">[Schedule </w:t>
      </w:r>
      <w:r w:rsidR="009A3F5E">
        <w:rPr>
          <w:rStyle w:val="References"/>
        </w:rPr>
        <w:t>1</w:t>
      </w:r>
      <w:r w:rsidRPr="00307584">
        <w:rPr>
          <w:rStyle w:val="References"/>
        </w:rPr>
        <w:t xml:space="preserve">, </w:t>
      </w:r>
      <w:r w:rsidR="00C568C9">
        <w:rPr>
          <w:rStyle w:val="References"/>
        </w:rPr>
        <w:t>item 14</w:t>
      </w:r>
      <w:r w:rsidRPr="00307584">
        <w:rPr>
          <w:rStyle w:val="References"/>
        </w:rPr>
        <w:t xml:space="preserve">, subsection </w:t>
      </w:r>
      <w:r w:rsidR="009A3F5E">
        <w:rPr>
          <w:rStyle w:val="References"/>
        </w:rPr>
        <w:t>83</w:t>
      </w:r>
      <w:r w:rsidR="00A67DEF">
        <w:rPr>
          <w:rStyle w:val="References"/>
        </w:rPr>
        <w:t>7</w:t>
      </w:r>
      <w:proofErr w:type="gramStart"/>
      <w:r w:rsidR="009A3F5E">
        <w:rPr>
          <w:rStyle w:val="References"/>
        </w:rPr>
        <w:t>F</w:t>
      </w:r>
      <w:r w:rsidRPr="00307584">
        <w:rPr>
          <w:rStyle w:val="References"/>
        </w:rPr>
        <w:t>(</w:t>
      </w:r>
      <w:proofErr w:type="gramEnd"/>
      <w:r w:rsidRPr="00307584">
        <w:rPr>
          <w:rStyle w:val="References"/>
        </w:rPr>
        <w:t>5) of the Act]</w:t>
      </w:r>
    </w:p>
    <w:p w14:paraId="383460DC" w14:textId="3D6485F6" w:rsidR="00BD3A83" w:rsidRPr="00307584" w:rsidRDefault="00BD3A83" w:rsidP="00125C2C">
      <w:pPr>
        <w:pStyle w:val="Normalparatextwithnumbers"/>
        <w:rPr>
          <w:rStyle w:val="References"/>
          <w:b w:val="0"/>
          <w:bCs w:val="0"/>
          <w:i w:val="0"/>
          <w:iCs w:val="0"/>
        </w:rPr>
      </w:pPr>
      <w:r>
        <w:t xml:space="preserve">If the </w:t>
      </w:r>
      <w:r w:rsidR="00307584">
        <w:t xml:space="preserve">body corporate </w:t>
      </w:r>
      <w:r>
        <w:t xml:space="preserve">fails to comply with conditions outlined in the determination, a penalty of 200 penalty units applies. This is consistent with </w:t>
      </w:r>
      <w:r w:rsidR="00307584">
        <w:t>existing transfer provision</w:t>
      </w:r>
      <w:r w:rsidR="00A24F1F">
        <w:t>s</w:t>
      </w:r>
      <w:r w:rsidR="00307584">
        <w:t xml:space="preserve">, such as </w:t>
      </w:r>
      <w:r>
        <w:t>section 31 of the Transfer and Restructure Act</w:t>
      </w:r>
      <w:r w:rsidR="00307584">
        <w:t xml:space="preserve"> and Part 5.6D of the Act</w:t>
      </w:r>
      <w:r>
        <w:t>.</w:t>
      </w:r>
      <w:r w:rsidR="00307584">
        <w:br/>
      </w:r>
      <w:r w:rsidR="00307584" w:rsidRPr="00307584">
        <w:rPr>
          <w:rStyle w:val="References"/>
        </w:rPr>
        <w:t xml:space="preserve">[Schedule </w:t>
      </w:r>
      <w:r w:rsidR="009A3F5E">
        <w:rPr>
          <w:rStyle w:val="References"/>
        </w:rPr>
        <w:t>1</w:t>
      </w:r>
      <w:r w:rsidR="00307584" w:rsidRPr="00307584">
        <w:rPr>
          <w:rStyle w:val="References"/>
        </w:rPr>
        <w:t xml:space="preserve">, </w:t>
      </w:r>
      <w:r w:rsidR="00C568C9">
        <w:rPr>
          <w:rStyle w:val="References"/>
        </w:rPr>
        <w:t>item</w:t>
      </w:r>
      <w:r w:rsidR="00A67DEF">
        <w:rPr>
          <w:rStyle w:val="References"/>
        </w:rPr>
        <w:t>s</w:t>
      </w:r>
      <w:r w:rsidR="00C568C9">
        <w:rPr>
          <w:rStyle w:val="References"/>
        </w:rPr>
        <w:t xml:space="preserve"> 14</w:t>
      </w:r>
      <w:r w:rsidR="00A67DEF">
        <w:rPr>
          <w:rStyle w:val="References"/>
        </w:rPr>
        <w:t xml:space="preserve"> and </w:t>
      </w:r>
      <w:r w:rsidR="006B5EB0">
        <w:rPr>
          <w:rStyle w:val="References"/>
        </w:rPr>
        <w:t>17</w:t>
      </w:r>
      <w:r w:rsidR="00307584" w:rsidRPr="00307584">
        <w:rPr>
          <w:rStyle w:val="References"/>
        </w:rPr>
        <w:t xml:space="preserve">, </w:t>
      </w:r>
      <w:r w:rsidR="006B5EB0">
        <w:rPr>
          <w:rStyle w:val="References"/>
        </w:rPr>
        <w:t>sub</w:t>
      </w:r>
      <w:r w:rsidR="00307584" w:rsidRPr="00307584">
        <w:rPr>
          <w:rStyle w:val="References"/>
        </w:rPr>
        <w:t xml:space="preserve">section </w:t>
      </w:r>
      <w:r w:rsidR="00CF08F4">
        <w:rPr>
          <w:rStyle w:val="References"/>
        </w:rPr>
        <w:t>83</w:t>
      </w:r>
      <w:r w:rsidR="00A67DEF">
        <w:rPr>
          <w:rStyle w:val="References"/>
        </w:rPr>
        <w:t>7</w:t>
      </w:r>
      <w:proofErr w:type="gramStart"/>
      <w:r w:rsidR="00CF08F4">
        <w:rPr>
          <w:rStyle w:val="References"/>
        </w:rPr>
        <w:t>F</w:t>
      </w:r>
      <w:r w:rsidR="00464AFD">
        <w:rPr>
          <w:rStyle w:val="References"/>
        </w:rPr>
        <w:t>(</w:t>
      </w:r>
      <w:proofErr w:type="gramEnd"/>
      <w:r w:rsidR="00464AFD">
        <w:rPr>
          <w:rStyle w:val="References"/>
        </w:rPr>
        <w:t xml:space="preserve">5) </w:t>
      </w:r>
      <w:r w:rsidR="006B5EB0">
        <w:rPr>
          <w:rStyle w:val="References"/>
        </w:rPr>
        <w:t>and Schedule 3</w:t>
      </w:r>
      <w:r w:rsidR="00464AFD">
        <w:rPr>
          <w:rStyle w:val="References"/>
        </w:rPr>
        <w:t xml:space="preserve"> </w:t>
      </w:r>
      <w:r w:rsidR="00307584" w:rsidRPr="00307584">
        <w:rPr>
          <w:rStyle w:val="References"/>
        </w:rPr>
        <w:t>of the Act]</w:t>
      </w:r>
    </w:p>
    <w:p w14:paraId="54803D64" w14:textId="104F797F" w:rsidR="000A797B" w:rsidRPr="007C47D5" w:rsidRDefault="000A797B" w:rsidP="00125C2C">
      <w:pPr>
        <w:pStyle w:val="Normalparatextwithnumbers"/>
        <w:rPr>
          <w:rStyle w:val="References"/>
          <w:b w:val="0"/>
          <w:bCs w:val="0"/>
          <w:i w:val="0"/>
          <w:iCs w:val="0"/>
        </w:rPr>
      </w:pPr>
      <w:r>
        <w:t xml:space="preserve">A protection is included for the body corporate that by complying with a condition of a transfer determination, that body corporate will not commit an offence under the Act. </w:t>
      </w:r>
      <w:r w:rsidR="0019317A">
        <w:t>The body corporate would bear an evidential burden</w:t>
      </w:r>
      <w:r w:rsidR="00A95CC1">
        <w:t xml:space="preserve">. </w:t>
      </w:r>
      <w:r w:rsidR="00327642">
        <w:br/>
      </w:r>
      <w:r w:rsidR="00327642" w:rsidRPr="00327642">
        <w:rPr>
          <w:rStyle w:val="References"/>
        </w:rPr>
        <w:t xml:space="preserve">[Schedule </w:t>
      </w:r>
      <w:r w:rsidR="00E2356E">
        <w:rPr>
          <w:rStyle w:val="References"/>
        </w:rPr>
        <w:t>1</w:t>
      </w:r>
      <w:r w:rsidR="00327642" w:rsidRPr="00327642">
        <w:rPr>
          <w:rStyle w:val="References"/>
        </w:rPr>
        <w:t xml:space="preserve">, </w:t>
      </w:r>
      <w:r w:rsidR="00C568C9">
        <w:rPr>
          <w:rStyle w:val="References"/>
        </w:rPr>
        <w:t>item 14</w:t>
      </w:r>
      <w:r w:rsidR="00E33D56" w:rsidRPr="00327642">
        <w:rPr>
          <w:rStyle w:val="References"/>
        </w:rPr>
        <w:t xml:space="preserve">, </w:t>
      </w:r>
      <w:r w:rsidR="00327642" w:rsidRPr="00327642">
        <w:rPr>
          <w:rStyle w:val="References"/>
        </w:rPr>
        <w:t xml:space="preserve">subsection </w:t>
      </w:r>
      <w:r w:rsidR="00CF08F4">
        <w:rPr>
          <w:rStyle w:val="References"/>
        </w:rPr>
        <w:t>83</w:t>
      </w:r>
      <w:r w:rsidR="00A67DEF">
        <w:rPr>
          <w:rStyle w:val="References"/>
        </w:rPr>
        <w:t>7</w:t>
      </w:r>
      <w:proofErr w:type="gramStart"/>
      <w:r w:rsidR="00CF08F4">
        <w:rPr>
          <w:rStyle w:val="References"/>
        </w:rPr>
        <w:t>F</w:t>
      </w:r>
      <w:r w:rsidR="00327642" w:rsidRPr="00327642">
        <w:rPr>
          <w:rStyle w:val="References"/>
        </w:rPr>
        <w:t>(</w:t>
      </w:r>
      <w:proofErr w:type="gramEnd"/>
      <w:r w:rsidR="00327642">
        <w:rPr>
          <w:rStyle w:val="References"/>
        </w:rPr>
        <w:t>6</w:t>
      </w:r>
      <w:r w:rsidR="00327642" w:rsidRPr="00327642">
        <w:rPr>
          <w:rStyle w:val="References"/>
        </w:rPr>
        <w:t>) of the Act]</w:t>
      </w:r>
    </w:p>
    <w:p w14:paraId="5B29A892" w14:textId="2A677C53" w:rsidR="007C47D5" w:rsidRDefault="007C47D5" w:rsidP="00234D68">
      <w:pPr>
        <w:pStyle w:val="Normalparatextwithnumbers"/>
        <w:numPr>
          <w:ilvl w:val="1"/>
          <w:numId w:val="6"/>
        </w:numPr>
      </w:pPr>
      <w:proofErr w:type="gramStart"/>
      <w:r>
        <w:t>Similar to</w:t>
      </w:r>
      <w:proofErr w:type="gramEnd"/>
      <w:r>
        <w:t xml:space="preserve"> obtaining an expert report for a recapitalisation act, the RBA should obtain an independent expert valuation of property prior to making a transfer determination. However, the RBA is not required to do this if obtaining the valuation would threaten the stability of Australia’s financial system or continuity of clearing and settlement services. Obtaining the expert report is subject to the same conditions outlined from paragraph </w:t>
      </w:r>
      <w:r w:rsidR="0028259D">
        <w:t>1.117</w:t>
      </w:r>
      <w:r>
        <w:t xml:space="preserve">.  </w:t>
      </w:r>
      <w:r>
        <w:br/>
      </w:r>
      <w:r>
        <w:rPr>
          <w:rStyle w:val="References"/>
        </w:rPr>
        <w:t>[Schedule 1, item 14, section 849D of the Act]</w:t>
      </w:r>
    </w:p>
    <w:p w14:paraId="36C4C5C1" w14:textId="2840F4CC" w:rsidR="004D6324" w:rsidRDefault="004D6324" w:rsidP="004D6324">
      <w:pPr>
        <w:pStyle w:val="Heading6"/>
        <w:rPr>
          <w:rFonts w:hint="eastAsia"/>
        </w:rPr>
      </w:pPr>
      <w:r>
        <w:lastRenderedPageBreak/>
        <w:t xml:space="preserve">Transfer agreement </w:t>
      </w:r>
    </w:p>
    <w:p w14:paraId="40AD5ABC" w14:textId="7B37CA81" w:rsidR="00307584" w:rsidRDefault="00307584" w:rsidP="00125C2C">
      <w:pPr>
        <w:pStyle w:val="Normalparatextwithnumbers"/>
      </w:pPr>
      <w:r>
        <w:t>After a determination is made</w:t>
      </w:r>
      <w:r w:rsidR="003126FC">
        <w:t xml:space="preserve"> about a compulsory transfer of a business or body corporate or shares in a business or body corporate</w:t>
      </w:r>
      <w:r>
        <w:t xml:space="preserve">, the receiving or </w:t>
      </w:r>
      <w:r w:rsidR="00B53CF9">
        <w:t>target</w:t>
      </w:r>
      <w:r>
        <w:t xml:space="preserve"> body </w:t>
      </w:r>
      <w:proofErr w:type="gramStart"/>
      <w:r>
        <w:t>has the opportunity to</w:t>
      </w:r>
      <w:proofErr w:type="gramEnd"/>
      <w:r>
        <w:t xml:space="preserve"> write to the RBA to specify the mechanism for how the shares or </w:t>
      </w:r>
      <w:r w:rsidR="00FE3A9D">
        <w:t xml:space="preserve">assets </w:t>
      </w:r>
      <w:r w:rsidR="00C86475">
        <w:t>and</w:t>
      </w:r>
      <w:r w:rsidR="00FE3A9D">
        <w:t xml:space="preserve"> </w:t>
      </w:r>
      <w:r w:rsidR="00B67A36">
        <w:t>liabilities</w:t>
      </w:r>
      <w:r w:rsidR="00FE3A9D">
        <w:t xml:space="preserve"> of the business</w:t>
      </w:r>
      <w:r>
        <w:t xml:space="preserve"> are to be transferred. The RBA may approve this statement </w:t>
      </w:r>
      <w:r w:rsidR="00495D1B">
        <w:t xml:space="preserve">in writing </w:t>
      </w:r>
      <w:r w:rsidR="000A797B">
        <w:t xml:space="preserve">before the certificate of transfer </w:t>
      </w:r>
      <w:r w:rsidR="000B5306">
        <w:t xml:space="preserve">is issued </w:t>
      </w:r>
      <w:r w:rsidR="0023378B">
        <w:t>if</w:t>
      </w:r>
      <w:r>
        <w:t xml:space="preserve"> the mechanism is appropriate and </w:t>
      </w:r>
      <w:r w:rsidR="000A797B">
        <w:t>both parties agree to the statement.</w:t>
      </w:r>
      <w:r w:rsidR="000A797B">
        <w:br/>
      </w:r>
      <w:r w:rsidR="000A797B" w:rsidRPr="000A797B">
        <w:rPr>
          <w:rStyle w:val="References"/>
        </w:rPr>
        <w:t xml:space="preserve">[Schedule </w:t>
      </w:r>
      <w:r w:rsidR="00E2356E">
        <w:rPr>
          <w:rStyle w:val="References"/>
        </w:rPr>
        <w:t>1</w:t>
      </w:r>
      <w:r w:rsidR="000A797B" w:rsidRPr="000A797B">
        <w:rPr>
          <w:rStyle w:val="References"/>
        </w:rPr>
        <w:t xml:space="preserve">, </w:t>
      </w:r>
      <w:r w:rsidR="00C568C9">
        <w:rPr>
          <w:rStyle w:val="References"/>
        </w:rPr>
        <w:t>item 14</w:t>
      </w:r>
      <w:r w:rsidR="000A797B" w:rsidRPr="000A797B">
        <w:rPr>
          <w:rStyle w:val="References"/>
        </w:rPr>
        <w:t xml:space="preserve">, section </w:t>
      </w:r>
      <w:r w:rsidR="00CF08F4">
        <w:rPr>
          <w:rStyle w:val="References"/>
        </w:rPr>
        <w:t>83</w:t>
      </w:r>
      <w:r w:rsidR="00A67DEF">
        <w:rPr>
          <w:rStyle w:val="References"/>
        </w:rPr>
        <w:t>7</w:t>
      </w:r>
      <w:r w:rsidR="00CF08F4">
        <w:rPr>
          <w:rStyle w:val="References"/>
        </w:rPr>
        <w:t>E</w:t>
      </w:r>
      <w:r w:rsidR="00CF08F4" w:rsidRPr="000A797B">
        <w:rPr>
          <w:rStyle w:val="References"/>
        </w:rPr>
        <w:t xml:space="preserve"> </w:t>
      </w:r>
      <w:r w:rsidR="000A797B" w:rsidRPr="000A797B">
        <w:rPr>
          <w:rStyle w:val="References"/>
        </w:rPr>
        <w:t>of the Act]</w:t>
      </w:r>
    </w:p>
    <w:p w14:paraId="5ABB1BBD" w14:textId="60DFAAB3" w:rsidR="00EA63FF" w:rsidRDefault="00327642" w:rsidP="00EA63FF">
      <w:pPr>
        <w:pStyle w:val="Heading6"/>
        <w:rPr>
          <w:rFonts w:hint="eastAsia"/>
        </w:rPr>
      </w:pPr>
      <w:r>
        <w:t xml:space="preserve">Determination that transfer is not to take </w:t>
      </w:r>
      <w:proofErr w:type="gramStart"/>
      <w:r>
        <w:t>effect</w:t>
      </w:r>
      <w:proofErr w:type="gramEnd"/>
      <w:r w:rsidR="00EA63FF">
        <w:t xml:space="preserve"> </w:t>
      </w:r>
    </w:p>
    <w:p w14:paraId="2E83A79B" w14:textId="77777777" w:rsidR="00A67DEF" w:rsidRDefault="004B3BDF" w:rsidP="00125C2C">
      <w:pPr>
        <w:pStyle w:val="Normalparatextwithnumbers"/>
      </w:pPr>
      <w:r>
        <w:t>If after issuing a transfer determination, but prior to issuing a certificate of transfer</w:t>
      </w:r>
      <w:r w:rsidR="00AF3D03">
        <w:t>,</w:t>
      </w:r>
      <w:r>
        <w:t xml:space="preserve"> </w:t>
      </w:r>
      <w:r w:rsidR="008D6130">
        <w:t>the board of the receiving body withdraws their consent or the RBA considers the transfer should not occur, then the RBA must issue a certificate stating that a transfer is not to take effect</w:t>
      </w:r>
      <w:r w:rsidR="008F053F">
        <w:t>.</w:t>
      </w:r>
      <w:r w:rsidR="008D6130">
        <w:br/>
      </w:r>
      <w:r w:rsidR="008D6130" w:rsidRPr="008D6130">
        <w:rPr>
          <w:rStyle w:val="References"/>
        </w:rPr>
        <w:t xml:space="preserve">[Schedule </w:t>
      </w:r>
      <w:r w:rsidR="00E2356E">
        <w:rPr>
          <w:rStyle w:val="References"/>
        </w:rPr>
        <w:t>1</w:t>
      </w:r>
      <w:r w:rsidR="008D6130" w:rsidRPr="008D6130">
        <w:rPr>
          <w:rStyle w:val="References"/>
        </w:rPr>
        <w:t xml:space="preserve">, </w:t>
      </w:r>
      <w:r w:rsidR="00C568C9">
        <w:rPr>
          <w:rStyle w:val="References"/>
        </w:rPr>
        <w:t>item 14</w:t>
      </w:r>
      <w:r w:rsidR="008D6130" w:rsidRPr="008D6130">
        <w:rPr>
          <w:rStyle w:val="References"/>
        </w:rPr>
        <w:t xml:space="preserve">, subsection </w:t>
      </w:r>
      <w:r w:rsidR="00E0188C" w:rsidRPr="008D6130">
        <w:rPr>
          <w:rStyle w:val="References"/>
        </w:rPr>
        <w:t>8</w:t>
      </w:r>
      <w:r w:rsidR="00E0188C">
        <w:rPr>
          <w:rStyle w:val="References"/>
        </w:rPr>
        <w:t>3</w:t>
      </w:r>
      <w:r w:rsidR="00A67DEF">
        <w:rPr>
          <w:rStyle w:val="References"/>
        </w:rPr>
        <w:t>7</w:t>
      </w:r>
      <w:proofErr w:type="gramStart"/>
      <w:r w:rsidR="00E0188C">
        <w:rPr>
          <w:rStyle w:val="References"/>
        </w:rPr>
        <w:t>G</w:t>
      </w:r>
      <w:r w:rsidR="008D6130" w:rsidRPr="008D6130">
        <w:rPr>
          <w:rStyle w:val="References"/>
        </w:rPr>
        <w:t>(</w:t>
      </w:r>
      <w:proofErr w:type="gramEnd"/>
      <w:r w:rsidR="008D6130" w:rsidRPr="008D6130">
        <w:rPr>
          <w:rStyle w:val="References"/>
        </w:rPr>
        <w:t>1) of the Act]</w:t>
      </w:r>
      <w:r w:rsidR="008F053F">
        <w:t xml:space="preserve"> </w:t>
      </w:r>
    </w:p>
    <w:p w14:paraId="5DCDD69C" w14:textId="566934AA" w:rsidR="008D6130" w:rsidRDefault="008D6130" w:rsidP="00125C2C">
      <w:pPr>
        <w:pStyle w:val="Normalparatextwithnumbers"/>
      </w:pPr>
      <w:r>
        <w:t xml:space="preserve">The RBA may consider that a </w:t>
      </w:r>
      <w:r w:rsidR="00EA63FF">
        <w:t>transfer</w:t>
      </w:r>
      <w:r>
        <w:t xml:space="preserve"> is not required if it is no longer appropriate to facilitate resolution or the condition of resolution that was previously satisfied no longer poses a threat to the stability of the financial system in Australia.</w:t>
      </w:r>
      <w:r w:rsidR="002211D2">
        <w:br/>
      </w:r>
      <w:r w:rsidR="002211D2" w:rsidRPr="002211D2">
        <w:rPr>
          <w:rStyle w:val="References"/>
        </w:rPr>
        <w:t xml:space="preserve">[Schedule </w:t>
      </w:r>
      <w:r w:rsidR="00E2356E">
        <w:rPr>
          <w:rStyle w:val="References"/>
        </w:rPr>
        <w:t>1</w:t>
      </w:r>
      <w:r w:rsidR="002211D2" w:rsidRPr="002211D2">
        <w:rPr>
          <w:rStyle w:val="References"/>
        </w:rPr>
        <w:t xml:space="preserve">, </w:t>
      </w:r>
      <w:r w:rsidR="00C568C9">
        <w:rPr>
          <w:rStyle w:val="References"/>
        </w:rPr>
        <w:t>item 14</w:t>
      </w:r>
      <w:r w:rsidR="002211D2" w:rsidRPr="002211D2">
        <w:rPr>
          <w:rStyle w:val="References"/>
        </w:rPr>
        <w:t xml:space="preserve">, subsection </w:t>
      </w:r>
      <w:r w:rsidR="00E0188C" w:rsidRPr="002211D2">
        <w:rPr>
          <w:rStyle w:val="References"/>
        </w:rPr>
        <w:t>8</w:t>
      </w:r>
      <w:r w:rsidR="00E0188C">
        <w:rPr>
          <w:rStyle w:val="References"/>
        </w:rPr>
        <w:t>3</w:t>
      </w:r>
      <w:r w:rsidR="00A67DEF">
        <w:rPr>
          <w:rStyle w:val="References"/>
        </w:rPr>
        <w:t>7</w:t>
      </w:r>
      <w:proofErr w:type="gramStart"/>
      <w:r w:rsidR="00E0188C">
        <w:rPr>
          <w:rStyle w:val="References"/>
        </w:rPr>
        <w:t>G</w:t>
      </w:r>
      <w:r w:rsidR="002211D2" w:rsidRPr="002211D2">
        <w:rPr>
          <w:rStyle w:val="References"/>
        </w:rPr>
        <w:t>(</w:t>
      </w:r>
      <w:proofErr w:type="gramEnd"/>
      <w:r w:rsidR="00435D33">
        <w:rPr>
          <w:rStyle w:val="References"/>
        </w:rPr>
        <w:t>2</w:t>
      </w:r>
      <w:r w:rsidR="002211D2" w:rsidRPr="002211D2">
        <w:rPr>
          <w:rStyle w:val="References"/>
        </w:rPr>
        <w:t>) of the Act]</w:t>
      </w:r>
    </w:p>
    <w:p w14:paraId="1E11C588" w14:textId="0A912821" w:rsidR="00EA63FF" w:rsidRDefault="009B5EDA" w:rsidP="00125C2C">
      <w:pPr>
        <w:pStyle w:val="Normalparatextwithnumbers"/>
      </w:pPr>
      <w:r>
        <w:t>Copies of a</w:t>
      </w:r>
      <w:r w:rsidR="002211D2">
        <w:t xml:space="preserve"> certificate that a transfer is not to occur must be provided to </w:t>
      </w:r>
      <w:r w:rsidR="00516549">
        <w:t>all relevant</w:t>
      </w:r>
      <w:r w:rsidR="002211D2">
        <w:t xml:space="preserve"> bodies corporate. The certificate is not a legislative instrument. </w:t>
      </w:r>
      <w:r w:rsidR="002211D2">
        <w:br/>
      </w:r>
      <w:r w:rsidR="002211D2" w:rsidRPr="002211D2">
        <w:rPr>
          <w:rStyle w:val="References"/>
        </w:rPr>
        <w:t xml:space="preserve">[Schedule </w:t>
      </w:r>
      <w:r w:rsidR="00E2356E">
        <w:rPr>
          <w:rStyle w:val="References"/>
        </w:rPr>
        <w:t>1</w:t>
      </w:r>
      <w:r w:rsidR="002211D2" w:rsidRPr="002211D2">
        <w:rPr>
          <w:rStyle w:val="References"/>
        </w:rPr>
        <w:t xml:space="preserve">, </w:t>
      </w:r>
      <w:r w:rsidR="00C568C9">
        <w:rPr>
          <w:rStyle w:val="References"/>
        </w:rPr>
        <w:t>item 14</w:t>
      </w:r>
      <w:r w:rsidR="002211D2" w:rsidRPr="002211D2">
        <w:rPr>
          <w:rStyle w:val="References"/>
        </w:rPr>
        <w:t>, subsection 8</w:t>
      </w:r>
      <w:r w:rsidR="00E0188C">
        <w:rPr>
          <w:rStyle w:val="References"/>
        </w:rPr>
        <w:t>3</w:t>
      </w:r>
      <w:r w:rsidR="00A67DEF">
        <w:rPr>
          <w:rStyle w:val="References"/>
        </w:rPr>
        <w:t>7</w:t>
      </w:r>
      <w:proofErr w:type="gramStart"/>
      <w:r w:rsidR="00E0188C">
        <w:rPr>
          <w:rStyle w:val="References"/>
        </w:rPr>
        <w:t>G</w:t>
      </w:r>
      <w:r w:rsidR="002211D2" w:rsidRPr="002211D2">
        <w:rPr>
          <w:rStyle w:val="References"/>
        </w:rPr>
        <w:t>(</w:t>
      </w:r>
      <w:proofErr w:type="gramEnd"/>
      <w:r w:rsidR="002211D2">
        <w:rPr>
          <w:rStyle w:val="References"/>
        </w:rPr>
        <w:t>3</w:t>
      </w:r>
      <w:r w:rsidR="002211D2" w:rsidRPr="002211D2">
        <w:rPr>
          <w:rStyle w:val="References"/>
        </w:rPr>
        <w:t>)</w:t>
      </w:r>
      <w:r w:rsidR="003A5C1B">
        <w:rPr>
          <w:rStyle w:val="References"/>
        </w:rPr>
        <w:t xml:space="preserve"> and </w:t>
      </w:r>
      <w:r w:rsidR="002211D2">
        <w:rPr>
          <w:rStyle w:val="References"/>
        </w:rPr>
        <w:t>(4)</w:t>
      </w:r>
      <w:r w:rsidR="002211D2" w:rsidRPr="002211D2">
        <w:rPr>
          <w:rStyle w:val="References"/>
        </w:rPr>
        <w:t xml:space="preserve"> of the Act]</w:t>
      </w:r>
    </w:p>
    <w:p w14:paraId="6CAAED09" w14:textId="77777777" w:rsidR="00AC7069" w:rsidRDefault="00AC7069" w:rsidP="00AC7069">
      <w:pPr>
        <w:pStyle w:val="Heading6"/>
        <w:rPr>
          <w:rFonts w:hint="eastAsia"/>
        </w:rPr>
      </w:pPr>
      <w:r>
        <w:t xml:space="preserve">Information to the receiving body </w:t>
      </w:r>
    </w:p>
    <w:p w14:paraId="6B4E1E77" w14:textId="783CA0D1" w:rsidR="00AC7069" w:rsidRDefault="00AC7069" w:rsidP="00125C2C">
      <w:pPr>
        <w:pStyle w:val="Normalparatextwithnumbers"/>
      </w:pPr>
      <w:r>
        <w:t xml:space="preserve">The RBA may provide general and/or confidential information to a prospective receiving body about the business or shares that are or may be transferred in connection with a </w:t>
      </w:r>
      <w:r w:rsidR="008922FC">
        <w:t xml:space="preserve">determination or possible determination of </w:t>
      </w:r>
      <w:r>
        <w:t xml:space="preserve">a transfer or proposed transfer. </w:t>
      </w:r>
      <w:r w:rsidR="00F32B7D">
        <w:t>The RBA</w:t>
      </w:r>
      <w:r w:rsidR="00E552B6">
        <w:t xml:space="preserve"> may </w:t>
      </w:r>
      <w:r w:rsidR="00F32B7D">
        <w:t>impose c</w:t>
      </w:r>
      <w:r w:rsidR="00E552B6">
        <w:t xml:space="preserve">onditions on </w:t>
      </w:r>
      <w:r w:rsidR="00C7029A">
        <w:t xml:space="preserve">the </w:t>
      </w:r>
      <w:r w:rsidR="00E552B6">
        <w:t xml:space="preserve">information that </w:t>
      </w:r>
      <w:r w:rsidR="003C40E4">
        <w:t xml:space="preserve">a body corporate </w:t>
      </w:r>
      <w:r w:rsidR="000536C2">
        <w:t>must comply with</w:t>
      </w:r>
      <w:r w:rsidR="00E552B6">
        <w:t xml:space="preserve">. </w:t>
      </w:r>
      <w:r w:rsidR="00273EB5">
        <w:t xml:space="preserve">Disclosure of confidential or personal information to the receiving body is necessary and appropriate to fulfill the objective of stabilising Australia’s financial system. </w:t>
      </w:r>
      <w:r>
        <w:br/>
      </w:r>
      <w:r w:rsidRPr="008F2182">
        <w:rPr>
          <w:rStyle w:val="References"/>
        </w:rPr>
        <w:t xml:space="preserve">[Schedule </w:t>
      </w:r>
      <w:r w:rsidR="00E2356E">
        <w:rPr>
          <w:rStyle w:val="References"/>
        </w:rPr>
        <w:t>1</w:t>
      </w:r>
      <w:r w:rsidRPr="008F2182">
        <w:rPr>
          <w:rStyle w:val="References"/>
        </w:rPr>
        <w:t xml:space="preserve">, item </w:t>
      </w:r>
      <w:r w:rsidR="00A67DEF">
        <w:rPr>
          <w:rStyle w:val="References"/>
        </w:rPr>
        <w:t>14</w:t>
      </w:r>
      <w:r w:rsidRPr="008F2182">
        <w:rPr>
          <w:rStyle w:val="References"/>
        </w:rPr>
        <w:t xml:space="preserve">, section </w:t>
      </w:r>
      <w:r w:rsidR="008B39A2">
        <w:rPr>
          <w:rStyle w:val="References"/>
        </w:rPr>
        <w:t>83</w:t>
      </w:r>
      <w:r w:rsidR="00A67DEF">
        <w:rPr>
          <w:rStyle w:val="References"/>
        </w:rPr>
        <w:t>9</w:t>
      </w:r>
      <w:r w:rsidR="008B39A2">
        <w:rPr>
          <w:rStyle w:val="References"/>
        </w:rPr>
        <w:t xml:space="preserve">B </w:t>
      </w:r>
      <w:r w:rsidRPr="008F2182">
        <w:rPr>
          <w:rStyle w:val="References"/>
        </w:rPr>
        <w:t>of the Act]</w:t>
      </w:r>
    </w:p>
    <w:p w14:paraId="2E754F5F" w14:textId="77777777" w:rsidR="009F581C" w:rsidRPr="00EC4BC7" w:rsidRDefault="009F581C" w:rsidP="009F581C">
      <w:pPr>
        <w:pStyle w:val="Heading5"/>
      </w:pPr>
      <w:r>
        <w:t>Certificate of transfer</w:t>
      </w:r>
    </w:p>
    <w:p w14:paraId="222DC26A" w14:textId="4C04FA16" w:rsidR="009F581C" w:rsidRDefault="009F581C" w:rsidP="00125C2C">
      <w:pPr>
        <w:pStyle w:val="Normalparatextwithnumbers"/>
      </w:pPr>
      <w:r>
        <w:t>Where it is still appropriate that a transfer</w:t>
      </w:r>
      <w:r w:rsidR="001814BF">
        <w:t xml:space="preserve"> of business or shares</w:t>
      </w:r>
      <w:r>
        <w:t xml:space="preserve"> should proceed after a transfer determination being issued, then the RBA must issue a certificate of transfer stating that the transfer is to take effect </w:t>
      </w:r>
      <w:r w:rsidR="001814BF">
        <w:t xml:space="preserve">provided that the </w:t>
      </w:r>
      <w:r>
        <w:t xml:space="preserve">consent of the receiving body </w:t>
      </w:r>
      <w:r w:rsidR="001814BF">
        <w:t>has not been withdrawn</w:t>
      </w:r>
      <w:r>
        <w:t>.</w:t>
      </w:r>
      <w:r w:rsidR="004D6324">
        <w:br/>
      </w:r>
      <w:r w:rsidR="004D6324" w:rsidRPr="004D6324">
        <w:rPr>
          <w:rStyle w:val="References"/>
        </w:rPr>
        <w:t xml:space="preserve">[Schedule </w:t>
      </w:r>
      <w:r w:rsidR="00E2356E">
        <w:rPr>
          <w:rStyle w:val="References"/>
        </w:rPr>
        <w:t>1</w:t>
      </w:r>
      <w:r w:rsidR="004D6324" w:rsidRPr="004D6324">
        <w:rPr>
          <w:rStyle w:val="References"/>
        </w:rPr>
        <w:t xml:space="preserve">, </w:t>
      </w:r>
      <w:r w:rsidR="00C568C9">
        <w:rPr>
          <w:rStyle w:val="References"/>
        </w:rPr>
        <w:t>item 14</w:t>
      </w:r>
      <w:r w:rsidR="004D6324" w:rsidRPr="004D6324">
        <w:rPr>
          <w:rStyle w:val="References"/>
        </w:rPr>
        <w:t xml:space="preserve">, subsection </w:t>
      </w:r>
      <w:r w:rsidR="00E0188C">
        <w:rPr>
          <w:rStyle w:val="References"/>
        </w:rPr>
        <w:t>83</w:t>
      </w:r>
      <w:r w:rsidR="00EA2B09">
        <w:rPr>
          <w:rStyle w:val="References"/>
        </w:rPr>
        <w:t>8</w:t>
      </w:r>
      <w:proofErr w:type="gramStart"/>
      <w:r w:rsidR="00EA2B09">
        <w:rPr>
          <w:rStyle w:val="References"/>
        </w:rPr>
        <w:t>A</w:t>
      </w:r>
      <w:r w:rsidR="004D6324" w:rsidRPr="004D6324">
        <w:rPr>
          <w:rStyle w:val="References"/>
        </w:rPr>
        <w:t>(</w:t>
      </w:r>
      <w:proofErr w:type="gramEnd"/>
      <w:r w:rsidR="004D6324" w:rsidRPr="004D6324">
        <w:rPr>
          <w:rStyle w:val="References"/>
        </w:rPr>
        <w:t>1) of the Act]</w:t>
      </w:r>
    </w:p>
    <w:p w14:paraId="50882B7B" w14:textId="7E467FCF" w:rsidR="009F581C" w:rsidRDefault="0076513D" w:rsidP="00125C2C">
      <w:pPr>
        <w:pStyle w:val="Normalparatextwithnumbers"/>
      </w:pPr>
      <w:r>
        <w:t>T</w:t>
      </w:r>
      <w:r w:rsidR="009F581C">
        <w:t xml:space="preserve">he certificate of transfer must include: </w:t>
      </w:r>
    </w:p>
    <w:p w14:paraId="12F8F8C2" w14:textId="7E9AD28C" w:rsidR="009F581C" w:rsidRDefault="009F581C" w:rsidP="00D4524D">
      <w:pPr>
        <w:pStyle w:val="Dotpoint1"/>
      </w:pPr>
      <w:r>
        <w:lastRenderedPageBreak/>
        <w:t xml:space="preserve">the names of the </w:t>
      </w:r>
      <w:r w:rsidR="00FC69D6">
        <w:t>target</w:t>
      </w:r>
      <w:r>
        <w:t xml:space="preserve"> body and the receiving body;</w:t>
      </w:r>
      <w:r w:rsidR="00D812C4">
        <w:t xml:space="preserve"> </w:t>
      </w:r>
      <w:r w:rsidR="00BC60C2">
        <w:t>and</w:t>
      </w:r>
    </w:p>
    <w:p w14:paraId="746BF39B" w14:textId="3C1E24A7" w:rsidR="009F581C" w:rsidRDefault="009F581C" w:rsidP="00D4524D">
      <w:pPr>
        <w:pStyle w:val="Dotpoint1"/>
      </w:pPr>
      <w:r>
        <w:t xml:space="preserve">the </w:t>
      </w:r>
      <w:r w:rsidR="001814BF">
        <w:t>date the c</w:t>
      </w:r>
      <w:r>
        <w:t xml:space="preserve">ertificate of </w:t>
      </w:r>
      <w:r w:rsidR="001814BF">
        <w:t>t</w:t>
      </w:r>
      <w:r>
        <w:t>ransfer is to come into force</w:t>
      </w:r>
      <w:r w:rsidR="00AF1340">
        <w:t>.</w:t>
      </w:r>
      <w:r w:rsidR="004D6324">
        <w:br/>
      </w:r>
      <w:r w:rsidR="004D6324" w:rsidRPr="004D6324">
        <w:rPr>
          <w:rStyle w:val="References"/>
        </w:rPr>
        <w:t xml:space="preserve">[Schedule </w:t>
      </w:r>
      <w:r w:rsidR="00E2356E">
        <w:rPr>
          <w:rStyle w:val="References"/>
        </w:rPr>
        <w:t>1</w:t>
      </w:r>
      <w:r w:rsidR="004D6324" w:rsidRPr="004D6324">
        <w:rPr>
          <w:rStyle w:val="References"/>
        </w:rPr>
        <w:t xml:space="preserve">, </w:t>
      </w:r>
      <w:r w:rsidR="00C568C9">
        <w:rPr>
          <w:rStyle w:val="References"/>
        </w:rPr>
        <w:t>item 14</w:t>
      </w:r>
      <w:r w:rsidR="00EA2B09">
        <w:rPr>
          <w:rStyle w:val="References"/>
        </w:rPr>
        <w:t xml:space="preserve">, </w:t>
      </w:r>
      <w:r w:rsidR="004D6324" w:rsidRPr="004D6324">
        <w:rPr>
          <w:rStyle w:val="References"/>
        </w:rPr>
        <w:t xml:space="preserve">subsection </w:t>
      </w:r>
      <w:r w:rsidR="00EA2B09">
        <w:rPr>
          <w:rStyle w:val="References"/>
        </w:rPr>
        <w:t>838</w:t>
      </w:r>
      <w:proofErr w:type="gramStart"/>
      <w:r w:rsidR="00EA2B09">
        <w:rPr>
          <w:rStyle w:val="References"/>
        </w:rPr>
        <w:t>A</w:t>
      </w:r>
      <w:r w:rsidR="004D6324" w:rsidRPr="004D6324">
        <w:rPr>
          <w:rStyle w:val="References"/>
        </w:rPr>
        <w:t>(</w:t>
      </w:r>
      <w:proofErr w:type="gramEnd"/>
      <w:r w:rsidR="004D6324">
        <w:rPr>
          <w:rStyle w:val="References"/>
        </w:rPr>
        <w:t>2</w:t>
      </w:r>
      <w:r w:rsidR="004D6324" w:rsidRPr="004D6324">
        <w:rPr>
          <w:rStyle w:val="References"/>
        </w:rPr>
        <w:t>) of the Act]</w:t>
      </w:r>
    </w:p>
    <w:p w14:paraId="3BEC7FEE" w14:textId="1E7417AB" w:rsidR="009F581C" w:rsidRDefault="001814BF" w:rsidP="00125C2C">
      <w:pPr>
        <w:pStyle w:val="Normalparatextwithnumbers"/>
      </w:pPr>
      <w:r>
        <w:t>For a transfer of business, the following a</w:t>
      </w:r>
      <w:r w:rsidR="009F581C">
        <w:t xml:space="preserve">dditional details </w:t>
      </w:r>
      <w:r>
        <w:t>must be included in the certificate of transfer</w:t>
      </w:r>
      <w:r w:rsidR="009F581C">
        <w:t>:</w:t>
      </w:r>
    </w:p>
    <w:p w14:paraId="7AF49BE8" w14:textId="2FFAB5FF" w:rsidR="009F581C" w:rsidRDefault="009F581C" w:rsidP="009F581C">
      <w:pPr>
        <w:pStyle w:val="Dotpoint1"/>
      </w:pPr>
      <w:r>
        <w:t xml:space="preserve">whether the transfer is a total transfer or a partial transfer; and </w:t>
      </w:r>
    </w:p>
    <w:p w14:paraId="150E1A4E" w14:textId="42D517C6" w:rsidR="009F581C" w:rsidRDefault="001814BF" w:rsidP="009F581C">
      <w:pPr>
        <w:pStyle w:val="Dotpoint1"/>
      </w:pPr>
      <w:r>
        <w:t>if it is</w:t>
      </w:r>
      <w:r w:rsidR="009F581C">
        <w:t xml:space="preserve"> a partial transfer, include or have attached to it:</w:t>
      </w:r>
    </w:p>
    <w:p w14:paraId="5913E219" w14:textId="2C071EA4" w:rsidR="009F581C" w:rsidRDefault="009F581C" w:rsidP="009F581C">
      <w:pPr>
        <w:pStyle w:val="dotpoint2"/>
      </w:pPr>
      <w:r>
        <w:t xml:space="preserve">a list of the assets and liabilities of the </w:t>
      </w:r>
      <w:r w:rsidR="00FC69D6">
        <w:t>target</w:t>
      </w:r>
      <w:r>
        <w:t xml:space="preserve"> body that are being transferred; and </w:t>
      </w:r>
    </w:p>
    <w:p w14:paraId="6AD5C906" w14:textId="58F1BF81" w:rsidR="009F581C" w:rsidRPr="00D4524D" w:rsidRDefault="009F581C" w:rsidP="00D4524D">
      <w:pPr>
        <w:pStyle w:val="dotpoint2"/>
        <w:rPr>
          <w:rStyle w:val="References"/>
          <w:b w:val="0"/>
          <w:bCs w:val="0"/>
          <w:i w:val="0"/>
          <w:iCs w:val="0"/>
        </w:rPr>
      </w:pPr>
      <w:r>
        <w:t xml:space="preserve">any approved transfer agreement. </w:t>
      </w:r>
      <w:r w:rsidR="00D4524D">
        <w:br/>
      </w:r>
      <w:r w:rsidR="004D6324" w:rsidRPr="00D4524D">
        <w:rPr>
          <w:rStyle w:val="References"/>
        </w:rPr>
        <w:t xml:space="preserve">[Schedule </w:t>
      </w:r>
      <w:r w:rsidR="00E2356E">
        <w:rPr>
          <w:rStyle w:val="References"/>
        </w:rPr>
        <w:t>1</w:t>
      </w:r>
      <w:r w:rsidR="004D6324" w:rsidRPr="00D4524D">
        <w:rPr>
          <w:rStyle w:val="References"/>
        </w:rPr>
        <w:t xml:space="preserve">, </w:t>
      </w:r>
      <w:r w:rsidR="00C568C9">
        <w:rPr>
          <w:rStyle w:val="References"/>
        </w:rPr>
        <w:t>item 14</w:t>
      </w:r>
      <w:r w:rsidR="004D6324" w:rsidRPr="00D4524D">
        <w:rPr>
          <w:rStyle w:val="References"/>
        </w:rPr>
        <w:t xml:space="preserve">, subsection </w:t>
      </w:r>
      <w:r w:rsidR="00EA2B09">
        <w:rPr>
          <w:rStyle w:val="References"/>
        </w:rPr>
        <w:t>838</w:t>
      </w:r>
      <w:proofErr w:type="gramStart"/>
      <w:r w:rsidR="00EA2B09">
        <w:rPr>
          <w:rStyle w:val="References"/>
        </w:rPr>
        <w:t>A</w:t>
      </w:r>
      <w:r w:rsidR="004D6324" w:rsidRPr="00D4524D">
        <w:rPr>
          <w:rStyle w:val="References"/>
        </w:rPr>
        <w:t>(</w:t>
      </w:r>
      <w:proofErr w:type="gramEnd"/>
      <w:r w:rsidR="004D6324" w:rsidRPr="00D4524D">
        <w:rPr>
          <w:rStyle w:val="References"/>
        </w:rPr>
        <w:t>2) of the Act]</w:t>
      </w:r>
    </w:p>
    <w:p w14:paraId="34ED3486" w14:textId="6CA8927E" w:rsidR="0031463A" w:rsidRDefault="0031463A" w:rsidP="00125C2C">
      <w:pPr>
        <w:pStyle w:val="Normalparatextwithnumbers"/>
      </w:pPr>
      <w:r>
        <w:t xml:space="preserve">For a transfer of shares, the RBA must identify the shares that are being transferred. </w:t>
      </w:r>
    </w:p>
    <w:p w14:paraId="268DD342" w14:textId="4D0BCA09" w:rsidR="009F581C" w:rsidRDefault="004D6324" w:rsidP="00125C2C">
      <w:pPr>
        <w:pStyle w:val="Normalparatextwithnumbers"/>
      </w:pPr>
      <w:r>
        <w:t xml:space="preserve">It is at the discretion of the RBA to specify the </w:t>
      </w:r>
      <w:r w:rsidR="009F581C">
        <w:t>mechanism for determining</w:t>
      </w:r>
      <w:r>
        <w:t xml:space="preserve"> the</w:t>
      </w:r>
      <w:r w:rsidR="009F581C">
        <w:t xml:space="preserve"> other things that are to happen in relation to</w:t>
      </w:r>
      <w:r>
        <w:t xml:space="preserve"> the</w:t>
      </w:r>
      <w:r w:rsidR="009F581C">
        <w:t xml:space="preserve">: </w:t>
      </w:r>
    </w:p>
    <w:p w14:paraId="29EE49FE" w14:textId="77777777" w:rsidR="009F581C" w:rsidRDefault="009F581C" w:rsidP="009F581C">
      <w:pPr>
        <w:pStyle w:val="Dotpoint1"/>
      </w:pPr>
      <w:r>
        <w:t xml:space="preserve">assets and liabilities that are to be transferred; or </w:t>
      </w:r>
    </w:p>
    <w:p w14:paraId="359965E6" w14:textId="6115E2C3" w:rsidR="009F581C" w:rsidRDefault="004D6324" w:rsidP="009F581C">
      <w:pPr>
        <w:pStyle w:val="Dotpoint1"/>
      </w:pPr>
      <w:r>
        <w:t>shares that are to be transferred</w:t>
      </w:r>
      <w:r w:rsidR="009F581C">
        <w:t>.</w:t>
      </w:r>
      <w:r>
        <w:br/>
      </w:r>
      <w:r w:rsidRPr="004D6324">
        <w:rPr>
          <w:rStyle w:val="References"/>
        </w:rPr>
        <w:t xml:space="preserve">[Schedule </w:t>
      </w:r>
      <w:r w:rsidR="00E2356E">
        <w:rPr>
          <w:rStyle w:val="References"/>
        </w:rPr>
        <w:t>1</w:t>
      </w:r>
      <w:r w:rsidRPr="004D6324">
        <w:rPr>
          <w:rStyle w:val="References"/>
        </w:rPr>
        <w:t xml:space="preserve">, </w:t>
      </w:r>
      <w:r w:rsidR="00C568C9">
        <w:rPr>
          <w:rStyle w:val="References"/>
        </w:rPr>
        <w:t>item 14</w:t>
      </w:r>
      <w:r w:rsidRPr="004D6324">
        <w:rPr>
          <w:rStyle w:val="References"/>
        </w:rPr>
        <w:t xml:space="preserve">, subsection </w:t>
      </w:r>
      <w:r w:rsidR="00EA2B09">
        <w:rPr>
          <w:rStyle w:val="References"/>
        </w:rPr>
        <w:t>838</w:t>
      </w:r>
      <w:proofErr w:type="gramStart"/>
      <w:r w:rsidR="00EA2B09">
        <w:rPr>
          <w:rStyle w:val="References"/>
        </w:rPr>
        <w:t>A</w:t>
      </w:r>
      <w:r w:rsidRPr="004D6324">
        <w:rPr>
          <w:rStyle w:val="References"/>
        </w:rPr>
        <w:t>(</w:t>
      </w:r>
      <w:proofErr w:type="gramEnd"/>
      <w:r>
        <w:rPr>
          <w:rStyle w:val="References"/>
        </w:rPr>
        <w:t>5</w:t>
      </w:r>
      <w:r w:rsidRPr="004D6324">
        <w:rPr>
          <w:rStyle w:val="References"/>
        </w:rPr>
        <w:t>) of the Act]</w:t>
      </w:r>
      <w:r w:rsidR="009F581C">
        <w:t xml:space="preserve"> </w:t>
      </w:r>
    </w:p>
    <w:p w14:paraId="192535FD" w14:textId="342050AB" w:rsidR="009F581C" w:rsidRDefault="009F581C" w:rsidP="009F581C">
      <w:pPr>
        <w:pStyle w:val="Heading6"/>
        <w:rPr>
          <w:rFonts w:hint="eastAsia"/>
        </w:rPr>
      </w:pPr>
      <w:r>
        <w:t xml:space="preserve">Notice of </w:t>
      </w:r>
      <w:r w:rsidR="00B7462F">
        <w:t>c</w:t>
      </w:r>
      <w:r>
        <w:t xml:space="preserve">ertificate </w:t>
      </w:r>
    </w:p>
    <w:p w14:paraId="4394F95C" w14:textId="7DBD2478" w:rsidR="009F581C" w:rsidRPr="00EE059C" w:rsidRDefault="00AC2F48" w:rsidP="00125C2C">
      <w:pPr>
        <w:pStyle w:val="Normalparatextwithnumbers"/>
        <w:rPr>
          <w:rStyle w:val="References"/>
          <w:b w:val="0"/>
          <w:bCs w:val="0"/>
          <w:i w:val="0"/>
          <w:iCs w:val="0"/>
        </w:rPr>
      </w:pPr>
      <w:r>
        <w:t xml:space="preserve">The certificate </w:t>
      </w:r>
      <w:r w:rsidR="000253D1">
        <w:t xml:space="preserve">of transfer has effect from </w:t>
      </w:r>
      <w:r w:rsidR="00487EAB">
        <w:t>the day specified</w:t>
      </w:r>
      <w:r w:rsidR="00997563">
        <w:t xml:space="preserve"> on the notice</w:t>
      </w:r>
      <w:r>
        <w:t xml:space="preserve">. </w:t>
      </w:r>
      <w:r w:rsidR="009F581C">
        <w:t xml:space="preserve">The RBA must give a copy of the certificate of transfer to the </w:t>
      </w:r>
      <w:r w:rsidR="00FC69D6">
        <w:t>target</w:t>
      </w:r>
      <w:r w:rsidR="009F581C">
        <w:t xml:space="preserve"> body and the receiving body</w:t>
      </w:r>
      <w:r w:rsidR="000C4073">
        <w:t xml:space="preserve"> and publish the certificate on the RBA website</w:t>
      </w:r>
      <w:r w:rsidR="009F581C">
        <w:t>.</w:t>
      </w:r>
      <w:r w:rsidR="000C4073">
        <w:t xml:space="preserve"> The certificate is not a legislative instrument. </w:t>
      </w:r>
      <w:r w:rsidR="000C4073">
        <w:br/>
      </w:r>
      <w:r w:rsidR="000C4073" w:rsidRPr="000C4073">
        <w:rPr>
          <w:rStyle w:val="References"/>
        </w:rPr>
        <w:t xml:space="preserve">[Schedule </w:t>
      </w:r>
      <w:r w:rsidR="00E2356E">
        <w:rPr>
          <w:rStyle w:val="References"/>
        </w:rPr>
        <w:t>1</w:t>
      </w:r>
      <w:r w:rsidR="000C4073" w:rsidRPr="000C4073">
        <w:rPr>
          <w:rStyle w:val="References"/>
        </w:rPr>
        <w:t xml:space="preserve">, </w:t>
      </w:r>
      <w:r w:rsidR="00C568C9">
        <w:rPr>
          <w:rStyle w:val="References"/>
        </w:rPr>
        <w:t>item 14</w:t>
      </w:r>
      <w:r w:rsidR="000C4073" w:rsidRPr="000C4073">
        <w:rPr>
          <w:rStyle w:val="References"/>
        </w:rPr>
        <w:t>, subsection</w:t>
      </w:r>
      <w:r w:rsidR="00EA2B09">
        <w:rPr>
          <w:rStyle w:val="References"/>
        </w:rPr>
        <w:t>s</w:t>
      </w:r>
      <w:r w:rsidR="000C4073" w:rsidRPr="000C4073">
        <w:rPr>
          <w:rStyle w:val="References"/>
        </w:rPr>
        <w:t xml:space="preserve"> </w:t>
      </w:r>
      <w:r w:rsidR="00EA2B09">
        <w:rPr>
          <w:rStyle w:val="References"/>
        </w:rPr>
        <w:t>838</w:t>
      </w:r>
      <w:proofErr w:type="gramStart"/>
      <w:r w:rsidR="00EA2B09">
        <w:rPr>
          <w:rStyle w:val="References"/>
        </w:rPr>
        <w:t>A</w:t>
      </w:r>
      <w:r w:rsidR="000C4073" w:rsidRPr="000C4073">
        <w:rPr>
          <w:rStyle w:val="References"/>
        </w:rPr>
        <w:t>(</w:t>
      </w:r>
      <w:proofErr w:type="gramEnd"/>
      <w:r>
        <w:rPr>
          <w:rStyle w:val="References"/>
        </w:rPr>
        <w:t>3)</w:t>
      </w:r>
      <w:r w:rsidR="002A3E66">
        <w:rPr>
          <w:rStyle w:val="References"/>
        </w:rPr>
        <w:t xml:space="preserve">, </w:t>
      </w:r>
      <w:r>
        <w:rPr>
          <w:rStyle w:val="References"/>
        </w:rPr>
        <w:t>(4),</w:t>
      </w:r>
      <w:r w:rsidRPr="000C4073">
        <w:rPr>
          <w:rStyle w:val="References"/>
        </w:rPr>
        <w:t xml:space="preserve"> </w:t>
      </w:r>
      <w:r w:rsidR="00EA2B09">
        <w:rPr>
          <w:rStyle w:val="References"/>
        </w:rPr>
        <w:t xml:space="preserve">and </w:t>
      </w:r>
      <w:r w:rsidR="000C4073" w:rsidRPr="000C4073">
        <w:rPr>
          <w:rStyle w:val="References"/>
        </w:rPr>
        <w:t>(6) of the Act]</w:t>
      </w:r>
    </w:p>
    <w:p w14:paraId="541F5EC9" w14:textId="53C5EC31" w:rsidR="00EE059C" w:rsidRPr="007D307B" w:rsidRDefault="00EE059C" w:rsidP="00125C2C">
      <w:pPr>
        <w:pStyle w:val="Normalparatextwithnumbers"/>
        <w:rPr>
          <w:rStyle w:val="References"/>
          <w:b w:val="0"/>
          <w:bCs w:val="0"/>
          <w:i w:val="0"/>
          <w:iCs w:val="0"/>
        </w:rPr>
      </w:pPr>
      <w:r>
        <w:t xml:space="preserve">Any document that purports to be a certificate under this Division is taken to be a certificate and properly given. </w:t>
      </w:r>
      <w:r>
        <w:br/>
      </w:r>
      <w:r w:rsidRPr="00EE059C">
        <w:rPr>
          <w:rStyle w:val="References"/>
        </w:rPr>
        <w:t xml:space="preserve">[Schedule </w:t>
      </w:r>
      <w:r w:rsidR="00E2356E">
        <w:rPr>
          <w:rStyle w:val="References"/>
        </w:rPr>
        <w:t>1</w:t>
      </w:r>
      <w:r w:rsidRPr="00EE059C">
        <w:rPr>
          <w:rStyle w:val="References"/>
        </w:rPr>
        <w:t xml:space="preserve">, </w:t>
      </w:r>
      <w:r w:rsidR="00C568C9">
        <w:rPr>
          <w:rStyle w:val="References"/>
        </w:rPr>
        <w:t>item 14</w:t>
      </w:r>
      <w:r w:rsidRPr="00EE059C">
        <w:rPr>
          <w:rStyle w:val="References"/>
        </w:rPr>
        <w:t>, section</w:t>
      </w:r>
      <w:r w:rsidR="00EA2B09">
        <w:rPr>
          <w:rStyle w:val="References"/>
        </w:rPr>
        <w:t xml:space="preserve"> 839E </w:t>
      </w:r>
      <w:r w:rsidRPr="00EE059C">
        <w:rPr>
          <w:rStyle w:val="References"/>
        </w:rPr>
        <w:t>of the Act]</w:t>
      </w:r>
    </w:p>
    <w:p w14:paraId="3318997D" w14:textId="2639C468" w:rsidR="007D307B" w:rsidRDefault="00776293" w:rsidP="00125C2C">
      <w:pPr>
        <w:pStyle w:val="Normalparatextwithnumbers"/>
      </w:pPr>
      <w:r>
        <w:t>L</w:t>
      </w:r>
      <w:r w:rsidR="007D307B">
        <w:t xml:space="preserve">and or assets </w:t>
      </w:r>
      <w:r>
        <w:t xml:space="preserve">may be </w:t>
      </w:r>
      <w:r w:rsidR="007D307B">
        <w:t>lodged on a register and</w:t>
      </w:r>
      <w:r>
        <w:t xml:space="preserve"> become the property of the receiving body subject to</w:t>
      </w:r>
      <w:r w:rsidR="007D307B">
        <w:t xml:space="preserve"> the RBA issu</w:t>
      </w:r>
      <w:r>
        <w:t xml:space="preserve">ing </w:t>
      </w:r>
      <w:r w:rsidR="007D307B">
        <w:t xml:space="preserve">an </w:t>
      </w:r>
      <w:r w:rsidR="007D307B" w:rsidRPr="007D307B">
        <w:t>enabling certificate in relation to land, interests in land and other assets to be dealt with, and given effect to, in certain circumstances</w:t>
      </w:r>
      <w:r>
        <w:t xml:space="preserve">. </w:t>
      </w:r>
      <w:r>
        <w:br/>
      </w:r>
      <w:r w:rsidRPr="00776293">
        <w:rPr>
          <w:rStyle w:val="References"/>
        </w:rPr>
        <w:t xml:space="preserve">[Schedule </w:t>
      </w:r>
      <w:r w:rsidR="00E2356E">
        <w:rPr>
          <w:rStyle w:val="References"/>
        </w:rPr>
        <w:t>1</w:t>
      </w:r>
      <w:r w:rsidRPr="00776293">
        <w:rPr>
          <w:rStyle w:val="References"/>
        </w:rPr>
        <w:t xml:space="preserve">, </w:t>
      </w:r>
      <w:r w:rsidR="00C568C9">
        <w:rPr>
          <w:rStyle w:val="References"/>
        </w:rPr>
        <w:t>item 14</w:t>
      </w:r>
      <w:r w:rsidRPr="00776293">
        <w:rPr>
          <w:rStyle w:val="References"/>
        </w:rPr>
        <w:t xml:space="preserve">, sections </w:t>
      </w:r>
      <w:r w:rsidR="008B39A2">
        <w:rPr>
          <w:rStyle w:val="References"/>
        </w:rPr>
        <w:t>83</w:t>
      </w:r>
      <w:r w:rsidR="00EA2B09">
        <w:rPr>
          <w:rStyle w:val="References"/>
        </w:rPr>
        <w:t>9</w:t>
      </w:r>
      <w:r w:rsidR="008B39A2">
        <w:rPr>
          <w:rStyle w:val="References"/>
        </w:rPr>
        <w:t>C</w:t>
      </w:r>
      <w:r w:rsidR="008B39A2" w:rsidRPr="00776293">
        <w:rPr>
          <w:rStyle w:val="References"/>
        </w:rPr>
        <w:t xml:space="preserve"> </w:t>
      </w:r>
      <w:r w:rsidRPr="00776293">
        <w:rPr>
          <w:rStyle w:val="References"/>
        </w:rPr>
        <w:t xml:space="preserve">and </w:t>
      </w:r>
      <w:r w:rsidR="008B39A2">
        <w:rPr>
          <w:rStyle w:val="References"/>
        </w:rPr>
        <w:t>83</w:t>
      </w:r>
      <w:r w:rsidR="00EA2B09">
        <w:rPr>
          <w:rStyle w:val="References"/>
        </w:rPr>
        <w:t>9</w:t>
      </w:r>
      <w:r w:rsidR="008B39A2">
        <w:rPr>
          <w:rStyle w:val="References"/>
        </w:rPr>
        <w:t>D</w:t>
      </w:r>
      <w:r w:rsidR="008B39A2" w:rsidRPr="00776293">
        <w:rPr>
          <w:rStyle w:val="References"/>
        </w:rPr>
        <w:t xml:space="preserve"> </w:t>
      </w:r>
      <w:r w:rsidRPr="00776293">
        <w:rPr>
          <w:rStyle w:val="References"/>
        </w:rPr>
        <w:t>of the Act]</w:t>
      </w:r>
    </w:p>
    <w:p w14:paraId="47C06E32" w14:textId="46B324FF" w:rsidR="00B77DEE" w:rsidRDefault="00B77DEE" w:rsidP="00B77DEE">
      <w:pPr>
        <w:pStyle w:val="Heading6"/>
        <w:rPr>
          <w:rFonts w:hint="eastAsia"/>
        </w:rPr>
      </w:pPr>
      <w:r>
        <w:t xml:space="preserve">Time and effect of compulsory transfer of </w:t>
      </w:r>
      <w:r w:rsidR="00776293">
        <w:t xml:space="preserve">shares or </w:t>
      </w:r>
      <w:r>
        <w:t>business</w:t>
      </w:r>
    </w:p>
    <w:p w14:paraId="1738F861" w14:textId="2A170FD5" w:rsidR="00B77DEE" w:rsidRDefault="00B77DEE" w:rsidP="00125C2C">
      <w:pPr>
        <w:pStyle w:val="Normalparatextwithnumbers"/>
      </w:pPr>
      <w:r>
        <w:t xml:space="preserve">A </w:t>
      </w:r>
      <w:r w:rsidRPr="007703F5">
        <w:t xml:space="preserve">compulsory transfer </w:t>
      </w:r>
      <w:r>
        <w:t xml:space="preserve">may take effect </w:t>
      </w:r>
      <w:r w:rsidRPr="007703F5">
        <w:t xml:space="preserve">without </w:t>
      </w:r>
      <w:r>
        <w:t xml:space="preserve">the </w:t>
      </w:r>
      <w:r w:rsidRPr="007703F5">
        <w:t xml:space="preserve">approval of </w:t>
      </w:r>
      <w:r>
        <w:t>licensees</w:t>
      </w:r>
      <w:r w:rsidRPr="007703F5">
        <w:t>,</w:t>
      </w:r>
      <w:r>
        <w:t xml:space="preserve"> </w:t>
      </w:r>
      <w:r w:rsidR="004F33DD">
        <w:t>their shareholders</w:t>
      </w:r>
      <w:r w:rsidR="00BC01CE">
        <w:t>,</w:t>
      </w:r>
      <w:r w:rsidR="004F33DD">
        <w:t xml:space="preserve"> </w:t>
      </w:r>
      <w:r>
        <w:t>market participants,</w:t>
      </w:r>
      <w:r w:rsidRPr="007703F5">
        <w:t xml:space="preserve"> </w:t>
      </w:r>
      <w:r>
        <w:t>or contract holders</w:t>
      </w:r>
      <w:r w:rsidRPr="007703F5">
        <w:t>.</w:t>
      </w:r>
    </w:p>
    <w:p w14:paraId="3C504876" w14:textId="11440023" w:rsidR="00B77DEE" w:rsidRDefault="00B77DEE" w:rsidP="00125C2C">
      <w:pPr>
        <w:pStyle w:val="Normalparatextwithnumbers"/>
      </w:pPr>
      <w:r>
        <w:lastRenderedPageBreak/>
        <w:t>In relation to a transfer of business, when the certificate of transfer comes into force</w:t>
      </w:r>
      <w:r w:rsidR="007E1A38">
        <w:t>,</w:t>
      </w:r>
      <w:r>
        <w:t xml:space="preserve"> the receiving body becomes the successor in law of the </w:t>
      </w:r>
      <w:r w:rsidR="00FC69D6">
        <w:t>target</w:t>
      </w:r>
      <w:r>
        <w:t xml:space="preserve"> body to the extent of transfer:</w:t>
      </w:r>
    </w:p>
    <w:p w14:paraId="6EF8AE9B" w14:textId="0EB29787" w:rsidR="00B77DEE" w:rsidRDefault="00B77DEE" w:rsidP="00B77DEE">
      <w:pPr>
        <w:pStyle w:val="Dotpoint1"/>
      </w:pPr>
      <w:r>
        <w:t xml:space="preserve">for a total transfer </w:t>
      </w:r>
      <w:r w:rsidR="001C2692">
        <w:t>–</w:t>
      </w:r>
      <w:r>
        <w:t xml:space="preserve"> all assets and liabilities of the </w:t>
      </w:r>
      <w:r w:rsidR="00FC69D6">
        <w:t>target</w:t>
      </w:r>
      <w:r>
        <w:t xml:space="preserve"> body, wherever those assets and liabilities are located, become assets and liabilities of the receiving body without any transfer, conveyance or assignment; and </w:t>
      </w:r>
    </w:p>
    <w:p w14:paraId="554F650C" w14:textId="7FD66BC7" w:rsidR="00B77DEE" w:rsidRDefault="00B77DEE" w:rsidP="00B77DEE">
      <w:pPr>
        <w:pStyle w:val="Dotpoint1"/>
      </w:pPr>
      <w:r>
        <w:t xml:space="preserve">for a partial transfer </w:t>
      </w:r>
      <w:r w:rsidR="001C2692">
        <w:t>–</w:t>
      </w:r>
      <w:r>
        <w:t xml:space="preserve"> </w:t>
      </w:r>
      <w:r w:rsidR="001C2692">
        <w:t>only</w:t>
      </w:r>
      <w:r>
        <w:t xml:space="preserve"> the assets and liabilities of the </w:t>
      </w:r>
      <w:r w:rsidR="00FC69D6">
        <w:t>target</w:t>
      </w:r>
      <w:r>
        <w:t xml:space="preserve"> body listed in the </w:t>
      </w:r>
      <w:r w:rsidR="000051A0">
        <w:t>c</w:t>
      </w:r>
      <w:r>
        <w:t xml:space="preserve">ertificate of </w:t>
      </w:r>
      <w:r w:rsidR="000051A0">
        <w:t>t</w:t>
      </w:r>
      <w:r>
        <w:t>ransfer, wherever located, become assets and liabilities of the receiving body without any transfer, conveyance or assignment; and</w:t>
      </w:r>
    </w:p>
    <w:p w14:paraId="61E45732" w14:textId="5C2D0F6C" w:rsidR="00B77DEE" w:rsidRPr="000051A0" w:rsidRDefault="00B77DEE" w:rsidP="00B77DEE">
      <w:pPr>
        <w:pStyle w:val="Dotpoint1"/>
        <w:rPr>
          <w:rStyle w:val="References"/>
          <w:b w:val="0"/>
          <w:bCs w:val="0"/>
          <w:i w:val="0"/>
          <w:iCs w:val="0"/>
        </w:rPr>
      </w:pPr>
      <w:r>
        <w:t xml:space="preserve">to the extent of the transfer, the duties, obligations, immunities, rights and privileges applying to the </w:t>
      </w:r>
      <w:r w:rsidR="00FC69D6">
        <w:t>target</w:t>
      </w:r>
      <w:r>
        <w:t xml:space="preserve"> body apply to the receiving body.</w:t>
      </w:r>
      <w:r>
        <w:br/>
      </w:r>
      <w:r w:rsidRPr="00B77DEE">
        <w:rPr>
          <w:rStyle w:val="References"/>
        </w:rPr>
        <w:t xml:space="preserve">[Schedule </w:t>
      </w:r>
      <w:r w:rsidR="00E2356E">
        <w:rPr>
          <w:rStyle w:val="References"/>
        </w:rPr>
        <w:t>1</w:t>
      </w:r>
      <w:r w:rsidRPr="00B77DEE">
        <w:rPr>
          <w:rStyle w:val="References"/>
        </w:rPr>
        <w:t xml:space="preserve">, </w:t>
      </w:r>
      <w:r w:rsidR="00C568C9">
        <w:rPr>
          <w:rStyle w:val="References"/>
        </w:rPr>
        <w:t>item 14</w:t>
      </w:r>
      <w:r w:rsidRPr="00B77DEE">
        <w:rPr>
          <w:rStyle w:val="References"/>
        </w:rPr>
        <w:t xml:space="preserve">, </w:t>
      </w:r>
      <w:r w:rsidR="001C2692">
        <w:rPr>
          <w:rStyle w:val="References"/>
        </w:rPr>
        <w:t>sub</w:t>
      </w:r>
      <w:r w:rsidRPr="00B77DEE">
        <w:rPr>
          <w:rStyle w:val="References"/>
        </w:rPr>
        <w:t>section</w:t>
      </w:r>
      <w:r w:rsidR="0078090E">
        <w:rPr>
          <w:rStyle w:val="References"/>
        </w:rPr>
        <w:t>s</w:t>
      </w:r>
      <w:r w:rsidRPr="00B77DEE">
        <w:rPr>
          <w:rStyle w:val="References"/>
        </w:rPr>
        <w:t xml:space="preserve"> 8</w:t>
      </w:r>
      <w:r w:rsidR="00EA2B09">
        <w:rPr>
          <w:rStyle w:val="References"/>
        </w:rPr>
        <w:t>38</w:t>
      </w:r>
      <w:proofErr w:type="gramStart"/>
      <w:r w:rsidR="00EA2B09">
        <w:rPr>
          <w:rStyle w:val="References"/>
        </w:rPr>
        <w:t>C</w:t>
      </w:r>
      <w:r w:rsidR="001C2692">
        <w:rPr>
          <w:rStyle w:val="References"/>
        </w:rPr>
        <w:t>(</w:t>
      </w:r>
      <w:proofErr w:type="gramEnd"/>
      <w:r w:rsidR="001C2692">
        <w:rPr>
          <w:rStyle w:val="References"/>
        </w:rPr>
        <w:t>1)</w:t>
      </w:r>
      <w:r w:rsidR="0078090E">
        <w:rPr>
          <w:rStyle w:val="References"/>
        </w:rPr>
        <w:t xml:space="preserve"> and </w:t>
      </w:r>
      <w:r w:rsidR="004069AA">
        <w:rPr>
          <w:rStyle w:val="References"/>
        </w:rPr>
        <w:t>(2)</w:t>
      </w:r>
      <w:r w:rsidRPr="00B77DEE">
        <w:rPr>
          <w:rStyle w:val="References"/>
        </w:rPr>
        <w:t xml:space="preserve"> of the Act]</w:t>
      </w:r>
    </w:p>
    <w:p w14:paraId="3FCC71AF" w14:textId="47B57794" w:rsidR="00776293" w:rsidRDefault="00776293" w:rsidP="00125C2C">
      <w:pPr>
        <w:pStyle w:val="Normalparatextwithnumbers"/>
      </w:pPr>
      <w:r>
        <w:t>The effect of a transfer of shares is that all shares become shares held by the receiving body without any transfer, conveyance, or assignment. The shares become shares held by the receiving body free from any trust, liability, or other encumbrance.</w:t>
      </w:r>
      <w:r>
        <w:br/>
      </w:r>
      <w:r w:rsidRPr="000051A0">
        <w:rPr>
          <w:rStyle w:val="References"/>
        </w:rPr>
        <w:t xml:space="preserve">[Schedule </w:t>
      </w:r>
      <w:r w:rsidR="00E773D4">
        <w:rPr>
          <w:rStyle w:val="References"/>
        </w:rPr>
        <w:t>1</w:t>
      </w:r>
      <w:r w:rsidRPr="000051A0">
        <w:rPr>
          <w:rStyle w:val="References"/>
        </w:rPr>
        <w:t xml:space="preserve">, </w:t>
      </w:r>
      <w:r w:rsidR="00C568C9">
        <w:rPr>
          <w:rStyle w:val="References"/>
        </w:rPr>
        <w:t>item 14</w:t>
      </w:r>
      <w:r w:rsidRPr="000051A0">
        <w:rPr>
          <w:rStyle w:val="References"/>
        </w:rPr>
        <w:t>, subsection</w:t>
      </w:r>
      <w:r w:rsidR="00BE2B8F">
        <w:rPr>
          <w:rStyle w:val="References"/>
        </w:rPr>
        <w:t>s</w:t>
      </w:r>
      <w:r w:rsidRPr="000051A0">
        <w:rPr>
          <w:rStyle w:val="References"/>
        </w:rPr>
        <w:t xml:space="preserve"> </w:t>
      </w:r>
      <w:r w:rsidR="00EA2B09">
        <w:rPr>
          <w:rStyle w:val="References"/>
        </w:rPr>
        <w:t>838</w:t>
      </w:r>
      <w:proofErr w:type="gramStart"/>
      <w:r w:rsidR="00EA2B09">
        <w:rPr>
          <w:rStyle w:val="References"/>
        </w:rPr>
        <w:t>B</w:t>
      </w:r>
      <w:r>
        <w:rPr>
          <w:rStyle w:val="References"/>
        </w:rPr>
        <w:t>(</w:t>
      </w:r>
      <w:proofErr w:type="gramEnd"/>
      <w:r>
        <w:rPr>
          <w:rStyle w:val="References"/>
        </w:rPr>
        <w:t>1)</w:t>
      </w:r>
      <w:r w:rsidR="00BE2B8F">
        <w:rPr>
          <w:rStyle w:val="References"/>
        </w:rPr>
        <w:t xml:space="preserve"> and </w:t>
      </w:r>
      <w:r>
        <w:rPr>
          <w:rStyle w:val="References"/>
        </w:rPr>
        <w:t>(2)</w:t>
      </w:r>
      <w:r w:rsidRPr="000051A0">
        <w:rPr>
          <w:rStyle w:val="References"/>
        </w:rPr>
        <w:t xml:space="preserve"> of the Act]</w:t>
      </w:r>
    </w:p>
    <w:p w14:paraId="22CF2137" w14:textId="37701835" w:rsidR="000051A0" w:rsidRPr="001C2692" w:rsidRDefault="001C2692" w:rsidP="00125C2C">
      <w:pPr>
        <w:pStyle w:val="Normalparatextwithnumbers"/>
        <w:rPr>
          <w:rStyle w:val="References"/>
          <w:b w:val="0"/>
          <w:bCs w:val="0"/>
          <w:i w:val="0"/>
          <w:iCs w:val="0"/>
        </w:rPr>
      </w:pPr>
      <w:r>
        <w:t xml:space="preserve">At the time of the transfer, the specified things that are included in </w:t>
      </w:r>
      <w:r w:rsidR="000051A0">
        <w:t xml:space="preserve">a </w:t>
      </w:r>
      <w:r>
        <w:t xml:space="preserve">certificate of </w:t>
      </w:r>
      <w:r w:rsidR="000051A0">
        <w:t xml:space="preserve">transfer for business </w:t>
      </w:r>
      <w:r w:rsidR="00776293">
        <w:t xml:space="preserve">or for shares (as appropriate) </w:t>
      </w:r>
      <w:r>
        <w:t>are taken to occur. Similarly, where a transfer agreement specifying the mechanism for certain things was approved by the RBA, then those things are taken to have happened at the time of the transfer</w:t>
      </w:r>
      <w:r w:rsidR="00776293">
        <w:t xml:space="preserve">. </w:t>
      </w:r>
      <w:r>
        <w:br/>
      </w:r>
      <w:r w:rsidRPr="001C2692">
        <w:rPr>
          <w:rStyle w:val="References"/>
        </w:rPr>
        <w:t xml:space="preserve">[Schedule </w:t>
      </w:r>
      <w:r w:rsidR="00E773D4">
        <w:rPr>
          <w:rStyle w:val="References"/>
        </w:rPr>
        <w:t>1</w:t>
      </w:r>
      <w:r w:rsidRPr="001C2692">
        <w:rPr>
          <w:rStyle w:val="References"/>
        </w:rPr>
        <w:t xml:space="preserve">, </w:t>
      </w:r>
      <w:r w:rsidR="00C568C9">
        <w:rPr>
          <w:rStyle w:val="References"/>
        </w:rPr>
        <w:t>item 14</w:t>
      </w:r>
      <w:r w:rsidRPr="001C2692">
        <w:rPr>
          <w:rStyle w:val="References"/>
        </w:rPr>
        <w:t>, subsection</w:t>
      </w:r>
      <w:r w:rsidR="00776293">
        <w:rPr>
          <w:rStyle w:val="References"/>
        </w:rPr>
        <w:t>s</w:t>
      </w:r>
      <w:r w:rsidRPr="001C2692">
        <w:rPr>
          <w:rStyle w:val="References"/>
        </w:rPr>
        <w:t xml:space="preserve"> </w:t>
      </w:r>
      <w:r w:rsidR="009F6CAF">
        <w:rPr>
          <w:rStyle w:val="References"/>
        </w:rPr>
        <w:t>83</w:t>
      </w:r>
      <w:r w:rsidR="00EA2B09">
        <w:rPr>
          <w:rStyle w:val="References"/>
        </w:rPr>
        <w:t>8</w:t>
      </w:r>
      <w:proofErr w:type="gramStart"/>
      <w:r w:rsidR="00EA2B09">
        <w:rPr>
          <w:rStyle w:val="References"/>
        </w:rPr>
        <w:t>B</w:t>
      </w:r>
      <w:r w:rsidR="00776293">
        <w:rPr>
          <w:rStyle w:val="References"/>
        </w:rPr>
        <w:t>(</w:t>
      </w:r>
      <w:proofErr w:type="gramEnd"/>
      <w:r w:rsidR="008B767D">
        <w:rPr>
          <w:rStyle w:val="References"/>
        </w:rPr>
        <w:t>3</w:t>
      </w:r>
      <w:r w:rsidR="00776293">
        <w:rPr>
          <w:rStyle w:val="References"/>
        </w:rPr>
        <w:t>)</w:t>
      </w:r>
      <w:r w:rsidR="00BE2B8F">
        <w:rPr>
          <w:rStyle w:val="References"/>
        </w:rPr>
        <w:t xml:space="preserve"> and </w:t>
      </w:r>
      <w:r w:rsidR="00791739">
        <w:rPr>
          <w:rStyle w:val="References"/>
        </w:rPr>
        <w:t>(4</w:t>
      </w:r>
      <w:r w:rsidR="00776293">
        <w:rPr>
          <w:rStyle w:val="References"/>
        </w:rPr>
        <w:t>)</w:t>
      </w:r>
      <w:r w:rsidR="004069AA">
        <w:rPr>
          <w:rStyle w:val="References"/>
        </w:rPr>
        <w:t xml:space="preserve"> and 838C(3)</w:t>
      </w:r>
      <w:r w:rsidR="00D4615E">
        <w:rPr>
          <w:rStyle w:val="References"/>
        </w:rPr>
        <w:t xml:space="preserve"> </w:t>
      </w:r>
      <w:r w:rsidRPr="001C2692">
        <w:rPr>
          <w:rStyle w:val="References"/>
        </w:rPr>
        <w:t>of the Act]</w:t>
      </w:r>
      <w:r>
        <w:rPr>
          <w:rStyle w:val="References"/>
        </w:rPr>
        <w:t xml:space="preserve"> </w:t>
      </w:r>
    </w:p>
    <w:p w14:paraId="77501D27" w14:textId="1F773D45" w:rsidR="00B77DEE" w:rsidRDefault="00B77DEE" w:rsidP="00B77DEE">
      <w:pPr>
        <w:pStyle w:val="Heading6"/>
        <w:rPr>
          <w:rFonts w:hint="eastAsia"/>
        </w:rPr>
      </w:pPr>
      <w:r>
        <w:t xml:space="preserve">Effect of transfer </w:t>
      </w:r>
    </w:p>
    <w:p w14:paraId="56D237EE" w14:textId="229CB454" w:rsidR="000B0993" w:rsidRDefault="004069AA" w:rsidP="00125C2C">
      <w:pPr>
        <w:pStyle w:val="Normalparatextwithnumbers"/>
      </w:pPr>
      <w:r>
        <w:t>At the time a certificate of transfer comes into force, t</w:t>
      </w:r>
      <w:r w:rsidR="000B0993">
        <w:t xml:space="preserve">he receiving body is substituted for the </w:t>
      </w:r>
      <w:r w:rsidR="00FC69D6">
        <w:t>target</w:t>
      </w:r>
      <w:r w:rsidR="000B0993">
        <w:t xml:space="preserve"> body</w:t>
      </w:r>
      <w:r>
        <w:t xml:space="preserve"> in any instrument in relation to</w:t>
      </w:r>
      <w:r w:rsidR="000B0993">
        <w:t xml:space="preserve">: </w:t>
      </w:r>
    </w:p>
    <w:p w14:paraId="59B87CE7" w14:textId="1B1FB16D" w:rsidR="000B0993" w:rsidRDefault="000B0993" w:rsidP="000B0993">
      <w:pPr>
        <w:pStyle w:val="Dotpoint1"/>
      </w:pPr>
      <w:r>
        <w:t xml:space="preserve">any </w:t>
      </w:r>
      <w:r w:rsidR="004069AA">
        <w:t>asset or liability transferred</w:t>
      </w:r>
      <w:r>
        <w:t xml:space="preserve">; </w:t>
      </w:r>
      <w:r w:rsidR="00FC69D6">
        <w:t>or</w:t>
      </w:r>
    </w:p>
    <w:p w14:paraId="30521CD5" w14:textId="72CD6096" w:rsidR="000B0993" w:rsidRDefault="004069AA" w:rsidP="00FC69D6">
      <w:pPr>
        <w:pStyle w:val="Dotpoint1"/>
      </w:pPr>
      <w:r>
        <w:t>a share in the target body transferred</w:t>
      </w:r>
      <w:r w:rsidR="00FC69D6">
        <w:t>.</w:t>
      </w:r>
      <w:r w:rsidR="000B0993">
        <w:t xml:space="preserve"> </w:t>
      </w:r>
      <w:r w:rsidR="00FC69D6">
        <w:br/>
      </w:r>
      <w:r w:rsidR="000B0993" w:rsidRPr="000B0993">
        <w:rPr>
          <w:rStyle w:val="References"/>
        </w:rPr>
        <w:t xml:space="preserve">[Schedule </w:t>
      </w:r>
      <w:r w:rsidR="00E773D4">
        <w:rPr>
          <w:rStyle w:val="References"/>
        </w:rPr>
        <w:t>1</w:t>
      </w:r>
      <w:r w:rsidR="000B0993" w:rsidRPr="000B0993">
        <w:rPr>
          <w:rStyle w:val="References"/>
        </w:rPr>
        <w:t xml:space="preserve">, </w:t>
      </w:r>
      <w:r w:rsidR="00C568C9">
        <w:rPr>
          <w:rStyle w:val="References"/>
        </w:rPr>
        <w:t>item 14</w:t>
      </w:r>
      <w:r w:rsidR="000B0993" w:rsidRPr="000B0993">
        <w:rPr>
          <w:rStyle w:val="References"/>
        </w:rPr>
        <w:t xml:space="preserve">, section </w:t>
      </w:r>
      <w:r w:rsidR="008B39A2">
        <w:rPr>
          <w:rStyle w:val="References"/>
        </w:rPr>
        <w:t>83</w:t>
      </w:r>
      <w:r w:rsidR="00EA2B09">
        <w:rPr>
          <w:rStyle w:val="References"/>
        </w:rPr>
        <w:t>9</w:t>
      </w:r>
      <w:r>
        <w:rPr>
          <w:rStyle w:val="References"/>
        </w:rPr>
        <w:t>F</w:t>
      </w:r>
      <w:r w:rsidR="008B39A2" w:rsidRPr="000B0993">
        <w:rPr>
          <w:rStyle w:val="References"/>
        </w:rPr>
        <w:t xml:space="preserve"> </w:t>
      </w:r>
      <w:r w:rsidR="000B0993" w:rsidRPr="000B0993">
        <w:rPr>
          <w:rStyle w:val="References"/>
        </w:rPr>
        <w:t>of the Act]</w:t>
      </w:r>
    </w:p>
    <w:p w14:paraId="7F7A2E1A" w14:textId="2E3F94AB" w:rsidR="00EE059C" w:rsidRDefault="000B0993" w:rsidP="00125C2C">
      <w:pPr>
        <w:pStyle w:val="Normalparatextwithnumbers"/>
      </w:pPr>
      <w:r>
        <w:t xml:space="preserve">Further, from when the certificate of transfer is in force the </w:t>
      </w:r>
      <w:r w:rsidR="00FC69D6">
        <w:t>target</w:t>
      </w:r>
      <w:r>
        <w:t xml:space="preserve"> body must: </w:t>
      </w:r>
    </w:p>
    <w:p w14:paraId="570794DC" w14:textId="1E58CE0C" w:rsidR="00EE059C" w:rsidRDefault="00EE059C" w:rsidP="00EE059C">
      <w:pPr>
        <w:pStyle w:val="Dotpoint1"/>
      </w:pPr>
      <w:r w:rsidRPr="00EE059C">
        <w:t xml:space="preserve">promptly account to the receiving </w:t>
      </w:r>
      <w:r w:rsidR="000B0993">
        <w:t>body</w:t>
      </w:r>
      <w:r w:rsidRPr="00EE059C">
        <w:t xml:space="preserve"> for any income or other distribution received if the income or distribution arises from assets transferred under </w:t>
      </w:r>
      <w:r w:rsidR="007D307B">
        <w:t>the crisis</w:t>
      </w:r>
      <w:r w:rsidRPr="00EE059C">
        <w:t xml:space="preserve"> Part</w:t>
      </w:r>
      <w:r w:rsidR="000B0993">
        <w:t xml:space="preserve">; and </w:t>
      </w:r>
    </w:p>
    <w:p w14:paraId="7CB0C8F4" w14:textId="428CE544" w:rsidR="00EE059C" w:rsidRDefault="00EE059C" w:rsidP="00EE059C">
      <w:pPr>
        <w:pStyle w:val="Dotpoint1"/>
      </w:pPr>
      <w:r w:rsidRPr="00EE059C">
        <w:t xml:space="preserve">at the request of the receiving company, give the receiving </w:t>
      </w:r>
      <w:r w:rsidR="000B0993">
        <w:t xml:space="preserve">body </w:t>
      </w:r>
      <w:r w:rsidRPr="00EE059C">
        <w:t xml:space="preserve">access to </w:t>
      </w:r>
      <w:proofErr w:type="gramStart"/>
      <w:r w:rsidRPr="00EE059C">
        <w:t>all of</w:t>
      </w:r>
      <w:proofErr w:type="gramEnd"/>
      <w:r w:rsidRPr="00EE059C">
        <w:t xml:space="preserve"> the books in its possession that relate to assets or liabilities transferred.</w:t>
      </w:r>
      <w:r>
        <w:t xml:space="preserve"> </w:t>
      </w:r>
      <w:r>
        <w:br/>
      </w:r>
      <w:r w:rsidRPr="000B0993">
        <w:rPr>
          <w:rStyle w:val="References"/>
        </w:rPr>
        <w:t xml:space="preserve">[Schedule </w:t>
      </w:r>
      <w:r w:rsidR="00E773D4">
        <w:rPr>
          <w:rStyle w:val="References"/>
        </w:rPr>
        <w:t>1</w:t>
      </w:r>
      <w:r w:rsidRPr="000B0993">
        <w:rPr>
          <w:rStyle w:val="References"/>
        </w:rPr>
        <w:t xml:space="preserve">, </w:t>
      </w:r>
      <w:r w:rsidR="00C568C9">
        <w:rPr>
          <w:rStyle w:val="References"/>
        </w:rPr>
        <w:t>item 14</w:t>
      </w:r>
      <w:r w:rsidRPr="000B0993">
        <w:rPr>
          <w:rStyle w:val="References"/>
        </w:rPr>
        <w:t xml:space="preserve">, sections </w:t>
      </w:r>
      <w:r w:rsidR="004069AA">
        <w:rPr>
          <w:rStyle w:val="References"/>
        </w:rPr>
        <w:t>839G</w:t>
      </w:r>
      <w:r w:rsidR="008B39A2">
        <w:rPr>
          <w:rStyle w:val="References"/>
        </w:rPr>
        <w:t xml:space="preserve"> </w:t>
      </w:r>
      <w:r w:rsidR="000B0993">
        <w:rPr>
          <w:rStyle w:val="References"/>
        </w:rPr>
        <w:t xml:space="preserve">and </w:t>
      </w:r>
      <w:r w:rsidR="008B39A2">
        <w:rPr>
          <w:rStyle w:val="References"/>
        </w:rPr>
        <w:t>83</w:t>
      </w:r>
      <w:r w:rsidR="004069AA">
        <w:rPr>
          <w:rStyle w:val="References"/>
        </w:rPr>
        <w:t>9</w:t>
      </w:r>
      <w:r w:rsidR="008B39A2">
        <w:rPr>
          <w:rStyle w:val="References"/>
        </w:rPr>
        <w:t>H</w:t>
      </w:r>
      <w:r w:rsidR="008B39A2" w:rsidRPr="000B0993">
        <w:rPr>
          <w:rStyle w:val="References"/>
        </w:rPr>
        <w:t xml:space="preserve"> </w:t>
      </w:r>
      <w:r w:rsidRPr="000B0993">
        <w:rPr>
          <w:rStyle w:val="References"/>
        </w:rPr>
        <w:t>of the Act]</w:t>
      </w:r>
    </w:p>
    <w:p w14:paraId="7E7E525E" w14:textId="0D6D87AB" w:rsidR="00EE059C" w:rsidRPr="00BB7CC6" w:rsidRDefault="00EE059C" w:rsidP="00125C2C">
      <w:pPr>
        <w:pStyle w:val="Normalparatextwithnumbers"/>
        <w:rPr>
          <w:rStyle w:val="References"/>
          <w:b w:val="0"/>
          <w:i w:val="0"/>
        </w:rPr>
      </w:pPr>
      <w:r w:rsidRPr="00EE059C">
        <w:t xml:space="preserve">Consistent with other provisions </w:t>
      </w:r>
      <w:r>
        <w:t xml:space="preserve">throughout </w:t>
      </w:r>
      <w:r w:rsidRPr="00EE059C">
        <w:t xml:space="preserve">the Act, failure to comply </w:t>
      </w:r>
      <w:r w:rsidR="000B0993">
        <w:t xml:space="preserve">with the above requirements </w:t>
      </w:r>
      <w:r w:rsidRPr="00EE059C">
        <w:t>is an offence</w:t>
      </w:r>
      <w:r w:rsidR="000B0993">
        <w:t xml:space="preserve">. </w:t>
      </w:r>
    </w:p>
    <w:p w14:paraId="69EC17CB" w14:textId="3C603C29" w:rsidR="00BB7CC6" w:rsidRDefault="00DC21F0" w:rsidP="00125C2C">
      <w:pPr>
        <w:pStyle w:val="Normalparatextwithnumbers"/>
      </w:pPr>
      <w:r>
        <w:lastRenderedPageBreak/>
        <w:t>T</w:t>
      </w:r>
      <w:r w:rsidRPr="00486829">
        <w:t xml:space="preserve">he operation of the trust will not be affected </w:t>
      </w:r>
      <w:r>
        <w:t xml:space="preserve">where </w:t>
      </w:r>
      <w:r w:rsidR="00486829" w:rsidRPr="00486829">
        <w:t>a trustee or beneficiary of a trust is transferred</w:t>
      </w:r>
      <w:r>
        <w:t>.</w:t>
      </w:r>
    </w:p>
    <w:p w14:paraId="5E641F02" w14:textId="74F376F8" w:rsidR="00447E63" w:rsidRPr="00F91224" w:rsidRDefault="00447E63" w:rsidP="00447E63">
      <w:pPr>
        <w:pStyle w:val="Heading6"/>
        <w:rPr>
          <w:rFonts w:hint="eastAsia"/>
        </w:rPr>
      </w:pPr>
      <w:r>
        <w:t xml:space="preserve">Effect of partial transfer on contracts </w:t>
      </w:r>
    </w:p>
    <w:p w14:paraId="60A673A1" w14:textId="47582FBE" w:rsidR="002211D2" w:rsidRDefault="002211D2" w:rsidP="00125C2C">
      <w:pPr>
        <w:pStyle w:val="Normalparatextwithnumbers"/>
      </w:pPr>
      <w:r>
        <w:t xml:space="preserve">A transfer of business of a body corporate is a partial transfer if it relates to some, but not all, of the </w:t>
      </w:r>
      <w:r w:rsidR="00FC69D6">
        <w:t>target</w:t>
      </w:r>
      <w:r>
        <w:t xml:space="preserve"> body’s business. In CS facility resolution, this would be expected to be applied to separable business lines/financial products or to </w:t>
      </w:r>
      <w:proofErr w:type="gramStart"/>
      <w:r>
        <w:t>particular assets</w:t>
      </w:r>
      <w:proofErr w:type="gramEnd"/>
      <w:r>
        <w:t xml:space="preserve"> and liabilities, subject to the voidance conditions below. </w:t>
      </w:r>
    </w:p>
    <w:p w14:paraId="279977E1" w14:textId="6FDF55AF" w:rsidR="002B62A2" w:rsidRDefault="002211D2" w:rsidP="00125C2C">
      <w:pPr>
        <w:pStyle w:val="Normalparatextwithnumbers"/>
      </w:pPr>
      <w:r>
        <w:t>The partial transfer will be void</w:t>
      </w:r>
      <w:r w:rsidR="00447E63">
        <w:t xml:space="preserve"> where the following apply to a body corpo</w:t>
      </w:r>
      <w:r w:rsidR="001533BB">
        <w:t>r</w:t>
      </w:r>
      <w:r w:rsidR="00447E63">
        <w:t>ate</w:t>
      </w:r>
      <w:r w:rsidR="002B62A2">
        <w:t>:</w:t>
      </w:r>
      <w:r>
        <w:t xml:space="preserve"> </w:t>
      </w:r>
    </w:p>
    <w:p w14:paraId="09F325E5" w14:textId="3E222917" w:rsidR="002211D2" w:rsidRDefault="002B62A2" w:rsidP="002211D2">
      <w:pPr>
        <w:pStyle w:val="Dotpoint1"/>
      </w:pPr>
      <w:r>
        <w:t xml:space="preserve">just prior to the partial transfer the </w:t>
      </w:r>
      <w:r w:rsidR="00FC69D6">
        <w:t>target</w:t>
      </w:r>
      <w:r>
        <w:t xml:space="preserve"> body is a party to </w:t>
      </w:r>
      <w:r w:rsidR="002211D2">
        <w:t>a close-out netting contract, market netting contract or approved netting arrangement with respect another party to the contract or arrangement (consistent with the PSN</w:t>
      </w:r>
      <w:r w:rsidR="00776293">
        <w:t xml:space="preserve"> </w:t>
      </w:r>
      <w:r w:rsidR="002211D2">
        <w:t xml:space="preserve">Act 1998); </w:t>
      </w:r>
      <w:r>
        <w:t>and</w:t>
      </w:r>
    </w:p>
    <w:p w14:paraId="5001755E" w14:textId="6B297044" w:rsidR="002211D2" w:rsidRDefault="002211D2" w:rsidP="002211D2">
      <w:pPr>
        <w:pStyle w:val="Dotpoint1"/>
      </w:pPr>
      <w:r>
        <w:t xml:space="preserve">the assets </w:t>
      </w:r>
      <w:r w:rsidR="00447E63">
        <w:t xml:space="preserve">and liabilities </w:t>
      </w:r>
      <w:r w:rsidR="002B62A2">
        <w:t xml:space="preserve">covered by the transfer certificate includes some assets and liabilities the body has </w:t>
      </w:r>
      <w:r w:rsidR="00447E63">
        <w:t xml:space="preserve">under the close-out netting contract, market netting contract, or approved netting arrangement, or assets that are property over which security is given in respect of an obligation of the </w:t>
      </w:r>
      <w:r w:rsidR="00FC69D6">
        <w:t xml:space="preserve">target </w:t>
      </w:r>
      <w:r w:rsidR="00447E63">
        <w:t>body under the close-out netting contact or market netting contract.</w:t>
      </w:r>
      <w:r w:rsidR="002B62A2">
        <w:br/>
      </w:r>
      <w:r w:rsidR="002B62A2" w:rsidRPr="002B62A2">
        <w:rPr>
          <w:rStyle w:val="References"/>
        </w:rPr>
        <w:t xml:space="preserve">[Schedule </w:t>
      </w:r>
      <w:r w:rsidR="00E773D4">
        <w:rPr>
          <w:rStyle w:val="References"/>
        </w:rPr>
        <w:t>1</w:t>
      </w:r>
      <w:r w:rsidR="002B62A2" w:rsidRPr="002B62A2">
        <w:rPr>
          <w:rStyle w:val="References"/>
        </w:rPr>
        <w:t xml:space="preserve">, </w:t>
      </w:r>
      <w:r w:rsidR="00C568C9">
        <w:rPr>
          <w:rStyle w:val="References"/>
        </w:rPr>
        <w:t>item</w:t>
      </w:r>
      <w:r w:rsidR="00DA6602">
        <w:rPr>
          <w:rStyle w:val="References"/>
        </w:rPr>
        <w:t>s</w:t>
      </w:r>
      <w:r w:rsidR="00C568C9">
        <w:rPr>
          <w:rStyle w:val="References"/>
        </w:rPr>
        <w:t xml:space="preserve"> </w:t>
      </w:r>
      <w:r w:rsidR="00DA6602">
        <w:rPr>
          <w:rStyle w:val="References"/>
        </w:rPr>
        <w:t xml:space="preserve">1 and </w:t>
      </w:r>
      <w:r w:rsidR="00C568C9">
        <w:rPr>
          <w:rStyle w:val="References"/>
        </w:rPr>
        <w:t>14</w:t>
      </w:r>
      <w:r w:rsidR="002B62A2" w:rsidRPr="002B62A2">
        <w:rPr>
          <w:rStyle w:val="References"/>
        </w:rPr>
        <w:t>, section</w:t>
      </w:r>
      <w:r w:rsidR="00DA6602">
        <w:rPr>
          <w:rStyle w:val="References"/>
        </w:rPr>
        <w:t>s 9 and</w:t>
      </w:r>
      <w:r w:rsidR="00447E63">
        <w:rPr>
          <w:rStyle w:val="References"/>
        </w:rPr>
        <w:t xml:space="preserve"> </w:t>
      </w:r>
      <w:r w:rsidR="00DA6602">
        <w:rPr>
          <w:rStyle w:val="References"/>
        </w:rPr>
        <w:t xml:space="preserve">839A(1) </w:t>
      </w:r>
      <w:r w:rsidR="002B62A2" w:rsidRPr="002B62A2">
        <w:rPr>
          <w:rStyle w:val="References"/>
        </w:rPr>
        <w:t>of the Act]</w:t>
      </w:r>
    </w:p>
    <w:p w14:paraId="23548793" w14:textId="77777777" w:rsidR="002211D2" w:rsidRDefault="002211D2" w:rsidP="00125C2C">
      <w:pPr>
        <w:pStyle w:val="Normalparatextwithnumbers"/>
      </w:pPr>
      <w:r>
        <w:t xml:space="preserve">The partial transfer is void only: </w:t>
      </w:r>
    </w:p>
    <w:p w14:paraId="7CE1DF20" w14:textId="0120BB06" w:rsidR="002211D2" w:rsidRDefault="002211D2" w:rsidP="002211D2">
      <w:pPr>
        <w:pStyle w:val="Dotpoint1"/>
      </w:pPr>
      <w:r>
        <w:t xml:space="preserve">to the extent of the assets or liabilities of the </w:t>
      </w:r>
      <w:r w:rsidR="00FC69D6">
        <w:t>target</w:t>
      </w:r>
      <w:r>
        <w:t xml:space="preserve"> body under any of those contracts with respect to the counterparty; and</w:t>
      </w:r>
    </w:p>
    <w:p w14:paraId="50907E68" w14:textId="77777777" w:rsidR="00DA6602" w:rsidRDefault="002211D2" w:rsidP="00234D68">
      <w:pPr>
        <w:pStyle w:val="Dotpoint1"/>
      </w:pPr>
      <w:r>
        <w:t xml:space="preserve">if security is given over financial property in respect of an obligation of the </w:t>
      </w:r>
      <w:r w:rsidR="00FC69D6">
        <w:t>target</w:t>
      </w:r>
      <w:r>
        <w:t xml:space="preserve"> body under a close-out netting contract – to the extent that the assets are financial property in the possession or control of the counterparty (or another person on its behalf); and</w:t>
      </w:r>
    </w:p>
    <w:p w14:paraId="44C06CC3" w14:textId="75D6E808" w:rsidR="002211D2" w:rsidRPr="00DA6602" w:rsidRDefault="002211D2" w:rsidP="00234D68">
      <w:pPr>
        <w:pStyle w:val="Dotpoint1"/>
        <w:rPr>
          <w:rStyle w:val="References"/>
          <w:b w:val="0"/>
          <w:bCs w:val="0"/>
          <w:i w:val="0"/>
          <w:iCs w:val="0"/>
        </w:rPr>
      </w:pPr>
      <w:r>
        <w:t xml:space="preserve">if security is given over property in respect of an obligation of the </w:t>
      </w:r>
      <w:r w:rsidR="00FC69D6">
        <w:t>target</w:t>
      </w:r>
      <w:r>
        <w:t xml:space="preserve"> body under a market netting contract – to the extent that the assets are that property.  </w:t>
      </w:r>
      <w:r w:rsidR="002B62A2">
        <w:br/>
      </w:r>
      <w:r w:rsidR="002B62A2" w:rsidRPr="002B62A2">
        <w:rPr>
          <w:rStyle w:val="References"/>
        </w:rPr>
        <w:t xml:space="preserve">[Schedule </w:t>
      </w:r>
      <w:r w:rsidR="00E773D4">
        <w:rPr>
          <w:rStyle w:val="References"/>
        </w:rPr>
        <w:t>1</w:t>
      </w:r>
      <w:r w:rsidR="002B62A2" w:rsidRPr="002B62A2">
        <w:rPr>
          <w:rStyle w:val="References"/>
        </w:rPr>
        <w:t xml:space="preserve">, </w:t>
      </w:r>
      <w:r w:rsidR="00C568C9">
        <w:rPr>
          <w:rStyle w:val="References"/>
        </w:rPr>
        <w:t>item 14</w:t>
      </w:r>
      <w:r w:rsidR="002B62A2" w:rsidRPr="002B62A2">
        <w:rPr>
          <w:rStyle w:val="References"/>
        </w:rPr>
        <w:t>, section</w:t>
      </w:r>
      <w:r w:rsidR="00447E63">
        <w:rPr>
          <w:rStyle w:val="References"/>
        </w:rPr>
        <w:t xml:space="preserve"> </w:t>
      </w:r>
      <w:r w:rsidR="00DA6602">
        <w:rPr>
          <w:rStyle w:val="References"/>
        </w:rPr>
        <w:t>839</w:t>
      </w:r>
      <w:proofErr w:type="gramStart"/>
      <w:r w:rsidR="00DA6602">
        <w:rPr>
          <w:rStyle w:val="References"/>
        </w:rPr>
        <w:t>A(</w:t>
      </w:r>
      <w:proofErr w:type="gramEnd"/>
      <w:r w:rsidR="00DA6602">
        <w:rPr>
          <w:rStyle w:val="References"/>
        </w:rPr>
        <w:t>2)</w:t>
      </w:r>
      <w:r w:rsidR="002B62A2" w:rsidRPr="002B62A2">
        <w:rPr>
          <w:rStyle w:val="References"/>
        </w:rPr>
        <w:t xml:space="preserve"> of the Act]</w:t>
      </w:r>
    </w:p>
    <w:p w14:paraId="0E29A761" w14:textId="7E9DE885" w:rsidR="0027504A" w:rsidRDefault="0027504A" w:rsidP="0027504A">
      <w:pPr>
        <w:pStyle w:val="Heading6"/>
        <w:rPr>
          <w:rFonts w:hint="eastAsia"/>
        </w:rPr>
      </w:pPr>
      <w:r>
        <w:t xml:space="preserve">ASIC power to </w:t>
      </w:r>
      <w:r w:rsidR="00AA7B44">
        <w:t xml:space="preserve">grant a CS </w:t>
      </w:r>
      <w:r>
        <w:t xml:space="preserve">licence </w:t>
      </w:r>
      <w:r w:rsidR="00AA7B44">
        <w:t xml:space="preserve">to a receiving </w:t>
      </w:r>
      <w:proofErr w:type="gramStart"/>
      <w:r w:rsidR="00AA7B44">
        <w:t>body</w:t>
      </w:r>
      <w:proofErr w:type="gramEnd"/>
    </w:p>
    <w:p w14:paraId="6F06F580" w14:textId="213E71E0" w:rsidR="0027504A" w:rsidRPr="00F133C9" w:rsidRDefault="0027504A" w:rsidP="0027504A">
      <w:pPr>
        <w:pStyle w:val="Normalparatextwithnumbers"/>
        <w:rPr>
          <w:rStyle w:val="References"/>
          <w:b w:val="0"/>
          <w:bCs w:val="0"/>
          <w:i w:val="0"/>
          <w:iCs w:val="0"/>
        </w:rPr>
      </w:pPr>
      <w:r>
        <w:t xml:space="preserve">ASIC is granted the power to issue a domestic CS facility licence to the receiving body that is transferred all or some of the </w:t>
      </w:r>
      <w:r w:rsidR="002B4B36">
        <w:t>target</w:t>
      </w:r>
      <w:r>
        <w:t xml:space="preserve"> body’s business. A licence is not required for a transfer of shares, as the licence transfers with the licensed entity.</w:t>
      </w:r>
      <w:r w:rsidR="00F133C9">
        <w:br/>
      </w:r>
      <w:r w:rsidR="00F133C9" w:rsidRPr="00F133C9">
        <w:rPr>
          <w:rStyle w:val="References"/>
        </w:rPr>
        <w:t>[Schedule 1, item 25, subsection 824</w:t>
      </w:r>
      <w:proofErr w:type="gramStart"/>
      <w:r w:rsidR="00F133C9" w:rsidRPr="00F133C9">
        <w:rPr>
          <w:rStyle w:val="References"/>
        </w:rPr>
        <w:t>B(</w:t>
      </w:r>
      <w:proofErr w:type="gramEnd"/>
      <w:r w:rsidR="00F133C9" w:rsidRPr="00F133C9">
        <w:rPr>
          <w:rStyle w:val="References"/>
        </w:rPr>
        <w:t>5) of the Act]</w:t>
      </w:r>
      <w:r w:rsidR="00170CF9">
        <w:rPr>
          <w:rStyle w:val="References"/>
          <w:b w:val="0"/>
          <w:bCs w:val="0"/>
          <w:i w:val="0"/>
          <w:iCs w:val="0"/>
        </w:rPr>
        <w:t xml:space="preserve">. </w:t>
      </w:r>
    </w:p>
    <w:p w14:paraId="7905115A" w14:textId="37A2D845" w:rsidR="0027504A" w:rsidRDefault="00F133C9" w:rsidP="0027504A">
      <w:pPr>
        <w:pStyle w:val="Normalparatextwithnumbers"/>
      </w:pPr>
      <w:r>
        <w:t xml:space="preserve">The licensing power for ASIC to grant a CS facility licence on an expedited basis </w:t>
      </w:r>
      <w:r w:rsidR="0027504A">
        <w:t>is integral to the functioning of Australia’s financial system</w:t>
      </w:r>
      <w:r>
        <w:t>.</w:t>
      </w:r>
      <w:r w:rsidR="0027504A">
        <w:t xml:space="preserve"> </w:t>
      </w:r>
      <w:r>
        <w:t>T</w:t>
      </w:r>
      <w:r w:rsidR="0027504A">
        <w:t xml:space="preserve">he requirement to hold a domestic CS facility licence under 820C of the Act requires the services provided by the bridge entity to be subject to the licensing requirements under Part 7.3 of the Act. </w:t>
      </w:r>
    </w:p>
    <w:p w14:paraId="51C16D4D" w14:textId="77777777" w:rsidR="00A67DEF" w:rsidRDefault="00A67DEF" w:rsidP="00A67DEF">
      <w:pPr>
        <w:pStyle w:val="Heading5"/>
      </w:pPr>
      <w:r>
        <w:lastRenderedPageBreak/>
        <w:t>Bridge entity</w:t>
      </w:r>
    </w:p>
    <w:p w14:paraId="048AF699" w14:textId="229947C8" w:rsidR="00A67DEF" w:rsidRDefault="00A67DEF" w:rsidP="00A67DEF">
      <w:pPr>
        <w:pStyle w:val="Normalparatextwithnumbers"/>
      </w:pPr>
      <w:r>
        <w:t xml:space="preserve">Where a receiving body does not consent </w:t>
      </w:r>
      <w:r w:rsidR="00D04F4D">
        <w:t xml:space="preserve">or </w:t>
      </w:r>
      <w:r>
        <w:t>an alternative receiving body is unable to be found, the RBA may establish a temporary ‘bridge’ institution to take over and continue operating for a period for certain critical functions of the CS facility</w:t>
      </w:r>
      <w:r w:rsidR="000364BF">
        <w:t xml:space="preserve"> or related body corporate</w:t>
      </w:r>
      <w:r>
        <w:t xml:space="preserve">, without incurring liability for any legacy claims. </w:t>
      </w:r>
      <w:r w:rsidR="0027504A">
        <w:t xml:space="preserve">Further legislative design </w:t>
      </w:r>
      <w:r w:rsidR="001A4BCF">
        <w:t>work</w:t>
      </w:r>
      <w:r w:rsidR="0027504A">
        <w:t xml:space="preserve"> will be completed during consultation on </w:t>
      </w:r>
      <w:r w:rsidR="001A4BCF">
        <w:t xml:space="preserve">provisions to </w:t>
      </w:r>
      <w:r w:rsidR="001A54A1">
        <w:t xml:space="preserve">establish the </w:t>
      </w:r>
      <w:r w:rsidR="0027504A">
        <w:t xml:space="preserve">bridge entity. </w:t>
      </w:r>
    </w:p>
    <w:p w14:paraId="6222F3F7" w14:textId="77777777" w:rsidR="00A67DEF" w:rsidRDefault="00A67DEF" w:rsidP="00A67DEF">
      <w:pPr>
        <w:pStyle w:val="Normalparatextwithnumbers"/>
      </w:pPr>
      <w:r>
        <w:t xml:space="preserve">Transfer to a bridge entity allows the Commonwealth to take ownership of the business or shares of a domestic CS facility licensee in resolution. A similar model exists under the crisis resolution powers afforded to APRA. The power to create a </w:t>
      </w:r>
      <w:proofErr w:type="gramStart"/>
      <w:r>
        <w:t>wholly-owned</w:t>
      </w:r>
      <w:proofErr w:type="gramEnd"/>
      <w:r>
        <w:t xml:space="preserve"> Commonwealth company is authorised by section 85 of the PGPA Act. </w:t>
      </w:r>
    </w:p>
    <w:p w14:paraId="4FEBF034" w14:textId="77777777" w:rsidR="00A67DEF" w:rsidRDefault="00A67DEF" w:rsidP="00A67DEF">
      <w:pPr>
        <w:pStyle w:val="Heading6"/>
        <w:rPr>
          <w:rFonts w:hint="eastAsia"/>
        </w:rPr>
      </w:pPr>
      <w:r>
        <w:t xml:space="preserve">Function and purpose of a bridge entity </w:t>
      </w:r>
    </w:p>
    <w:p w14:paraId="296AD5A1" w14:textId="77777777" w:rsidR="00A67DEF" w:rsidRDefault="00A67DEF" w:rsidP="00A67DEF">
      <w:pPr>
        <w:pStyle w:val="Normalparatextwithnumbers"/>
      </w:pPr>
      <w:r>
        <w:t>The use of a temporary bridge institution would support continuity of CS facility services and financial stability. While the RBA may seek to wind down the business of the bridge institution, this would only occur if a transfer or sale was not possible within a reasonable timeframe and if to do so would be consistent with the objectives of the RBA. Given that the bridge arrangement is temporary, the RBA must complete an exit arrangement as soon as reasonably possible.</w:t>
      </w:r>
    </w:p>
    <w:p w14:paraId="02925A0F" w14:textId="77777777" w:rsidR="00A67DEF" w:rsidRDefault="00A67DEF" w:rsidP="00A67DEF">
      <w:pPr>
        <w:pStyle w:val="Normalparatextwithnumbers"/>
      </w:pPr>
      <w:r>
        <w:t>The RBA will establish terms and conditions under which the bridge entity will operate, including:</w:t>
      </w:r>
    </w:p>
    <w:p w14:paraId="43959963" w14:textId="77777777" w:rsidR="00A67DEF" w:rsidRDefault="00A67DEF" w:rsidP="00A67DEF">
      <w:pPr>
        <w:pStyle w:val="Dotpoint1"/>
      </w:pPr>
      <w:r>
        <w:t xml:space="preserve">its ownership </w:t>
      </w:r>
      <w:proofErr w:type="gramStart"/>
      <w:r>
        <w:t>structure;</w:t>
      </w:r>
      <w:proofErr w:type="gramEnd"/>
      <w:r>
        <w:t xml:space="preserve"> </w:t>
      </w:r>
    </w:p>
    <w:p w14:paraId="5D2A3DB0" w14:textId="77777777" w:rsidR="00A67DEF" w:rsidRDefault="00A67DEF" w:rsidP="00A67DEF">
      <w:pPr>
        <w:pStyle w:val="Dotpoint1"/>
      </w:pPr>
      <w:r>
        <w:t xml:space="preserve">the source of its </w:t>
      </w:r>
      <w:proofErr w:type="gramStart"/>
      <w:r>
        <w:t>capital;</w:t>
      </w:r>
      <w:proofErr w:type="gramEnd"/>
      <w:r>
        <w:t xml:space="preserve"> </w:t>
      </w:r>
    </w:p>
    <w:p w14:paraId="388D67CC" w14:textId="77777777" w:rsidR="00A67DEF" w:rsidRDefault="00A67DEF" w:rsidP="00A67DEF">
      <w:pPr>
        <w:pStyle w:val="Dotpoint1"/>
      </w:pPr>
      <w:r>
        <w:t xml:space="preserve">operational financing and liquidity </w:t>
      </w:r>
      <w:proofErr w:type="gramStart"/>
      <w:r>
        <w:t>support;</w:t>
      </w:r>
      <w:proofErr w:type="gramEnd"/>
      <w:r>
        <w:t xml:space="preserve"> </w:t>
      </w:r>
    </w:p>
    <w:p w14:paraId="23D3D54D" w14:textId="6D63939A" w:rsidR="00A67DEF" w:rsidRDefault="00A67DEF" w:rsidP="00A67DEF">
      <w:pPr>
        <w:pStyle w:val="Dotpoint1"/>
      </w:pPr>
      <w:r>
        <w:t xml:space="preserve">the applicable regulatory requirements, including compliance with licence conditions and the </w:t>
      </w:r>
      <w:r w:rsidR="00F97836">
        <w:t xml:space="preserve">Financial Stability </w:t>
      </w:r>
      <w:proofErr w:type="gramStart"/>
      <w:r w:rsidR="00F97836">
        <w:t>Standard</w:t>
      </w:r>
      <w:r>
        <w:t>;</w:t>
      </w:r>
      <w:proofErr w:type="gramEnd"/>
      <w:r>
        <w:t xml:space="preserve"> </w:t>
      </w:r>
    </w:p>
    <w:p w14:paraId="10AABCCC" w14:textId="77777777" w:rsidR="00A67DEF" w:rsidRDefault="00A67DEF" w:rsidP="00A67DEF">
      <w:pPr>
        <w:pStyle w:val="Dotpoint1"/>
      </w:pPr>
      <w:r>
        <w:t xml:space="preserve">the applicable corporate governance framework; and </w:t>
      </w:r>
    </w:p>
    <w:p w14:paraId="01199F14" w14:textId="77777777" w:rsidR="00A67DEF" w:rsidRDefault="00A67DEF" w:rsidP="00A67DEF">
      <w:pPr>
        <w:pStyle w:val="Dotpoint1"/>
      </w:pPr>
      <w:r>
        <w:t>the process for appointing the directors of the bridge institution and its mandate.</w:t>
      </w:r>
    </w:p>
    <w:p w14:paraId="4EF861E3" w14:textId="4D156490" w:rsidR="00A67DEF" w:rsidRPr="00F31598" w:rsidRDefault="00A67DEF" w:rsidP="00A67DEF">
      <w:pPr>
        <w:pStyle w:val="Normalparatextwithnumbers"/>
        <w:rPr>
          <w:rStyle w:val="References"/>
          <w:b w:val="0"/>
          <w:i w:val="0"/>
        </w:rPr>
      </w:pPr>
      <w:r w:rsidRPr="00F31598">
        <w:t>The RBA may also arrange the sale or wind-down of the bridge institution, or the sale or</w:t>
      </w:r>
      <w:r w:rsidR="00997563">
        <w:t xml:space="preserve"> onward</w:t>
      </w:r>
      <w:r w:rsidRPr="00F31598">
        <w:t xml:space="preserve"> transfer of some or </w:t>
      </w:r>
      <w:proofErr w:type="gramStart"/>
      <w:r w:rsidRPr="00F31598">
        <w:t>all of</w:t>
      </w:r>
      <w:proofErr w:type="gramEnd"/>
      <w:r w:rsidRPr="00F31598">
        <w:t xml:space="preserve"> its assets and liabilities to a third-party, subject to the objectives of resolution. </w:t>
      </w:r>
    </w:p>
    <w:p w14:paraId="77BCF559" w14:textId="77777777" w:rsidR="00EA63FF" w:rsidRDefault="00EA63FF" w:rsidP="00EA63FF">
      <w:pPr>
        <w:pStyle w:val="Heading5"/>
      </w:pPr>
      <w:r>
        <w:t>Legal protections for transfer</w:t>
      </w:r>
    </w:p>
    <w:p w14:paraId="271D5F07" w14:textId="03EDA5CB" w:rsidR="00EA63FF" w:rsidRDefault="00F844A2" w:rsidP="00125C2C">
      <w:pPr>
        <w:pStyle w:val="Normalparatextwithnumbers"/>
      </w:pPr>
      <w:r>
        <w:t>Actions taken under</w:t>
      </w:r>
      <w:r w:rsidR="00EA63FF">
        <w:t xml:space="preserve"> the transfer </w:t>
      </w:r>
      <w:proofErr w:type="gramStart"/>
      <w:r w:rsidR="00EA63FF">
        <w:t xml:space="preserve">provisions </w:t>
      </w:r>
      <w:r w:rsidR="00B16DC7">
        <w:t xml:space="preserve"> </w:t>
      </w:r>
      <w:r w:rsidR="007367A0">
        <w:t>can</w:t>
      </w:r>
      <w:r w:rsidR="00B16DC7">
        <w:t>not</w:t>
      </w:r>
      <w:proofErr w:type="gramEnd"/>
      <w:r w:rsidR="00B16DC7">
        <w:t xml:space="preserve"> </w:t>
      </w:r>
      <w:r w:rsidR="008C40B2">
        <w:t>cause</w:t>
      </w:r>
      <w:r w:rsidR="00EA63FF">
        <w:t xml:space="preserve"> the receiving body, the </w:t>
      </w:r>
      <w:r w:rsidR="00FC69D6">
        <w:t>target</w:t>
      </w:r>
      <w:r w:rsidR="00EA63FF">
        <w:t xml:space="preserve"> body or </w:t>
      </w:r>
      <w:r w:rsidR="00C714AE">
        <w:t xml:space="preserve">any </w:t>
      </w:r>
      <w:r w:rsidR="00EA63FF">
        <w:t>other person in breach of any contract, civil wrong or any law of the Commonwealth or a State or Territory</w:t>
      </w:r>
      <w:r w:rsidR="002A6215">
        <w:t xml:space="preserve"> </w:t>
      </w:r>
      <w:r w:rsidR="002A6215" w:rsidRPr="00350584">
        <w:t xml:space="preserve">or in any contract, deed, </w:t>
      </w:r>
      <w:r w:rsidR="002A6215" w:rsidRPr="00350584">
        <w:lastRenderedPageBreak/>
        <w:t>undertaking, agreement or other instrument</w:t>
      </w:r>
      <w:r w:rsidR="00EA63FF">
        <w:t>.</w:t>
      </w:r>
      <w:r w:rsidR="00350584">
        <w:t xml:space="preserve"> </w:t>
      </w:r>
      <w:r w:rsidR="00B5131E">
        <w:t>Th</w:t>
      </w:r>
      <w:r w:rsidR="002A6215">
        <w:t>e</w:t>
      </w:r>
      <w:r w:rsidR="00B5131E">
        <w:t>s</w:t>
      </w:r>
      <w:r w:rsidR="002A6215">
        <w:t>e overrides</w:t>
      </w:r>
      <w:r w:rsidR="00B5131E">
        <w:t xml:space="preserve"> </w:t>
      </w:r>
      <w:r w:rsidR="002A6215">
        <w:t xml:space="preserve">are intended to </w:t>
      </w:r>
      <w:r w:rsidR="009B3651">
        <w:t xml:space="preserve">ensure timely action to </w:t>
      </w:r>
      <w:r w:rsidR="009B3651" w:rsidRPr="00350584">
        <w:t>address financial stability risks</w:t>
      </w:r>
      <w:r w:rsidR="00F7623C">
        <w:t xml:space="preserve">. </w:t>
      </w:r>
      <w:r w:rsidR="00E5519F">
        <w:br/>
      </w:r>
      <w:r w:rsidR="00E5519F" w:rsidRPr="00E5519F">
        <w:rPr>
          <w:rStyle w:val="References"/>
        </w:rPr>
        <w:t xml:space="preserve">[Schedule </w:t>
      </w:r>
      <w:r w:rsidR="00E2356E">
        <w:rPr>
          <w:rStyle w:val="References"/>
        </w:rPr>
        <w:t>1</w:t>
      </w:r>
      <w:r w:rsidR="00E5519F" w:rsidRPr="00E5519F">
        <w:rPr>
          <w:rStyle w:val="References"/>
        </w:rPr>
        <w:t xml:space="preserve">, item </w:t>
      </w:r>
      <w:r w:rsidR="00C568C9">
        <w:rPr>
          <w:rStyle w:val="References"/>
        </w:rPr>
        <w:t>14</w:t>
      </w:r>
      <w:r w:rsidR="00E5519F" w:rsidRPr="00E5519F">
        <w:rPr>
          <w:rStyle w:val="References"/>
        </w:rPr>
        <w:t xml:space="preserve">, </w:t>
      </w:r>
      <w:r w:rsidR="00674519">
        <w:rPr>
          <w:rStyle w:val="References"/>
        </w:rPr>
        <w:t>sub</w:t>
      </w:r>
      <w:r w:rsidR="00E5519F" w:rsidRPr="00E5519F">
        <w:rPr>
          <w:rStyle w:val="References"/>
        </w:rPr>
        <w:t xml:space="preserve">section </w:t>
      </w:r>
      <w:r w:rsidR="004116E7">
        <w:rPr>
          <w:rStyle w:val="References"/>
        </w:rPr>
        <w:t>83</w:t>
      </w:r>
      <w:r w:rsidR="00FC69D6">
        <w:rPr>
          <w:rStyle w:val="References"/>
        </w:rPr>
        <w:t>9</w:t>
      </w:r>
      <w:proofErr w:type="gramStart"/>
      <w:r w:rsidR="004116E7">
        <w:rPr>
          <w:rStyle w:val="References"/>
        </w:rPr>
        <w:t>J</w:t>
      </w:r>
      <w:r w:rsidR="00674519">
        <w:rPr>
          <w:rStyle w:val="References"/>
        </w:rPr>
        <w:t>(</w:t>
      </w:r>
      <w:proofErr w:type="gramEnd"/>
      <w:r w:rsidR="00674519">
        <w:rPr>
          <w:rStyle w:val="References"/>
        </w:rPr>
        <w:t>1)</w:t>
      </w:r>
      <w:r w:rsidR="004116E7">
        <w:rPr>
          <w:rStyle w:val="References"/>
        </w:rPr>
        <w:t xml:space="preserve"> </w:t>
      </w:r>
      <w:r w:rsidR="00E5519F" w:rsidRPr="00E5519F">
        <w:rPr>
          <w:rStyle w:val="References"/>
        </w:rPr>
        <w:t>of the Act]</w:t>
      </w:r>
    </w:p>
    <w:p w14:paraId="2CD36796" w14:textId="00C48EC9" w:rsidR="00EA63FF" w:rsidRPr="00803E77" w:rsidRDefault="00EA63FF" w:rsidP="00125C2C">
      <w:pPr>
        <w:pStyle w:val="Normalparatextwithnumbers"/>
        <w:rPr>
          <w:rStyle w:val="References"/>
          <w:b w:val="0"/>
          <w:bCs w:val="0"/>
          <w:i w:val="0"/>
          <w:iCs w:val="0"/>
        </w:rPr>
      </w:pPr>
      <w:r>
        <w:t>There a</w:t>
      </w:r>
      <w:r w:rsidR="00997563">
        <w:t>r</w:t>
      </w:r>
      <w:r>
        <w:t xml:space="preserve">e certain legislative exceptions that will need to apply to this immunity, such as not providing protection from a lack of compliance, including under the </w:t>
      </w:r>
      <w:r w:rsidRPr="00621636">
        <w:rPr>
          <w:i/>
        </w:rPr>
        <w:t>Privacy Act</w:t>
      </w:r>
      <w:r w:rsidR="00B47A07" w:rsidRPr="00621636">
        <w:rPr>
          <w:i/>
          <w:iCs/>
        </w:rPr>
        <w:t xml:space="preserve"> 1988</w:t>
      </w:r>
      <w:r>
        <w:t xml:space="preserve">, </w:t>
      </w:r>
      <w:r w:rsidR="00621636">
        <w:t>CCA</w:t>
      </w:r>
      <w:r w:rsidR="00FF46B2">
        <w:t>,</w:t>
      </w:r>
      <w:r>
        <w:t xml:space="preserve"> the </w:t>
      </w:r>
      <w:r w:rsidRPr="00621636">
        <w:rPr>
          <w:i/>
        </w:rPr>
        <w:t>Fair Work Act</w:t>
      </w:r>
      <w:r w:rsidR="003E64DE" w:rsidRPr="00621636">
        <w:rPr>
          <w:i/>
          <w:iCs/>
        </w:rPr>
        <w:t xml:space="preserve"> 2009</w:t>
      </w:r>
      <w:r>
        <w:t xml:space="preserve">, the </w:t>
      </w:r>
      <w:r w:rsidRPr="00621636">
        <w:rPr>
          <w:i/>
        </w:rPr>
        <w:t>Fair Work (Registered Organisations) Act</w:t>
      </w:r>
      <w:r w:rsidR="004E5611" w:rsidRPr="00621636">
        <w:rPr>
          <w:i/>
          <w:iCs/>
        </w:rPr>
        <w:t xml:space="preserve"> 2009</w:t>
      </w:r>
      <w:r>
        <w:t xml:space="preserve">, and the </w:t>
      </w:r>
      <w:r w:rsidRPr="00621636">
        <w:rPr>
          <w:i/>
        </w:rPr>
        <w:t>Fair Work (Transitional Provisions and Consequential Amendments) Act</w:t>
      </w:r>
      <w:r w:rsidR="00D359AC" w:rsidRPr="00621636">
        <w:rPr>
          <w:i/>
          <w:iCs/>
        </w:rPr>
        <w:t xml:space="preserve"> 2009</w:t>
      </w:r>
      <w:r>
        <w:t>. Th</w:t>
      </w:r>
      <w:r w:rsidR="00B86B5B">
        <w:t>is</w:t>
      </w:r>
      <w:r>
        <w:t xml:space="preserve"> </w:t>
      </w:r>
      <w:r w:rsidR="00621636">
        <w:t xml:space="preserve">is consistent with </w:t>
      </w:r>
      <w:r>
        <w:t>the</w:t>
      </w:r>
      <w:r w:rsidR="00621636">
        <w:t xml:space="preserve"> exceptions</w:t>
      </w:r>
      <w:r>
        <w:t xml:space="preserve"> in section 43 of the Transfer Act.</w:t>
      </w:r>
      <w:r w:rsidR="001533BB">
        <w:br/>
      </w:r>
      <w:r w:rsidR="001533BB" w:rsidRPr="001533BB">
        <w:rPr>
          <w:rStyle w:val="References"/>
        </w:rPr>
        <w:t xml:space="preserve">[Schedule </w:t>
      </w:r>
      <w:r w:rsidR="00E773D4">
        <w:rPr>
          <w:rStyle w:val="References"/>
        </w:rPr>
        <w:t>1</w:t>
      </w:r>
      <w:r w:rsidR="001533BB" w:rsidRPr="001533BB">
        <w:rPr>
          <w:rStyle w:val="References"/>
        </w:rPr>
        <w:t xml:space="preserve">, </w:t>
      </w:r>
      <w:r w:rsidR="00C568C9">
        <w:rPr>
          <w:rStyle w:val="References"/>
        </w:rPr>
        <w:t>item 14</w:t>
      </w:r>
      <w:r w:rsidR="001533BB" w:rsidRPr="001533BB">
        <w:rPr>
          <w:rStyle w:val="References"/>
        </w:rPr>
        <w:t xml:space="preserve">, </w:t>
      </w:r>
      <w:r w:rsidR="00674519">
        <w:rPr>
          <w:rStyle w:val="References"/>
        </w:rPr>
        <w:t>sub</w:t>
      </w:r>
      <w:r w:rsidR="001533BB" w:rsidRPr="001533BB">
        <w:rPr>
          <w:rStyle w:val="References"/>
        </w:rPr>
        <w:t xml:space="preserve">section </w:t>
      </w:r>
      <w:r w:rsidR="008B39A2">
        <w:rPr>
          <w:rStyle w:val="References"/>
        </w:rPr>
        <w:t>83</w:t>
      </w:r>
      <w:r w:rsidR="00FC69D6">
        <w:rPr>
          <w:rStyle w:val="References"/>
        </w:rPr>
        <w:t>9</w:t>
      </w:r>
      <w:proofErr w:type="gramStart"/>
      <w:r w:rsidR="008B39A2">
        <w:rPr>
          <w:rStyle w:val="References"/>
        </w:rPr>
        <w:t>J</w:t>
      </w:r>
      <w:r w:rsidR="00674519">
        <w:rPr>
          <w:rStyle w:val="References"/>
        </w:rPr>
        <w:t>(</w:t>
      </w:r>
      <w:proofErr w:type="gramEnd"/>
      <w:r w:rsidR="00674519">
        <w:rPr>
          <w:rStyle w:val="References"/>
        </w:rPr>
        <w:t>2)</w:t>
      </w:r>
      <w:r w:rsidR="008B39A2">
        <w:rPr>
          <w:rStyle w:val="References"/>
        </w:rPr>
        <w:t xml:space="preserve"> </w:t>
      </w:r>
      <w:r w:rsidR="001533BB" w:rsidRPr="001533BB">
        <w:rPr>
          <w:rStyle w:val="References"/>
        </w:rPr>
        <w:t>of the Act]</w:t>
      </w:r>
    </w:p>
    <w:p w14:paraId="5D3595B9" w14:textId="77777777" w:rsidR="00EA63FF" w:rsidRDefault="00EA63FF" w:rsidP="00803E77">
      <w:pPr>
        <w:pStyle w:val="Heading5"/>
      </w:pPr>
      <w:r>
        <w:t>Compensation</w:t>
      </w:r>
    </w:p>
    <w:p w14:paraId="6BBDBCF6" w14:textId="6FD9CB47" w:rsidR="00EA63FF" w:rsidRDefault="00EA63FF" w:rsidP="00125C2C">
      <w:pPr>
        <w:pStyle w:val="Normalparatextwithnumbers"/>
      </w:pPr>
      <w:r>
        <w:t xml:space="preserve">The regime includes arrangements for the acquisition of property so that it is not invalid under the Constitution. If the operation of the RBA’s powers would result in unjustly acquiring property and would be invalid because of paragraph 51(xxxi) of the Constitution, then the person is entitled to reasonable compensation. If the Commonwealth and the person do not agree on the amount of compensation, the person may apply to the Court, where the Court will determine the amount. </w:t>
      </w:r>
      <w:r w:rsidR="00A92F10">
        <w:br/>
      </w:r>
      <w:r w:rsidR="00A92F10" w:rsidRPr="00A92F10">
        <w:rPr>
          <w:rStyle w:val="References"/>
        </w:rPr>
        <w:t xml:space="preserve">[Schedule </w:t>
      </w:r>
      <w:r w:rsidR="00E773D4">
        <w:rPr>
          <w:rStyle w:val="References"/>
        </w:rPr>
        <w:t>1</w:t>
      </w:r>
      <w:r w:rsidR="00A92F10" w:rsidRPr="00A92F10">
        <w:rPr>
          <w:rStyle w:val="References"/>
        </w:rPr>
        <w:t xml:space="preserve">, item </w:t>
      </w:r>
      <w:r w:rsidR="00C568C9">
        <w:rPr>
          <w:rStyle w:val="References"/>
        </w:rPr>
        <w:t>14</w:t>
      </w:r>
      <w:r w:rsidR="00A92F10" w:rsidRPr="00A92F10">
        <w:rPr>
          <w:rStyle w:val="References"/>
        </w:rPr>
        <w:t>, section</w:t>
      </w:r>
      <w:r w:rsidR="00A92F10">
        <w:rPr>
          <w:rStyle w:val="References"/>
        </w:rPr>
        <w:t xml:space="preserve"> </w:t>
      </w:r>
      <w:r w:rsidR="00FC69D6">
        <w:rPr>
          <w:rStyle w:val="References"/>
        </w:rPr>
        <w:t xml:space="preserve">839G </w:t>
      </w:r>
      <w:r w:rsidR="00A92F10" w:rsidRPr="00A92F10">
        <w:rPr>
          <w:rStyle w:val="References"/>
        </w:rPr>
        <w:t>of the Act]</w:t>
      </w:r>
    </w:p>
    <w:p w14:paraId="690712A4" w14:textId="77777777" w:rsidR="00EA63FF" w:rsidRDefault="00EA63FF" w:rsidP="00125C2C">
      <w:pPr>
        <w:pStyle w:val="Normalparatextwithnumbers"/>
      </w:pPr>
      <w:r>
        <w:t>The purpose of having explicit compensation arrangements built in is to facilitate the RBA effectively executing any powers involving the acquisition of property and avoid delays resulting from a challenge to the constitutional validity of the RBA’s actions.</w:t>
      </w:r>
    </w:p>
    <w:p w14:paraId="1DB83BFD" w14:textId="63A6623A" w:rsidR="004021BE" w:rsidRDefault="004021BE" w:rsidP="004021BE">
      <w:pPr>
        <w:pStyle w:val="Heading5"/>
      </w:pPr>
      <w:r>
        <w:t xml:space="preserve">Power to make </w:t>
      </w:r>
      <w:proofErr w:type="gramStart"/>
      <w:r>
        <w:t>rules</w:t>
      </w:r>
      <w:proofErr w:type="gramEnd"/>
      <w:r>
        <w:t xml:space="preserve"> </w:t>
      </w:r>
    </w:p>
    <w:p w14:paraId="2B18D9F6" w14:textId="56F570B3" w:rsidR="004021BE" w:rsidRDefault="004021BE" w:rsidP="00125C2C">
      <w:pPr>
        <w:pStyle w:val="Normalparatextwithnumbers"/>
      </w:pPr>
      <w:r>
        <w:t xml:space="preserve">The RBA may make rules in relation to transferring a body corporate which may include: </w:t>
      </w:r>
    </w:p>
    <w:p w14:paraId="3B841BF2" w14:textId="65BECFFC" w:rsidR="004021BE" w:rsidRDefault="004021BE" w:rsidP="004021BE">
      <w:pPr>
        <w:pStyle w:val="Dotpoint1"/>
      </w:pPr>
      <w:r>
        <w:t xml:space="preserve">the purchase price and payment of </w:t>
      </w:r>
      <w:proofErr w:type="gramStart"/>
      <w:r>
        <w:t>shares;</w:t>
      </w:r>
      <w:proofErr w:type="gramEnd"/>
      <w:r>
        <w:t xml:space="preserve"> </w:t>
      </w:r>
    </w:p>
    <w:p w14:paraId="0AAC25E5" w14:textId="77777777" w:rsidR="004021BE" w:rsidRDefault="004021BE" w:rsidP="004021BE">
      <w:pPr>
        <w:pStyle w:val="Dotpoint1"/>
      </w:pPr>
      <w:r>
        <w:t xml:space="preserve">dispute </w:t>
      </w:r>
      <w:proofErr w:type="gramStart"/>
      <w:r>
        <w:t>resolution;</w:t>
      </w:r>
      <w:proofErr w:type="gramEnd"/>
      <w:r>
        <w:t xml:space="preserve"> </w:t>
      </w:r>
    </w:p>
    <w:p w14:paraId="7B23F6B4" w14:textId="77777777" w:rsidR="004021BE" w:rsidRDefault="004021BE" w:rsidP="004021BE">
      <w:pPr>
        <w:pStyle w:val="Dotpoint1"/>
      </w:pPr>
      <w:r>
        <w:t xml:space="preserve">publication of </w:t>
      </w:r>
      <w:proofErr w:type="gramStart"/>
      <w:r>
        <w:t>information;</w:t>
      </w:r>
      <w:proofErr w:type="gramEnd"/>
      <w:r>
        <w:t xml:space="preserve"> </w:t>
      </w:r>
    </w:p>
    <w:p w14:paraId="6BDB9621" w14:textId="77777777" w:rsidR="004021BE" w:rsidRDefault="004021BE" w:rsidP="004021BE">
      <w:pPr>
        <w:pStyle w:val="Dotpoint1"/>
      </w:pPr>
      <w:r>
        <w:t xml:space="preserve">freeing of shares from any trust or other encumbrance; or </w:t>
      </w:r>
    </w:p>
    <w:p w14:paraId="44488AF1" w14:textId="3041EBF9" w:rsidR="004021BE" w:rsidRDefault="004021BE" w:rsidP="004021BE">
      <w:pPr>
        <w:pStyle w:val="Dotpoint1"/>
      </w:pPr>
      <w:r>
        <w:t>any other incidental matter to the transfer of shares</w:t>
      </w:r>
      <w:r w:rsidR="00E424C1">
        <w:t xml:space="preserve"> or business</w:t>
      </w:r>
      <w:r>
        <w:t xml:space="preserve">. </w:t>
      </w:r>
      <w:r w:rsidR="000C7807">
        <w:br/>
      </w:r>
      <w:r w:rsidR="000C7807" w:rsidRPr="000C7807">
        <w:rPr>
          <w:rStyle w:val="References"/>
        </w:rPr>
        <w:t xml:space="preserve">[Schedule </w:t>
      </w:r>
      <w:r w:rsidR="00E773D4">
        <w:rPr>
          <w:rStyle w:val="References"/>
        </w:rPr>
        <w:t>1</w:t>
      </w:r>
      <w:r w:rsidR="000C7807" w:rsidRPr="000C7807">
        <w:rPr>
          <w:rStyle w:val="References"/>
        </w:rPr>
        <w:t xml:space="preserve">, </w:t>
      </w:r>
      <w:r w:rsidR="00C568C9">
        <w:rPr>
          <w:rStyle w:val="References"/>
        </w:rPr>
        <w:t>item 14</w:t>
      </w:r>
      <w:r w:rsidR="000C7807" w:rsidRPr="000C7807">
        <w:rPr>
          <w:rStyle w:val="References"/>
        </w:rPr>
        <w:t xml:space="preserve">, section </w:t>
      </w:r>
      <w:r w:rsidR="00FD6A08">
        <w:rPr>
          <w:rStyle w:val="References"/>
        </w:rPr>
        <w:t>83</w:t>
      </w:r>
      <w:r w:rsidR="00DA6602">
        <w:rPr>
          <w:rStyle w:val="References"/>
        </w:rPr>
        <w:t>9</w:t>
      </w:r>
      <w:r w:rsidR="00FD6A08">
        <w:rPr>
          <w:rStyle w:val="References"/>
        </w:rPr>
        <w:t xml:space="preserve">K </w:t>
      </w:r>
      <w:r w:rsidR="000C7807" w:rsidRPr="000C7807">
        <w:rPr>
          <w:rStyle w:val="References"/>
        </w:rPr>
        <w:t>of the Act]</w:t>
      </w:r>
    </w:p>
    <w:p w14:paraId="011332A0" w14:textId="3DC0ABAF" w:rsidR="004021BE" w:rsidRPr="004021BE" w:rsidRDefault="004021BE" w:rsidP="00125C2C">
      <w:pPr>
        <w:pStyle w:val="Normalparatextwithnumbers"/>
      </w:pPr>
      <w:r>
        <w:t xml:space="preserve">The ability for the RBA to make rules in respect of a transfer of shares </w:t>
      </w:r>
      <w:r w:rsidR="00E424C1">
        <w:t xml:space="preserve">or business </w:t>
      </w:r>
      <w:r>
        <w:t xml:space="preserve">reflects the need for flexibility whilst in a crisis. Given the RBA will be dealing with the body corporates directly, the RBA will have the most relevant </w:t>
      </w:r>
      <w:r w:rsidR="000C7807">
        <w:t xml:space="preserve">and timely </w:t>
      </w:r>
      <w:r>
        <w:t xml:space="preserve">information </w:t>
      </w:r>
      <w:r w:rsidR="000C7807">
        <w:t xml:space="preserve">to make rules that supplement the transfer process. </w:t>
      </w:r>
    </w:p>
    <w:p w14:paraId="142FA74D" w14:textId="67DCF440" w:rsidR="00EA63FF" w:rsidRDefault="00EA63FF" w:rsidP="00EA63FF">
      <w:pPr>
        <w:pStyle w:val="Heading3"/>
        <w:rPr>
          <w:rFonts w:hint="eastAsia"/>
        </w:rPr>
      </w:pPr>
      <w:bookmarkStart w:id="62" w:name="_Toc152860450"/>
      <w:r>
        <w:lastRenderedPageBreak/>
        <w:t>Stays and moratorium</w:t>
      </w:r>
      <w:r w:rsidR="00C50B4E">
        <w:t xml:space="preserve"> </w:t>
      </w:r>
      <w:proofErr w:type="gramStart"/>
      <w:r w:rsidR="00C50B4E">
        <w:t>provision</w:t>
      </w:r>
      <w:r>
        <w:t>s</w:t>
      </w:r>
      <w:bookmarkEnd w:id="62"/>
      <w:proofErr w:type="gramEnd"/>
    </w:p>
    <w:p w14:paraId="1655830B" w14:textId="77777777" w:rsidR="000408D5" w:rsidRDefault="000408D5" w:rsidP="00580B25">
      <w:pPr>
        <w:pStyle w:val="Normalparatextwithnumbers"/>
      </w:pPr>
      <w:r>
        <w:t xml:space="preserve">An important feature to allow effective resolution is to prevent counterparties from denying an obligation, accelerating debt, closing a transaction or enforcing security under a contract with a licensee or body corporate when the RBA has exercised a resolution power. </w:t>
      </w:r>
    </w:p>
    <w:p w14:paraId="73D73BF7" w14:textId="5DE71537" w:rsidR="00580B25" w:rsidRDefault="000408D5" w:rsidP="00234D68">
      <w:pPr>
        <w:pStyle w:val="Normalparatextwithnumbers"/>
      </w:pPr>
      <w:r>
        <w:t>An ‘</w:t>
      </w:r>
      <w:r w:rsidRPr="001C73CB">
        <w:t>ipso facto</w:t>
      </w:r>
      <w:r>
        <w:t>’</w:t>
      </w:r>
      <w:r w:rsidRPr="001C73CB">
        <w:t xml:space="preserve"> </w:t>
      </w:r>
      <w:r>
        <w:t xml:space="preserve">clause allows one party to terminate </w:t>
      </w:r>
      <w:r w:rsidRPr="001C73CB">
        <w:t>or modify the operation of a contract upon the occurrence of some specific event</w:t>
      </w:r>
      <w:r>
        <w:t>,</w:t>
      </w:r>
      <w:r w:rsidRPr="000408D5">
        <w:t xml:space="preserve"> regardless of otherwise continued performance of the counterparty</w:t>
      </w:r>
      <w:r w:rsidRPr="001C73CB">
        <w:t>.</w:t>
      </w:r>
      <w:r>
        <w:t xml:space="preserve"> </w:t>
      </w:r>
      <w:r w:rsidRPr="001C73CB">
        <w:t>The</w:t>
      </w:r>
      <w:r>
        <w:t xml:space="preserve">se </w:t>
      </w:r>
      <w:r w:rsidRPr="001C73CB">
        <w:t xml:space="preserve">ipso facto provisions </w:t>
      </w:r>
      <w:r>
        <w:t xml:space="preserve">have the effect of </w:t>
      </w:r>
      <w:r w:rsidRPr="001C73CB">
        <w:t>reduc</w:t>
      </w:r>
      <w:r>
        <w:t xml:space="preserve">ing </w:t>
      </w:r>
      <w:r w:rsidRPr="001C73CB">
        <w:t xml:space="preserve">the </w:t>
      </w:r>
      <w:r>
        <w:t>effectiveness of</w:t>
      </w:r>
      <w:r w:rsidRPr="001C73CB">
        <w:t xml:space="preserve"> successful </w:t>
      </w:r>
      <w:r>
        <w:t xml:space="preserve">resolution. The stay provisions ensure that </w:t>
      </w:r>
      <w:r w:rsidR="00580B25">
        <w:t>vital contracts remain in place</w:t>
      </w:r>
      <w:r w:rsidR="00711107">
        <w:t xml:space="preserve"> and is intended to mitigate the risk of </w:t>
      </w:r>
      <w:r w:rsidR="00580B25">
        <w:t>pre</w:t>
      </w:r>
      <w:r w:rsidR="00580B25">
        <w:noBreakHyphen/>
        <w:t>emptive actions by counterparties imped</w:t>
      </w:r>
      <w:r w:rsidR="00711107">
        <w:t>ing</w:t>
      </w:r>
      <w:r w:rsidR="00580B25">
        <w:t xml:space="preserve"> the ability of the RBA to implement an orderly resolution or the ability of the CS facility or related body corporate to continue to operate.</w:t>
      </w:r>
      <w:r w:rsidR="00580B25" w:rsidRPr="00580B25">
        <w:t xml:space="preserve"> </w:t>
      </w:r>
    </w:p>
    <w:p w14:paraId="2B25872B" w14:textId="60774F62" w:rsidR="00EA63FF" w:rsidRDefault="00EA63FF" w:rsidP="00125C2C">
      <w:pPr>
        <w:pStyle w:val="Normalparatextwithnumbers"/>
      </w:pPr>
      <w:r>
        <w:t xml:space="preserve">Similarly, the </w:t>
      </w:r>
      <w:r w:rsidR="00580B25">
        <w:t xml:space="preserve">RBA exercising resolution powers </w:t>
      </w:r>
      <w:r w:rsidR="009922E2">
        <w:t>c</w:t>
      </w:r>
      <w:r>
        <w:t xml:space="preserve">ould </w:t>
      </w:r>
      <w:r w:rsidR="00580B25">
        <w:t xml:space="preserve">result in </w:t>
      </w:r>
      <w:r w:rsidRPr="00711993">
        <w:t xml:space="preserve">enforcement </w:t>
      </w:r>
      <w:r w:rsidR="000408D5">
        <w:t xml:space="preserve">procedures </w:t>
      </w:r>
      <w:r w:rsidRPr="00711993">
        <w:t xml:space="preserve">that have the potential to </w:t>
      </w:r>
      <w:r>
        <w:t xml:space="preserve">interfere </w:t>
      </w:r>
      <w:r w:rsidRPr="00711993">
        <w:t xml:space="preserve">the orderly resolution of </w:t>
      </w:r>
      <w:r>
        <w:t>a body corporate</w:t>
      </w:r>
      <w:r w:rsidRPr="00711993">
        <w:t xml:space="preserve">. </w:t>
      </w:r>
      <w:r>
        <w:t xml:space="preserve">Therefore, moratorium provisions apply to </w:t>
      </w:r>
      <w:r w:rsidR="002B1B68">
        <w:t xml:space="preserve">suspend the enforcement of certain rights </w:t>
      </w:r>
      <w:r>
        <w:t xml:space="preserve">to facilitate timely </w:t>
      </w:r>
      <w:r w:rsidRPr="00711993">
        <w:t>assess</w:t>
      </w:r>
      <w:r>
        <w:t>ment of</w:t>
      </w:r>
      <w:r w:rsidRPr="00711993">
        <w:t xml:space="preserve"> the financial and operational position of the </w:t>
      </w:r>
      <w:r>
        <w:t>entity</w:t>
      </w:r>
      <w:r w:rsidRPr="00711993">
        <w:t xml:space="preserve"> for administration </w:t>
      </w:r>
      <w:r>
        <w:t xml:space="preserve">purposes </w:t>
      </w:r>
      <w:r w:rsidRPr="00711993">
        <w:t>and any resolution action.</w:t>
      </w:r>
    </w:p>
    <w:p w14:paraId="4D17D910" w14:textId="29B4D366" w:rsidR="00EA63FF" w:rsidRDefault="00EA63FF" w:rsidP="00EA63FF">
      <w:pPr>
        <w:pStyle w:val="Heading4"/>
        <w:numPr>
          <w:ilvl w:val="0"/>
          <w:numId w:val="0"/>
        </w:numPr>
      </w:pPr>
      <w:r>
        <w:t>Moratorium</w:t>
      </w:r>
      <w:r w:rsidR="00C12709">
        <w:t xml:space="preserve"> provision</w:t>
      </w:r>
      <w:r>
        <w:t xml:space="preserve">s </w:t>
      </w:r>
    </w:p>
    <w:p w14:paraId="26EF1EFE" w14:textId="1EBB7AE9" w:rsidR="00EA63FF" w:rsidRDefault="00EA63FF" w:rsidP="00125C2C">
      <w:pPr>
        <w:pStyle w:val="Normalparatextwithnumbers"/>
      </w:pPr>
      <w:r>
        <w:t>The moratorium provisions will apply at the time a transfer is in effect or statutory manager or the RBA is in control. The moratorium operates to prevent a person from beginning or continuing certain litigation and enforcement actions against a body corporate</w:t>
      </w:r>
      <w:r w:rsidR="000C096E">
        <w:t xml:space="preserve"> to</w:t>
      </w:r>
      <w:r>
        <w:t xml:space="preserve"> facilitate effective resolution. </w:t>
      </w:r>
    </w:p>
    <w:p w14:paraId="3E84CA7E" w14:textId="44072958" w:rsidR="00EA63FF" w:rsidRDefault="00C50B4E" w:rsidP="00125C2C">
      <w:pPr>
        <w:pStyle w:val="Normalparatextwithnumbers"/>
      </w:pPr>
      <w:r>
        <w:t>The m</w:t>
      </w:r>
      <w:r w:rsidR="00E30899">
        <w:t xml:space="preserve">oratorium </w:t>
      </w:r>
      <w:r>
        <w:t xml:space="preserve">provisions </w:t>
      </w:r>
      <w:r w:rsidR="00E30899">
        <w:t>do not apply to payments and property transfers to the CS facility which has the effect of protecting the enforcement of eligible netting and collateral arrangements provided by the PSN Act. This includes approved real</w:t>
      </w:r>
      <w:r w:rsidR="00E30899">
        <w:noBreakHyphen/>
        <w:t>time gross settlement systems, approved netting arrangements, close</w:t>
      </w:r>
      <w:r w:rsidR="00E30899">
        <w:noBreakHyphen/>
        <w:t>out netting contracts and market-netting contracts that will be unimpacted by the moratorium</w:t>
      </w:r>
      <w:r>
        <w:t xml:space="preserve"> provisions</w:t>
      </w:r>
      <w:r w:rsidR="00E30899">
        <w:t xml:space="preserve">, aside from the prohibition on beginning or continuing court or tribunal proceedings. </w:t>
      </w:r>
      <w:r w:rsidR="0069406A" w:rsidRPr="0069406A">
        <w:t>This is intended to ensure that current protections under the PSN Act are retained and the rights of counterparties to close-out netting contracts are clear.</w:t>
      </w:r>
    </w:p>
    <w:p w14:paraId="388553A2" w14:textId="5BD6C57F" w:rsidR="00FC1364" w:rsidRDefault="00BE04B6" w:rsidP="00761820">
      <w:pPr>
        <w:pStyle w:val="Heading5"/>
      </w:pPr>
      <w:r>
        <w:t xml:space="preserve">Application of </w:t>
      </w:r>
      <w:r w:rsidR="00FC1364">
        <w:t>moratorium</w:t>
      </w:r>
      <w:r w:rsidR="00990D8E">
        <w:t xml:space="preserve"> </w:t>
      </w:r>
      <w:r w:rsidR="00C50B4E">
        <w:t>provisions</w:t>
      </w:r>
    </w:p>
    <w:p w14:paraId="6DE635DB" w14:textId="34996112" w:rsidR="00FC1364" w:rsidRDefault="00FC1364" w:rsidP="00125C2C">
      <w:pPr>
        <w:pStyle w:val="Normalparatextwithnumbers"/>
      </w:pPr>
      <w:bookmarkStart w:id="63" w:name="_Ref152347916"/>
      <w:r>
        <w:t>The moratorium</w:t>
      </w:r>
      <w:r w:rsidR="00C50B4E">
        <w:t xml:space="preserve"> provisions</w:t>
      </w:r>
      <w:r>
        <w:t xml:space="preserve"> will commence at the </w:t>
      </w:r>
      <w:r w:rsidR="0077742E">
        <w:t xml:space="preserve">earlier </w:t>
      </w:r>
      <w:r w:rsidR="006D7DD4">
        <w:t xml:space="preserve">of the </w:t>
      </w:r>
      <w:r>
        <w:t xml:space="preserve">time of a statutory manager being appointed or </w:t>
      </w:r>
      <w:r w:rsidR="006D7DD4">
        <w:t xml:space="preserve">when </w:t>
      </w:r>
      <w:r>
        <w:t>a transfer determination is made</w:t>
      </w:r>
      <w:r w:rsidR="006D7DD4">
        <w:t>. The moratorium</w:t>
      </w:r>
      <w:r>
        <w:t xml:space="preserve"> </w:t>
      </w:r>
      <w:r w:rsidR="00C50B4E">
        <w:t xml:space="preserve">provisions </w:t>
      </w:r>
      <w:r>
        <w:t>will end when</w:t>
      </w:r>
      <w:r w:rsidR="00552092">
        <w:t xml:space="preserve"> one of the </w:t>
      </w:r>
      <w:r w:rsidR="008E07D4">
        <w:t xml:space="preserve">relevant </w:t>
      </w:r>
      <w:r w:rsidR="00552092">
        <w:t>events occurs</w:t>
      </w:r>
      <w:r w:rsidR="005D3958">
        <w:t>:</w:t>
      </w:r>
      <w:bookmarkEnd w:id="63"/>
    </w:p>
    <w:p w14:paraId="33AD01C1" w14:textId="0410C9F7" w:rsidR="00FC1364" w:rsidRDefault="00FC1364" w:rsidP="00FC1364">
      <w:pPr>
        <w:pStyle w:val="Dotpoint1"/>
      </w:pPr>
      <w:r>
        <w:t xml:space="preserve">all statutory manager appointments are terminated by the </w:t>
      </w:r>
      <w:proofErr w:type="gramStart"/>
      <w:r>
        <w:t>RB</w:t>
      </w:r>
      <w:r w:rsidR="008E07D4">
        <w:t>A</w:t>
      </w:r>
      <w:r>
        <w:t>;</w:t>
      </w:r>
      <w:proofErr w:type="gramEnd"/>
    </w:p>
    <w:p w14:paraId="0F2911DF" w14:textId="4997BC61" w:rsidR="00FC1364" w:rsidRDefault="00FC1364" w:rsidP="00FC1364">
      <w:pPr>
        <w:pStyle w:val="Dotpoint1"/>
      </w:pPr>
      <w:r>
        <w:lastRenderedPageBreak/>
        <w:t>the RBA issues a Certificate of Transfer</w:t>
      </w:r>
      <w:r w:rsidR="008E07D4">
        <w:t xml:space="preserve"> or determines the transfer should not proceed</w:t>
      </w:r>
      <w:r>
        <w:t xml:space="preserve">; </w:t>
      </w:r>
      <w:r w:rsidR="005D3958">
        <w:t>or</w:t>
      </w:r>
    </w:p>
    <w:p w14:paraId="359F59CD" w14:textId="0E2E39C9" w:rsidR="00FC1364" w:rsidRDefault="008E07D4" w:rsidP="00FC1364">
      <w:pPr>
        <w:pStyle w:val="Dotpoint1"/>
      </w:pPr>
      <w:r>
        <w:t xml:space="preserve">if at least </w:t>
      </w:r>
      <w:r w:rsidR="00FC1364">
        <w:t>one statutory manager</w:t>
      </w:r>
      <w:r>
        <w:t xml:space="preserve"> </w:t>
      </w:r>
      <w:r w:rsidR="00FC1364">
        <w:t>ha</w:t>
      </w:r>
      <w:r>
        <w:t>s</w:t>
      </w:r>
      <w:r w:rsidR="00FC1364">
        <w:t xml:space="preserve"> been appointed and a transfer determination has been made </w:t>
      </w:r>
      <w:r w:rsidR="000C096E">
        <w:t>–</w:t>
      </w:r>
      <w:r>
        <w:t xml:space="preserve"> </w:t>
      </w:r>
      <w:r w:rsidR="00FC1364">
        <w:t xml:space="preserve">the later of: </w:t>
      </w:r>
    </w:p>
    <w:p w14:paraId="3D44D362" w14:textId="77777777" w:rsidR="00FC1364" w:rsidRDefault="00FC1364" w:rsidP="006F7C7E">
      <w:pPr>
        <w:pStyle w:val="dotpoint2"/>
        <w:numPr>
          <w:ilvl w:val="0"/>
          <w:numId w:val="0"/>
        </w:numPr>
        <w:ind w:left="2127"/>
      </w:pPr>
      <w:r>
        <w:t>(</w:t>
      </w:r>
      <w:proofErr w:type="spellStart"/>
      <w:r>
        <w:t>i</w:t>
      </w:r>
      <w:proofErr w:type="spellEnd"/>
      <w:r>
        <w:t xml:space="preserve">) the appointment of all statutory managers being terminated by the RBA; and </w:t>
      </w:r>
    </w:p>
    <w:p w14:paraId="6C6050E0" w14:textId="39A9371B" w:rsidR="00CC42EB" w:rsidRPr="008154CD" w:rsidRDefault="00FC1364" w:rsidP="006F7C7E">
      <w:pPr>
        <w:pStyle w:val="dotpoint2"/>
        <w:numPr>
          <w:ilvl w:val="0"/>
          <w:numId w:val="0"/>
        </w:numPr>
        <w:ind w:left="2127"/>
        <w:rPr>
          <w:rStyle w:val="References"/>
        </w:rPr>
      </w:pPr>
      <w:r>
        <w:t xml:space="preserve">(ii) the RBA issuing a Certificate of Transfer or the RBA determining that the transfer should not </w:t>
      </w:r>
      <w:r w:rsidR="000C096E">
        <w:t>proceed</w:t>
      </w:r>
      <w:r>
        <w:t xml:space="preserve">. </w:t>
      </w:r>
      <w:r w:rsidR="001C4A87">
        <w:br/>
      </w:r>
      <w:r w:rsidR="00CC42EB" w:rsidRPr="001C4A87">
        <w:rPr>
          <w:rStyle w:val="References"/>
          <w:bCs w:val="0"/>
          <w:iCs w:val="0"/>
        </w:rPr>
        <w:t xml:space="preserve">[Schedule </w:t>
      </w:r>
      <w:r w:rsidR="00E773D4">
        <w:rPr>
          <w:rStyle w:val="References"/>
          <w:bCs w:val="0"/>
          <w:iCs w:val="0"/>
        </w:rPr>
        <w:t>1</w:t>
      </w:r>
      <w:r w:rsidR="00CC42EB" w:rsidRPr="001C4A87">
        <w:rPr>
          <w:rStyle w:val="References"/>
          <w:bCs w:val="0"/>
          <w:iCs w:val="0"/>
        </w:rPr>
        <w:t xml:space="preserve">, </w:t>
      </w:r>
      <w:r w:rsidR="00C568C9">
        <w:rPr>
          <w:rStyle w:val="References"/>
          <w:bCs w:val="0"/>
          <w:iCs w:val="0"/>
        </w:rPr>
        <w:t>item 14</w:t>
      </w:r>
      <w:r w:rsidR="00990D8E">
        <w:rPr>
          <w:rStyle w:val="References"/>
        </w:rPr>
        <w:t xml:space="preserve">, </w:t>
      </w:r>
      <w:r w:rsidR="00CC42EB" w:rsidRPr="00EC2B4D">
        <w:rPr>
          <w:rStyle w:val="References"/>
        </w:rPr>
        <w:t xml:space="preserve">section </w:t>
      </w:r>
      <w:r w:rsidR="00990D8E">
        <w:rPr>
          <w:rStyle w:val="References"/>
        </w:rPr>
        <w:t>840A</w:t>
      </w:r>
      <w:r w:rsidR="008154CD" w:rsidRPr="008154CD">
        <w:rPr>
          <w:rStyle w:val="References"/>
        </w:rPr>
        <w:t xml:space="preserve"> of the Act</w:t>
      </w:r>
      <w:r w:rsidR="00CC42EB" w:rsidRPr="00E96280">
        <w:rPr>
          <w:rStyle w:val="References"/>
        </w:rPr>
        <w:t>]</w:t>
      </w:r>
    </w:p>
    <w:p w14:paraId="075923E9" w14:textId="1F3B565B" w:rsidR="00EA63FF" w:rsidRPr="00795F7E" w:rsidRDefault="00BE04B6" w:rsidP="00761820">
      <w:pPr>
        <w:pStyle w:val="Heading5"/>
      </w:pPr>
      <w:r>
        <w:t>E</w:t>
      </w:r>
      <w:r w:rsidR="00EA63FF">
        <w:t xml:space="preserve">ffect of </w:t>
      </w:r>
      <w:r w:rsidR="00C50B4E">
        <w:t xml:space="preserve">the </w:t>
      </w:r>
      <w:r w:rsidR="00EA63FF" w:rsidRPr="00795F7E">
        <w:t>moratorium</w:t>
      </w:r>
      <w:r w:rsidR="00C50B4E">
        <w:t xml:space="preserve"> provisions</w:t>
      </w:r>
    </w:p>
    <w:p w14:paraId="01C356D9" w14:textId="7B2DB37F" w:rsidR="00EA63FF" w:rsidRDefault="00EA63FF" w:rsidP="00125C2C">
      <w:pPr>
        <w:pStyle w:val="Normalparatextwithnumbers"/>
      </w:pPr>
      <w:r>
        <w:t xml:space="preserve">The moratorium provisions apply to creditors and other </w:t>
      </w:r>
      <w:r w:rsidR="00DD23D1">
        <w:t xml:space="preserve">third </w:t>
      </w:r>
      <w:r>
        <w:t xml:space="preserve">parties that have rights </w:t>
      </w:r>
      <w:r w:rsidR="000C096E">
        <w:t xml:space="preserve">or property </w:t>
      </w:r>
      <w:r>
        <w:t xml:space="preserve">in relation to the body corporate in resolution. </w:t>
      </w:r>
      <w:r w:rsidR="00D50D58">
        <w:t>These t</w:t>
      </w:r>
      <w:r w:rsidR="000C096E">
        <w:t xml:space="preserve">hird parties are prohibited from doing any of the </w:t>
      </w:r>
      <w:r>
        <w:t>following actions unless the RBA</w:t>
      </w:r>
      <w:r w:rsidR="00DD23D1">
        <w:t xml:space="preserve"> or statutory manager</w:t>
      </w:r>
      <w:r>
        <w:t xml:space="preserve"> provides written consent or with leave of the Court:</w:t>
      </w:r>
    </w:p>
    <w:p w14:paraId="2570DEFA" w14:textId="77777777" w:rsidR="009B59CF" w:rsidRDefault="00EA63FF" w:rsidP="009B59CF">
      <w:pPr>
        <w:pStyle w:val="Dotpoint1"/>
      </w:pPr>
      <w:r>
        <w:t xml:space="preserve">exercising third party rights including claiming, recovering or taking possession of any property that the body corporate uses, possesses or occupies by a secured party, lessor or </w:t>
      </w:r>
      <w:proofErr w:type="gramStart"/>
      <w:r>
        <w:t>owner</w:t>
      </w:r>
      <w:r w:rsidR="009B59CF">
        <w:t>;</w:t>
      </w:r>
      <w:proofErr w:type="gramEnd"/>
      <w:r w:rsidR="009B59CF">
        <w:t xml:space="preserve"> </w:t>
      </w:r>
    </w:p>
    <w:p w14:paraId="14CF773D" w14:textId="000C1D73" w:rsidR="001368B9" w:rsidRDefault="009B59CF" w:rsidP="001368B9">
      <w:pPr>
        <w:pStyle w:val="Dotpoint1"/>
      </w:pPr>
      <w:r>
        <w:t>beginning or continuing a court or tribunal proceeding in relation to the body corporate or its property (including if the body corporate is in the process of being wound up or a referral of a dispute to an arbitrator)</w:t>
      </w:r>
      <w:r w:rsidR="001368B9">
        <w:t>; or</w:t>
      </w:r>
    </w:p>
    <w:p w14:paraId="5F5217F0" w14:textId="20BA67CB" w:rsidR="00CB67E7" w:rsidRPr="00EC4382" w:rsidRDefault="001368B9" w:rsidP="008B7ACF">
      <w:pPr>
        <w:pStyle w:val="Dotpoint1"/>
        <w:rPr>
          <w:rStyle w:val="References"/>
          <w:b w:val="0"/>
          <w:i w:val="0"/>
        </w:rPr>
      </w:pPr>
      <w:r>
        <w:t>enforcing or disposing any security that may be attached to any property that the body corporate owns, uses, possesses, occupies or otherwise has any interest in.</w:t>
      </w:r>
      <w:r w:rsidR="00EA63FF">
        <w:br/>
      </w:r>
      <w:r w:rsidR="00EA63FF" w:rsidRPr="00121C08">
        <w:rPr>
          <w:rStyle w:val="References"/>
        </w:rPr>
        <w:t>[</w:t>
      </w:r>
      <w:r w:rsidR="00EA63FF">
        <w:rPr>
          <w:rStyle w:val="References"/>
        </w:rPr>
        <w:t xml:space="preserve">Schedule </w:t>
      </w:r>
      <w:r w:rsidR="00320AEF">
        <w:rPr>
          <w:rStyle w:val="References"/>
        </w:rPr>
        <w:t>1</w:t>
      </w:r>
      <w:r w:rsidR="00EA63FF" w:rsidRPr="00121C08">
        <w:rPr>
          <w:rStyle w:val="References"/>
        </w:rPr>
        <w:t xml:space="preserve">, </w:t>
      </w:r>
      <w:r w:rsidR="00C568C9">
        <w:rPr>
          <w:rStyle w:val="References"/>
        </w:rPr>
        <w:t>item 14</w:t>
      </w:r>
      <w:r w:rsidR="00E34A10" w:rsidRPr="00121C08">
        <w:rPr>
          <w:rStyle w:val="References"/>
        </w:rPr>
        <w:t xml:space="preserve">, </w:t>
      </w:r>
      <w:r w:rsidR="00EA63FF" w:rsidRPr="00121C08">
        <w:rPr>
          <w:rStyle w:val="References"/>
        </w:rPr>
        <w:t>section</w:t>
      </w:r>
      <w:r w:rsidR="009B59CF">
        <w:rPr>
          <w:rStyle w:val="References"/>
        </w:rPr>
        <w:t>s</w:t>
      </w:r>
      <w:r w:rsidR="00EA63FF" w:rsidRPr="00121C08">
        <w:rPr>
          <w:rStyle w:val="References"/>
        </w:rPr>
        <w:t xml:space="preserve"> </w:t>
      </w:r>
      <w:r w:rsidR="00990D8E">
        <w:rPr>
          <w:rStyle w:val="References"/>
        </w:rPr>
        <w:t>842C</w:t>
      </w:r>
      <w:r w:rsidR="00EA63FF">
        <w:rPr>
          <w:rStyle w:val="References"/>
        </w:rPr>
        <w:t xml:space="preserve"> </w:t>
      </w:r>
      <w:r w:rsidR="00EA63FF" w:rsidRPr="00121C08">
        <w:rPr>
          <w:rStyle w:val="References"/>
        </w:rPr>
        <w:t xml:space="preserve">of the </w:t>
      </w:r>
      <w:r w:rsidR="00EA63FF">
        <w:rPr>
          <w:rStyle w:val="References"/>
        </w:rPr>
        <w:t>Act</w:t>
      </w:r>
      <w:r w:rsidR="00EA63FF" w:rsidRPr="00121C08">
        <w:rPr>
          <w:rStyle w:val="References"/>
        </w:rPr>
        <w:t>]</w:t>
      </w:r>
    </w:p>
    <w:p w14:paraId="54A24C54" w14:textId="16EA4B1E" w:rsidR="00FD7548" w:rsidRDefault="001368B9" w:rsidP="00FD7548">
      <w:pPr>
        <w:pStyle w:val="Heading6"/>
        <w:rPr>
          <w:rFonts w:hint="eastAsia"/>
        </w:rPr>
      </w:pPr>
      <w:r>
        <w:t xml:space="preserve">Restricting third party property rights </w:t>
      </w:r>
    </w:p>
    <w:p w14:paraId="7595EAAE" w14:textId="4EB34331" w:rsidR="002F1B43" w:rsidRDefault="001368B9" w:rsidP="00B96E32">
      <w:pPr>
        <w:pStyle w:val="Normalparatextwithnumbers"/>
        <w:rPr>
          <w:rStyle w:val="References"/>
          <w:b w:val="0"/>
          <w:bCs w:val="0"/>
          <w:i w:val="0"/>
          <w:iCs w:val="0"/>
        </w:rPr>
      </w:pPr>
      <w:r w:rsidRPr="002F1B43">
        <w:rPr>
          <w:rStyle w:val="References"/>
          <w:b w:val="0"/>
          <w:bCs w:val="0"/>
          <w:i w:val="0"/>
          <w:iCs w:val="0"/>
        </w:rPr>
        <w:t>In general, whil</w:t>
      </w:r>
      <w:r w:rsidR="00F04336">
        <w:rPr>
          <w:rStyle w:val="References"/>
          <w:b w:val="0"/>
          <w:bCs w:val="0"/>
          <w:i w:val="0"/>
          <w:iCs w:val="0"/>
        </w:rPr>
        <w:t>e</w:t>
      </w:r>
      <w:r w:rsidRPr="002F1B43">
        <w:rPr>
          <w:rStyle w:val="References"/>
          <w:b w:val="0"/>
          <w:bCs w:val="0"/>
          <w:i w:val="0"/>
          <w:iCs w:val="0"/>
        </w:rPr>
        <w:t xml:space="preserve"> the moratorium provisions apply to a body corporate</w:t>
      </w:r>
      <w:r w:rsidR="002F1B43" w:rsidRPr="002F1B43">
        <w:rPr>
          <w:rStyle w:val="References"/>
          <w:b w:val="0"/>
          <w:bCs w:val="0"/>
          <w:i w:val="0"/>
          <w:iCs w:val="0"/>
        </w:rPr>
        <w:t xml:space="preserve"> a third party is restricted in exercising their rights in property of the body, or other property used or occupied by, or in the possession of, the body. </w:t>
      </w:r>
      <w:r w:rsidR="00FE7239">
        <w:rPr>
          <w:rStyle w:val="References"/>
          <w:b w:val="0"/>
          <w:bCs w:val="0"/>
          <w:i w:val="0"/>
          <w:iCs w:val="0"/>
        </w:rPr>
        <w:t xml:space="preserve">This includes </w:t>
      </w:r>
      <w:r w:rsidR="00F33DDB">
        <w:rPr>
          <w:rStyle w:val="References"/>
          <w:b w:val="0"/>
          <w:bCs w:val="0"/>
          <w:i w:val="0"/>
          <w:iCs w:val="0"/>
        </w:rPr>
        <w:t xml:space="preserve">the </w:t>
      </w:r>
      <w:r w:rsidR="00252945">
        <w:rPr>
          <w:rStyle w:val="References"/>
          <w:b w:val="0"/>
          <w:bCs w:val="0"/>
          <w:i w:val="0"/>
          <w:iCs w:val="0"/>
        </w:rPr>
        <w:t xml:space="preserve">restriction on </w:t>
      </w:r>
      <w:r w:rsidR="00F33DDB">
        <w:rPr>
          <w:rStyle w:val="References"/>
          <w:b w:val="0"/>
          <w:bCs w:val="0"/>
          <w:i w:val="0"/>
          <w:iCs w:val="0"/>
        </w:rPr>
        <w:t xml:space="preserve">a third party to </w:t>
      </w:r>
      <w:r w:rsidR="00252945">
        <w:rPr>
          <w:rStyle w:val="References"/>
          <w:b w:val="0"/>
          <w:bCs w:val="0"/>
          <w:i w:val="0"/>
          <w:iCs w:val="0"/>
        </w:rPr>
        <w:t xml:space="preserve">be unable to </w:t>
      </w:r>
      <w:r w:rsidR="00F33DDB">
        <w:rPr>
          <w:rStyle w:val="References"/>
          <w:b w:val="0"/>
          <w:bCs w:val="0"/>
          <w:i w:val="0"/>
          <w:iCs w:val="0"/>
        </w:rPr>
        <w:t xml:space="preserve">enforce a security interest </w:t>
      </w:r>
      <w:r w:rsidR="008B6AA7">
        <w:rPr>
          <w:rStyle w:val="References"/>
          <w:b w:val="0"/>
          <w:bCs w:val="0"/>
          <w:i w:val="0"/>
          <w:iCs w:val="0"/>
        </w:rPr>
        <w:t>where the</w:t>
      </w:r>
      <w:r w:rsidR="00F33DDB">
        <w:rPr>
          <w:rStyle w:val="References"/>
          <w:b w:val="0"/>
          <w:bCs w:val="0"/>
          <w:i w:val="0"/>
          <w:iCs w:val="0"/>
        </w:rPr>
        <w:t xml:space="preserve"> </w:t>
      </w:r>
      <w:r w:rsidR="00FE7239">
        <w:rPr>
          <w:rStyle w:val="References"/>
          <w:b w:val="0"/>
          <w:bCs w:val="0"/>
          <w:i w:val="0"/>
          <w:iCs w:val="0"/>
        </w:rPr>
        <w:t>a</w:t>
      </w:r>
      <w:r w:rsidR="002F1B43" w:rsidRPr="002F1B43">
        <w:rPr>
          <w:rStyle w:val="References"/>
          <w:b w:val="0"/>
          <w:bCs w:val="0"/>
          <w:i w:val="0"/>
          <w:iCs w:val="0"/>
        </w:rPr>
        <w:t xml:space="preserve"> third party</w:t>
      </w:r>
      <w:r w:rsidR="00445F2D">
        <w:rPr>
          <w:rStyle w:val="References"/>
          <w:b w:val="0"/>
          <w:bCs w:val="0"/>
          <w:i w:val="0"/>
          <w:iCs w:val="0"/>
        </w:rPr>
        <w:t>,</w:t>
      </w:r>
      <w:r w:rsidR="002F1B43" w:rsidRPr="002F1B43">
        <w:rPr>
          <w:rStyle w:val="References"/>
          <w:b w:val="0"/>
          <w:bCs w:val="0"/>
          <w:i w:val="0"/>
          <w:iCs w:val="0"/>
        </w:rPr>
        <w:t xml:space="preserve"> is </w:t>
      </w:r>
      <w:r w:rsidR="00187DA7">
        <w:rPr>
          <w:rStyle w:val="References"/>
          <w:b w:val="0"/>
          <w:bCs w:val="0"/>
          <w:i w:val="0"/>
          <w:iCs w:val="0"/>
        </w:rPr>
        <w:t xml:space="preserve">either </w:t>
      </w:r>
      <w:r w:rsidR="002F1B43" w:rsidRPr="002F1B43">
        <w:rPr>
          <w:rStyle w:val="References"/>
          <w:b w:val="0"/>
          <w:bCs w:val="0"/>
          <w:i w:val="0"/>
          <w:iCs w:val="0"/>
        </w:rPr>
        <w:t xml:space="preserve">a secured party </w:t>
      </w:r>
      <w:r w:rsidR="00B85062">
        <w:rPr>
          <w:rStyle w:val="References"/>
          <w:b w:val="0"/>
          <w:bCs w:val="0"/>
          <w:i w:val="0"/>
          <w:iCs w:val="0"/>
        </w:rPr>
        <w:t xml:space="preserve">or a PPSA secured party </w:t>
      </w:r>
      <w:r w:rsidR="002F1B43" w:rsidRPr="002F1B43">
        <w:rPr>
          <w:rStyle w:val="References"/>
          <w:b w:val="0"/>
          <w:bCs w:val="0"/>
          <w:i w:val="0"/>
          <w:iCs w:val="0"/>
        </w:rPr>
        <w:t xml:space="preserve">in relation to the property of the body </w:t>
      </w:r>
      <w:proofErr w:type="gramStart"/>
      <w:r w:rsidR="002F1B43" w:rsidRPr="002F1B43">
        <w:rPr>
          <w:rStyle w:val="References"/>
          <w:b w:val="0"/>
          <w:bCs w:val="0"/>
          <w:i w:val="0"/>
          <w:iCs w:val="0"/>
        </w:rPr>
        <w:t>corporate</w:t>
      </w:r>
      <w:r w:rsidR="008B6AA7">
        <w:rPr>
          <w:rStyle w:val="References"/>
          <w:b w:val="0"/>
          <w:bCs w:val="0"/>
          <w:i w:val="0"/>
          <w:iCs w:val="0"/>
        </w:rPr>
        <w:t>.</w:t>
      </w:r>
      <w:r w:rsidR="00B85062">
        <w:rPr>
          <w:rStyle w:val="References"/>
          <w:b w:val="0"/>
          <w:bCs w:val="0"/>
          <w:i w:val="0"/>
          <w:iCs w:val="0"/>
        </w:rPr>
        <w:t>.</w:t>
      </w:r>
      <w:proofErr w:type="gramEnd"/>
      <w:r w:rsidR="00B85062">
        <w:rPr>
          <w:rStyle w:val="References"/>
          <w:b w:val="0"/>
          <w:bCs w:val="0"/>
          <w:i w:val="0"/>
          <w:iCs w:val="0"/>
        </w:rPr>
        <w:t xml:space="preserve"> A further restriction </w:t>
      </w:r>
      <w:r w:rsidR="00063C74">
        <w:rPr>
          <w:rStyle w:val="References"/>
          <w:b w:val="0"/>
          <w:bCs w:val="0"/>
          <w:i w:val="0"/>
          <w:iCs w:val="0"/>
        </w:rPr>
        <w:t xml:space="preserve">that </w:t>
      </w:r>
      <w:r w:rsidR="00B85062">
        <w:rPr>
          <w:rStyle w:val="References"/>
          <w:b w:val="0"/>
          <w:bCs w:val="0"/>
          <w:i w:val="0"/>
          <w:iCs w:val="0"/>
        </w:rPr>
        <w:t xml:space="preserve">is imposed on a third party that is a secured party in relation to a possessory security interest </w:t>
      </w:r>
      <w:r w:rsidR="00063C74">
        <w:rPr>
          <w:rStyle w:val="References"/>
          <w:b w:val="0"/>
          <w:bCs w:val="0"/>
          <w:i w:val="0"/>
          <w:iCs w:val="0"/>
        </w:rPr>
        <w:t xml:space="preserve">is that they </w:t>
      </w:r>
      <w:r w:rsidR="00B85062">
        <w:rPr>
          <w:rStyle w:val="References"/>
          <w:b w:val="0"/>
          <w:bCs w:val="0"/>
          <w:i w:val="0"/>
          <w:iCs w:val="0"/>
        </w:rPr>
        <w:t xml:space="preserve">cannot sell the property. </w:t>
      </w:r>
      <w:r w:rsidR="00B85062">
        <w:rPr>
          <w:rStyle w:val="References"/>
          <w:b w:val="0"/>
          <w:bCs w:val="0"/>
          <w:i w:val="0"/>
          <w:iCs w:val="0"/>
        </w:rPr>
        <w:br/>
      </w:r>
      <w:r w:rsidR="00B85062">
        <w:rPr>
          <w:rStyle w:val="References"/>
        </w:rPr>
        <w:t xml:space="preserve">[Schedule </w:t>
      </w:r>
      <w:r w:rsidR="00320AEF">
        <w:rPr>
          <w:rStyle w:val="References"/>
        </w:rPr>
        <w:t>1</w:t>
      </w:r>
      <w:r w:rsidR="00B85062">
        <w:rPr>
          <w:rStyle w:val="References"/>
        </w:rPr>
        <w:t xml:space="preserve">, </w:t>
      </w:r>
      <w:r w:rsidR="00C568C9">
        <w:rPr>
          <w:rStyle w:val="References"/>
        </w:rPr>
        <w:t>item 14</w:t>
      </w:r>
      <w:r w:rsidR="00B85062">
        <w:rPr>
          <w:rStyle w:val="References"/>
        </w:rPr>
        <w:t xml:space="preserve">, subsections </w:t>
      </w:r>
      <w:r w:rsidR="00990D8E">
        <w:rPr>
          <w:rStyle w:val="References"/>
        </w:rPr>
        <w:t>842</w:t>
      </w:r>
      <w:proofErr w:type="gramStart"/>
      <w:r w:rsidR="00990D8E">
        <w:rPr>
          <w:rStyle w:val="References"/>
        </w:rPr>
        <w:t>B</w:t>
      </w:r>
      <w:r w:rsidR="00B85062">
        <w:rPr>
          <w:rStyle w:val="References"/>
        </w:rPr>
        <w:t>(</w:t>
      </w:r>
      <w:proofErr w:type="gramEnd"/>
      <w:r w:rsidR="00B85062">
        <w:rPr>
          <w:rStyle w:val="References"/>
        </w:rPr>
        <w:t>1) of the Act]</w:t>
      </w:r>
    </w:p>
    <w:p w14:paraId="3F7864EA" w14:textId="44D41628" w:rsidR="00FD7548" w:rsidRPr="002F1B43" w:rsidRDefault="004A6CF6" w:rsidP="00B96E32">
      <w:pPr>
        <w:pStyle w:val="Normalparatextwithnumbers"/>
        <w:rPr>
          <w:rStyle w:val="References"/>
          <w:b w:val="0"/>
          <w:bCs w:val="0"/>
          <w:i w:val="0"/>
          <w:iCs w:val="0"/>
        </w:rPr>
      </w:pPr>
      <w:r>
        <w:rPr>
          <w:rStyle w:val="References"/>
          <w:b w:val="0"/>
          <w:bCs w:val="0"/>
          <w:i w:val="0"/>
          <w:iCs w:val="0"/>
        </w:rPr>
        <w:t>The following a</w:t>
      </w:r>
      <w:r w:rsidR="002F1B43">
        <w:rPr>
          <w:rStyle w:val="References"/>
          <w:b w:val="0"/>
          <w:bCs w:val="0"/>
          <w:i w:val="0"/>
          <w:iCs w:val="0"/>
        </w:rPr>
        <w:t>dditional restrictions apply to a third party that is</w:t>
      </w:r>
      <w:r>
        <w:rPr>
          <w:rStyle w:val="References"/>
          <w:b w:val="0"/>
          <w:bCs w:val="0"/>
          <w:i w:val="0"/>
          <w:iCs w:val="0"/>
        </w:rPr>
        <w:t xml:space="preserve"> a PPSA secured party</w:t>
      </w:r>
      <w:r w:rsidR="002F1B43">
        <w:rPr>
          <w:rStyle w:val="References"/>
          <w:b w:val="0"/>
          <w:bCs w:val="0"/>
          <w:i w:val="0"/>
          <w:iCs w:val="0"/>
        </w:rPr>
        <w:t>:</w:t>
      </w:r>
    </w:p>
    <w:p w14:paraId="08C44991" w14:textId="4E25808C" w:rsidR="00FD7548" w:rsidRDefault="004A6CF6" w:rsidP="00FD7548">
      <w:pPr>
        <w:pStyle w:val="Dotpoint1"/>
        <w:rPr>
          <w:rStyle w:val="References"/>
          <w:b w:val="0"/>
          <w:bCs w:val="0"/>
          <w:i w:val="0"/>
          <w:iCs w:val="0"/>
        </w:rPr>
      </w:pPr>
      <w:r>
        <w:rPr>
          <w:rStyle w:val="References"/>
          <w:b w:val="0"/>
          <w:bCs w:val="0"/>
          <w:i w:val="0"/>
          <w:iCs w:val="0"/>
        </w:rPr>
        <w:t xml:space="preserve">who is a </w:t>
      </w:r>
      <w:r w:rsidR="00FD7548">
        <w:rPr>
          <w:rStyle w:val="References"/>
          <w:b w:val="0"/>
          <w:bCs w:val="0"/>
          <w:i w:val="0"/>
          <w:iCs w:val="0"/>
        </w:rPr>
        <w:t>lessor of property in relation to a PPSA</w:t>
      </w:r>
      <w:r w:rsidR="00FD7548">
        <w:rPr>
          <w:rStyle w:val="References"/>
          <w:b w:val="0"/>
          <w:bCs w:val="0"/>
        </w:rPr>
        <w:t xml:space="preserve"> </w:t>
      </w:r>
      <w:r w:rsidR="00FD7548">
        <w:rPr>
          <w:rStyle w:val="References"/>
          <w:b w:val="0"/>
          <w:bCs w:val="0"/>
          <w:i w:val="0"/>
          <w:iCs w:val="0"/>
        </w:rPr>
        <w:t xml:space="preserve">security interest in goods arising out of a lease of the goods, </w:t>
      </w:r>
      <w:r w:rsidR="00B85062">
        <w:rPr>
          <w:rStyle w:val="References"/>
          <w:b w:val="0"/>
          <w:bCs w:val="0"/>
          <w:i w:val="0"/>
          <w:iCs w:val="0"/>
        </w:rPr>
        <w:t xml:space="preserve">then </w:t>
      </w:r>
      <w:r w:rsidR="00FD7548">
        <w:rPr>
          <w:rStyle w:val="References"/>
          <w:b w:val="0"/>
          <w:bCs w:val="0"/>
          <w:i w:val="0"/>
          <w:iCs w:val="0"/>
        </w:rPr>
        <w:t xml:space="preserve">the distress for rent must not be carried </w:t>
      </w:r>
      <w:r w:rsidR="00FD7548">
        <w:rPr>
          <w:rStyle w:val="References"/>
          <w:b w:val="0"/>
          <w:bCs w:val="0"/>
          <w:i w:val="0"/>
          <w:iCs w:val="0"/>
        </w:rPr>
        <w:lastRenderedPageBreak/>
        <w:t xml:space="preserve">out against the property, </w:t>
      </w:r>
      <w:r w:rsidR="00114BE3">
        <w:rPr>
          <w:rStyle w:val="References"/>
          <w:b w:val="0"/>
          <w:bCs w:val="0"/>
          <w:i w:val="0"/>
          <w:iCs w:val="0"/>
        </w:rPr>
        <w:t xml:space="preserve">and </w:t>
      </w:r>
      <w:r w:rsidR="00FD7548">
        <w:rPr>
          <w:rStyle w:val="References"/>
          <w:b w:val="0"/>
          <w:bCs w:val="0"/>
          <w:i w:val="0"/>
          <w:iCs w:val="0"/>
        </w:rPr>
        <w:t>the third party cannot take possession of the property or otherwise recover it;</w:t>
      </w:r>
      <w:r w:rsidR="00B85062">
        <w:rPr>
          <w:rStyle w:val="References"/>
          <w:b w:val="0"/>
          <w:bCs w:val="0"/>
          <w:i w:val="0"/>
          <w:iCs w:val="0"/>
        </w:rPr>
        <w:t xml:space="preserve"> or</w:t>
      </w:r>
    </w:p>
    <w:p w14:paraId="6D46EA02" w14:textId="4753AD41" w:rsidR="00FD7548" w:rsidRPr="001C4A87" w:rsidRDefault="004A6CF6" w:rsidP="00FD7548">
      <w:pPr>
        <w:pStyle w:val="Dotpoint1"/>
        <w:rPr>
          <w:rStyle w:val="References"/>
          <w:b w:val="0"/>
          <w:bCs w:val="0"/>
          <w:i w:val="0"/>
          <w:iCs w:val="0"/>
        </w:rPr>
      </w:pPr>
      <w:r>
        <w:rPr>
          <w:rStyle w:val="References"/>
          <w:b w:val="0"/>
          <w:bCs w:val="0"/>
          <w:i w:val="0"/>
          <w:iCs w:val="0"/>
        </w:rPr>
        <w:t xml:space="preserve">who is an </w:t>
      </w:r>
      <w:r w:rsidR="00FD7548">
        <w:rPr>
          <w:rStyle w:val="References"/>
          <w:b w:val="0"/>
          <w:bCs w:val="0"/>
          <w:i w:val="0"/>
          <w:iCs w:val="0"/>
        </w:rPr>
        <w:t>owner (tha</w:t>
      </w:r>
      <w:r>
        <w:rPr>
          <w:rStyle w:val="References"/>
          <w:b w:val="0"/>
          <w:bCs w:val="0"/>
          <w:i w:val="0"/>
          <w:iCs w:val="0"/>
        </w:rPr>
        <w:t xml:space="preserve">t is </w:t>
      </w:r>
      <w:r w:rsidR="00FD7548">
        <w:rPr>
          <w:rStyle w:val="References"/>
          <w:b w:val="0"/>
          <w:bCs w:val="0"/>
          <w:i w:val="0"/>
          <w:iCs w:val="0"/>
        </w:rPr>
        <w:t>n</w:t>
      </w:r>
      <w:r>
        <w:rPr>
          <w:rStyle w:val="References"/>
          <w:b w:val="0"/>
          <w:bCs w:val="0"/>
          <w:i w:val="0"/>
          <w:iCs w:val="0"/>
        </w:rPr>
        <w:t>ot</w:t>
      </w:r>
      <w:r w:rsidR="00FD7548">
        <w:rPr>
          <w:rStyle w:val="References"/>
          <w:b w:val="0"/>
          <w:bCs w:val="0"/>
          <w:i w:val="0"/>
          <w:iCs w:val="0"/>
        </w:rPr>
        <w:t xml:space="preserve"> a lessor) of property in relation to a PPSA</w:t>
      </w:r>
      <w:r w:rsidR="00FD7548">
        <w:rPr>
          <w:rStyle w:val="References"/>
          <w:b w:val="0"/>
          <w:bCs w:val="0"/>
        </w:rPr>
        <w:t xml:space="preserve"> </w:t>
      </w:r>
      <w:r w:rsidR="00FD7548">
        <w:rPr>
          <w:rStyle w:val="References"/>
          <w:b w:val="0"/>
          <w:bCs w:val="0"/>
          <w:i w:val="0"/>
          <w:iCs w:val="0"/>
        </w:rPr>
        <w:t>security interest in the property, the</w:t>
      </w:r>
      <w:r w:rsidR="00B85062">
        <w:rPr>
          <w:rStyle w:val="References"/>
          <w:b w:val="0"/>
          <w:bCs w:val="0"/>
          <w:i w:val="0"/>
          <w:iCs w:val="0"/>
        </w:rPr>
        <w:t>n the</w:t>
      </w:r>
      <w:r w:rsidR="00FD7548">
        <w:rPr>
          <w:rStyle w:val="References"/>
          <w:b w:val="0"/>
          <w:bCs w:val="0"/>
          <w:i w:val="0"/>
          <w:iCs w:val="0"/>
        </w:rPr>
        <w:t xml:space="preserve"> third party cannot take possession of the property or otherwise recover it</w:t>
      </w:r>
      <w:r>
        <w:rPr>
          <w:rStyle w:val="References"/>
          <w:b w:val="0"/>
          <w:bCs w:val="0"/>
          <w:i w:val="0"/>
          <w:iCs w:val="0"/>
        </w:rPr>
        <w:t xml:space="preserve">. </w:t>
      </w:r>
      <w:r w:rsidR="00FD7548">
        <w:rPr>
          <w:rStyle w:val="References"/>
          <w:b w:val="0"/>
          <w:bCs w:val="0"/>
          <w:i w:val="0"/>
          <w:iCs w:val="0"/>
        </w:rPr>
        <w:br/>
      </w:r>
      <w:r w:rsidR="00FD7548">
        <w:rPr>
          <w:rStyle w:val="References"/>
        </w:rPr>
        <w:t xml:space="preserve">[Schedule </w:t>
      </w:r>
      <w:r w:rsidR="00320AEF">
        <w:rPr>
          <w:rStyle w:val="References"/>
        </w:rPr>
        <w:t>1</w:t>
      </w:r>
      <w:r w:rsidR="00FD7548">
        <w:rPr>
          <w:rStyle w:val="References"/>
        </w:rPr>
        <w:t xml:space="preserve">, </w:t>
      </w:r>
      <w:r w:rsidR="00C568C9">
        <w:rPr>
          <w:rStyle w:val="References"/>
        </w:rPr>
        <w:t>item 14</w:t>
      </w:r>
      <w:r w:rsidR="00FD7548">
        <w:rPr>
          <w:rStyle w:val="References"/>
        </w:rPr>
        <w:t xml:space="preserve">, subsections </w:t>
      </w:r>
      <w:r w:rsidR="00990D8E">
        <w:rPr>
          <w:rStyle w:val="References"/>
        </w:rPr>
        <w:t>842</w:t>
      </w:r>
      <w:proofErr w:type="gramStart"/>
      <w:r w:rsidR="00990D8E">
        <w:rPr>
          <w:rStyle w:val="References"/>
        </w:rPr>
        <w:t>B</w:t>
      </w:r>
      <w:r w:rsidR="00FD7548">
        <w:rPr>
          <w:rStyle w:val="References"/>
        </w:rPr>
        <w:t>(</w:t>
      </w:r>
      <w:proofErr w:type="gramEnd"/>
      <w:r w:rsidR="00FD7548">
        <w:rPr>
          <w:rStyle w:val="References"/>
        </w:rPr>
        <w:t>1) of the Act]</w:t>
      </w:r>
    </w:p>
    <w:p w14:paraId="5006617A" w14:textId="4C8EF867" w:rsidR="006E3A78" w:rsidRPr="00954473" w:rsidRDefault="00B85062" w:rsidP="006E3A78">
      <w:pPr>
        <w:pStyle w:val="Normalparatextwithnumbers"/>
      </w:pPr>
      <w:r>
        <w:rPr>
          <w:rStyle w:val="References"/>
          <w:b w:val="0"/>
          <w:bCs w:val="0"/>
          <w:i w:val="0"/>
          <w:iCs w:val="0"/>
        </w:rPr>
        <w:t xml:space="preserve">The secured party may continue to possess the property while the moratorium provisions apply to the body corporate only </w:t>
      </w:r>
      <w:r w:rsidR="006E3A78">
        <w:rPr>
          <w:rStyle w:val="References"/>
          <w:b w:val="0"/>
          <w:bCs w:val="0"/>
          <w:i w:val="0"/>
          <w:iCs w:val="0"/>
        </w:rPr>
        <w:t xml:space="preserve">if the secured party has lawful possession of the property that is subject to a possessory security interest. </w:t>
      </w:r>
      <w:r w:rsidR="006E3A78">
        <w:rPr>
          <w:rStyle w:val="References"/>
          <w:b w:val="0"/>
          <w:bCs w:val="0"/>
          <w:i w:val="0"/>
          <w:iCs w:val="0"/>
        </w:rPr>
        <w:br/>
      </w:r>
      <w:bookmarkStart w:id="64" w:name="_Hlk147504426"/>
      <w:r w:rsidR="006E3A78">
        <w:rPr>
          <w:rStyle w:val="References"/>
        </w:rPr>
        <w:t xml:space="preserve">[Schedule </w:t>
      </w:r>
      <w:r w:rsidR="00320AEF">
        <w:rPr>
          <w:rStyle w:val="References"/>
        </w:rPr>
        <w:t>1</w:t>
      </w:r>
      <w:r w:rsidR="006E3A78">
        <w:rPr>
          <w:rStyle w:val="References"/>
        </w:rPr>
        <w:t xml:space="preserve">, </w:t>
      </w:r>
      <w:r w:rsidR="00C568C9">
        <w:rPr>
          <w:rStyle w:val="References"/>
        </w:rPr>
        <w:t>item 14</w:t>
      </w:r>
      <w:r w:rsidR="006E3A78">
        <w:rPr>
          <w:rStyle w:val="References"/>
        </w:rPr>
        <w:t xml:space="preserve">, subsection </w:t>
      </w:r>
      <w:r w:rsidR="00990D8E">
        <w:rPr>
          <w:rStyle w:val="References"/>
        </w:rPr>
        <w:t>842</w:t>
      </w:r>
      <w:proofErr w:type="gramStart"/>
      <w:r w:rsidR="00990D8E">
        <w:rPr>
          <w:rStyle w:val="References"/>
        </w:rPr>
        <w:t>B</w:t>
      </w:r>
      <w:r w:rsidR="006E3A78">
        <w:rPr>
          <w:rStyle w:val="References"/>
        </w:rPr>
        <w:t>(</w:t>
      </w:r>
      <w:proofErr w:type="gramEnd"/>
      <w:r w:rsidR="006E3A78">
        <w:rPr>
          <w:rStyle w:val="References"/>
        </w:rPr>
        <w:t>3) of the Act]</w:t>
      </w:r>
      <w:bookmarkEnd w:id="64"/>
    </w:p>
    <w:p w14:paraId="2A3E73AB" w14:textId="303AA590" w:rsidR="006E3A78" w:rsidRDefault="00FD7548" w:rsidP="00FD7548">
      <w:pPr>
        <w:pStyle w:val="Normalparatextwithnumbers"/>
        <w:rPr>
          <w:rStyle w:val="References"/>
          <w:b w:val="0"/>
          <w:bCs w:val="0"/>
          <w:i w:val="0"/>
          <w:iCs w:val="0"/>
        </w:rPr>
      </w:pPr>
      <w:r>
        <w:rPr>
          <w:rStyle w:val="References"/>
          <w:b w:val="0"/>
          <w:bCs w:val="0"/>
          <w:i w:val="0"/>
          <w:iCs w:val="0"/>
        </w:rPr>
        <w:t xml:space="preserve">The </w:t>
      </w:r>
      <w:r w:rsidR="006E3A78">
        <w:rPr>
          <w:rStyle w:val="References"/>
          <w:b w:val="0"/>
          <w:bCs w:val="0"/>
          <w:i w:val="0"/>
          <w:iCs w:val="0"/>
        </w:rPr>
        <w:t xml:space="preserve">general </w:t>
      </w:r>
      <w:r>
        <w:rPr>
          <w:rStyle w:val="References"/>
          <w:b w:val="0"/>
          <w:bCs w:val="0"/>
          <w:i w:val="0"/>
          <w:iCs w:val="0"/>
        </w:rPr>
        <w:t xml:space="preserve">restrictions </w:t>
      </w:r>
      <w:r w:rsidR="006E3A78">
        <w:rPr>
          <w:rStyle w:val="References"/>
          <w:b w:val="0"/>
          <w:bCs w:val="0"/>
          <w:i w:val="0"/>
          <w:iCs w:val="0"/>
        </w:rPr>
        <w:t xml:space="preserve">will </w:t>
      </w:r>
      <w:r>
        <w:rPr>
          <w:rStyle w:val="References"/>
          <w:b w:val="0"/>
          <w:bCs w:val="0"/>
          <w:i w:val="0"/>
          <w:iCs w:val="0"/>
        </w:rPr>
        <w:t>not apply in relation to the exercise of a third party’s rights in property if the rights are exercised with the RBA</w:t>
      </w:r>
      <w:r w:rsidR="006E3A78">
        <w:rPr>
          <w:rStyle w:val="References"/>
          <w:b w:val="0"/>
          <w:bCs w:val="0"/>
          <w:i w:val="0"/>
          <w:iCs w:val="0"/>
        </w:rPr>
        <w:t xml:space="preserve"> or</w:t>
      </w:r>
      <w:r>
        <w:rPr>
          <w:rStyle w:val="References"/>
          <w:b w:val="0"/>
          <w:bCs w:val="0"/>
          <w:i w:val="0"/>
          <w:iCs w:val="0"/>
        </w:rPr>
        <w:t xml:space="preserve"> </w:t>
      </w:r>
      <w:r w:rsidR="006E3A78">
        <w:rPr>
          <w:rStyle w:val="References"/>
          <w:b w:val="0"/>
          <w:bCs w:val="0"/>
          <w:i w:val="0"/>
          <w:iCs w:val="0"/>
        </w:rPr>
        <w:t xml:space="preserve">statutory manager’s </w:t>
      </w:r>
      <w:r>
        <w:rPr>
          <w:rStyle w:val="References"/>
          <w:b w:val="0"/>
          <w:bCs w:val="0"/>
          <w:i w:val="0"/>
          <w:iCs w:val="0"/>
        </w:rPr>
        <w:t xml:space="preserve">consent or with leave of the court. </w:t>
      </w:r>
      <w:r w:rsidR="006E3A78">
        <w:rPr>
          <w:rStyle w:val="References"/>
          <w:b w:val="0"/>
          <w:bCs w:val="0"/>
          <w:i w:val="0"/>
          <w:iCs w:val="0"/>
        </w:rPr>
        <w:br/>
      </w:r>
      <w:r w:rsidR="006E3A78">
        <w:rPr>
          <w:rStyle w:val="References"/>
        </w:rPr>
        <w:t xml:space="preserve">[Schedule </w:t>
      </w:r>
      <w:r w:rsidR="00320AEF">
        <w:rPr>
          <w:rStyle w:val="References"/>
        </w:rPr>
        <w:t>1</w:t>
      </w:r>
      <w:r w:rsidR="006E3A78">
        <w:rPr>
          <w:rStyle w:val="References"/>
        </w:rPr>
        <w:t xml:space="preserve">, </w:t>
      </w:r>
      <w:r w:rsidR="00C568C9">
        <w:rPr>
          <w:rStyle w:val="References"/>
        </w:rPr>
        <w:t>item 14</w:t>
      </w:r>
      <w:r w:rsidR="006E3A78">
        <w:rPr>
          <w:rStyle w:val="References"/>
        </w:rPr>
        <w:t xml:space="preserve">, subsection </w:t>
      </w:r>
      <w:r w:rsidR="00990D8E">
        <w:rPr>
          <w:rStyle w:val="References"/>
        </w:rPr>
        <w:t>842</w:t>
      </w:r>
      <w:proofErr w:type="gramStart"/>
      <w:r w:rsidR="00990D8E">
        <w:rPr>
          <w:rStyle w:val="References"/>
        </w:rPr>
        <w:t>B</w:t>
      </w:r>
      <w:r w:rsidR="006E3A78">
        <w:rPr>
          <w:rStyle w:val="References"/>
        </w:rPr>
        <w:t>(</w:t>
      </w:r>
      <w:proofErr w:type="gramEnd"/>
      <w:r w:rsidR="006E3A78">
        <w:rPr>
          <w:rStyle w:val="References"/>
        </w:rPr>
        <w:t>2) of the Act]</w:t>
      </w:r>
    </w:p>
    <w:p w14:paraId="4CF14AC5" w14:textId="0FC166AF" w:rsidR="00D768E1" w:rsidRDefault="00D768E1" w:rsidP="00D768E1">
      <w:pPr>
        <w:pStyle w:val="Normalparatextwithnumbers"/>
      </w:pPr>
      <w:r>
        <w:t xml:space="preserve">At the time the moratorium provisions begin to apply, </w:t>
      </w:r>
      <w:r w:rsidRPr="00D57085">
        <w:t xml:space="preserve">any PPSA security interest which was perfected, registered or enforceable against a third party </w:t>
      </w:r>
      <w:r>
        <w:t xml:space="preserve">is vested if the collateral is not registered within time. </w:t>
      </w:r>
      <w:r>
        <w:br/>
      </w:r>
      <w:r>
        <w:rPr>
          <w:rStyle w:val="References"/>
        </w:rPr>
        <w:t>[Schedule 1, items 6</w:t>
      </w:r>
      <w:r w:rsidR="002952F1">
        <w:rPr>
          <w:rStyle w:val="References"/>
        </w:rPr>
        <w:t xml:space="preserve"> and </w:t>
      </w:r>
      <w:r>
        <w:rPr>
          <w:rStyle w:val="References"/>
        </w:rPr>
        <w:t>7, subparagraph 588FL(1)(a)(v) of the Act]</w:t>
      </w:r>
    </w:p>
    <w:p w14:paraId="2CB7ADB6" w14:textId="098D09AA" w:rsidR="00D768E1" w:rsidRPr="002B2478" w:rsidRDefault="00D768E1" w:rsidP="00D768E1">
      <w:pPr>
        <w:pStyle w:val="Normalparatextwithnumbers"/>
        <w:rPr>
          <w:rStyle w:val="References"/>
          <w:b w:val="0"/>
          <w:bCs w:val="0"/>
          <w:i w:val="0"/>
          <w:iCs w:val="0"/>
        </w:rPr>
      </w:pPr>
      <w:r>
        <w:t xml:space="preserve">Similarly, upon a statutory manager being appointed to a body corporate an unperfected security interest is vested.  </w:t>
      </w:r>
      <w:r>
        <w:br/>
      </w:r>
      <w:r w:rsidRPr="00D10880">
        <w:rPr>
          <w:rStyle w:val="References"/>
        </w:rPr>
        <w:t>[Schedule 1, items 35-36, subparagraphs 267(1)(</w:t>
      </w:r>
      <w:proofErr w:type="gramStart"/>
      <w:r w:rsidRPr="00D10880">
        <w:rPr>
          <w:rStyle w:val="References"/>
        </w:rPr>
        <w:t>a)(</w:t>
      </w:r>
      <w:proofErr w:type="spellStart"/>
      <w:proofErr w:type="gramEnd"/>
      <w:r w:rsidRPr="00D10880">
        <w:rPr>
          <w:rStyle w:val="References"/>
        </w:rPr>
        <w:t>iiic</w:t>
      </w:r>
      <w:proofErr w:type="spellEnd"/>
      <w:r w:rsidRPr="00D10880">
        <w:rPr>
          <w:rStyle w:val="References"/>
        </w:rPr>
        <w:t>) and (</w:t>
      </w:r>
      <w:proofErr w:type="spellStart"/>
      <w:r w:rsidRPr="00D10880">
        <w:rPr>
          <w:rStyle w:val="References"/>
        </w:rPr>
        <w:t>iiib</w:t>
      </w:r>
      <w:proofErr w:type="spellEnd"/>
      <w:r w:rsidRPr="00D10880">
        <w:rPr>
          <w:rStyle w:val="References"/>
        </w:rPr>
        <w:t>) of the Personal Property and Securities Act]</w:t>
      </w:r>
    </w:p>
    <w:p w14:paraId="37A5536A" w14:textId="77777777" w:rsidR="00481435" w:rsidRDefault="00481435" w:rsidP="00481435">
      <w:pPr>
        <w:pStyle w:val="Heading6"/>
        <w:rPr>
          <w:rFonts w:hint="eastAsia"/>
        </w:rPr>
      </w:pPr>
      <w:r>
        <w:t xml:space="preserve">Enforcement processes </w:t>
      </w:r>
      <w:proofErr w:type="gramStart"/>
      <w:r>
        <w:t>suspended</w:t>
      </w:r>
      <w:proofErr w:type="gramEnd"/>
      <w:r>
        <w:t xml:space="preserve"> </w:t>
      </w:r>
    </w:p>
    <w:p w14:paraId="5C7DE5AB" w14:textId="02B87A2E" w:rsidR="00481435" w:rsidRPr="00FD7548" w:rsidRDefault="00481435" w:rsidP="00481435">
      <w:pPr>
        <w:pStyle w:val="Normalparatextwithnumbers"/>
        <w:rPr>
          <w:rStyle w:val="References"/>
          <w:b w:val="0"/>
          <w:bCs w:val="0"/>
          <w:i w:val="0"/>
          <w:iCs w:val="0"/>
        </w:rPr>
      </w:pPr>
      <w:r>
        <w:t>Only the Court may grant leave or impose conditions to allow the enforcement process to begin or continue. A person who applies for leave of the Court must notify the RBA. The RBA is entitled to be heard on the application to the Court.</w:t>
      </w:r>
      <w:r>
        <w:br/>
      </w:r>
      <w:r w:rsidRPr="00B12AFE">
        <w:rPr>
          <w:rStyle w:val="References"/>
        </w:rPr>
        <w:t xml:space="preserve">[Schedule </w:t>
      </w:r>
      <w:r>
        <w:rPr>
          <w:rStyle w:val="References"/>
        </w:rPr>
        <w:t>1</w:t>
      </w:r>
      <w:r w:rsidRPr="00B12AFE">
        <w:rPr>
          <w:rStyle w:val="References"/>
        </w:rPr>
        <w:t xml:space="preserve">, </w:t>
      </w:r>
      <w:r>
        <w:rPr>
          <w:rStyle w:val="References"/>
        </w:rPr>
        <w:t>item 14</w:t>
      </w:r>
      <w:r w:rsidRPr="00B12AFE">
        <w:rPr>
          <w:rStyle w:val="References"/>
        </w:rPr>
        <w:t xml:space="preserve">, section </w:t>
      </w:r>
      <w:r>
        <w:rPr>
          <w:rStyle w:val="References"/>
        </w:rPr>
        <w:t>842E</w:t>
      </w:r>
      <w:r w:rsidRPr="00B12AFE">
        <w:rPr>
          <w:rStyle w:val="References"/>
        </w:rPr>
        <w:t xml:space="preserve"> of the Act]</w:t>
      </w:r>
    </w:p>
    <w:p w14:paraId="1C72955E" w14:textId="566B5B17" w:rsidR="00481435" w:rsidRDefault="00481435" w:rsidP="00D32051">
      <w:pPr>
        <w:pStyle w:val="Normalparatextwithnumbers"/>
      </w:pPr>
      <w:r>
        <w:t xml:space="preserve">The RBA may apply to the court or tribunal to be joined as a party or to intervene in the proceedings for leave. If the RBA is joined as a party, the court or tribunal must have regard to the RBA’s views in deciding whether to grant leave, and if so, whether to impose terms and the nature of those terms. </w:t>
      </w:r>
      <w:r>
        <w:br/>
      </w:r>
      <w:r w:rsidRPr="00121C08">
        <w:rPr>
          <w:rStyle w:val="References"/>
        </w:rPr>
        <w:t>[</w:t>
      </w:r>
      <w:r>
        <w:rPr>
          <w:rStyle w:val="References"/>
        </w:rPr>
        <w:t>Schedule 1</w:t>
      </w:r>
      <w:r w:rsidRPr="00121C08">
        <w:rPr>
          <w:rStyle w:val="References"/>
        </w:rPr>
        <w:t xml:space="preserve">, </w:t>
      </w:r>
      <w:r>
        <w:rPr>
          <w:rStyle w:val="References"/>
        </w:rPr>
        <w:t>item 14</w:t>
      </w:r>
      <w:r w:rsidRPr="00121C08">
        <w:rPr>
          <w:rStyle w:val="References"/>
        </w:rPr>
        <w:t xml:space="preserve">, section </w:t>
      </w:r>
      <w:r>
        <w:rPr>
          <w:rStyle w:val="References"/>
        </w:rPr>
        <w:t>842</w:t>
      </w:r>
      <w:proofErr w:type="gramStart"/>
      <w:r>
        <w:rPr>
          <w:rStyle w:val="References"/>
        </w:rPr>
        <w:t>E(</w:t>
      </w:r>
      <w:proofErr w:type="gramEnd"/>
      <w:r>
        <w:rPr>
          <w:rStyle w:val="References"/>
        </w:rPr>
        <w:t xml:space="preserve">3) </w:t>
      </w:r>
      <w:r w:rsidRPr="00121C08">
        <w:rPr>
          <w:rStyle w:val="References"/>
        </w:rPr>
        <w:t xml:space="preserve">of the </w:t>
      </w:r>
      <w:r>
        <w:rPr>
          <w:rStyle w:val="References"/>
        </w:rPr>
        <w:t>Act</w:t>
      </w:r>
      <w:r w:rsidRPr="00121C08">
        <w:rPr>
          <w:rStyle w:val="References"/>
        </w:rPr>
        <w:t>]</w:t>
      </w:r>
      <w:r w:rsidRPr="00F9592F">
        <w:t xml:space="preserve"> </w:t>
      </w:r>
    </w:p>
    <w:p w14:paraId="13E3C558" w14:textId="67CD6236" w:rsidR="000945D1" w:rsidRDefault="00FD7548" w:rsidP="000945D1">
      <w:pPr>
        <w:pStyle w:val="Heading6"/>
        <w:rPr>
          <w:rFonts w:hint="eastAsia"/>
        </w:rPr>
      </w:pPr>
      <w:r>
        <w:t>B</w:t>
      </w:r>
      <w:r w:rsidRPr="00FD7548">
        <w:t>eginning or continuing a court</w:t>
      </w:r>
      <w:r>
        <w:t xml:space="preserve"> proceeding</w:t>
      </w:r>
    </w:p>
    <w:p w14:paraId="20FFBCD0" w14:textId="33FD1834" w:rsidR="005D56D3" w:rsidRDefault="000945D1" w:rsidP="005D56D3">
      <w:pPr>
        <w:pStyle w:val="Normalparatextwithnumbers"/>
      </w:pPr>
      <w:r>
        <w:t>At the time the moratorium provisions come into effect, various processes occur with respect to a body corporate</w:t>
      </w:r>
      <w:r w:rsidR="00D064B8">
        <w:t>’</w:t>
      </w:r>
      <w:r>
        <w:t xml:space="preserve">s property to </w:t>
      </w:r>
      <w:r w:rsidR="00AF69A9">
        <w:t xml:space="preserve">protect the rights of other people involved in the enforcement process. </w:t>
      </w:r>
      <w:r>
        <w:t>Upo</w:t>
      </w:r>
      <w:r w:rsidR="00F9592F">
        <w:t xml:space="preserve">n notification that the moratorium provisions apply to a body corporate, the court officer (who may be a sheriff, registrar or other appropriate officer) is restricted from certain actions so as not to interfere with resolution. </w:t>
      </w:r>
      <w:r w:rsidR="005D56D3">
        <w:t xml:space="preserve">At any time from receiving the </w:t>
      </w:r>
      <w:r w:rsidR="005D56D3">
        <w:lastRenderedPageBreak/>
        <w:t>notification</w:t>
      </w:r>
      <w:r w:rsidR="00AF69A9">
        <w:t>,</w:t>
      </w:r>
      <w:r w:rsidR="005D56D3">
        <w:t xml:space="preserve"> the court officer is prevented from</w:t>
      </w:r>
      <w:r w:rsidR="00AF69A9">
        <w:t xml:space="preserve"> the following, unless the Court otherwise approves</w:t>
      </w:r>
      <w:r w:rsidR="005D56D3">
        <w:t xml:space="preserve">: </w:t>
      </w:r>
    </w:p>
    <w:p w14:paraId="0DFB3A07" w14:textId="77777777" w:rsidR="005D56D3" w:rsidRDefault="005D56D3" w:rsidP="005D56D3">
      <w:pPr>
        <w:pStyle w:val="Dotpoint1"/>
      </w:pPr>
      <w:proofErr w:type="gramStart"/>
      <w:r>
        <w:t>taking action</w:t>
      </w:r>
      <w:proofErr w:type="gramEnd"/>
      <w:r>
        <w:t xml:space="preserve">: </w:t>
      </w:r>
    </w:p>
    <w:p w14:paraId="79EDD670" w14:textId="77777777" w:rsidR="005D56D3" w:rsidRDefault="005D56D3" w:rsidP="005D56D3">
      <w:pPr>
        <w:pStyle w:val="dotpoint2"/>
      </w:pPr>
      <w:r>
        <w:t xml:space="preserve">in relation to the attachment or a debt due by the body corporate; or </w:t>
      </w:r>
    </w:p>
    <w:p w14:paraId="344873DC" w14:textId="77777777" w:rsidR="005D56D3" w:rsidRDefault="005D56D3" w:rsidP="005D56D3">
      <w:pPr>
        <w:pStyle w:val="dotpoint2"/>
      </w:pPr>
      <w:r>
        <w:t>to sell the property of the body corporate; or</w:t>
      </w:r>
    </w:p>
    <w:p w14:paraId="5A918B6C" w14:textId="77777777" w:rsidR="005D56D3" w:rsidRDefault="005D56D3" w:rsidP="005D56D3">
      <w:pPr>
        <w:pStyle w:val="Dotpoint1"/>
      </w:pPr>
      <w:r>
        <w:t xml:space="preserve"> paying a person: </w:t>
      </w:r>
    </w:p>
    <w:p w14:paraId="1C9E9989" w14:textId="77777777" w:rsidR="005D56D3" w:rsidRDefault="005D56D3" w:rsidP="005D56D3">
      <w:pPr>
        <w:pStyle w:val="dotpoint2"/>
      </w:pPr>
      <w:r>
        <w:t xml:space="preserve">money in relation to money received because of the attachment of a debt </w:t>
      </w:r>
      <w:proofErr w:type="gramStart"/>
      <w:r>
        <w:t>due;</w:t>
      </w:r>
      <w:proofErr w:type="gramEnd"/>
    </w:p>
    <w:p w14:paraId="0B74D472" w14:textId="77777777" w:rsidR="005D56D3" w:rsidRDefault="005D56D3" w:rsidP="005D56D3">
      <w:pPr>
        <w:pStyle w:val="dotpoint2"/>
      </w:pPr>
      <w:r>
        <w:t xml:space="preserve">proceeds of selling a </w:t>
      </w:r>
      <w:proofErr w:type="gramStart"/>
      <w:r>
        <w:t>property;</w:t>
      </w:r>
      <w:proofErr w:type="gramEnd"/>
      <w:r>
        <w:t xml:space="preserve"> </w:t>
      </w:r>
    </w:p>
    <w:p w14:paraId="1C06CB52" w14:textId="77777777" w:rsidR="005D56D3" w:rsidRDefault="005D56D3" w:rsidP="005D56D3">
      <w:pPr>
        <w:pStyle w:val="dotpoint2"/>
      </w:pPr>
      <w:r>
        <w:t xml:space="preserve">money of the body corporate seized; or </w:t>
      </w:r>
    </w:p>
    <w:p w14:paraId="4BB2BB37" w14:textId="6F927711" w:rsidR="005D56D3" w:rsidRDefault="005D56D3" w:rsidP="005D56D3">
      <w:pPr>
        <w:pStyle w:val="dotpoint2"/>
      </w:pPr>
      <w:r>
        <w:t xml:space="preserve">money paid to avoid seizure or sale of property. </w:t>
      </w:r>
      <w:r>
        <w:br/>
      </w:r>
      <w:r w:rsidRPr="007C1C96">
        <w:rPr>
          <w:rStyle w:val="References"/>
        </w:rPr>
        <w:t xml:space="preserve">[Schedule </w:t>
      </w:r>
      <w:r w:rsidR="00320AEF">
        <w:rPr>
          <w:rStyle w:val="References"/>
        </w:rPr>
        <w:t>1</w:t>
      </w:r>
      <w:r w:rsidRPr="007C1C96">
        <w:rPr>
          <w:rStyle w:val="References"/>
        </w:rPr>
        <w:t xml:space="preserve">, </w:t>
      </w:r>
      <w:r w:rsidR="00C568C9">
        <w:rPr>
          <w:rStyle w:val="References"/>
        </w:rPr>
        <w:t>item 14</w:t>
      </w:r>
      <w:r w:rsidRPr="007C1C96">
        <w:rPr>
          <w:rStyle w:val="References"/>
        </w:rPr>
        <w:t xml:space="preserve">, subsections </w:t>
      </w:r>
      <w:r w:rsidR="00990D8E">
        <w:rPr>
          <w:rStyle w:val="References"/>
        </w:rPr>
        <w:t>842</w:t>
      </w:r>
      <w:proofErr w:type="gramStart"/>
      <w:r w:rsidR="00990D8E">
        <w:rPr>
          <w:rStyle w:val="References"/>
        </w:rPr>
        <w:t>F</w:t>
      </w:r>
      <w:r w:rsidR="00F9592F">
        <w:rPr>
          <w:rStyle w:val="References"/>
        </w:rPr>
        <w:t>(</w:t>
      </w:r>
      <w:proofErr w:type="gramEnd"/>
      <w:r w:rsidR="00F9592F">
        <w:rPr>
          <w:rStyle w:val="References"/>
        </w:rPr>
        <w:t>1)</w:t>
      </w:r>
      <w:r w:rsidR="003F2841">
        <w:rPr>
          <w:rStyle w:val="References"/>
        </w:rPr>
        <w:t xml:space="preserve">, </w:t>
      </w:r>
      <w:r w:rsidRPr="007C1C96">
        <w:rPr>
          <w:rStyle w:val="References"/>
        </w:rPr>
        <w:t>(</w:t>
      </w:r>
      <w:r w:rsidR="00C379E2">
        <w:rPr>
          <w:rStyle w:val="References"/>
        </w:rPr>
        <w:t>2</w:t>
      </w:r>
      <w:r w:rsidRPr="007C1C96">
        <w:rPr>
          <w:rStyle w:val="References"/>
        </w:rPr>
        <w:t>) and (</w:t>
      </w:r>
      <w:r w:rsidR="00AF69A9">
        <w:rPr>
          <w:rStyle w:val="References"/>
        </w:rPr>
        <w:t>6</w:t>
      </w:r>
      <w:r w:rsidRPr="007C1C96">
        <w:rPr>
          <w:rStyle w:val="References"/>
        </w:rPr>
        <w:t>)</w:t>
      </w:r>
      <w:r w:rsidR="0004447F">
        <w:rPr>
          <w:rStyle w:val="References"/>
        </w:rPr>
        <w:t xml:space="preserve"> of the Act</w:t>
      </w:r>
      <w:r w:rsidRPr="007C1C96">
        <w:rPr>
          <w:rStyle w:val="References"/>
        </w:rPr>
        <w:t>]</w:t>
      </w:r>
    </w:p>
    <w:p w14:paraId="0FF3155A" w14:textId="60EEAEBA" w:rsidR="00F9592F" w:rsidRPr="00386582" w:rsidRDefault="00F9592F" w:rsidP="00F9592F">
      <w:pPr>
        <w:pStyle w:val="Normalparatextwithnumbers"/>
        <w:rPr>
          <w:rStyle w:val="References"/>
          <w:b w:val="0"/>
          <w:bCs w:val="0"/>
          <w:i w:val="0"/>
          <w:iCs w:val="0"/>
        </w:rPr>
      </w:pPr>
      <w:r>
        <w:t xml:space="preserve">Any money or proceeds that are paid to the </w:t>
      </w:r>
      <w:r w:rsidR="00C379E2">
        <w:t>C</w:t>
      </w:r>
      <w:r>
        <w:t>ourt and in the court officer’s possession must be provided to the statutory manager</w:t>
      </w:r>
      <w:r w:rsidR="00C379E2">
        <w:t xml:space="preserve"> at the time of notification</w:t>
      </w:r>
      <w:r>
        <w:t xml:space="preserve">. If there is no statutory manager, the Court may direct the court officer to make the payment as appropriate. </w:t>
      </w:r>
      <w:r w:rsidR="00C379E2">
        <w:t>The position of the person who commissioned the enforcement action will be protected by providing that the court officer may retain, as a first charge on the proceeds or money given to the statutory manager, so much of the proceeds or money that the court officer thinks necessary to cover the costs of the enforcement action which has already taken place and costs which might otherwise be levied against the person who commissioned the enforcement action.</w:t>
      </w:r>
      <w:r w:rsidR="00AF69A9" w:rsidRPr="00AF69A9">
        <w:t xml:space="preserve"> </w:t>
      </w:r>
      <w:r>
        <w:br/>
      </w:r>
      <w:r w:rsidRPr="006B5CA6">
        <w:rPr>
          <w:rStyle w:val="References"/>
        </w:rPr>
        <w:t>[</w:t>
      </w:r>
      <w:r>
        <w:rPr>
          <w:rStyle w:val="References"/>
        </w:rPr>
        <w:t xml:space="preserve">Schedule </w:t>
      </w:r>
      <w:r w:rsidR="00320AEF">
        <w:rPr>
          <w:rStyle w:val="References"/>
        </w:rPr>
        <w:t>1</w:t>
      </w:r>
      <w:r w:rsidRPr="006B5CA6">
        <w:rPr>
          <w:rStyle w:val="References"/>
        </w:rPr>
        <w:t xml:space="preserve">, </w:t>
      </w:r>
      <w:r w:rsidR="00C568C9">
        <w:rPr>
          <w:rStyle w:val="References"/>
        </w:rPr>
        <w:t>item 14</w:t>
      </w:r>
      <w:r w:rsidRPr="006B5CA6">
        <w:rPr>
          <w:rStyle w:val="References"/>
        </w:rPr>
        <w:t xml:space="preserve">, </w:t>
      </w:r>
      <w:r>
        <w:rPr>
          <w:rStyle w:val="References"/>
        </w:rPr>
        <w:t>sub</w:t>
      </w:r>
      <w:r w:rsidRPr="006B5CA6">
        <w:rPr>
          <w:rStyle w:val="References"/>
        </w:rPr>
        <w:t>section</w:t>
      </w:r>
      <w:r w:rsidR="00AF69A9">
        <w:rPr>
          <w:rStyle w:val="References"/>
        </w:rPr>
        <w:t>s</w:t>
      </w:r>
      <w:r w:rsidRPr="006B5CA6">
        <w:rPr>
          <w:rStyle w:val="References"/>
        </w:rPr>
        <w:t xml:space="preserve"> </w:t>
      </w:r>
      <w:r w:rsidR="00990D8E">
        <w:rPr>
          <w:rStyle w:val="References"/>
        </w:rPr>
        <w:t>842</w:t>
      </w:r>
      <w:proofErr w:type="gramStart"/>
      <w:r w:rsidR="00990D8E">
        <w:rPr>
          <w:rStyle w:val="References"/>
        </w:rPr>
        <w:t>F</w:t>
      </w:r>
      <w:r>
        <w:rPr>
          <w:rStyle w:val="References"/>
        </w:rPr>
        <w:t>(</w:t>
      </w:r>
      <w:proofErr w:type="gramEnd"/>
      <w:r w:rsidR="00C379E2">
        <w:rPr>
          <w:rStyle w:val="References"/>
        </w:rPr>
        <w:t>3</w:t>
      </w:r>
      <w:r>
        <w:rPr>
          <w:rStyle w:val="References"/>
        </w:rPr>
        <w:t>)</w:t>
      </w:r>
      <w:r w:rsidR="004B3AD7">
        <w:rPr>
          <w:rStyle w:val="References"/>
        </w:rPr>
        <w:t xml:space="preserve">, (4) and </w:t>
      </w:r>
      <w:r w:rsidR="00AF69A9">
        <w:rPr>
          <w:rStyle w:val="References"/>
        </w:rPr>
        <w:t>(5)</w:t>
      </w:r>
      <w:r>
        <w:rPr>
          <w:rStyle w:val="References"/>
        </w:rPr>
        <w:t xml:space="preserve"> </w:t>
      </w:r>
      <w:r w:rsidRPr="006B5CA6">
        <w:rPr>
          <w:rStyle w:val="References"/>
        </w:rPr>
        <w:t xml:space="preserve">of the </w:t>
      </w:r>
      <w:r>
        <w:rPr>
          <w:rStyle w:val="References"/>
        </w:rPr>
        <w:t>Act</w:t>
      </w:r>
      <w:r w:rsidRPr="006B5CA6">
        <w:rPr>
          <w:rStyle w:val="References"/>
        </w:rPr>
        <w:t>]</w:t>
      </w:r>
    </w:p>
    <w:p w14:paraId="7B86D54A" w14:textId="63A0AAC0" w:rsidR="00F9592F" w:rsidRPr="008154CD" w:rsidRDefault="00F9592F" w:rsidP="00F9592F">
      <w:pPr>
        <w:pStyle w:val="Normalparatextwithnumbers"/>
        <w:rPr>
          <w:rStyle w:val="References"/>
          <w:b w:val="0"/>
          <w:i w:val="0"/>
        </w:rPr>
      </w:pPr>
      <w:r>
        <w:t>Finally, a person who buys property in good faith under a process of execution will be protected, by providing that person with good title to the property as against the company and the statutory manager.</w:t>
      </w:r>
      <w:r w:rsidR="00AF69A9" w:rsidRPr="00AF69A9">
        <w:t xml:space="preserve"> </w:t>
      </w:r>
      <w:r w:rsidR="000945D1">
        <w:t>A person that acts in g</w:t>
      </w:r>
      <w:r w:rsidR="00AF69A9">
        <w:t xml:space="preserve">ood faith </w:t>
      </w:r>
      <w:r w:rsidR="000945D1">
        <w:t xml:space="preserve">has the </w:t>
      </w:r>
      <w:r w:rsidR="00AF69A9" w:rsidRPr="00AF69A9">
        <w:t>sincere intention to be fair, open, and honest</w:t>
      </w:r>
      <w:r w:rsidR="000945D1">
        <w:t>.</w:t>
      </w:r>
      <w:r>
        <w:br/>
      </w:r>
      <w:r w:rsidRPr="00EC435F">
        <w:rPr>
          <w:rStyle w:val="References"/>
        </w:rPr>
        <w:t xml:space="preserve">[Schedule </w:t>
      </w:r>
      <w:r w:rsidR="00E2356E">
        <w:rPr>
          <w:rStyle w:val="References"/>
        </w:rPr>
        <w:t>1</w:t>
      </w:r>
      <w:r w:rsidRPr="00EC435F">
        <w:rPr>
          <w:rStyle w:val="References"/>
        </w:rPr>
        <w:t xml:space="preserve">, </w:t>
      </w:r>
      <w:r w:rsidR="00C568C9">
        <w:rPr>
          <w:rStyle w:val="References"/>
        </w:rPr>
        <w:t>item 14</w:t>
      </w:r>
      <w:r w:rsidRPr="00EC435F">
        <w:rPr>
          <w:rStyle w:val="References"/>
        </w:rPr>
        <w:t xml:space="preserve">, subsection </w:t>
      </w:r>
      <w:r w:rsidR="00481435">
        <w:rPr>
          <w:rStyle w:val="References"/>
        </w:rPr>
        <w:t>842</w:t>
      </w:r>
      <w:proofErr w:type="gramStart"/>
      <w:r>
        <w:rPr>
          <w:rStyle w:val="References"/>
        </w:rPr>
        <w:t>F</w:t>
      </w:r>
      <w:r w:rsidRPr="00EC435F">
        <w:rPr>
          <w:rStyle w:val="References"/>
        </w:rPr>
        <w:t>(</w:t>
      </w:r>
      <w:proofErr w:type="gramEnd"/>
      <w:r>
        <w:rPr>
          <w:rStyle w:val="References"/>
        </w:rPr>
        <w:t>7</w:t>
      </w:r>
      <w:r w:rsidRPr="00EC435F">
        <w:rPr>
          <w:rStyle w:val="References"/>
        </w:rPr>
        <w:t>) of the Act]</w:t>
      </w:r>
    </w:p>
    <w:p w14:paraId="18410C69" w14:textId="77777777" w:rsidR="00BE04B6" w:rsidRDefault="00BE04B6" w:rsidP="00BE04B6">
      <w:pPr>
        <w:pStyle w:val="Normalparatextwithnumbers"/>
      </w:pPr>
      <w:r>
        <w:rPr>
          <w:rStyle w:val="References"/>
          <w:b w:val="0"/>
          <w:bCs w:val="0"/>
          <w:i w:val="0"/>
          <w:iCs w:val="0"/>
        </w:rPr>
        <w:t xml:space="preserve">The RBA or statutory manager of a body corporate is not liable to an action or other proceeding for damages in respect of a refusal to give an approval or consent for protecting the body corporate’s property. </w:t>
      </w:r>
      <w:r>
        <w:rPr>
          <w:rStyle w:val="References"/>
          <w:b w:val="0"/>
          <w:bCs w:val="0"/>
          <w:i w:val="0"/>
          <w:iCs w:val="0"/>
        </w:rPr>
        <w:br/>
      </w:r>
      <w:r>
        <w:rPr>
          <w:rStyle w:val="References"/>
        </w:rPr>
        <w:t>[Schedule 1, item 14, section 842D of the Act]</w:t>
      </w:r>
    </w:p>
    <w:p w14:paraId="380D5926" w14:textId="77777777" w:rsidR="00403D57" w:rsidRDefault="00403D57" w:rsidP="00403D57">
      <w:pPr>
        <w:pStyle w:val="Heading6"/>
        <w:rPr>
          <w:rFonts w:hint="eastAsia"/>
        </w:rPr>
      </w:pPr>
      <w:r>
        <w:t xml:space="preserve">Voluntary winding up </w:t>
      </w:r>
      <w:proofErr w:type="gramStart"/>
      <w:r>
        <w:t>prohibited</w:t>
      </w:r>
      <w:proofErr w:type="gramEnd"/>
      <w:r>
        <w:t xml:space="preserve"> </w:t>
      </w:r>
    </w:p>
    <w:p w14:paraId="7321D7F3" w14:textId="06F19A77" w:rsidR="00403D57" w:rsidRDefault="00403D57" w:rsidP="00403D57">
      <w:pPr>
        <w:pStyle w:val="Normalparatextwithnumbers"/>
        <w:numPr>
          <w:ilvl w:val="1"/>
          <w:numId w:val="6"/>
        </w:numPr>
      </w:pPr>
      <w:r>
        <w:t xml:space="preserve">Whilst under statutory management or if a transfer is in effect, a body corporate cannot be wound up voluntarily. Any applications the Court receives for an order to wind up a body corporate whilst the moratorium provisions apply are adjourned by the Court. The Court may not appoint a provisional liquidator of a body corporate during the statutory management or compulsory </w:t>
      </w:r>
      <w:r>
        <w:lastRenderedPageBreak/>
        <w:t>transfer.</w:t>
      </w:r>
      <w:r>
        <w:br/>
      </w:r>
      <w:r>
        <w:rPr>
          <w:rStyle w:val="References"/>
        </w:rPr>
        <w:t>[Schedule 1, item 14 section 842A of the Act]</w:t>
      </w:r>
    </w:p>
    <w:p w14:paraId="749DB217" w14:textId="7CA8D7CF" w:rsidR="00990D8E" w:rsidRDefault="00990D8E" w:rsidP="00990D8E">
      <w:pPr>
        <w:pStyle w:val="Normalparatextwithnumbers"/>
      </w:pPr>
      <w:r>
        <w:t xml:space="preserve">If a body corporate goes into liquidation after the moratorium </w:t>
      </w:r>
      <w:r w:rsidR="00C50B4E">
        <w:t xml:space="preserve">provisions </w:t>
      </w:r>
      <w:r>
        <w:t xml:space="preserve">end, the liquidation provisions under sections 468, 471B, 471C and 500 of the Act will take effect. </w:t>
      </w:r>
      <w:r w:rsidRPr="0023229C">
        <w:t>The CS</w:t>
      </w:r>
      <w:r>
        <w:t xml:space="preserve"> facility</w:t>
      </w:r>
      <w:r w:rsidRPr="0023229C">
        <w:t xml:space="preserve"> </w:t>
      </w:r>
      <w:r>
        <w:t>l</w:t>
      </w:r>
      <w:r w:rsidRPr="0023229C">
        <w:t xml:space="preserve">icensee </w:t>
      </w:r>
      <w:r>
        <w:t>is</w:t>
      </w:r>
      <w:r w:rsidRPr="0023229C">
        <w:t xml:space="preserve"> required to meet any liabilities incurred and </w:t>
      </w:r>
      <w:r>
        <w:t>recommence</w:t>
      </w:r>
      <w:r w:rsidRPr="0023229C">
        <w:t xml:space="preserve"> legal proceedings after the moratorium</w:t>
      </w:r>
      <w:r w:rsidR="008B7ACF">
        <w:t xml:space="preserve"> provisions</w:t>
      </w:r>
      <w:r w:rsidRPr="0023229C">
        <w:t xml:space="preserve"> lapsed</w:t>
      </w:r>
      <w:r>
        <w:t>.</w:t>
      </w:r>
    </w:p>
    <w:p w14:paraId="063558ED" w14:textId="77777777" w:rsidR="00F94D93" w:rsidRDefault="00F94D93" w:rsidP="00F94D93">
      <w:pPr>
        <w:pStyle w:val="Heading5"/>
        <w:numPr>
          <w:ilvl w:val="0"/>
          <w:numId w:val="0"/>
        </w:numPr>
        <w:rPr>
          <w:rStyle w:val="References"/>
        </w:rPr>
      </w:pPr>
      <w:r>
        <w:t xml:space="preserve">General power to make </w:t>
      </w:r>
      <w:proofErr w:type="gramStart"/>
      <w:r>
        <w:t>orders</w:t>
      </w:r>
      <w:proofErr w:type="gramEnd"/>
    </w:p>
    <w:p w14:paraId="47A12216" w14:textId="1426A768" w:rsidR="00F94D93" w:rsidRPr="00AC4AB8" w:rsidRDefault="00F94D93" w:rsidP="00F94D93">
      <w:pPr>
        <w:pStyle w:val="Normalparatextwithnumbers"/>
        <w:numPr>
          <w:ilvl w:val="1"/>
          <w:numId w:val="6"/>
        </w:numPr>
        <w:rPr>
          <w:rStyle w:val="References"/>
          <w:b w:val="0"/>
          <w:bCs w:val="0"/>
          <w:i w:val="0"/>
          <w:iCs w:val="0"/>
        </w:rPr>
      </w:pPr>
      <w:r>
        <w:rPr>
          <w:rStyle w:val="References"/>
          <w:b w:val="0"/>
          <w:bCs w:val="0"/>
          <w:i w:val="0"/>
          <w:iCs w:val="0"/>
        </w:rPr>
        <w:t xml:space="preserve">The Court has the power to make orders in respect of any moratorium </w:t>
      </w:r>
      <w:r w:rsidR="008B7ACF">
        <w:rPr>
          <w:rStyle w:val="References"/>
          <w:b w:val="0"/>
          <w:bCs w:val="0"/>
          <w:i w:val="0"/>
          <w:iCs w:val="0"/>
        </w:rPr>
        <w:t xml:space="preserve">provisions </w:t>
      </w:r>
      <w:r>
        <w:rPr>
          <w:rStyle w:val="References"/>
          <w:b w:val="0"/>
          <w:bCs w:val="0"/>
          <w:i w:val="0"/>
          <w:iCs w:val="0"/>
        </w:rPr>
        <w:t xml:space="preserve">to deal with </w:t>
      </w:r>
      <w:r w:rsidRPr="00DF619F">
        <w:rPr>
          <w:rStyle w:val="References"/>
          <w:b w:val="0"/>
          <w:bCs w:val="0"/>
          <w:i w:val="0"/>
          <w:iCs w:val="0"/>
        </w:rPr>
        <w:t>property disputes over how the stay provisions apply</w:t>
      </w:r>
      <w:r>
        <w:rPr>
          <w:rStyle w:val="References"/>
          <w:b w:val="0"/>
          <w:bCs w:val="0"/>
          <w:i w:val="0"/>
          <w:iCs w:val="0"/>
        </w:rPr>
        <w:t>.</w:t>
      </w:r>
      <w:r>
        <w:rPr>
          <w:rStyle w:val="References"/>
          <w:b w:val="0"/>
          <w:bCs w:val="0"/>
          <w:i w:val="0"/>
          <w:iCs w:val="0"/>
        </w:rPr>
        <w:br/>
        <w:t xml:space="preserve">The </w:t>
      </w:r>
      <w:r w:rsidRPr="00DF619F">
        <w:rPr>
          <w:rStyle w:val="References"/>
          <w:b w:val="0"/>
          <w:bCs w:val="0"/>
          <w:i w:val="0"/>
          <w:iCs w:val="0"/>
        </w:rPr>
        <w:t>inclu</w:t>
      </w:r>
      <w:r>
        <w:rPr>
          <w:rStyle w:val="References"/>
          <w:b w:val="0"/>
          <w:bCs w:val="0"/>
          <w:i w:val="0"/>
          <w:iCs w:val="0"/>
        </w:rPr>
        <w:t xml:space="preserve">sion of the general power </w:t>
      </w:r>
      <w:r w:rsidRPr="00DF619F">
        <w:rPr>
          <w:rStyle w:val="References"/>
          <w:b w:val="0"/>
          <w:bCs w:val="0"/>
          <w:i w:val="0"/>
          <w:iCs w:val="0"/>
        </w:rPr>
        <w:t xml:space="preserve">is to mostly deal with </w:t>
      </w:r>
      <w:r>
        <w:rPr>
          <w:rStyle w:val="References"/>
          <w:b w:val="0"/>
          <w:bCs w:val="0"/>
          <w:i w:val="0"/>
          <w:iCs w:val="0"/>
        </w:rPr>
        <w:t xml:space="preserve">how the RBA may operate in relation to a particular body corporate, subject to conditions. An order may be made on application of the body corporate, a creditor of the body corporate, a statutory manager of the body corporate, the RBA, or any other interested person. </w:t>
      </w:r>
      <w:r>
        <w:rPr>
          <w:rStyle w:val="References"/>
        </w:rPr>
        <w:br/>
        <w:t>[Schedule 1, item 14, subsection 843A of the Act]</w:t>
      </w:r>
    </w:p>
    <w:p w14:paraId="6394F90D" w14:textId="1685B190" w:rsidR="00481435" w:rsidRDefault="00481435" w:rsidP="00481435">
      <w:pPr>
        <w:pStyle w:val="Heading4"/>
      </w:pPr>
      <w:r>
        <w:t>Stay</w:t>
      </w:r>
      <w:r w:rsidR="0067412C">
        <w:t>s</w:t>
      </w:r>
    </w:p>
    <w:p w14:paraId="3C706C39" w14:textId="021D455F" w:rsidR="00403D57" w:rsidRDefault="00403D57" w:rsidP="00403D57">
      <w:pPr>
        <w:pStyle w:val="Normalparatextwithnumbers"/>
        <w:rPr>
          <w:rStyle w:val="References"/>
          <w:b w:val="0"/>
          <w:bCs w:val="0"/>
          <w:i w:val="0"/>
          <w:iCs w:val="0"/>
        </w:rPr>
      </w:pPr>
      <w:r>
        <w:rPr>
          <w:rStyle w:val="References"/>
          <w:b w:val="0"/>
          <w:bCs w:val="0"/>
          <w:i w:val="0"/>
          <w:iCs w:val="0"/>
        </w:rPr>
        <w:t>The resolution regime include</w:t>
      </w:r>
      <w:r w:rsidR="007C1B6E">
        <w:rPr>
          <w:rStyle w:val="References"/>
          <w:b w:val="0"/>
          <w:bCs w:val="0"/>
          <w:i w:val="0"/>
          <w:iCs w:val="0"/>
        </w:rPr>
        <w:t>s</w:t>
      </w:r>
      <w:r>
        <w:rPr>
          <w:rStyle w:val="References"/>
          <w:b w:val="0"/>
          <w:bCs w:val="0"/>
          <w:i w:val="0"/>
          <w:iCs w:val="0"/>
        </w:rPr>
        <w:t xml:space="preserve"> three separate stay</w:t>
      </w:r>
      <w:r w:rsidR="00CE03D0">
        <w:rPr>
          <w:rStyle w:val="References"/>
          <w:b w:val="0"/>
          <w:bCs w:val="0"/>
          <w:i w:val="0"/>
          <w:iCs w:val="0"/>
        </w:rPr>
        <w:t xml:space="preserve"> provision</w:t>
      </w:r>
      <w:r>
        <w:rPr>
          <w:rStyle w:val="References"/>
          <w:b w:val="0"/>
          <w:bCs w:val="0"/>
          <w:i w:val="0"/>
          <w:iCs w:val="0"/>
        </w:rPr>
        <w:t>s</w:t>
      </w:r>
      <w:r w:rsidR="00CE03D0">
        <w:rPr>
          <w:rStyle w:val="References"/>
          <w:b w:val="0"/>
          <w:bCs w:val="0"/>
          <w:i w:val="0"/>
          <w:iCs w:val="0"/>
        </w:rPr>
        <w:t xml:space="preserve"> that operate to</w:t>
      </w:r>
      <w:r>
        <w:rPr>
          <w:rStyle w:val="References"/>
          <w:b w:val="0"/>
          <w:bCs w:val="0"/>
          <w:i w:val="0"/>
          <w:iCs w:val="0"/>
        </w:rPr>
        <w:t>:</w:t>
      </w:r>
    </w:p>
    <w:p w14:paraId="78C68E76" w14:textId="28CA6D3A" w:rsidR="00403D57" w:rsidRDefault="00403D57" w:rsidP="00403D57">
      <w:pPr>
        <w:pStyle w:val="Dotpoint1"/>
        <w:rPr>
          <w:rStyle w:val="References"/>
          <w:b w:val="0"/>
          <w:bCs w:val="0"/>
          <w:i w:val="0"/>
          <w:iCs w:val="0"/>
        </w:rPr>
      </w:pPr>
      <w:r>
        <w:rPr>
          <w:rStyle w:val="References"/>
          <w:b w:val="0"/>
          <w:bCs w:val="0"/>
          <w:i w:val="0"/>
          <w:iCs w:val="0"/>
        </w:rPr>
        <w:t>den</w:t>
      </w:r>
      <w:r w:rsidR="00CE03D0">
        <w:rPr>
          <w:rStyle w:val="References"/>
          <w:b w:val="0"/>
          <w:bCs w:val="0"/>
          <w:i w:val="0"/>
          <w:iCs w:val="0"/>
        </w:rPr>
        <w:t>y</w:t>
      </w:r>
      <w:r>
        <w:rPr>
          <w:rStyle w:val="References"/>
          <w:b w:val="0"/>
          <w:bCs w:val="0"/>
          <w:i w:val="0"/>
          <w:iCs w:val="0"/>
        </w:rPr>
        <w:t xml:space="preserve"> </w:t>
      </w:r>
      <w:r w:rsidR="00CE03D0">
        <w:rPr>
          <w:rStyle w:val="References"/>
          <w:b w:val="0"/>
          <w:bCs w:val="0"/>
          <w:i w:val="0"/>
          <w:iCs w:val="0"/>
        </w:rPr>
        <w:t xml:space="preserve">termination rights or other rights when the RBA exercises a resolution </w:t>
      </w:r>
      <w:proofErr w:type="gramStart"/>
      <w:r w:rsidR="00CE03D0">
        <w:rPr>
          <w:rStyle w:val="References"/>
          <w:b w:val="0"/>
          <w:bCs w:val="0"/>
          <w:i w:val="0"/>
          <w:iCs w:val="0"/>
        </w:rPr>
        <w:t>power</w:t>
      </w:r>
      <w:r>
        <w:rPr>
          <w:rStyle w:val="References"/>
          <w:b w:val="0"/>
          <w:bCs w:val="0"/>
          <w:i w:val="0"/>
          <w:iCs w:val="0"/>
        </w:rPr>
        <w:t>;</w:t>
      </w:r>
      <w:proofErr w:type="gramEnd"/>
    </w:p>
    <w:p w14:paraId="396040A3" w14:textId="076E89BB" w:rsidR="00403D57" w:rsidRDefault="009A3D3F" w:rsidP="00403D57">
      <w:pPr>
        <w:pStyle w:val="Dotpoint1"/>
        <w:rPr>
          <w:rStyle w:val="References"/>
          <w:b w:val="0"/>
          <w:bCs w:val="0"/>
          <w:i w:val="0"/>
          <w:iCs w:val="0"/>
        </w:rPr>
      </w:pPr>
      <w:r>
        <w:rPr>
          <w:rStyle w:val="References"/>
          <w:b w:val="0"/>
          <w:bCs w:val="0"/>
          <w:i w:val="0"/>
          <w:iCs w:val="0"/>
        </w:rPr>
        <w:t xml:space="preserve">suspend </w:t>
      </w:r>
      <w:r w:rsidR="00403D57">
        <w:rPr>
          <w:rStyle w:val="References"/>
          <w:b w:val="0"/>
          <w:bCs w:val="0"/>
          <w:i w:val="0"/>
          <w:iCs w:val="0"/>
        </w:rPr>
        <w:t xml:space="preserve">enforcement of rights; and  </w:t>
      </w:r>
    </w:p>
    <w:p w14:paraId="4894687E" w14:textId="31E9EA7B" w:rsidR="00403D57" w:rsidRDefault="00403D57" w:rsidP="00403D57">
      <w:pPr>
        <w:pStyle w:val="Dotpoint1"/>
        <w:rPr>
          <w:rStyle w:val="References"/>
          <w:b w:val="0"/>
          <w:bCs w:val="0"/>
          <w:i w:val="0"/>
          <w:iCs w:val="0"/>
        </w:rPr>
      </w:pPr>
      <w:r>
        <w:rPr>
          <w:rStyle w:val="References"/>
          <w:b w:val="0"/>
          <w:bCs w:val="0"/>
          <w:i w:val="0"/>
          <w:iCs w:val="0"/>
        </w:rPr>
        <w:t>temporar</w:t>
      </w:r>
      <w:r w:rsidR="00E50C88">
        <w:rPr>
          <w:rStyle w:val="References"/>
          <w:b w:val="0"/>
          <w:bCs w:val="0"/>
          <w:i w:val="0"/>
          <w:iCs w:val="0"/>
        </w:rPr>
        <w:t>ily</w:t>
      </w:r>
      <w:r>
        <w:rPr>
          <w:rStyle w:val="References"/>
          <w:b w:val="0"/>
          <w:bCs w:val="0"/>
          <w:i w:val="0"/>
          <w:iCs w:val="0"/>
        </w:rPr>
        <w:t xml:space="preserve"> suspen</w:t>
      </w:r>
      <w:r w:rsidR="00E50C88">
        <w:rPr>
          <w:rStyle w:val="References"/>
          <w:b w:val="0"/>
          <w:bCs w:val="0"/>
          <w:i w:val="0"/>
          <w:iCs w:val="0"/>
        </w:rPr>
        <w:t>d</w:t>
      </w:r>
      <w:r>
        <w:rPr>
          <w:rStyle w:val="References"/>
          <w:b w:val="0"/>
          <w:bCs w:val="0"/>
          <w:i w:val="0"/>
          <w:iCs w:val="0"/>
        </w:rPr>
        <w:t xml:space="preserve"> rights </w:t>
      </w:r>
      <w:r w:rsidR="00CE03D0">
        <w:rPr>
          <w:rStyle w:val="References"/>
          <w:b w:val="0"/>
          <w:bCs w:val="0"/>
          <w:i w:val="0"/>
          <w:iCs w:val="0"/>
        </w:rPr>
        <w:t xml:space="preserve">when the RBA makes </w:t>
      </w:r>
      <w:r>
        <w:rPr>
          <w:rStyle w:val="References"/>
          <w:b w:val="0"/>
          <w:bCs w:val="0"/>
          <w:i w:val="0"/>
          <w:iCs w:val="0"/>
        </w:rPr>
        <w:t>a notifiable instrument</w:t>
      </w:r>
      <w:r w:rsidR="00CE03D0">
        <w:rPr>
          <w:rStyle w:val="References"/>
          <w:b w:val="0"/>
          <w:bCs w:val="0"/>
          <w:i w:val="0"/>
          <w:iCs w:val="0"/>
        </w:rPr>
        <w:t xml:space="preserve">. </w:t>
      </w:r>
      <w:r>
        <w:rPr>
          <w:rStyle w:val="References"/>
          <w:b w:val="0"/>
          <w:bCs w:val="0"/>
          <w:i w:val="0"/>
          <w:iCs w:val="0"/>
        </w:rPr>
        <w:t xml:space="preserve"> </w:t>
      </w:r>
    </w:p>
    <w:p w14:paraId="68D20300" w14:textId="0F5BD2B8" w:rsidR="00244FA9" w:rsidRDefault="00244FA9" w:rsidP="00D75A32">
      <w:pPr>
        <w:pStyle w:val="Heading5"/>
      </w:pPr>
      <w:r>
        <w:t xml:space="preserve">General stay provision </w:t>
      </w:r>
    </w:p>
    <w:p w14:paraId="33F75D59" w14:textId="3EAF5EBB" w:rsidR="00403D57" w:rsidRPr="004F349D" w:rsidRDefault="00CE03D0" w:rsidP="00403D57">
      <w:pPr>
        <w:pStyle w:val="Normalparatextwithnumbers"/>
        <w:rPr>
          <w:rStyle w:val="References"/>
          <w:b w:val="0"/>
          <w:bCs w:val="0"/>
          <w:i w:val="0"/>
          <w:iCs w:val="0"/>
        </w:rPr>
      </w:pPr>
      <w:r>
        <w:t xml:space="preserve">At </w:t>
      </w:r>
      <w:r w:rsidR="00684CEC">
        <w:t xml:space="preserve">the </w:t>
      </w:r>
      <w:r>
        <w:t xml:space="preserve">time the </w:t>
      </w:r>
      <w:r w:rsidR="00684CEC">
        <w:t xml:space="preserve">RBA </w:t>
      </w:r>
      <w:r w:rsidR="00403D57">
        <w:t>exercise</w:t>
      </w:r>
      <w:r w:rsidR="00684CEC">
        <w:t xml:space="preserve">s </w:t>
      </w:r>
      <w:r w:rsidR="00403D57">
        <w:t>any resolution power</w:t>
      </w:r>
      <w:r>
        <w:t xml:space="preserve"> in relation to a body corporate or related body corporate, stay provisions apply to prevent</w:t>
      </w:r>
      <w:r w:rsidR="00FB12A4">
        <w:t xml:space="preserve"> counterparties </w:t>
      </w:r>
      <w:r>
        <w:t xml:space="preserve">from </w:t>
      </w:r>
      <w:r w:rsidR="00FB12A4">
        <w:t>terminat</w:t>
      </w:r>
      <w:r>
        <w:t>ing</w:t>
      </w:r>
      <w:r w:rsidR="00FB12A4">
        <w:t xml:space="preserve"> rights or any other rights under a contract with the body corporate or related body corporate that is being resolved by the RBA. </w:t>
      </w:r>
      <w:r>
        <w:t>That is, c</w:t>
      </w:r>
      <w:r w:rsidR="00FB12A4">
        <w:t xml:space="preserve">ounterparties must not use the </w:t>
      </w:r>
      <w:r>
        <w:t>RBA’s exercise of</w:t>
      </w:r>
      <w:r w:rsidR="00FB12A4">
        <w:t xml:space="preserve"> power</w:t>
      </w:r>
      <w:r>
        <w:t xml:space="preserve"> as a reason to </w:t>
      </w:r>
      <w:r w:rsidR="00403D57">
        <w:t>deny an obligation, accelerate a debt, terminate or close</w:t>
      </w:r>
      <w:r w:rsidR="000E21F7">
        <w:noBreakHyphen/>
      </w:r>
      <w:r w:rsidR="00403D57">
        <w:t>out a transaction, or enforce a security</w:t>
      </w:r>
      <w:r>
        <w:t xml:space="preserve"> under a contract with </w:t>
      </w:r>
      <w:r w:rsidR="000E21F7">
        <w:t>the body corporate or related body corporate that is the subject of resolution</w:t>
      </w:r>
      <w:r w:rsidR="00403D57">
        <w:t xml:space="preserve">. </w:t>
      </w:r>
      <w:r w:rsidR="00403D57">
        <w:br/>
      </w:r>
      <w:r w:rsidR="00403D57" w:rsidRPr="00511FEC">
        <w:rPr>
          <w:rStyle w:val="References"/>
        </w:rPr>
        <w:t xml:space="preserve">[Schedule </w:t>
      </w:r>
      <w:r w:rsidR="00403D57">
        <w:rPr>
          <w:rStyle w:val="References"/>
        </w:rPr>
        <w:t>1</w:t>
      </w:r>
      <w:r w:rsidR="00403D57" w:rsidRPr="00511FEC">
        <w:rPr>
          <w:rStyle w:val="References"/>
        </w:rPr>
        <w:t xml:space="preserve">, </w:t>
      </w:r>
      <w:r w:rsidR="00403D57">
        <w:rPr>
          <w:rStyle w:val="References"/>
        </w:rPr>
        <w:t>item 14</w:t>
      </w:r>
      <w:r w:rsidR="00403D57" w:rsidRPr="00511FEC">
        <w:rPr>
          <w:rStyle w:val="References"/>
        </w:rPr>
        <w:t>, section</w:t>
      </w:r>
      <w:r w:rsidR="00403D57">
        <w:rPr>
          <w:rStyle w:val="References"/>
        </w:rPr>
        <w:t>s</w:t>
      </w:r>
      <w:r w:rsidR="00403D57" w:rsidRPr="00511FEC">
        <w:rPr>
          <w:rStyle w:val="References"/>
        </w:rPr>
        <w:t xml:space="preserve"> </w:t>
      </w:r>
      <w:r w:rsidR="00403D57">
        <w:rPr>
          <w:rStyle w:val="References"/>
        </w:rPr>
        <w:t>849E</w:t>
      </w:r>
      <w:r w:rsidR="00403D57" w:rsidRPr="00511FEC">
        <w:rPr>
          <w:rStyle w:val="References"/>
        </w:rPr>
        <w:t xml:space="preserve"> of the Act]</w:t>
      </w:r>
    </w:p>
    <w:p w14:paraId="2AF62BC1" w14:textId="28685EC0" w:rsidR="004F349D" w:rsidRDefault="004F349D" w:rsidP="00234D68">
      <w:pPr>
        <w:pStyle w:val="Normalparatextwithnumbers"/>
      </w:pPr>
      <w:r>
        <w:t xml:space="preserve">The stay is intended to </w:t>
      </w:r>
      <w:r w:rsidR="00041E0E">
        <w:t>be in place from</w:t>
      </w:r>
      <w:r>
        <w:t xml:space="preserve"> the time the RBA exercises a resolution power (including appointing a statutory manager, making a transfer or issuing a direction) and continue until the body corporate is resolved. This has the effect of preventing termination of any contracts between a counterparty and a domestic CS facility or related body corporate</w:t>
      </w:r>
      <w:r w:rsidR="00BE7035">
        <w:t>.</w:t>
      </w:r>
    </w:p>
    <w:p w14:paraId="60D3CDF2" w14:textId="678BB2A3" w:rsidR="00244FA9" w:rsidRDefault="00244FA9" w:rsidP="00D75A32">
      <w:pPr>
        <w:pStyle w:val="Heading5"/>
      </w:pPr>
      <w:r>
        <w:lastRenderedPageBreak/>
        <w:t>Stay on enforcement rights</w:t>
      </w:r>
      <w:r w:rsidR="000875EA">
        <w:t xml:space="preserve"> and temporary suspension of </w:t>
      </w:r>
      <w:proofErr w:type="gramStart"/>
      <w:r w:rsidR="000875EA">
        <w:t>rights</w:t>
      </w:r>
      <w:proofErr w:type="gramEnd"/>
    </w:p>
    <w:p w14:paraId="6523641A" w14:textId="4707A991" w:rsidR="00481435" w:rsidRDefault="00481435" w:rsidP="00481435">
      <w:pPr>
        <w:pStyle w:val="Normalparatextwithnumbers"/>
      </w:pPr>
      <w:r>
        <w:t xml:space="preserve">The stay on enforcement rights applies when a statutory manager is appointed to a body </w:t>
      </w:r>
      <w:proofErr w:type="gramStart"/>
      <w:r>
        <w:t>corporate</w:t>
      </w:r>
      <w:proofErr w:type="gramEnd"/>
      <w:r>
        <w:t xml:space="preserve"> or the RBA determines that a transfer is to take effect.</w:t>
      </w:r>
      <w:r w:rsidR="00DD09E5">
        <w:t xml:space="preserve"> </w:t>
      </w:r>
    </w:p>
    <w:p w14:paraId="1E5CB2BD" w14:textId="1C6D1600" w:rsidR="000875EA" w:rsidRDefault="000875EA" w:rsidP="00481435">
      <w:pPr>
        <w:pStyle w:val="Normalparatextwithnumbers"/>
        <w:numPr>
          <w:ilvl w:val="1"/>
          <w:numId w:val="6"/>
        </w:numPr>
      </w:pPr>
      <w:r>
        <w:t xml:space="preserve">The temporary suspension of rights operates by the RBA providing public notification that temporary stays are to apply if there is an intention to use either the statutory management or transfer powers. </w:t>
      </w:r>
    </w:p>
    <w:p w14:paraId="25B77684" w14:textId="6B25D198" w:rsidR="00481435" w:rsidRPr="00204771" w:rsidRDefault="00481435" w:rsidP="00481435">
      <w:pPr>
        <w:pStyle w:val="Heading6"/>
        <w:rPr>
          <w:rFonts w:hint="eastAsia"/>
        </w:rPr>
      </w:pPr>
      <w:r>
        <w:t>Application of stay</w:t>
      </w:r>
      <w:r w:rsidR="000875EA">
        <w:t xml:space="preserve"> on enforcement </w:t>
      </w:r>
      <w:proofErr w:type="gramStart"/>
      <w:r w:rsidR="000875EA">
        <w:t>right</w:t>
      </w:r>
      <w:r>
        <w:t>s</w:t>
      </w:r>
      <w:proofErr w:type="gramEnd"/>
      <w:r>
        <w:t xml:space="preserve"> </w:t>
      </w:r>
    </w:p>
    <w:p w14:paraId="62E250C9" w14:textId="77777777" w:rsidR="00481435" w:rsidRDefault="00481435" w:rsidP="00481435">
      <w:pPr>
        <w:pStyle w:val="Normalparatextwithnumbers"/>
      </w:pPr>
      <w:r>
        <w:t xml:space="preserve">The stay intends to capture any of the following entities: </w:t>
      </w:r>
    </w:p>
    <w:p w14:paraId="1F420F28" w14:textId="77777777" w:rsidR="00481435" w:rsidRDefault="00481435" w:rsidP="00481435">
      <w:pPr>
        <w:pStyle w:val="Dotpoint1"/>
      </w:pPr>
      <w:r>
        <w:t xml:space="preserve">a contractual counterparty of a domestic CS facility </w:t>
      </w:r>
      <w:proofErr w:type="gramStart"/>
      <w:r>
        <w:t>licensee;</w:t>
      </w:r>
      <w:proofErr w:type="gramEnd"/>
      <w:r>
        <w:t xml:space="preserve"> </w:t>
      </w:r>
    </w:p>
    <w:p w14:paraId="444C26BB" w14:textId="77777777" w:rsidR="00481435" w:rsidRDefault="00481435" w:rsidP="00481435">
      <w:pPr>
        <w:pStyle w:val="Dotpoint1"/>
      </w:pPr>
      <w:r>
        <w:t xml:space="preserve">a current or former related body </w:t>
      </w:r>
      <w:proofErr w:type="gramStart"/>
      <w:r>
        <w:t>corporate;</w:t>
      </w:r>
      <w:proofErr w:type="gramEnd"/>
      <w:r>
        <w:t xml:space="preserve"> </w:t>
      </w:r>
    </w:p>
    <w:p w14:paraId="3876AC6D" w14:textId="77777777" w:rsidR="00481435" w:rsidRDefault="00481435" w:rsidP="00481435">
      <w:pPr>
        <w:pStyle w:val="Dotpoint1"/>
      </w:pPr>
      <w:r>
        <w:t xml:space="preserve">any participants of the CS </w:t>
      </w:r>
      <w:proofErr w:type="gramStart"/>
      <w:r>
        <w:t>facility;</w:t>
      </w:r>
      <w:proofErr w:type="gramEnd"/>
      <w:r>
        <w:t xml:space="preserve"> </w:t>
      </w:r>
    </w:p>
    <w:p w14:paraId="3BC198EE" w14:textId="77777777" w:rsidR="00481435" w:rsidRDefault="00481435" w:rsidP="00481435">
      <w:pPr>
        <w:pStyle w:val="Dotpoint1"/>
      </w:pPr>
      <w:r>
        <w:t xml:space="preserve">intra-group service providers to the CS facility </w:t>
      </w:r>
      <w:proofErr w:type="gramStart"/>
      <w:r>
        <w:t>licensee;</w:t>
      </w:r>
      <w:proofErr w:type="gramEnd"/>
      <w:r>
        <w:t xml:space="preserve"> </w:t>
      </w:r>
    </w:p>
    <w:p w14:paraId="0D14B94E" w14:textId="3AD5CADA" w:rsidR="00481435" w:rsidRDefault="00481435" w:rsidP="00481435">
      <w:pPr>
        <w:pStyle w:val="Dotpoint1"/>
      </w:pPr>
      <w:r>
        <w:t>third party service providers to the CS facility licensee; and</w:t>
      </w:r>
    </w:p>
    <w:p w14:paraId="6F15ACD1" w14:textId="77777777" w:rsidR="00481435" w:rsidRDefault="00481435" w:rsidP="00481435">
      <w:pPr>
        <w:pStyle w:val="Dotpoint1"/>
      </w:pPr>
      <w:r>
        <w:t xml:space="preserve">any related bodies corporate and lenders. </w:t>
      </w:r>
    </w:p>
    <w:p w14:paraId="768FDE9C" w14:textId="0B63DB11" w:rsidR="00F152AC" w:rsidRPr="00CB67E7" w:rsidRDefault="00F152AC" w:rsidP="00F152AC">
      <w:pPr>
        <w:pStyle w:val="Normalparatextwithnumbers"/>
        <w:rPr>
          <w:rStyle w:val="References"/>
          <w:b w:val="0"/>
          <w:i w:val="0"/>
        </w:rPr>
      </w:pPr>
      <w:r>
        <w:t xml:space="preserve">The stay on clauses in contracts is intended to apply to a contract </w:t>
      </w:r>
      <w:proofErr w:type="gramStart"/>
      <w:r>
        <w:t>entered into</w:t>
      </w:r>
      <w:proofErr w:type="gramEnd"/>
      <w:r>
        <w:t xml:space="preserve"> by any group entity, even if no resolution action has been taken by the RBA in respect of that particular entity. For example, if a statutory manager is appointed to only a domestic CS facility licensee, the exclusion of contractual terms will apply to contracts </w:t>
      </w:r>
      <w:proofErr w:type="gramStart"/>
      <w:r>
        <w:t>entered into</w:t>
      </w:r>
      <w:proofErr w:type="gramEnd"/>
      <w:r>
        <w:t xml:space="preserve"> by a related operations entity with a third-party service provider.</w:t>
      </w:r>
    </w:p>
    <w:p w14:paraId="2D93B2B5" w14:textId="77777777" w:rsidR="00481435" w:rsidRDefault="00481435" w:rsidP="00481435">
      <w:pPr>
        <w:pStyle w:val="Normalparatextwithnumbers"/>
      </w:pPr>
      <w:r>
        <w:t xml:space="preserve">An express right in a contract, agreement or arrangement is not enforceable against a body corporate because of: </w:t>
      </w:r>
    </w:p>
    <w:p w14:paraId="163B8912" w14:textId="77777777" w:rsidR="00481435" w:rsidRDefault="00481435" w:rsidP="00481435">
      <w:pPr>
        <w:pStyle w:val="Dotpoint1"/>
      </w:pPr>
      <w:r>
        <w:t xml:space="preserve">the body corporate being under statutory </w:t>
      </w:r>
      <w:proofErr w:type="gramStart"/>
      <w:r>
        <w:t>management;</w:t>
      </w:r>
      <w:proofErr w:type="gramEnd"/>
      <w:r>
        <w:t xml:space="preserve"> </w:t>
      </w:r>
    </w:p>
    <w:p w14:paraId="05063DAD" w14:textId="4E9D4DB8" w:rsidR="00481435" w:rsidRDefault="00481435" w:rsidP="00481435">
      <w:pPr>
        <w:pStyle w:val="Dotpoint1"/>
      </w:pPr>
      <w:r>
        <w:t>a transfer determination be</w:t>
      </w:r>
      <w:r w:rsidR="00DD09E5">
        <w:t>ing</w:t>
      </w:r>
      <w:r>
        <w:t xml:space="preserve"> </w:t>
      </w:r>
      <w:proofErr w:type="gramStart"/>
      <w:r>
        <w:t>made;</w:t>
      </w:r>
      <w:proofErr w:type="gramEnd"/>
      <w:r>
        <w:t xml:space="preserve"> </w:t>
      </w:r>
    </w:p>
    <w:p w14:paraId="43E745CA" w14:textId="433781BB" w:rsidR="00DD09E5" w:rsidRDefault="00481435" w:rsidP="00234D68">
      <w:pPr>
        <w:pStyle w:val="Dotpoint1"/>
      </w:pPr>
      <w:r>
        <w:t xml:space="preserve">the financial position of the body </w:t>
      </w:r>
      <w:proofErr w:type="gramStart"/>
      <w:r>
        <w:t>corporate;</w:t>
      </w:r>
      <w:proofErr w:type="gramEnd"/>
      <w:r>
        <w:t xml:space="preserve"> </w:t>
      </w:r>
    </w:p>
    <w:p w14:paraId="2B7DCA71" w14:textId="6D21B0E7" w:rsidR="00DD09E5" w:rsidRDefault="00481435" w:rsidP="00234D68">
      <w:pPr>
        <w:pStyle w:val="Dotpoint1"/>
      </w:pPr>
      <w:r>
        <w:t xml:space="preserve">a reason prescribed in the regulations and </w:t>
      </w:r>
      <w:proofErr w:type="gramStart"/>
      <w:r>
        <w:t>relates</w:t>
      </w:r>
      <w:proofErr w:type="gramEnd"/>
      <w:r>
        <w:t xml:space="preserve"> to either the moratorium provisions possibly applying or the body corporate’s financial position</w:t>
      </w:r>
      <w:r w:rsidR="00DD09E5">
        <w:t>; or</w:t>
      </w:r>
      <w:r>
        <w:t xml:space="preserve"> </w:t>
      </w:r>
    </w:p>
    <w:p w14:paraId="1A6D352B" w14:textId="0C00F3E6" w:rsidR="00481435" w:rsidRDefault="00DD09E5" w:rsidP="00234D68">
      <w:pPr>
        <w:pStyle w:val="Dotpoint1"/>
      </w:pPr>
      <w:r>
        <w:t xml:space="preserve">any other reason that is in substance contrary to the </w:t>
      </w:r>
      <w:proofErr w:type="gramStart"/>
      <w:r>
        <w:t>aforementioned reasons</w:t>
      </w:r>
      <w:proofErr w:type="gramEnd"/>
      <w:r>
        <w:t>.</w:t>
      </w:r>
      <w:r w:rsidRPr="00511FEC">
        <w:rPr>
          <w:rStyle w:val="References"/>
        </w:rPr>
        <w:t xml:space="preserve"> </w:t>
      </w:r>
      <w:r w:rsidR="00481435" w:rsidRPr="00511FEC">
        <w:rPr>
          <w:rStyle w:val="References"/>
        </w:rPr>
        <w:t>[</w:t>
      </w:r>
      <w:r w:rsidR="00481435">
        <w:rPr>
          <w:rStyle w:val="References"/>
        </w:rPr>
        <w:t>Schedule 1</w:t>
      </w:r>
      <w:r w:rsidR="00481435" w:rsidRPr="00511FEC">
        <w:rPr>
          <w:rStyle w:val="References"/>
        </w:rPr>
        <w:t xml:space="preserve">, </w:t>
      </w:r>
      <w:r w:rsidR="00481435">
        <w:rPr>
          <w:rStyle w:val="References"/>
        </w:rPr>
        <w:t>item 14</w:t>
      </w:r>
      <w:r w:rsidR="00481435" w:rsidRPr="00511FEC">
        <w:rPr>
          <w:rStyle w:val="References"/>
        </w:rPr>
        <w:t xml:space="preserve">, </w:t>
      </w:r>
      <w:r w:rsidR="00481435">
        <w:rPr>
          <w:rStyle w:val="References"/>
        </w:rPr>
        <w:t>sub</w:t>
      </w:r>
      <w:r w:rsidR="00481435" w:rsidRPr="00511FEC">
        <w:rPr>
          <w:rStyle w:val="References"/>
        </w:rPr>
        <w:t>section</w:t>
      </w:r>
      <w:r w:rsidR="00481435">
        <w:rPr>
          <w:rStyle w:val="References"/>
        </w:rPr>
        <w:t>s</w:t>
      </w:r>
      <w:r w:rsidR="00481435" w:rsidRPr="00511FEC">
        <w:rPr>
          <w:rStyle w:val="References"/>
        </w:rPr>
        <w:t xml:space="preserve"> </w:t>
      </w:r>
      <w:r w:rsidR="00481435">
        <w:rPr>
          <w:rStyle w:val="References"/>
        </w:rPr>
        <w:t>841</w:t>
      </w:r>
      <w:proofErr w:type="gramStart"/>
      <w:r w:rsidR="00481435">
        <w:rPr>
          <w:rStyle w:val="References"/>
        </w:rPr>
        <w:t>A(</w:t>
      </w:r>
      <w:proofErr w:type="gramEnd"/>
      <w:r w:rsidR="00481435">
        <w:rPr>
          <w:rStyle w:val="References"/>
        </w:rPr>
        <w:t>1)</w:t>
      </w:r>
      <w:r w:rsidR="00BA4449">
        <w:rPr>
          <w:rStyle w:val="References"/>
        </w:rPr>
        <w:t xml:space="preserve">, </w:t>
      </w:r>
      <w:r w:rsidR="00481435">
        <w:rPr>
          <w:rStyle w:val="References"/>
        </w:rPr>
        <w:t xml:space="preserve">(2) </w:t>
      </w:r>
      <w:r w:rsidR="00BA4449">
        <w:rPr>
          <w:rStyle w:val="References"/>
        </w:rPr>
        <w:t>and (3)</w:t>
      </w:r>
      <w:r w:rsidR="00481435">
        <w:rPr>
          <w:rStyle w:val="References"/>
        </w:rPr>
        <w:t xml:space="preserve"> </w:t>
      </w:r>
      <w:r w:rsidR="00481435" w:rsidRPr="00511FEC">
        <w:rPr>
          <w:rStyle w:val="References"/>
        </w:rPr>
        <w:t>of the Act]</w:t>
      </w:r>
      <w:r w:rsidR="00481435">
        <w:t xml:space="preserve"> </w:t>
      </w:r>
    </w:p>
    <w:p w14:paraId="6A9D83D7" w14:textId="1B997854" w:rsidR="00481435" w:rsidRDefault="00481435" w:rsidP="00481435">
      <w:pPr>
        <w:pStyle w:val="Normalparatextwithnumbers"/>
      </w:pPr>
      <w:r>
        <w:t xml:space="preserve">The </w:t>
      </w:r>
      <w:r w:rsidR="0017406B">
        <w:t xml:space="preserve">period that a right cannot be enforced </w:t>
      </w:r>
      <w:r w:rsidR="004926B9">
        <w:t xml:space="preserve">begins at the time a statutory manager is appointed or a transfer determination is made. The right may only be enforced after the body corporate is no longer under statutory management, a transfer has been completed, a transfer is determined not to </w:t>
      </w:r>
      <w:proofErr w:type="gramStart"/>
      <w:r w:rsidR="004926B9">
        <w:t>proceed</w:t>
      </w:r>
      <w:proofErr w:type="gramEnd"/>
      <w:r>
        <w:t xml:space="preserve"> or the Court orders an extension of the stay period. </w:t>
      </w:r>
      <w:r>
        <w:br/>
      </w:r>
      <w:r w:rsidRPr="00DF0E71">
        <w:rPr>
          <w:rStyle w:val="References"/>
        </w:rPr>
        <w:t>[Schedule 1, item 14, subsections 841</w:t>
      </w:r>
      <w:proofErr w:type="gramStart"/>
      <w:r w:rsidRPr="00DF0E71">
        <w:rPr>
          <w:rStyle w:val="References"/>
        </w:rPr>
        <w:t>A(</w:t>
      </w:r>
      <w:proofErr w:type="gramEnd"/>
      <w:r w:rsidRPr="00DF0E71">
        <w:rPr>
          <w:rStyle w:val="References"/>
        </w:rPr>
        <w:t>4)</w:t>
      </w:r>
      <w:r w:rsidR="00487DD9">
        <w:rPr>
          <w:rStyle w:val="References"/>
        </w:rPr>
        <w:t xml:space="preserve"> and</w:t>
      </w:r>
      <w:r w:rsidR="002917A1">
        <w:rPr>
          <w:rStyle w:val="References"/>
        </w:rPr>
        <w:t xml:space="preserve"> </w:t>
      </w:r>
      <w:r w:rsidRPr="00DF0E71">
        <w:rPr>
          <w:rStyle w:val="References"/>
        </w:rPr>
        <w:t>(</w:t>
      </w:r>
      <w:r w:rsidR="004926B9">
        <w:rPr>
          <w:rStyle w:val="References"/>
        </w:rPr>
        <w:t>5)</w:t>
      </w:r>
      <w:r w:rsidRPr="00DF0E71">
        <w:rPr>
          <w:rStyle w:val="References"/>
        </w:rPr>
        <w:t xml:space="preserve"> of the Act]</w:t>
      </w:r>
    </w:p>
    <w:p w14:paraId="37D7CB6A" w14:textId="46BA29B4" w:rsidR="00481435" w:rsidRPr="00963AF6" w:rsidDel="00456C45" w:rsidRDefault="00481435" w:rsidP="00481435">
      <w:pPr>
        <w:pStyle w:val="Normalparatextwithnumbers"/>
        <w:rPr>
          <w:rStyle w:val="References"/>
          <w:b w:val="0"/>
          <w:i w:val="0"/>
        </w:rPr>
      </w:pPr>
      <w:r w:rsidRPr="00DC1014">
        <w:lastRenderedPageBreak/>
        <w:t xml:space="preserve">The Court may extend the period for which an applicable express right is not enforceable against a </w:t>
      </w:r>
      <w:r w:rsidR="004F349D">
        <w:t>body corporate</w:t>
      </w:r>
      <w:r w:rsidRPr="00DC1014">
        <w:t xml:space="preserve"> if the Court is satisfied that doing so is in </w:t>
      </w:r>
      <w:r w:rsidRPr="006762FC">
        <w:t>interests of justice.</w:t>
      </w:r>
      <w:r w:rsidRPr="00DC1014">
        <w:t xml:space="preserve"> An interim order may be made while the application is being considered but cannot require an undertaking relating to damages as a condition.</w:t>
      </w:r>
      <w:r>
        <w:br/>
      </w:r>
      <w:r w:rsidRPr="00DC1014">
        <w:rPr>
          <w:rStyle w:val="References"/>
        </w:rPr>
        <w:t>[</w:t>
      </w:r>
      <w:r>
        <w:rPr>
          <w:rStyle w:val="References"/>
        </w:rPr>
        <w:t>Schedule 1</w:t>
      </w:r>
      <w:r w:rsidRPr="00DC1014">
        <w:rPr>
          <w:rStyle w:val="References"/>
        </w:rPr>
        <w:t xml:space="preserve">, </w:t>
      </w:r>
      <w:r>
        <w:rPr>
          <w:rStyle w:val="References"/>
        </w:rPr>
        <w:t>item 14</w:t>
      </w:r>
      <w:r w:rsidRPr="00DC1014">
        <w:rPr>
          <w:rStyle w:val="References"/>
        </w:rPr>
        <w:t>, subsection 8</w:t>
      </w:r>
      <w:r>
        <w:rPr>
          <w:rStyle w:val="References"/>
        </w:rPr>
        <w:t>41</w:t>
      </w:r>
      <w:proofErr w:type="gramStart"/>
      <w:r>
        <w:rPr>
          <w:rStyle w:val="References"/>
        </w:rPr>
        <w:t>A</w:t>
      </w:r>
      <w:r w:rsidRPr="00DC1014">
        <w:rPr>
          <w:rStyle w:val="References"/>
        </w:rPr>
        <w:t>(</w:t>
      </w:r>
      <w:proofErr w:type="gramEnd"/>
      <w:r>
        <w:rPr>
          <w:rStyle w:val="References"/>
        </w:rPr>
        <w:t>6</w:t>
      </w:r>
      <w:r w:rsidRPr="00DC1014">
        <w:rPr>
          <w:rStyle w:val="References"/>
        </w:rPr>
        <w:t>) of the Act]</w:t>
      </w:r>
    </w:p>
    <w:p w14:paraId="1A63814E" w14:textId="77777777" w:rsidR="00C123CF" w:rsidRDefault="00C123CF" w:rsidP="00481435">
      <w:pPr>
        <w:pStyle w:val="Normalparatextwithnumbers"/>
      </w:pPr>
      <w:r>
        <w:t>To prevent the outcome of third</w:t>
      </w:r>
      <w:r>
        <w:noBreakHyphen/>
        <w:t xml:space="preserve">parties using the reason that a body corporate was under statutory management after a body corporate is no longer being statutorily managed, an indefinite stay period applies. The indefinite stay period only applies to the extent that the reason for seeking to enforce the right relates to: </w:t>
      </w:r>
    </w:p>
    <w:p w14:paraId="364ED5B5" w14:textId="03546839" w:rsidR="00C123CF" w:rsidRDefault="00C123CF" w:rsidP="00C123CF">
      <w:pPr>
        <w:pStyle w:val="Dotpoint1"/>
      </w:pPr>
      <w:r w:rsidRPr="00C123CF">
        <w:t xml:space="preserve">the body corporate’s financial position before </w:t>
      </w:r>
      <w:r>
        <w:t xml:space="preserve">or during </w:t>
      </w:r>
      <w:r w:rsidRPr="00C123CF">
        <w:t xml:space="preserve">the stay </w:t>
      </w:r>
      <w:proofErr w:type="gramStart"/>
      <w:r w:rsidRPr="00C123CF">
        <w:t>period</w:t>
      </w:r>
      <w:r>
        <w:t>;</w:t>
      </w:r>
      <w:proofErr w:type="gramEnd"/>
    </w:p>
    <w:p w14:paraId="22C2150F" w14:textId="572C94A8" w:rsidR="00BE7035" w:rsidRDefault="00C123CF" w:rsidP="00C123CF">
      <w:pPr>
        <w:pStyle w:val="Dotpoint1"/>
      </w:pPr>
      <w:r>
        <w:t xml:space="preserve">the </w:t>
      </w:r>
      <w:r w:rsidRPr="00C123CF">
        <w:t xml:space="preserve">body corporate </w:t>
      </w:r>
      <w:r>
        <w:t xml:space="preserve">being </w:t>
      </w:r>
      <w:r w:rsidRPr="00C123CF">
        <w:t xml:space="preserve">under statutory </w:t>
      </w:r>
      <w:proofErr w:type="gramStart"/>
      <w:r w:rsidRPr="00C123CF">
        <w:t>management</w:t>
      </w:r>
      <w:r>
        <w:t>;</w:t>
      </w:r>
      <w:proofErr w:type="gramEnd"/>
      <w:r>
        <w:t xml:space="preserve"> </w:t>
      </w:r>
    </w:p>
    <w:p w14:paraId="3EFAE2C5" w14:textId="77777777" w:rsidR="00C123CF" w:rsidRDefault="00C123CF" w:rsidP="00C123CF">
      <w:pPr>
        <w:pStyle w:val="Dotpoint1"/>
      </w:pPr>
      <w:r>
        <w:t xml:space="preserve">the RBA making a transfer determination; or </w:t>
      </w:r>
    </w:p>
    <w:p w14:paraId="79DD3C82" w14:textId="197992F6" w:rsidR="00C123CF" w:rsidRDefault="00C123CF" w:rsidP="00C123CF">
      <w:pPr>
        <w:pStyle w:val="Dotpoint1"/>
      </w:pPr>
      <w:r>
        <w:t xml:space="preserve">a reason </w:t>
      </w:r>
      <w:r w:rsidRPr="00C123CF">
        <w:t>prescribed in the regulations relating to circumstances in existence before the end of the stay period.</w:t>
      </w:r>
      <w:r>
        <w:t xml:space="preserve"> </w:t>
      </w:r>
      <w:r w:rsidR="009B1D64">
        <w:br/>
      </w:r>
      <w:r w:rsidR="009B1D64" w:rsidRPr="009B1D64">
        <w:rPr>
          <w:rStyle w:val="References"/>
        </w:rPr>
        <w:t>[Schedule 1, item 14, subsection 841</w:t>
      </w:r>
      <w:proofErr w:type="gramStart"/>
      <w:r w:rsidR="009B1D64" w:rsidRPr="009B1D64">
        <w:rPr>
          <w:rStyle w:val="References"/>
        </w:rPr>
        <w:t>A(</w:t>
      </w:r>
      <w:proofErr w:type="gramEnd"/>
      <w:r w:rsidR="009B1D64" w:rsidRPr="009B1D64">
        <w:rPr>
          <w:rStyle w:val="References"/>
        </w:rPr>
        <w:t>7) of the Act]</w:t>
      </w:r>
    </w:p>
    <w:p w14:paraId="0756825B" w14:textId="69A9E3B6" w:rsidR="006A627D" w:rsidRDefault="006A627D" w:rsidP="006A627D">
      <w:pPr>
        <w:pStyle w:val="Normalparatextwithnumbers"/>
      </w:pPr>
      <w:r>
        <w:t>The stay on enforcement rights applies in relation to express rights that are triggered either because of a body corporate being under statutory management or owing to a company’s financial position while under statutory management, such as</w:t>
      </w:r>
      <w:r w:rsidRPr="00EB41BE">
        <w:t xml:space="preserve"> </w:t>
      </w:r>
      <w:r>
        <w:t xml:space="preserve">the ability of the body corporate to enforce a right under a contract for a new advance of money or credit. </w:t>
      </w:r>
      <w:r>
        <w:br/>
      </w:r>
      <w:r w:rsidRPr="00DC66EA">
        <w:rPr>
          <w:rStyle w:val="References"/>
        </w:rPr>
        <w:t>[Schedule 1, item 14, subsection</w:t>
      </w:r>
      <w:r>
        <w:rPr>
          <w:rStyle w:val="References"/>
        </w:rPr>
        <w:t>s</w:t>
      </w:r>
      <w:r w:rsidRPr="00DC66EA">
        <w:rPr>
          <w:rStyle w:val="References"/>
        </w:rPr>
        <w:t xml:space="preserve"> 841</w:t>
      </w:r>
      <w:proofErr w:type="gramStart"/>
      <w:r w:rsidRPr="00DC66EA">
        <w:rPr>
          <w:rStyle w:val="References"/>
        </w:rPr>
        <w:t>A(</w:t>
      </w:r>
      <w:proofErr w:type="gramEnd"/>
      <w:r w:rsidRPr="00DC66EA">
        <w:rPr>
          <w:rStyle w:val="References"/>
        </w:rPr>
        <w:t>11)</w:t>
      </w:r>
      <w:r w:rsidR="00EF38FC">
        <w:rPr>
          <w:rStyle w:val="References"/>
        </w:rPr>
        <w:t xml:space="preserve"> and </w:t>
      </w:r>
      <w:r>
        <w:rPr>
          <w:rStyle w:val="References"/>
        </w:rPr>
        <w:t>(12)</w:t>
      </w:r>
      <w:r w:rsidRPr="00DC66EA">
        <w:rPr>
          <w:rStyle w:val="References"/>
        </w:rPr>
        <w:t xml:space="preserve"> of the Act]</w:t>
      </w:r>
    </w:p>
    <w:p w14:paraId="46EC6120" w14:textId="1192DC9E" w:rsidR="00464537" w:rsidRDefault="00464537" w:rsidP="00464537">
      <w:pPr>
        <w:pStyle w:val="Heading6"/>
        <w:rPr>
          <w:rFonts w:hint="eastAsia"/>
        </w:rPr>
      </w:pPr>
      <w:r>
        <w:t>Application of temporary suspension of rights</w:t>
      </w:r>
    </w:p>
    <w:p w14:paraId="58A6B678" w14:textId="27F51198" w:rsidR="00464537" w:rsidRDefault="002168E0" w:rsidP="00464537">
      <w:pPr>
        <w:pStyle w:val="Normalparatextwithnumbers"/>
        <w:numPr>
          <w:ilvl w:val="1"/>
          <w:numId w:val="6"/>
        </w:numPr>
      </w:pPr>
      <w:r>
        <w:t>If the RBA intends to place a body corporate under statutory management or issue a transfer determination, the RBA may make a notifiable instrument that a suspension of termination rights applies to a body corporate.</w:t>
      </w:r>
      <w:r w:rsidRPr="005E4E74">
        <w:t xml:space="preserve"> </w:t>
      </w:r>
      <w:r>
        <w:br/>
      </w:r>
      <w:r w:rsidRPr="004215C4">
        <w:rPr>
          <w:rStyle w:val="References"/>
        </w:rPr>
        <w:t xml:space="preserve">[Schedule </w:t>
      </w:r>
      <w:r>
        <w:rPr>
          <w:rStyle w:val="References"/>
        </w:rPr>
        <w:t>1</w:t>
      </w:r>
      <w:r w:rsidRPr="004215C4">
        <w:rPr>
          <w:rStyle w:val="References"/>
        </w:rPr>
        <w:t xml:space="preserve">, </w:t>
      </w:r>
      <w:r>
        <w:rPr>
          <w:rStyle w:val="References"/>
        </w:rPr>
        <w:t>item 14</w:t>
      </w:r>
      <w:r w:rsidRPr="004215C4">
        <w:rPr>
          <w:rStyle w:val="References"/>
        </w:rPr>
        <w:t>, section 84</w:t>
      </w:r>
      <w:r>
        <w:rPr>
          <w:rStyle w:val="References"/>
        </w:rPr>
        <w:t>7</w:t>
      </w:r>
      <w:proofErr w:type="gramStart"/>
      <w:r w:rsidRPr="004215C4">
        <w:rPr>
          <w:rStyle w:val="References"/>
        </w:rPr>
        <w:t>A(</w:t>
      </w:r>
      <w:proofErr w:type="gramEnd"/>
      <w:r w:rsidRPr="004215C4">
        <w:rPr>
          <w:rStyle w:val="References"/>
        </w:rPr>
        <w:t>2) of the Act</w:t>
      </w:r>
      <w:r w:rsidR="00464537" w:rsidRPr="004215C4">
        <w:rPr>
          <w:rStyle w:val="References"/>
        </w:rPr>
        <w:t>]</w:t>
      </w:r>
      <w:r w:rsidR="00464537">
        <w:t xml:space="preserve"> </w:t>
      </w:r>
    </w:p>
    <w:p w14:paraId="0EB2F742" w14:textId="7F09423A" w:rsidR="00464537" w:rsidRDefault="002168E0" w:rsidP="00464537">
      <w:pPr>
        <w:pStyle w:val="Normalparatextwithnumbers"/>
        <w:numPr>
          <w:ilvl w:val="1"/>
          <w:numId w:val="6"/>
        </w:numPr>
      </w:pPr>
      <w:r w:rsidRPr="002168E0">
        <w:t>The notifiable instrument ensures that pre-emptive actions by contractual counterparties do not impede the ability of the RBA to implement an orderly resolution or the ability of the domestic CS facility licensee or related body corporate to continue to operate.</w:t>
      </w:r>
      <w:r w:rsidR="00FF6344">
        <w:t xml:space="preserve"> </w:t>
      </w:r>
      <w:r w:rsidR="00464537">
        <w:t xml:space="preserve">This is </w:t>
      </w:r>
      <w:r w:rsidR="00464537" w:rsidRPr="00563AB1">
        <w:t>necessary to facilitate effective resolution without the risk of key contracts being terminated or discontinuation of services.</w:t>
      </w:r>
    </w:p>
    <w:p w14:paraId="02C45468" w14:textId="73161D46" w:rsidR="00464537" w:rsidRDefault="002168E0" w:rsidP="00464537">
      <w:pPr>
        <w:pStyle w:val="Normalparatextwithnumbers"/>
        <w:numPr>
          <w:ilvl w:val="1"/>
          <w:numId w:val="6"/>
        </w:numPr>
      </w:pPr>
      <w:r w:rsidRPr="002168E0">
        <w:t xml:space="preserve">The suspension of termination rights applies to suspend any termination right, such as termination at call or on notice (but not termination due to non-payment). The performance of those substantive obligations </w:t>
      </w:r>
      <w:proofErr w:type="gramStart"/>
      <w:r w:rsidRPr="002168E0">
        <w:t>are</w:t>
      </w:r>
      <w:proofErr w:type="gramEnd"/>
      <w:r w:rsidRPr="002168E0">
        <w:t xml:space="preserve"> subject to the application of any contractual or statutory loss allocation rules (for example, where a central counterparty’s rulebook allows it to reduce mark-to-market payments following default of a participant). A temporary suspension of rights </w:t>
      </w:r>
      <w:r w:rsidRPr="002168E0">
        <w:lastRenderedPageBreak/>
        <w:t>cannot be used if an early termination right arose from a failure to perform payment and delivery obligations or the provision of collateral</w:t>
      </w:r>
      <w:r w:rsidR="00464537" w:rsidRPr="001348AA">
        <w:t>.</w:t>
      </w:r>
    </w:p>
    <w:p w14:paraId="40E6BA73" w14:textId="77777777" w:rsidR="00464537" w:rsidRDefault="00464537" w:rsidP="00464537">
      <w:pPr>
        <w:pStyle w:val="Normalparatextwithnumbers"/>
        <w:numPr>
          <w:ilvl w:val="1"/>
          <w:numId w:val="6"/>
        </w:numPr>
      </w:pPr>
      <w:r>
        <w:t xml:space="preserve">Where a notifiable instrument is in force, the temporary suspension applies to: </w:t>
      </w:r>
    </w:p>
    <w:p w14:paraId="6E8BAF1C" w14:textId="77777777" w:rsidR="00464537" w:rsidRDefault="00464537" w:rsidP="00464537">
      <w:pPr>
        <w:pStyle w:val="Dotpoint1"/>
      </w:pPr>
      <w:r>
        <w:t xml:space="preserve">a domestic CS facility licensee; or </w:t>
      </w:r>
    </w:p>
    <w:p w14:paraId="7FC9B423" w14:textId="77777777" w:rsidR="00464537" w:rsidRDefault="00464537" w:rsidP="00464537">
      <w:pPr>
        <w:pStyle w:val="Dotpoint1"/>
      </w:pPr>
      <w:r>
        <w:t>related body corporate, of a domestic CS facility licensee, that is incorporated in Australia.</w:t>
      </w:r>
      <w:r>
        <w:br/>
      </w:r>
      <w:r w:rsidRPr="003E1814">
        <w:rPr>
          <w:rStyle w:val="References"/>
        </w:rPr>
        <w:t xml:space="preserve">[Schedule </w:t>
      </w:r>
      <w:r>
        <w:rPr>
          <w:rStyle w:val="References"/>
        </w:rPr>
        <w:t>1</w:t>
      </w:r>
      <w:r w:rsidRPr="003E1814">
        <w:rPr>
          <w:rStyle w:val="References"/>
        </w:rPr>
        <w:t xml:space="preserve">, </w:t>
      </w:r>
      <w:r>
        <w:rPr>
          <w:rStyle w:val="References"/>
        </w:rPr>
        <w:t>item 14</w:t>
      </w:r>
      <w:r w:rsidRPr="003E1814">
        <w:rPr>
          <w:rStyle w:val="References"/>
        </w:rPr>
        <w:t>, section 84</w:t>
      </w:r>
      <w:r>
        <w:rPr>
          <w:rStyle w:val="References"/>
        </w:rPr>
        <w:t>7</w:t>
      </w:r>
      <w:proofErr w:type="gramStart"/>
      <w:r w:rsidRPr="003E1814">
        <w:rPr>
          <w:rStyle w:val="References"/>
        </w:rPr>
        <w:t>A(</w:t>
      </w:r>
      <w:proofErr w:type="gramEnd"/>
      <w:r w:rsidRPr="003E1814">
        <w:rPr>
          <w:rStyle w:val="References"/>
        </w:rPr>
        <w:t>1) of the Act]</w:t>
      </w:r>
    </w:p>
    <w:p w14:paraId="7810A35D" w14:textId="5E4D0BFE" w:rsidR="00464537" w:rsidRDefault="002168E0" w:rsidP="00464537">
      <w:pPr>
        <w:pStyle w:val="Normalparatextwithnumbers"/>
        <w:numPr>
          <w:ilvl w:val="1"/>
          <w:numId w:val="6"/>
        </w:numPr>
      </w:pPr>
      <w:r w:rsidRPr="002168E0">
        <w:t xml:space="preserve">The notifiable instrument has the effect of </w:t>
      </w:r>
      <w:proofErr w:type="gramStart"/>
      <w:r w:rsidRPr="002168E0">
        <w:t>temporarily suspending</w:t>
      </w:r>
      <w:proofErr w:type="gramEnd"/>
      <w:r w:rsidRPr="002168E0">
        <w:t xml:space="preserve"> an entity’s right to terminate a contract with the body corporate, provided that substantive obligations, such as payment and delivery obligations and the provision of collateral, continue to be performed. Specifically, where the temporary stay applies to a body corporate, it prevents a third party from exercising a </w:t>
      </w:r>
      <w:r w:rsidR="00464537" w:rsidRPr="007678B4">
        <w:t>right to terminate</w:t>
      </w:r>
      <w:r w:rsidR="00464537">
        <w:t>:</w:t>
      </w:r>
      <w:r w:rsidR="00464537" w:rsidRPr="007678B4">
        <w:t xml:space="preserve"> </w:t>
      </w:r>
    </w:p>
    <w:p w14:paraId="31582258" w14:textId="77777777" w:rsidR="00464537" w:rsidRDefault="00464537" w:rsidP="00464537">
      <w:pPr>
        <w:pStyle w:val="Dotpoint1"/>
      </w:pPr>
      <w:r w:rsidRPr="007678B4">
        <w:t>a contract, agreement or arrangement</w:t>
      </w:r>
      <w:r>
        <w:t>;</w:t>
      </w:r>
      <w:r w:rsidRPr="007678B4">
        <w:t xml:space="preserve"> or </w:t>
      </w:r>
    </w:p>
    <w:p w14:paraId="1D2A51AD" w14:textId="1A703736" w:rsidR="00464537" w:rsidRDefault="00464537" w:rsidP="00464537">
      <w:pPr>
        <w:pStyle w:val="Dotpoint1"/>
      </w:pPr>
      <w:r w:rsidRPr="007678B4">
        <w:t xml:space="preserve">an obligation arising under a contract, agreement or arrangement from an express provision or because of anything done in accordance with </w:t>
      </w:r>
      <w:r>
        <w:t xml:space="preserve">a direction to preserve financial stability under section </w:t>
      </w:r>
      <w:r w:rsidRPr="004955AA">
        <w:t xml:space="preserve">823F </w:t>
      </w:r>
      <w:r w:rsidR="002B1568">
        <w:t xml:space="preserve">of the Act </w:t>
      </w:r>
      <w:r w:rsidRPr="004955AA">
        <w:t xml:space="preserve">or </w:t>
      </w:r>
      <w:r>
        <w:t xml:space="preserve">a recapitalisation direction under section </w:t>
      </w:r>
      <w:r w:rsidRPr="004955AA">
        <w:t>823L</w:t>
      </w:r>
      <w:r w:rsidR="002B1568">
        <w:t xml:space="preserve"> of the Act</w:t>
      </w:r>
      <w:r>
        <w:t xml:space="preserve">. </w:t>
      </w:r>
      <w:r w:rsidRPr="004955AA">
        <w:t xml:space="preserve"> </w:t>
      </w:r>
      <w:r>
        <w:br/>
      </w:r>
      <w:r w:rsidRPr="008B25A4">
        <w:rPr>
          <w:rStyle w:val="References"/>
        </w:rPr>
        <w:t xml:space="preserve">[Schedule </w:t>
      </w:r>
      <w:r>
        <w:rPr>
          <w:rStyle w:val="References"/>
        </w:rPr>
        <w:t>1</w:t>
      </w:r>
      <w:r w:rsidRPr="008B25A4">
        <w:rPr>
          <w:rStyle w:val="References"/>
        </w:rPr>
        <w:t xml:space="preserve">, </w:t>
      </w:r>
      <w:r>
        <w:rPr>
          <w:rStyle w:val="References"/>
        </w:rPr>
        <w:t>item 14</w:t>
      </w:r>
      <w:r w:rsidRPr="008B25A4">
        <w:rPr>
          <w:rStyle w:val="References"/>
        </w:rPr>
        <w:t>, section 84</w:t>
      </w:r>
      <w:r>
        <w:rPr>
          <w:rStyle w:val="References"/>
        </w:rPr>
        <w:t>7</w:t>
      </w:r>
      <w:proofErr w:type="gramStart"/>
      <w:r>
        <w:rPr>
          <w:rStyle w:val="References"/>
        </w:rPr>
        <w:t>B</w:t>
      </w:r>
      <w:r w:rsidRPr="008B25A4">
        <w:rPr>
          <w:rStyle w:val="References"/>
        </w:rPr>
        <w:t>(</w:t>
      </w:r>
      <w:proofErr w:type="gramEnd"/>
      <w:r>
        <w:rPr>
          <w:rStyle w:val="References"/>
        </w:rPr>
        <w:t>1</w:t>
      </w:r>
      <w:r w:rsidRPr="008B25A4">
        <w:rPr>
          <w:rStyle w:val="References"/>
        </w:rPr>
        <w:t>) of the Act]</w:t>
      </w:r>
    </w:p>
    <w:p w14:paraId="3B475D4A" w14:textId="5DE9EF58" w:rsidR="00464537" w:rsidRDefault="00464537" w:rsidP="00464537">
      <w:pPr>
        <w:pStyle w:val="Heading6"/>
        <w:rPr>
          <w:rFonts w:hint="eastAsia"/>
        </w:rPr>
      </w:pPr>
      <w:r w:rsidRPr="00464537">
        <w:t>Rights not subject to the stay</w:t>
      </w:r>
    </w:p>
    <w:p w14:paraId="594687FD" w14:textId="4282AF05" w:rsidR="00C6105B" w:rsidRDefault="00C6105B" w:rsidP="00481435">
      <w:pPr>
        <w:pStyle w:val="Normalparatextwithnumbers"/>
      </w:pPr>
      <w:r w:rsidRPr="00C6105B">
        <w:t>There are some cases where it would not be appropriate for a stay against the enforcement of rights to apply because of the nature of the agreement or the parties to the agreement.</w:t>
      </w:r>
      <w:r>
        <w:t xml:space="preserve"> The stay on enforcement rights </w:t>
      </w:r>
      <w:r w:rsidR="00464537">
        <w:t xml:space="preserve">and temporary suspension of rights </w:t>
      </w:r>
      <w:r>
        <w:t xml:space="preserve">does not apply to: </w:t>
      </w:r>
    </w:p>
    <w:p w14:paraId="1B618CAD" w14:textId="273D3C5E" w:rsidR="00C6105B" w:rsidRDefault="00C6105B" w:rsidP="00C6105B">
      <w:pPr>
        <w:pStyle w:val="Dotpoint1"/>
      </w:pPr>
      <w:r>
        <w:t xml:space="preserve">rights that relate to a contract, agreement or arrangement that were entered into after </w:t>
      </w:r>
      <w:r w:rsidR="00464537">
        <w:t xml:space="preserve">either </w:t>
      </w:r>
      <w:r>
        <w:t xml:space="preserve">the statutory manager was </w:t>
      </w:r>
      <w:proofErr w:type="gramStart"/>
      <w:r>
        <w:t>appointed</w:t>
      </w:r>
      <w:proofErr w:type="gramEnd"/>
      <w:r w:rsidR="00464537">
        <w:t xml:space="preserve"> or the notifiable instrument is in force (as relevant)</w:t>
      </w:r>
      <w:r>
        <w:t>;</w:t>
      </w:r>
    </w:p>
    <w:p w14:paraId="3094371F" w14:textId="3FA0D3FD" w:rsidR="00C6105B" w:rsidRDefault="00C6105B" w:rsidP="00C6105B">
      <w:pPr>
        <w:pStyle w:val="Dotpoint1"/>
      </w:pPr>
      <w:r>
        <w:t>rights that are part of a type of contract, agreement or arrangement that are specified in the regulations or a</w:t>
      </w:r>
      <w:r w:rsidR="009B1D64">
        <w:t>re</w:t>
      </w:r>
      <w:r>
        <w:t xml:space="preserve"> declared by the Minister;</w:t>
      </w:r>
      <w:r w:rsidR="009B1D64">
        <w:t xml:space="preserve"> or</w:t>
      </w:r>
    </w:p>
    <w:p w14:paraId="3606C530" w14:textId="77777777" w:rsidR="00F152AC" w:rsidRDefault="00C6105B" w:rsidP="00C6105B">
      <w:pPr>
        <w:pStyle w:val="Dotpoint1"/>
      </w:pPr>
      <w:r>
        <w:t>a right of a kind declared by the Minister</w:t>
      </w:r>
      <w:r w:rsidR="00F152AC">
        <w:t xml:space="preserve">; or </w:t>
      </w:r>
    </w:p>
    <w:p w14:paraId="20A806FE" w14:textId="5EE84B31" w:rsidR="00C6105B" w:rsidRDefault="00F152AC" w:rsidP="00C6105B">
      <w:pPr>
        <w:pStyle w:val="Dotpoint1"/>
      </w:pPr>
      <w:r>
        <w:t>the extent that the RBA or liquidator (appointed after the stay period) has provided written consent</w:t>
      </w:r>
      <w:r w:rsidR="009B1D64">
        <w:t xml:space="preserve">. </w:t>
      </w:r>
      <w:r w:rsidR="009B1D64">
        <w:br/>
      </w:r>
      <w:r w:rsidR="009B1D64" w:rsidRPr="009B1D64">
        <w:rPr>
          <w:rStyle w:val="References"/>
        </w:rPr>
        <w:t>[Schedule 1, item 14, subsection</w:t>
      </w:r>
      <w:r>
        <w:rPr>
          <w:rStyle w:val="References"/>
        </w:rPr>
        <w:t>s</w:t>
      </w:r>
      <w:r w:rsidR="009B1D64" w:rsidRPr="009B1D64">
        <w:rPr>
          <w:rStyle w:val="References"/>
        </w:rPr>
        <w:t xml:space="preserve"> 841</w:t>
      </w:r>
      <w:proofErr w:type="gramStart"/>
      <w:r w:rsidR="009B1D64" w:rsidRPr="009B1D64">
        <w:rPr>
          <w:rStyle w:val="References"/>
        </w:rPr>
        <w:t>A(</w:t>
      </w:r>
      <w:proofErr w:type="gramEnd"/>
      <w:r w:rsidR="009B1D64">
        <w:rPr>
          <w:rStyle w:val="References"/>
        </w:rPr>
        <w:t>8</w:t>
      </w:r>
      <w:r w:rsidR="009B1D64" w:rsidRPr="009B1D64">
        <w:rPr>
          <w:rStyle w:val="References"/>
        </w:rPr>
        <w:t>)</w:t>
      </w:r>
      <w:r>
        <w:rPr>
          <w:rStyle w:val="References"/>
        </w:rPr>
        <w:t xml:space="preserve"> and (10)</w:t>
      </w:r>
      <w:r w:rsidR="009B1D64" w:rsidRPr="009B1D64">
        <w:rPr>
          <w:rStyle w:val="References"/>
        </w:rPr>
        <w:t xml:space="preserve"> </w:t>
      </w:r>
      <w:r w:rsidR="00464537">
        <w:rPr>
          <w:rStyle w:val="References"/>
        </w:rPr>
        <w:t xml:space="preserve">and 847B(2) and (4) </w:t>
      </w:r>
      <w:r w:rsidR="009B1D64" w:rsidRPr="009B1D64">
        <w:rPr>
          <w:rStyle w:val="References"/>
        </w:rPr>
        <w:t>of the Act]</w:t>
      </w:r>
    </w:p>
    <w:p w14:paraId="2B46BCE0" w14:textId="3591BBF9" w:rsidR="006A627D" w:rsidRDefault="006A627D" w:rsidP="006A627D">
      <w:pPr>
        <w:pStyle w:val="Normalparatextwithnumbers"/>
      </w:pPr>
      <w:r>
        <w:t xml:space="preserve">Notwithstanding the operation of the stay, a counterparty maintains the ability to enforce a right </w:t>
      </w:r>
      <w:r w:rsidR="009335D8">
        <w:t xml:space="preserve">for reasons such as </w:t>
      </w:r>
      <w:r>
        <w:t>where the body corporate has failed to meet payment</w:t>
      </w:r>
      <w:r w:rsidR="009335D8">
        <w:t>, performance</w:t>
      </w:r>
      <w:r>
        <w:t xml:space="preserve"> or other obligations under the agreement</w:t>
      </w:r>
      <w:r w:rsidRPr="00EB41BE">
        <w:t xml:space="preserve"> </w:t>
      </w:r>
      <w:r>
        <w:t>such as a default management or recovery action.</w:t>
      </w:r>
      <w:r>
        <w:br/>
      </w:r>
      <w:r w:rsidRPr="006A627D">
        <w:rPr>
          <w:rStyle w:val="References"/>
        </w:rPr>
        <w:t>[Schedule 1, item 14, subsections 841</w:t>
      </w:r>
      <w:proofErr w:type="gramStart"/>
      <w:r w:rsidRPr="006A627D">
        <w:rPr>
          <w:rStyle w:val="References"/>
        </w:rPr>
        <w:t>A(</w:t>
      </w:r>
      <w:proofErr w:type="gramEnd"/>
      <w:r w:rsidRPr="006A627D">
        <w:rPr>
          <w:rStyle w:val="References"/>
        </w:rPr>
        <w:t>11)</w:t>
      </w:r>
      <w:r w:rsidR="00C773DE">
        <w:rPr>
          <w:rStyle w:val="References"/>
        </w:rPr>
        <w:t xml:space="preserve"> and</w:t>
      </w:r>
      <w:r w:rsidR="00BA4449">
        <w:rPr>
          <w:rStyle w:val="References"/>
        </w:rPr>
        <w:t xml:space="preserve"> </w:t>
      </w:r>
      <w:r w:rsidRPr="006A627D">
        <w:rPr>
          <w:rStyle w:val="References"/>
        </w:rPr>
        <w:t>(12) of the Act]</w:t>
      </w:r>
    </w:p>
    <w:p w14:paraId="76A44D72" w14:textId="7F12579E" w:rsidR="00464537" w:rsidRDefault="00464537" w:rsidP="00464537">
      <w:pPr>
        <w:pStyle w:val="Normalparatextwithnumbers"/>
        <w:numPr>
          <w:ilvl w:val="1"/>
          <w:numId w:val="6"/>
        </w:numPr>
      </w:pPr>
      <w:r>
        <w:lastRenderedPageBreak/>
        <w:t xml:space="preserve">For the temporary suspension of rights, there are two additional rights that are not captured including: </w:t>
      </w:r>
    </w:p>
    <w:p w14:paraId="183C1669" w14:textId="658C17F3" w:rsidR="00464537" w:rsidRDefault="00464537" w:rsidP="00464537">
      <w:pPr>
        <w:pStyle w:val="Dotpoint1"/>
      </w:pPr>
      <w:r w:rsidRPr="00464537">
        <w:t xml:space="preserve">a right that is exercisable only in particular circumstances; </w:t>
      </w:r>
      <w:r>
        <w:t xml:space="preserve">or </w:t>
      </w:r>
    </w:p>
    <w:p w14:paraId="543487B2" w14:textId="4B59E596" w:rsidR="00464537" w:rsidRDefault="00464537" w:rsidP="00464537">
      <w:pPr>
        <w:pStyle w:val="Dotpoint1"/>
      </w:pPr>
      <w:proofErr w:type="gramStart"/>
      <w:r w:rsidRPr="00464537">
        <w:t>right</w:t>
      </w:r>
      <w:proofErr w:type="gramEnd"/>
      <w:r w:rsidRPr="00464537">
        <w:t xml:space="preserve"> that arises from acting in accordance with a direction to preserve financial stability or a recapitalisation direction after the notifiable instrument is in force</w:t>
      </w:r>
      <w:r>
        <w:t>.</w:t>
      </w:r>
      <w:r>
        <w:br/>
      </w:r>
      <w:r w:rsidRPr="00464537">
        <w:rPr>
          <w:rStyle w:val="References"/>
        </w:rPr>
        <w:t>[Schedule 1, item 14, paragraphs 847B(2)(a) and (b) of the Act]</w:t>
      </w:r>
      <w:r>
        <w:t xml:space="preserve"> </w:t>
      </w:r>
    </w:p>
    <w:p w14:paraId="690B1489" w14:textId="5925210D" w:rsidR="00464537" w:rsidRDefault="00464537" w:rsidP="00464537">
      <w:pPr>
        <w:pStyle w:val="Normalparatextwithnumbers"/>
        <w:numPr>
          <w:ilvl w:val="1"/>
          <w:numId w:val="6"/>
        </w:numPr>
      </w:pPr>
      <w:r w:rsidRPr="00464537">
        <w:t>During the temporary stay, parties to a contract retain the ability to exercise contractual termination rights in particular circumstances, such as if substantive obligations under the contract are not complied with. Additionally, participants retain the ability to execute new transactions, which may have the same effect as the closing out of certain positions, or other market risk management transactions</w:t>
      </w:r>
      <w:r>
        <w:t>.</w:t>
      </w:r>
    </w:p>
    <w:p w14:paraId="0AB561C8" w14:textId="7CDA9821" w:rsidR="00F152AC" w:rsidRDefault="00F152AC" w:rsidP="00481435">
      <w:pPr>
        <w:pStyle w:val="Normalparatextwithnumbers"/>
      </w:pPr>
      <w:r>
        <w:t xml:space="preserve">Any rights that are declared by the Minister is a legislative instrument. The Minister may declare contracts or agreements that are referred to in Commonwealth law or declare kinds of rights to which a stay on enforcement rights broadly doesn’t </w:t>
      </w:r>
      <w:proofErr w:type="gramStart"/>
      <w:r>
        <w:t>apply, or</w:t>
      </w:r>
      <w:proofErr w:type="gramEnd"/>
      <w:r>
        <w:t xml:space="preserve"> doesn’t apply in specific circumstances. </w:t>
      </w:r>
      <w:r>
        <w:br/>
      </w:r>
      <w:r w:rsidRPr="00F152AC">
        <w:rPr>
          <w:rStyle w:val="References"/>
        </w:rPr>
        <w:t>[Schedule 1, item 14, subsection</w:t>
      </w:r>
      <w:r w:rsidR="000875EA">
        <w:rPr>
          <w:rStyle w:val="References"/>
        </w:rPr>
        <w:t>s</w:t>
      </w:r>
      <w:r w:rsidRPr="00F152AC">
        <w:rPr>
          <w:rStyle w:val="References"/>
        </w:rPr>
        <w:t xml:space="preserve"> 841</w:t>
      </w:r>
      <w:proofErr w:type="gramStart"/>
      <w:r w:rsidRPr="00F152AC">
        <w:rPr>
          <w:rStyle w:val="References"/>
        </w:rPr>
        <w:t>A(</w:t>
      </w:r>
      <w:proofErr w:type="gramEnd"/>
      <w:r w:rsidRPr="00F152AC">
        <w:rPr>
          <w:rStyle w:val="References"/>
        </w:rPr>
        <w:t xml:space="preserve">9) </w:t>
      </w:r>
      <w:r w:rsidR="000875EA">
        <w:rPr>
          <w:rStyle w:val="References"/>
        </w:rPr>
        <w:t>and 847B(3)</w:t>
      </w:r>
      <w:r w:rsidRPr="00F152AC">
        <w:rPr>
          <w:rStyle w:val="References"/>
        </w:rPr>
        <w:t xml:space="preserve"> of the Act]</w:t>
      </w:r>
      <w:r>
        <w:t xml:space="preserve"> </w:t>
      </w:r>
    </w:p>
    <w:p w14:paraId="52F72296" w14:textId="6C8B3D2A" w:rsidR="00481435" w:rsidRDefault="009B1D64" w:rsidP="00481435">
      <w:pPr>
        <w:pStyle w:val="Normalparatextwithnumbers"/>
      </w:pPr>
      <w:r w:rsidRPr="009B1D64">
        <w:t>The</w:t>
      </w:r>
      <w:r>
        <w:t xml:space="preserve"> </w:t>
      </w:r>
      <w:r w:rsidRPr="009B1D64">
        <w:t>regulation</w:t>
      </w:r>
      <w:r>
        <w:t xml:space="preserve"> making powers are intended to ensure that </w:t>
      </w:r>
      <w:r w:rsidR="00AD0A2F">
        <w:t xml:space="preserve">reasons and </w:t>
      </w:r>
      <w:r>
        <w:t xml:space="preserve">clauses in agreements are appropriately captured or excluded. </w:t>
      </w:r>
      <w:r w:rsidRPr="009B1D64">
        <w:t xml:space="preserve">The </w:t>
      </w:r>
      <w:r>
        <w:t xml:space="preserve">regulation making power to extend the stay to </w:t>
      </w:r>
      <w:r w:rsidR="00AD0A2F">
        <w:t xml:space="preserve">apply to clauses </w:t>
      </w:r>
      <w:r w:rsidRPr="009B1D64">
        <w:t xml:space="preserve">in agreements </w:t>
      </w:r>
      <w:r w:rsidR="00AD0A2F">
        <w:t>is appropriately designed to ensure relevant reasons for not enforcing a right are adequately captured</w:t>
      </w:r>
      <w:r w:rsidRPr="009B1D64">
        <w:t>.</w:t>
      </w:r>
      <w:r>
        <w:t xml:space="preserve"> </w:t>
      </w:r>
      <w:r w:rsidR="00AD0A2F">
        <w:t xml:space="preserve">The regulation making power to exclude certain </w:t>
      </w:r>
      <w:r w:rsidRPr="009B1D64">
        <w:t xml:space="preserve">types of contracts </w:t>
      </w:r>
      <w:r w:rsidR="00AD0A2F">
        <w:t xml:space="preserve">is necessary to ensure </w:t>
      </w:r>
      <w:r w:rsidRPr="009B1D64">
        <w:t xml:space="preserve">rights </w:t>
      </w:r>
      <w:r w:rsidR="00AD0A2F">
        <w:t xml:space="preserve">that </w:t>
      </w:r>
      <w:r w:rsidRPr="009B1D64">
        <w:t xml:space="preserve">may still be enforced </w:t>
      </w:r>
      <w:r w:rsidR="00AD0A2F">
        <w:t xml:space="preserve">are clear and that </w:t>
      </w:r>
      <w:r w:rsidR="00481435">
        <w:t xml:space="preserve">the stay effectively applies to contracts and agreements </w:t>
      </w:r>
      <w:r w:rsidR="009458B2">
        <w:t xml:space="preserve">that interfere with </w:t>
      </w:r>
      <w:r w:rsidR="00481435">
        <w:t>resolution action. Th</w:t>
      </w:r>
      <w:r w:rsidR="009458B2">
        <w:t>e stay provisions are</w:t>
      </w:r>
      <w:r w:rsidR="00481435">
        <w:t xml:space="preserve"> consistent with the existing stay regime under Part 5.3A of the Act. </w:t>
      </w:r>
    </w:p>
    <w:p w14:paraId="1D8F4742" w14:textId="77777777" w:rsidR="00481435" w:rsidRDefault="00481435" w:rsidP="00481435">
      <w:pPr>
        <w:pStyle w:val="Heading6"/>
        <w:rPr>
          <w:rFonts w:hint="eastAsia"/>
        </w:rPr>
      </w:pPr>
      <w:r>
        <w:t>Automatic stay</w:t>
      </w:r>
    </w:p>
    <w:p w14:paraId="6CD0543A" w14:textId="7C71D45D" w:rsidR="00481435" w:rsidDel="00D811A0" w:rsidRDefault="009335D8" w:rsidP="00D10880">
      <w:pPr>
        <w:pStyle w:val="Normalparatextwithnumbers"/>
      </w:pPr>
      <w:r>
        <w:t xml:space="preserve">An automatic stay on early termination and certain other rights operates so that resolution actions by the RBA are not undermined. </w:t>
      </w:r>
      <w:r w:rsidR="00481435">
        <w:t>Th</w:t>
      </w:r>
      <w:r>
        <w:t>e</w:t>
      </w:r>
      <w:r w:rsidR="00481435">
        <w:t xml:space="preserve"> stay </w:t>
      </w:r>
      <w:r>
        <w:t>provisions are self</w:t>
      </w:r>
      <w:r>
        <w:noBreakHyphen/>
        <w:t xml:space="preserve">executing such that the provisions </w:t>
      </w:r>
      <w:r w:rsidR="00481435">
        <w:t>appl</w:t>
      </w:r>
      <w:r>
        <w:t>y</w:t>
      </w:r>
      <w:r w:rsidR="00481435">
        <w:t xml:space="preserve"> </w:t>
      </w:r>
      <w:r w:rsidR="00481435" w:rsidRPr="003F5142">
        <w:t xml:space="preserve">without any party to the contract, agreement or arrangement </w:t>
      </w:r>
      <w:proofErr w:type="gramStart"/>
      <w:r w:rsidR="00481435" w:rsidRPr="003F5142">
        <w:t>making a decision</w:t>
      </w:r>
      <w:proofErr w:type="gramEnd"/>
      <w:r w:rsidR="00481435" w:rsidRPr="003F5142">
        <w:t xml:space="preserve"> that </w:t>
      </w:r>
      <w:r w:rsidR="00481435">
        <w:t xml:space="preserve">the stay </w:t>
      </w:r>
      <w:r w:rsidR="00481435" w:rsidRPr="003F5142">
        <w:t xml:space="preserve">should </w:t>
      </w:r>
      <w:r w:rsidR="00481435">
        <w:t xml:space="preserve">begin </w:t>
      </w:r>
      <w:r w:rsidR="00481435" w:rsidRPr="003F5142">
        <w:t>to apply.</w:t>
      </w:r>
      <w:r w:rsidR="00481435">
        <w:t xml:space="preserve"> The stay on the exclusion of contractual terms comes into operation automatically, at the time the RBA </w:t>
      </w:r>
      <w:r>
        <w:t xml:space="preserve">appoints a </w:t>
      </w:r>
      <w:r w:rsidR="00481435">
        <w:t>statutory manage</w:t>
      </w:r>
      <w:r>
        <w:t xml:space="preserve">r or makes a transfer determination </w:t>
      </w:r>
      <w:r w:rsidR="00481435">
        <w:t xml:space="preserve">and ensures that a contract cannot be terminated. </w:t>
      </w:r>
      <w:r w:rsidR="00481435">
        <w:br/>
      </w:r>
      <w:r w:rsidR="00481435" w:rsidRPr="001B336E">
        <w:rPr>
          <w:rStyle w:val="References"/>
        </w:rPr>
        <w:t xml:space="preserve">[Schedule </w:t>
      </w:r>
      <w:r w:rsidR="00481435">
        <w:rPr>
          <w:rStyle w:val="References"/>
        </w:rPr>
        <w:t>1</w:t>
      </w:r>
      <w:r w:rsidR="00481435" w:rsidRPr="001B336E">
        <w:rPr>
          <w:rStyle w:val="References"/>
        </w:rPr>
        <w:t xml:space="preserve">, </w:t>
      </w:r>
      <w:r w:rsidR="00481435">
        <w:rPr>
          <w:rStyle w:val="References"/>
        </w:rPr>
        <w:t>item 14</w:t>
      </w:r>
      <w:r w:rsidR="00481435" w:rsidRPr="001B336E">
        <w:rPr>
          <w:rStyle w:val="References"/>
        </w:rPr>
        <w:t>, section</w:t>
      </w:r>
      <w:r w:rsidR="00464537">
        <w:rPr>
          <w:rStyle w:val="References"/>
        </w:rPr>
        <w:t>s</w:t>
      </w:r>
      <w:r w:rsidR="00481435" w:rsidRPr="001B336E">
        <w:rPr>
          <w:rStyle w:val="References"/>
        </w:rPr>
        <w:t xml:space="preserve"> </w:t>
      </w:r>
      <w:r w:rsidR="00481435">
        <w:rPr>
          <w:rStyle w:val="References"/>
        </w:rPr>
        <w:t>841B</w:t>
      </w:r>
      <w:r w:rsidR="00481435" w:rsidRPr="001B336E">
        <w:rPr>
          <w:rStyle w:val="References"/>
        </w:rPr>
        <w:t xml:space="preserve"> </w:t>
      </w:r>
      <w:r w:rsidR="00464537">
        <w:rPr>
          <w:rStyle w:val="References"/>
        </w:rPr>
        <w:t xml:space="preserve">and 847C </w:t>
      </w:r>
      <w:r w:rsidR="00481435" w:rsidRPr="001B336E">
        <w:rPr>
          <w:rStyle w:val="References"/>
        </w:rPr>
        <w:t>of the Act]</w:t>
      </w:r>
    </w:p>
    <w:p w14:paraId="1E37B974" w14:textId="7F2B0A6F" w:rsidR="000875EA" w:rsidRDefault="00464537" w:rsidP="000875EA">
      <w:pPr>
        <w:pStyle w:val="Heading6"/>
        <w:rPr>
          <w:rFonts w:hint="eastAsia"/>
        </w:rPr>
      </w:pPr>
      <w:r>
        <w:t>Temporary suspension of rights: r</w:t>
      </w:r>
      <w:r w:rsidR="000875EA">
        <w:t xml:space="preserve">evocation of notifiable instrument </w:t>
      </w:r>
    </w:p>
    <w:p w14:paraId="0F3C1582" w14:textId="2A8B9657" w:rsidR="00481435" w:rsidRDefault="00481435" w:rsidP="00481435">
      <w:pPr>
        <w:pStyle w:val="Normalparatextwithnumbers"/>
      </w:pPr>
      <w:r>
        <w:t xml:space="preserve">The RBA must revoke the notifiable instrument that temporary suspension of rights applies if there is no intention to appoint a statutory manager or make a transfer determination. </w:t>
      </w:r>
      <w:r>
        <w:br/>
      </w:r>
      <w:r w:rsidRPr="003E1814">
        <w:rPr>
          <w:rStyle w:val="References"/>
        </w:rPr>
        <w:t xml:space="preserve">[Schedule </w:t>
      </w:r>
      <w:r>
        <w:rPr>
          <w:rStyle w:val="References"/>
        </w:rPr>
        <w:t>1</w:t>
      </w:r>
      <w:r w:rsidRPr="003E1814">
        <w:rPr>
          <w:rStyle w:val="References"/>
        </w:rPr>
        <w:t xml:space="preserve">, </w:t>
      </w:r>
      <w:r>
        <w:rPr>
          <w:rStyle w:val="References"/>
        </w:rPr>
        <w:t>item 14</w:t>
      </w:r>
      <w:r w:rsidRPr="003E1814">
        <w:rPr>
          <w:rStyle w:val="References"/>
        </w:rPr>
        <w:t xml:space="preserve">, subsections </w:t>
      </w:r>
      <w:r w:rsidR="00464537" w:rsidRPr="003E1814">
        <w:rPr>
          <w:rStyle w:val="References"/>
        </w:rPr>
        <w:t>84</w:t>
      </w:r>
      <w:r w:rsidR="00464537">
        <w:rPr>
          <w:rStyle w:val="References"/>
        </w:rPr>
        <w:t>7</w:t>
      </w:r>
      <w:proofErr w:type="gramStart"/>
      <w:r w:rsidR="00464537" w:rsidRPr="003E1814">
        <w:rPr>
          <w:rStyle w:val="References"/>
        </w:rPr>
        <w:t>A</w:t>
      </w:r>
      <w:r w:rsidRPr="003E1814">
        <w:rPr>
          <w:rStyle w:val="References"/>
        </w:rPr>
        <w:t>(</w:t>
      </w:r>
      <w:proofErr w:type="gramEnd"/>
      <w:r w:rsidRPr="003E1814">
        <w:rPr>
          <w:rStyle w:val="References"/>
        </w:rPr>
        <w:t>3)-(4) of the Act]</w:t>
      </w:r>
    </w:p>
    <w:p w14:paraId="306F7EE8" w14:textId="55D0E860" w:rsidR="00481435" w:rsidRDefault="00464537" w:rsidP="00481435">
      <w:pPr>
        <w:pStyle w:val="Heading6"/>
        <w:rPr>
          <w:rFonts w:hint="eastAsia"/>
        </w:rPr>
      </w:pPr>
      <w:r>
        <w:lastRenderedPageBreak/>
        <w:t>Stay i</w:t>
      </w:r>
      <w:r w:rsidR="00481435">
        <w:t xml:space="preserve">nteractions with other </w:t>
      </w:r>
      <w:proofErr w:type="gramStart"/>
      <w:r w:rsidR="00481435">
        <w:t>laws</w:t>
      </w:r>
      <w:proofErr w:type="gramEnd"/>
    </w:p>
    <w:p w14:paraId="4064682B" w14:textId="35ECE826" w:rsidR="00481435" w:rsidRPr="006E5EBB" w:rsidRDefault="00481435" w:rsidP="00481435">
      <w:pPr>
        <w:pStyle w:val="Normalparatextwithnumbers"/>
        <w:rPr>
          <w:rStyle w:val="References"/>
          <w:b w:val="0"/>
          <w:bCs w:val="0"/>
          <w:i w:val="0"/>
          <w:iCs w:val="0"/>
        </w:rPr>
      </w:pPr>
      <w:bookmarkStart w:id="65" w:name="_Ref152060792"/>
      <w:r>
        <w:t xml:space="preserve">Despite the explicit provision on the enforcement of rights, where there is an inconsistency between the </w:t>
      </w:r>
      <w:r w:rsidRPr="009C5402">
        <w:t>PSN Act</w:t>
      </w:r>
      <w:r w:rsidRPr="001B2167">
        <w:t xml:space="preserve">, the </w:t>
      </w:r>
      <w:r w:rsidRPr="00BF0222">
        <w:rPr>
          <w:i/>
          <w:iCs/>
        </w:rPr>
        <w:t>International Interests in Mobile Equipment (Cape Town Convention) Act 2013</w:t>
      </w:r>
      <w:r>
        <w:t xml:space="preserve"> (Cape Town Convention Act), the </w:t>
      </w:r>
      <w:r w:rsidRPr="00BF0222">
        <w:rPr>
          <w:i/>
          <w:iCs/>
        </w:rPr>
        <w:t>Anti-Money Laundering and Counter-Terrorism Financing Act 2006</w:t>
      </w:r>
      <w:r>
        <w:t xml:space="preserve"> </w:t>
      </w:r>
      <w:r w:rsidRPr="009C5402">
        <w:t>(AML/CTF Act)</w:t>
      </w:r>
      <w:r>
        <w:t xml:space="preserve"> </w:t>
      </w:r>
      <w:r w:rsidRPr="001B2167">
        <w:t>and the</w:t>
      </w:r>
      <w:r w:rsidRPr="00A1185A">
        <w:t xml:space="preserve"> </w:t>
      </w:r>
      <w:r w:rsidRPr="00BF0222">
        <w:rPr>
          <w:i/>
          <w:iCs/>
        </w:rPr>
        <w:t>Autonomous Sanctions Act 2011</w:t>
      </w:r>
      <w:r>
        <w:t xml:space="preserve"> </w:t>
      </w:r>
      <w:r w:rsidRPr="00960FEC">
        <w:t>(ASA 2011)</w:t>
      </w:r>
      <w:r>
        <w:t>, those Acts will take priority.</w:t>
      </w:r>
      <w:r>
        <w:br/>
      </w:r>
      <w:r w:rsidRPr="00812044">
        <w:rPr>
          <w:rStyle w:val="References"/>
        </w:rPr>
        <w:t xml:space="preserve">[Schedule 1, </w:t>
      </w:r>
      <w:r>
        <w:rPr>
          <w:rStyle w:val="References"/>
        </w:rPr>
        <w:t xml:space="preserve">item 14, </w:t>
      </w:r>
      <w:r w:rsidRPr="00812044">
        <w:rPr>
          <w:rStyle w:val="References"/>
        </w:rPr>
        <w:t>section</w:t>
      </w:r>
      <w:r>
        <w:rPr>
          <w:rStyle w:val="References"/>
        </w:rPr>
        <w:t xml:space="preserve">s 841C and 888 </w:t>
      </w:r>
      <w:r w:rsidRPr="00812044">
        <w:rPr>
          <w:rStyle w:val="References"/>
        </w:rPr>
        <w:t>of the Act]</w:t>
      </w:r>
      <w:bookmarkEnd w:id="65"/>
    </w:p>
    <w:p w14:paraId="66FD03F3" w14:textId="77777777" w:rsidR="00481435" w:rsidRDefault="00481435" w:rsidP="00481435">
      <w:pPr>
        <w:pStyle w:val="Normalparatextwithnumbers"/>
      </w:pPr>
      <w:r>
        <w:t xml:space="preserve">The justification for this explicit hierarchy in relation to the Cape Town Convention Act and ASA 2011 is that these Acts outline Australia’s approach to international coordination. In particular, the Cape Town Convention codifies the treaty to standardise transactions involving movable property. Its purpose is to protect the interest of the sellers, purchasers and creditors through the creation of an International Registry. It outlines internationally consistent remedies available to the lender in the event of default or insolvency. </w:t>
      </w:r>
    </w:p>
    <w:p w14:paraId="138D6250" w14:textId="77777777" w:rsidR="00481435" w:rsidRDefault="00481435" w:rsidP="00481435">
      <w:pPr>
        <w:pStyle w:val="Normalparatextwithnumbers"/>
      </w:pPr>
      <w:r>
        <w:t xml:space="preserve">Because of the nature of the offence in section 16 of the ASA 2011 (particularly the strict liability nature), a person could be theoretically acting in accordance with the </w:t>
      </w:r>
      <w:proofErr w:type="gramStart"/>
      <w:r>
        <w:t>Act, but</w:t>
      </w:r>
      <w:proofErr w:type="gramEnd"/>
      <w:r>
        <w:t xml:space="preserve"> would be in breach of the ASA 2011. </w:t>
      </w:r>
    </w:p>
    <w:p w14:paraId="32015328" w14:textId="1F19AF27" w:rsidR="00481435" w:rsidRDefault="00481435" w:rsidP="00481435">
      <w:pPr>
        <w:pStyle w:val="Normalparatextwithnumbers"/>
      </w:pPr>
      <w:r>
        <w:t xml:space="preserve">The PSN Act and the AML/CTF Act are important to take precedence. The AML/CTF Act regulates financial, gambling, remittance and bullion sectors that provide designated services and imposes key obligations on regulated businesses. Given the policy significance of these obligations, this provision has been included to ensure these amendments do not unintentionally affect the operation of the AML/CTF Act and PSN Act. </w:t>
      </w:r>
    </w:p>
    <w:p w14:paraId="77DFF2EE" w14:textId="5EFC73F7" w:rsidR="00481435" w:rsidRPr="003163F1" w:rsidRDefault="00481435" w:rsidP="00481435">
      <w:pPr>
        <w:pStyle w:val="Normalparatextwithnumbers"/>
        <w:rPr>
          <w:rStyle w:val="References"/>
          <w:b w:val="0"/>
          <w:i w:val="0"/>
        </w:rPr>
      </w:pPr>
      <w:r>
        <w:t xml:space="preserve">A transaction of a body corporate is not voidable merely because the transaction was entered into when the moratorium </w:t>
      </w:r>
      <w:r w:rsidR="00244FA9">
        <w:t xml:space="preserve">provisions </w:t>
      </w:r>
      <w:r>
        <w:t>appl</w:t>
      </w:r>
      <w:r w:rsidR="00244FA9">
        <w:t>y</w:t>
      </w:r>
      <w:r>
        <w:t xml:space="preserve"> to the body corporate, the transaction is uncommercial, an unfair preference was given by the body corporate to a creditor of the body corporate, an insolvent transaction occurred, or a creditor defeating disposition by the body corporate. </w:t>
      </w:r>
      <w:r>
        <w:br/>
      </w:r>
      <w:r>
        <w:rPr>
          <w:rStyle w:val="References"/>
        </w:rPr>
        <w:t>[Schedule 1, item 14, section 841D of the Act]</w:t>
      </w:r>
    </w:p>
    <w:p w14:paraId="711E676D" w14:textId="263D1675" w:rsidR="005A73CF" w:rsidRDefault="005A73CF" w:rsidP="005A73CF">
      <w:pPr>
        <w:pStyle w:val="Heading3"/>
        <w:rPr>
          <w:rFonts w:hint="eastAsia"/>
        </w:rPr>
      </w:pPr>
      <w:bookmarkStart w:id="66" w:name="_Toc152860451"/>
      <w:r>
        <w:t>Directions</w:t>
      </w:r>
      <w:r w:rsidR="00B8024C">
        <w:t xml:space="preserve"> during resolution</w:t>
      </w:r>
      <w:bookmarkEnd w:id="66"/>
    </w:p>
    <w:p w14:paraId="3F212644" w14:textId="36FDF631" w:rsidR="002358C8" w:rsidRDefault="002358C8" w:rsidP="00125C2C">
      <w:pPr>
        <w:pStyle w:val="Normalparatextwithnumbers"/>
      </w:pPr>
      <w:r>
        <w:t>Resolution directions may be issued by the RBA after a condition for resolution has been met. A direction issued during a crisis may require domestic CS facility licensees</w:t>
      </w:r>
      <w:r w:rsidR="000B115C">
        <w:t>,</w:t>
      </w:r>
      <w:r>
        <w:t xml:space="preserve"> and</w:t>
      </w:r>
      <w:r w:rsidR="000B115C">
        <w:t>,</w:t>
      </w:r>
      <w:r>
        <w:t xml:space="preserve"> in certain circumstances, related bodies corporate to take specified action that must be complied with. </w:t>
      </w:r>
    </w:p>
    <w:p w14:paraId="75C5DC49" w14:textId="2EB949BD" w:rsidR="002358C8" w:rsidRDefault="002358C8" w:rsidP="00125C2C">
      <w:pPr>
        <w:pStyle w:val="Normalparatextwithnumbers"/>
      </w:pPr>
      <w:r>
        <w:t xml:space="preserve">A resolution direction may be issued to a related body corporate of a domestic CS facility licensee </w:t>
      </w:r>
      <w:proofErr w:type="gramStart"/>
      <w:r>
        <w:t>provided that</w:t>
      </w:r>
      <w:proofErr w:type="gramEnd"/>
      <w:r w:rsidR="002E5AD0">
        <w:t xml:space="preserve"> it is incorporated in Australia and</w:t>
      </w:r>
      <w:r>
        <w:t xml:space="preserve">: </w:t>
      </w:r>
    </w:p>
    <w:p w14:paraId="42A0D7B4" w14:textId="3740C89A" w:rsidR="002358C8" w:rsidRDefault="002358C8" w:rsidP="002358C8">
      <w:pPr>
        <w:pStyle w:val="Dotpoint1"/>
      </w:pPr>
      <w:r>
        <w:t xml:space="preserve">the body corporate </w:t>
      </w:r>
      <w:r w:rsidR="002E5AD0">
        <w:t xml:space="preserve">is related at the time of issuing the direction, or was related immediately before a transfer of business; and </w:t>
      </w:r>
    </w:p>
    <w:p w14:paraId="2F7FDF8C" w14:textId="18423813" w:rsidR="002358C8" w:rsidRPr="00D558A1" w:rsidRDefault="002358C8" w:rsidP="002358C8">
      <w:pPr>
        <w:pStyle w:val="Dotpoint1"/>
        <w:rPr>
          <w:rStyle w:val="References"/>
          <w:b w:val="0"/>
          <w:bCs w:val="0"/>
          <w:i w:val="0"/>
          <w:iCs w:val="0"/>
        </w:rPr>
      </w:pPr>
      <w:r>
        <w:lastRenderedPageBreak/>
        <w:t xml:space="preserve">the </w:t>
      </w:r>
      <w:r w:rsidR="004D4BAC">
        <w:t>RBA</w:t>
      </w:r>
      <w:r>
        <w:t xml:space="preserve"> considers it necessary to facilitate the resolution of the CS facility licensee.</w:t>
      </w:r>
      <w:r w:rsidR="002E5AD0">
        <w:br/>
      </w:r>
      <w:r w:rsidR="002E5AD0" w:rsidRPr="002E5AD0">
        <w:rPr>
          <w:rStyle w:val="References"/>
        </w:rPr>
        <w:t xml:space="preserve">[Schedule 1, </w:t>
      </w:r>
      <w:r w:rsidR="00C568C9">
        <w:rPr>
          <w:rStyle w:val="References"/>
        </w:rPr>
        <w:t>item 14</w:t>
      </w:r>
      <w:r w:rsidR="002E5AD0" w:rsidRPr="002E5AD0">
        <w:rPr>
          <w:rStyle w:val="References"/>
        </w:rPr>
        <w:t xml:space="preserve">, </w:t>
      </w:r>
      <w:r w:rsidR="002E5AD0">
        <w:rPr>
          <w:rStyle w:val="References"/>
        </w:rPr>
        <w:t>sub</w:t>
      </w:r>
      <w:r w:rsidR="002E5AD0" w:rsidRPr="002E5AD0">
        <w:rPr>
          <w:rStyle w:val="References"/>
        </w:rPr>
        <w:t xml:space="preserve">section </w:t>
      </w:r>
      <w:r w:rsidR="00050670">
        <w:rPr>
          <w:rStyle w:val="References"/>
        </w:rPr>
        <w:t>844</w:t>
      </w:r>
      <w:proofErr w:type="gramStart"/>
      <w:r w:rsidR="00050670">
        <w:rPr>
          <w:rStyle w:val="References"/>
        </w:rPr>
        <w:t>A</w:t>
      </w:r>
      <w:r w:rsidR="002E5AD0">
        <w:rPr>
          <w:rStyle w:val="References"/>
        </w:rPr>
        <w:t>(</w:t>
      </w:r>
      <w:proofErr w:type="gramEnd"/>
      <w:r w:rsidR="002E5AD0">
        <w:rPr>
          <w:rStyle w:val="References"/>
        </w:rPr>
        <w:t xml:space="preserve">1) </w:t>
      </w:r>
      <w:r w:rsidR="002E5AD0" w:rsidRPr="002E5AD0">
        <w:rPr>
          <w:rStyle w:val="References"/>
        </w:rPr>
        <w:t>of the Act]</w:t>
      </w:r>
    </w:p>
    <w:p w14:paraId="25231CA4" w14:textId="4460760B" w:rsidR="002358C8" w:rsidRDefault="00CF3F21" w:rsidP="009E0C90">
      <w:pPr>
        <w:pStyle w:val="Heading5"/>
      </w:pPr>
      <w:r>
        <w:t>R</w:t>
      </w:r>
      <w:r w:rsidR="002358C8">
        <w:t>esolution direction</w:t>
      </w:r>
    </w:p>
    <w:p w14:paraId="001D4048" w14:textId="7D9C8766" w:rsidR="00C04CF3" w:rsidRDefault="002358C8" w:rsidP="009103F2">
      <w:pPr>
        <w:pStyle w:val="Normalparatextwithnumbers"/>
      </w:pPr>
      <w:bookmarkStart w:id="67" w:name="_Ref144710928"/>
      <w:r>
        <w:t xml:space="preserve">The </w:t>
      </w:r>
      <w:r w:rsidR="004D4BAC">
        <w:t>RBA</w:t>
      </w:r>
      <w:r>
        <w:t xml:space="preserve"> may issue any </w:t>
      </w:r>
      <w:r w:rsidR="002E5AD0" w:rsidRPr="002E5AD0">
        <w:t xml:space="preserve">direction </w:t>
      </w:r>
      <w:r w:rsidR="006F1B91">
        <w:t xml:space="preserve">it </w:t>
      </w:r>
      <w:r w:rsidR="002E5AD0" w:rsidRPr="002E5AD0">
        <w:t xml:space="preserve">considers appropriate </w:t>
      </w:r>
      <w:r w:rsidR="006F1B91">
        <w:t xml:space="preserve">in facilitating resolution. </w:t>
      </w:r>
      <w:r w:rsidR="00C04CF3">
        <w:t>A direction may be issued to a CS facility licensee or a related body corporate</w:t>
      </w:r>
      <w:r w:rsidR="00D811A0">
        <w:t xml:space="preserve"> that is incorporated in Australia</w:t>
      </w:r>
      <w:r w:rsidR="00C04CF3">
        <w:t>, including a body corporate that was related to the CS facility licensee prior to the transfer of business or shares:</w:t>
      </w:r>
      <w:r w:rsidR="00C04CF3">
        <w:br/>
      </w:r>
      <w:r w:rsidR="00C04CF3" w:rsidRPr="00501A5E">
        <w:rPr>
          <w:rStyle w:val="References"/>
        </w:rPr>
        <w:t xml:space="preserve">[Schedule 1, </w:t>
      </w:r>
      <w:r w:rsidR="00C568C9">
        <w:rPr>
          <w:rStyle w:val="References"/>
        </w:rPr>
        <w:t>item 14</w:t>
      </w:r>
      <w:r w:rsidR="00050670">
        <w:rPr>
          <w:rStyle w:val="References"/>
        </w:rPr>
        <w:t xml:space="preserve">, </w:t>
      </w:r>
      <w:r w:rsidR="00C04CF3" w:rsidRPr="00501A5E">
        <w:rPr>
          <w:rStyle w:val="References"/>
        </w:rPr>
        <w:t>subsection 84</w:t>
      </w:r>
      <w:r w:rsidR="00050670">
        <w:rPr>
          <w:rStyle w:val="References"/>
        </w:rPr>
        <w:t>4</w:t>
      </w:r>
      <w:proofErr w:type="gramStart"/>
      <w:r w:rsidR="00C04CF3" w:rsidRPr="00501A5E">
        <w:rPr>
          <w:rStyle w:val="References"/>
        </w:rPr>
        <w:t>A</w:t>
      </w:r>
      <w:r w:rsidR="00050670">
        <w:rPr>
          <w:rStyle w:val="References"/>
        </w:rPr>
        <w:t>(</w:t>
      </w:r>
      <w:proofErr w:type="gramEnd"/>
      <w:r w:rsidR="00050670">
        <w:rPr>
          <w:rStyle w:val="References"/>
        </w:rPr>
        <w:t>2)</w:t>
      </w:r>
      <w:r w:rsidR="00C04CF3" w:rsidRPr="00501A5E">
        <w:rPr>
          <w:rStyle w:val="References"/>
        </w:rPr>
        <w:t xml:space="preserve"> of the Act]</w:t>
      </w:r>
      <w:bookmarkEnd w:id="67"/>
    </w:p>
    <w:p w14:paraId="4F0E9871" w14:textId="00FE361B" w:rsidR="002358C8" w:rsidRDefault="00FC224D" w:rsidP="00125C2C">
      <w:pPr>
        <w:pStyle w:val="Normalparatextwithnumbers"/>
      </w:pPr>
      <w:r>
        <w:t xml:space="preserve">For example, </w:t>
      </w:r>
      <w:r w:rsidR="00243114">
        <w:t xml:space="preserve">the </w:t>
      </w:r>
      <w:r w:rsidR="001C6505">
        <w:t xml:space="preserve">RBA may issue the </w:t>
      </w:r>
      <w:r w:rsidR="002358C8">
        <w:t>following resolution directions</w:t>
      </w:r>
      <w:r w:rsidR="001C6505">
        <w:t xml:space="preserve">: </w:t>
      </w:r>
    </w:p>
    <w:p w14:paraId="7DFB1139" w14:textId="30D2BE6C" w:rsidR="002358C8" w:rsidRDefault="002358C8" w:rsidP="0075112F">
      <w:pPr>
        <w:pStyle w:val="Dotpoint1"/>
      </w:pPr>
      <w:r>
        <w:t>to do or refrain from doing anything under the CS facility operating rules or procedures (CS facility licensee only</w:t>
      </w:r>
      <w:proofErr w:type="gramStart"/>
      <w:r>
        <w:t>);</w:t>
      </w:r>
      <w:proofErr w:type="gramEnd"/>
      <w:r>
        <w:t xml:space="preserve"> </w:t>
      </w:r>
    </w:p>
    <w:p w14:paraId="15A2C00F" w14:textId="711A431F" w:rsidR="002358C8" w:rsidRDefault="002358C8" w:rsidP="0075112F">
      <w:pPr>
        <w:pStyle w:val="Dotpoint1"/>
      </w:pPr>
      <w:r>
        <w:t>to amend its operating rules without having to consult participants (CS facility licensee only</w:t>
      </w:r>
      <w:proofErr w:type="gramStart"/>
      <w:r>
        <w:t>);</w:t>
      </w:r>
      <w:proofErr w:type="gramEnd"/>
    </w:p>
    <w:p w14:paraId="1FAEAC42" w14:textId="516BC118" w:rsidR="002358C8" w:rsidRDefault="002358C8" w:rsidP="0075112F">
      <w:pPr>
        <w:pStyle w:val="Dotpoint1"/>
      </w:pPr>
      <w:r>
        <w:t xml:space="preserve">to provide specified information to the </w:t>
      </w:r>
      <w:r w:rsidR="004D4BAC">
        <w:t>RBA</w:t>
      </w:r>
      <w:r>
        <w:t xml:space="preserve">, in connection with the performance of the </w:t>
      </w:r>
      <w:r w:rsidR="004D4BAC">
        <w:t>RBA</w:t>
      </w:r>
      <w:r>
        <w:t xml:space="preserve">’s functions and </w:t>
      </w:r>
      <w:proofErr w:type="gramStart"/>
      <w:r>
        <w:t>duties;</w:t>
      </w:r>
      <w:proofErr w:type="gramEnd"/>
      <w:r>
        <w:t xml:space="preserve"> </w:t>
      </w:r>
    </w:p>
    <w:p w14:paraId="0B132B48" w14:textId="558AE5BF" w:rsidR="002358C8" w:rsidRDefault="002358C8" w:rsidP="0075112F">
      <w:pPr>
        <w:pStyle w:val="Dotpoint1"/>
      </w:pPr>
      <w:r>
        <w:t xml:space="preserve">not to appoint an </w:t>
      </w:r>
      <w:r w:rsidR="00BA043A">
        <w:t>e</w:t>
      </w:r>
      <w:r>
        <w:t xml:space="preserve">xternal </w:t>
      </w:r>
      <w:proofErr w:type="gramStart"/>
      <w:r w:rsidR="00BA043A">
        <w:t>a</w:t>
      </w:r>
      <w:r>
        <w:t>dministrator;</w:t>
      </w:r>
      <w:proofErr w:type="gramEnd"/>
    </w:p>
    <w:p w14:paraId="797031AF" w14:textId="790361E4" w:rsidR="002358C8" w:rsidRDefault="002358C8" w:rsidP="0075112F">
      <w:pPr>
        <w:pStyle w:val="Dotpoint1"/>
      </w:pPr>
      <w:r>
        <w:t>to remove</w:t>
      </w:r>
      <w:r w:rsidR="00AB5835">
        <w:t>,</w:t>
      </w:r>
      <w:r>
        <w:t xml:space="preserve"> appoint</w:t>
      </w:r>
      <w:r w:rsidR="00AB5835">
        <w:t xml:space="preserve"> or not appoint</w:t>
      </w:r>
      <w:r>
        <w:t xml:space="preserve"> a </w:t>
      </w:r>
      <w:r w:rsidR="001C6505">
        <w:t>d</w:t>
      </w:r>
      <w:r>
        <w:t xml:space="preserve">irector or senior manager of the body </w:t>
      </w:r>
      <w:proofErr w:type="gramStart"/>
      <w:r>
        <w:t>corporate;</w:t>
      </w:r>
      <w:proofErr w:type="gramEnd"/>
      <w:r>
        <w:t xml:space="preserve"> </w:t>
      </w:r>
    </w:p>
    <w:p w14:paraId="602F002E" w14:textId="77777777" w:rsidR="002358C8" w:rsidRDefault="002358C8" w:rsidP="0075112F">
      <w:pPr>
        <w:pStyle w:val="Dotpoint1"/>
      </w:pPr>
      <w:r>
        <w:t xml:space="preserve">not to borrow any </w:t>
      </w:r>
      <w:proofErr w:type="gramStart"/>
      <w:r>
        <w:t>amount;</w:t>
      </w:r>
      <w:proofErr w:type="gramEnd"/>
    </w:p>
    <w:p w14:paraId="0626DD6D" w14:textId="77777777" w:rsidR="009F72B3" w:rsidRDefault="002358C8" w:rsidP="0075112F">
      <w:pPr>
        <w:pStyle w:val="Dotpoint1"/>
      </w:pPr>
      <w:r>
        <w:t xml:space="preserve">not to pay a dividend or repay any amount paid on </w:t>
      </w:r>
      <w:proofErr w:type="gramStart"/>
      <w:r>
        <w:t>shares;</w:t>
      </w:r>
      <w:proofErr w:type="gramEnd"/>
    </w:p>
    <w:p w14:paraId="1C09439D" w14:textId="77777777" w:rsidR="002358C8" w:rsidRDefault="002358C8" w:rsidP="0075112F">
      <w:pPr>
        <w:pStyle w:val="Dotpoint1"/>
      </w:pPr>
      <w:r>
        <w:t>not to pay or transfer any amount or asset to any person, or create an obligation (contingent or otherwise) to do so (unless pursuant to an order of a court or a process of execution</w:t>
      </w:r>
      <w:proofErr w:type="gramStart"/>
      <w:r>
        <w:t>);</w:t>
      </w:r>
      <w:proofErr w:type="gramEnd"/>
      <w:r>
        <w:t xml:space="preserve"> </w:t>
      </w:r>
    </w:p>
    <w:p w14:paraId="7D870290" w14:textId="11CF6230" w:rsidR="00A72583" w:rsidRDefault="00D811A0" w:rsidP="00A72583">
      <w:pPr>
        <w:pStyle w:val="Dotpoint1"/>
      </w:pPr>
      <w:r>
        <w:t xml:space="preserve">to acquire shares, </w:t>
      </w:r>
      <w:r w:rsidR="00A72583">
        <w:t xml:space="preserve">issue, sell or cancel shares in a body </w:t>
      </w:r>
      <w:proofErr w:type="gramStart"/>
      <w:r w:rsidR="00A72583">
        <w:t>corporate</w:t>
      </w:r>
      <w:proofErr w:type="gramEnd"/>
    </w:p>
    <w:p w14:paraId="3F7A5662" w14:textId="77777777" w:rsidR="00A72583" w:rsidRDefault="00A72583" w:rsidP="00A72583">
      <w:pPr>
        <w:pStyle w:val="Dotpoint1"/>
      </w:pPr>
      <w:r>
        <w:t xml:space="preserve">vary or cancel rights or restrictions attached to shares in a class of shares in the </w:t>
      </w:r>
      <w:proofErr w:type="gramStart"/>
      <w:r>
        <w:t>body;</w:t>
      </w:r>
      <w:proofErr w:type="gramEnd"/>
      <w:r>
        <w:t xml:space="preserve"> </w:t>
      </w:r>
    </w:p>
    <w:p w14:paraId="2A73AD89" w14:textId="43773785" w:rsidR="002358C8" w:rsidRDefault="002358C8" w:rsidP="0075112F">
      <w:pPr>
        <w:pStyle w:val="Dotpoint1"/>
      </w:pPr>
      <w:r>
        <w:t xml:space="preserve">to stop, delay or restrict an acquisition or </w:t>
      </w:r>
      <w:proofErr w:type="gramStart"/>
      <w:r>
        <w:t>divest</w:t>
      </w:r>
      <w:r w:rsidR="00BC5AB7">
        <w:t>it</w:t>
      </w:r>
      <w:r>
        <w:t>ure;</w:t>
      </w:r>
      <w:proofErr w:type="gramEnd"/>
      <w:r>
        <w:t xml:space="preserve"> </w:t>
      </w:r>
    </w:p>
    <w:p w14:paraId="5548D808" w14:textId="5BF696BD" w:rsidR="00663A9D" w:rsidRDefault="002358C8" w:rsidP="0075112F">
      <w:pPr>
        <w:pStyle w:val="Dotpoint1"/>
      </w:pPr>
      <w:r>
        <w:t>to continue or take new actions to provide services or funding to the CS facility licensee in accordance with any existing agreement (related body corporate only</w:t>
      </w:r>
      <w:proofErr w:type="gramStart"/>
      <w:r>
        <w:t>);</w:t>
      </w:r>
      <w:proofErr w:type="gramEnd"/>
      <w:r>
        <w:t xml:space="preserve"> </w:t>
      </w:r>
    </w:p>
    <w:p w14:paraId="583CCD29" w14:textId="1E01BF8E" w:rsidR="0075112F" w:rsidRDefault="002358C8" w:rsidP="0075112F">
      <w:pPr>
        <w:pStyle w:val="Dotpoint1"/>
      </w:pPr>
      <w:r>
        <w:t xml:space="preserve">to continue to operate a business where the </w:t>
      </w:r>
      <w:r w:rsidR="004D4BAC">
        <w:t>RBA</w:t>
      </w:r>
      <w:r>
        <w:t xml:space="preserve"> considers that the business is necessary to facilitate the resolution of the CS facility licensee (related body corporate only); </w:t>
      </w:r>
      <w:r w:rsidR="00073FDE">
        <w:t>or</w:t>
      </w:r>
    </w:p>
    <w:p w14:paraId="379B36D7" w14:textId="610A9B20" w:rsidR="002358C8" w:rsidRDefault="0075112F" w:rsidP="0075112F">
      <w:pPr>
        <w:pStyle w:val="Dotpoint1"/>
      </w:pPr>
      <w:r>
        <w:lastRenderedPageBreak/>
        <w:t xml:space="preserve">to do, or refrain from doing, anything else the </w:t>
      </w:r>
      <w:r w:rsidR="004D4BAC">
        <w:t>RBA</w:t>
      </w:r>
      <w:r>
        <w:t xml:space="preserve"> considers relevant in relation to maintain the stability of the financial system or to continue to provide critical CS facility services. </w:t>
      </w:r>
    </w:p>
    <w:p w14:paraId="5487663A" w14:textId="5FAD9913" w:rsidR="00501A5E" w:rsidRDefault="003408D4" w:rsidP="00125C2C">
      <w:pPr>
        <w:pStyle w:val="Normalparatextwithnumbers"/>
      </w:pPr>
      <w:r>
        <w:t>Where the RBA directs a body corporate to amend</w:t>
      </w:r>
      <w:r w:rsidR="00501A5E">
        <w:t xml:space="preserve"> t</w:t>
      </w:r>
      <w:r>
        <w:t>he</w:t>
      </w:r>
      <w:r w:rsidR="00501A5E">
        <w:t xml:space="preserve"> operating rules</w:t>
      </w:r>
      <w:r>
        <w:t>,</w:t>
      </w:r>
      <w:r w:rsidR="00501A5E">
        <w:t xml:space="preserve"> the usual disallowance under section 822E of the Act</w:t>
      </w:r>
      <w:r>
        <w:t xml:space="preserve"> does not apply</w:t>
      </w:r>
      <w:r w:rsidR="00501A5E">
        <w:t xml:space="preserve">, however the domestic CS facility licensee is still required to </w:t>
      </w:r>
      <w:r w:rsidR="00A12163">
        <w:t>notify</w:t>
      </w:r>
      <w:r w:rsidR="00501A5E">
        <w:t xml:space="preserve"> ASIC of the rule change. </w:t>
      </w:r>
      <w:r w:rsidR="00E642D0">
        <w:br/>
      </w:r>
      <w:r w:rsidR="00E642D0" w:rsidRPr="00E642D0">
        <w:rPr>
          <w:rStyle w:val="References"/>
        </w:rPr>
        <w:t xml:space="preserve">[Schedule </w:t>
      </w:r>
      <w:r w:rsidR="00320AEF">
        <w:rPr>
          <w:rStyle w:val="References"/>
        </w:rPr>
        <w:t>1</w:t>
      </w:r>
      <w:r w:rsidR="00E642D0" w:rsidRPr="00E642D0">
        <w:rPr>
          <w:rStyle w:val="References"/>
        </w:rPr>
        <w:t xml:space="preserve">, </w:t>
      </w:r>
      <w:r w:rsidR="00C568C9">
        <w:rPr>
          <w:rStyle w:val="References"/>
        </w:rPr>
        <w:t>item 1</w:t>
      </w:r>
      <w:r w:rsidR="00050670">
        <w:rPr>
          <w:rStyle w:val="References"/>
        </w:rPr>
        <w:t>3,</w:t>
      </w:r>
      <w:r w:rsidR="00DC5B04" w:rsidRPr="00E642D0">
        <w:rPr>
          <w:rStyle w:val="References"/>
        </w:rPr>
        <w:t xml:space="preserve"> </w:t>
      </w:r>
      <w:r w:rsidR="00E642D0" w:rsidRPr="00E642D0">
        <w:rPr>
          <w:rStyle w:val="References"/>
        </w:rPr>
        <w:t>section 822E of the Act]</w:t>
      </w:r>
    </w:p>
    <w:p w14:paraId="7866AAEA" w14:textId="22CB9A26" w:rsidR="00CF2F0C" w:rsidRPr="00BD644C" w:rsidRDefault="003408D4" w:rsidP="009103F2">
      <w:pPr>
        <w:pStyle w:val="Normalparatextwithnumbers"/>
      </w:pPr>
      <w:r>
        <w:t>Where t</w:t>
      </w:r>
      <w:r w:rsidR="00CF2F0C">
        <w:t xml:space="preserve">he RBA </w:t>
      </w:r>
      <w:r>
        <w:t>issues a direction to continue to operate a business, this</w:t>
      </w:r>
      <w:r w:rsidR="00CF2F0C">
        <w:t xml:space="preserve"> requires the recipient to continue to provide services or facilities that are necessary to enable the CS facility licensee to continue to operate effectively. </w:t>
      </w:r>
      <w:r w:rsidR="00CF2F0C" w:rsidRPr="00BD644C">
        <w:t xml:space="preserve">The services and facilities </w:t>
      </w:r>
      <w:r w:rsidR="00CF2F0C">
        <w:t xml:space="preserve">must </w:t>
      </w:r>
      <w:r w:rsidR="00CF2F0C" w:rsidRPr="00BD644C">
        <w:t xml:space="preserve">be provided on the same terms as they were under any pre-existing agreement for the duration of the agreement, </w:t>
      </w:r>
      <w:r w:rsidR="00CF2F0C">
        <w:t xml:space="preserve">or </w:t>
      </w:r>
      <w:r w:rsidR="00CF2F0C" w:rsidRPr="00BD644C">
        <w:t xml:space="preserve">otherwise on reasonable commercial terms. </w:t>
      </w:r>
      <w:r w:rsidR="00CF2F0C">
        <w:t xml:space="preserve">The obligation to continue to provide services may include intra-group funding arrangements but cannot be extended to third party service providers. </w:t>
      </w:r>
    </w:p>
    <w:p w14:paraId="0EDFE991" w14:textId="3352635E" w:rsidR="00F65686" w:rsidRDefault="00CF3F21" w:rsidP="00F65686">
      <w:pPr>
        <w:pStyle w:val="Heading5"/>
      </w:pPr>
      <w:r>
        <w:t>I</w:t>
      </w:r>
      <w:r w:rsidR="00F65686">
        <w:t xml:space="preserve">nformation gathering </w:t>
      </w:r>
      <w:proofErr w:type="gramStart"/>
      <w:r w:rsidR="00F65686">
        <w:t>direction</w:t>
      </w:r>
      <w:proofErr w:type="gramEnd"/>
    </w:p>
    <w:p w14:paraId="297C9F56" w14:textId="03B5F643" w:rsidR="00F04E9C" w:rsidRDefault="00CF3F21" w:rsidP="005060BE">
      <w:pPr>
        <w:pStyle w:val="Normalparatextwithnumbers"/>
      </w:pPr>
      <w:r>
        <w:t>After</w:t>
      </w:r>
      <w:r w:rsidR="00F04E9C">
        <w:t xml:space="preserve"> a condition </w:t>
      </w:r>
      <w:r w:rsidR="00A91C26">
        <w:t xml:space="preserve">to exercise a resolution power is satisfied, </w:t>
      </w:r>
      <w:r w:rsidR="00F04E9C">
        <w:t xml:space="preserve">the RBA may </w:t>
      </w:r>
      <w:r>
        <w:t>issue</w:t>
      </w:r>
      <w:r w:rsidR="00A65263">
        <w:t xml:space="preserve"> a direct</w:t>
      </w:r>
      <w:r>
        <w:t>ion</w:t>
      </w:r>
      <w:r w:rsidR="00A65263">
        <w:t xml:space="preserve"> to </w:t>
      </w:r>
      <w:r w:rsidR="005060BE">
        <w:t xml:space="preserve">a </w:t>
      </w:r>
      <w:r w:rsidR="00A65263">
        <w:t xml:space="preserve">person to </w:t>
      </w:r>
      <w:r>
        <w:t>provide</w:t>
      </w:r>
      <w:r w:rsidR="00F04E9C">
        <w:t xml:space="preserve"> relevant information that relates to the business of a domestic CS facility licensee</w:t>
      </w:r>
      <w:r>
        <w:t>.</w:t>
      </w:r>
      <w:r w:rsidR="005060BE">
        <w:t xml:space="preserve"> The RBA must</w:t>
      </w:r>
      <w:r w:rsidR="00F04E9C">
        <w:t xml:space="preserve"> reasonably </w:t>
      </w:r>
      <w:r w:rsidR="005060BE">
        <w:t>believe the person can give the information,</w:t>
      </w:r>
      <w:r w:rsidR="00F04E9C">
        <w:t xml:space="preserve"> and </w:t>
      </w:r>
      <w:r w:rsidR="005060BE">
        <w:t>that</w:t>
      </w:r>
      <w:r w:rsidR="00F04E9C">
        <w:t xml:space="preserve"> the information is required for the RBA fulfil its functions</w:t>
      </w:r>
      <w:r w:rsidR="005060BE">
        <w:t xml:space="preserve"> in protecting the financial system in Australia or ensuring the continuity of critical CS services.</w:t>
      </w:r>
    </w:p>
    <w:p w14:paraId="705BB85A" w14:textId="77E5794B" w:rsidR="005060BE" w:rsidRDefault="005060BE" w:rsidP="005060BE">
      <w:pPr>
        <w:pStyle w:val="Normalparatextwithnumbers"/>
      </w:pPr>
      <w:r>
        <w:t xml:space="preserve">The </w:t>
      </w:r>
      <w:r w:rsidR="00B75EFD">
        <w:t xml:space="preserve">direction to provide </w:t>
      </w:r>
      <w:r>
        <w:t>information m</w:t>
      </w:r>
      <w:r w:rsidR="00B75EFD">
        <w:t>ay</w:t>
      </w:r>
      <w:r>
        <w:t xml:space="preserve"> specify the particulars of the information </w:t>
      </w:r>
      <w:r w:rsidR="00B75EFD">
        <w:t xml:space="preserve">or documents containing the information </w:t>
      </w:r>
      <w:r>
        <w:t xml:space="preserve">and </w:t>
      </w:r>
      <w:r w:rsidR="00B75EFD">
        <w:t xml:space="preserve">the form and manner it is to be provided. </w:t>
      </w:r>
      <w:r w:rsidR="000F7462">
        <w:t xml:space="preserve">It must specify a reasonable time or period by which it is to be complied with and the form and </w:t>
      </w:r>
      <w:proofErr w:type="gramStart"/>
      <w:r w:rsidR="000F7462">
        <w:t>manner in which</w:t>
      </w:r>
      <w:proofErr w:type="gramEnd"/>
      <w:r w:rsidR="000F7462">
        <w:t xml:space="preserve"> the information or documents must be given.</w:t>
      </w:r>
      <w:r>
        <w:br/>
      </w:r>
      <w:r w:rsidRPr="00F65686">
        <w:rPr>
          <w:rStyle w:val="References"/>
        </w:rPr>
        <w:t xml:space="preserve">[Schedule 1, </w:t>
      </w:r>
      <w:r w:rsidR="00C568C9">
        <w:rPr>
          <w:rStyle w:val="References"/>
        </w:rPr>
        <w:t>item 14</w:t>
      </w:r>
      <w:r w:rsidRPr="00F65686">
        <w:rPr>
          <w:rStyle w:val="References"/>
        </w:rPr>
        <w:t xml:space="preserve">, section </w:t>
      </w:r>
      <w:r>
        <w:rPr>
          <w:rStyle w:val="References"/>
        </w:rPr>
        <w:t>84</w:t>
      </w:r>
      <w:r w:rsidR="00050670">
        <w:rPr>
          <w:rStyle w:val="References"/>
        </w:rPr>
        <w:t>4</w:t>
      </w:r>
      <w:r w:rsidR="00B62CBE">
        <w:rPr>
          <w:rStyle w:val="References"/>
        </w:rPr>
        <w:t>B</w:t>
      </w:r>
      <w:r w:rsidR="00050670">
        <w:rPr>
          <w:rStyle w:val="References"/>
        </w:rPr>
        <w:t xml:space="preserve"> </w:t>
      </w:r>
      <w:r w:rsidRPr="00F65686">
        <w:rPr>
          <w:rStyle w:val="References"/>
        </w:rPr>
        <w:t>of the Act]</w:t>
      </w:r>
    </w:p>
    <w:p w14:paraId="4578FEF5" w14:textId="0AAB31D3" w:rsidR="005060BE" w:rsidRDefault="00F04E9C" w:rsidP="00125C2C">
      <w:pPr>
        <w:pStyle w:val="Normalparatextwithnumbers"/>
      </w:pPr>
      <w:r>
        <w:t>T</w:t>
      </w:r>
      <w:r w:rsidR="00F65686">
        <w:t xml:space="preserve">he </w:t>
      </w:r>
      <w:r w:rsidR="00B75EFD">
        <w:t xml:space="preserve">required information may include </w:t>
      </w:r>
      <w:r w:rsidR="00F65686">
        <w:t xml:space="preserve">a book, account or document from any person </w:t>
      </w:r>
      <w:r w:rsidR="00B75EFD">
        <w:t>that relates to</w:t>
      </w:r>
      <w:r w:rsidR="00F65686">
        <w:t xml:space="preserve"> the operations of domestic CS facility licensees and related </w:t>
      </w:r>
      <w:r w:rsidR="00942C15">
        <w:t>bodies corporate</w:t>
      </w:r>
      <w:r w:rsidR="00F65686">
        <w:t xml:space="preserve">. </w:t>
      </w:r>
    </w:p>
    <w:p w14:paraId="2F20CBF6" w14:textId="373E57D5" w:rsidR="00CF3F21" w:rsidRDefault="00C8756A" w:rsidP="00C8756A">
      <w:pPr>
        <w:pStyle w:val="Heading5"/>
      </w:pPr>
      <w:r>
        <w:rPr>
          <w:rFonts w:hint="eastAsia"/>
        </w:rPr>
        <w:t>Directions</w:t>
      </w:r>
      <w:r>
        <w:t xml:space="preserve"> </w:t>
      </w:r>
      <w:r w:rsidR="00052E25">
        <w:t xml:space="preserve">may be issued </w:t>
      </w:r>
      <w:r w:rsidR="00CF3F21">
        <w:t xml:space="preserve">to overseas CS facility </w:t>
      </w:r>
      <w:proofErr w:type="gramStart"/>
      <w:r w:rsidR="00CF3F21">
        <w:t>licensees</w:t>
      </w:r>
      <w:proofErr w:type="gramEnd"/>
    </w:p>
    <w:p w14:paraId="70CB3711" w14:textId="1BB2F0EC" w:rsidR="00C8756A" w:rsidRDefault="00CF3F21" w:rsidP="00C8756A">
      <w:pPr>
        <w:pStyle w:val="Normalparatextwithnumbers"/>
      </w:pPr>
      <w:r>
        <w:t xml:space="preserve">In addition to direction powers for domestic bodies corporate, the RBA is empowered to issue </w:t>
      </w:r>
      <w:r w:rsidR="00C8756A">
        <w:t xml:space="preserve">resolution and information gathering </w:t>
      </w:r>
      <w:r>
        <w:t xml:space="preserve">directions to operators of </w:t>
      </w:r>
      <w:r w:rsidR="00D811A0">
        <w:t>overseas</w:t>
      </w:r>
      <w:r>
        <w:t xml:space="preserve"> CS facilities. </w:t>
      </w:r>
      <w:r w:rsidR="0043706F">
        <w:t xml:space="preserve">Where the overseas regulator has requested support, </w:t>
      </w:r>
      <w:r w:rsidR="00611A68">
        <w:t>t</w:t>
      </w:r>
      <w:r>
        <w:t>he RBA may direct a</w:t>
      </w:r>
      <w:r w:rsidR="00D811A0">
        <w:t>n overseas</w:t>
      </w:r>
      <w:r>
        <w:t xml:space="preserve"> CS facility to do or refrain from doing a thing provided it relates to the body corporate’s Australian business or the assets and liabilities in Australia. </w:t>
      </w:r>
      <w:r w:rsidR="00C8756A">
        <w:br/>
      </w:r>
      <w:r w:rsidR="00C8756A" w:rsidRPr="00F4587C">
        <w:rPr>
          <w:rStyle w:val="References"/>
        </w:rPr>
        <w:t xml:space="preserve">[Schedule </w:t>
      </w:r>
      <w:r w:rsidR="00320AEF">
        <w:rPr>
          <w:rStyle w:val="References"/>
        </w:rPr>
        <w:t>1</w:t>
      </w:r>
      <w:r w:rsidR="00C8756A" w:rsidRPr="00F4587C">
        <w:rPr>
          <w:rStyle w:val="References"/>
        </w:rPr>
        <w:t xml:space="preserve">, </w:t>
      </w:r>
      <w:r w:rsidR="00C568C9">
        <w:rPr>
          <w:rStyle w:val="References"/>
        </w:rPr>
        <w:t>item 14</w:t>
      </w:r>
      <w:r w:rsidR="00C8756A" w:rsidRPr="00F4587C">
        <w:rPr>
          <w:rStyle w:val="References"/>
        </w:rPr>
        <w:t xml:space="preserve">, subsection </w:t>
      </w:r>
      <w:r w:rsidR="00050670">
        <w:rPr>
          <w:rStyle w:val="References"/>
        </w:rPr>
        <w:t>848</w:t>
      </w:r>
      <w:proofErr w:type="gramStart"/>
      <w:r w:rsidR="00050670">
        <w:rPr>
          <w:rStyle w:val="References"/>
        </w:rPr>
        <w:t>A</w:t>
      </w:r>
      <w:r w:rsidR="00052E25">
        <w:rPr>
          <w:rStyle w:val="References"/>
        </w:rPr>
        <w:t>(</w:t>
      </w:r>
      <w:proofErr w:type="gramEnd"/>
      <w:r w:rsidR="00C35F06">
        <w:rPr>
          <w:rStyle w:val="References"/>
        </w:rPr>
        <w:t>2</w:t>
      </w:r>
      <w:r w:rsidR="00052E25">
        <w:rPr>
          <w:rStyle w:val="References"/>
        </w:rPr>
        <w:t>)</w:t>
      </w:r>
      <w:r w:rsidR="00C8756A" w:rsidRPr="00F4587C">
        <w:rPr>
          <w:rStyle w:val="References"/>
        </w:rPr>
        <w:t xml:space="preserve"> of the Act]</w:t>
      </w:r>
    </w:p>
    <w:p w14:paraId="16D8EEEB" w14:textId="0D4E2975" w:rsidR="00F4587C" w:rsidRDefault="00B62CBE" w:rsidP="00B62CBE">
      <w:pPr>
        <w:pStyle w:val="Heading5"/>
      </w:pPr>
      <w:r>
        <w:lastRenderedPageBreak/>
        <w:t>Details of Directions</w:t>
      </w:r>
    </w:p>
    <w:p w14:paraId="6A539B18" w14:textId="603E8865" w:rsidR="00243C6C" w:rsidRDefault="00243C6C" w:rsidP="00243C6C">
      <w:pPr>
        <w:pStyle w:val="Heading6"/>
        <w:rPr>
          <w:rFonts w:hint="eastAsia"/>
        </w:rPr>
      </w:pPr>
      <w:r>
        <w:t>Compliance</w:t>
      </w:r>
    </w:p>
    <w:p w14:paraId="20FA75C3" w14:textId="4CC4B38F" w:rsidR="008631B3" w:rsidRDefault="008631B3" w:rsidP="008631B3">
      <w:pPr>
        <w:pStyle w:val="Normalparatextwithnumbers"/>
      </w:pPr>
      <w:r>
        <w:t xml:space="preserve">A body corporate must comply with a resolution direction despite any other provision of the Act, its constitution, its operating rules or procedures, any contract or arrangement to which it is a party and any listing rules of a financial market in whose official list it is included. </w:t>
      </w:r>
      <w:r>
        <w:br/>
      </w:r>
      <w:r w:rsidRPr="00501A5E">
        <w:rPr>
          <w:rStyle w:val="References"/>
        </w:rPr>
        <w:t xml:space="preserve">[Schedule </w:t>
      </w:r>
      <w:r w:rsidR="00320AEF">
        <w:rPr>
          <w:rStyle w:val="References"/>
        </w:rPr>
        <w:t>1</w:t>
      </w:r>
      <w:r w:rsidRPr="00501A5E">
        <w:rPr>
          <w:rStyle w:val="References"/>
        </w:rPr>
        <w:t xml:space="preserve">, </w:t>
      </w:r>
      <w:r w:rsidR="00C568C9">
        <w:rPr>
          <w:rStyle w:val="References"/>
        </w:rPr>
        <w:t>item 14</w:t>
      </w:r>
      <w:r w:rsidRPr="00501A5E">
        <w:rPr>
          <w:rStyle w:val="References"/>
        </w:rPr>
        <w:t>, subsection 84</w:t>
      </w:r>
      <w:r w:rsidR="00050670">
        <w:rPr>
          <w:rStyle w:val="References"/>
        </w:rPr>
        <w:t>4</w:t>
      </w:r>
      <w:proofErr w:type="gramStart"/>
      <w:r>
        <w:rPr>
          <w:rStyle w:val="References"/>
        </w:rPr>
        <w:t>A</w:t>
      </w:r>
      <w:r w:rsidRPr="00501A5E">
        <w:rPr>
          <w:rStyle w:val="References"/>
        </w:rPr>
        <w:t>(</w:t>
      </w:r>
      <w:proofErr w:type="gramEnd"/>
      <w:r>
        <w:rPr>
          <w:rStyle w:val="References"/>
        </w:rPr>
        <w:t>4</w:t>
      </w:r>
      <w:r w:rsidRPr="00501A5E">
        <w:rPr>
          <w:rStyle w:val="References"/>
        </w:rPr>
        <w:t>)</w:t>
      </w:r>
      <w:r>
        <w:rPr>
          <w:rStyle w:val="References"/>
        </w:rPr>
        <w:t xml:space="preserve"> </w:t>
      </w:r>
      <w:r w:rsidRPr="00501A5E">
        <w:rPr>
          <w:rStyle w:val="References"/>
        </w:rPr>
        <w:t>of the Act]</w:t>
      </w:r>
    </w:p>
    <w:p w14:paraId="7321B635" w14:textId="0B5D4829" w:rsidR="00710B13" w:rsidRPr="00F65686" w:rsidRDefault="00710B13" w:rsidP="00710B13">
      <w:pPr>
        <w:pStyle w:val="Normalparatextwithnumbers"/>
        <w:rPr>
          <w:rStyle w:val="References"/>
          <w:b w:val="0"/>
          <w:bCs w:val="0"/>
          <w:i w:val="0"/>
          <w:iCs w:val="0"/>
        </w:rPr>
      </w:pPr>
      <w:r>
        <w:t xml:space="preserve">Failure to comply with </w:t>
      </w:r>
      <w:r w:rsidR="008631B3">
        <w:t xml:space="preserve">a </w:t>
      </w:r>
      <w:r>
        <w:t xml:space="preserve">resolution direction </w:t>
      </w:r>
      <w:r w:rsidR="008631B3">
        <w:t xml:space="preserve">or an information gathering direction </w:t>
      </w:r>
      <w:r>
        <w:t xml:space="preserve">is </w:t>
      </w:r>
      <w:r w:rsidR="008F5047">
        <w:t xml:space="preserve">an </w:t>
      </w:r>
      <w:r>
        <w:t xml:space="preserve">offence. </w:t>
      </w:r>
      <w:r w:rsidR="008631B3">
        <w:t>F</w:t>
      </w:r>
      <w:r>
        <w:t xml:space="preserve">ailure to comply with a direction will differ for individuals and bodies corporate, where individuals will be subject to 100 penalty units for each day </w:t>
      </w:r>
      <w:r w:rsidR="0043706F">
        <w:t xml:space="preserve">or part of a day </w:t>
      </w:r>
      <w:r>
        <w:t>of non-compliance, and bodies corporate will be subject to ten times this amount</w:t>
      </w:r>
      <w:r w:rsidR="0043706F">
        <w:t>, being</w:t>
      </w:r>
      <w:r w:rsidR="008D1169">
        <w:t xml:space="preserve"> </w:t>
      </w:r>
      <w:r>
        <w:t>1,000 penalty units.</w:t>
      </w:r>
    </w:p>
    <w:p w14:paraId="45AEFCCA" w14:textId="14A5FECD" w:rsidR="007A1E09" w:rsidRDefault="007A1E09" w:rsidP="007A1E09">
      <w:pPr>
        <w:pStyle w:val="Normalparatextwithnumbers"/>
      </w:pPr>
      <w:r>
        <w:t xml:space="preserve">Refusal or failure to give information (or documents containing information), </w:t>
      </w:r>
      <w:r w:rsidR="00DF7792">
        <w:t>r</w:t>
      </w:r>
      <w:r>
        <w:t>elating to the business of a body corporate in resolution is a criminal offence of 12 months imprisonment or 60 penalty units.</w:t>
      </w:r>
      <w:r w:rsidRPr="00243C6C">
        <w:t xml:space="preserve"> </w:t>
      </w:r>
      <w:r>
        <w:br/>
      </w:r>
      <w:r w:rsidRPr="004A070C">
        <w:rPr>
          <w:rStyle w:val="References"/>
        </w:rPr>
        <w:t xml:space="preserve">[Schedule </w:t>
      </w:r>
      <w:r w:rsidR="00320AEF">
        <w:rPr>
          <w:rStyle w:val="References"/>
        </w:rPr>
        <w:t>1</w:t>
      </w:r>
      <w:r w:rsidRPr="004A070C">
        <w:rPr>
          <w:rStyle w:val="References"/>
        </w:rPr>
        <w:t xml:space="preserve">, </w:t>
      </w:r>
      <w:r w:rsidR="00C568C9">
        <w:rPr>
          <w:rStyle w:val="References"/>
        </w:rPr>
        <w:t>item 14</w:t>
      </w:r>
      <w:r w:rsidRPr="004A070C">
        <w:rPr>
          <w:rStyle w:val="References"/>
        </w:rPr>
        <w:t xml:space="preserve">, subsections </w:t>
      </w:r>
      <w:r>
        <w:rPr>
          <w:rStyle w:val="References"/>
        </w:rPr>
        <w:t>84</w:t>
      </w:r>
      <w:r w:rsidR="00050670">
        <w:rPr>
          <w:rStyle w:val="References"/>
        </w:rPr>
        <w:t>4</w:t>
      </w:r>
      <w:proofErr w:type="gramStart"/>
      <w:r>
        <w:rPr>
          <w:rStyle w:val="References"/>
        </w:rPr>
        <w:t>B(</w:t>
      </w:r>
      <w:proofErr w:type="gramEnd"/>
      <w:r>
        <w:rPr>
          <w:rStyle w:val="References"/>
        </w:rPr>
        <w:t>3)</w:t>
      </w:r>
      <w:r w:rsidR="00996F1E">
        <w:rPr>
          <w:rStyle w:val="References"/>
        </w:rPr>
        <w:t xml:space="preserve"> and </w:t>
      </w:r>
      <w:r w:rsidRPr="004A070C">
        <w:rPr>
          <w:rStyle w:val="References"/>
        </w:rPr>
        <w:t>(4) of the Act]</w:t>
      </w:r>
    </w:p>
    <w:p w14:paraId="46D0A3A0" w14:textId="3F2CB0E6" w:rsidR="008D1169" w:rsidRDefault="008D1169" w:rsidP="008D1169">
      <w:pPr>
        <w:pStyle w:val="Normalparatextwithnumbers"/>
      </w:pPr>
      <w:r>
        <w:rPr>
          <w:rStyle w:val="References"/>
          <w:b w:val="0"/>
          <w:bCs w:val="0"/>
          <w:i w:val="0"/>
          <w:iCs w:val="0"/>
        </w:rPr>
        <w:t>Th</w:t>
      </w:r>
      <w:r w:rsidR="007A1E09">
        <w:rPr>
          <w:rStyle w:val="References"/>
          <w:b w:val="0"/>
          <w:bCs w:val="0"/>
          <w:i w:val="0"/>
          <w:iCs w:val="0"/>
        </w:rPr>
        <w:t>e</w:t>
      </w:r>
      <w:r>
        <w:rPr>
          <w:rStyle w:val="References"/>
          <w:b w:val="0"/>
          <w:bCs w:val="0"/>
          <w:i w:val="0"/>
          <w:iCs w:val="0"/>
        </w:rPr>
        <w:t>s</w:t>
      </w:r>
      <w:r w:rsidR="007A1E09">
        <w:rPr>
          <w:rStyle w:val="References"/>
          <w:b w:val="0"/>
          <w:bCs w:val="0"/>
          <w:i w:val="0"/>
          <w:iCs w:val="0"/>
        </w:rPr>
        <w:t>e</w:t>
      </w:r>
      <w:r>
        <w:rPr>
          <w:rStyle w:val="References"/>
          <w:b w:val="0"/>
          <w:bCs w:val="0"/>
          <w:i w:val="0"/>
          <w:iCs w:val="0"/>
        </w:rPr>
        <w:t xml:space="preserve"> penalt</w:t>
      </w:r>
      <w:r w:rsidR="007A1E09">
        <w:rPr>
          <w:rStyle w:val="References"/>
          <w:b w:val="0"/>
          <w:bCs w:val="0"/>
          <w:i w:val="0"/>
          <w:iCs w:val="0"/>
        </w:rPr>
        <w:t>ies</w:t>
      </w:r>
      <w:r>
        <w:rPr>
          <w:rStyle w:val="References"/>
          <w:b w:val="0"/>
          <w:bCs w:val="0"/>
          <w:i w:val="0"/>
          <w:iCs w:val="0"/>
        </w:rPr>
        <w:t xml:space="preserve"> reflect the </w:t>
      </w:r>
      <w:r w:rsidR="008D211B">
        <w:rPr>
          <w:rStyle w:val="References"/>
          <w:b w:val="0"/>
          <w:bCs w:val="0"/>
          <w:i w:val="0"/>
          <w:iCs w:val="0"/>
        </w:rPr>
        <w:t>severity</w:t>
      </w:r>
      <w:r>
        <w:rPr>
          <w:rStyle w:val="References"/>
          <w:b w:val="0"/>
          <w:bCs w:val="0"/>
          <w:i w:val="0"/>
          <w:iCs w:val="0"/>
        </w:rPr>
        <w:t xml:space="preserve"> of the contravention which would likely have detrimental effects on the stability of the Australian financial system. </w:t>
      </w:r>
      <w:r w:rsidR="007D7459">
        <w:rPr>
          <w:rStyle w:val="References"/>
          <w:b w:val="0"/>
          <w:bCs w:val="0"/>
          <w:i w:val="0"/>
          <w:iCs w:val="0"/>
        </w:rPr>
        <w:t xml:space="preserve">It is imperative that directions issued during resolution are complied with in order to resolve distressed CS facilities. </w:t>
      </w:r>
      <w:r>
        <w:rPr>
          <w:rStyle w:val="References"/>
          <w:b w:val="0"/>
          <w:bCs w:val="0"/>
          <w:i w:val="0"/>
          <w:iCs w:val="0"/>
        </w:rPr>
        <w:t>In addition, the penalty for contravention of a direction issued by the RBA is consistent with</w:t>
      </w:r>
      <w:r w:rsidR="007D7459">
        <w:rPr>
          <w:rStyle w:val="References"/>
          <w:b w:val="0"/>
          <w:bCs w:val="0"/>
          <w:i w:val="0"/>
          <w:iCs w:val="0"/>
        </w:rPr>
        <w:t xml:space="preserve"> contravention of ASIC directions in non</w:t>
      </w:r>
      <w:r w:rsidR="007D7459">
        <w:rPr>
          <w:rStyle w:val="References"/>
          <w:b w:val="0"/>
          <w:bCs w:val="0"/>
          <w:i w:val="0"/>
          <w:iCs w:val="0"/>
        </w:rPr>
        <w:noBreakHyphen/>
        <w:t>crisis times</w:t>
      </w:r>
      <w:r>
        <w:rPr>
          <w:rStyle w:val="References"/>
          <w:b w:val="0"/>
          <w:bCs w:val="0"/>
          <w:i w:val="0"/>
          <w:iCs w:val="0"/>
        </w:rPr>
        <w:t xml:space="preserve">. </w:t>
      </w:r>
    </w:p>
    <w:p w14:paraId="6FE45F22" w14:textId="308B4AC3" w:rsidR="00F65686" w:rsidRPr="00B8024C" w:rsidRDefault="00243C6C" w:rsidP="00125C2C">
      <w:pPr>
        <w:pStyle w:val="Normalparatextwithnumbers"/>
      </w:pPr>
      <w:r>
        <w:t xml:space="preserve">Where a CS facility licensee fails to comply with a direction, the RBA may apply to </w:t>
      </w:r>
      <w:r w:rsidR="00724244">
        <w:t xml:space="preserve">the Court </w:t>
      </w:r>
      <w:r w:rsidR="00613F1B" w:rsidRPr="00613F1B">
        <w:t>for orders enforcing the direction</w:t>
      </w:r>
      <w:r>
        <w:t>. T</w:t>
      </w:r>
      <w:r w:rsidRPr="00D078FF">
        <w:t xml:space="preserve">he </w:t>
      </w:r>
      <w:r w:rsidR="006116AB">
        <w:t>C</w:t>
      </w:r>
      <w:r w:rsidRPr="00D078FF">
        <w:t>ourt may make orders on the application of the RBA (alone o</w:t>
      </w:r>
      <w:r w:rsidR="007F471B">
        <w:t>r</w:t>
      </w:r>
      <w:r w:rsidRPr="00D078FF">
        <w:t xml:space="preserve"> jointly with ASIC), if it appears to the Court that a person has contravened a </w:t>
      </w:r>
      <w:r>
        <w:t>direction</w:t>
      </w:r>
      <w:r w:rsidRPr="00D078FF">
        <w:t>. However, the Court can only make such an order if the Court is satisfied that the order would not unfairly prejudice any person.</w:t>
      </w:r>
      <w:r>
        <w:br/>
      </w:r>
      <w:r w:rsidRPr="003B2346">
        <w:rPr>
          <w:rStyle w:val="References"/>
        </w:rPr>
        <w:t>[</w:t>
      </w:r>
      <w:r>
        <w:rPr>
          <w:rStyle w:val="References"/>
        </w:rPr>
        <w:t xml:space="preserve">Schedule </w:t>
      </w:r>
      <w:r w:rsidR="00320AEF">
        <w:rPr>
          <w:rStyle w:val="References"/>
        </w:rPr>
        <w:t>1</w:t>
      </w:r>
      <w:r w:rsidRPr="003B2346">
        <w:rPr>
          <w:rStyle w:val="References"/>
        </w:rPr>
        <w:t xml:space="preserve">, </w:t>
      </w:r>
      <w:r w:rsidR="00C568C9">
        <w:rPr>
          <w:rStyle w:val="References"/>
        </w:rPr>
        <w:t>item 14</w:t>
      </w:r>
      <w:r w:rsidR="001C1164" w:rsidRPr="003B2346">
        <w:rPr>
          <w:rStyle w:val="References"/>
        </w:rPr>
        <w:t xml:space="preserve">, </w:t>
      </w:r>
      <w:r w:rsidRPr="003B2346">
        <w:rPr>
          <w:rStyle w:val="References"/>
        </w:rPr>
        <w:t xml:space="preserve">section </w:t>
      </w:r>
      <w:r w:rsidR="00115590">
        <w:rPr>
          <w:rStyle w:val="References"/>
        </w:rPr>
        <w:t>84</w:t>
      </w:r>
      <w:r w:rsidR="00DF7792">
        <w:rPr>
          <w:rStyle w:val="References"/>
        </w:rPr>
        <w:t>4</w:t>
      </w:r>
      <w:r w:rsidR="00115590">
        <w:rPr>
          <w:rStyle w:val="References"/>
        </w:rPr>
        <w:t>C</w:t>
      </w:r>
      <w:r w:rsidR="00115590" w:rsidRPr="003B2346">
        <w:rPr>
          <w:rStyle w:val="References"/>
        </w:rPr>
        <w:t xml:space="preserve"> </w:t>
      </w:r>
      <w:r w:rsidRPr="003B2346">
        <w:rPr>
          <w:rStyle w:val="References"/>
        </w:rPr>
        <w:t xml:space="preserve">of the </w:t>
      </w:r>
      <w:r>
        <w:rPr>
          <w:rStyle w:val="References"/>
        </w:rPr>
        <w:t>Act</w:t>
      </w:r>
      <w:r w:rsidRPr="003B2346">
        <w:rPr>
          <w:rStyle w:val="References"/>
        </w:rPr>
        <w:t>]</w:t>
      </w:r>
    </w:p>
    <w:p w14:paraId="126E3659" w14:textId="77777777" w:rsidR="00F21DB4" w:rsidRPr="00FF4887" w:rsidRDefault="00F21DB4" w:rsidP="00F21DB4">
      <w:pPr>
        <w:pStyle w:val="Heading6"/>
        <w:rPr>
          <w:rFonts w:hint="eastAsia"/>
        </w:rPr>
      </w:pPr>
      <w:r>
        <w:t>Period of direction</w:t>
      </w:r>
    </w:p>
    <w:p w14:paraId="40D5DC84" w14:textId="2BCEAD58" w:rsidR="00710B13" w:rsidRDefault="00F21DB4" w:rsidP="00710B13">
      <w:pPr>
        <w:pStyle w:val="Normalparatextwithnumbers"/>
      </w:pPr>
      <w:r>
        <w:t>All directions issued by the RBA may specify a time or period for the body corporate to comply with the direction.</w:t>
      </w:r>
      <w:r w:rsidRPr="00B62CBE">
        <w:rPr>
          <w:rStyle w:val="References"/>
        </w:rPr>
        <w:t xml:space="preserve"> </w:t>
      </w:r>
      <w:r>
        <w:rPr>
          <w:rStyle w:val="References"/>
        </w:rPr>
        <w:br/>
      </w:r>
      <w:r w:rsidRPr="00501A5E">
        <w:rPr>
          <w:rStyle w:val="References"/>
        </w:rPr>
        <w:t xml:space="preserve">[Schedule 1, </w:t>
      </w:r>
      <w:r w:rsidR="00C568C9">
        <w:rPr>
          <w:rStyle w:val="References"/>
        </w:rPr>
        <w:t>item 14</w:t>
      </w:r>
      <w:r w:rsidR="00DF7792">
        <w:rPr>
          <w:rStyle w:val="References"/>
        </w:rPr>
        <w:t>,</w:t>
      </w:r>
      <w:r w:rsidRPr="00501A5E">
        <w:rPr>
          <w:rStyle w:val="References"/>
        </w:rPr>
        <w:t xml:space="preserve"> subsection</w:t>
      </w:r>
      <w:r>
        <w:rPr>
          <w:rStyle w:val="References"/>
        </w:rPr>
        <w:t>s</w:t>
      </w:r>
      <w:r w:rsidRPr="00501A5E">
        <w:rPr>
          <w:rStyle w:val="References"/>
        </w:rPr>
        <w:t xml:space="preserve"> 84</w:t>
      </w:r>
      <w:r w:rsidR="00DF7792">
        <w:rPr>
          <w:rStyle w:val="References"/>
        </w:rPr>
        <w:t>4</w:t>
      </w:r>
      <w:proofErr w:type="gramStart"/>
      <w:r w:rsidRPr="00501A5E">
        <w:rPr>
          <w:rStyle w:val="References"/>
        </w:rPr>
        <w:t>A(</w:t>
      </w:r>
      <w:proofErr w:type="gramEnd"/>
      <w:r>
        <w:rPr>
          <w:rStyle w:val="References"/>
        </w:rPr>
        <w:t>2</w:t>
      </w:r>
      <w:r w:rsidRPr="00501A5E">
        <w:rPr>
          <w:rStyle w:val="References"/>
        </w:rPr>
        <w:t>)</w:t>
      </w:r>
      <w:r w:rsidR="009D060C">
        <w:rPr>
          <w:rStyle w:val="References"/>
        </w:rPr>
        <w:t xml:space="preserve"> </w:t>
      </w:r>
      <w:r w:rsidR="00DF7792">
        <w:rPr>
          <w:rStyle w:val="References"/>
        </w:rPr>
        <w:t>and,</w:t>
      </w:r>
      <w:r w:rsidR="00716652">
        <w:rPr>
          <w:rStyle w:val="References"/>
        </w:rPr>
        <w:t xml:space="preserve"> </w:t>
      </w:r>
      <w:r>
        <w:rPr>
          <w:rStyle w:val="References"/>
        </w:rPr>
        <w:t>84</w:t>
      </w:r>
      <w:r w:rsidR="00DF7792">
        <w:rPr>
          <w:rStyle w:val="References"/>
        </w:rPr>
        <w:t>4</w:t>
      </w:r>
      <w:r>
        <w:rPr>
          <w:rStyle w:val="References"/>
        </w:rPr>
        <w:t>B(2)</w:t>
      </w:r>
      <w:r w:rsidR="00DF7792">
        <w:rPr>
          <w:rStyle w:val="References"/>
        </w:rPr>
        <w:t xml:space="preserve"> </w:t>
      </w:r>
      <w:r w:rsidRPr="00501A5E">
        <w:rPr>
          <w:rStyle w:val="References"/>
        </w:rPr>
        <w:t>of the Act]</w:t>
      </w:r>
      <w:r w:rsidR="00710B13" w:rsidRPr="00710B13">
        <w:t xml:space="preserve"> </w:t>
      </w:r>
    </w:p>
    <w:p w14:paraId="2927ADBB" w14:textId="74758D01" w:rsidR="00F21DB4" w:rsidRDefault="00443C4F" w:rsidP="009103F2">
      <w:pPr>
        <w:pStyle w:val="Normalparatextwithnumbers"/>
      </w:pPr>
      <w:r>
        <w:t>However, if no period is specified, the direction will continue to apply until the RBA revokes the direction. A</w:t>
      </w:r>
      <w:r w:rsidR="00710B13">
        <w:t xml:space="preserve"> direction continues to apply despite an external administrator or statutory manager being appointed.</w:t>
      </w:r>
    </w:p>
    <w:p w14:paraId="1FA38BF3" w14:textId="118F8788" w:rsidR="00243C6C" w:rsidRPr="006910CB" w:rsidRDefault="00243C6C" w:rsidP="00243C6C">
      <w:pPr>
        <w:pStyle w:val="Heading6"/>
        <w:rPr>
          <w:rFonts w:hint="eastAsia"/>
        </w:rPr>
      </w:pPr>
      <w:r>
        <w:t>Variation or revocation of a direction</w:t>
      </w:r>
    </w:p>
    <w:p w14:paraId="6D2FB202" w14:textId="707ECBCD" w:rsidR="00243C6C" w:rsidRDefault="00243C6C" w:rsidP="00125C2C">
      <w:pPr>
        <w:pStyle w:val="Normalparatextwithnumbers"/>
      </w:pPr>
      <w:r>
        <w:t xml:space="preserve">The RBA may vary or revoke a </w:t>
      </w:r>
      <w:r w:rsidR="0087587F">
        <w:t xml:space="preserve">direction </w:t>
      </w:r>
      <w:r w:rsidR="00524FDA">
        <w:t>if it is consistent with the resolution objectives</w:t>
      </w:r>
      <w:r w:rsidR="0087587F">
        <w:t xml:space="preserve"> but</w:t>
      </w:r>
      <w:r>
        <w:t xml:space="preserve"> is required to provide written notice to the CS facility. Upon </w:t>
      </w:r>
      <w:r>
        <w:lastRenderedPageBreak/>
        <w:t xml:space="preserve">revocation of a direction, the direction ceases to have effect. </w:t>
      </w:r>
      <w:r>
        <w:br/>
      </w:r>
      <w:r>
        <w:rPr>
          <w:rStyle w:val="References"/>
        </w:rPr>
        <w:t xml:space="preserve">[Schedule </w:t>
      </w:r>
      <w:r w:rsidR="00320AEF">
        <w:rPr>
          <w:rStyle w:val="References"/>
        </w:rPr>
        <w:t>1</w:t>
      </w:r>
      <w:r>
        <w:rPr>
          <w:rStyle w:val="References"/>
        </w:rPr>
        <w:t xml:space="preserve">, </w:t>
      </w:r>
      <w:r w:rsidR="00C568C9">
        <w:rPr>
          <w:rStyle w:val="References"/>
        </w:rPr>
        <w:t>item 14</w:t>
      </w:r>
      <w:r w:rsidR="00DF7792">
        <w:rPr>
          <w:rStyle w:val="References"/>
        </w:rPr>
        <w:t xml:space="preserve">, </w:t>
      </w:r>
      <w:r>
        <w:rPr>
          <w:rStyle w:val="References"/>
        </w:rPr>
        <w:t xml:space="preserve">section </w:t>
      </w:r>
      <w:r w:rsidR="00DF7792">
        <w:rPr>
          <w:rStyle w:val="References"/>
        </w:rPr>
        <w:t xml:space="preserve">844D </w:t>
      </w:r>
      <w:r>
        <w:rPr>
          <w:rStyle w:val="References"/>
        </w:rPr>
        <w:t>of the Act]</w:t>
      </w:r>
    </w:p>
    <w:p w14:paraId="2D857129" w14:textId="589C5697" w:rsidR="00443C4F" w:rsidRDefault="00443C4F" w:rsidP="00443C4F">
      <w:pPr>
        <w:pStyle w:val="Heading6"/>
        <w:rPr>
          <w:rFonts w:hint="eastAsia"/>
        </w:rPr>
      </w:pPr>
      <w:r>
        <w:t>Consulting ASIC</w:t>
      </w:r>
    </w:p>
    <w:p w14:paraId="603CB21B" w14:textId="55FCD005" w:rsidR="00243C6C" w:rsidRDefault="00243C6C" w:rsidP="00125C2C">
      <w:pPr>
        <w:pStyle w:val="Normalparatextwithnumbers"/>
      </w:pPr>
      <w:r>
        <w:t xml:space="preserve">The </w:t>
      </w:r>
      <w:r w:rsidRPr="00D078FF">
        <w:t xml:space="preserve">RBA </w:t>
      </w:r>
      <w:r>
        <w:t xml:space="preserve">must </w:t>
      </w:r>
      <w:r w:rsidRPr="00D078FF">
        <w:t xml:space="preserve">consult ASIC before giving, varying or revoking a </w:t>
      </w:r>
      <w:r w:rsidR="00443C4F">
        <w:t xml:space="preserve">resolution or information gathering </w:t>
      </w:r>
      <w:r w:rsidRPr="00D078FF">
        <w:t>direction</w:t>
      </w:r>
      <w:r>
        <w:t>. However</w:t>
      </w:r>
      <w:r w:rsidR="003C023E">
        <w:t>,</w:t>
      </w:r>
      <w:r>
        <w:t xml:space="preserve"> if the RBA fails </w:t>
      </w:r>
      <w:r w:rsidRPr="00D078FF">
        <w:t xml:space="preserve">to consult </w:t>
      </w:r>
      <w:r>
        <w:t xml:space="preserve">with ASIC, the direction is </w:t>
      </w:r>
      <w:r w:rsidRPr="00D078FF">
        <w:t xml:space="preserve">not invalid </w:t>
      </w:r>
      <w:r>
        <w:t>and continues to have effect</w:t>
      </w:r>
      <w:r w:rsidRPr="00D078FF">
        <w:t>.</w:t>
      </w:r>
      <w:r>
        <w:br/>
      </w:r>
      <w:r w:rsidRPr="003B2346">
        <w:rPr>
          <w:rStyle w:val="References"/>
        </w:rPr>
        <w:t>[</w:t>
      </w:r>
      <w:r>
        <w:rPr>
          <w:rStyle w:val="References"/>
        </w:rPr>
        <w:t xml:space="preserve">Schedule </w:t>
      </w:r>
      <w:r w:rsidR="00320AEF">
        <w:rPr>
          <w:rStyle w:val="References"/>
        </w:rPr>
        <w:t>1</w:t>
      </w:r>
      <w:r w:rsidRPr="003B2346">
        <w:rPr>
          <w:rStyle w:val="References"/>
        </w:rPr>
        <w:t xml:space="preserve">, </w:t>
      </w:r>
      <w:r w:rsidR="00C568C9">
        <w:rPr>
          <w:rStyle w:val="References"/>
        </w:rPr>
        <w:t>item 14</w:t>
      </w:r>
      <w:r w:rsidR="00DF7792">
        <w:rPr>
          <w:rStyle w:val="References"/>
        </w:rPr>
        <w:t xml:space="preserve">, </w:t>
      </w:r>
      <w:r w:rsidRPr="003B2346">
        <w:rPr>
          <w:rStyle w:val="References"/>
        </w:rPr>
        <w:t xml:space="preserve">section </w:t>
      </w:r>
      <w:r w:rsidR="00DF7792">
        <w:rPr>
          <w:rStyle w:val="References"/>
        </w:rPr>
        <w:t>844E</w:t>
      </w:r>
      <w:r w:rsidR="00B73DAF" w:rsidRPr="003B2346">
        <w:rPr>
          <w:rStyle w:val="References"/>
        </w:rPr>
        <w:t xml:space="preserve"> </w:t>
      </w:r>
      <w:r w:rsidRPr="003B2346">
        <w:rPr>
          <w:rStyle w:val="References"/>
        </w:rPr>
        <w:t xml:space="preserve">of the </w:t>
      </w:r>
      <w:r>
        <w:rPr>
          <w:rStyle w:val="References"/>
        </w:rPr>
        <w:t>Act</w:t>
      </w:r>
      <w:r w:rsidRPr="003B2346">
        <w:rPr>
          <w:rStyle w:val="References"/>
        </w:rPr>
        <w:t>]</w:t>
      </w:r>
    </w:p>
    <w:p w14:paraId="0CB6E9C4" w14:textId="77777777" w:rsidR="00C75A1D" w:rsidRPr="00C75A1D" w:rsidRDefault="00C75A1D" w:rsidP="00C75A1D">
      <w:pPr>
        <w:pStyle w:val="Heading6"/>
        <w:rPr>
          <w:rStyle w:val="References"/>
          <w:rFonts w:ascii="Helvitica" w:hAnsi="Helvitica" w:hint="eastAsia"/>
          <w:b w:val="0"/>
          <w:bCs w:val="0"/>
          <w:i/>
          <w:iCs w:val="0"/>
          <w:sz w:val="24"/>
          <w:szCs w:val="24"/>
        </w:rPr>
      </w:pPr>
      <w:r w:rsidRPr="00C75A1D">
        <w:rPr>
          <w:rStyle w:val="References"/>
          <w:rFonts w:ascii="Helvitica" w:hAnsi="Helvitica"/>
          <w:b w:val="0"/>
          <w:bCs w:val="0"/>
          <w:i/>
          <w:iCs w:val="0"/>
          <w:sz w:val="24"/>
          <w:szCs w:val="24"/>
        </w:rPr>
        <w:t xml:space="preserve">Reviewability of directions </w:t>
      </w:r>
    </w:p>
    <w:p w14:paraId="6E2ECCFD" w14:textId="5E2F2A82" w:rsidR="00C75A1D" w:rsidRDefault="00D947D9" w:rsidP="00125C2C">
      <w:pPr>
        <w:pStyle w:val="Normalparatextwithnumbers"/>
      </w:pPr>
      <w:r>
        <w:rPr>
          <w:rStyle w:val="References"/>
          <w:b w:val="0"/>
          <w:bCs w:val="0"/>
          <w:i w:val="0"/>
          <w:iCs w:val="0"/>
        </w:rPr>
        <w:t xml:space="preserve">Any decisions made by either the statutory manager or RBA whilst in a crisis </w:t>
      </w:r>
      <w:r w:rsidR="00631461">
        <w:rPr>
          <w:rStyle w:val="References"/>
          <w:b w:val="0"/>
          <w:bCs w:val="0"/>
          <w:i w:val="0"/>
          <w:iCs w:val="0"/>
        </w:rPr>
        <w:t>are not subject to m</w:t>
      </w:r>
      <w:r w:rsidR="00631461" w:rsidRPr="00631461">
        <w:rPr>
          <w:rStyle w:val="References"/>
          <w:b w:val="0"/>
          <w:bCs w:val="0"/>
          <w:i w:val="0"/>
          <w:iCs w:val="0"/>
        </w:rPr>
        <w:t>erits review</w:t>
      </w:r>
      <w:r w:rsidR="00631461">
        <w:rPr>
          <w:rStyle w:val="References"/>
          <w:b w:val="0"/>
          <w:bCs w:val="0"/>
          <w:i w:val="0"/>
          <w:iCs w:val="0"/>
        </w:rPr>
        <w:t>. This</w:t>
      </w:r>
      <w:r>
        <w:rPr>
          <w:rStyle w:val="References"/>
          <w:b w:val="0"/>
          <w:bCs w:val="0"/>
          <w:i w:val="0"/>
          <w:iCs w:val="0"/>
        </w:rPr>
        <w:t xml:space="preserve"> includes </w:t>
      </w:r>
      <w:r w:rsidR="00594F74">
        <w:rPr>
          <w:rStyle w:val="References"/>
          <w:b w:val="0"/>
          <w:bCs w:val="0"/>
          <w:i w:val="0"/>
          <w:iCs w:val="0"/>
        </w:rPr>
        <w:t>any</w:t>
      </w:r>
      <w:r>
        <w:rPr>
          <w:rStyle w:val="References"/>
          <w:b w:val="0"/>
          <w:bCs w:val="0"/>
          <w:i w:val="0"/>
          <w:iCs w:val="0"/>
        </w:rPr>
        <w:t xml:space="preserve"> directions issued and</w:t>
      </w:r>
      <w:r w:rsidR="00631461">
        <w:rPr>
          <w:rStyle w:val="References"/>
          <w:b w:val="0"/>
          <w:bCs w:val="0"/>
          <w:i w:val="0"/>
          <w:iCs w:val="0"/>
        </w:rPr>
        <w:t xml:space="preserve"> is justified on the basis that</w:t>
      </w:r>
      <w:r w:rsidR="00631461" w:rsidRPr="00631461">
        <w:rPr>
          <w:rStyle w:val="References"/>
          <w:b w:val="0"/>
          <w:bCs w:val="0"/>
          <w:i w:val="0"/>
          <w:iCs w:val="0"/>
        </w:rPr>
        <w:t xml:space="preserve"> </w:t>
      </w:r>
      <w:r w:rsidR="00631461">
        <w:rPr>
          <w:rStyle w:val="References"/>
          <w:b w:val="0"/>
          <w:bCs w:val="0"/>
          <w:i w:val="0"/>
          <w:iCs w:val="0"/>
        </w:rPr>
        <w:t xml:space="preserve">it </w:t>
      </w:r>
      <w:r w:rsidR="00631461" w:rsidRPr="00631461">
        <w:rPr>
          <w:rStyle w:val="References"/>
          <w:b w:val="0"/>
          <w:bCs w:val="0"/>
          <w:i w:val="0"/>
          <w:iCs w:val="0"/>
        </w:rPr>
        <w:t xml:space="preserve">is not conducive to certainty in a regime designed to address </w:t>
      </w:r>
      <w:r w:rsidR="00627C7E">
        <w:rPr>
          <w:rStyle w:val="References"/>
          <w:b w:val="0"/>
          <w:bCs w:val="0"/>
          <w:i w:val="0"/>
          <w:iCs w:val="0"/>
        </w:rPr>
        <w:t xml:space="preserve">a </w:t>
      </w:r>
      <w:r w:rsidR="00631461" w:rsidRPr="00631461">
        <w:rPr>
          <w:rStyle w:val="References"/>
          <w:b w:val="0"/>
          <w:bCs w:val="0"/>
          <w:i w:val="0"/>
          <w:iCs w:val="0"/>
        </w:rPr>
        <w:t>crisis.</w:t>
      </w:r>
      <w:r w:rsidR="00631461">
        <w:rPr>
          <w:rStyle w:val="References"/>
          <w:b w:val="0"/>
          <w:bCs w:val="0"/>
          <w:i w:val="0"/>
          <w:iCs w:val="0"/>
        </w:rPr>
        <w:t xml:space="preserve"> </w:t>
      </w:r>
      <w:r w:rsidR="00627C7E">
        <w:rPr>
          <w:rStyle w:val="References"/>
          <w:b w:val="0"/>
          <w:bCs w:val="0"/>
          <w:i w:val="0"/>
          <w:iCs w:val="0"/>
        </w:rPr>
        <w:t xml:space="preserve">Furthermore, the crisis regime </w:t>
      </w:r>
      <w:r w:rsidR="00631461" w:rsidRPr="00631461">
        <w:rPr>
          <w:rStyle w:val="References"/>
          <w:b w:val="0"/>
          <w:bCs w:val="0"/>
          <w:i w:val="0"/>
          <w:iCs w:val="0"/>
        </w:rPr>
        <w:t>relate</w:t>
      </w:r>
      <w:r w:rsidR="00627C7E">
        <w:rPr>
          <w:rStyle w:val="References"/>
          <w:b w:val="0"/>
          <w:bCs w:val="0"/>
          <w:i w:val="0"/>
          <w:iCs w:val="0"/>
        </w:rPr>
        <w:t xml:space="preserve">s </w:t>
      </w:r>
      <w:r w:rsidR="00631461" w:rsidRPr="00631461">
        <w:rPr>
          <w:rStyle w:val="References"/>
          <w:b w:val="0"/>
          <w:bCs w:val="0"/>
          <w:i w:val="0"/>
          <w:iCs w:val="0"/>
        </w:rPr>
        <w:t>to financial decisions with a significant public interest</w:t>
      </w:r>
      <w:r w:rsidR="00627C7E">
        <w:rPr>
          <w:rStyle w:val="References"/>
          <w:b w:val="0"/>
          <w:bCs w:val="0"/>
          <w:i w:val="0"/>
          <w:iCs w:val="0"/>
        </w:rPr>
        <w:t xml:space="preserve">, which is an allowable exemption from merits review. </w:t>
      </w:r>
      <w:r w:rsidR="003E4E98">
        <w:rPr>
          <w:rStyle w:val="References"/>
          <w:b w:val="0"/>
          <w:bCs w:val="0"/>
          <w:i w:val="0"/>
          <w:iCs w:val="0"/>
        </w:rPr>
        <w:br/>
      </w:r>
      <w:r w:rsidR="003E4E98" w:rsidRPr="003E4E98">
        <w:rPr>
          <w:rStyle w:val="References"/>
        </w:rPr>
        <w:t xml:space="preserve">[Schedule </w:t>
      </w:r>
      <w:r w:rsidR="00320AEF">
        <w:rPr>
          <w:rStyle w:val="References"/>
        </w:rPr>
        <w:t>1</w:t>
      </w:r>
      <w:r w:rsidR="003E4E98" w:rsidRPr="003E4E98">
        <w:rPr>
          <w:rStyle w:val="References"/>
        </w:rPr>
        <w:t xml:space="preserve">, item </w:t>
      </w:r>
      <w:r w:rsidR="00DF7792">
        <w:rPr>
          <w:rStyle w:val="References"/>
        </w:rPr>
        <w:t>3</w:t>
      </w:r>
      <w:r>
        <w:rPr>
          <w:rStyle w:val="References"/>
        </w:rPr>
        <w:t>2</w:t>
      </w:r>
      <w:r w:rsidR="006F4389" w:rsidRPr="003E4E98">
        <w:rPr>
          <w:rStyle w:val="References"/>
        </w:rPr>
        <w:t xml:space="preserve">, </w:t>
      </w:r>
      <w:r w:rsidR="005F0858">
        <w:rPr>
          <w:rStyle w:val="References"/>
        </w:rPr>
        <w:t xml:space="preserve">paragraph </w:t>
      </w:r>
      <w:r w:rsidR="00D42C01">
        <w:rPr>
          <w:rStyle w:val="References"/>
        </w:rPr>
        <w:t>1317C(</w:t>
      </w:r>
      <w:proofErr w:type="spellStart"/>
      <w:r w:rsidR="00D42C01">
        <w:rPr>
          <w:rStyle w:val="References"/>
        </w:rPr>
        <w:t>gj</w:t>
      </w:r>
      <w:proofErr w:type="spellEnd"/>
      <w:r w:rsidR="00D42C01">
        <w:rPr>
          <w:rStyle w:val="References"/>
        </w:rPr>
        <w:t>)</w:t>
      </w:r>
      <w:r w:rsidR="005F0858" w:rsidRPr="003E4E98">
        <w:rPr>
          <w:rStyle w:val="References"/>
        </w:rPr>
        <w:t xml:space="preserve"> </w:t>
      </w:r>
      <w:r w:rsidR="003E4E98" w:rsidRPr="003E4E98">
        <w:rPr>
          <w:rStyle w:val="References"/>
        </w:rPr>
        <w:t>of the Act]</w:t>
      </w:r>
    </w:p>
    <w:p w14:paraId="7812C1BB" w14:textId="5D8F16F8" w:rsidR="002358C8" w:rsidRDefault="008F0720" w:rsidP="009E0C90">
      <w:pPr>
        <w:pStyle w:val="Heading5"/>
      </w:pPr>
      <w:r>
        <w:t>D</w:t>
      </w:r>
      <w:r w:rsidR="0075112F">
        <w:t xml:space="preserve">irections may be subject to </w:t>
      </w:r>
      <w:proofErr w:type="gramStart"/>
      <w:r w:rsidR="0075112F">
        <w:t>secrecy</w:t>
      </w:r>
      <w:proofErr w:type="gramEnd"/>
      <w:r w:rsidR="0075112F">
        <w:t xml:space="preserve"> </w:t>
      </w:r>
    </w:p>
    <w:p w14:paraId="1EB09708" w14:textId="6511D296" w:rsidR="00D01999" w:rsidRPr="00DE1DA2" w:rsidRDefault="0075112F">
      <w:pPr>
        <w:pStyle w:val="Normalparatextwithnumbers"/>
        <w:rPr>
          <w:bCs/>
          <w:iCs/>
        </w:rPr>
      </w:pPr>
      <w:r w:rsidRPr="0075112F">
        <w:t xml:space="preserve">The </w:t>
      </w:r>
      <w:r w:rsidR="004D4BAC">
        <w:t>RBA</w:t>
      </w:r>
      <w:r w:rsidRPr="0075112F">
        <w:t xml:space="preserve"> may </w:t>
      </w:r>
      <w:r w:rsidR="00D76A3B">
        <w:t>issue</w:t>
      </w:r>
      <w:r w:rsidRPr="0075112F">
        <w:t xml:space="preserve"> a written determination that a resolution direction </w:t>
      </w:r>
      <w:r w:rsidR="00D76A3B">
        <w:t>is</w:t>
      </w:r>
      <w:r w:rsidRPr="0075112F">
        <w:t xml:space="preserve"> covered by secrecy where the </w:t>
      </w:r>
      <w:r w:rsidR="004D4BAC">
        <w:t>RBA</w:t>
      </w:r>
      <w:r w:rsidRPr="0075112F">
        <w:t xml:space="preserve"> considers that </w:t>
      </w:r>
      <w:r w:rsidR="003C023E">
        <w:t>secrecy</w:t>
      </w:r>
      <w:r w:rsidRPr="0075112F">
        <w:t xml:space="preserve"> is necessary to pr</w:t>
      </w:r>
      <w:r w:rsidR="00BC6635">
        <w:t>o</w:t>
      </w:r>
      <w:r w:rsidRPr="0075112F">
        <w:t>te</w:t>
      </w:r>
      <w:r w:rsidR="00BC6635">
        <w:t>ct</w:t>
      </w:r>
      <w:r w:rsidRPr="0075112F">
        <w:t xml:space="preserve"> financial system stability in Australia</w:t>
      </w:r>
      <w:r w:rsidR="00BC6635">
        <w:t xml:space="preserve"> or ensure continuity of</w:t>
      </w:r>
      <w:r w:rsidR="0024600B">
        <w:t xml:space="preserve"> CS</w:t>
      </w:r>
      <w:r w:rsidR="00BC6635">
        <w:t xml:space="preserve"> services</w:t>
      </w:r>
      <w:r w:rsidR="00105773">
        <w:t xml:space="preserve">. </w:t>
      </w:r>
      <w:r w:rsidR="00D01999">
        <w:t xml:space="preserve">Specified information that may be covered by a secrecy determination is information that reveals a specific resolution direction was given to a body corporate or </w:t>
      </w:r>
      <w:r w:rsidR="00DE1DA2">
        <w:t xml:space="preserve">a </w:t>
      </w:r>
      <w:r w:rsidR="00D01999">
        <w:t>document</w:t>
      </w:r>
      <w:r w:rsidR="00DE1DA2">
        <w:t xml:space="preserve"> was </w:t>
      </w:r>
      <w:r w:rsidR="00D01999">
        <w:t xml:space="preserve">given to a body corporate </w:t>
      </w:r>
      <w:r w:rsidR="00DE1DA2">
        <w:t xml:space="preserve">by the RBA that contains specific information. </w:t>
      </w:r>
      <w:r w:rsidR="00DE1DA2">
        <w:br/>
      </w:r>
      <w:r w:rsidR="00DE1DA2">
        <w:rPr>
          <w:rStyle w:val="References"/>
        </w:rPr>
        <w:t xml:space="preserve">[Schedule </w:t>
      </w:r>
      <w:r w:rsidR="00320AEF">
        <w:rPr>
          <w:rStyle w:val="References"/>
        </w:rPr>
        <w:t>1</w:t>
      </w:r>
      <w:r w:rsidR="00DE1DA2">
        <w:rPr>
          <w:rStyle w:val="References"/>
        </w:rPr>
        <w:t xml:space="preserve">, item </w:t>
      </w:r>
      <w:r w:rsidR="00C568C9">
        <w:rPr>
          <w:rStyle w:val="References"/>
        </w:rPr>
        <w:t>14</w:t>
      </w:r>
      <w:r w:rsidR="00DE1DA2">
        <w:rPr>
          <w:rStyle w:val="References"/>
        </w:rPr>
        <w:t>, subsection 84</w:t>
      </w:r>
      <w:r w:rsidR="00DF7792">
        <w:rPr>
          <w:rStyle w:val="References"/>
        </w:rPr>
        <w:t>5</w:t>
      </w:r>
      <w:proofErr w:type="gramStart"/>
      <w:r w:rsidR="00DF7792">
        <w:rPr>
          <w:rStyle w:val="References"/>
        </w:rPr>
        <w:t>A</w:t>
      </w:r>
      <w:r w:rsidR="00DE1DA2">
        <w:rPr>
          <w:rStyle w:val="References"/>
        </w:rPr>
        <w:t>(</w:t>
      </w:r>
      <w:proofErr w:type="gramEnd"/>
      <w:r w:rsidR="00DE1DA2">
        <w:rPr>
          <w:rStyle w:val="References"/>
        </w:rPr>
        <w:t>1) of the Act]</w:t>
      </w:r>
    </w:p>
    <w:p w14:paraId="5638FD8A" w14:textId="635594C5" w:rsidR="00C43B64" w:rsidRPr="00C43B64" w:rsidRDefault="00CF669C" w:rsidP="003163F1">
      <w:pPr>
        <w:pStyle w:val="Normalparatextwithnumbers"/>
        <w:rPr>
          <w:bCs/>
          <w:iCs/>
        </w:rPr>
      </w:pPr>
      <w:bookmarkStart w:id="68" w:name="_Ref143006512"/>
      <w:r>
        <w:t xml:space="preserve">A body corporate is covered by a secrecy </w:t>
      </w:r>
      <w:r w:rsidR="00805585">
        <w:t>determination</w:t>
      </w:r>
      <w:r>
        <w:t xml:space="preserve"> if</w:t>
      </w:r>
      <w:r w:rsidR="00A81E67">
        <w:t xml:space="preserve"> it</w:t>
      </w:r>
      <w:r w:rsidR="00805585">
        <w:t xml:space="preserve"> is</w:t>
      </w:r>
      <w:r w:rsidR="00C43B64">
        <w:t>:</w:t>
      </w:r>
      <w:bookmarkEnd w:id="68"/>
    </w:p>
    <w:p w14:paraId="4400E5B7" w14:textId="3618DF16" w:rsidR="00C43B64" w:rsidRPr="00C43B64" w:rsidRDefault="00CF669C" w:rsidP="00C43B64">
      <w:pPr>
        <w:pStyle w:val="Dotpoint1"/>
        <w:rPr>
          <w:bCs/>
          <w:iCs/>
        </w:rPr>
      </w:pPr>
      <w:r>
        <w:t xml:space="preserve">incorporated in Australia and it is a CS facility </w:t>
      </w:r>
      <w:proofErr w:type="gramStart"/>
      <w:r>
        <w:t>licensee</w:t>
      </w:r>
      <w:r w:rsidR="00C43B64">
        <w:t>;</w:t>
      </w:r>
      <w:proofErr w:type="gramEnd"/>
      <w:r>
        <w:t xml:space="preserve"> </w:t>
      </w:r>
    </w:p>
    <w:p w14:paraId="111A2B25" w14:textId="7A80CFA3" w:rsidR="00C43B64" w:rsidRPr="00C43B64" w:rsidRDefault="00CF669C" w:rsidP="00C43B64">
      <w:pPr>
        <w:pStyle w:val="Dotpoint1"/>
        <w:rPr>
          <w:bCs/>
          <w:iCs/>
        </w:rPr>
      </w:pPr>
      <w:r>
        <w:t>a related body corporate of a CS facility licensee</w:t>
      </w:r>
      <w:r w:rsidR="00C43B64">
        <w:t xml:space="preserve"> or</w:t>
      </w:r>
      <w:r>
        <w:t xml:space="preserve"> was a related body corporate of a CS facility licensee before a transfer of business or shares under this Part </w:t>
      </w:r>
      <w:proofErr w:type="gramStart"/>
      <w:r w:rsidR="002D714A">
        <w:t>or</w:t>
      </w:r>
      <w:r w:rsidR="00C43B64">
        <w:t>;</w:t>
      </w:r>
      <w:proofErr w:type="gramEnd"/>
      <w:r w:rsidR="002D714A">
        <w:t xml:space="preserve"> </w:t>
      </w:r>
    </w:p>
    <w:p w14:paraId="2A1C51D6" w14:textId="1B5C8E07" w:rsidR="00C43B64" w:rsidRPr="00C43B64" w:rsidRDefault="00CF669C" w:rsidP="001C4A87">
      <w:pPr>
        <w:pStyle w:val="Dotpoint1"/>
        <w:rPr>
          <w:bCs/>
          <w:iCs/>
        </w:rPr>
      </w:pPr>
      <w:r>
        <w:t xml:space="preserve">a body corporate to which information has been provided </w:t>
      </w:r>
      <w:r w:rsidR="002D714A">
        <w:t>in relation to a transfer</w:t>
      </w:r>
      <w:r w:rsidR="007F63A3">
        <w:t xml:space="preserve">. </w:t>
      </w:r>
      <w:r w:rsidR="00DE1DA2">
        <w:br/>
      </w:r>
      <w:r w:rsidR="00DE1DA2">
        <w:rPr>
          <w:rStyle w:val="References"/>
        </w:rPr>
        <w:t xml:space="preserve">[Schedule </w:t>
      </w:r>
      <w:r w:rsidR="00E2356E">
        <w:rPr>
          <w:rStyle w:val="References"/>
        </w:rPr>
        <w:t>1</w:t>
      </w:r>
      <w:r w:rsidR="00DE1DA2">
        <w:rPr>
          <w:rStyle w:val="References"/>
        </w:rPr>
        <w:t xml:space="preserve">, </w:t>
      </w:r>
      <w:r w:rsidR="00C568C9">
        <w:rPr>
          <w:rStyle w:val="References"/>
        </w:rPr>
        <w:t>item 14</w:t>
      </w:r>
      <w:r w:rsidR="00DE1DA2">
        <w:rPr>
          <w:rStyle w:val="References"/>
        </w:rPr>
        <w:t>, subsection 84</w:t>
      </w:r>
      <w:r w:rsidR="00DF7792">
        <w:rPr>
          <w:rStyle w:val="References"/>
        </w:rPr>
        <w:t>5</w:t>
      </w:r>
      <w:proofErr w:type="gramStart"/>
      <w:r w:rsidR="00DF7792">
        <w:rPr>
          <w:rStyle w:val="References"/>
        </w:rPr>
        <w:t>A</w:t>
      </w:r>
      <w:r w:rsidR="00DE1DA2">
        <w:rPr>
          <w:rStyle w:val="References"/>
        </w:rPr>
        <w:t>(</w:t>
      </w:r>
      <w:proofErr w:type="gramEnd"/>
      <w:r w:rsidR="00DE1DA2">
        <w:rPr>
          <w:rStyle w:val="References"/>
        </w:rPr>
        <w:t>2) of the Act]</w:t>
      </w:r>
    </w:p>
    <w:p w14:paraId="23DBD1C8" w14:textId="083E31CF" w:rsidR="00056FAE" w:rsidRPr="00056FAE" w:rsidRDefault="00056FAE" w:rsidP="00056FAE">
      <w:pPr>
        <w:pStyle w:val="Normalparatextwithnumbers"/>
        <w:rPr>
          <w:bCs/>
          <w:iCs/>
        </w:rPr>
      </w:pPr>
      <w:r>
        <w:t xml:space="preserve">A </w:t>
      </w:r>
      <w:r w:rsidRPr="0075112F">
        <w:t xml:space="preserve">secrecy determination </w:t>
      </w:r>
      <w:r>
        <w:t xml:space="preserve">may be varied or revoked if the RBA considers it appropriate. A secrecy determination is valid and continues in force until it is revoked. As soon as practical after making, varying or revoking the determination, the RBA must give the body corporate a copy of the determination. </w:t>
      </w:r>
      <w:r>
        <w:br/>
      </w:r>
      <w:r>
        <w:rPr>
          <w:rStyle w:val="References"/>
        </w:rPr>
        <w:t xml:space="preserve">[Schedule </w:t>
      </w:r>
      <w:r w:rsidR="00320AEF">
        <w:rPr>
          <w:rStyle w:val="References"/>
        </w:rPr>
        <w:t>1</w:t>
      </w:r>
      <w:r>
        <w:rPr>
          <w:rStyle w:val="References"/>
        </w:rPr>
        <w:t xml:space="preserve">, </w:t>
      </w:r>
      <w:r w:rsidR="00C568C9">
        <w:rPr>
          <w:rStyle w:val="References"/>
        </w:rPr>
        <w:t>item 14</w:t>
      </w:r>
      <w:r>
        <w:rPr>
          <w:rStyle w:val="References"/>
        </w:rPr>
        <w:t>, subsections 84</w:t>
      </w:r>
      <w:r w:rsidR="00DF7792">
        <w:rPr>
          <w:rStyle w:val="References"/>
        </w:rPr>
        <w:t>5</w:t>
      </w:r>
      <w:proofErr w:type="gramStart"/>
      <w:r w:rsidR="00DF7792">
        <w:rPr>
          <w:rStyle w:val="References"/>
        </w:rPr>
        <w:t>A</w:t>
      </w:r>
      <w:r>
        <w:rPr>
          <w:rStyle w:val="References"/>
        </w:rPr>
        <w:t>(</w:t>
      </w:r>
      <w:proofErr w:type="gramEnd"/>
      <w:r>
        <w:rPr>
          <w:rStyle w:val="References"/>
        </w:rPr>
        <w:t>3) of the Act]</w:t>
      </w:r>
      <w:r w:rsidRPr="00174194">
        <w:t xml:space="preserve"> </w:t>
      </w:r>
    </w:p>
    <w:p w14:paraId="3BCEC26C" w14:textId="0AF3DB15" w:rsidR="00174194" w:rsidRDefault="00174194" w:rsidP="00174194">
      <w:pPr>
        <w:pStyle w:val="Heading6"/>
        <w:rPr>
          <w:rFonts w:hint="eastAsia"/>
        </w:rPr>
      </w:pPr>
      <w:r>
        <w:lastRenderedPageBreak/>
        <w:t>Considerations</w:t>
      </w:r>
    </w:p>
    <w:p w14:paraId="6530C3A3" w14:textId="527E93EB" w:rsidR="00626DF1" w:rsidRPr="00D01999" w:rsidRDefault="00527A9C" w:rsidP="00594EC4">
      <w:pPr>
        <w:pStyle w:val="Normalparatextwithnumbers"/>
        <w:rPr>
          <w:rStyle w:val="References"/>
          <w:b w:val="0"/>
          <w:i w:val="0"/>
        </w:rPr>
      </w:pPr>
      <w:r>
        <w:t xml:space="preserve">In </w:t>
      </w:r>
      <w:r w:rsidR="001958C6">
        <w:t>making a secrecy</w:t>
      </w:r>
      <w:r>
        <w:t xml:space="preserve"> determination, the RBA</w:t>
      </w:r>
      <w:r w:rsidR="00E8209F">
        <w:t xml:space="preserve"> </w:t>
      </w:r>
      <w:r w:rsidR="008F0720">
        <w:t>may</w:t>
      </w:r>
      <w:r w:rsidR="00E8209F">
        <w:t xml:space="preserve"> consider if it is appropriate </w:t>
      </w:r>
      <w:r w:rsidR="001958C6">
        <w:t>for specified individuals to disclose certain</w:t>
      </w:r>
      <w:r w:rsidR="00294A68">
        <w:t xml:space="preserve"> information</w:t>
      </w:r>
      <w:r w:rsidR="001958C6">
        <w:t xml:space="preserve"> or a class of information. It is also necessary to consider whether</w:t>
      </w:r>
      <w:r w:rsidR="005B43EC">
        <w:t xml:space="preserve"> </w:t>
      </w:r>
      <w:r w:rsidR="0024600B">
        <w:t xml:space="preserve">a </w:t>
      </w:r>
      <w:r w:rsidR="00294A68">
        <w:t xml:space="preserve">class of </w:t>
      </w:r>
      <w:r w:rsidR="005B43EC">
        <w:t>individuals may</w:t>
      </w:r>
      <w:r w:rsidR="00DF6577">
        <w:t xml:space="preserve"> disclose specified information, or any kind of information in </w:t>
      </w:r>
      <w:r w:rsidR="009D4443">
        <w:t>that</w:t>
      </w:r>
      <w:r w:rsidR="00DF6577">
        <w:t xml:space="preserve"> </w:t>
      </w:r>
      <w:proofErr w:type="gramStart"/>
      <w:r w:rsidR="00DF6577">
        <w:t>particular class</w:t>
      </w:r>
      <w:proofErr w:type="gramEnd"/>
      <w:r w:rsidR="00DF6577">
        <w:t>.</w:t>
      </w:r>
      <w:r w:rsidR="0024600B">
        <w:t xml:space="preserve"> </w:t>
      </w:r>
      <w:r w:rsidR="008F0720">
        <w:t>The RBA must provide a copy of the determination to</w:t>
      </w:r>
      <w:r w:rsidR="00B45C0C">
        <w:t xml:space="preserve"> both the body corporate to which the determination relates and each person specified in the determination.</w:t>
      </w:r>
      <w:r w:rsidR="003163F1">
        <w:rPr>
          <w:b/>
          <w:bCs/>
          <w:i/>
          <w:iCs/>
        </w:rPr>
        <w:br/>
      </w:r>
      <w:r w:rsidR="001B6CAC">
        <w:rPr>
          <w:rStyle w:val="References"/>
        </w:rPr>
        <w:t xml:space="preserve">[Schedule </w:t>
      </w:r>
      <w:r w:rsidR="00320AEF">
        <w:rPr>
          <w:rStyle w:val="References"/>
        </w:rPr>
        <w:t>1</w:t>
      </w:r>
      <w:r w:rsidR="001B6CAC">
        <w:rPr>
          <w:rStyle w:val="References"/>
        </w:rPr>
        <w:t xml:space="preserve">, </w:t>
      </w:r>
      <w:r w:rsidR="00C568C9">
        <w:rPr>
          <w:rStyle w:val="References"/>
        </w:rPr>
        <w:t>item 14</w:t>
      </w:r>
      <w:r w:rsidR="001B6CAC">
        <w:rPr>
          <w:rStyle w:val="References"/>
        </w:rPr>
        <w:t xml:space="preserve">, </w:t>
      </w:r>
      <w:r w:rsidR="002D6DF1">
        <w:rPr>
          <w:rStyle w:val="References"/>
        </w:rPr>
        <w:t>sub</w:t>
      </w:r>
      <w:r w:rsidR="00A7051F">
        <w:rPr>
          <w:rStyle w:val="References"/>
        </w:rPr>
        <w:t xml:space="preserve">section </w:t>
      </w:r>
      <w:r w:rsidR="00DF7792">
        <w:rPr>
          <w:rStyle w:val="References"/>
        </w:rPr>
        <w:t>845</w:t>
      </w:r>
      <w:proofErr w:type="gramStart"/>
      <w:r w:rsidR="00DF7792">
        <w:rPr>
          <w:rStyle w:val="References"/>
        </w:rPr>
        <w:t>E</w:t>
      </w:r>
      <w:r w:rsidR="006E690B">
        <w:rPr>
          <w:rStyle w:val="References"/>
        </w:rPr>
        <w:t>(</w:t>
      </w:r>
      <w:proofErr w:type="gramEnd"/>
      <w:r w:rsidR="00174194">
        <w:rPr>
          <w:rStyle w:val="References"/>
        </w:rPr>
        <w:t>2</w:t>
      </w:r>
      <w:r w:rsidR="00F47F40">
        <w:rPr>
          <w:rStyle w:val="References"/>
        </w:rPr>
        <w:t>)</w:t>
      </w:r>
      <w:r w:rsidR="004141DC">
        <w:rPr>
          <w:rStyle w:val="References"/>
        </w:rPr>
        <w:t xml:space="preserve"> and </w:t>
      </w:r>
      <w:r w:rsidR="00B45C0C">
        <w:rPr>
          <w:rStyle w:val="References"/>
        </w:rPr>
        <w:t>(3)</w:t>
      </w:r>
      <w:r w:rsidR="006E690B">
        <w:rPr>
          <w:rStyle w:val="References"/>
        </w:rPr>
        <w:t xml:space="preserve"> of the Act]</w:t>
      </w:r>
    </w:p>
    <w:p w14:paraId="0235C95B" w14:textId="4BE31907" w:rsidR="00174194" w:rsidRPr="00A17958" w:rsidRDefault="00174194" w:rsidP="794C5FF5">
      <w:pPr>
        <w:pStyle w:val="Normalparatextwithnumbers"/>
        <w:rPr>
          <w:rStyle w:val="References"/>
          <w:b w:val="0"/>
          <w:bCs w:val="0"/>
          <w:i w:val="0"/>
          <w:iCs w:val="0"/>
        </w:rPr>
      </w:pPr>
      <w:r w:rsidRPr="794C5FF5">
        <w:rPr>
          <w:rStyle w:val="References"/>
          <w:b w:val="0"/>
          <w:bCs w:val="0"/>
          <w:i w:val="0"/>
          <w:iCs w:val="0"/>
        </w:rPr>
        <w:t>In general, secrecy determinations are not legislative instruments, however, where the RBA makes a determination that relates to more than one individual</w:t>
      </w:r>
      <w:r w:rsidR="00BB6D4F" w:rsidRPr="794C5FF5">
        <w:rPr>
          <w:rStyle w:val="References"/>
          <w:b w:val="0"/>
          <w:bCs w:val="0"/>
          <w:i w:val="0"/>
          <w:iCs w:val="0"/>
        </w:rPr>
        <w:t>,</w:t>
      </w:r>
      <w:r w:rsidRPr="794C5FF5">
        <w:rPr>
          <w:rStyle w:val="References"/>
          <w:b w:val="0"/>
          <w:bCs w:val="0"/>
          <w:i w:val="0"/>
          <w:iCs w:val="0"/>
        </w:rPr>
        <w:t xml:space="preserve"> </w:t>
      </w:r>
      <w:r w:rsidR="00BB6D4F" w:rsidRPr="794C5FF5">
        <w:rPr>
          <w:rStyle w:val="References"/>
          <w:b w:val="0"/>
          <w:bCs w:val="0"/>
          <w:i w:val="0"/>
          <w:iCs w:val="0"/>
        </w:rPr>
        <w:t>(</w:t>
      </w:r>
      <w:proofErr w:type="gramStart"/>
      <w:r w:rsidR="00BB6D4F" w:rsidRPr="794C5FF5">
        <w:rPr>
          <w:rStyle w:val="References"/>
          <w:b w:val="0"/>
          <w:bCs w:val="0"/>
          <w:i w:val="0"/>
          <w:iCs w:val="0"/>
        </w:rPr>
        <w:t>i.e</w:t>
      </w:r>
      <w:r w:rsidR="002F440B" w:rsidRPr="794C5FF5">
        <w:rPr>
          <w:rStyle w:val="References"/>
          <w:b w:val="0"/>
          <w:bCs w:val="0"/>
          <w:i w:val="0"/>
          <w:iCs w:val="0"/>
        </w:rPr>
        <w:t>.</w:t>
      </w:r>
      <w:proofErr w:type="gramEnd"/>
      <w:r w:rsidR="00BB6D4F" w:rsidRPr="794C5FF5">
        <w:rPr>
          <w:rStyle w:val="References"/>
          <w:b w:val="0"/>
          <w:bCs w:val="0"/>
          <w:i w:val="0"/>
          <w:iCs w:val="0"/>
        </w:rPr>
        <w:t xml:space="preserve"> </w:t>
      </w:r>
      <w:r w:rsidRPr="794C5FF5">
        <w:rPr>
          <w:rStyle w:val="References"/>
          <w:b w:val="0"/>
          <w:bCs w:val="0"/>
          <w:i w:val="0"/>
          <w:iCs w:val="0"/>
        </w:rPr>
        <w:t>specif</w:t>
      </w:r>
      <w:r w:rsidR="00BB6D4F" w:rsidRPr="794C5FF5">
        <w:rPr>
          <w:rStyle w:val="References"/>
          <w:b w:val="0"/>
          <w:bCs w:val="0"/>
          <w:i w:val="0"/>
          <w:iCs w:val="0"/>
        </w:rPr>
        <w:t xml:space="preserve">ying </w:t>
      </w:r>
      <w:r w:rsidRPr="794C5FF5">
        <w:rPr>
          <w:rStyle w:val="References"/>
          <w:b w:val="0"/>
          <w:bCs w:val="0"/>
          <w:i w:val="0"/>
          <w:iCs w:val="0"/>
        </w:rPr>
        <w:t>a class of persons</w:t>
      </w:r>
      <w:r w:rsidR="00BB6D4F" w:rsidRPr="794C5FF5">
        <w:rPr>
          <w:rStyle w:val="References"/>
          <w:b w:val="0"/>
          <w:bCs w:val="0"/>
          <w:i w:val="0"/>
          <w:iCs w:val="0"/>
        </w:rPr>
        <w:t>)</w:t>
      </w:r>
      <w:r w:rsidRPr="794C5FF5">
        <w:rPr>
          <w:rStyle w:val="References"/>
          <w:b w:val="0"/>
          <w:bCs w:val="0"/>
          <w:i w:val="0"/>
          <w:iCs w:val="0"/>
        </w:rPr>
        <w:t xml:space="preserve"> that permits the disclosure of a class of information, that will be a legislative </w:t>
      </w:r>
      <w:r w:rsidR="00056FAE" w:rsidRPr="794C5FF5">
        <w:rPr>
          <w:rStyle w:val="References"/>
          <w:b w:val="0"/>
          <w:bCs w:val="0"/>
          <w:i w:val="0"/>
          <w:iCs w:val="0"/>
        </w:rPr>
        <w:t>instrument</w:t>
      </w:r>
      <w:r w:rsidRPr="794C5FF5">
        <w:rPr>
          <w:rStyle w:val="References"/>
          <w:b w:val="0"/>
          <w:bCs w:val="0"/>
          <w:i w:val="0"/>
          <w:iCs w:val="0"/>
        </w:rPr>
        <w:t>.</w:t>
      </w:r>
      <w:r w:rsidR="000A077E" w:rsidRPr="794C5FF5">
        <w:rPr>
          <w:rStyle w:val="References"/>
          <w:b w:val="0"/>
          <w:bCs w:val="0"/>
          <w:i w:val="0"/>
          <w:iCs w:val="0"/>
        </w:rPr>
        <w:t xml:space="preserve"> </w:t>
      </w:r>
      <w:r>
        <w:br/>
      </w:r>
      <w:r w:rsidRPr="794C5FF5">
        <w:rPr>
          <w:rStyle w:val="References"/>
        </w:rPr>
        <w:t xml:space="preserve">[Schedule </w:t>
      </w:r>
      <w:r w:rsidR="00320AEF">
        <w:rPr>
          <w:rStyle w:val="References"/>
        </w:rPr>
        <w:t>1</w:t>
      </w:r>
      <w:r w:rsidRPr="794C5FF5">
        <w:rPr>
          <w:rStyle w:val="References"/>
        </w:rPr>
        <w:t xml:space="preserve">, item </w:t>
      </w:r>
      <w:r w:rsidR="00C568C9">
        <w:rPr>
          <w:rStyle w:val="References"/>
        </w:rPr>
        <w:t>14,</w:t>
      </w:r>
      <w:r w:rsidRPr="794C5FF5">
        <w:rPr>
          <w:rStyle w:val="References"/>
        </w:rPr>
        <w:t xml:space="preserve"> subsection</w:t>
      </w:r>
      <w:r w:rsidR="00DF7792">
        <w:rPr>
          <w:rStyle w:val="References"/>
        </w:rPr>
        <w:t>s</w:t>
      </w:r>
      <w:r w:rsidRPr="794C5FF5">
        <w:rPr>
          <w:rStyle w:val="References"/>
        </w:rPr>
        <w:t xml:space="preserve"> 84</w:t>
      </w:r>
      <w:r w:rsidR="00DF7792">
        <w:rPr>
          <w:rStyle w:val="References"/>
        </w:rPr>
        <w:t>5</w:t>
      </w:r>
      <w:proofErr w:type="gramStart"/>
      <w:r w:rsidR="00DF7792">
        <w:rPr>
          <w:rStyle w:val="References"/>
        </w:rPr>
        <w:t>E</w:t>
      </w:r>
      <w:r w:rsidR="00F60E11" w:rsidRPr="794C5FF5">
        <w:rPr>
          <w:rStyle w:val="References"/>
        </w:rPr>
        <w:t>(</w:t>
      </w:r>
      <w:proofErr w:type="gramEnd"/>
      <w:r w:rsidR="00F60E11" w:rsidRPr="794C5FF5">
        <w:rPr>
          <w:rStyle w:val="References"/>
        </w:rPr>
        <w:t>4)</w:t>
      </w:r>
      <w:r w:rsidR="00B45C0C">
        <w:rPr>
          <w:rStyle w:val="References"/>
        </w:rPr>
        <w:t xml:space="preserve"> and </w:t>
      </w:r>
      <w:r w:rsidRPr="794C5FF5">
        <w:rPr>
          <w:rStyle w:val="References"/>
        </w:rPr>
        <w:t>(</w:t>
      </w:r>
      <w:r w:rsidR="00B45C0C">
        <w:rPr>
          <w:rStyle w:val="References"/>
        </w:rPr>
        <w:t>6</w:t>
      </w:r>
      <w:r w:rsidRPr="794C5FF5">
        <w:rPr>
          <w:rStyle w:val="References"/>
        </w:rPr>
        <w:t>) of the Act]</w:t>
      </w:r>
    </w:p>
    <w:p w14:paraId="71E0E024" w14:textId="69FC027E" w:rsidR="00056FAE" w:rsidRPr="00592C49" w:rsidRDefault="00056FAE" w:rsidP="00056FAE">
      <w:pPr>
        <w:pStyle w:val="Normalparatextwithnumbers"/>
        <w:rPr>
          <w:rStyle w:val="References"/>
          <w:b w:val="0"/>
          <w:bCs w:val="0"/>
          <w:i w:val="0"/>
          <w:iCs w:val="0"/>
        </w:rPr>
      </w:pPr>
      <w:r>
        <w:t>The determination that the RBA makes may specify conditions that relate to entities to which the disclosure may be made, the way the disclosure is to be made or any other matter that the RBA considers appropriate. Any conditions</w:t>
      </w:r>
      <w:r w:rsidR="00BB6D4F">
        <w:t xml:space="preserve"> outlined by the RBA</w:t>
      </w:r>
      <w:r>
        <w:t xml:space="preserve"> must be satisfied before disclosure </w:t>
      </w:r>
      <w:r w:rsidR="00BB6D4F">
        <w:t>can occur</w:t>
      </w:r>
      <w:r>
        <w:t xml:space="preserve">. </w:t>
      </w:r>
      <w:r>
        <w:br/>
      </w:r>
      <w:r w:rsidRPr="00592C49">
        <w:rPr>
          <w:rStyle w:val="References"/>
        </w:rPr>
        <w:t xml:space="preserve">[Schedule 1, item </w:t>
      </w:r>
      <w:r w:rsidR="00C568C9">
        <w:rPr>
          <w:rStyle w:val="References"/>
        </w:rPr>
        <w:t>14</w:t>
      </w:r>
      <w:r w:rsidR="00DF7792">
        <w:rPr>
          <w:rStyle w:val="References"/>
        </w:rPr>
        <w:t>, s</w:t>
      </w:r>
      <w:r>
        <w:rPr>
          <w:rStyle w:val="References"/>
        </w:rPr>
        <w:t>ub</w:t>
      </w:r>
      <w:r w:rsidRPr="00592C49">
        <w:rPr>
          <w:rStyle w:val="References"/>
        </w:rPr>
        <w:t xml:space="preserve">section </w:t>
      </w:r>
      <w:r w:rsidR="00DF7792">
        <w:rPr>
          <w:rStyle w:val="References"/>
        </w:rPr>
        <w:t>845</w:t>
      </w:r>
      <w:proofErr w:type="gramStart"/>
      <w:r w:rsidR="00DF7792">
        <w:rPr>
          <w:rStyle w:val="References"/>
        </w:rPr>
        <w:t>E</w:t>
      </w:r>
      <w:r>
        <w:rPr>
          <w:rStyle w:val="References"/>
        </w:rPr>
        <w:t>(</w:t>
      </w:r>
      <w:proofErr w:type="gramEnd"/>
      <w:r>
        <w:rPr>
          <w:rStyle w:val="References"/>
        </w:rPr>
        <w:t xml:space="preserve">5) </w:t>
      </w:r>
      <w:r w:rsidRPr="00592C49">
        <w:rPr>
          <w:rStyle w:val="References"/>
        </w:rPr>
        <w:t>of the Act]</w:t>
      </w:r>
    </w:p>
    <w:p w14:paraId="4B729911" w14:textId="44058D4F" w:rsidR="00BB6D4F" w:rsidRPr="00EB6B12" w:rsidRDefault="00BB6D4F" w:rsidP="00BB6D4F">
      <w:pPr>
        <w:pStyle w:val="Heading6"/>
        <w:rPr>
          <w:rFonts w:hint="eastAsia"/>
        </w:rPr>
      </w:pPr>
      <w:r w:rsidRPr="00EB6B12">
        <w:t>Contraven</w:t>
      </w:r>
      <w:r>
        <w:t>tion of</w:t>
      </w:r>
      <w:r w:rsidRPr="00EB6B12">
        <w:t xml:space="preserve"> a secrecy determination </w:t>
      </w:r>
    </w:p>
    <w:p w14:paraId="7AB24E76" w14:textId="3E26EDD5" w:rsidR="00DB6600" w:rsidRDefault="00DB6600" w:rsidP="00DB6600">
      <w:pPr>
        <w:pStyle w:val="Normalparatextwithnumbers"/>
      </w:pPr>
      <w:r>
        <w:t>Where secrecy arrangements apply to a direction, a directed entity commits an offence for disclosing information revealing the fact that the direction was given. The maximum penalty for contravening the secrecy arrangements is two years imprisonment.</w:t>
      </w:r>
      <w:r>
        <w:br/>
      </w:r>
      <w:r w:rsidRPr="00A17958">
        <w:rPr>
          <w:rStyle w:val="References"/>
        </w:rPr>
        <w:t xml:space="preserve">[Schedule </w:t>
      </w:r>
      <w:r w:rsidR="00320AEF">
        <w:rPr>
          <w:rStyle w:val="References"/>
        </w:rPr>
        <w:t>1</w:t>
      </w:r>
      <w:r w:rsidRPr="00A17958">
        <w:rPr>
          <w:rStyle w:val="References"/>
        </w:rPr>
        <w:t>, item</w:t>
      </w:r>
      <w:r w:rsidR="00CE127C">
        <w:rPr>
          <w:rStyle w:val="References"/>
        </w:rPr>
        <w:t>s</w:t>
      </w:r>
      <w:r w:rsidR="00A95CC1">
        <w:rPr>
          <w:rStyle w:val="References"/>
        </w:rPr>
        <w:t xml:space="preserve"> </w:t>
      </w:r>
      <w:r>
        <w:rPr>
          <w:rStyle w:val="References"/>
        </w:rPr>
        <w:t>1</w:t>
      </w:r>
      <w:r w:rsidR="00DF7792">
        <w:rPr>
          <w:rStyle w:val="References"/>
        </w:rPr>
        <w:t>4</w:t>
      </w:r>
      <w:r w:rsidR="00CE127C">
        <w:rPr>
          <w:rStyle w:val="References"/>
        </w:rPr>
        <w:t xml:space="preserve"> and 16</w:t>
      </w:r>
      <w:r w:rsidRPr="00A17958">
        <w:rPr>
          <w:rStyle w:val="References"/>
        </w:rPr>
        <w:t xml:space="preserve">, </w:t>
      </w:r>
      <w:r>
        <w:rPr>
          <w:rStyle w:val="References"/>
        </w:rPr>
        <w:t>sub</w:t>
      </w:r>
      <w:r w:rsidRPr="00A17958">
        <w:rPr>
          <w:rStyle w:val="References"/>
        </w:rPr>
        <w:t>section</w:t>
      </w:r>
      <w:r w:rsidR="00CE127C">
        <w:rPr>
          <w:rStyle w:val="References"/>
        </w:rPr>
        <w:t>s</w:t>
      </w:r>
      <w:r w:rsidRPr="00A17958">
        <w:rPr>
          <w:rStyle w:val="References"/>
        </w:rPr>
        <w:t xml:space="preserve"> </w:t>
      </w:r>
      <w:r w:rsidR="00DF7792">
        <w:rPr>
          <w:rStyle w:val="References"/>
        </w:rPr>
        <w:t>845</w:t>
      </w:r>
      <w:proofErr w:type="gramStart"/>
      <w:r w:rsidR="00DF7792">
        <w:rPr>
          <w:rStyle w:val="References"/>
        </w:rPr>
        <w:t>C</w:t>
      </w:r>
      <w:r>
        <w:rPr>
          <w:rStyle w:val="References"/>
        </w:rPr>
        <w:t>(</w:t>
      </w:r>
      <w:proofErr w:type="gramEnd"/>
      <w:r>
        <w:rPr>
          <w:rStyle w:val="References"/>
        </w:rPr>
        <w:t>1</w:t>
      </w:r>
      <w:r w:rsidR="00A95CC1">
        <w:rPr>
          <w:rStyle w:val="References"/>
        </w:rPr>
        <w:t>)</w:t>
      </w:r>
      <w:r w:rsidR="00CE127C">
        <w:rPr>
          <w:rStyle w:val="References"/>
        </w:rPr>
        <w:t xml:space="preserve"> and 1317E(3)</w:t>
      </w:r>
      <w:r w:rsidR="00A95CC1">
        <w:rPr>
          <w:rStyle w:val="References"/>
        </w:rPr>
        <w:t xml:space="preserve"> of the Act</w:t>
      </w:r>
      <w:r w:rsidRPr="00A17958">
        <w:rPr>
          <w:rStyle w:val="References"/>
        </w:rPr>
        <w:t>]</w:t>
      </w:r>
      <w:r>
        <w:t xml:space="preserve"> </w:t>
      </w:r>
    </w:p>
    <w:p w14:paraId="2537D0DB" w14:textId="34F5AD98" w:rsidR="00C813F9" w:rsidRPr="00C813F9" w:rsidRDefault="00C813F9" w:rsidP="00BB6D4F">
      <w:pPr>
        <w:pStyle w:val="Normalparatextwithnumbers"/>
        <w:rPr>
          <w:rStyle w:val="References"/>
          <w:b w:val="0"/>
          <w:i w:val="0"/>
        </w:rPr>
      </w:pPr>
      <w:r>
        <w:t>T</w:t>
      </w:r>
      <w:r w:rsidR="00290F85">
        <w:t xml:space="preserve">he </w:t>
      </w:r>
      <w:r w:rsidR="00290F85" w:rsidRPr="00290F85">
        <w:t>strong deterrent effect of a criminal sanction is necessary</w:t>
      </w:r>
      <w:r w:rsidR="00290F85">
        <w:t xml:space="preserve"> for </w:t>
      </w:r>
      <w:r>
        <w:t xml:space="preserve">failing to comply with a </w:t>
      </w:r>
      <w:r w:rsidR="00290F85">
        <w:t>secrecy determination given the substantial impacts that it could have on the Australian financial system</w:t>
      </w:r>
      <w:r>
        <w:t>.</w:t>
      </w:r>
    </w:p>
    <w:p w14:paraId="735D175D" w14:textId="77777777" w:rsidR="00805585" w:rsidRPr="00C813F9" w:rsidRDefault="004472B3" w:rsidP="00BB6D4F">
      <w:pPr>
        <w:pStyle w:val="Normalparatextwithnumbers"/>
        <w:rPr>
          <w:rStyle w:val="References"/>
          <w:b w:val="0"/>
          <w:i w:val="0"/>
        </w:rPr>
      </w:pPr>
      <w:r>
        <w:rPr>
          <w:rStyle w:val="References"/>
          <w:b w:val="0"/>
          <w:bCs w:val="0"/>
          <w:i w:val="0"/>
          <w:iCs w:val="0"/>
        </w:rPr>
        <w:t>A person</w:t>
      </w:r>
      <w:r w:rsidR="00DD3BC7">
        <w:rPr>
          <w:rStyle w:val="References"/>
          <w:b w:val="0"/>
          <w:bCs w:val="0"/>
          <w:i w:val="0"/>
          <w:iCs w:val="0"/>
        </w:rPr>
        <w:t xml:space="preserve"> that is covered by a secrecy determination</w:t>
      </w:r>
      <w:r>
        <w:rPr>
          <w:rStyle w:val="References"/>
          <w:b w:val="0"/>
          <w:bCs w:val="0"/>
          <w:i w:val="0"/>
          <w:iCs w:val="0"/>
        </w:rPr>
        <w:t xml:space="preserve"> is prohibited from disclosing any information covered by secrecy </w:t>
      </w:r>
      <w:r w:rsidR="00BB6D4F">
        <w:rPr>
          <w:rStyle w:val="References"/>
          <w:b w:val="0"/>
          <w:bCs w:val="0"/>
          <w:i w:val="0"/>
          <w:iCs w:val="0"/>
        </w:rPr>
        <w:t>determination</w:t>
      </w:r>
      <w:r w:rsidR="00805585">
        <w:rPr>
          <w:rStyle w:val="References"/>
          <w:b w:val="0"/>
          <w:bCs w:val="0"/>
          <w:i w:val="0"/>
          <w:iCs w:val="0"/>
        </w:rPr>
        <w:t>. This includes:</w:t>
      </w:r>
    </w:p>
    <w:p w14:paraId="73D7A479" w14:textId="6A1EA1C7" w:rsidR="00805585" w:rsidRPr="00805585" w:rsidRDefault="00805585" w:rsidP="00805585">
      <w:pPr>
        <w:pStyle w:val="Dotpoint1"/>
        <w:rPr>
          <w:rStyle w:val="References"/>
          <w:bCs w:val="0"/>
          <w:iCs w:val="0"/>
        </w:rPr>
      </w:pPr>
      <w:r>
        <w:rPr>
          <w:rStyle w:val="References"/>
          <w:b w:val="0"/>
          <w:bCs w:val="0"/>
          <w:i w:val="0"/>
          <w:iCs w:val="0"/>
        </w:rPr>
        <w:t xml:space="preserve"> body corporates covered as mentioned in paragraph</w:t>
      </w:r>
      <w:r w:rsidR="00011391">
        <w:rPr>
          <w:rStyle w:val="References"/>
          <w:b w:val="0"/>
          <w:bCs w:val="0"/>
          <w:i w:val="0"/>
          <w:iCs w:val="0"/>
        </w:rPr>
        <w:t xml:space="preserve"> </w:t>
      </w:r>
      <w:proofErr w:type="gramStart"/>
      <w:r w:rsidR="0028259D">
        <w:rPr>
          <w:rStyle w:val="References"/>
          <w:b w:val="0"/>
          <w:bCs w:val="0"/>
          <w:i w:val="0"/>
          <w:iCs w:val="0"/>
        </w:rPr>
        <w:t>1.291</w:t>
      </w:r>
      <w:r w:rsidR="00314875">
        <w:rPr>
          <w:rStyle w:val="References"/>
          <w:b w:val="0"/>
          <w:bCs w:val="0"/>
          <w:i w:val="0"/>
          <w:iCs w:val="0"/>
        </w:rPr>
        <w:t>;</w:t>
      </w:r>
      <w:proofErr w:type="gramEnd"/>
      <w:r>
        <w:rPr>
          <w:rStyle w:val="References"/>
          <w:b w:val="0"/>
          <w:bCs w:val="0"/>
          <w:i w:val="0"/>
          <w:iCs w:val="0"/>
        </w:rPr>
        <w:t xml:space="preserve"> </w:t>
      </w:r>
    </w:p>
    <w:p w14:paraId="2D70F5DA" w14:textId="0BE0C8F9" w:rsidR="00314875" w:rsidRPr="00BD1BFF" w:rsidRDefault="00805585">
      <w:pPr>
        <w:pStyle w:val="Dotpoint1"/>
        <w:rPr>
          <w:b/>
          <w:i/>
        </w:rPr>
      </w:pPr>
      <w:r w:rsidRPr="00BD1BFF">
        <w:rPr>
          <w:rStyle w:val="References"/>
          <w:b w:val="0"/>
          <w:bCs w:val="0"/>
          <w:i w:val="0"/>
          <w:iCs w:val="0"/>
        </w:rPr>
        <w:t xml:space="preserve">a </w:t>
      </w:r>
      <w:r>
        <w:t>directed entity</w:t>
      </w:r>
      <w:r w:rsidR="00314875">
        <w:t xml:space="preserve"> </w:t>
      </w:r>
      <w:r>
        <w:t>that is</w:t>
      </w:r>
      <w:r w:rsidR="00BD1BFF">
        <w:t>,</w:t>
      </w:r>
      <w:r>
        <w:t xml:space="preserve"> </w:t>
      </w:r>
      <w:r w:rsidR="00BD1BFF">
        <w:t xml:space="preserve">at or after the time the direction was made, </w:t>
      </w:r>
      <w:r>
        <w:t>an officer, employee</w:t>
      </w:r>
      <w:r w:rsidR="00314875">
        <w:t xml:space="preserve">, </w:t>
      </w:r>
      <w:r>
        <w:t>contractor</w:t>
      </w:r>
      <w:r w:rsidR="00BD1BFF">
        <w:t xml:space="preserve">, or a statutory manager (other than the RBA) </w:t>
      </w:r>
      <w:r>
        <w:t xml:space="preserve">of the </w:t>
      </w:r>
      <w:r w:rsidR="00314875">
        <w:t>body corporate;</w:t>
      </w:r>
      <w:r w:rsidR="00E375BC">
        <w:t xml:space="preserve"> or</w:t>
      </w:r>
    </w:p>
    <w:p w14:paraId="06670C7A" w14:textId="33D240B4" w:rsidR="00BB6D4F" w:rsidRPr="00C813F9" w:rsidRDefault="00805585" w:rsidP="00805585">
      <w:pPr>
        <w:pStyle w:val="Dotpoint1"/>
        <w:rPr>
          <w:bCs/>
          <w:iCs/>
        </w:rPr>
      </w:pPr>
      <w:r>
        <w:t xml:space="preserve">any other person who, because of, or </w:t>
      </w:r>
      <w:proofErr w:type="gramStart"/>
      <w:r>
        <w:t>in the course of</w:t>
      </w:r>
      <w:proofErr w:type="gramEnd"/>
      <w:r>
        <w:t xml:space="preserve">, their employment or engagement, has acquired information that reveals the fact that the direction was made. </w:t>
      </w:r>
      <w:r>
        <w:br/>
      </w:r>
      <w:r w:rsidR="00BB6D4F">
        <w:rPr>
          <w:rStyle w:val="References"/>
        </w:rPr>
        <w:t xml:space="preserve">[Schedule </w:t>
      </w:r>
      <w:r w:rsidR="00320AEF">
        <w:rPr>
          <w:rStyle w:val="References"/>
        </w:rPr>
        <w:t>1</w:t>
      </w:r>
      <w:r w:rsidR="00BB6D4F">
        <w:rPr>
          <w:rStyle w:val="References"/>
        </w:rPr>
        <w:t xml:space="preserve">, item </w:t>
      </w:r>
      <w:r w:rsidR="00C568C9">
        <w:rPr>
          <w:rStyle w:val="References"/>
        </w:rPr>
        <w:t>14</w:t>
      </w:r>
      <w:r w:rsidR="00BB6D4F">
        <w:rPr>
          <w:rStyle w:val="References"/>
        </w:rPr>
        <w:t xml:space="preserve"> subsections </w:t>
      </w:r>
      <w:r w:rsidR="008F0720">
        <w:rPr>
          <w:rStyle w:val="References"/>
        </w:rPr>
        <w:t>845</w:t>
      </w:r>
      <w:proofErr w:type="gramStart"/>
      <w:r w:rsidR="008F0720">
        <w:rPr>
          <w:rStyle w:val="References"/>
        </w:rPr>
        <w:t>C</w:t>
      </w:r>
      <w:r w:rsidR="00BB6D4F">
        <w:rPr>
          <w:rStyle w:val="References"/>
        </w:rPr>
        <w:t>(</w:t>
      </w:r>
      <w:proofErr w:type="gramEnd"/>
      <w:r w:rsidR="00BB6D4F">
        <w:rPr>
          <w:rStyle w:val="References"/>
        </w:rPr>
        <w:t>2) of the Act]</w:t>
      </w:r>
    </w:p>
    <w:p w14:paraId="76483A82" w14:textId="6417B924" w:rsidR="00C813F9" w:rsidRDefault="00C813F9" w:rsidP="00C813F9">
      <w:pPr>
        <w:pStyle w:val="Heading6"/>
        <w:rPr>
          <w:rFonts w:hint="eastAsia"/>
        </w:rPr>
      </w:pPr>
      <w:r>
        <w:lastRenderedPageBreak/>
        <w:t xml:space="preserve">Permissible disclosure of information covered by </w:t>
      </w:r>
      <w:r w:rsidR="00AB7FD3">
        <w:t>a s</w:t>
      </w:r>
      <w:r>
        <w:t>ecrecy</w:t>
      </w:r>
      <w:r w:rsidR="00AB7FD3">
        <w:t xml:space="preserve"> </w:t>
      </w:r>
      <w:proofErr w:type="gramStart"/>
      <w:r w:rsidR="00AB7FD3">
        <w:t>determination</w:t>
      </w:r>
      <w:proofErr w:type="gramEnd"/>
    </w:p>
    <w:p w14:paraId="74585722" w14:textId="12AE3087" w:rsidR="00AE432F" w:rsidRDefault="00AE432F" w:rsidP="00125C2C">
      <w:pPr>
        <w:pStyle w:val="Normalparatextwithnumbers"/>
      </w:pPr>
      <w:r>
        <w:t>The secrecy arrangements do not apply where the information:</w:t>
      </w:r>
    </w:p>
    <w:p w14:paraId="7C13A204" w14:textId="77777777" w:rsidR="00AE432F" w:rsidRDefault="00AE432F" w:rsidP="00AE432F">
      <w:pPr>
        <w:pStyle w:val="Dotpoint1"/>
      </w:pPr>
      <w:r>
        <w:t xml:space="preserve">has already been lawfully made available to the </w:t>
      </w:r>
      <w:proofErr w:type="gramStart"/>
      <w:r>
        <w:t>public;</w:t>
      </w:r>
      <w:proofErr w:type="gramEnd"/>
    </w:p>
    <w:p w14:paraId="183B7E99" w14:textId="77777777" w:rsidR="00AE432F" w:rsidRDefault="00AE432F" w:rsidP="00AE432F">
      <w:pPr>
        <w:pStyle w:val="Dotpoint1"/>
      </w:pPr>
      <w:r>
        <w:t xml:space="preserve">is disclosed to a legal representative to seek legal </w:t>
      </w:r>
      <w:proofErr w:type="gramStart"/>
      <w:r>
        <w:t>advice;</w:t>
      </w:r>
      <w:proofErr w:type="gramEnd"/>
    </w:p>
    <w:p w14:paraId="3768A7B0" w14:textId="3DF3F776" w:rsidR="00AE432F" w:rsidRDefault="00AE432F" w:rsidP="00AE432F">
      <w:pPr>
        <w:pStyle w:val="Dotpoint1"/>
      </w:pPr>
      <w:r>
        <w:t xml:space="preserve">is allowed to be disclosed by an RBA determination and the relevant conditions are </w:t>
      </w:r>
      <w:proofErr w:type="gramStart"/>
      <w:r>
        <w:t>satisfied;</w:t>
      </w:r>
      <w:proofErr w:type="gramEnd"/>
      <w:r>
        <w:t xml:space="preserve"> </w:t>
      </w:r>
    </w:p>
    <w:p w14:paraId="44F5E560" w14:textId="72699DCA" w:rsidR="00AE432F" w:rsidRDefault="00AE432F" w:rsidP="00AE432F">
      <w:pPr>
        <w:pStyle w:val="Dotpoint1"/>
      </w:pPr>
      <w:r>
        <w:t xml:space="preserve">is within the RBA Act or ASIC Act and disclosed by a </w:t>
      </w:r>
      <w:r w:rsidR="00913677">
        <w:t>C</w:t>
      </w:r>
      <w:r>
        <w:t xml:space="preserve">ommonwealth officer, RBA officer, ASIC member or staff </w:t>
      </w:r>
      <w:proofErr w:type="gramStart"/>
      <w:r>
        <w:t>member;</w:t>
      </w:r>
      <w:proofErr w:type="gramEnd"/>
      <w:r>
        <w:t xml:space="preserve">  </w:t>
      </w:r>
    </w:p>
    <w:p w14:paraId="32852329" w14:textId="1A12D47D" w:rsidR="00AE432F" w:rsidRDefault="00AE432F" w:rsidP="00AE432F">
      <w:pPr>
        <w:pStyle w:val="Dotpoint1"/>
      </w:pPr>
      <w:r>
        <w:t>is allowed by the Minister</w:t>
      </w:r>
      <w:r w:rsidR="006D4736">
        <w:t>’</w:t>
      </w:r>
      <w:r>
        <w:t xml:space="preserve">s </w:t>
      </w:r>
      <w:proofErr w:type="gramStart"/>
      <w:r>
        <w:t>determination;</w:t>
      </w:r>
      <w:proofErr w:type="gramEnd"/>
      <w:r>
        <w:t xml:space="preserve"> </w:t>
      </w:r>
    </w:p>
    <w:p w14:paraId="46E68E25" w14:textId="500FC2CB" w:rsidR="00AE432F" w:rsidRDefault="00AE432F" w:rsidP="00AE432F">
      <w:pPr>
        <w:pStyle w:val="Dotpoint1"/>
      </w:pPr>
      <w:r>
        <w:t>is disclosed to another person who is subject to the secrecy</w:t>
      </w:r>
      <w:r w:rsidR="00AC6D8C">
        <w:t xml:space="preserve"> arrangement</w:t>
      </w:r>
      <w:r>
        <w:t>;</w:t>
      </w:r>
      <w:r w:rsidR="002901DC">
        <w:t xml:space="preserve"> or</w:t>
      </w:r>
    </w:p>
    <w:p w14:paraId="286D76EF" w14:textId="5CFD7E47" w:rsidR="00AE432F" w:rsidRDefault="00AE432F" w:rsidP="00AE432F">
      <w:pPr>
        <w:pStyle w:val="Dotpoint1"/>
      </w:pPr>
      <w:r>
        <w:t>a court or tribunal orders or directs the entity to do so.</w:t>
      </w:r>
      <w:r>
        <w:br/>
      </w:r>
      <w:r w:rsidRPr="00AE432F">
        <w:rPr>
          <w:rStyle w:val="References"/>
        </w:rPr>
        <w:t xml:space="preserve">[Schedule </w:t>
      </w:r>
      <w:r w:rsidR="00320AEF">
        <w:rPr>
          <w:rStyle w:val="References"/>
        </w:rPr>
        <w:t>1</w:t>
      </w:r>
      <w:r w:rsidRPr="00AE432F">
        <w:rPr>
          <w:rStyle w:val="References"/>
        </w:rPr>
        <w:t xml:space="preserve">, </w:t>
      </w:r>
      <w:r w:rsidR="00C568C9">
        <w:rPr>
          <w:rStyle w:val="References"/>
        </w:rPr>
        <w:t>item 14</w:t>
      </w:r>
      <w:r w:rsidR="004C3F28" w:rsidRPr="00AE432F">
        <w:rPr>
          <w:rStyle w:val="References"/>
        </w:rPr>
        <w:t xml:space="preserve">, </w:t>
      </w:r>
      <w:r w:rsidRPr="00AE432F">
        <w:rPr>
          <w:rStyle w:val="References"/>
        </w:rPr>
        <w:t>subsection</w:t>
      </w:r>
      <w:r w:rsidR="00B45C0C">
        <w:rPr>
          <w:rStyle w:val="References"/>
        </w:rPr>
        <w:t>s</w:t>
      </w:r>
      <w:r w:rsidRPr="00AE432F">
        <w:rPr>
          <w:rStyle w:val="References"/>
        </w:rPr>
        <w:t xml:space="preserve"> </w:t>
      </w:r>
      <w:r w:rsidR="00B45C0C">
        <w:rPr>
          <w:rStyle w:val="References"/>
        </w:rPr>
        <w:t>845</w:t>
      </w:r>
      <w:proofErr w:type="gramStart"/>
      <w:r w:rsidR="00B45C0C">
        <w:rPr>
          <w:rStyle w:val="References"/>
        </w:rPr>
        <w:t>E(</w:t>
      </w:r>
      <w:proofErr w:type="gramEnd"/>
      <w:r w:rsidR="00B45C0C">
        <w:rPr>
          <w:rStyle w:val="References"/>
        </w:rPr>
        <w:t xml:space="preserve">1), </w:t>
      </w:r>
      <w:r w:rsidR="008F0720">
        <w:rPr>
          <w:rStyle w:val="References"/>
        </w:rPr>
        <w:t>845C</w:t>
      </w:r>
      <w:r w:rsidRPr="00AE432F">
        <w:rPr>
          <w:rStyle w:val="References"/>
        </w:rPr>
        <w:t xml:space="preserve">(3) and sections </w:t>
      </w:r>
      <w:r w:rsidR="00B45C0C">
        <w:rPr>
          <w:rStyle w:val="References"/>
        </w:rPr>
        <w:t>845D</w:t>
      </w:r>
      <w:r w:rsidR="009F4E0C">
        <w:rPr>
          <w:rStyle w:val="References"/>
        </w:rPr>
        <w:t>,</w:t>
      </w:r>
      <w:r w:rsidR="00293680">
        <w:rPr>
          <w:rStyle w:val="References"/>
        </w:rPr>
        <w:t xml:space="preserve"> 845E, </w:t>
      </w:r>
      <w:r w:rsidR="00985191">
        <w:rPr>
          <w:rStyle w:val="References"/>
        </w:rPr>
        <w:t>845</w:t>
      </w:r>
      <w:r w:rsidR="00934146">
        <w:rPr>
          <w:rStyle w:val="References"/>
        </w:rPr>
        <w:t>F</w:t>
      </w:r>
      <w:r w:rsidR="00192AAE">
        <w:rPr>
          <w:rStyle w:val="References"/>
        </w:rPr>
        <w:t>,</w:t>
      </w:r>
      <w:r w:rsidR="00176639">
        <w:rPr>
          <w:rStyle w:val="References"/>
        </w:rPr>
        <w:t xml:space="preserve"> 845G, 845H, 845I, 845J and</w:t>
      </w:r>
      <w:r w:rsidR="00F312AE">
        <w:rPr>
          <w:rStyle w:val="References"/>
        </w:rPr>
        <w:t xml:space="preserve"> </w:t>
      </w:r>
      <w:r w:rsidR="00B45C0C">
        <w:rPr>
          <w:rStyle w:val="References"/>
        </w:rPr>
        <w:t>845K</w:t>
      </w:r>
      <w:r w:rsidR="00751150" w:rsidRPr="00AE432F">
        <w:rPr>
          <w:rStyle w:val="References"/>
        </w:rPr>
        <w:t xml:space="preserve"> </w:t>
      </w:r>
      <w:r w:rsidRPr="00AE432F">
        <w:rPr>
          <w:rStyle w:val="References"/>
        </w:rPr>
        <w:t>of the Act]</w:t>
      </w:r>
    </w:p>
    <w:p w14:paraId="5E6451A0" w14:textId="760A27F1" w:rsidR="009771CF" w:rsidRDefault="00A17958" w:rsidP="00AD1047">
      <w:pPr>
        <w:pStyle w:val="Normalparatextwithnumbers"/>
      </w:pPr>
      <w:bookmarkStart w:id="69" w:name="_Ref140150061"/>
      <w:r>
        <w:t xml:space="preserve">Disclosure is only permitted if it is not prohibited under </w:t>
      </w:r>
      <w:r w:rsidR="003F63E3">
        <w:t xml:space="preserve">subsection </w:t>
      </w:r>
      <w:r w:rsidRPr="00A17958">
        <w:t>79</w:t>
      </w:r>
      <w:proofErr w:type="gramStart"/>
      <w:r w:rsidRPr="00A17958">
        <w:t>A(</w:t>
      </w:r>
      <w:proofErr w:type="gramEnd"/>
      <w:r w:rsidRPr="00A17958">
        <w:t xml:space="preserve">2) of the </w:t>
      </w:r>
      <w:r w:rsidR="00613F1B">
        <w:t xml:space="preserve">RBA Act </w:t>
      </w:r>
      <w:r>
        <w:t xml:space="preserve">or </w:t>
      </w:r>
      <w:r w:rsidRPr="00A17958">
        <w:t>subsection 127(9) of the ASIC Act</w:t>
      </w:r>
      <w:r w:rsidR="00433CBA">
        <w:t xml:space="preserve"> and</w:t>
      </w:r>
      <w:r w:rsidR="009771CF">
        <w:t xml:space="preserve"> to the extent that:</w:t>
      </w:r>
      <w:bookmarkEnd w:id="69"/>
      <w:r w:rsidR="009771CF">
        <w:t xml:space="preserve">  </w:t>
      </w:r>
    </w:p>
    <w:p w14:paraId="26C5C268" w14:textId="4A2F42B1" w:rsidR="009771CF" w:rsidRDefault="009771CF" w:rsidP="009771CF">
      <w:pPr>
        <w:pStyle w:val="Dotpoint1"/>
      </w:pPr>
      <w:r>
        <w:t xml:space="preserve">the information is publicly available (under section </w:t>
      </w:r>
      <w:r w:rsidR="00184558">
        <w:t>84</w:t>
      </w:r>
      <w:r w:rsidR="00B45C0C">
        <w:t>5D</w:t>
      </w:r>
      <w:proofErr w:type="gramStart"/>
      <w:r>
        <w:t>);</w:t>
      </w:r>
      <w:proofErr w:type="gramEnd"/>
      <w:r>
        <w:t xml:space="preserve"> </w:t>
      </w:r>
    </w:p>
    <w:p w14:paraId="23E0DBE5" w14:textId="1D86C055" w:rsidR="009771CF" w:rsidRDefault="009771CF" w:rsidP="009771CF">
      <w:pPr>
        <w:pStyle w:val="Dotpoint1"/>
      </w:pPr>
      <w:r>
        <w:t xml:space="preserve">legal advice or review is sought (under section </w:t>
      </w:r>
      <w:r w:rsidR="002D79B3">
        <w:t>84</w:t>
      </w:r>
      <w:r w:rsidR="00B45C0C">
        <w:t>5F</w:t>
      </w:r>
      <w:proofErr w:type="gramStart"/>
      <w:r>
        <w:t>);</w:t>
      </w:r>
      <w:proofErr w:type="gramEnd"/>
      <w:r>
        <w:t xml:space="preserve"> </w:t>
      </w:r>
    </w:p>
    <w:p w14:paraId="10D575C7" w14:textId="1BB1C91B" w:rsidR="00433CBA" w:rsidRDefault="009771CF" w:rsidP="00433CBA">
      <w:pPr>
        <w:pStyle w:val="Dotpoint1"/>
      </w:pPr>
      <w:r>
        <w:t xml:space="preserve">the Minister </w:t>
      </w:r>
      <w:proofErr w:type="gramStart"/>
      <w:r>
        <w:t>makes a determination</w:t>
      </w:r>
      <w:proofErr w:type="gramEnd"/>
      <w:r>
        <w:t xml:space="preserve"> (under section </w:t>
      </w:r>
      <w:r w:rsidR="00261C1B">
        <w:t>84</w:t>
      </w:r>
      <w:r w:rsidR="00B45C0C">
        <w:t>5J</w:t>
      </w:r>
      <w:r>
        <w:t xml:space="preserve">); </w:t>
      </w:r>
      <w:r w:rsidR="005A096F">
        <w:t>or</w:t>
      </w:r>
    </w:p>
    <w:p w14:paraId="6E447543" w14:textId="00994403" w:rsidR="00433CBA" w:rsidRPr="00433CBA" w:rsidRDefault="009771CF" w:rsidP="00433CBA">
      <w:pPr>
        <w:pStyle w:val="Dotpoint1"/>
      </w:pPr>
      <w:r>
        <w:t xml:space="preserve">it is to </w:t>
      </w:r>
      <w:r w:rsidRPr="009771CF">
        <w:t>another person subject to the secrecy</w:t>
      </w:r>
      <w:r>
        <w:t xml:space="preserve"> </w:t>
      </w:r>
      <w:r w:rsidR="003F63E3">
        <w:t xml:space="preserve">arrangement </w:t>
      </w:r>
      <w:r>
        <w:t>and is for the same purpose</w:t>
      </w:r>
      <w:r w:rsidR="005A096F">
        <w:t>.</w:t>
      </w:r>
      <w:r w:rsidR="00A17958">
        <w:br/>
      </w:r>
      <w:r w:rsidR="00A17958" w:rsidRPr="00A17958">
        <w:rPr>
          <w:rStyle w:val="References"/>
        </w:rPr>
        <w:t xml:space="preserve">[Schedule 1, </w:t>
      </w:r>
      <w:r w:rsidR="00C568C9">
        <w:rPr>
          <w:rStyle w:val="References"/>
        </w:rPr>
        <w:t>item 14</w:t>
      </w:r>
      <w:r w:rsidR="009D5E4D" w:rsidRPr="00A17958">
        <w:rPr>
          <w:rStyle w:val="References"/>
        </w:rPr>
        <w:t xml:space="preserve">, </w:t>
      </w:r>
      <w:r w:rsidR="00A17958" w:rsidRPr="00A17958">
        <w:rPr>
          <w:rStyle w:val="References"/>
        </w:rPr>
        <w:t>section</w:t>
      </w:r>
      <w:r w:rsidR="00F33419">
        <w:rPr>
          <w:rStyle w:val="References"/>
        </w:rPr>
        <w:t>s</w:t>
      </w:r>
      <w:r w:rsidR="00A17958" w:rsidRPr="00A17958">
        <w:rPr>
          <w:rStyle w:val="References"/>
        </w:rPr>
        <w:t xml:space="preserve"> </w:t>
      </w:r>
      <w:r w:rsidR="002C532E">
        <w:rPr>
          <w:rStyle w:val="References"/>
        </w:rPr>
        <w:t>84</w:t>
      </w:r>
      <w:r w:rsidR="00B45C0C">
        <w:rPr>
          <w:rStyle w:val="References"/>
        </w:rPr>
        <w:t>5G</w:t>
      </w:r>
      <w:r w:rsidR="00F33419">
        <w:rPr>
          <w:rStyle w:val="References"/>
        </w:rPr>
        <w:t xml:space="preserve"> and </w:t>
      </w:r>
      <w:r w:rsidR="00596CC2">
        <w:rPr>
          <w:rStyle w:val="References"/>
        </w:rPr>
        <w:t>84</w:t>
      </w:r>
      <w:r w:rsidR="00B45C0C">
        <w:rPr>
          <w:rStyle w:val="References"/>
        </w:rPr>
        <w:t>5H</w:t>
      </w:r>
      <w:r w:rsidR="00A17958" w:rsidRPr="00A17958">
        <w:rPr>
          <w:rStyle w:val="References"/>
        </w:rPr>
        <w:t xml:space="preserve"> of the Act</w:t>
      </w:r>
      <w:r w:rsidR="00A17958">
        <w:rPr>
          <w:rStyle w:val="References"/>
        </w:rPr>
        <w:t>]</w:t>
      </w:r>
      <w:r w:rsidR="00433CBA" w:rsidRPr="00433CBA">
        <w:t xml:space="preserve"> </w:t>
      </w:r>
    </w:p>
    <w:p w14:paraId="018AB372" w14:textId="1D294E6B" w:rsidR="00D75A0A" w:rsidRPr="0024600B" w:rsidRDefault="008B00B9" w:rsidP="003163F1">
      <w:pPr>
        <w:pStyle w:val="Normalparatextwithnumbers"/>
        <w:rPr>
          <w:rStyle w:val="References"/>
          <w:b w:val="0"/>
          <w:i w:val="0"/>
        </w:rPr>
      </w:pPr>
      <w:r>
        <w:t xml:space="preserve">The </w:t>
      </w:r>
      <w:r w:rsidR="00433CBA" w:rsidRPr="00433CBA">
        <w:t xml:space="preserve">grounds allowing disclosure under the </w:t>
      </w:r>
      <w:r>
        <w:t xml:space="preserve">secrecy </w:t>
      </w:r>
      <w:r w:rsidR="00433CBA" w:rsidRPr="00433CBA">
        <w:t>provision</w:t>
      </w:r>
      <w:r w:rsidR="005A676E">
        <w:t xml:space="preserve"> operate independently and do not limit each other.</w:t>
      </w:r>
      <w:r w:rsidR="003163F1">
        <w:br/>
      </w:r>
      <w:r w:rsidR="00D75A0A">
        <w:rPr>
          <w:rStyle w:val="References"/>
        </w:rPr>
        <w:t xml:space="preserve">[Schedule </w:t>
      </w:r>
      <w:r w:rsidR="00320AEF">
        <w:rPr>
          <w:rStyle w:val="References"/>
        </w:rPr>
        <w:t>1</w:t>
      </w:r>
      <w:r w:rsidR="00D75A0A">
        <w:rPr>
          <w:rStyle w:val="References"/>
        </w:rPr>
        <w:t xml:space="preserve">, item </w:t>
      </w:r>
      <w:r w:rsidR="009D5E4D">
        <w:rPr>
          <w:rStyle w:val="References"/>
        </w:rPr>
        <w:t>1</w:t>
      </w:r>
      <w:r w:rsidR="00061029">
        <w:rPr>
          <w:rStyle w:val="References"/>
        </w:rPr>
        <w:t>4</w:t>
      </w:r>
      <w:r w:rsidR="00D75A0A">
        <w:rPr>
          <w:rStyle w:val="References"/>
        </w:rPr>
        <w:t xml:space="preserve">, section </w:t>
      </w:r>
      <w:r w:rsidR="00B45C0C">
        <w:rPr>
          <w:rStyle w:val="References"/>
        </w:rPr>
        <w:t>845L</w:t>
      </w:r>
      <w:r w:rsidR="00D75A0A">
        <w:rPr>
          <w:rStyle w:val="References"/>
        </w:rPr>
        <w:t xml:space="preserve"> of the Act]</w:t>
      </w:r>
    </w:p>
    <w:p w14:paraId="64DD51F3" w14:textId="77777777" w:rsidR="0024600B" w:rsidRDefault="0024600B" w:rsidP="00C667BD">
      <w:pPr>
        <w:pStyle w:val="Heading4"/>
      </w:pPr>
      <w:r>
        <w:t xml:space="preserve">Protection </w:t>
      </w:r>
    </w:p>
    <w:p w14:paraId="1E0135AF" w14:textId="1FDE7208" w:rsidR="00BB0721" w:rsidRDefault="00EB6374" w:rsidP="00C667BD">
      <w:pPr>
        <w:pStyle w:val="Normalparatextwithnumbers"/>
      </w:pPr>
      <w:r>
        <w:t xml:space="preserve">Where </w:t>
      </w:r>
      <w:r w:rsidR="00BB0721">
        <w:t>t</w:t>
      </w:r>
      <w:r w:rsidR="00C667BD">
        <w:t xml:space="preserve">he RBA has exercised a crisis power and a person has </w:t>
      </w:r>
      <w:r>
        <w:t xml:space="preserve">acted in accordance with fulfilling a function under the crisis regime, that person is broadly protected from </w:t>
      </w:r>
      <w:r w:rsidR="00BB0721">
        <w:t>criminal or civil proceedings</w:t>
      </w:r>
      <w:r>
        <w:t xml:space="preserve">. </w:t>
      </w:r>
      <w:r w:rsidR="00C667BD" w:rsidRPr="007E34BD">
        <w:t>Th</w:t>
      </w:r>
      <w:r>
        <w:t>e</w:t>
      </w:r>
      <w:r w:rsidR="00C667BD" w:rsidRPr="007E34BD">
        <w:t xml:space="preserve"> protection </w:t>
      </w:r>
      <w:r>
        <w:t xml:space="preserve">from liability only </w:t>
      </w:r>
      <w:r w:rsidR="00C667BD" w:rsidRPr="007E34BD">
        <w:t xml:space="preserve">applies if </w:t>
      </w:r>
      <w:r>
        <w:t xml:space="preserve">a person acts in good faith and </w:t>
      </w:r>
      <w:r w:rsidR="00C667BD" w:rsidRPr="007E34BD">
        <w:t xml:space="preserve">it was reasonable for the person to </w:t>
      </w:r>
      <w:r>
        <w:t xml:space="preserve">act in a way that </w:t>
      </w:r>
      <w:r w:rsidR="00C667BD" w:rsidRPr="007E34BD">
        <w:t>achieve</w:t>
      </w:r>
      <w:r>
        <w:t>s</w:t>
      </w:r>
      <w:r w:rsidR="00C667BD" w:rsidRPr="007E34BD">
        <w:t xml:space="preserve"> th</w:t>
      </w:r>
      <w:r>
        <w:t xml:space="preserve">e </w:t>
      </w:r>
      <w:r w:rsidR="00C667BD" w:rsidRPr="007E34BD">
        <w:t xml:space="preserve">purpose </w:t>
      </w:r>
      <w:r>
        <w:t xml:space="preserve">of performing a function or power under the crisis regime. The protection is also extended to a person that acts in accordance with a direction to preserve financial stability Australia (under proposed section 823F) or a recapitalisation direction (issued under proposed section 823L). </w:t>
      </w:r>
      <w:r w:rsidR="00BB0721">
        <w:br/>
      </w:r>
      <w:r w:rsidR="00BB0721" w:rsidRPr="00C667BD">
        <w:rPr>
          <w:rFonts w:cs="Arial"/>
          <w:b/>
          <w:i/>
        </w:rPr>
        <w:t xml:space="preserve">[Schedule </w:t>
      </w:r>
      <w:r w:rsidR="00E30C5E">
        <w:rPr>
          <w:rFonts w:cs="Arial"/>
          <w:b/>
          <w:i/>
        </w:rPr>
        <w:t>2</w:t>
      </w:r>
      <w:r w:rsidR="00BB0721" w:rsidRPr="00C667BD">
        <w:rPr>
          <w:rFonts w:cs="Arial"/>
          <w:b/>
          <w:i/>
        </w:rPr>
        <w:t>, item 1</w:t>
      </w:r>
      <w:r w:rsidR="002106D0">
        <w:rPr>
          <w:rFonts w:cs="Arial"/>
          <w:b/>
          <w:i/>
        </w:rPr>
        <w:t>15</w:t>
      </w:r>
      <w:r w:rsidR="00BB0721" w:rsidRPr="00C667BD">
        <w:rPr>
          <w:rFonts w:cs="Arial"/>
          <w:b/>
          <w:i/>
        </w:rPr>
        <w:t>, subsections 84</w:t>
      </w:r>
      <w:proofErr w:type="gramStart"/>
      <w:r w:rsidR="00BB0721" w:rsidRPr="00C667BD">
        <w:rPr>
          <w:rFonts w:cs="Arial"/>
          <w:b/>
          <w:i/>
        </w:rPr>
        <w:t>A(</w:t>
      </w:r>
      <w:proofErr w:type="gramEnd"/>
      <w:r w:rsidR="00BB0721" w:rsidRPr="00C667BD">
        <w:rPr>
          <w:rFonts w:cs="Arial"/>
          <w:b/>
          <w:i/>
        </w:rPr>
        <w:t>1)</w:t>
      </w:r>
      <w:r w:rsidR="00903216">
        <w:rPr>
          <w:rFonts w:cs="Arial"/>
          <w:b/>
          <w:i/>
        </w:rPr>
        <w:t xml:space="preserve"> and </w:t>
      </w:r>
      <w:r w:rsidR="00BB0721" w:rsidRPr="00C667BD">
        <w:rPr>
          <w:rFonts w:cs="Arial"/>
          <w:b/>
          <w:i/>
        </w:rPr>
        <w:t>(</w:t>
      </w:r>
      <w:r w:rsidR="00E30C5E">
        <w:rPr>
          <w:rFonts w:cs="Arial"/>
          <w:b/>
          <w:i/>
        </w:rPr>
        <w:t>2</w:t>
      </w:r>
      <w:r w:rsidR="00BB0721" w:rsidRPr="00C667BD">
        <w:rPr>
          <w:rFonts w:cs="Arial"/>
          <w:b/>
          <w:i/>
        </w:rPr>
        <w:t>) of the RB Act]</w:t>
      </w:r>
    </w:p>
    <w:p w14:paraId="7F75F3D2" w14:textId="05D4B241" w:rsidR="00E30C5E" w:rsidRPr="00E30C5E" w:rsidRDefault="00E30C5E" w:rsidP="00E30C5E">
      <w:pPr>
        <w:pStyle w:val="Normalparatextwithnumbers"/>
        <w:rPr>
          <w:rStyle w:val="References"/>
          <w:b w:val="0"/>
          <w:bCs w:val="0"/>
          <w:i w:val="0"/>
          <w:iCs w:val="0"/>
        </w:rPr>
      </w:pPr>
      <w:r>
        <w:lastRenderedPageBreak/>
        <w:t>The protection also captures members and APS employees</w:t>
      </w:r>
      <w:r w:rsidR="00BE2F9F">
        <w:t xml:space="preserve">, employees of the </w:t>
      </w:r>
      <w:r>
        <w:t xml:space="preserve">RBA </w:t>
      </w:r>
      <w:r w:rsidRPr="007E34BD">
        <w:t xml:space="preserve">or an </w:t>
      </w:r>
      <w:r w:rsidR="00F82E21">
        <w:t xml:space="preserve">agency or </w:t>
      </w:r>
      <w:r w:rsidRPr="007E34BD">
        <w:t>authority</w:t>
      </w:r>
      <w:r w:rsidR="0002450F">
        <w:t xml:space="preserve"> of the Commonwealth (for example, ASIC)</w:t>
      </w:r>
      <w:r w:rsidRPr="007E34BD">
        <w:t xml:space="preserve"> whose services are made available to the RBA in connection with the exercise of any of the RBA’s functions or powers</w:t>
      </w:r>
      <w:r>
        <w:t xml:space="preserve">. This means that if </w:t>
      </w:r>
      <w:r w:rsidR="00AB295E">
        <w:rPr>
          <w:rStyle w:val="References"/>
          <w:b w:val="0"/>
          <w:bCs w:val="0"/>
          <w:i w:val="0"/>
          <w:iCs w:val="0"/>
        </w:rPr>
        <w:t>any of those employees</w:t>
      </w:r>
      <w:r>
        <w:rPr>
          <w:rStyle w:val="References"/>
          <w:b w:val="0"/>
          <w:bCs w:val="0"/>
          <w:i w:val="0"/>
          <w:iCs w:val="0"/>
        </w:rPr>
        <w:t xml:space="preserve"> acquire protected information in the course of fulfilling their functions, they are </w:t>
      </w:r>
      <w:r w:rsidR="00FB5136">
        <w:rPr>
          <w:rStyle w:val="References"/>
          <w:b w:val="0"/>
          <w:bCs w:val="0"/>
          <w:i w:val="0"/>
          <w:iCs w:val="0"/>
        </w:rPr>
        <w:t>protected</w:t>
      </w:r>
      <w:r>
        <w:rPr>
          <w:rStyle w:val="References"/>
          <w:b w:val="0"/>
          <w:bCs w:val="0"/>
          <w:i w:val="0"/>
          <w:iCs w:val="0"/>
        </w:rPr>
        <w:t xml:space="preserve"> from civil and criminal proceedings.</w:t>
      </w:r>
      <w:r w:rsidRPr="007E34BD">
        <w:br/>
      </w:r>
      <w:r w:rsidRPr="00C667BD">
        <w:rPr>
          <w:rFonts w:cs="Arial"/>
          <w:b/>
          <w:i/>
        </w:rPr>
        <w:t>[</w:t>
      </w:r>
      <w:r w:rsidR="00FB5136" w:rsidRPr="0034326D">
        <w:rPr>
          <w:rStyle w:val="References"/>
        </w:rPr>
        <w:t>Schedule 1, items 46</w:t>
      </w:r>
      <w:r w:rsidR="008D0F96">
        <w:rPr>
          <w:rStyle w:val="References"/>
        </w:rPr>
        <w:t>, 47</w:t>
      </w:r>
      <w:r w:rsidR="006D3C84">
        <w:rPr>
          <w:rStyle w:val="References"/>
        </w:rPr>
        <w:t xml:space="preserve"> and </w:t>
      </w:r>
      <w:r w:rsidR="00FB5136">
        <w:rPr>
          <w:rStyle w:val="References"/>
        </w:rPr>
        <w:t>48</w:t>
      </w:r>
      <w:r w:rsidR="00FB5136" w:rsidRPr="0034326D">
        <w:rPr>
          <w:rStyle w:val="References"/>
        </w:rPr>
        <w:t xml:space="preserve">, </w:t>
      </w:r>
      <w:r w:rsidR="00FB5136">
        <w:rPr>
          <w:rStyle w:val="References"/>
        </w:rPr>
        <w:t>sub</w:t>
      </w:r>
      <w:r w:rsidR="00FB5136" w:rsidRPr="0034326D">
        <w:rPr>
          <w:rStyle w:val="References"/>
        </w:rPr>
        <w:t>section</w:t>
      </w:r>
      <w:r w:rsidR="00FB5136">
        <w:rPr>
          <w:rStyle w:val="References"/>
        </w:rPr>
        <w:t>s</w:t>
      </w:r>
      <w:r w:rsidR="00FB5136" w:rsidRPr="0034326D">
        <w:rPr>
          <w:rStyle w:val="References"/>
        </w:rPr>
        <w:t xml:space="preserve"> 79A</w:t>
      </w:r>
      <w:r w:rsidR="00FB5136">
        <w:rPr>
          <w:rStyle w:val="References"/>
        </w:rPr>
        <w:t>(6A), (6B), (8)</w:t>
      </w:r>
      <w:r w:rsidR="00FB5136" w:rsidRPr="0034326D">
        <w:rPr>
          <w:rStyle w:val="References"/>
        </w:rPr>
        <w:t xml:space="preserve"> of the RB Act</w:t>
      </w:r>
      <w:r w:rsidR="006D3C84">
        <w:rPr>
          <w:rFonts w:cs="Arial"/>
          <w:b/>
          <w:i/>
        </w:rPr>
        <w:t xml:space="preserve">; </w:t>
      </w:r>
      <w:r w:rsidRPr="00C667BD">
        <w:rPr>
          <w:rFonts w:cs="Arial"/>
          <w:b/>
          <w:i/>
        </w:rPr>
        <w:t xml:space="preserve">Schedule </w:t>
      </w:r>
      <w:r>
        <w:rPr>
          <w:rFonts w:cs="Arial"/>
          <w:b/>
          <w:i/>
        </w:rPr>
        <w:t>2</w:t>
      </w:r>
      <w:r w:rsidRPr="00C667BD">
        <w:rPr>
          <w:rFonts w:cs="Arial"/>
          <w:b/>
          <w:i/>
        </w:rPr>
        <w:t>, item 1</w:t>
      </w:r>
      <w:r w:rsidR="005B6214">
        <w:rPr>
          <w:rFonts w:cs="Arial"/>
          <w:b/>
          <w:i/>
        </w:rPr>
        <w:t>15</w:t>
      </w:r>
      <w:r w:rsidRPr="00C667BD">
        <w:rPr>
          <w:rFonts w:cs="Arial"/>
          <w:b/>
          <w:i/>
        </w:rPr>
        <w:t>, subsection 84</w:t>
      </w:r>
      <w:proofErr w:type="gramStart"/>
      <w:r w:rsidRPr="00C667BD">
        <w:rPr>
          <w:rFonts w:cs="Arial"/>
          <w:b/>
          <w:i/>
        </w:rPr>
        <w:t>A(</w:t>
      </w:r>
      <w:proofErr w:type="gramEnd"/>
      <w:r w:rsidRPr="00C667BD">
        <w:rPr>
          <w:rFonts w:cs="Arial"/>
          <w:b/>
          <w:i/>
        </w:rPr>
        <w:t>3) of the RB Act]</w:t>
      </w:r>
    </w:p>
    <w:p w14:paraId="51E59A77" w14:textId="2F96DBE0" w:rsidR="0024600B" w:rsidRPr="00590B3F" w:rsidRDefault="0024600B" w:rsidP="00C65EC8">
      <w:pPr>
        <w:pStyle w:val="Normalparatextwithnumbers"/>
        <w:rPr>
          <w:rStyle w:val="References"/>
          <w:b w:val="0"/>
          <w:bCs w:val="0"/>
          <w:i w:val="0"/>
          <w:iCs w:val="0"/>
        </w:rPr>
      </w:pPr>
      <w:r w:rsidRPr="00590B3F">
        <w:rPr>
          <w:rStyle w:val="References"/>
          <w:b w:val="0"/>
          <w:bCs w:val="0"/>
          <w:i w:val="0"/>
          <w:iCs w:val="0"/>
        </w:rPr>
        <w:t xml:space="preserve"> This protection would extend to the directed entity related bodies corporate, their respective current and former directors, other officers and its employees and third parties engaged to provide advice or services to the directed entity.</w:t>
      </w:r>
      <w:r w:rsidR="00443064" w:rsidRPr="00590B3F">
        <w:rPr>
          <w:rStyle w:val="References"/>
          <w:b w:val="0"/>
          <w:bCs w:val="0"/>
          <w:i w:val="0"/>
          <w:iCs w:val="0"/>
        </w:rPr>
        <w:t xml:space="preserve"> </w:t>
      </w:r>
    </w:p>
    <w:p w14:paraId="2107D762" w14:textId="6F5F56A4" w:rsidR="00113C2B" w:rsidRDefault="00F94D93" w:rsidP="001A5468">
      <w:pPr>
        <w:pStyle w:val="Heading3"/>
        <w:rPr>
          <w:rFonts w:hint="eastAsia"/>
        </w:rPr>
      </w:pPr>
      <w:bookmarkStart w:id="70" w:name="_Toc152860452"/>
      <w:r>
        <w:t>Interactions between regulators in a crisis</w:t>
      </w:r>
      <w:bookmarkEnd w:id="70"/>
    </w:p>
    <w:p w14:paraId="1662CB5C" w14:textId="539D23D3" w:rsidR="0018602C" w:rsidRPr="0018602C" w:rsidRDefault="0018602C" w:rsidP="0018602C">
      <w:pPr>
        <w:pStyle w:val="Normalparatextwithnumbers"/>
        <w:rPr>
          <w:rStyle w:val="References"/>
          <w:b w:val="0"/>
          <w:bCs w:val="0"/>
          <w:i w:val="0"/>
          <w:iCs w:val="0"/>
        </w:rPr>
      </w:pPr>
      <w:r w:rsidRPr="0018602C">
        <w:rPr>
          <w:rStyle w:val="References"/>
          <w:b w:val="0"/>
          <w:bCs w:val="0"/>
          <w:i w:val="0"/>
          <w:iCs w:val="0"/>
        </w:rPr>
        <w:t xml:space="preserve">During resolution, it is intended that the RBA’s powers </w:t>
      </w:r>
      <w:r w:rsidR="006540BB">
        <w:rPr>
          <w:rStyle w:val="References"/>
          <w:b w:val="0"/>
          <w:bCs w:val="0"/>
          <w:i w:val="0"/>
          <w:iCs w:val="0"/>
        </w:rPr>
        <w:t xml:space="preserve">to resolve a crisis </w:t>
      </w:r>
      <w:r w:rsidRPr="0018602C">
        <w:rPr>
          <w:rStyle w:val="References"/>
          <w:b w:val="0"/>
          <w:bCs w:val="0"/>
          <w:i w:val="0"/>
          <w:iCs w:val="0"/>
        </w:rPr>
        <w:t xml:space="preserve">will have priority </w:t>
      </w:r>
      <w:r w:rsidR="006540BB">
        <w:rPr>
          <w:rStyle w:val="References"/>
          <w:b w:val="0"/>
          <w:bCs w:val="0"/>
          <w:i w:val="0"/>
          <w:iCs w:val="0"/>
        </w:rPr>
        <w:t>over any powers ASIC takes in respect of CS facilities</w:t>
      </w:r>
      <w:r w:rsidR="004520C3">
        <w:rPr>
          <w:rStyle w:val="References"/>
          <w:b w:val="0"/>
          <w:bCs w:val="0"/>
          <w:i w:val="0"/>
          <w:iCs w:val="0"/>
        </w:rPr>
        <w:t>, and, in certain circumstances, Australian market licensees</w:t>
      </w:r>
      <w:r w:rsidR="006540BB">
        <w:rPr>
          <w:rStyle w:val="References"/>
          <w:b w:val="0"/>
          <w:bCs w:val="0"/>
          <w:i w:val="0"/>
          <w:iCs w:val="0"/>
        </w:rPr>
        <w:t>. Accordingly,</w:t>
      </w:r>
      <w:r w:rsidRPr="0018602C">
        <w:rPr>
          <w:rStyle w:val="References"/>
          <w:b w:val="0"/>
          <w:bCs w:val="0"/>
          <w:i w:val="0"/>
          <w:iCs w:val="0"/>
        </w:rPr>
        <w:t xml:space="preserve"> ASIC: </w:t>
      </w:r>
    </w:p>
    <w:p w14:paraId="67204004" w14:textId="660EDE97" w:rsidR="0018602C" w:rsidRPr="0018602C" w:rsidRDefault="00506CBD" w:rsidP="0018602C">
      <w:pPr>
        <w:pStyle w:val="Dotpoint1"/>
        <w:rPr>
          <w:rStyle w:val="References"/>
          <w:b w:val="0"/>
          <w:bCs w:val="0"/>
          <w:i w:val="0"/>
          <w:iCs w:val="0"/>
        </w:rPr>
      </w:pPr>
      <w:r>
        <w:rPr>
          <w:rStyle w:val="References"/>
          <w:b w:val="0"/>
          <w:bCs w:val="0"/>
          <w:i w:val="0"/>
          <w:iCs w:val="0"/>
        </w:rPr>
        <w:t xml:space="preserve">must </w:t>
      </w:r>
      <w:r w:rsidR="0018602C" w:rsidRPr="0018602C">
        <w:rPr>
          <w:rStyle w:val="References"/>
          <w:b w:val="0"/>
          <w:bCs w:val="0"/>
          <w:i w:val="0"/>
          <w:iCs w:val="0"/>
        </w:rPr>
        <w:t>act in a way that supports resolution of a CS</w:t>
      </w:r>
      <w:r w:rsidR="00EB6833">
        <w:rPr>
          <w:rStyle w:val="References"/>
          <w:b w:val="0"/>
          <w:bCs w:val="0"/>
          <w:i w:val="0"/>
          <w:iCs w:val="0"/>
        </w:rPr>
        <w:t xml:space="preserve"> facility </w:t>
      </w:r>
      <w:proofErr w:type="gramStart"/>
      <w:r w:rsidR="00EB6833">
        <w:rPr>
          <w:rStyle w:val="References"/>
          <w:b w:val="0"/>
          <w:bCs w:val="0"/>
          <w:i w:val="0"/>
          <w:iCs w:val="0"/>
        </w:rPr>
        <w:t>licensee</w:t>
      </w:r>
      <w:r w:rsidR="0018602C" w:rsidRPr="0018602C">
        <w:rPr>
          <w:rStyle w:val="References"/>
          <w:b w:val="0"/>
          <w:bCs w:val="0"/>
          <w:i w:val="0"/>
          <w:iCs w:val="0"/>
        </w:rPr>
        <w:t>;</w:t>
      </w:r>
      <w:proofErr w:type="gramEnd"/>
    </w:p>
    <w:p w14:paraId="5B44D11D" w14:textId="77FBC296" w:rsidR="0018602C" w:rsidRPr="0018602C" w:rsidRDefault="00506CBD" w:rsidP="0018602C">
      <w:pPr>
        <w:pStyle w:val="Dotpoint1"/>
        <w:rPr>
          <w:rStyle w:val="References"/>
          <w:b w:val="0"/>
          <w:bCs w:val="0"/>
          <w:i w:val="0"/>
          <w:iCs w:val="0"/>
        </w:rPr>
      </w:pPr>
      <w:r>
        <w:rPr>
          <w:rStyle w:val="References"/>
          <w:b w:val="0"/>
          <w:bCs w:val="0"/>
          <w:i w:val="0"/>
          <w:iCs w:val="0"/>
        </w:rPr>
        <w:t xml:space="preserve">must </w:t>
      </w:r>
      <w:r w:rsidR="0018602C" w:rsidRPr="0018602C">
        <w:rPr>
          <w:rStyle w:val="References"/>
          <w:b w:val="0"/>
          <w:bCs w:val="0"/>
          <w:i w:val="0"/>
          <w:iCs w:val="0"/>
        </w:rPr>
        <w:t>not exercise rulemaking or directions powers without receiving a non</w:t>
      </w:r>
      <w:r w:rsidR="006540BB">
        <w:rPr>
          <w:rStyle w:val="References"/>
          <w:b w:val="0"/>
          <w:bCs w:val="0"/>
          <w:i w:val="0"/>
          <w:iCs w:val="0"/>
        </w:rPr>
        <w:noBreakHyphen/>
      </w:r>
      <w:r w:rsidR="0018602C" w:rsidRPr="0018602C">
        <w:rPr>
          <w:rStyle w:val="References"/>
          <w:b w:val="0"/>
          <w:bCs w:val="0"/>
          <w:i w:val="0"/>
          <w:iCs w:val="0"/>
        </w:rPr>
        <w:t xml:space="preserve">objection from the RBA; </w:t>
      </w:r>
      <w:r w:rsidR="006540BB">
        <w:rPr>
          <w:rStyle w:val="References"/>
          <w:b w:val="0"/>
          <w:bCs w:val="0"/>
          <w:i w:val="0"/>
          <w:iCs w:val="0"/>
        </w:rPr>
        <w:t>and</w:t>
      </w:r>
    </w:p>
    <w:p w14:paraId="7A172271" w14:textId="6DEABF7E" w:rsidR="0018602C" w:rsidRPr="003A33BC" w:rsidRDefault="00506CBD" w:rsidP="0018602C">
      <w:pPr>
        <w:pStyle w:val="Dotpoint1"/>
        <w:rPr>
          <w:rStyle w:val="References"/>
          <w:b w:val="0"/>
          <w:bCs w:val="0"/>
          <w:i w:val="0"/>
          <w:iCs w:val="0"/>
        </w:rPr>
      </w:pPr>
      <w:r>
        <w:rPr>
          <w:rStyle w:val="References"/>
          <w:b w:val="0"/>
          <w:bCs w:val="0"/>
          <w:i w:val="0"/>
          <w:iCs w:val="0"/>
        </w:rPr>
        <w:t xml:space="preserve">may comply with </w:t>
      </w:r>
      <w:r w:rsidR="0018602C" w:rsidRPr="0018602C">
        <w:rPr>
          <w:rStyle w:val="References"/>
          <w:b w:val="0"/>
          <w:bCs w:val="0"/>
          <w:i w:val="0"/>
          <w:iCs w:val="0"/>
        </w:rPr>
        <w:t xml:space="preserve">the RBA’s request to exercise certain powers (no other conditions </w:t>
      </w:r>
      <w:r w:rsidR="0018602C" w:rsidRPr="003A33BC">
        <w:rPr>
          <w:rStyle w:val="References"/>
          <w:b w:val="0"/>
          <w:bCs w:val="0"/>
          <w:i w:val="0"/>
          <w:iCs w:val="0"/>
        </w:rPr>
        <w:t>need to be met to exercise the power)</w:t>
      </w:r>
      <w:r w:rsidR="006540BB" w:rsidRPr="003A33BC">
        <w:rPr>
          <w:rStyle w:val="References"/>
          <w:b w:val="0"/>
          <w:bCs w:val="0"/>
          <w:i w:val="0"/>
          <w:iCs w:val="0"/>
        </w:rPr>
        <w:t xml:space="preserve">. </w:t>
      </w:r>
    </w:p>
    <w:p w14:paraId="603353E4" w14:textId="19BD424E" w:rsidR="006540BB" w:rsidRDefault="00097733" w:rsidP="0018602C">
      <w:pPr>
        <w:pStyle w:val="Normalparatextwithnumbers"/>
        <w:rPr>
          <w:rStyle w:val="References"/>
          <w:b w:val="0"/>
          <w:bCs w:val="0"/>
          <w:i w:val="0"/>
          <w:iCs w:val="0"/>
        </w:rPr>
      </w:pPr>
      <w:r w:rsidRPr="003A33BC">
        <w:rPr>
          <w:rStyle w:val="References"/>
          <w:b w:val="0"/>
          <w:bCs w:val="0"/>
          <w:i w:val="0"/>
          <w:iCs w:val="0"/>
        </w:rPr>
        <w:t>The RBA may request ASIC to issue directions</w:t>
      </w:r>
      <w:r w:rsidR="003A33BC">
        <w:rPr>
          <w:rStyle w:val="References"/>
          <w:b w:val="0"/>
          <w:bCs w:val="0"/>
          <w:i w:val="0"/>
          <w:iCs w:val="0"/>
        </w:rPr>
        <w:t xml:space="preserve"> or make market integrity rules dur</w:t>
      </w:r>
      <w:r w:rsidRPr="003A33BC">
        <w:rPr>
          <w:rStyle w:val="References"/>
          <w:b w:val="0"/>
          <w:bCs w:val="0"/>
          <w:i w:val="0"/>
          <w:iCs w:val="0"/>
        </w:rPr>
        <w:t>in</w:t>
      </w:r>
      <w:r w:rsidR="003A33BC">
        <w:rPr>
          <w:rStyle w:val="References"/>
          <w:b w:val="0"/>
          <w:bCs w:val="0"/>
          <w:i w:val="0"/>
          <w:iCs w:val="0"/>
        </w:rPr>
        <w:t>g</w:t>
      </w:r>
      <w:r w:rsidRPr="003A33BC">
        <w:rPr>
          <w:rStyle w:val="References"/>
          <w:b w:val="0"/>
          <w:bCs w:val="0"/>
          <w:i w:val="0"/>
          <w:iCs w:val="0"/>
        </w:rPr>
        <w:t xml:space="preserve"> a crisis.</w:t>
      </w:r>
      <w:r>
        <w:rPr>
          <w:rStyle w:val="References"/>
          <w:b w:val="0"/>
          <w:bCs w:val="0"/>
          <w:i w:val="0"/>
          <w:iCs w:val="0"/>
        </w:rPr>
        <w:t xml:space="preserve"> </w:t>
      </w:r>
      <w:r w:rsidR="006540BB">
        <w:rPr>
          <w:rStyle w:val="References"/>
          <w:b w:val="0"/>
          <w:bCs w:val="0"/>
          <w:i w:val="0"/>
          <w:iCs w:val="0"/>
        </w:rPr>
        <w:t>ASIC’s compliance with the RBA’s request to exercise powers do not require any other conditions to be met. That is, ordinary conditions to issue a supervisory direction</w:t>
      </w:r>
      <w:r w:rsidR="00DB0819">
        <w:rPr>
          <w:rStyle w:val="References"/>
          <w:b w:val="0"/>
          <w:bCs w:val="0"/>
          <w:i w:val="0"/>
          <w:iCs w:val="0"/>
        </w:rPr>
        <w:t xml:space="preserve"> or make market integrity rules</w:t>
      </w:r>
      <w:r w:rsidR="006540BB">
        <w:rPr>
          <w:rStyle w:val="References"/>
          <w:b w:val="0"/>
          <w:bCs w:val="0"/>
          <w:i w:val="0"/>
          <w:iCs w:val="0"/>
        </w:rPr>
        <w:t xml:space="preserve"> do not need to be met if the RBA has requested ASIC’s assistance. </w:t>
      </w:r>
      <w:r>
        <w:rPr>
          <w:rStyle w:val="References"/>
          <w:b w:val="0"/>
          <w:bCs w:val="0"/>
          <w:i w:val="0"/>
          <w:iCs w:val="0"/>
        </w:rPr>
        <w:t xml:space="preserve"> </w:t>
      </w:r>
      <w:r w:rsidR="003A33BC">
        <w:rPr>
          <w:rStyle w:val="References"/>
          <w:b w:val="0"/>
          <w:bCs w:val="0"/>
          <w:i w:val="0"/>
          <w:iCs w:val="0"/>
        </w:rPr>
        <w:br/>
      </w:r>
      <w:r w:rsidR="003A33BC" w:rsidRPr="003A33BC">
        <w:rPr>
          <w:rStyle w:val="References"/>
        </w:rPr>
        <w:t xml:space="preserve">[Schedule </w:t>
      </w:r>
      <w:r w:rsidR="00320AEF">
        <w:rPr>
          <w:rStyle w:val="References"/>
        </w:rPr>
        <w:t>1</w:t>
      </w:r>
      <w:r w:rsidR="003A33BC" w:rsidRPr="003A33BC">
        <w:rPr>
          <w:rStyle w:val="References"/>
        </w:rPr>
        <w:t xml:space="preserve">, items </w:t>
      </w:r>
      <w:r w:rsidR="00443064">
        <w:rPr>
          <w:rStyle w:val="References"/>
        </w:rPr>
        <w:t xml:space="preserve">9, 12 </w:t>
      </w:r>
      <w:r w:rsidR="003A33BC" w:rsidRPr="003A33BC">
        <w:rPr>
          <w:rStyle w:val="References"/>
        </w:rPr>
        <w:t>and 1</w:t>
      </w:r>
      <w:r w:rsidR="00443064">
        <w:rPr>
          <w:rStyle w:val="References"/>
        </w:rPr>
        <w:t>4</w:t>
      </w:r>
      <w:r w:rsidR="003A33BC" w:rsidRPr="003A33BC">
        <w:rPr>
          <w:rStyle w:val="References"/>
        </w:rPr>
        <w:t xml:space="preserve">, sections 794AA, </w:t>
      </w:r>
      <w:r w:rsidR="00443064" w:rsidRPr="003A33BC">
        <w:rPr>
          <w:rStyle w:val="References"/>
        </w:rPr>
        <w:t>798JA</w:t>
      </w:r>
      <w:r w:rsidR="00443064">
        <w:rPr>
          <w:rStyle w:val="References"/>
        </w:rPr>
        <w:t>,</w:t>
      </w:r>
      <w:r w:rsidR="00443064" w:rsidRPr="003A33BC">
        <w:rPr>
          <w:rStyle w:val="References"/>
        </w:rPr>
        <w:t xml:space="preserve"> </w:t>
      </w:r>
      <w:r w:rsidR="00443064">
        <w:rPr>
          <w:rStyle w:val="References"/>
        </w:rPr>
        <w:t>849B</w:t>
      </w:r>
      <w:r w:rsidR="00443064" w:rsidRPr="003A33BC">
        <w:rPr>
          <w:rStyle w:val="References"/>
        </w:rPr>
        <w:t xml:space="preserve"> </w:t>
      </w:r>
      <w:r w:rsidR="00443064">
        <w:rPr>
          <w:rStyle w:val="References"/>
        </w:rPr>
        <w:t>and</w:t>
      </w:r>
      <w:r w:rsidR="003A33BC" w:rsidRPr="003A33BC">
        <w:rPr>
          <w:rStyle w:val="References"/>
        </w:rPr>
        <w:t xml:space="preserve"> of the Act]</w:t>
      </w:r>
    </w:p>
    <w:p w14:paraId="59609E99" w14:textId="637E408A" w:rsidR="003A33BC" w:rsidRPr="003A33BC" w:rsidRDefault="003A33BC" w:rsidP="003A33BC">
      <w:pPr>
        <w:pStyle w:val="Normalparatextwithnumbers"/>
        <w:rPr>
          <w:rStyle w:val="References"/>
          <w:b w:val="0"/>
          <w:bCs w:val="0"/>
          <w:i w:val="0"/>
          <w:iCs w:val="0"/>
        </w:rPr>
      </w:pPr>
      <w:r>
        <w:t xml:space="preserve">If </w:t>
      </w:r>
      <w:r w:rsidRPr="003A33BC">
        <w:t>ASIC make</w:t>
      </w:r>
      <w:r>
        <w:t>s</w:t>
      </w:r>
      <w:r w:rsidRPr="003A33BC">
        <w:t xml:space="preserve"> market integrity rule</w:t>
      </w:r>
      <w:r>
        <w:t>s</w:t>
      </w:r>
      <w:r w:rsidRPr="003A33BC">
        <w:t xml:space="preserve"> </w:t>
      </w:r>
      <w:r w:rsidR="00286C37">
        <w:t xml:space="preserve">in accordance with the RBA’s request, </w:t>
      </w:r>
      <w:r w:rsidRPr="003A33BC">
        <w:t>the Minister</w:t>
      </w:r>
      <w:r w:rsidR="00286C37">
        <w:t xml:space="preserve"> does not need to provide </w:t>
      </w:r>
      <w:r w:rsidRPr="003A33BC">
        <w:t>consent</w:t>
      </w:r>
      <w:r w:rsidR="00286C37">
        <w:t>. However, ASIC must provide a copy of the RBA’s request to the Minister</w:t>
      </w:r>
      <w:r w:rsidRPr="003A33BC">
        <w:t>.</w:t>
      </w:r>
      <w:r w:rsidRPr="003A33BC">
        <w:br/>
      </w:r>
      <w:r w:rsidRPr="003A33BC">
        <w:rPr>
          <w:rStyle w:val="References"/>
        </w:rPr>
        <w:t xml:space="preserve">[Schedule </w:t>
      </w:r>
      <w:r w:rsidR="00320AEF">
        <w:rPr>
          <w:rStyle w:val="References"/>
        </w:rPr>
        <w:t>1</w:t>
      </w:r>
      <w:r w:rsidRPr="003A33BC">
        <w:rPr>
          <w:rStyle w:val="References"/>
        </w:rPr>
        <w:t>, item</w:t>
      </w:r>
      <w:r w:rsidR="00443064">
        <w:rPr>
          <w:rStyle w:val="References"/>
        </w:rPr>
        <w:t>s 10 and 11</w:t>
      </w:r>
      <w:r w:rsidRPr="003A33BC">
        <w:rPr>
          <w:rStyle w:val="References"/>
        </w:rPr>
        <w:t>, subsection</w:t>
      </w:r>
      <w:r w:rsidR="00443064">
        <w:rPr>
          <w:rStyle w:val="References"/>
        </w:rPr>
        <w:t xml:space="preserve">s </w:t>
      </w:r>
      <w:r w:rsidRPr="003A33BC">
        <w:rPr>
          <w:rStyle w:val="References"/>
        </w:rPr>
        <w:t>798G(5A)</w:t>
      </w:r>
      <w:r w:rsidR="00443064">
        <w:rPr>
          <w:rStyle w:val="References"/>
        </w:rPr>
        <w:t xml:space="preserve"> and (6)</w:t>
      </w:r>
      <w:r w:rsidRPr="003A33BC">
        <w:rPr>
          <w:rStyle w:val="References"/>
        </w:rPr>
        <w:t xml:space="preserve"> of the Act]</w:t>
      </w:r>
    </w:p>
    <w:p w14:paraId="24D5A605" w14:textId="03B36E2B" w:rsidR="003A33BC" w:rsidRPr="003A33BC" w:rsidRDefault="00286C37" w:rsidP="003A33BC">
      <w:pPr>
        <w:pStyle w:val="Normalparatextwithnumbers"/>
      </w:pPr>
      <w:r>
        <w:rPr>
          <w:rStyle w:val="References"/>
          <w:b w:val="0"/>
          <w:bCs w:val="0"/>
          <w:i w:val="0"/>
          <w:iCs w:val="0"/>
        </w:rPr>
        <w:t xml:space="preserve">Whilst a body corporate is under resolution, ASIC must not exercise any powers in respect of an Australian Market </w:t>
      </w:r>
      <w:r w:rsidR="00506CBD">
        <w:rPr>
          <w:rStyle w:val="References"/>
          <w:b w:val="0"/>
          <w:bCs w:val="0"/>
          <w:i w:val="0"/>
          <w:iCs w:val="0"/>
        </w:rPr>
        <w:t>licen</w:t>
      </w:r>
      <w:r w:rsidR="00E207BF">
        <w:rPr>
          <w:rStyle w:val="References"/>
          <w:b w:val="0"/>
          <w:bCs w:val="0"/>
          <w:i w:val="0"/>
          <w:iCs w:val="0"/>
        </w:rPr>
        <w:t>see</w:t>
      </w:r>
      <w:r w:rsidR="00506CBD">
        <w:rPr>
          <w:rStyle w:val="References"/>
          <w:b w:val="0"/>
          <w:bCs w:val="0"/>
          <w:i w:val="0"/>
          <w:iCs w:val="0"/>
        </w:rPr>
        <w:t xml:space="preserve"> </w:t>
      </w:r>
      <w:r>
        <w:rPr>
          <w:rStyle w:val="References"/>
          <w:b w:val="0"/>
          <w:bCs w:val="0"/>
          <w:i w:val="0"/>
          <w:iCs w:val="0"/>
        </w:rPr>
        <w:t xml:space="preserve">or CS facility </w:t>
      </w:r>
      <w:r w:rsidR="00506CBD">
        <w:rPr>
          <w:rStyle w:val="References"/>
          <w:b w:val="0"/>
          <w:bCs w:val="0"/>
          <w:i w:val="0"/>
          <w:iCs w:val="0"/>
        </w:rPr>
        <w:t>licen</w:t>
      </w:r>
      <w:r w:rsidR="00E207BF">
        <w:rPr>
          <w:rStyle w:val="References"/>
          <w:b w:val="0"/>
          <w:bCs w:val="0"/>
          <w:i w:val="0"/>
          <w:iCs w:val="0"/>
        </w:rPr>
        <w:t>see</w:t>
      </w:r>
      <w:r w:rsidR="00506CBD">
        <w:rPr>
          <w:rStyle w:val="References"/>
          <w:b w:val="0"/>
          <w:bCs w:val="0"/>
          <w:i w:val="0"/>
          <w:iCs w:val="0"/>
        </w:rPr>
        <w:t xml:space="preserve"> </w:t>
      </w:r>
      <w:r w:rsidR="00506CBD" w:rsidRPr="00506CBD">
        <w:rPr>
          <w:rStyle w:val="References"/>
          <w:b w:val="0"/>
          <w:bCs w:val="0"/>
          <w:i w:val="0"/>
          <w:iCs w:val="0"/>
        </w:rPr>
        <w:t xml:space="preserve">that have clearing or settlement arrangements with the </w:t>
      </w:r>
      <w:r w:rsidR="00506CBD">
        <w:rPr>
          <w:rStyle w:val="References"/>
          <w:b w:val="0"/>
          <w:bCs w:val="0"/>
          <w:i w:val="0"/>
          <w:iCs w:val="0"/>
        </w:rPr>
        <w:t>CS facility licensee</w:t>
      </w:r>
      <w:r w:rsidR="00506CBD" w:rsidRPr="00506CBD">
        <w:rPr>
          <w:rStyle w:val="References"/>
          <w:b w:val="0"/>
          <w:bCs w:val="0"/>
          <w:i w:val="0"/>
          <w:iCs w:val="0"/>
        </w:rPr>
        <w:t xml:space="preserve"> that is subject to the crisis powers.</w:t>
      </w:r>
      <w:r w:rsidR="00506CBD">
        <w:rPr>
          <w:rStyle w:val="References"/>
          <w:b w:val="0"/>
          <w:bCs w:val="0"/>
          <w:i w:val="0"/>
          <w:iCs w:val="0"/>
        </w:rPr>
        <w:t xml:space="preserve"> </w:t>
      </w:r>
      <w:r>
        <w:rPr>
          <w:rStyle w:val="References"/>
          <w:b w:val="0"/>
          <w:bCs w:val="0"/>
          <w:i w:val="0"/>
          <w:iCs w:val="0"/>
        </w:rPr>
        <w:t xml:space="preserve">without </w:t>
      </w:r>
      <w:r w:rsidR="003A33BC" w:rsidRPr="003A33BC">
        <w:rPr>
          <w:rStyle w:val="References"/>
          <w:b w:val="0"/>
          <w:bCs w:val="0"/>
          <w:i w:val="0"/>
          <w:iCs w:val="0"/>
        </w:rPr>
        <w:t>receiv</w:t>
      </w:r>
      <w:r>
        <w:rPr>
          <w:rStyle w:val="References"/>
          <w:b w:val="0"/>
          <w:bCs w:val="0"/>
          <w:i w:val="0"/>
          <w:iCs w:val="0"/>
        </w:rPr>
        <w:t>ing</w:t>
      </w:r>
      <w:r w:rsidR="003A33BC" w:rsidRPr="003A33BC">
        <w:rPr>
          <w:rStyle w:val="References"/>
          <w:b w:val="0"/>
          <w:bCs w:val="0"/>
          <w:i w:val="0"/>
          <w:iCs w:val="0"/>
        </w:rPr>
        <w:t xml:space="preserve"> </w:t>
      </w:r>
      <w:r w:rsidR="00F31598">
        <w:rPr>
          <w:rStyle w:val="References"/>
          <w:b w:val="0"/>
          <w:bCs w:val="0"/>
          <w:i w:val="0"/>
          <w:iCs w:val="0"/>
        </w:rPr>
        <w:t xml:space="preserve">a request or </w:t>
      </w:r>
      <w:r w:rsidR="00506CBD">
        <w:rPr>
          <w:rStyle w:val="References"/>
          <w:b w:val="0"/>
          <w:bCs w:val="0"/>
          <w:i w:val="0"/>
          <w:iCs w:val="0"/>
        </w:rPr>
        <w:t xml:space="preserve">written </w:t>
      </w:r>
      <w:r w:rsidR="003A33BC" w:rsidRPr="003A33BC">
        <w:rPr>
          <w:rStyle w:val="References"/>
          <w:b w:val="0"/>
          <w:bCs w:val="0"/>
          <w:i w:val="0"/>
          <w:iCs w:val="0"/>
        </w:rPr>
        <w:t>consent from the RBA</w:t>
      </w:r>
      <w:r>
        <w:rPr>
          <w:rStyle w:val="References"/>
          <w:b w:val="0"/>
          <w:bCs w:val="0"/>
          <w:i w:val="0"/>
          <w:iCs w:val="0"/>
        </w:rPr>
        <w:t xml:space="preserve"> to exercise those powers</w:t>
      </w:r>
      <w:r w:rsidR="003A33BC" w:rsidRPr="003A33BC">
        <w:rPr>
          <w:rStyle w:val="References"/>
          <w:b w:val="0"/>
          <w:bCs w:val="0"/>
          <w:i w:val="0"/>
          <w:iCs w:val="0"/>
        </w:rPr>
        <w:t xml:space="preserve">. </w:t>
      </w:r>
      <w:r w:rsidR="00F31598">
        <w:rPr>
          <w:rStyle w:val="References"/>
          <w:b w:val="0"/>
          <w:bCs w:val="0"/>
          <w:i w:val="0"/>
          <w:iCs w:val="0"/>
        </w:rPr>
        <w:t xml:space="preserve">This includes making rules, giving advice or a direction to the licensee, </w:t>
      </w:r>
      <w:r w:rsidR="0024600B">
        <w:rPr>
          <w:rStyle w:val="References"/>
          <w:b w:val="0"/>
          <w:bCs w:val="0"/>
          <w:i w:val="0"/>
          <w:iCs w:val="0"/>
        </w:rPr>
        <w:t>or an act under the regulations.</w:t>
      </w:r>
      <w:r w:rsidR="00F31598">
        <w:rPr>
          <w:rStyle w:val="References"/>
          <w:b w:val="0"/>
          <w:bCs w:val="0"/>
          <w:i w:val="0"/>
          <w:iCs w:val="0"/>
        </w:rPr>
        <w:t xml:space="preserve"> </w:t>
      </w:r>
      <w:r w:rsidR="003A33BC" w:rsidRPr="003A33BC">
        <w:rPr>
          <w:rStyle w:val="References"/>
          <w:b w:val="0"/>
          <w:bCs w:val="0"/>
          <w:i w:val="0"/>
          <w:iCs w:val="0"/>
        </w:rPr>
        <w:br/>
      </w:r>
      <w:r w:rsidR="003A33BC" w:rsidRPr="003A33BC">
        <w:rPr>
          <w:rStyle w:val="References"/>
        </w:rPr>
        <w:t xml:space="preserve">[Schedule </w:t>
      </w:r>
      <w:r w:rsidR="00320AEF">
        <w:rPr>
          <w:rStyle w:val="References"/>
        </w:rPr>
        <w:t>1</w:t>
      </w:r>
      <w:r w:rsidR="003A33BC" w:rsidRPr="003A33BC">
        <w:rPr>
          <w:rStyle w:val="References"/>
        </w:rPr>
        <w:t xml:space="preserve">, </w:t>
      </w:r>
      <w:r w:rsidR="00C568C9">
        <w:rPr>
          <w:rStyle w:val="References"/>
        </w:rPr>
        <w:t>item 14</w:t>
      </w:r>
      <w:r w:rsidR="003A33BC" w:rsidRPr="003A33BC">
        <w:rPr>
          <w:rStyle w:val="References"/>
        </w:rPr>
        <w:t xml:space="preserve">, section </w:t>
      </w:r>
      <w:r w:rsidR="00443064">
        <w:rPr>
          <w:rStyle w:val="References"/>
        </w:rPr>
        <w:t>849C</w:t>
      </w:r>
      <w:r w:rsidR="003A33BC" w:rsidRPr="003A33BC">
        <w:rPr>
          <w:rStyle w:val="References"/>
        </w:rPr>
        <w:t xml:space="preserve"> of the Act]</w:t>
      </w:r>
    </w:p>
    <w:p w14:paraId="478B15D3" w14:textId="6D5AD10A" w:rsidR="0018602C" w:rsidRPr="0018602C" w:rsidRDefault="0018602C" w:rsidP="0018602C">
      <w:pPr>
        <w:pStyle w:val="Normalparatextwithnumbers"/>
        <w:rPr>
          <w:rStyle w:val="References"/>
          <w:b w:val="0"/>
          <w:bCs w:val="0"/>
          <w:i w:val="0"/>
          <w:iCs w:val="0"/>
        </w:rPr>
      </w:pPr>
      <w:r w:rsidRPr="0018602C">
        <w:rPr>
          <w:rStyle w:val="References"/>
          <w:b w:val="0"/>
          <w:bCs w:val="0"/>
          <w:i w:val="0"/>
          <w:iCs w:val="0"/>
        </w:rPr>
        <w:lastRenderedPageBreak/>
        <w:t xml:space="preserve">These provisions are intended to allow for control over </w:t>
      </w:r>
      <w:r w:rsidR="006540BB">
        <w:rPr>
          <w:rStyle w:val="References"/>
          <w:b w:val="0"/>
          <w:bCs w:val="0"/>
          <w:i w:val="0"/>
          <w:iCs w:val="0"/>
        </w:rPr>
        <w:t>CS facilities</w:t>
      </w:r>
      <w:r w:rsidRPr="0018602C">
        <w:rPr>
          <w:rStyle w:val="References"/>
          <w:b w:val="0"/>
          <w:bCs w:val="0"/>
          <w:i w:val="0"/>
          <w:iCs w:val="0"/>
        </w:rPr>
        <w:t xml:space="preserve"> that is necessary for the success of resol</w:t>
      </w:r>
      <w:r w:rsidR="006540BB">
        <w:rPr>
          <w:rStyle w:val="References"/>
          <w:b w:val="0"/>
          <w:bCs w:val="0"/>
          <w:i w:val="0"/>
          <w:iCs w:val="0"/>
        </w:rPr>
        <w:t xml:space="preserve">ving distressed body corporates. Further, the regulatory interaction </w:t>
      </w:r>
      <w:r w:rsidRPr="0018602C">
        <w:rPr>
          <w:rStyle w:val="References"/>
          <w:b w:val="0"/>
          <w:bCs w:val="0"/>
          <w:i w:val="0"/>
          <w:iCs w:val="0"/>
        </w:rPr>
        <w:t>ensure</w:t>
      </w:r>
      <w:r w:rsidR="006540BB">
        <w:rPr>
          <w:rStyle w:val="References"/>
          <w:b w:val="0"/>
          <w:bCs w:val="0"/>
          <w:i w:val="0"/>
          <w:iCs w:val="0"/>
        </w:rPr>
        <w:t>s</w:t>
      </w:r>
      <w:r w:rsidRPr="0018602C">
        <w:rPr>
          <w:rStyle w:val="References"/>
          <w:b w:val="0"/>
          <w:bCs w:val="0"/>
          <w:i w:val="0"/>
          <w:iCs w:val="0"/>
        </w:rPr>
        <w:t xml:space="preserve"> close coordination between ASIC and the RBA over </w:t>
      </w:r>
      <w:r w:rsidR="006540BB">
        <w:rPr>
          <w:rStyle w:val="References"/>
          <w:b w:val="0"/>
          <w:bCs w:val="0"/>
          <w:i w:val="0"/>
          <w:iCs w:val="0"/>
        </w:rPr>
        <w:t xml:space="preserve">any </w:t>
      </w:r>
      <w:r w:rsidRPr="0018602C">
        <w:rPr>
          <w:rStyle w:val="References"/>
          <w:b w:val="0"/>
          <w:bCs w:val="0"/>
          <w:i w:val="0"/>
          <w:iCs w:val="0"/>
        </w:rPr>
        <w:t xml:space="preserve">actions </w:t>
      </w:r>
      <w:r w:rsidR="006540BB">
        <w:rPr>
          <w:rStyle w:val="References"/>
          <w:b w:val="0"/>
          <w:bCs w:val="0"/>
          <w:i w:val="0"/>
          <w:iCs w:val="0"/>
        </w:rPr>
        <w:t>with respect to</w:t>
      </w:r>
      <w:r w:rsidRPr="0018602C">
        <w:rPr>
          <w:rStyle w:val="References"/>
          <w:b w:val="0"/>
          <w:bCs w:val="0"/>
          <w:i w:val="0"/>
          <w:iCs w:val="0"/>
        </w:rPr>
        <w:t xml:space="preserve"> CS facilities. </w:t>
      </w:r>
    </w:p>
    <w:p w14:paraId="0CA0F679" w14:textId="3B5FA956" w:rsidR="0018602C" w:rsidRPr="003A33BC" w:rsidRDefault="0018602C" w:rsidP="0018602C">
      <w:pPr>
        <w:pStyle w:val="Normalparatextwithnumbers"/>
        <w:rPr>
          <w:rStyle w:val="References"/>
          <w:b w:val="0"/>
          <w:bCs w:val="0"/>
          <w:i w:val="0"/>
          <w:iCs w:val="0"/>
        </w:rPr>
      </w:pPr>
      <w:r w:rsidRPr="0018602C">
        <w:rPr>
          <w:rStyle w:val="References"/>
          <w:b w:val="0"/>
          <w:bCs w:val="0"/>
          <w:i w:val="0"/>
          <w:iCs w:val="0"/>
        </w:rPr>
        <w:t xml:space="preserve">In the unlikely event that ASIC </w:t>
      </w:r>
      <w:r w:rsidR="00113C2B">
        <w:rPr>
          <w:rStyle w:val="References"/>
          <w:b w:val="0"/>
          <w:bCs w:val="0"/>
          <w:i w:val="0"/>
          <w:iCs w:val="0"/>
        </w:rPr>
        <w:t>continues</w:t>
      </w:r>
      <w:r w:rsidRPr="0018602C">
        <w:rPr>
          <w:rStyle w:val="References"/>
          <w:b w:val="0"/>
          <w:bCs w:val="0"/>
          <w:i w:val="0"/>
          <w:iCs w:val="0"/>
        </w:rPr>
        <w:t xml:space="preserve"> to exercise a relevant power after the RBA has provided reasons</w:t>
      </w:r>
      <w:r w:rsidR="00113C2B">
        <w:rPr>
          <w:rStyle w:val="References"/>
          <w:b w:val="0"/>
          <w:bCs w:val="0"/>
          <w:i w:val="0"/>
          <w:iCs w:val="0"/>
        </w:rPr>
        <w:t xml:space="preserve"> with the </w:t>
      </w:r>
      <w:r w:rsidRPr="0018602C">
        <w:rPr>
          <w:rStyle w:val="References"/>
          <w:b w:val="0"/>
          <w:bCs w:val="0"/>
          <w:i w:val="0"/>
          <w:iCs w:val="0"/>
        </w:rPr>
        <w:t>object</w:t>
      </w:r>
      <w:r w:rsidR="00113C2B">
        <w:rPr>
          <w:rStyle w:val="References"/>
          <w:b w:val="0"/>
          <w:bCs w:val="0"/>
          <w:i w:val="0"/>
          <w:iCs w:val="0"/>
        </w:rPr>
        <w:t>ion, then</w:t>
      </w:r>
      <w:r w:rsidRPr="0018602C">
        <w:rPr>
          <w:rStyle w:val="References"/>
          <w:b w:val="0"/>
          <w:bCs w:val="0"/>
          <w:i w:val="0"/>
          <w:iCs w:val="0"/>
        </w:rPr>
        <w:t xml:space="preserve"> ASIC may escalate the matter to the Treasurer</w:t>
      </w:r>
      <w:r w:rsidR="00113C2B">
        <w:rPr>
          <w:rStyle w:val="References"/>
          <w:b w:val="0"/>
          <w:bCs w:val="0"/>
          <w:i w:val="0"/>
          <w:iCs w:val="0"/>
        </w:rPr>
        <w:t xml:space="preserve">, who will decide the most appropriate </w:t>
      </w:r>
      <w:r w:rsidR="00113C2B" w:rsidRPr="003A33BC">
        <w:rPr>
          <w:rStyle w:val="References"/>
          <w:b w:val="0"/>
          <w:bCs w:val="0"/>
          <w:i w:val="0"/>
          <w:iCs w:val="0"/>
        </w:rPr>
        <w:t>action</w:t>
      </w:r>
      <w:r w:rsidRPr="003A33BC">
        <w:rPr>
          <w:rStyle w:val="References"/>
          <w:b w:val="0"/>
          <w:bCs w:val="0"/>
          <w:i w:val="0"/>
          <w:iCs w:val="0"/>
        </w:rPr>
        <w:t>.</w:t>
      </w:r>
      <w:bookmarkEnd w:id="46"/>
    </w:p>
    <w:p w14:paraId="24A9DC7B" w14:textId="04D4FCAD" w:rsidR="008719EA" w:rsidRPr="00D10880" w:rsidRDefault="008719EA" w:rsidP="00D10880">
      <w:pPr>
        <w:pStyle w:val="Exampleindent"/>
        <w:ind w:left="0"/>
        <w:rPr>
          <w:rStyle w:val="References"/>
        </w:rPr>
        <w:sectPr w:rsidR="008719EA" w:rsidRPr="00D10880" w:rsidSect="00844FD4">
          <w:headerReference w:type="even" r:id="rId22"/>
          <w:headerReference w:type="default" r:id="rId23"/>
          <w:footerReference w:type="even" r:id="rId24"/>
          <w:footerReference w:type="default" r:id="rId25"/>
          <w:headerReference w:type="first" r:id="rId26"/>
          <w:footerReference w:type="first" r:id="rId27"/>
          <w:type w:val="oddPage"/>
          <w:pgSz w:w="9979" w:h="14175" w:code="9"/>
          <w:pgMar w:top="567" w:right="1134" w:bottom="567" w:left="1134" w:header="709" w:footer="709" w:gutter="0"/>
          <w:cols w:space="708"/>
          <w:titlePg/>
          <w:docGrid w:linePitch="360"/>
        </w:sectPr>
      </w:pPr>
    </w:p>
    <w:p w14:paraId="237C2CE2" w14:textId="21A3DF23" w:rsidR="00844FD4" w:rsidRPr="0073326A" w:rsidRDefault="00127CB5">
      <w:pPr>
        <w:pStyle w:val="Chapterheading"/>
        <w:rPr>
          <w:rFonts w:hint="eastAsia"/>
        </w:rPr>
      </w:pPr>
      <w:bookmarkStart w:id="71" w:name="_Ref142042888"/>
      <w:bookmarkStart w:id="72" w:name="_Toc152860441"/>
      <w:r>
        <w:lastRenderedPageBreak/>
        <w:t xml:space="preserve">FMI Reform </w:t>
      </w:r>
      <w:r w:rsidR="00C82AC2">
        <w:t>–</w:t>
      </w:r>
      <w:r>
        <w:t xml:space="preserve"> </w:t>
      </w:r>
      <w:r w:rsidR="00C82AC2">
        <w:t xml:space="preserve">Crisis prevention </w:t>
      </w:r>
      <w:r w:rsidR="00E8341F">
        <w:t>(RBA powers)</w:t>
      </w:r>
      <w:bookmarkEnd w:id="71"/>
      <w:bookmarkEnd w:id="72"/>
    </w:p>
    <w:p w14:paraId="430C873D" w14:textId="2BE65F25" w:rsidR="00844FD4" w:rsidRDefault="00E65F54">
      <w:pPr>
        <w:rPr>
          <w:rFonts w:ascii="Helvitica" w:hAnsi="Helvitica"/>
          <w:sz w:val="40"/>
        </w:rPr>
      </w:pPr>
      <w:bookmarkStart w:id="73" w:name="Chapter2"/>
      <w:r>
        <w:rPr>
          <w:rFonts w:ascii="Helvitica" w:hAnsi="Helvitica"/>
          <w:sz w:val="40"/>
        </w:rPr>
        <w:t xml:space="preserve">Table of Contents: </w:t>
      </w:r>
    </w:p>
    <w:p w14:paraId="0530DBB4" w14:textId="376F3EAC" w:rsidR="00EC134D" w:rsidRDefault="00E65F54">
      <w:pPr>
        <w:pStyle w:val="TOC2"/>
        <w:rPr>
          <w:rFonts w:asciiTheme="minorHAnsi" w:eastAsiaTheme="minorEastAsia" w:hAnsiTheme="minorHAnsi"/>
          <w:sz w:val="22"/>
          <w:lang w:eastAsia="en-AU"/>
        </w:rPr>
      </w:pPr>
      <w:r>
        <w:fldChar w:fldCharType="begin"/>
      </w:r>
      <w:r>
        <w:instrText xml:space="preserve"> TOC \o "1-3" \z  \B Chapter2</w:instrText>
      </w:r>
      <w:r>
        <w:fldChar w:fldCharType="separate"/>
      </w:r>
      <w:r w:rsidR="00EC134D">
        <w:t>Outline of chapter</w:t>
      </w:r>
      <w:r w:rsidR="00EC134D">
        <w:rPr>
          <w:webHidden/>
        </w:rPr>
        <w:tab/>
      </w:r>
      <w:r w:rsidR="00EC134D">
        <w:rPr>
          <w:webHidden/>
        </w:rPr>
        <w:fldChar w:fldCharType="begin"/>
      </w:r>
      <w:r w:rsidR="00EC134D">
        <w:rPr>
          <w:webHidden/>
        </w:rPr>
        <w:instrText xml:space="preserve"> PAGEREF _Toc152860453 \h </w:instrText>
      </w:r>
      <w:r w:rsidR="00EC134D">
        <w:rPr>
          <w:webHidden/>
        </w:rPr>
      </w:r>
      <w:r w:rsidR="00EC134D">
        <w:rPr>
          <w:webHidden/>
        </w:rPr>
        <w:fldChar w:fldCharType="separate"/>
      </w:r>
      <w:r w:rsidR="0028259D">
        <w:rPr>
          <w:webHidden/>
        </w:rPr>
        <w:t>59</w:t>
      </w:r>
      <w:r w:rsidR="00EC134D">
        <w:rPr>
          <w:webHidden/>
        </w:rPr>
        <w:fldChar w:fldCharType="end"/>
      </w:r>
    </w:p>
    <w:p w14:paraId="3E692A8F" w14:textId="1A3ECF83" w:rsidR="00EC134D" w:rsidRDefault="00EC134D">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_Toc152860454 \h </w:instrText>
      </w:r>
      <w:r>
        <w:rPr>
          <w:webHidden/>
        </w:rPr>
      </w:r>
      <w:r>
        <w:rPr>
          <w:webHidden/>
        </w:rPr>
        <w:fldChar w:fldCharType="separate"/>
      </w:r>
      <w:r w:rsidR="0028259D">
        <w:rPr>
          <w:webHidden/>
        </w:rPr>
        <w:t>59</w:t>
      </w:r>
      <w:r>
        <w:rPr>
          <w:webHidden/>
        </w:rPr>
        <w:fldChar w:fldCharType="end"/>
      </w:r>
    </w:p>
    <w:p w14:paraId="63928331" w14:textId="2F53118B" w:rsidR="00EC134D" w:rsidRDefault="00EC134D">
      <w:pPr>
        <w:pStyle w:val="TOC2"/>
        <w:rPr>
          <w:rFonts w:asciiTheme="minorHAnsi" w:eastAsiaTheme="minorEastAsia" w:hAnsiTheme="minorHAnsi"/>
          <w:sz w:val="22"/>
          <w:lang w:eastAsia="en-AU"/>
        </w:rPr>
      </w:pPr>
      <w:r>
        <w:t>Summary of new law</w:t>
      </w:r>
      <w:r>
        <w:rPr>
          <w:webHidden/>
        </w:rPr>
        <w:tab/>
      </w:r>
      <w:r>
        <w:rPr>
          <w:webHidden/>
        </w:rPr>
        <w:fldChar w:fldCharType="begin"/>
      </w:r>
      <w:r>
        <w:rPr>
          <w:webHidden/>
        </w:rPr>
        <w:instrText xml:space="preserve"> PAGEREF _Toc152860455 \h </w:instrText>
      </w:r>
      <w:r>
        <w:rPr>
          <w:webHidden/>
        </w:rPr>
      </w:r>
      <w:r>
        <w:rPr>
          <w:webHidden/>
        </w:rPr>
        <w:fldChar w:fldCharType="separate"/>
      </w:r>
      <w:r w:rsidR="0028259D">
        <w:rPr>
          <w:webHidden/>
        </w:rPr>
        <w:t>60</w:t>
      </w:r>
      <w:r>
        <w:rPr>
          <w:webHidden/>
        </w:rPr>
        <w:fldChar w:fldCharType="end"/>
      </w:r>
    </w:p>
    <w:p w14:paraId="06BFE770" w14:textId="21A73BA4" w:rsidR="00EC134D" w:rsidRDefault="00EC134D">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_Toc152860456 \h </w:instrText>
      </w:r>
      <w:r>
        <w:rPr>
          <w:webHidden/>
        </w:rPr>
      </w:r>
      <w:r>
        <w:rPr>
          <w:webHidden/>
        </w:rPr>
        <w:fldChar w:fldCharType="separate"/>
      </w:r>
      <w:r w:rsidR="0028259D">
        <w:rPr>
          <w:webHidden/>
        </w:rPr>
        <w:t>61</w:t>
      </w:r>
      <w:r>
        <w:rPr>
          <w:webHidden/>
        </w:rPr>
        <w:fldChar w:fldCharType="end"/>
      </w:r>
    </w:p>
    <w:p w14:paraId="0B1E781A" w14:textId="68A6C141" w:rsidR="00EC134D" w:rsidRDefault="00EC134D">
      <w:pPr>
        <w:pStyle w:val="TOC3"/>
        <w:rPr>
          <w:rFonts w:asciiTheme="minorHAnsi" w:eastAsiaTheme="minorEastAsia" w:hAnsiTheme="minorHAnsi" w:cstheme="minorBidi"/>
          <w:iCs w:val="0"/>
          <w:noProof/>
          <w:sz w:val="22"/>
          <w:szCs w:val="22"/>
          <w:lang w:eastAsia="en-AU"/>
        </w:rPr>
      </w:pPr>
      <w:r>
        <w:rPr>
          <w:noProof/>
        </w:rPr>
        <w:t>Notification obligations</w:t>
      </w:r>
      <w:r>
        <w:rPr>
          <w:noProof/>
          <w:webHidden/>
        </w:rPr>
        <w:tab/>
      </w:r>
      <w:r>
        <w:rPr>
          <w:noProof/>
          <w:webHidden/>
        </w:rPr>
        <w:fldChar w:fldCharType="begin"/>
      </w:r>
      <w:r>
        <w:rPr>
          <w:noProof/>
          <w:webHidden/>
        </w:rPr>
        <w:instrText xml:space="preserve"> PAGEREF _Toc152860457 \h </w:instrText>
      </w:r>
      <w:r>
        <w:rPr>
          <w:noProof/>
          <w:webHidden/>
        </w:rPr>
      </w:r>
      <w:r>
        <w:rPr>
          <w:noProof/>
          <w:webHidden/>
        </w:rPr>
        <w:fldChar w:fldCharType="separate"/>
      </w:r>
      <w:r w:rsidR="0028259D">
        <w:rPr>
          <w:noProof/>
          <w:webHidden/>
        </w:rPr>
        <w:t>61</w:t>
      </w:r>
      <w:r>
        <w:rPr>
          <w:noProof/>
          <w:webHidden/>
        </w:rPr>
        <w:fldChar w:fldCharType="end"/>
      </w:r>
    </w:p>
    <w:p w14:paraId="2AF22AB4" w14:textId="1782E5A3" w:rsidR="00EC134D" w:rsidRDefault="00EC134D">
      <w:pPr>
        <w:pStyle w:val="TOC3"/>
        <w:rPr>
          <w:rFonts w:asciiTheme="minorHAnsi" w:eastAsiaTheme="minorEastAsia" w:hAnsiTheme="minorHAnsi" w:cstheme="minorBidi"/>
          <w:iCs w:val="0"/>
          <w:noProof/>
          <w:sz w:val="22"/>
          <w:szCs w:val="22"/>
          <w:lang w:eastAsia="en-AU"/>
        </w:rPr>
      </w:pPr>
      <w:r>
        <w:rPr>
          <w:noProof/>
        </w:rPr>
        <w:t>Directions</w:t>
      </w:r>
      <w:r>
        <w:rPr>
          <w:noProof/>
          <w:webHidden/>
        </w:rPr>
        <w:tab/>
      </w:r>
      <w:r>
        <w:rPr>
          <w:noProof/>
          <w:webHidden/>
        </w:rPr>
        <w:fldChar w:fldCharType="begin"/>
      </w:r>
      <w:r>
        <w:rPr>
          <w:noProof/>
          <w:webHidden/>
        </w:rPr>
        <w:instrText xml:space="preserve"> PAGEREF _Toc152860458 \h </w:instrText>
      </w:r>
      <w:r>
        <w:rPr>
          <w:noProof/>
          <w:webHidden/>
        </w:rPr>
      </w:r>
      <w:r>
        <w:rPr>
          <w:noProof/>
          <w:webHidden/>
        </w:rPr>
        <w:fldChar w:fldCharType="separate"/>
      </w:r>
      <w:r w:rsidR="0028259D">
        <w:rPr>
          <w:noProof/>
          <w:webHidden/>
        </w:rPr>
        <w:t>64</w:t>
      </w:r>
      <w:r>
        <w:rPr>
          <w:noProof/>
          <w:webHidden/>
        </w:rPr>
        <w:fldChar w:fldCharType="end"/>
      </w:r>
    </w:p>
    <w:p w14:paraId="275D0A24" w14:textId="7000F089" w:rsidR="00EC134D" w:rsidRDefault="00EC134D">
      <w:pPr>
        <w:pStyle w:val="TOC3"/>
        <w:rPr>
          <w:rFonts w:asciiTheme="minorHAnsi" w:eastAsiaTheme="minorEastAsia" w:hAnsiTheme="minorHAnsi" w:cstheme="minorBidi"/>
          <w:iCs w:val="0"/>
          <w:noProof/>
          <w:sz w:val="22"/>
          <w:szCs w:val="22"/>
          <w:lang w:eastAsia="en-AU"/>
        </w:rPr>
      </w:pPr>
      <w:r>
        <w:rPr>
          <w:noProof/>
        </w:rPr>
        <w:t>Resolvability standards</w:t>
      </w:r>
      <w:r>
        <w:rPr>
          <w:noProof/>
          <w:webHidden/>
        </w:rPr>
        <w:tab/>
      </w:r>
      <w:r>
        <w:rPr>
          <w:noProof/>
          <w:webHidden/>
        </w:rPr>
        <w:fldChar w:fldCharType="begin"/>
      </w:r>
      <w:r>
        <w:rPr>
          <w:noProof/>
          <w:webHidden/>
        </w:rPr>
        <w:instrText xml:space="preserve"> PAGEREF _Toc152860459 \h </w:instrText>
      </w:r>
      <w:r>
        <w:rPr>
          <w:noProof/>
          <w:webHidden/>
        </w:rPr>
      </w:r>
      <w:r>
        <w:rPr>
          <w:noProof/>
          <w:webHidden/>
        </w:rPr>
        <w:fldChar w:fldCharType="separate"/>
      </w:r>
      <w:r w:rsidR="0028259D">
        <w:rPr>
          <w:noProof/>
          <w:webHidden/>
        </w:rPr>
        <w:t>71</w:t>
      </w:r>
      <w:r>
        <w:rPr>
          <w:noProof/>
          <w:webHidden/>
        </w:rPr>
        <w:fldChar w:fldCharType="end"/>
      </w:r>
    </w:p>
    <w:p w14:paraId="375ADD3F" w14:textId="226D9C2C" w:rsidR="00EC134D" w:rsidRDefault="00EC134D">
      <w:pPr>
        <w:pStyle w:val="TOC3"/>
        <w:rPr>
          <w:rFonts w:asciiTheme="minorHAnsi" w:eastAsiaTheme="minorEastAsia" w:hAnsiTheme="minorHAnsi" w:cstheme="minorBidi"/>
          <w:iCs w:val="0"/>
          <w:noProof/>
          <w:sz w:val="22"/>
          <w:szCs w:val="22"/>
          <w:lang w:eastAsia="en-AU"/>
        </w:rPr>
      </w:pPr>
      <w:r>
        <w:rPr>
          <w:noProof/>
        </w:rPr>
        <w:t>Other powers</w:t>
      </w:r>
      <w:r>
        <w:rPr>
          <w:noProof/>
          <w:webHidden/>
        </w:rPr>
        <w:tab/>
      </w:r>
      <w:r>
        <w:rPr>
          <w:noProof/>
          <w:webHidden/>
        </w:rPr>
        <w:fldChar w:fldCharType="begin"/>
      </w:r>
      <w:r>
        <w:rPr>
          <w:noProof/>
          <w:webHidden/>
        </w:rPr>
        <w:instrText xml:space="preserve"> PAGEREF _Toc152860460 \h </w:instrText>
      </w:r>
      <w:r>
        <w:rPr>
          <w:noProof/>
          <w:webHidden/>
        </w:rPr>
      </w:r>
      <w:r>
        <w:rPr>
          <w:noProof/>
          <w:webHidden/>
        </w:rPr>
        <w:fldChar w:fldCharType="separate"/>
      </w:r>
      <w:r w:rsidR="0028259D">
        <w:rPr>
          <w:noProof/>
          <w:webHidden/>
        </w:rPr>
        <w:t>75</w:t>
      </w:r>
      <w:r>
        <w:rPr>
          <w:noProof/>
          <w:webHidden/>
        </w:rPr>
        <w:fldChar w:fldCharType="end"/>
      </w:r>
    </w:p>
    <w:p w14:paraId="33E68F62" w14:textId="284A26D9" w:rsidR="00EC134D" w:rsidRDefault="00EC134D">
      <w:pPr>
        <w:pStyle w:val="TOC2"/>
        <w:rPr>
          <w:rFonts w:asciiTheme="minorHAnsi" w:eastAsiaTheme="minorEastAsia" w:hAnsiTheme="minorHAnsi"/>
          <w:sz w:val="22"/>
          <w:lang w:eastAsia="en-AU"/>
        </w:rPr>
      </w:pPr>
      <w:r>
        <w:t>Consequential amendments</w:t>
      </w:r>
      <w:r>
        <w:rPr>
          <w:webHidden/>
        </w:rPr>
        <w:tab/>
      </w:r>
      <w:r>
        <w:rPr>
          <w:webHidden/>
        </w:rPr>
        <w:fldChar w:fldCharType="begin"/>
      </w:r>
      <w:r>
        <w:rPr>
          <w:webHidden/>
        </w:rPr>
        <w:instrText xml:space="preserve"> PAGEREF _Toc152860461 \h </w:instrText>
      </w:r>
      <w:r>
        <w:rPr>
          <w:webHidden/>
        </w:rPr>
      </w:r>
      <w:r>
        <w:rPr>
          <w:webHidden/>
        </w:rPr>
        <w:fldChar w:fldCharType="separate"/>
      </w:r>
      <w:r w:rsidR="0028259D">
        <w:rPr>
          <w:webHidden/>
        </w:rPr>
        <w:t>75</w:t>
      </w:r>
      <w:r>
        <w:rPr>
          <w:webHidden/>
        </w:rPr>
        <w:fldChar w:fldCharType="end"/>
      </w:r>
    </w:p>
    <w:p w14:paraId="2F175FBF" w14:textId="6FB66158" w:rsidR="00EC134D" w:rsidRDefault="00EC134D">
      <w:pPr>
        <w:pStyle w:val="TOC2"/>
        <w:rPr>
          <w:rFonts w:asciiTheme="minorHAnsi" w:eastAsiaTheme="minorEastAsia" w:hAnsiTheme="minorHAnsi"/>
          <w:sz w:val="22"/>
          <w:lang w:eastAsia="en-AU"/>
        </w:rPr>
      </w:pPr>
      <w:r>
        <w:t>Commencement, application, and transitional provisions</w:t>
      </w:r>
      <w:r>
        <w:rPr>
          <w:webHidden/>
        </w:rPr>
        <w:tab/>
      </w:r>
      <w:r>
        <w:rPr>
          <w:webHidden/>
        </w:rPr>
        <w:fldChar w:fldCharType="begin"/>
      </w:r>
      <w:r>
        <w:rPr>
          <w:webHidden/>
        </w:rPr>
        <w:instrText xml:space="preserve"> PAGEREF _Toc152860462 \h </w:instrText>
      </w:r>
      <w:r>
        <w:rPr>
          <w:webHidden/>
        </w:rPr>
      </w:r>
      <w:r>
        <w:rPr>
          <w:webHidden/>
        </w:rPr>
        <w:fldChar w:fldCharType="separate"/>
      </w:r>
      <w:r w:rsidR="0028259D">
        <w:rPr>
          <w:webHidden/>
        </w:rPr>
        <w:t>76</w:t>
      </w:r>
      <w:r>
        <w:rPr>
          <w:webHidden/>
        </w:rPr>
        <w:fldChar w:fldCharType="end"/>
      </w:r>
    </w:p>
    <w:p w14:paraId="3FDCE4AF" w14:textId="2EC0DE41" w:rsidR="00E65F54" w:rsidRPr="00020288" w:rsidRDefault="00E65F54" w:rsidP="00E65F54">
      <w:r>
        <w:fldChar w:fldCharType="end"/>
      </w:r>
    </w:p>
    <w:p w14:paraId="6EB6D1EA" w14:textId="77777777" w:rsidR="00844FD4" w:rsidRPr="00020288" w:rsidRDefault="00844FD4">
      <w:pPr>
        <w:pStyle w:val="Heading2"/>
        <w:rPr>
          <w:rFonts w:hint="eastAsia"/>
        </w:rPr>
      </w:pPr>
      <w:bookmarkStart w:id="74" w:name="_Toc152860453"/>
      <w:r w:rsidRPr="00020288">
        <w:t xml:space="preserve">Outline </w:t>
      </w:r>
      <w:r w:rsidRPr="005D0844">
        <w:t>of</w:t>
      </w:r>
      <w:r w:rsidRPr="00020288">
        <w:t xml:space="preserve"> chapter</w:t>
      </w:r>
      <w:bookmarkEnd w:id="74"/>
    </w:p>
    <w:p w14:paraId="7B2FF8C1" w14:textId="48661DE6" w:rsidR="002B3482" w:rsidRPr="002B3482" w:rsidRDefault="0040567B" w:rsidP="00125C2C">
      <w:pPr>
        <w:pStyle w:val="Normalparatextwithnumbers"/>
      </w:pPr>
      <w:r>
        <w:t>Schedul</w:t>
      </w:r>
      <w:r w:rsidR="003A0A21">
        <w:t>es 1 and 2</w:t>
      </w:r>
      <w:r>
        <w:t xml:space="preserve"> provide t</w:t>
      </w:r>
      <w:r w:rsidR="002B3482">
        <w:t xml:space="preserve">he RBA </w:t>
      </w:r>
      <w:r w:rsidR="00FC79A1">
        <w:t xml:space="preserve">with </w:t>
      </w:r>
      <w:r w:rsidR="00653497">
        <w:t xml:space="preserve">enforcement powers with respect to its role in </w:t>
      </w:r>
      <w:r>
        <w:t xml:space="preserve">supervising </w:t>
      </w:r>
      <w:r w:rsidR="00B60DF7">
        <w:t xml:space="preserve">CS </w:t>
      </w:r>
      <w:r>
        <w:t>facilities</w:t>
      </w:r>
      <w:r w:rsidR="00336E01">
        <w:t xml:space="preserve"> to mitigate the risk of a crisis occurring</w:t>
      </w:r>
      <w:r>
        <w:t xml:space="preserve">. </w:t>
      </w:r>
    </w:p>
    <w:p w14:paraId="64CFB61D" w14:textId="77777777" w:rsidR="005A0C00" w:rsidRPr="000E521B" w:rsidRDefault="005A0C00" w:rsidP="00AD1047">
      <w:pPr>
        <w:pStyle w:val="Normalparatextwithnumbers"/>
      </w:pPr>
      <w:r w:rsidRPr="00B110F1">
        <w:t xml:space="preserve">All legislative references </w:t>
      </w:r>
      <w:r>
        <w:t>in this chapter</w:t>
      </w:r>
      <w:r w:rsidRPr="00B110F1">
        <w:t xml:space="preserve"> are to the Corporations Act </w:t>
      </w:r>
      <w:r>
        <w:t xml:space="preserve">unless otherwise stated. </w:t>
      </w:r>
      <w:r w:rsidRPr="00C663AB">
        <w:t>Further, all references to “domestic CS facility licensee” in this chapter are references to a body corporate registered under Chapter 2A who is granted an Australian CS facility licence unless the contrary intention appears.</w:t>
      </w:r>
      <w:r>
        <w:t xml:space="preserve"> </w:t>
      </w:r>
    </w:p>
    <w:p w14:paraId="051E27EB" w14:textId="77777777" w:rsidR="00844FD4" w:rsidRPr="00020288" w:rsidRDefault="00844FD4">
      <w:pPr>
        <w:pStyle w:val="Heading2"/>
        <w:rPr>
          <w:rFonts w:hint="eastAsia"/>
        </w:rPr>
      </w:pPr>
      <w:bookmarkStart w:id="75" w:name="_Toc152860454"/>
      <w:r w:rsidRPr="00020288">
        <w:t xml:space="preserve">Context of </w:t>
      </w:r>
      <w:r w:rsidRPr="005D0844">
        <w:t>amendments</w:t>
      </w:r>
      <w:bookmarkEnd w:id="75"/>
    </w:p>
    <w:p w14:paraId="65D31F07" w14:textId="2E4F3F97" w:rsidR="00D10274" w:rsidRDefault="00D10274" w:rsidP="00125C2C">
      <w:pPr>
        <w:pStyle w:val="Normalparatextwithnumbers"/>
      </w:pPr>
      <w:r>
        <w:t xml:space="preserve">The regulation of CS facilities is shared between ASIC and the RBA, where: </w:t>
      </w:r>
    </w:p>
    <w:p w14:paraId="3398C773" w14:textId="61667529" w:rsidR="00D10274" w:rsidRDefault="00D10274" w:rsidP="00D10274">
      <w:pPr>
        <w:pStyle w:val="Dotpoint1"/>
      </w:pPr>
      <w:r>
        <w:t>ASIC is responsible for l</w:t>
      </w:r>
      <w:r w:rsidRPr="003A77EC">
        <w:t>icen</w:t>
      </w:r>
      <w:r w:rsidR="006C70A3">
        <w:t>sing</w:t>
      </w:r>
      <w:r w:rsidRPr="003A77EC">
        <w:t xml:space="preserve"> and compliance obligations</w:t>
      </w:r>
      <w:r>
        <w:t xml:space="preserve"> of licensees; and </w:t>
      </w:r>
    </w:p>
    <w:p w14:paraId="654E9D04" w14:textId="2F9E128B" w:rsidR="00D10274" w:rsidRDefault="00D10274" w:rsidP="00D10274">
      <w:pPr>
        <w:pStyle w:val="Dotpoint1"/>
      </w:pPr>
      <w:r>
        <w:t xml:space="preserve">the RBA is responsible for maintaining the stability of Australia’s financial system by determining the </w:t>
      </w:r>
      <w:r w:rsidRPr="003A77EC">
        <w:t xml:space="preserve">Financial Stability Standards and assessing whether </w:t>
      </w:r>
      <w:r w:rsidRPr="003A77EC">
        <w:lastRenderedPageBreak/>
        <w:t>licensees have complied with the F</w:t>
      </w:r>
      <w:r w:rsidR="00DE2427">
        <w:t>in</w:t>
      </w:r>
      <w:r w:rsidR="00E25F99">
        <w:t>ancial Stability Standards</w:t>
      </w:r>
      <w:r w:rsidRPr="003A77EC">
        <w:t xml:space="preserve"> and taken other necessary steps to reduce systemic ris</w:t>
      </w:r>
      <w:r w:rsidR="007C12BA">
        <w:t>k</w:t>
      </w:r>
      <w:r>
        <w:t xml:space="preserve">. </w:t>
      </w:r>
    </w:p>
    <w:p w14:paraId="59908440" w14:textId="6D65151D" w:rsidR="00D10274" w:rsidRDefault="00D10274" w:rsidP="00D10274">
      <w:pPr>
        <w:pStyle w:val="Normalparatextwithnumbers"/>
      </w:pPr>
      <w:r>
        <w:t>To achieve this the RBA</w:t>
      </w:r>
      <w:r w:rsidRPr="005F2231">
        <w:t xml:space="preserve"> </w:t>
      </w:r>
      <w:r>
        <w:t xml:space="preserve">has </w:t>
      </w:r>
      <w:r w:rsidRPr="005F2231">
        <w:t>a role in mitigating the risk of financial disturbances with potentially systemic consequences, and in responding i</w:t>
      </w:r>
      <w:r>
        <w:t>f such a</w:t>
      </w:r>
      <w:r w:rsidRPr="005F2231">
        <w:t xml:space="preserve"> disturbance does occur.</w:t>
      </w:r>
      <w:r>
        <w:t xml:space="preserve"> This role involves</w:t>
      </w:r>
      <w:r w:rsidRPr="005F2231">
        <w:t xml:space="preserve"> monitoring </w:t>
      </w:r>
      <w:r>
        <w:t>CS</w:t>
      </w:r>
      <w:r w:rsidRPr="005F2231">
        <w:t xml:space="preserve"> </w:t>
      </w:r>
      <w:r>
        <w:t>facilities</w:t>
      </w:r>
      <w:r w:rsidRPr="005F2231">
        <w:t xml:space="preserve"> and </w:t>
      </w:r>
      <w:r>
        <w:t xml:space="preserve">providing </w:t>
      </w:r>
      <w:r w:rsidRPr="005F2231">
        <w:t>advi</w:t>
      </w:r>
      <w:r>
        <w:t>ce</w:t>
      </w:r>
      <w:r w:rsidRPr="005F2231">
        <w:t xml:space="preserve"> on emerging stress in these </w:t>
      </w:r>
      <w:r>
        <w:t>facilities</w:t>
      </w:r>
      <w:r w:rsidRPr="005F2231">
        <w:t xml:space="preserve">. </w:t>
      </w:r>
    </w:p>
    <w:p w14:paraId="1AF88D79" w14:textId="5B3ACF48" w:rsidR="002B3482" w:rsidRDefault="002B3482" w:rsidP="00AD1047">
      <w:pPr>
        <w:pStyle w:val="Normalparatextwithnumbers"/>
      </w:pPr>
      <w:r>
        <w:t xml:space="preserve">The RBA currently does not have any enforcement powers to require CS facilities to take actions to promote financial stability. The amendments equip the RBA with enforcement powers in line with their objective of promoting financial system stability. </w:t>
      </w:r>
    </w:p>
    <w:p w14:paraId="4C582E47" w14:textId="6737F61D" w:rsidR="002B3482" w:rsidRPr="000E521B" w:rsidRDefault="002B3482" w:rsidP="00AD1047">
      <w:pPr>
        <w:pStyle w:val="Normalparatextwithnumbers"/>
      </w:pPr>
      <w:r>
        <w:t xml:space="preserve">ASIC will continue to </w:t>
      </w:r>
      <w:r w:rsidR="000541EB">
        <w:t>supervise and oversee</w:t>
      </w:r>
      <w:r w:rsidDel="000541EB">
        <w:t xml:space="preserve"> </w:t>
      </w:r>
      <w:r>
        <w:t>CS facility license</w:t>
      </w:r>
      <w:r w:rsidR="00290511">
        <w:t>e</w:t>
      </w:r>
      <w:r>
        <w:t>s and will have enhanced supervisory powers in line with their role in regulatory oversight</w:t>
      </w:r>
      <w:r w:rsidR="00B24DF5">
        <w:t>. G</w:t>
      </w:r>
      <w:r>
        <w:t>iven the co</w:t>
      </w:r>
      <w:r w:rsidR="00D10274">
        <w:noBreakHyphen/>
      </w:r>
      <w:r>
        <w:t>regulatory nature of CS facilities</w:t>
      </w:r>
      <w:r w:rsidR="005A7C34">
        <w:t>,</w:t>
      </w:r>
      <w:r>
        <w:t xml:space="preserve"> the amendments clarify </w:t>
      </w:r>
      <w:r w:rsidR="008B1043">
        <w:t xml:space="preserve">and define </w:t>
      </w:r>
      <w:r>
        <w:t xml:space="preserve">the roles of the RBA and ASIC to provide certainty to the market. </w:t>
      </w:r>
    </w:p>
    <w:p w14:paraId="03F05876" w14:textId="670C3011" w:rsidR="00844FD4" w:rsidRPr="00020288" w:rsidRDefault="00844FD4">
      <w:pPr>
        <w:pStyle w:val="Heading2"/>
        <w:rPr>
          <w:rFonts w:hint="eastAsia"/>
        </w:rPr>
      </w:pPr>
      <w:bookmarkStart w:id="76" w:name="_Toc152860455"/>
      <w:r w:rsidRPr="00020288">
        <w:t xml:space="preserve">Summary of </w:t>
      </w:r>
      <w:r w:rsidRPr="005D0844">
        <w:t>new</w:t>
      </w:r>
      <w:r w:rsidRPr="00020288">
        <w:t xml:space="preserve"> law</w:t>
      </w:r>
      <w:bookmarkEnd w:id="76"/>
    </w:p>
    <w:p w14:paraId="6810BAA0" w14:textId="77777777" w:rsidR="00EB6AB8" w:rsidRDefault="009C4495" w:rsidP="00125C2C">
      <w:pPr>
        <w:pStyle w:val="Normalparatextwithnumbers"/>
      </w:pPr>
      <w:r>
        <w:t xml:space="preserve">The RBA will have a suite of </w:t>
      </w:r>
      <w:r w:rsidR="00B55A44">
        <w:t xml:space="preserve">increased </w:t>
      </w:r>
      <w:r>
        <w:t>general powers that may be used at any time</w:t>
      </w:r>
      <w:r w:rsidR="001D658C">
        <w:t xml:space="preserve">. These powers </w:t>
      </w:r>
      <w:r w:rsidR="00A662D2">
        <w:t xml:space="preserve">intend to </w:t>
      </w:r>
      <w:r>
        <w:t>enhance</w:t>
      </w:r>
      <w:r w:rsidR="00A662D2">
        <w:t xml:space="preserve"> </w:t>
      </w:r>
      <w:r>
        <w:t xml:space="preserve">supervision </w:t>
      </w:r>
      <w:r w:rsidR="00A662D2">
        <w:t xml:space="preserve">so the RBA can effectively </w:t>
      </w:r>
      <w:r>
        <w:t xml:space="preserve">prevent a </w:t>
      </w:r>
      <w:r w:rsidDel="00A14BA9">
        <w:t>crisis</w:t>
      </w:r>
      <w:r w:rsidR="00EB6AB8">
        <w:t xml:space="preserve">, including: </w:t>
      </w:r>
    </w:p>
    <w:p w14:paraId="0AA41C60" w14:textId="77777777" w:rsidR="00EB6AB8" w:rsidRDefault="009C4495" w:rsidP="00EB6AB8">
      <w:pPr>
        <w:pStyle w:val="Dotpoint1"/>
      </w:pPr>
      <w:r>
        <w:t xml:space="preserve">imposing notification </w:t>
      </w:r>
      <w:proofErr w:type="gramStart"/>
      <w:r>
        <w:t>requirements</w:t>
      </w:r>
      <w:r w:rsidR="00EB6AB8">
        <w:t>;</w:t>
      </w:r>
      <w:proofErr w:type="gramEnd"/>
      <w:r w:rsidR="00EB6AB8">
        <w:t xml:space="preserve"> </w:t>
      </w:r>
    </w:p>
    <w:p w14:paraId="53276F3C" w14:textId="78AD24A7" w:rsidR="00EB6AB8" w:rsidRDefault="009C4495" w:rsidP="00EB6AB8">
      <w:pPr>
        <w:pStyle w:val="Dotpoint1"/>
      </w:pPr>
      <w:r>
        <w:t xml:space="preserve">issuing directions, </w:t>
      </w:r>
      <w:r w:rsidR="00EB6AB8">
        <w:t>including the power to request</w:t>
      </w:r>
      <w:r>
        <w:t xml:space="preserve"> </w:t>
      </w:r>
      <w:proofErr w:type="gramStart"/>
      <w:r w:rsidR="00EB6AB8">
        <w:t>information;</w:t>
      </w:r>
      <w:proofErr w:type="gramEnd"/>
      <w:r w:rsidR="00EB6AB8">
        <w:t xml:space="preserve"> </w:t>
      </w:r>
    </w:p>
    <w:p w14:paraId="4D203D5A" w14:textId="18800EB5" w:rsidR="00EB6AB8" w:rsidRDefault="009C4495" w:rsidP="00EB6AB8">
      <w:pPr>
        <w:pStyle w:val="Dotpoint1"/>
      </w:pPr>
      <w:r>
        <w:t>resolution planning</w:t>
      </w:r>
      <w:r w:rsidR="00EB6AB8">
        <w:t>;</w:t>
      </w:r>
      <w:r>
        <w:t xml:space="preserve"> and </w:t>
      </w:r>
    </w:p>
    <w:p w14:paraId="148CC64C" w14:textId="65CB8E55" w:rsidR="009C4495" w:rsidRDefault="009C4495" w:rsidP="00EB6AB8">
      <w:pPr>
        <w:pStyle w:val="Dotpoint1"/>
      </w:pPr>
      <w:r>
        <w:t xml:space="preserve">setting resolvability standards. </w:t>
      </w:r>
    </w:p>
    <w:p w14:paraId="356A672F" w14:textId="517D5B07" w:rsidR="009C4495" w:rsidRDefault="009C4495" w:rsidP="009C4495">
      <w:pPr>
        <w:pStyle w:val="Heading6"/>
        <w:rPr>
          <w:rFonts w:hint="eastAsia"/>
        </w:rPr>
      </w:pPr>
      <w:r>
        <w:t xml:space="preserve">Notification requirements </w:t>
      </w:r>
    </w:p>
    <w:p w14:paraId="367E62E3" w14:textId="1820FE2A" w:rsidR="00844FD4" w:rsidRDefault="0042545F" w:rsidP="00E96280">
      <w:pPr>
        <w:pStyle w:val="Normalparatextwithnumbers"/>
      </w:pPr>
      <w:r>
        <w:t>The amendments impose n</w:t>
      </w:r>
      <w:r w:rsidR="009C4495">
        <w:t xml:space="preserve">otification obligations on CS facility licensees to advise the RBA of a material change in circumstances. This has the effect of </w:t>
      </w:r>
      <w:r w:rsidR="00011F88">
        <w:t>increasing the</w:t>
      </w:r>
      <w:r w:rsidR="009C4495">
        <w:t xml:space="preserve"> RBA</w:t>
      </w:r>
      <w:r w:rsidR="00011F88">
        <w:t>’s awareness</w:t>
      </w:r>
      <w:r w:rsidR="009C4495" w:rsidDel="00011F88">
        <w:t xml:space="preserve"> </w:t>
      </w:r>
      <w:r w:rsidR="009C4495">
        <w:t>of potential distressed CS facilities</w:t>
      </w:r>
      <w:r w:rsidR="006C714B">
        <w:t xml:space="preserve"> and</w:t>
      </w:r>
      <w:r w:rsidR="001307DB">
        <w:t xml:space="preserve"> mitigating</w:t>
      </w:r>
      <w:r w:rsidR="009C4495">
        <w:t xml:space="preserve"> the risk of a crisis materialising.  </w:t>
      </w:r>
    </w:p>
    <w:p w14:paraId="39E3D05A" w14:textId="77777777" w:rsidR="009C4495" w:rsidRDefault="009C4495" w:rsidP="008731D6">
      <w:pPr>
        <w:pStyle w:val="Heading6"/>
        <w:rPr>
          <w:rFonts w:hint="eastAsia"/>
        </w:rPr>
      </w:pPr>
      <w:r>
        <w:t xml:space="preserve">Directions </w:t>
      </w:r>
    </w:p>
    <w:p w14:paraId="72FE891A" w14:textId="689DD7C8" w:rsidR="00EB6AB8" w:rsidRDefault="0040643F" w:rsidP="00125C2C">
      <w:pPr>
        <w:pStyle w:val="Normalparatextwithnumbers"/>
      </w:pPr>
      <w:r>
        <w:t>T</w:t>
      </w:r>
      <w:r w:rsidR="009C4495">
        <w:t xml:space="preserve">he RBA </w:t>
      </w:r>
      <w:r>
        <w:t xml:space="preserve">will be equipped with </w:t>
      </w:r>
      <w:r w:rsidR="009F25C6">
        <w:t xml:space="preserve">pre-crisis </w:t>
      </w:r>
      <w:r>
        <w:t xml:space="preserve">direction powers </w:t>
      </w:r>
      <w:r w:rsidR="009C4495">
        <w:t>t</w:t>
      </w:r>
      <w:r w:rsidR="00EB6AB8">
        <w:t xml:space="preserve">hat </w:t>
      </w:r>
      <w:r w:rsidR="60BC1297">
        <w:t>aim</w:t>
      </w:r>
      <w:r w:rsidR="041C425E">
        <w:t>s</w:t>
      </w:r>
      <w:r w:rsidR="00EB6AB8">
        <w:t xml:space="preserve"> to</w:t>
      </w:r>
      <w:r w:rsidR="009C4495">
        <w:t xml:space="preserve"> prevent a crisis from crystalising.</w:t>
      </w:r>
      <w:r w:rsidR="008731D6">
        <w:t xml:space="preserve"> </w:t>
      </w:r>
      <w:r w:rsidR="00EB6AB8">
        <w:t xml:space="preserve">Given the co-regulatory nature of CS facilities between the RBA and ASIC, providing a directions power to the RBA clarifies the RBA’s role in </w:t>
      </w:r>
      <w:r w:rsidR="009F25C6">
        <w:t xml:space="preserve">the </w:t>
      </w:r>
      <w:r w:rsidR="00EB6AB8">
        <w:t xml:space="preserve">oversight of CS facilities with respect to financial system stability. </w:t>
      </w:r>
      <w:r w:rsidR="00895F47">
        <w:t>Further, transfer</w:t>
      </w:r>
      <w:r w:rsidR="006C714B">
        <w:t>ring the Ministerial</w:t>
      </w:r>
      <w:r w:rsidR="00895F47">
        <w:t xml:space="preserve"> directions powers to AS</w:t>
      </w:r>
      <w:r w:rsidR="008061D5">
        <w:t>IC (</w:t>
      </w:r>
      <w:r w:rsidR="00DA33A6">
        <w:t xml:space="preserve">see Schedule 3) </w:t>
      </w:r>
      <w:r w:rsidR="00895F47">
        <w:t>assist</w:t>
      </w:r>
      <w:r w:rsidR="006C714B">
        <w:t>s</w:t>
      </w:r>
      <w:r w:rsidR="00895F47">
        <w:t xml:space="preserve"> in clarifying regulator responsibilities.</w:t>
      </w:r>
      <w:r w:rsidR="00EB6AB8">
        <w:t xml:space="preserve">  </w:t>
      </w:r>
    </w:p>
    <w:p w14:paraId="73BCD872" w14:textId="6A2C0DDA" w:rsidR="009C4495" w:rsidRDefault="00E73039" w:rsidP="00AD1047">
      <w:pPr>
        <w:pStyle w:val="Normalparatextwithnumbers"/>
      </w:pPr>
      <w:r>
        <w:lastRenderedPageBreak/>
        <w:t>In particular, the RBA will have the power to</w:t>
      </w:r>
      <w:r w:rsidR="009F25C6">
        <w:t xml:space="preserve"> </w:t>
      </w:r>
      <w:r w:rsidR="009F25C6" w:rsidRPr="009F25C6">
        <w:t>direct</w:t>
      </w:r>
      <w:r w:rsidR="009F25C6">
        <w:t xml:space="preserve"> a licensee </w:t>
      </w:r>
      <w:r w:rsidR="009F25C6" w:rsidRPr="009F25C6">
        <w:t>to preserve financial stability</w:t>
      </w:r>
      <w:r>
        <w:t xml:space="preserve"> </w:t>
      </w:r>
      <w:r w:rsidR="009F25C6">
        <w:t xml:space="preserve">and issue recapitalisation directions which is accompanied by </w:t>
      </w:r>
      <w:r w:rsidR="00EC71B5">
        <w:t xml:space="preserve">a </w:t>
      </w:r>
      <w:r>
        <w:t xml:space="preserve">request </w:t>
      </w:r>
      <w:r w:rsidR="00EC71B5">
        <w:t xml:space="preserve">to provide </w:t>
      </w:r>
      <w:r>
        <w:t>information from CS facility licensees and related bod</w:t>
      </w:r>
      <w:r w:rsidR="008000B4">
        <w:t>ies</w:t>
      </w:r>
      <w:r>
        <w:t xml:space="preserve"> corporate. The information gathering power enables the RBA to request information to fulfill any of its functions, including resolution planning. </w:t>
      </w:r>
      <w:r w:rsidR="008731D6">
        <w:t xml:space="preserve"> </w:t>
      </w:r>
    </w:p>
    <w:p w14:paraId="2EC87FC2" w14:textId="76B5E293" w:rsidR="009C4495" w:rsidRDefault="009C4495" w:rsidP="008731D6">
      <w:pPr>
        <w:pStyle w:val="Heading6"/>
        <w:rPr>
          <w:rFonts w:hint="eastAsia"/>
        </w:rPr>
      </w:pPr>
      <w:r>
        <w:t>Resolution planning</w:t>
      </w:r>
      <w:r w:rsidR="007F2EA6">
        <w:t xml:space="preserve"> and resolvability standards</w:t>
      </w:r>
    </w:p>
    <w:p w14:paraId="5CD9F025" w14:textId="1816914D" w:rsidR="009C4495" w:rsidRDefault="009C4495" w:rsidP="00125C2C">
      <w:pPr>
        <w:pStyle w:val="Normalparatextwithnumbers"/>
      </w:pPr>
      <w:r>
        <w:t xml:space="preserve">In addition to having a wide and flexible set of powers to intervene in a crisis, it is important </w:t>
      </w:r>
      <w:r w:rsidR="0096120E">
        <w:t>that</w:t>
      </w:r>
      <w:r>
        <w:t xml:space="preserve"> the </w:t>
      </w:r>
      <w:r w:rsidR="004D4BAC">
        <w:t>RBA</w:t>
      </w:r>
      <w:r>
        <w:t xml:space="preserve"> has clear powers to </w:t>
      </w:r>
      <w:r w:rsidR="007F2EA6">
        <w:t xml:space="preserve">undertake resolution planning </w:t>
      </w:r>
      <w:r>
        <w:t xml:space="preserve">set appropriate </w:t>
      </w:r>
      <w:r w:rsidR="007F2EA6">
        <w:t xml:space="preserve">resolvability </w:t>
      </w:r>
      <w:r>
        <w:t>standards for resolution planning, and to address potential barriers to the orderly resolution of a CS facility</w:t>
      </w:r>
      <w:r w:rsidR="009F25C6">
        <w:t>.</w:t>
      </w:r>
      <w:r>
        <w:t xml:space="preserve"> </w:t>
      </w:r>
    </w:p>
    <w:p w14:paraId="4B8B3946" w14:textId="77777777" w:rsidR="007F2EA6" w:rsidRPr="00020288" w:rsidRDefault="007F2EA6" w:rsidP="007F2EA6">
      <w:pPr>
        <w:pStyle w:val="Normalparatextwithnumbers"/>
      </w:pPr>
      <w:r>
        <w:t xml:space="preserve">The RBA will be empowered to set resolvability standards that stipulate compliance with requirements and activities for classes of domestic CS facility licensees. The standards ensure that body corporates take actions to address issues concerning their resolvability for resolution purposes. </w:t>
      </w:r>
    </w:p>
    <w:p w14:paraId="12277BD6" w14:textId="119F69DF" w:rsidR="009C4495" w:rsidRDefault="009C4495" w:rsidP="00D10880">
      <w:pPr>
        <w:pStyle w:val="Normalparatextwithnumbers"/>
      </w:pPr>
      <w:r>
        <w:t xml:space="preserve">In a cross-border context, specifically for overseas CS facility licensees, resolution planning will include working with authorities in other jurisdictions to enable resolution actions to be applied in a coordinated manner where appropriate. Without this, there is a risk that the RBA’s resolution powers (and other related provisions throughout) may have reduced effectiveness on a cross-border basis or may conflict with the actions or requirements of authorities in other jurisdictions. Such coordination is consistent with the RBA’s current approach of working closely with supervisors in other jurisdictions in the case of overseas CS </w:t>
      </w:r>
      <w:r w:rsidR="00D3227C">
        <w:t xml:space="preserve">facility </w:t>
      </w:r>
      <w:r>
        <w:t>licensees.</w:t>
      </w:r>
    </w:p>
    <w:p w14:paraId="2FA89C71" w14:textId="77777777" w:rsidR="00844FD4" w:rsidRPr="00020288" w:rsidRDefault="00844FD4" w:rsidP="00844FD4">
      <w:pPr>
        <w:pStyle w:val="Heading2"/>
        <w:rPr>
          <w:rFonts w:hint="eastAsia"/>
        </w:rPr>
      </w:pPr>
      <w:bookmarkStart w:id="77" w:name="_Toc152860456"/>
      <w:r w:rsidRPr="00020288">
        <w:t>Detailed explanation of new law</w:t>
      </w:r>
      <w:bookmarkEnd w:id="77"/>
    </w:p>
    <w:p w14:paraId="1EC38947" w14:textId="539CD6BD" w:rsidR="00C54D28" w:rsidRDefault="00844FD4" w:rsidP="00C54D28">
      <w:pPr>
        <w:pStyle w:val="Heading3"/>
        <w:rPr>
          <w:rFonts w:hint="eastAsia"/>
        </w:rPr>
      </w:pPr>
      <w:bookmarkStart w:id="78" w:name="_Toc152860457"/>
      <w:r>
        <w:t xml:space="preserve">Notification </w:t>
      </w:r>
      <w:r w:rsidR="00C54D28">
        <w:t>obligations</w:t>
      </w:r>
      <w:bookmarkEnd w:id="78"/>
    </w:p>
    <w:p w14:paraId="7DCE57FE" w14:textId="33F9C1F1" w:rsidR="00C54D28" w:rsidRDefault="00C54D28" w:rsidP="00125C2C">
      <w:pPr>
        <w:pStyle w:val="Normalparatextwithnumbers"/>
      </w:pPr>
      <w:r>
        <w:t>In order to prevent a crisis from materialising, the RBA must be notified of certain circumstances to assess whether intervention is required. CS facility licensees and related bodies corporate must notify the RBA of specified events.</w:t>
      </w:r>
    </w:p>
    <w:p w14:paraId="7012B9C9" w14:textId="20F2D2C6" w:rsidR="00C54D28" w:rsidRDefault="00656943" w:rsidP="00656943">
      <w:pPr>
        <w:pStyle w:val="Heading5"/>
      </w:pPr>
      <w:r>
        <w:t>Events the RBA must be notified of</w:t>
      </w:r>
      <w:r w:rsidR="008731D6">
        <w:t xml:space="preserve"> </w:t>
      </w:r>
    </w:p>
    <w:p w14:paraId="196E4072" w14:textId="00EB0741" w:rsidR="00C54D28" w:rsidRDefault="00C54D28" w:rsidP="00125C2C">
      <w:pPr>
        <w:pStyle w:val="Normalparatextwithnumbers"/>
      </w:pPr>
      <w:r>
        <w:t xml:space="preserve">CS facility licensees must notify the </w:t>
      </w:r>
      <w:r w:rsidR="004D4BAC">
        <w:t>RBA</w:t>
      </w:r>
      <w:r>
        <w:t xml:space="preserve"> immediately once they become aware of any changes in their circumstances, including:</w:t>
      </w:r>
    </w:p>
    <w:p w14:paraId="151223E1" w14:textId="5381F8DE" w:rsidR="00C65310" w:rsidRDefault="006C714B" w:rsidP="00B03705">
      <w:pPr>
        <w:pStyle w:val="Dotpoint1"/>
      </w:pPr>
      <w:r>
        <w:t>f</w:t>
      </w:r>
      <w:r w:rsidR="003B5CC8">
        <w:t>ailure</w:t>
      </w:r>
      <w:r>
        <w:t xml:space="preserve">, or likely failure, </w:t>
      </w:r>
      <w:r w:rsidR="003B5CC8">
        <w:t xml:space="preserve">to comply with </w:t>
      </w:r>
      <w:r w:rsidR="006657D0">
        <w:t xml:space="preserve">either </w:t>
      </w:r>
      <w:r w:rsidR="00B03705">
        <w:t xml:space="preserve">the </w:t>
      </w:r>
      <w:r w:rsidR="00F97836">
        <w:t xml:space="preserve">Financial Stability Standards </w:t>
      </w:r>
      <w:r w:rsidR="006657D0">
        <w:t xml:space="preserve">or resolvability </w:t>
      </w:r>
      <w:proofErr w:type="gramStart"/>
      <w:r w:rsidR="006657D0">
        <w:t>standards</w:t>
      </w:r>
      <w:r w:rsidR="003B5CC8">
        <w:t>;</w:t>
      </w:r>
      <w:proofErr w:type="gramEnd"/>
      <w:r w:rsidR="003B5CC8">
        <w:t xml:space="preserve"> </w:t>
      </w:r>
    </w:p>
    <w:p w14:paraId="6723E53D" w14:textId="4DD72D8A" w:rsidR="006657D0" w:rsidRDefault="006657D0" w:rsidP="00C54D28">
      <w:pPr>
        <w:pStyle w:val="Dotpoint1"/>
      </w:pPr>
      <w:r>
        <w:t xml:space="preserve">breaching, or likely to </w:t>
      </w:r>
      <w:r w:rsidR="004D6CEC">
        <w:t>no longer meet</w:t>
      </w:r>
      <w:r>
        <w:t xml:space="preserve">, </w:t>
      </w:r>
      <w:r w:rsidR="004D6CEC">
        <w:t xml:space="preserve">the </w:t>
      </w:r>
      <w:r>
        <w:t xml:space="preserve">obligation to do all things necessary to reduce systemic </w:t>
      </w:r>
      <w:proofErr w:type="gramStart"/>
      <w:r>
        <w:t>risk;</w:t>
      </w:r>
      <w:proofErr w:type="gramEnd"/>
      <w:r>
        <w:t xml:space="preserve"> </w:t>
      </w:r>
    </w:p>
    <w:p w14:paraId="1E062413" w14:textId="7FD705D3" w:rsidR="004D6CEC" w:rsidRDefault="001C2560" w:rsidP="00C54D28">
      <w:pPr>
        <w:pStyle w:val="Dotpoint1"/>
      </w:pPr>
      <w:r>
        <w:lastRenderedPageBreak/>
        <w:t xml:space="preserve">the </w:t>
      </w:r>
      <w:r w:rsidR="004D6CEC">
        <w:t>ability to continue providing critical CS facility services (including where external support is needed or where the entity has ceased, is ceasing or is likely to cease to provide critical CS facility services</w:t>
      </w:r>
      <w:proofErr w:type="gramStart"/>
      <w:r w:rsidR="004D6CEC">
        <w:t>);</w:t>
      </w:r>
      <w:proofErr w:type="gramEnd"/>
      <w:r w:rsidR="004D6CEC">
        <w:t xml:space="preserve"> </w:t>
      </w:r>
    </w:p>
    <w:p w14:paraId="7C8F6F5C" w14:textId="3C353597" w:rsidR="00C54D28" w:rsidRDefault="00C54D28" w:rsidP="00C54D28">
      <w:pPr>
        <w:pStyle w:val="Dotpoint1"/>
      </w:pPr>
      <w:r>
        <w:t xml:space="preserve">financial </w:t>
      </w:r>
      <w:r w:rsidR="004D6CEC">
        <w:t>viability is at risk or likely to be at risk</w:t>
      </w:r>
      <w:r w:rsidR="00B77AE9">
        <w:t xml:space="preserve">, including </w:t>
      </w:r>
      <w:r w:rsidR="00DD73EE">
        <w:t xml:space="preserve">financial viability </w:t>
      </w:r>
      <w:r w:rsidR="001C2560">
        <w:t xml:space="preserve">risk </w:t>
      </w:r>
      <w:r w:rsidR="00DD73EE">
        <w:t xml:space="preserve">in </w:t>
      </w:r>
      <w:r w:rsidR="001C2560">
        <w:t xml:space="preserve">the absence of </w:t>
      </w:r>
      <w:r w:rsidR="00B77AE9">
        <w:t>external support</w:t>
      </w:r>
      <w:r>
        <w:t xml:space="preserve"> (</w:t>
      </w:r>
      <w:r w:rsidR="00DD73EE">
        <w:t xml:space="preserve">for example, </w:t>
      </w:r>
      <w:r>
        <w:t xml:space="preserve">financial obligations that can no longer be met or </w:t>
      </w:r>
      <w:r w:rsidR="00A25C7E">
        <w:t xml:space="preserve">an </w:t>
      </w:r>
      <w:r>
        <w:t xml:space="preserve">intention to suspend payment); </w:t>
      </w:r>
      <w:r w:rsidR="009D4738">
        <w:t>or</w:t>
      </w:r>
    </w:p>
    <w:p w14:paraId="298974CD" w14:textId="6055B819" w:rsidR="009D4738" w:rsidRDefault="009D4738">
      <w:pPr>
        <w:pStyle w:val="Dotpoint1"/>
      </w:pPr>
      <w:r>
        <w:t xml:space="preserve">where a participant has met one or more of the default conditions in the operating rules of the CS </w:t>
      </w:r>
      <w:proofErr w:type="gramStart"/>
      <w:r>
        <w:t>facility, or</w:t>
      </w:r>
      <w:proofErr w:type="gramEnd"/>
      <w:r>
        <w:t xml:space="preserve"> is declared to be in default under those rules. </w:t>
      </w:r>
      <w:r w:rsidR="00E05917">
        <w:br/>
      </w:r>
      <w:r w:rsidR="00E05917" w:rsidRPr="00E05917">
        <w:rPr>
          <w:rStyle w:val="References"/>
        </w:rPr>
        <w:t>[Schedule 1, item 19, section 821BA of the Act]</w:t>
      </w:r>
      <w:r>
        <w:t xml:space="preserve"> </w:t>
      </w:r>
    </w:p>
    <w:p w14:paraId="067B7172" w14:textId="3202FEA6" w:rsidR="009D4738" w:rsidRDefault="002B70CF" w:rsidP="009D4738">
      <w:pPr>
        <w:pStyle w:val="Normalparatextwithnumbers"/>
      </w:pPr>
      <w:r w:rsidRPr="002B70CF">
        <w:t>CS facility licensees and related bodies corporates that are incorporated in Australia</w:t>
      </w:r>
      <w:r w:rsidR="00E05917">
        <w:t>,</w:t>
      </w:r>
      <w:r w:rsidRPr="002B70CF">
        <w:t xml:space="preserve"> must notify the RBA immediately once they become aware of any material changes in their circumstances</w:t>
      </w:r>
      <w:r w:rsidR="0018491F">
        <w:t xml:space="preserve"> that affect</w:t>
      </w:r>
      <w:r w:rsidR="009D4738" w:rsidRPr="009D4738">
        <w:t>:</w:t>
      </w:r>
    </w:p>
    <w:p w14:paraId="795AE181" w14:textId="77777777" w:rsidR="004D6CEC" w:rsidRDefault="00E05917" w:rsidP="00C54D28">
      <w:pPr>
        <w:pStyle w:val="Dotpoint1"/>
      </w:pPr>
      <w:r>
        <w:t>t</w:t>
      </w:r>
      <w:r w:rsidR="004D6CEC">
        <w:t xml:space="preserve">he solvency of the body </w:t>
      </w:r>
      <w:proofErr w:type="gramStart"/>
      <w:r w:rsidR="004D6CEC">
        <w:t>corporate;</w:t>
      </w:r>
      <w:proofErr w:type="gramEnd"/>
      <w:r w:rsidR="004D6CEC">
        <w:t xml:space="preserve"> </w:t>
      </w:r>
    </w:p>
    <w:p w14:paraId="77E89B7B" w14:textId="0BF59C70" w:rsidR="00E05917" w:rsidRDefault="00E05917" w:rsidP="00C54D28">
      <w:pPr>
        <w:pStyle w:val="Dotpoint1"/>
      </w:pPr>
      <w:r>
        <w:t xml:space="preserve">the financial position of the body </w:t>
      </w:r>
      <w:proofErr w:type="gramStart"/>
      <w:r>
        <w:t>corporate;</w:t>
      </w:r>
      <w:proofErr w:type="gramEnd"/>
    </w:p>
    <w:p w14:paraId="4BB10222" w14:textId="16BC3931" w:rsidR="00E05917" w:rsidRDefault="00E05917" w:rsidP="00C54D28">
      <w:pPr>
        <w:pStyle w:val="Dotpoint1"/>
      </w:pPr>
      <w:r>
        <w:t>changes to ownership of greater than 15% in voting power</w:t>
      </w:r>
      <w:r w:rsidR="003C1C77">
        <w:t xml:space="preserve"> (including body corporates that are listed entities</w:t>
      </w:r>
      <w:proofErr w:type="gramStart"/>
      <w:r w:rsidR="003C1C77">
        <w:t>)</w:t>
      </w:r>
      <w:r>
        <w:t>;</w:t>
      </w:r>
      <w:proofErr w:type="gramEnd"/>
    </w:p>
    <w:p w14:paraId="325F71A1" w14:textId="1F247B8F" w:rsidR="004D6CEC" w:rsidRDefault="004D6CEC" w:rsidP="004D6CEC">
      <w:pPr>
        <w:pStyle w:val="Dotpoint1"/>
      </w:pPr>
      <w:r>
        <w:t xml:space="preserve">changes to corporate structure; </w:t>
      </w:r>
      <w:r w:rsidR="0018491F">
        <w:t xml:space="preserve">or </w:t>
      </w:r>
    </w:p>
    <w:p w14:paraId="4FB169BE" w14:textId="7DF414B2" w:rsidR="00C54D28" w:rsidRPr="00BA12C7" w:rsidRDefault="00E05917" w:rsidP="008A40C4">
      <w:pPr>
        <w:pStyle w:val="Dotpoint1"/>
        <w:rPr>
          <w:rStyle w:val="References"/>
          <w:b w:val="0"/>
          <w:i w:val="0"/>
        </w:rPr>
      </w:pPr>
      <w:r>
        <w:t>the provision of one or more</w:t>
      </w:r>
      <w:r w:rsidR="0018491F">
        <w:t xml:space="preserve"> CS facilities that are critical</w:t>
      </w:r>
      <w:r w:rsidR="00C54D28">
        <w:t xml:space="preserve"> to </w:t>
      </w:r>
      <w:r w:rsidR="0018491F">
        <w:t xml:space="preserve">the functioning of the financial system. </w:t>
      </w:r>
      <w:r w:rsidR="00E65F54">
        <w:br/>
      </w:r>
      <w:r w:rsidR="00E65F54" w:rsidRPr="00E65F54">
        <w:rPr>
          <w:rStyle w:val="References"/>
        </w:rPr>
        <w:t>[</w:t>
      </w:r>
      <w:r w:rsidR="00A93424">
        <w:rPr>
          <w:rStyle w:val="References"/>
        </w:rPr>
        <w:t xml:space="preserve">Schedule </w:t>
      </w:r>
      <w:r w:rsidR="00C2491C">
        <w:rPr>
          <w:rStyle w:val="References"/>
        </w:rPr>
        <w:t>1</w:t>
      </w:r>
      <w:r w:rsidR="00E65F54" w:rsidRPr="00E65F54">
        <w:rPr>
          <w:rStyle w:val="References"/>
        </w:rPr>
        <w:t>, item</w:t>
      </w:r>
      <w:r w:rsidR="008A40C4">
        <w:rPr>
          <w:rStyle w:val="References"/>
        </w:rPr>
        <w:t xml:space="preserve"> </w:t>
      </w:r>
      <w:r w:rsidR="00C112DB">
        <w:rPr>
          <w:rStyle w:val="References"/>
        </w:rPr>
        <w:t>21</w:t>
      </w:r>
      <w:r w:rsidR="00E65F54" w:rsidRPr="00E65F54">
        <w:rPr>
          <w:rStyle w:val="References"/>
        </w:rPr>
        <w:t>, section</w:t>
      </w:r>
      <w:r w:rsidR="00262BED">
        <w:rPr>
          <w:rStyle w:val="References"/>
        </w:rPr>
        <w:t>s</w:t>
      </w:r>
      <w:r w:rsidR="00E65F54" w:rsidRPr="00E65F54">
        <w:rPr>
          <w:rStyle w:val="References"/>
        </w:rPr>
        <w:t xml:space="preserve"> </w:t>
      </w:r>
      <w:r w:rsidR="00262BED">
        <w:rPr>
          <w:rStyle w:val="References"/>
        </w:rPr>
        <w:t>821</w:t>
      </w:r>
      <w:r w:rsidR="001E326C">
        <w:rPr>
          <w:rStyle w:val="References"/>
        </w:rPr>
        <w:t>H</w:t>
      </w:r>
      <w:r w:rsidR="00262BED">
        <w:rPr>
          <w:rStyle w:val="References"/>
        </w:rPr>
        <w:t xml:space="preserve"> and 821J </w:t>
      </w:r>
      <w:r w:rsidR="00E65F54" w:rsidRPr="00E65F54">
        <w:rPr>
          <w:rStyle w:val="References"/>
        </w:rPr>
        <w:t xml:space="preserve">of the </w:t>
      </w:r>
      <w:r w:rsidR="000E7C19">
        <w:rPr>
          <w:rStyle w:val="References"/>
        </w:rPr>
        <w:t>Act</w:t>
      </w:r>
      <w:r w:rsidR="00E65F54" w:rsidRPr="00E65F54">
        <w:rPr>
          <w:rStyle w:val="References"/>
        </w:rPr>
        <w:t>]</w:t>
      </w:r>
    </w:p>
    <w:p w14:paraId="7EBD0FFF" w14:textId="5D88BCA4" w:rsidR="00C54D28" w:rsidRDefault="00C86154" w:rsidP="00AD1047">
      <w:pPr>
        <w:pStyle w:val="Normalparatextwithnumbers"/>
      </w:pPr>
      <w:r>
        <w:t xml:space="preserve">A </w:t>
      </w:r>
      <w:r w:rsidR="00C54D28">
        <w:t xml:space="preserve">CS facility licensee or related body corporate </w:t>
      </w:r>
      <w:r>
        <w:t xml:space="preserve">that is incorporated in Australia must provide the RBA with immediate written notification </w:t>
      </w:r>
      <w:r w:rsidR="00E41AAB">
        <w:t>if it intends to</w:t>
      </w:r>
      <w:r w:rsidR="00C54D28">
        <w:t xml:space="preserve">: </w:t>
      </w:r>
    </w:p>
    <w:p w14:paraId="361BB0A9" w14:textId="49481C69" w:rsidR="00C54D28" w:rsidRDefault="00C54D28" w:rsidP="00C54D28">
      <w:pPr>
        <w:pStyle w:val="Dotpoint1"/>
      </w:pPr>
      <w:r>
        <w:t>ent</w:t>
      </w:r>
      <w:r w:rsidR="00EE1C10">
        <w:t>er</w:t>
      </w:r>
      <w:r>
        <w:t xml:space="preserve"> into an agreement or arrangement for the sale or disposal of any of its shares or shares of a holding company (this </w:t>
      </w:r>
      <w:r w:rsidR="00136760">
        <w:t>doe</w:t>
      </w:r>
      <w:r>
        <w:t>s not prevent the normal trading of shares in a listed entity); or</w:t>
      </w:r>
    </w:p>
    <w:p w14:paraId="5F550328" w14:textId="065C4E3A" w:rsidR="00C54D28" w:rsidRDefault="00C86154" w:rsidP="00C54D28">
      <w:pPr>
        <w:pStyle w:val="Dotpoint1"/>
      </w:pPr>
      <w:r>
        <w:t xml:space="preserve">propose a scheme, develop a plan or </w:t>
      </w:r>
      <w:proofErr w:type="gramStart"/>
      <w:r>
        <w:t>enter into</w:t>
      </w:r>
      <w:proofErr w:type="gramEnd"/>
      <w:r>
        <w:t xml:space="preserve"> a transaction to </w:t>
      </w:r>
      <w:r w:rsidR="00C54D28">
        <w:t>restructur</w:t>
      </w:r>
      <w:r w:rsidR="00EE1C10">
        <w:t>e</w:t>
      </w:r>
      <w:r w:rsidR="00C54D28">
        <w:t xml:space="preserve"> or reconstruct</w:t>
      </w:r>
      <w:r w:rsidR="00C54D28" w:rsidDel="00EE1C10">
        <w:t xml:space="preserve"> </w:t>
      </w:r>
      <w:r w:rsidR="00C54D28">
        <w:t>the CS facility licensee or related body corporate.</w:t>
      </w:r>
      <w:r w:rsidR="00262BED">
        <w:br/>
      </w:r>
      <w:r w:rsidR="00262BED" w:rsidRPr="00262BED">
        <w:rPr>
          <w:rStyle w:val="References"/>
        </w:rPr>
        <w:t xml:space="preserve">[Schedule </w:t>
      </w:r>
      <w:r w:rsidR="00C2491C">
        <w:rPr>
          <w:rStyle w:val="References"/>
        </w:rPr>
        <w:t>1</w:t>
      </w:r>
      <w:r w:rsidR="00262BED" w:rsidRPr="00262BED">
        <w:rPr>
          <w:rStyle w:val="References"/>
        </w:rPr>
        <w:t xml:space="preserve">, item </w:t>
      </w:r>
      <w:r w:rsidR="004B7FE7">
        <w:rPr>
          <w:rStyle w:val="References"/>
        </w:rPr>
        <w:t>21</w:t>
      </w:r>
      <w:r w:rsidR="00211B7D" w:rsidRPr="00262BED">
        <w:rPr>
          <w:rStyle w:val="References"/>
        </w:rPr>
        <w:t xml:space="preserve">, </w:t>
      </w:r>
      <w:r w:rsidR="00262BED" w:rsidRPr="00262BED">
        <w:rPr>
          <w:rStyle w:val="References"/>
        </w:rPr>
        <w:t>section</w:t>
      </w:r>
      <w:r w:rsidR="00A053E7">
        <w:rPr>
          <w:rStyle w:val="References"/>
        </w:rPr>
        <w:t>s</w:t>
      </w:r>
      <w:r w:rsidR="00262BED" w:rsidRPr="00262BED">
        <w:rPr>
          <w:rStyle w:val="References"/>
        </w:rPr>
        <w:t xml:space="preserve"> 821</w:t>
      </w:r>
      <w:r w:rsidR="00262BED">
        <w:rPr>
          <w:rStyle w:val="References"/>
        </w:rPr>
        <w:t>H</w:t>
      </w:r>
      <w:r w:rsidR="00262BED" w:rsidRPr="00262BED">
        <w:rPr>
          <w:rStyle w:val="References"/>
        </w:rPr>
        <w:t xml:space="preserve"> </w:t>
      </w:r>
      <w:r w:rsidR="00A053E7">
        <w:rPr>
          <w:rStyle w:val="References"/>
        </w:rPr>
        <w:t xml:space="preserve">and </w:t>
      </w:r>
      <w:r w:rsidR="000D4AD3" w:rsidRPr="00262BED">
        <w:rPr>
          <w:rStyle w:val="References"/>
        </w:rPr>
        <w:t>821</w:t>
      </w:r>
      <w:r w:rsidR="000D4AD3">
        <w:rPr>
          <w:rStyle w:val="References"/>
        </w:rPr>
        <w:t>J</w:t>
      </w:r>
      <w:r w:rsidR="000D4AD3" w:rsidRPr="00262BED">
        <w:rPr>
          <w:rStyle w:val="References"/>
        </w:rPr>
        <w:t xml:space="preserve"> </w:t>
      </w:r>
      <w:r w:rsidR="00262BED" w:rsidRPr="00262BED">
        <w:rPr>
          <w:rStyle w:val="References"/>
        </w:rPr>
        <w:t>of the Act]</w:t>
      </w:r>
    </w:p>
    <w:p w14:paraId="3AC213F6" w14:textId="1E31A904" w:rsidR="001E326C" w:rsidRDefault="001E326C" w:rsidP="001D341C">
      <w:pPr>
        <w:pStyle w:val="Normalparatextwithnumbers"/>
      </w:pPr>
      <w:r w:rsidRPr="001E326C">
        <w:t xml:space="preserve">If the body corporate proposes to do a recapitalisation </w:t>
      </w:r>
      <w:proofErr w:type="gramStart"/>
      <w:r w:rsidRPr="001E326C">
        <w:t>act, or</w:t>
      </w:r>
      <w:proofErr w:type="gramEnd"/>
      <w:r w:rsidRPr="001E326C">
        <w:t xml:space="preserve"> develop a scheme or plan to restructure or reconstruction and does not provide written notice, then the act is invalid. However, the body corporate </w:t>
      </w:r>
      <w:proofErr w:type="gramStart"/>
      <w:r w:rsidRPr="001E326C">
        <w:t>has the opportunity to</w:t>
      </w:r>
      <w:proofErr w:type="gramEnd"/>
      <w:r w:rsidRPr="001E326C">
        <w:t xml:space="preserve"> write to the RBA to have the contravention disregarded. It is at the discretion of the RBA if it is considered appropriate to agree to disregard the contravention.</w:t>
      </w:r>
      <w:r>
        <w:t xml:space="preserve"> If the RBA agrees to disregard the contravention, the act will be valid and have effect. </w:t>
      </w:r>
      <w:r>
        <w:br/>
      </w:r>
      <w:r w:rsidRPr="001E326C">
        <w:rPr>
          <w:rStyle w:val="References"/>
        </w:rPr>
        <w:t>[</w:t>
      </w:r>
      <w:r>
        <w:rPr>
          <w:rStyle w:val="References"/>
        </w:rPr>
        <w:t>Schedule 1, item 21, subsection</w:t>
      </w:r>
      <w:r w:rsidR="000C2366">
        <w:rPr>
          <w:rStyle w:val="References"/>
        </w:rPr>
        <w:t>s</w:t>
      </w:r>
      <w:r>
        <w:rPr>
          <w:rStyle w:val="References"/>
        </w:rPr>
        <w:t xml:space="preserve"> 821</w:t>
      </w:r>
      <w:proofErr w:type="gramStart"/>
      <w:r>
        <w:rPr>
          <w:rStyle w:val="References"/>
        </w:rPr>
        <w:t>H(</w:t>
      </w:r>
      <w:proofErr w:type="gramEnd"/>
      <w:r>
        <w:rPr>
          <w:rStyle w:val="References"/>
        </w:rPr>
        <w:t>2)</w:t>
      </w:r>
      <w:r w:rsidR="00E34747">
        <w:rPr>
          <w:rStyle w:val="References"/>
        </w:rPr>
        <w:t xml:space="preserve">, (3), (4) and </w:t>
      </w:r>
      <w:r>
        <w:rPr>
          <w:rStyle w:val="References"/>
        </w:rPr>
        <w:t>(5) of the Act</w:t>
      </w:r>
    </w:p>
    <w:p w14:paraId="5165EBA3" w14:textId="7179F285" w:rsidR="001D341C" w:rsidRDefault="006F2EA7" w:rsidP="001D341C">
      <w:pPr>
        <w:pStyle w:val="Normalparatextwithnumbers"/>
      </w:pPr>
      <w:r w:rsidRPr="006F2EA7">
        <w:lastRenderedPageBreak/>
        <w:t xml:space="preserve">Domestic CS facility licensees and related bodies corporate </w:t>
      </w:r>
      <w:r>
        <w:t xml:space="preserve">provide </w:t>
      </w:r>
      <w:r w:rsidRPr="00AF1BD1">
        <w:t>the R</w:t>
      </w:r>
      <w:r>
        <w:t>B</w:t>
      </w:r>
      <w:r w:rsidRPr="00AF1BD1">
        <w:t xml:space="preserve">A </w:t>
      </w:r>
      <w:r>
        <w:t xml:space="preserve">at least seven </w:t>
      </w:r>
      <w:r w:rsidR="007C2BF6">
        <w:t>days’ notice</w:t>
      </w:r>
      <w:r>
        <w:t xml:space="preserve"> that an external administrator is to be appointed. The appointment of an external administrator indicates a potential default event and could trigger a termination right which has the potential to jeopardise the continuity of critical CS facility services. The prior notification offers the RBA the opportunity to understand the circumstances and to take appropriate and timely action. </w:t>
      </w:r>
      <w:r>
        <w:br/>
      </w:r>
      <w:r w:rsidR="001D341C" w:rsidRPr="00BA12C7">
        <w:rPr>
          <w:rStyle w:val="References"/>
        </w:rPr>
        <w:t xml:space="preserve">[Schedule </w:t>
      </w:r>
      <w:r w:rsidR="00C2491C">
        <w:rPr>
          <w:rStyle w:val="References"/>
        </w:rPr>
        <w:t>1</w:t>
      </w:r>
      <w:r w:rsidR="001D341C" w:rsidRPr="00BA12C7">
        <w:rPr>
          <w:rStyle w:val="References"/>
        </w:rPr>
        <w:t xml:space="preserve">, item </w:t>
      </w:r>
      <w:r w:rsidR="004B7FE7">
        <w:rPr>
          <w:rStyle w:val="References"/>
        </w:rPr>
        <w:t>21</w:t>
      </w:r>
      <w:r w:rsidR="001D341C" w:rsidRPr="00BA12C7">
        <w:rPr>
          <w:rStyle w:val="References"/>
        </w:rPr>
        <w:t xml:space="preserve">, </w:t>
      </w:r>
      <w:r>
        <w:rPr>
          <w:rStyle w:val="References"/>
        </w:rPr>
        <w:t>sub</w:t>
      </w:r>
      <w:r w:rsidR="001D341C" w:rsidRPr="00BA12C7">
        <w:rPr>
          <w:rStyle w:val="References"/>
        </w:rPr>
        <w:t>section 821</w:t>
      </w:r>
      <w:proofErr w:type="gramStart"/>
      <w:r w:rsidR="001D341C" w:rsidRPr="00BA12C7">
        <w:rPr>
          <w:rStyle w:val="References"/>
        </w:rPr>
        <w:t>K</w:t>
      </w:r>
      <w:r>
        <w:rPr>
          <w:rStyle w:val="References"/>
        </w:rPr>
        <w:t>(</w:t>
      </w:r>
      <w:proofErr w:type="gramEnd"/>
      <w:r>
        <w:rPr>
          <w:rStyle w:val="References"/>
        </w:rPr>
        <w:t>1)</w:t>
      </w:r>
      <w:r w:rsidR="001D341C" w:rsidRPr="00BA12C7">
        <w:rPr>
          <w:rStyle w:val="References"/>
        </w:rPr>
        <w:t xml:space="preserve"> of the Act]</w:t>
      </w:r>
      <w:r w:rsidR="001D341C">
        <w:t xml:space="preserve"> </w:t>
      </w:r>
    </w:p>
    <w:p w14:paraId="35F5B827" w14:textId="31EC350B" w:rsidR="006F2EA7" w:rsidRDefault="006F2EA7" w:rsidP="001D341C">
      <w:pPr>
        <w:pStyle w:val="Normalparatextwithnumbers"/>
      </w:pPr>
      <w:r>
        <w:t>The RBA must approve the appointment of the external administrator. If the RBA does not approve and the external administrator is appointed, all actions in relation to the body corporates business are invalid.</w:t>
      </w:r>
      <w:r>
        <w:br/>
      </w:r>
      <w:r w:rsidRPr="006F2EA7">
        <w:rPr>
          <w:rStyle w:val="References"/>
        </w:rPr>
        <w:t xml:space="preserve">[Schedule 1, item </w:t>
      </w:r>
      <w:r w:rsidR="004B7FE7">
        <w:rPr>
          <w:rStyle w:val="References"/>
        </w:rPr>
        <w:t>21</w:t>
      </w:r>
      <w:r w:rsidRPr="006F2EA7">
        <w:rPr>
          <w:rStyle w:val="References"/>
        </w:rPr>
        <w:t>, subsection</w:t>
      </w:r>
      <w:r>
        <w:rPr>
          <w:rStyle w:val="References"/>
        </w:rPr>
        <w:t>s</w:t>
      </w:r>
      <w:r w:rsidRPr="006F2EA7">
        <w:rPr>
          <w:rStyle w:val="References"/>
        </w:rPr>
        <w:t xml:space="preserve"> 821</w:t>
      </w:r>
      <w:proofErr w:type="gramStart"/>
      <w:r w:rsidRPr="006F2EA7">
        <w:rPr>
          <w:rStyle w:val="References"/>
        </w:rPr>
        <w:t>K(</w:t>
      </w:r>
      <w:proofErr w:type="gramEnd"/>
      <w:r>
        <w:rPr>
          <w:rStyle w:val="References"/>
        </w:rPr>
        <w:t>3</w:t>
      </w:r>
      <w:r w:rsidRPr="006F2EA7">
        <w:rPr>
          <w:rStyle w:val="References"/>
        </w:rPr>
        <w:t>)</w:t>
      </w:r>
      <w:r w:rsidR="00124A48">
        <w:rPr>
          <w:rStyle w:val="References"/>
        </w:rPr>
        <w:t xml:space="preserve"> and </w:t>
      </w:r>
      <w:r>
        <w:rPr>
          <w:rStyle w:val="References"/>
        </w:rPr>
        <w:t>(4)</w:t>
      </w:r>
      <w:r w:rsidRPr="006F2EA7">
        <w:rPr>
          <w:rStyle w:val="References"/>
        </w:rPr>
        <w:t xml:space="preserve"> of the Act]</w:t>
      </w:r>
      <w:r>
        <w:t xml:space="preserve">  </w:t>
      </w:r>
    </w:p>
    <w:p w14:paraId="4AF6528A" w14:textId="2B807F27" w:rsidR="00E431F4" w:rsidRDefault="00E431F4" w:rsidP="001B5DD7">
      <w:pPr>
        <w:pStyle w:val="Normalparatextwithnumbers"/>
      </w:pPr>
      <w:r>
        <w:t>The notice period provides the RBA with time to consider the circumstances and decide if the RBA should exercise any of its resolution powers, including the appointment of a statutory manager.</w:t>
      </w:r>
      <w:r w:rsidR="001B5DD7">
        <w:t xml:space="preserve"> </w:t>
      </w:r>
      <w:r>
        <w:t xml:space="preserve">After receiving notice, the RBA may request the person to provide details of the application. </w:t>
      </w:r>
    </w:p>
    <w:p w14:paraId="66C951D2" w14:textId="0A01A18B" w:rsidR="00E431F4" w:rsidRDefault="00685BF7">
      <w:pPr>
        <w:pStyle w:val="Normalparatextwithnumbers"/>
      </w:pPr>
      <w:r>
        <w:t>Between</w:t>
      </w:r>
      <w:r w:rsidR="00A2302E">
        <w:t xml:space="preserve"> the time that a person notifies the </w:t>
      </w:r>
      <w:proofErr w:type="gramStart"/>
      <w:r w:rsidR="00A2302E">
        <w:t>RBA</w:t>
      </w:r>
      <w:proofErr w:type="gramEnd"/>
      <w:r w:rsidR="00A2302E">
        <w:t xml:space="preserve"> and an external administrator is appointed, there is a </w:t>
      </w:r>
      <w:r w:rsidR="00A2302E" w:rsidRPr="00004A45">
        <w:t>risk</w:t>
      </w:r>
      <w:r w:rsidR="00A2302E">
        <w:t xml:space="preserve"> that</w:t>
      </w:r>
      <w:r w:rsidR="00A2302E" w:rsidRPr="00004A45">
        <w:t xml:space="preserve"> directors of the body corporate </w:t>
      </w:r>
      <w:r w:rsidR="00A2302E">
        <w:t xml:space="preserve">are exposed </w:t>
      </w:r>
      <w:r w:rsidR="00A2302E" w:rsidRPr="00004A45">
        <w:t>to liability for insolvent trading</w:t>
      </w:r>
      <w:r w:rsidR="00A2302E">
        <w:t>. Therefore, the protection under subsection 588</w:t>
      </w:r>
      <w:proofErr w:type="gramStart"/>
      <w:r w:rsidR="00A2302E">
        <w:t>G(</w:t>
      </w:r>
      <w:proofErr w:type="gramEnd"/>
      <w:r w:rsidR="00A2302E">
        <w:t>2) of the Act applies so that the director of the body corporate that provides notification is</w:t>
      </w:r>
      <w:r>
        <w:t xml:space="preserve"> not</w:t>
      </w:r>
      <w:r w:rsidR="00A2302E">
        <w:t xml:space="preserve"> exposed to risk during the period of </w:t>
      </w:r>
      <w:r w:rsidR="00E431F4">
        <w:t xml:space="preserve">notice </w:t>
      </w:r>
      <w:r w:rsidR="00A2302E">
        <w:t xml:space="preserve">expiring or </w:t>
      </w:r>
      <w:r w:rsidR="00E431F4">
        <w:t>the RBA provid</w:t>
      </w:r>
      <w:r w:rsidR="00A2302E">
        <w:t>ing</w:t>
      </w:r>
      <w:r w:rsidR="00E431F4">
        <w:t xml:space="preserve"> consent. </w:t>
      </w:r>
      <w:r w:rsidR="00E431F4">
        <w:br/>
      </w:r>
      <w:r w:rsidR="00E431F4" w:rsidRPr="00262BED">
        <w:rPr>
          <w:rStyle w:val="References"/>
        </w:rPr>
        <w:t xml:space="preserve">[Schedule </w:t>
      </w:r>
      <w:r w:rsidR="00C2491C">
        <w:rPr>
          <w:rStyle w:val="References"/>
        </w:rPr>
        <w:t>1</w:t>
      </w:r>
      <w:r w:rsidR="00E431F4" w:rsidRPr="00262BED">
        <w:rPr>
          <w:rStyle w:val="References"/>
        </w:rPr>
        <w:t xml:space="preserve">, item </w:t>
      </w:r>
      <w:r w:rsidR="004B7FE7">
        <w:rPr>
          <w:rStyle w:val="References"/>
        </w:rPr>
        <w:t>21</w:t>
      </w:r>
      <w:r w:rsidR="00E431F4" w:rsidRPr="00262BED">
        <w:rPr>
          <w:rStyle w:val="References"/>
        </w:rPr>
        <w:t>, subsection 821</w:t>
      </w:r>
      <w:proofErr w:type="gramStart"/>
      <w:r w:rsidR="0041060D">
        <w:rPr>
          <w:rStyle w:val="References"/>
        </w:rPr>
        <w:t>K</w:t>
      </w:r>
      <w:r w:rsidR="00E431F4" w:rsidRPr="00262BED">
        <w:rPr>
          <w:rStyle w:val="References"/>
        </w:rPr>
        <w:t>(</w:t>
      </w:r>
      <w:proofErr w:type="gramEnd"/>
      <w:r w:rsidR="00E431F4">
        <w:rPr>
          <w:rStyle w:val="References"/>
        </w:rPr>
        <w:t>5</w:t>
      </w:r>
      <w:r w:rsidR="00E431F4" w:rsidRPr="00262BED">
        <w:rPr>
          <w:rStyle w:val="References"/>
        </w:rPr>
        <w:t>) of the Act]</w:t>
      </w:r>
    </w:p>
    <w:p w14:paraId="7E2BA2EA" w14:textId="77777777" w:rsidR="0041060D" w:rsidRDefault="0041060D" w:rsidP="0041060D">
      <w:pPr>
        <w:pStyle w:val="Heading6"/>
        <w:rPr>
          <w:rFonts w:hint="eastAsia"/>
        </w:rPr>
      </w:pPr>
      <w:r>
        <w:t xml:space="preserve">Mechanism to provide </w:t>
      </w:r>
      <w:proofErr w:type="gramStart"/>
      <w:r>
        <w:t>notification</w:t>
      </w:r>
      <w:proofErr w:type="gramEnd"/>
      <w:r>
        <w:t xml:space="preserve"> </w:t>
      </w:r>
    </w:p>
    <w:p w14:paraId="6B15F985" w14:textId="1DEABD81" w:rsidR="0041060D" w:rsidRDefault="0041060D" w:rsidP="0041060D">
      <w:pPr>
        <w:pStyle w:val="Normalparatextwithnumbers"/>
      </w:pPr>
      <w:r>
        <w:t>The initial notification may be communicated verbally to the RBA with written notification following that. The immediate notification is intended to assist the RBA in determining the best method to prevent a crisis from eventuating. This has the effect of providing the RBA with awareness of potential distressed CS facilit</w:t>
      </w:r>
      <w:r w:rsidR="00685BF7">
        <w:t>y</w:t>
      </w:r>
      <w:r>
        <w:t xml:space="preserve"> and will mitigate the risk of a crisis materialising.  </w:t>
      </w:r>
    </w:p>
    <w:p w14:paraId="640FED8E" w14:textId="5DA8E8EC" w:rsidR="003C1C77" w:rsidRPr="003C1C77" w:rsidRDefault="003C1C77" w:rsidP="003C1C77">
      <w:pPr>
        <w:pStyle w:val="Normalparatextwithnumbers"/>
        <w:rPr>
          <w:rStyle w:val="References"/>
          <w:b w:val="0"/>
          <w:bCs w:val="0"/>
          <w:i w:val="0"/>
          <w:iCs w:val="0"/>
        </w:rPr>
      </w:pPr>
      <w:r>
        <w:t>Where a body corporate has notified ASIC of material c</w:t>
      </w:r>
      <w:r w:rsidRPr="001E326C">
        <w:t>hanges</w:t>
      </w:r>
      <w:r>
        <w:t xml:space="preserve">, additional notification is not required to be provided to the RBA. </w:t>
      </w:r>
      <w:r w:rsidRPr="001E326C">
        <w:t xml:space="preserve"> </w:t>
      </w:r>
      <w:r>
        <w:br/>
      </w:r>
      <w:r w:rsidRPr="001E326C">
        <w:rPr>
          <w:rStyle w:val="References"/>
        </w:rPr>
        <w:t xml:space="preserve">[Schedule 1, item </w:t>
      </w:r>
      <w:r>
        <w:rPr>
          <w:rStyle w:val="References"/>
        </w:rPr>
        <w:t xml:space="preserve">21, </w:t>
      </w:r>
      <w:r w:rsidRPr="001E326C">
        <w:rPr>
          <w:rStyle w:val="References"/>
        </w:rPr>
        <w:t>subsection</w:t>
      </w:r>
      <w:r>
        <w:rPr>
          <w:rStyle w:val="References"/>
        </w:rPr>
        <w:t xml:space="preserve"> 821</w:t>
      </w:r>
      <w:proofErr w:type="gramStart"/>
      <w:r>
        <w:rPr>
          <w:rStyle w:val="References"/>
        </w:rPr>
        <w:t>J(</w:t>
      </w:r>
      <w:proofErr w:type="gramEnd"/>
      <w:r>
        <w:rPr>
          <w:rStyle w:val="References"/>
        </w:rPr>
        <w:t>5) of the Act]</w:t>
      </w:r>
    </w:p>
    <w:p w14:paraId="1A49DB09" w14:textId="77777777" w:rsidR="00C54D28" w:rsidRDefault="00C54D28" w:rsidP="00C54D28">
      <w:pPr>
        <w:pStyle w:val="Heading6"/>
        <w:rPr>
          <w:rFonts w:hint="eastAsia"/>
        </w:rPr>
      </w:pPr>
      <w:r>
        <w:t xml:space="preserve">Consequences of failing to </w:t>
      </w:r>
      <w:proofErr w:type="gramStart"/>
      <w:r>
        <w:t>notify</w:t>
      </w:r>
      <w:proofErr w:type="gramEnd"/>
    </w:p>
    <w:p w14:paraId="1E64A736" w14:textId="3BB01240" w:rsidR="00C54D28" w:rsidRDefault="00C54D28" w:rsidP="000F1EFA">
      <w:pPr>
        <w:pStyle w:val="Normalparatextwithnumbers"/>
      </w:pPr>
      <w:r>
        <w:t xml:space="preserve">Failure to notify the </w:t>
      </w:r>
      <w:r w:rsidR="004D4BAC">
        <w:t>RBA</w:t>
      </w:r>
      <w:r>
        <w:t xml:space="preserve"> of a material change of circumstances or intended actions is a criminal offence of </w:t>
      </w:r>
      <w:r w:rsidR="00BA12C7" w:rsidRPr="00BA12C7">
        <w:t>imprisonment for 2 years</w:t>
      </w:r>
      <w:r w:rsidR="0041060D">
        <w:t>.</w:t>
      </w:r>
      <w:r w:rsidR="004F0AD7">
        <w:br/>
      </w:r>
      <w:r w:rsidR="004F0AD7" w:rsidRPr="004F0AD7">
        <w:rPr>
          <w:rStyle w:val="References"/>
        </w:rPr>
        <w:t>[</w:t>
      </w:r>
      <w:r w:rsidR="00A93424">
        <w:rPr>
          <w:rStyle w:val="References"/>
        </w:rPr>
        <w:t xml:space="preserve">Schedule </w:t>
      </w:r>
      <w:r w:rsidR="000150AA">
        <w:rPr>
          <w:rStyle w:val="References"/>
        </w:rPr>
        <w:t>1</w:t>
      </w:r>
      <w:r w:rsidR="004F0AD7" w:rsidRPr="004F0AD7">
        <w:rPr>
          <w:rStyle w:val="References"/>
        </w:rPr>
        <w:t>, item</w:t>
      </w:r>
      <w:r w:rsidR="00E431F4">
        <w:rPr>
          <w:rStyle w:val="References"/>
        </w:rPr>
        <w:t>s</w:t>
      </w:r>
      <w:r w:rsidR="004F0AD7" w:rsidRPr="004F0AD7">
        <w:rPr>
          <w:rStyle w:val="References"/>
        </w:rPr>
        <w:t xml:space="preserve"> </w:t>
      </w:r>
      <w:r w:rsidR="00C2491C">
        <w:rPr>
          <w:rStyle w:val="References"/>
        </w:rPr>
        <w:t xml:space="preserve">19 </w:t>
      </w:r>
      <w:r w:rsidR="000270D6">
        <w:rPr>
          <w:rStyle w:val="References"/>
        </w:rPr>
        <w:t>and</w:t>
      </w:r>
      <w:r w:rsidR="00964EFD">
        <w:rPr>
          <w:rStyle w:val="References"/>
        </w:rPr>
        <w:t xml:space="preserve"> </w:t>
      </w:r>
      <w:r w:rsidR="004B7FE7">
        <w:rPr>
          <w:rStyle w:val="References"/>
        </w:rPr>
        <w:t>21</w:t>
      </w:r>
      <w:r w:rsidR="004F0AD7" w:rsidRPr="004F0AD7">
        <w:rPr>
          <w:rStyle w:val="References"/>
        </w:rPr>
        <w:t>,</w:t>
      </w:r>
      <w:r w:rsidR="008541C2">
        <w:rPr>
          <w:rStyle w:val="References"/>
        </w:rPr>
        <w:t xml:space="preserve"> </w:t>
      </w:r>
      <w:r w:rsidR="00E431F4">
        <w:rPr>
          <w:rStyle w:val="References"/>
        </w:rPr>
        <w:t>sub</w:t>
      </w:r>
      <w:r w:rsidR="008541C2">
        <w:rPr>
          <w:rStyle w:val="References"/>
        </w:rPr>
        <w:t>section</w:t>
      </w:r>
      <w:r w:rsidR="00E431F4">
        <w:rPr>
          <w:rStyle w:val="References"/>
        </w:rPr>
        <w:t>s</w:t>
      </w:r>
      <w:r w:rsidR="008541C2">
        <w:rPr>
          <w:rStyle w:val="References"/>
        </w:rPr>
        <w:t xml:space="preserve"> 821</w:t>
      </w:r>
      <w:proofErr w:type="gramStart"/>
      <w:r w:rsidR="008541C2">
        <w:rPr>
          <w:rStyle w:val="References"/>
        </w:rPr>
        <w:t>BA</w:t>
      </w:r>
      <w:r w:rsidR="00E431F4">
        <w:rPr>
          <w:rStyle w:val="References"/>
        </w:rPr>
        <w:t>(</w:t>
      </w:r>
      <w:proofErr w:type="gramEnd"/>
      <w:r w:rsidR="00E431F4">
        <w:rPr>
          <w:rStyle w:val="References"/>
        </w:rPr>
        <w:t>1),</w:t>
      </w:r>
      <w:r w:rsidR="008541C2">
        <w:rPr>
          <w:rStyle w:val="References"/>
        </w:rPr>
        <w:t xml:space="preserve"> </w:t>
      </w:r>
      <w:r w:rsidR="00E431F4">
        <w:rPr>
          <w:rStyle w:val="References"/>
        </w:rPr>
        <w:t>821H(1),</w:t>
      </w:r>
      <w:r w:rsidR="008541C2">
        <w:rPr>
          <w:rStyle w:val="References"/>
        </w:rPr>
        <w:t xml:space="preserve"> 821J(1)</w:t>
      </w:r>
      <w:r w:rsidR="004F0AD7" w:rsidRPr="004F0AD7">
        <w:rPr>
          <w:rStyle w:val="References"/>
        </w:rPr>
        <w:t xml:space="preserve"> </w:t>
      </w:r>
      <w:r w:rsidR="00E431F4">
        <w:rPr>
          <w:rStyle w:val="References"/>
        </w:rPr>
        <w:t xml:space="preserve">and 821K(2) </w:t>
      </w:r>
      <w:r w:rsidR="004F0AD7" w:rsidRPr="004F0AD7">
        <w:rPr>
          <w:rStyle w:val="References"/>
        </w:rPr>
        <w:t xml:space="preserve">of the </w:t>
      </w:r>
      <w:r w:rsidR="000E7C19">
        <w:rPr>
          <w:rStyle w:val="References"/>
        </w:rPr>
        <w:t>Act</w:t>
      </w:r>
      <w:r w:rsidR="004F0AD7" w:rsidRPr="004F0AD7">
        <w:rPr>
          <w:rStyle w:val="References"/>
        </w:rPr>
        <w:t>]</w:t>
      </w:r>
    </w:p>
    <w:p w14:paraId="5460A577" w14:textId="67B1914B" w:rsidR="0041060D" w:rsidRDefault="0041060D" w:rsidP="0041060D">
      <w:pPr>
        <w:pStyle w:val="Normalparatextwithnumbers"/>
      </w:pPr>
      <w:r w:rsidRPr="003103B2">
        <w:t xml:space="preserve">A strict liability offence is considered appropriate in this instance as failure to </w:t>
      </w:r>
      <w:r>
        <w:t>notify of material changes or intended appointments may have detrimental impacts on the stability of the financial system in Australia</w:t>
      </w:r>
      <w:r>
        <w:br/>
      </w:r>
      <w:r w:rsidRPr="003103B2">
        <w:t xml:space="preserve">If </w:t>
      </w:r>
      <w:r>
        <w:t>the RBA</w:t>
      </w:r>
      <w:r w:rsidRPr="003103B2">
        <w:t xml:space="preserve"> is not given </w:t>
      </w:r>
      <w:r>
        <w:t xml:space="preserve">prior </w:t>
      </w:r>
      <w:proofErr w:type="gramStart"/>
      <w:r w:rsidRPr="003103B2">
        <w:t>notice</w:t>
      </w:r>
      <w:proofErr w:type="gramEnd"/>
      <w:r w:rsidRPr="003103B2">
        <w:t xml:space="preserve"> </w:t>
      </w:r>
      <w:r>
        <w:t xml:space="preserve">it risks the RBA’s ability </w:t>
      </w:r>
      <w:r w:rsidRPr="003103B2">
        <w:t xml:space="preserve">to </w:t>
      </w:r>
      <w:r>
        <w:t xml:space="preserve">effectively </w:t>
      </w:r>
      <w:r>
        <w:lastRenderedPageBreak/>
        <w:t xml:space="preserve">consider the circumstances and </w:t>
      </w:r>
      <w:r w:rsidRPr="003103B2">
        <w:t>take appropriate and timely action</w:t>
      </w:r>
      <w:r>
        <w:t xml:space="preserve"> </w:t>
      </w:r>
      <w:r w:rsidRPr="003103B2">
        <w:t xml:space="preserve">to </w:t>
      </w:r>
      <w:r>
        <w:t xml:space="preserve">protect </w:t>
      </w:r>
      <w:r w:rsidRPr="003103B2">
        <w:t xml:space="preserve">financial </w:t>
      </w:r>
      <w:r>
        <w:t xml:space="preserve">system </w:t>
      </w:r>
      <w:r w:rsidRPr="003103B2">
        <w:t>stability.</w:t>
      </w:r>
    </w:p>
    <w:p w14:paraId="1AB8A6D1" w14:textId="0FC41196" w:rsidR="0041060D" w:rsidRPr="003103B2" w:rsidRDefault="0041060D" w:rsidP="0041060D">
      <w:pPr>
        <w:pStyle w:val="Normalparatextwithnumbers"/>
      </w:pPr>
      <w:r w:rsidRPr="003103B2">
        <w:t xml:space="preserve">The penalty for the offence complies with the requirements of the </w:t>
      </w:r>
      <w:r w:rsidRPr="003103B2">
        <w:rPr>
          <w:i/>
          <w:iCs/>
        </w:rPr>
        <w:t>Government’s Guide to Framing Commonwealth Offences, Infringement Notices and Enforcement Powers</w:t>
      </w:r>
      <w:r w:rsidRPr="003103B2">
        <w:t xml:space="preserve">. </w:t>
      </w:r>
    </w:p>
    <w:p w14:paraId="44A64D9E" w14:textId="77660E7B" w:rsidR="00C54D28" w:rsidRDefault="00AD5A61" w:rsidP="00AD5A61">
      <w:pPr>
        <w:pStyle w:val="Heading6"/>
        <w:rPr>
          <w:rFonts w:hint="eastAsia"/>
        </w:rPr>
      </w:pPr>
      <w:r>
        <w:t>Liquidators</w:t>
      </w:r>
      <w:r w:rsidR="00426E36">
        <w:t xml:space="preserve"> </w:t>
      </w:r>
      <w:r w:rsidR="00C54D28">
        <w:t>subject to notification requirements</w:t>
      </w:r>
    </w:p>
    <w:p w14:paraId="45388F0D" w14:textId="5B1D7D5A" w:rsidR="00090201" w:rsidRDefault="00C54D28" w:rsidP="00125C2C">
      <w:pPr>
        <w:pStyle w:val="Normalparatextwithnumbers"/>
      </w:pPr>
      <w:r>
        <w:t xml:space="preserve">Liquidators or potential liquidators will be subject to notification requirements due to their actions having a potential impact on </w:t>
      </w:r>
      <w:r w:rsidR="0041060D">
        <w:t>the continuity of CS services or the stability of Australia’s financial system</w:t>
      </w:r>
      <w:r>
        <w:t xml:space="preserve">. </w:t>
      </w:r>
    </w:p>
    <w:p w14:paraId="7F52DFF7" w14:textId="69C09259" w:rsidR="00271BFB" w:rsidRDefault="003103B2" w:rsidP="00AD1047">
      <w:pPr>
        <w:pStyle w:val="Normalparatextwithnumbers"/>
      </w:pPr>
      <w:r>
        <w:t xml:space="preserve">A liquidator must give written notice to the </w:t>
      </w:r>
      <w:r w:rsidR="004D4BAC">
        <w:t>RBA</w:t>
      </w:r>
      <w:r>
        <w:t xml:space="preserve"> at least 7 days prior to making </w:t>
      </w:r>
      <w:r w:rsidR="00271BFB" w:rsidRPr="00271BFB">
        <w:t xml:space="preserve">a court application under Chapter 5 of the </w:t>
      </w:r>
      <w:r w:rsidR="000E7C19">
        <w:t>Act</w:t>
      </w:r>
      <w:r w:rsidR="00271BFB" w:rsidRPr="00271BFB">
        <w:t xml:space="preserve"> </w:t>
      </w:r>
      <w:r>
        <w:t>in relation to a matter arising under the winding up or proposed winding up of a domestic CS facility licensee or a related body corporate. The written notice must include the details of the proposed application</w:t>
      </w:r>
      <w:r w:rsidR="00271BFB" w:rsidRPr="00271BFB">
        <w:t xml:space="preserve"> </w:t>
      </w:r>
      <w:r w:rsidR="00271BFB">
        <w:t>and the RBA is entitled to be heard on an application</w:t>
      </w:r>
      <w:r>
        <w:t xml:space="preserve">. </w:t>
      </w:r>
      <w:r w:rsidR="00262BED">
        <w:br/>
      </w:r>
      <w:r w:rsidR="00262BED" w:rsidRPr="00262BED">
        <w:rPr>
          <w:rStyle w:val="References"/>
        </w:rPr>
        <w:t xml:space="preserve">[Schedule </w:t>
      </w:r>
      <w:r w:rsidR="00C2491C">
        <w:rPr>
          <w:rStyle w:val="References"/>
        </w:rPr>
        <w:t>1</w:t>
      </w:r>
      <w:r w:rsidR="00262BED" w:rsidRPr="00262BED">
        <w:rPr>
          <w:rStyle w:val="References"/>
        </w:rPr>
        <w:t xml:space="preserve">, item </w:t>
      </w:r>
      <w:r w:rsidR="004B7FE7">
        <w:rPr>
          <w:rStyle w:val="References"/>
        </w:rPr>
        <w:t>21</w:t>
      </w:r>
      <w:r w:rsidR="00632CBF" w:rsidRPr="00262BED">
        <w:rPr>
          <w:rStyle w:val="References"/>
        </w:rPr>
        <w:t xml:space="preserve">, </w:t>
      </w:r>
      <w:r w:rsidR="00AE26BB">
        <w:rPr>
          <w:rStyle w:val="References"/>
        </w:rPr>
        <w:t>sub</w:t>
      </w:r>
      <w:r w:rsidR="00262BED" w:rsidRPr="00262BED">
        <w:rPr>
          <w:rStyle w:val="References"/>
        </w:rPr>
        <w:t>section</w:t>
      </w:r>
      <w:r w:rsidR="00AE26BB">
        <w:rPr>
          <w:rStyle w:val="References"/>
        </w:rPr>
        <w:t>s</w:t>
      </w:r>
      <w:r w:rsidR="00262BED" w:rsidRPr="00262BED">
        <w:rPr>
          <w:rStyle w:val="References"/>
        </w:rPr>
        <w:t xml:space="preserve"> 821</w:t>
      </w:r>
      <w:proofErr w:type="gramStart"/>
      <w:r w:rsidR="0041060D">
        <w:rPr>
          <w:rStyle w:val="References"/>
        </w:rPr>
        <w:t>L</w:t>
      </w:r>
      <w:r w:rsidR="006B5ACC">
        <w:rPr>
          <w:rStyle w:val="References"/>
        </w:rPr>
        <w:t>(</w:t>
      </w:r>
      <w:proofErr w:type="gramEnd"/>
      <w:r w:rsidR="006B5ACC">
        <w:rPr>
          <w:rStyle w:val="References"/>
        </w:rPr>
        <w:t>1)</w:t>
      </w:r>
      <w:r w:rsidR="00AE26BB">
        <w:rPr>
          <w:rStyle w:val="References"/>
        </w:rPr>
        <w:t xml:space="preserve">, (2) and </w:t>
      </w:r>
      <w:r w:rsidR="006B5ACC">
        <w:rPr>
          <w:rStyle w:val="References"/>
        </w:rPr>
        <w:t>(3)</w:t>
      </w:r>
      <w:r w:rsidR="00262BED" w:rsidRPr="00262BED">
        <w:rPr>
          <w:rStyle w:val="References"/>
        </w:rPr>
        <w:t xml:space="preserve"> of the Act]</w:t>
      </w:r>
    </w:p>
    <w:p w14:paraId="1397FC8A" w14:textId="3FDCA9C4" w:rsidR="0041060D" w:rsidRDefault="0041060D" w:rsidP="0041060D">
      <w:pPr>
        <w:pStyle w:val="Normalparatextwithnumbers"/>
      </w:pPr>
      <w:r>
        <w:t xml:space="preserve">The RBA may request </w:t>
      </w:r>
      <w:r w:rsidR="000E399F">
        <w:t xml:space="preserve">the liquidator or potential liquidator to provide </w:t>
      </w:r>
      <w:r>
        <w:t xml:space="preserve">additional information within a reasonable time about the </w:t>
      </w:r>
      <w:r w:rsidR="000E399F">
        <w:t xml:space="preserve">application, </w:t>
      </w:r>
      <w:r>
        <w:t xml:space="preserve">winding up (or proposed winding up) of the body corporate </w:t>
      </w:r>
      <w:r w:rsidR="000E399F">
        <w:t xml:space="preserve">or any </w:t>
      </w:r>
      <w:r>
        <w:t>other affairs of the body corporate. The liquidator or provisional liquidator must comply with this request.</w:t>
      </w:r>
      <w:r>
        <w:br/>
      </w:r>
      <w:r w:rsidRPr="00303671">
        <w:rPr>
          <w:rStyle w:val="References"/>
        </w:rPr>
        <w:t xml:space="preserve">[Schedule </w:t>
      </w:r>
      <w:r w:rsidR="00C2491C">
        <w:rPr>
          <w:rStyle w:val="References"/>
        </w:rPr>
        <w:t>1</w:t>
      </w:r>
      <w:r w:rsidRPr="00303671">
        <w:rPr>
          <w:rStyle w:val="References"/>
        </w:rPr>
        <w:t xml:space="preserve">, item </w:t>
      </w:r>
      <w:r w:rsidR="004B7FE7">
        <w:rPr>
          <w:rStyle w:val="References"/>
        </w:rPr>
        <w:t>21</w:t>
      </w:r>
      <w:r w:rsidRPr="00303671">
        <w:rPr>
          <w:rStyle w:val="References"/>
        </w:rPr>
        <w:t xml:space="preserve">, </w:t>
      </w:r>
      <w:r w:rsidR="00AE26BB">
        <w:rPr>
          <w:rStyle w:val="References"/>
        </w:rPr>
        <w:t>sub</w:t>
      </w:r>
      <w:r w:rsidRPr="00303671">
        <w:rPr>
          <w:rStyle w:val="References"/>
        </w:rPr>
        <w:t>section</w:t>
      </w:r>
      <w:r w:rsidR="00AE26BB">
        <w:rPr>
          <w:rStyle w:val="References"/>
        </w:rPr>
        <w:t>s</w:t>
      </w:r>
      <w:r w:rsidRPr="00303671">
        <w:rPr>
          <w:rStyle w:val="References"/>
        </w:rPr>
        <w:t xml:space="preserve"> 821</w:t>
      </w:r>
      <w:proofErr w:type="gramStart"/>
      <w:r w:rsidR="00AD5A61">
        <w:rPr>
          <w:rStyle w:val="References"/>
        </w:rPr>
        <w:t>L</w:t>
      </w:r>
      <w:r>
        <w:rPr>
          <w:rStyle w:val="References"/>
        </w:rPr>
        <w:t>(</w:t>
      </w:r>
      <w:proofErr w:type="gramEnd"/>
      <w:r>
        <w:rPr>
          <w:rStyle w:val="References"/>
        </w:rPr>
        <w:t>4)</w:t>
      </w:r>
      <w:r w:rsidR="00AE26BB">
        <w:rPr>
          <w:rStyle w:val="References"/>
        </w:rPr>
        <w:t xml:space="preserve"> and </w:t>
      </w:r>
      <w:r>
        <w:rPr>
          <w:rStyle w:val="References"/>
        </w:rPr>
        <w:t>(5)</w:t>
      </w:r>
      <w:r w:rsidRPr="00303671">
        <w:rPr>
          <w:rStyle w:val="References"/>
        </w:rPr>
        <w:t xml:space="preserve"> of the Act]</w:t>
      </w:r>
    </w:p>
    <w:p w14:paraId="723F70BE" w14:textId="48A5D6F5" w:rsidR="00271BFB" w:rsidRDefault="00271BFB" w:rsidP="00AD1047">
      <w:pPr>
        <w:pStyle w:val="Normalparatextwithnumbers"/>
      </w:pPr>
      <w:r w:rsidRPr="004F0AD7">
        <w:t>The requirement to give one week’s written notice does not apply if</w:t>
      </w:r>
      <w:r>
        <w:t xml:space="preserve"> the </w:t>
      </w:r>
      <w:r w:rsidRPr="004F0AD7">
        <w:t>R</w:t>
      </w:r>
      <w:r>
        <w:t>B</w:t>
      </w:r>
      <w:r w:rsidRPr="004F0AD7">
        <w:t xml:space="preserve">A gives the person </w:t>
      </w:r>
      <w:r>
        <w:t xml:space="preserve">prior </w:t>
      </w:r>
      <w:r w:rsidRPr="004F0AD7">
        <w:t xml:space="preserve">written </w:t>
      </w:r>
      <w:r w:rsidR="00AD5A61">
        <w:t>consent</w:t>
      </w:r>
      <w:r>
        <w:t xml:space="preserve"> </w:t>
      </w:r>
      <w:r w:rsidRPr="004F0AD7">
        <w:t xml:space="preserve">to the person making the application or appointment. For example, </w:t>
      </w:r>
      <w:r>
        <w:t xml:space="preserve">the </w:t>
      </w:r>
      <w:r w:rsidRPr="004F0AD7">
        <w:t>R</w:t>
      </w:r>
      <w:r>
        <w:t>B</w:t>
      </w:r>
      <w:r w:rsidRPr="004F0AD7">
        <w:t>A may consent to the application commenc</w:t>
      </w:r>
      <w:r w:rsidR="00AD5A61">
        <w:t>ing</w:t>
      </w:r>
      <w:r w:rsidRPr="004F0AD7">
        <w:t xml:space="preserve"> immediately, with or without consenting to the actual order sought (</w:t>
      </w:r>
      <w:r>
        <w:t xml:space="preserve">the </w:t>
      </w:r>
      <w:r w:rsidRPr="004F0AD7">
        <w:t>R</w:t>
      </w:r>
      <w:r>
        <w:t>B</w:t>
      </w:r>
      <w:r w:rsidRPr="004F0AD7">
        <w:t xml:space="preserve">A </w:t>
      </w:r>
      <w:r>
        <w:t xml:space="preserve">may </w:t>
      </w:r>
      <w:r w:rsidRPr="004F0AD7">
        <w:t xml:space="preserve">oppose the application </w:t>
      </w:r>
      <w:r>
        <w:t xml:space="preserve">but </w:t>
      </w:r>
      <w:r w:rsidRPr="004F0AD7">
        <w:t>would still be entitled to be heard on the application).</w:t>
      </w:r>
    </w:p>
    <w:p w14:paraId="06D51839" w14:textId="299075C4" w:rsidR="00271BFB" w:rsidRDefault="00271BFB" w:rsidP="00AD1047">
      <w:pPr>
        <w:pStyle w:val="Normalparatextwithnumbers"/>
      </w:pPr>
      <w:r w:rsidRPr="004F0AD7">
        <w:t xml:space="preserve">The rationale behind the current legislative provisions applies equally whether an external administrator is appointed via the </w:t>
      </w:r>
      <w:r w:rsidR="00AD5A61">
        <w:t>C</w:t>
      </w:r>
      <w:r w:rsidRPr="004F0AD7">
        <w:t xml:space="preserve">ourt process or outside the </w:t>
      </w:r>
      <w:r w:rsidR="00AD5A61">
        <w:t>Co</w:t>
      </w:r>
      <w:r w:rsidRPr="004F0AD7">
        <w:t xml:space="preserve">urt process. </w:t>
      </w:r>
    </w:p>
    <w:p w14:paraId="1067D316" w14:textId="39413133" w:rsidR="00844FD4" w:rsidRDefault="00C54D28" w:rsidP="00AD1047">
      <w:pPr>
        <w:pStyle w:val="Normalparatextwithnumbers"/>
      </w:pPr>
      <w:r>
        <w:t>The R</w:t>
      </w:r>
      <w:r w:rsidR="003103B2">
        <w:t>B</w:t>
      </w:r>
      <w:r>
        <w:t xml:space="preserve">A </w:t>
      </w:r>
      <w:r w:rsidR="000A17D9">
        <w:t xml:space="preserve">may </w:t>
      </w:r>
      <w:proofErr w:type="gramStart"/>
      <w:r>
        <w:t>take action</w:t>
      </w:r>
      <w:proofErr w:type="gramEnd"/>
      <w:r>
        <w:t xml:space="preserve"> against a liquidator who fails to comply with a written request </w:t>
      </w:r>
      <w:r w:rsidR="000A17D9">
        <w:t xml:space="preserve">to provide </w:t>
      </w:r>
      <w:r>
        <w:t>specified information in writing about the winding</w:t>
      </w:r>
      <w:r w:rsidR="00AD5A61">
        <w:noBreakHyphen/>
      </w:r>
      <w:r>
        <w:t>up (or proposed winding-up) of a domestic CS facility licensee or related body corporate and the other affairs of the entity.</w:t>
      </w:r>
    </w:p>
    <w:p w14:paraId="6194FE94" w14:textId="25641684" w:rsidR="00844FD4" w:rsidRDefault="00844FD4" w:rsidP="00844FD4">
      <w:pPr>
        <w:pStyle w:val="Heading3"/>
        <w:rPr>
          <w:rFonts w:hint="eastAsia"/>
        </w:rPr>
      </w:pPr>
      <w:bookmarkStart w:id="79" w:name="_Toc152860458"/>
      <w:r>
        <w:t>Directions</w:t>
      </w:r>
      <w:bookmarkEnd w:id="79"/>
    </w:p>
    <w:p w14:paraId="14A89CDC" w14:textId="6FDF2B33" w:rsidR="009E59C6" w:rsidRDefault="004B6F54" w:rsidP="00125C2C">
      <w:pPr>
        <w:pStyle w:val="Normalparatextwithnumbers"/>
      </w:pPr>
      <w:r w:rsidRPr="00D078FF">
        <w:t xml:space="preserve">The RBA will be </w:t>
      </w:r>
      <w:r>
        <w:t xml:space="preserve">afforded </w:t>
      </w:r>
      <w:r w:rsidRPr="00D078FF">
        <w:t>new power</w:t>
      </w:r>
      <w:r w:rsidR="009E59C6">
        <w:t>s</w:t>
      </w:r>
      <w:r w:rsidRPr="00D078FF">
        <w:t xml:space="preserve"> to </w:t>
      </w:r>
      <w:r w:rsidR="009E59C6">
        <w:t>issue directions to CS facility licensees to:</w:t>
      </w:r>
    </w:p>
    <w:p w14:paraId="025D12DA" w14:textId="4CEB31B7" w:rsidR="00324869" w:rsidRDefault="00324869" w:rsidP="009E59C6">
      <w:pPr>
        <w:pStyle w:val="Dotpoint1"/>
      </w:pPr>
      <w:r>
        <w:lastRenderedPageBreak/>
        <w:t xml:space="preserve">comply with </w:t>
      </w:r>
      <w:proofErr w:type="spellStart"/>
      <w:r>
        <w:t>it’s</w:t>
      </w:r>
      <w:proofErr w:type="spellEnd"/>
      <w:r>
        <w:t xml:space="preserve"> </w:t>
      </w:r>
      <w:proofErr w:type="gramStart"/>
      <w:r>
        <w:t>obligations;</w:t>
      </w:r>
      <w:proofErr w:type="gramEnd"/>
      <w:r>
        <w:t xml:space="preserve"> </w:t>
      </w:r>
    </w:p>
    <w:p w14:paraId="44207C1C" w14:textId="22611B32" w:rsidR="009E59C6" w:rsidRDefault="009E59C6" w:rsidP="009E59C6">
      <w:pPr>
        <w:pStyle w:val="Dotpoint1"/>
      </w:pPr>
      <w:r>
        <w:t xml:space="preserve">increase compliance or reduce systemic </w:t>
      </w:r>
      <w:proofErr w:type="gramStart"/>
      <w:r>
        <w:t>risk;</w:t>
      </w:r>
      <w:proofErr w:type="gramEnd"/>
      <w:r>
        <w:t xml:space="preserve"> </w:t>
      </w:r>
    </w:p>
    <w:p w14:paraId="55ACD771" w14:textId="3BF57B6B" w:rsidR="009E59C6" w:rsidRDefault="009E59C6" w:rsidP="009E59C6">
      <w:pPr>
        <w:pStyle w:val="Dotpoint1"/>
      </w:pPr>
      <w:r>
        <w:t xml:space="preserve">preserve stability in the Australian financial </w:t>
      </w:r>
      <w:proofErr w:type="gramStart"/>
      <w:r>
        <w:t>system;</w:t>
      </w:r>
      <w:proofErr w:type="gramEnd"/>
      <w:r>
        <w:t xml:space="preserve"> </w:t>
      </w:r>
    </w:p>
    <w:p w14:paraId="6F6DB37F" w14:textId="7439D8B2" w:rsidR="004B6F54" w:rsidRDefault="004B6F54" w:rsidP="009E59C6">
      <w:pPr>
        <w:pStyle w:val="Dotpoint1"/>
      </w:pPr>
      <w:r>
        <w:t xml:space="preserve">provide information </w:t>
      </w:r>
      <w:r w:rsidR="009E59C6">
        <w:t>to assist the RBA in performing its functions; and</w:t>
      </w:r>
    </w:p>
    <w:p w14:paraId="669D990D" w14:textId="21545E54" w:rsidR="009E59C6" w:rsidRDefault="009E59C6" w:rsidP="009E59C6">
      <w:pPr>
        <w:pStyle w:val="Dotpoint1"/>
      </w:pPr>
      <w:r>
        <w:t>recapitalise.</w:t>
      </w:r>
    </w:p>
    <w:p w14:paraId="4844B76B" w14:textId="1B337C0C" w:rsidR="00413D71" w:rsidRDefault="00413D71" w:rsidP="004B6F54">
      <w:pPr>
        <w:pStyle w:val="Heading5"/>
      </w:pPr>
      <w:r>
        <w:t xml:space="preserve">Direction to </w:t>
      </w:r>
      <w:r w:rsidR="00324869">
        <w:t>comply with CS facility licensee obligations, increase compliance</w:t>
      </w:r>
      <w:r w:rsidR="001C656A">
        <w:t xml:space="preserve">, </w:t>
      </w:r>
      <w:r w:rsidR="00324869">
        <w:t>reduce systemic risk</w:t>
      </w:r>
      <w:r w:rsidR="001C656A">
        <w:t xml:space="preserve"> or ensure effective crisis </w:t>
      </w:r>
      <w:proofErr w:type="gramStart"/>
      <w:r w:rsidR="001C656A">
        <w:t>resolution</w:t>
      </w:r>
      <w:proofErr w:type="gramEnd"/>
    </w:p>
    <w:p w14:paraId="594319A6" w14:textId="7434518E" w:rsidR="00CC67FD" w:rsidRPr="00D078FF" w:rsidRDefault="00CC67FD" w:rsidP="00CC67FD">
      <w:pPr>
        <w:pStyle w:val="Normalparatextwithnumbers"/>
      </w:pPr>
      <w:r>
        <w:t>T</w:t>
      </w:r>
      <w:r w:rsidRPr="00D078FF">
        <w:t xml:space="preserve">he RBA </w:t>
      </w:r>
      <w:r>
        <w:t xml:space="preserve">is empowered to </w:t>
      </w:r>
      <w:r w:rsidRPr="00D078FF">
        <w:t xml:space="preserve">issue a direction </w:t>
      </w:r>
      <w:r w:rsidR="007A4618">
        <w:t xml:space="preserve">to a CS facility licensee </w:t>
      </w:r>
      <w:r w:rsidR="007A4618" w:rsidRPr="00FE67AA">
        <w:t xml:space="preserve">to do specified things </w:t>
      </w:r>
      <w:r w:rsidR="007A4618">
        <w:t xml:space="preserve">that </w:t>
      </w:r>
      <w:r w:rsidR="007A4618" w:rsidRPr="00FE67AA">
        <w:t>the RBA believes will promote compliance by the licensee with those obligations</w:t>
      </w:r>
      <w:r w:rsidR="007A4618" w:rsidRPr="00D078FF">
        <w:t xml:space="preserve"> </w:t>
      </w:r>
      <w:r w:rsidRPr="00D078FF">
        <w:t>if it consider</w:t>
      </w:r>
      <w:r>
        <w:t>s</w:t>
      </w:r>
      <w:r w:rsidRPr="00D078FF">
        <w:t xml:space="preserve"> a CS facility licensee </w:t>
      </w:r>
      <w:r w:rsidR="007A4618">
        <w:t>has not fulfilled the obligation to</w:t>
      </w:r>
      <w:r w:rsidRPr="00D078FF">
        <w:t>:</w:t>
      </w:r>
    </w:p>
    <w:p w14:paraId="7E3BCCAB" w14:textId="1629A701" w:rsidR="00CC67FD" w:rsidRDefault="007A4618" w:rsidP="00CC67FD">
      <w:pPr>
        <w:pStyle w:val="Dotpoint1"/>
      </w:pPr>
      <w:r>
        <w:t xml:space="preserve">comply </w:t>
      </w:r>
      <w:r w:rsidR="00CC67FD" w:rsidRPr="00D078FF">
        <w:t xml:space="preserve">with </w:t>
      </w:r>
      <w:r w:rsidR="00CC67FD">
        <w:t xml:space="preserve">the </w:t>
      </w:r>
      <w:r w:rsidR="00F97836">
        <w:t>Financial Stability Standards</w:t>
      </w:r>
      <w:r w:rsidR="00CC67FD" w:rsidRPr="00D078FF">
        <w:t xml:space="preserve"> determined under section 827D of the </w:t>
      </w:r>
      <w:proofErr w:type="gramStart"/>
      <w:r w:rsidR="00CC67FD" w:rsidRPr="00D078FF">
        <w:t>Act;</w:t>
      </w:r>
      <w:proofErr w:type="gramEnd"/>
      <w:r w:rsidR="00CC67FD" w:rsidRPr="00D078FF">
        <w:t xml:space="preserve"> </w:t>
      </w:r>
    </w:p>
    <w:p w14:paraId="521A6306" w14:textId="7D8E3FEB" w:rsidR="001C656A" w:rsidRPr="00D078FF" w:rsidRDefault="001C656A">
      <w:pPr>
        <w:pStyle w:val="Dotpoint1"/>
      </w:pPr>
      <w:r>
        <w:t xml:space="preserve">comply with the resolvability standards under section 827DA of the </w:t>
      </w:r>
      <w:proofErr w:type="gramStart"/>
      <w:r>
        <w:t>Act;</w:t>
      </w:r>
      <w:proofErr w:type="gramEnd"/>
      <w:r>
        <w:t xml:space="preserve"> </w:t>
      </w:r>
    </w:p>
    <w:p w14:paraId="7D4E25EC" w14:textId="2F845F38" w:rsidR="007A4618" w:rsidRDefault="00CC67FD" w:rsidP="00CC67FD">
      <w:pPr>
        <w:pStyle w:val="Dotpoint1"/>
      </w:pPr>
      <w:r w:rsidRPr="00D078FF">
        <w:t xml:space="preserve">do all things reasonably practicable to reduce systemic risk in the provision of the facility’s </w:t>
      </w:r>
      <w:proofErr w:type="gramStart"/>
      <w:r w:rsidRPr="00D078FF">
        <w:t>services</w:t>
      </w:r>
      <w:r w:rsidR="007A4618">
        <w:t>;</w:t>
      </w:r>
      <w:proofErr w:type="gramEnd"/>
    </w:p>
    <w:p w14:paraId="0A96FF05" w14:textId="1F34E29C" w:rsidR="007A4618" w:rsidRDefault="007A4618" w:rsidP="00CC67FD">
      <w:pPr>
        <w:pStyle w:val="Dotpoint1"/>
      </w:pPr>
      <w:r>
        <w:t xml:space="preserve">comply with the notification obligations under section 821BA; or </w:t>
      </w:r>
    </w:p>
    <w:p w14:paraId="24F80E05" w14:textId="6F37F675" w:rsidR="00CC67FD" w:rsidRDefault="007A4618" w:rsidP="007A4618">
      <w:pPr>
        <w:pStyle w:val="Dotpoint1"/>
      </w:pPr>
      <w:r>
        <w:t>comply with the obligation to give the RBA assistance</w:t>
      </w:r>
      <w:r w:rsidR="004B7FE7">
        <w:t>, including in a crisis,</w:t>
      </w:r>
      <w:r>
        <w:t xml:space="preserve"> under section 821</w:t>
      </w:r>
      <w:proofErr w:type="gramStart"/>
      <w:r>
        <w:t>C(</w:t>
      </w:r>
      <w:proofErr w:type="gramEnd"/>
      <w:r>
        <w:t>3)</w:t>
      </w:r>
      <w:r w:rsidR="00CC67FD" w:rsidRPr="00D078FF">
        <w:t>.</w:t>
      </w:r>
      <w:r w:rsidR="00CC67FD">
        <w:br/>
      </w:r>
      <w:r w:rsidR="00CC67FD" w:rsidRPr="002B1DC8">
        <w:rPr>
          <w:rStyle w:val="References"/>
        </w:rPr>
        <w:t>[</w:t>
      </w:r>
      <w:r w:rsidR="00CC67FD">
        <w:rPr>
          <w:rStyle w:val="References"/>
        </w:rPr>
        <w:t xml:space="preserve">Schedule </w:t>
      </w:r>
      <w:r w:rsidR="004B7FE7">
        <w:rPr>
          <w:rStyle w:val="References"/>
        </w:rPr>
        <w:t>1</w:t>
      </w:r>
      <w:r w:rsidR="00CC67FD" w:rsidRPr="002B1DC8">
        <w:rPr>
          <w:rStyle w:val="References"/>
        </w:rPr>
        <w:t xml:space="preserve">, </w:t>
      </w:r>
      <w:r w:rsidR="004B7FE7">
        <w:rPr>
          <w:rStyle w:val="References"/>
        </w:rPr>
        <w:t>item</w:t>
      </w:r>
      <w:r w:rsidR="00DD2F32">
        <w:rPr>
          <w:rStyle w:val="References"/>
        </w:rPr>
        <w:t>s 18 and</w:t>
      </w:r>
      <w:r w:rsidR="004B7FE7">
        <w:rPr>
          <w:rStyle w:val="References"/>
        </w:rPr>
        <w:t xml:space="preserve"> 20, </w:t>
      </w:r>
      <w:r w:rsidR="00DD2F32">
        <w:rPr>
          <w:rStyle w:val="References"/>
        </w:rPr>
        <w:t>subparagraph 821A(1)(aa)(</w:t>
      </w:r>
      <w:proofErr w:type="spellStart"/>
      <w:r w:rsidR="00DD2F32">
        <w:rPr>
          <w:rStyle w:val="References"/>
        </w:rPr>
        <w:t>i</w:t>
      </w:r>
      <w:proofErr w:type="spellEnd"/>
      <w:r w:rsidR="00DD2F32">
        <w:rPr>
          <w:rStyle w:val="References"/>
        </w:rPr>
        <w:t xml:space="preserve">) and </w:t>
      </w:r>
      <w:r w:rsidR="004B7FE7">
        <w:rPr>
          <w:rStyle w:val="References"/>
        </w:rPr>
        <w:t>subsection 821C(3)</w:t>
      </w:r>
      <w:r w:rsidR="002C15F5">
        <w:rPr>
          <w:rStyle w:val="References"/>
        </w:rPr>
        <w:t xml:space="preserve"> of the Act; Schedule 2,</w:t>
      </w:r>
      <w:r w:rsidR="004B7FE7">
        <w:rPr>
          <w:rStyle w:val="References"/>
        </w:rPr>
        <w:t xml:space="preserve"> </w:t>
      </w:r>
      <w:r w:rsidR="00CC67FD" w:rsidRPr="002B1DC8">
        <w:rPr>
          <w:rStyle w:val="References"/>
        </w:rPr>
        <w:t>item</w:t>
      </w:r>
      <w:r w:rsidR="0011599B">
        <w:rPr>
          <w:rStyle w:val="References"/>
        </w:rPr>
        <w:t xml:space="preserve"> </w:t>
      </w:r>
      <w:r w:rsidR="004810CF">
        <w:rPr>
          <w:rStyle w:val="References"/>
        </w:rPr>
        <w:t>95</w:t>
      </w:r>
      <w:r w:rsidR="00CC67FD" w:rsidRPr="002B1DC8">
        <w:rPr>
          <w:rStyle w:val="References"/>
        </w:rPr>
        <w:t xml:space="preserve">, </w:t>
      </w:r>
      <w:r w:rsidR="002C15F5">
        <w:rPr>
          <w:rStyle w:val="References"/>
        </w:rPr>
        <w:t>sub</w:t>
      </w:r>
      <w:r w:rsidR="00CC67FD" w:rsidRPr="002B1DC8">
        <w:rPr>
          <w:rStyle w:val="References"/>
        </w:rPr>
        <w:t>section</w:t>
      </w:r>
      <w:r w:rsidR="00324869">
        <w:rPr>
          <w:rStyle w:val="References"/>
        </w:rPr>
        <w:t>s</w:t>
      </w:r>
      <w:r w:rsidR="00CC67FD">
        <w:rPr>
          <w:rStyle w:val="References"/>
        </w:rPr>
        <w:t xml:space="preserve"> 823DB</w:t>
      </w:r>
      <w:r>
        <w:rPr>
          <w:rStyle w:val="References"/>
        </w:rPr>
        <w:t>(1)</w:t>
      </w:r>
      <w:r w:rsidR="002C15F5">
        <w:rPr>
          <w:rStyle w:val="References"/>
        </w:rPr>
        <w:t xml:space="preserve"> and </w:t>
      </w:r>
      <w:r>
        <w:rPr>
          <w:rStyle w:val="References"/>
        </w:rPr>
        <w:t>(2)</w:t>
      </w:r>
      <w:r w:rsidR="00857AD6">
        <w:rPr>
          <w:rStyle w:val="References"/>
        </w:rPr>
        <w:t xml:space="preserve">, </w:t>
      </w:r>
      <w:r w:rsidR="00324869">
        <w:rPr>
          <w:rStyle w:val="References"/>
        </w:rPr>
        <w:t>823E(1)</w:t>
      </w:r>
      <w:r w:rsidR="00857AD6">
        <w:rPr>
          <w:rStyle w:val="References"/>
        </w:rPr>
        <w:t xml:space="preserve"> and </w:t>
      </w:r>
      <w:r w:rsidR="002C15F5">
        <w:rPr>
          <w:rStyle w:val="References"/>
        </w:rPr>
        <w:t xml:space="preserve">section </w:t>
      </w:r>
      <w:r w:rsidR="00857AD6">
        <w:rPr>
          <w:rStyle w:val="References"/>
        </w:rPr>
        <w:t>823FA</w:t>
      </w:r>
      <w:r w:rsidR="00CC67FD" w:rsidRPr="002B1DC8">
        <w:rPr>
          <w:rStyle w:val="References"/>
        </w:rPr>
        <w:t xml:space="preserve"> of the </w:t>
      </w:r>
      <w:r w:rsidR="00CC67FD">
        <w:rPr>
          <w:rStyle w:val="References"/>
        </w:rPr>
        <w:t>Act</w:t>
      </w:r>
      <w:r w:rsidR="00CC67FD" w:rsidRPr="002B1DC8">
        <w:rPr>
          <w:rStyle w:val="References"/>
        </w:rPr>
        <w:t>]</w:t>
      </w:r>
    </w:p>
    <w:p w14:paraId="7372ED18" w14:textId="110F7BEC" w:rsidR="00351D07" w:rsidRDefault="00351D07" w:rsidP="00351D07">
      <w:pPr>
        <w:pStyle w:val="Normalparatextwithnumbers"/>
      </w:pPr>
      <w:r w:rsidRPr="002B1DC8">
        <w:rPr>
          <w:rStyle w:val="References"/>
          <w:b w:val="0"/>
          <w:bCs w:val="0"/>
          <w:i w:val="0"/>
          <w:iCs w:val="0"/>
        </w:rPr>
        <w:t xml:space="preserve">This </w:t>
      </w:r>
      <w:r w:rsidR="007A4618">
        <w:rPr>
          <w:rStyle w:val="References"/>
          <w:b w:val="0"/>
          <w:bCs w:val="0"/>
          <w:i w:val="0"/>
          <w:iCs w:val="0"/>
        </w:rPr>
        <w:t xml:space="preserve">power </w:t>
      </w:r>
      <w:r w:rsidR="007A4618">
        <w:t xml:space="preserve">is </w:t>
      </w:r>
      <w:r w:rsidR="007A4618" w:rsidRPr="002B1DC8">
        <w:t>transferred from ASIC to the RBA</w:t>
      </w:r>
      <w:r w:rsidR="007A4618">
        <w:t xml:space="preserve">, </w:t>
      </w:r>
      <w:r>
        <w:rPr>
          <w:rStyle w:val="References"/>
          <w:b w:val="0"/>
          <w:bCs w:val="0"/>
          <w:i w:val="0"/>
          <w:iCs w:val="0"/>
        </w:rPr>
        <w:t>c</w:t>
      </w:r>
      <w:r w:rsidRPr="002B1DC8">
        <w:rPr>
          <w:rStyle w:val="References"/>
          <w:b w:val="0"/>
          <w:bCs w:val="0"/>
          <w:i w:val="0"/>
          <w:iCs w:val="0"/>
        </w:rPr>
        <w:t xml:space="preserve">onsistent with streamlining and clarifying regulator roles </w:t>
      </w:r>
      <w:r>
        <w:rPr>
          <w:rStyle w:val="References"/>
          <w:b w:val="0"/>
          <w:bCs w:val="0"/>
          <w:i w:val="0"/>
          <w:iCs w:val="0"/>
        </w:rPr>
        <w:t xml:space="preserve">to produce the outcome of the </w:t>
      </w:r>
      <w:r w:rsidRPr="002B1DC8">
        <w:rPr>
          <w:rStyle w:val="References"/>
          <w:b w:val="0"/>
          <w:bCs w:val="0"/>
          <w:i w:val="0"/>
          <w:iCs w:val="0"/>
        </w:rPr>
        <w:t>RBA having oversight of CS facilities in relation to financial stability and the reduction of systemic risk.</w:t>
      </w:r>
      <w:r w:rsidRPr="00351D07">
        <w:t xml:space="preserve"> </w:t>
      </w:r>
    </w:p>
    <w:p w14:paraId="3D824FD5" w14:textId="50F6CE47" w:rsidR="00351D07" w:rsidRDefault="00351D07">
      <w:pPr>
        <w:pStyle w:val="Normalparatextwithnumbers"/>
      </w:pPr>
      <w:r>
        <w:t xml:space="preserve">The process of issuing a direction is broadly the same, with the main intention to simplify the ability for </w:t>
      </w:r>
      <w:r w:rsidRPr="00D078FF">
        <w:t xml:space="preserve">the RBA </w:t>
      </w:r>
      <w:r>
        <w:t xml:space="preserve">to </w:t>
      </w:r>
      <w:r w:rsidRPr="00D078FF">
        <w:t xml:space="preserve">issue a direction </w:t>
      </w:r>
      <w:r>
        <w:t xml:space="preserve">on the basis that </w:t>
      </w:r>
      <w:r w:rsidRPr="00D078FF">
        <w:t xml:space="preserve">it considers that a CS facility licensee is not complying with the </w:t>
      </w:r>
      <w:r w:rsidR="00F97836">
        <w:t>Financial Stability Standards</w:t>
      </w:r>
      <w:r>
        <w:t xml:space="preserve">. Under the current law to issue a direction to reduce systemic risk, the RBA may request ASIC to issue a direction, however ASIC is ultimately the decider on whether to issue the direction or not.  </w:t>
      </w:r>
    </w:p>
    <w:p w14:paraId="602D57F1" w14:textId="275469AA" w:rsidR="00A4106C" w:rsidRPr="00D078FF" w:rsidRDefault="00A4106C" w:rsidP="00A4106C">
      <w:pPr>
        <w:pStyle w:val="Heading6"/>
        <w:rPr>
          <w:rFonts w:hint="eastAsia"/>
        </w:rPr>
      </w:pPr>
      <w:r>
        <w:t xml:space="preserve">Removing the qualifier to complying with the </w:t>
      </w:r>
      <w:r w:rsidR="00F97836">
        <w:t>Financial Stability Standards</w:t>
      </w:r>
    </w:p>
    <w:p w14:paraId="46939A2F" w14:textId="2D846CED" w:rsidR="00A4106C" w:rsidRDefault="00A4106C" w:rsidP="00A4106C">
      <w:pPr>
        <w:pStyle w:val="Normalparatextwithnumbers"/>
      </w:pPr>
      <w:r>
        <w:t xml:space="preserve">A CS facility licensee is currently required to comply with the </w:t>
      </w:r>
      <w:r w:rsidR="00F97836">
        <w:t>Financial Stability Standards</w:t>
      </w:r>
      <w:r>
        <w:t xml:space="preserve"> to the extent that it is reasonably practicable to do so. This qualifier has the potential to prevent the effective exercise of the RBA issuing directions as the issuance could be challenged on the basis that the measures to </w:t>
      </w:r>
      <w:r>
        <w:lastRenderedPageBreak/>
        <w:t xml:space="preserve">achieve compliance with the </w:t>
      </w:r>
      <w:r w:rsidR="00F97836">
        <w:t>Financial Stability Standards</w:t>
      </w:r>
      <w:r>
        <w:t xml:space="preserve"> exceed what is reasonably practicable for the CS facility licensee. </w:t>
      </w:r>
    </w:p>
    <w:p w14:paraId="278ECA8D" w14:textId="6F4DD0AD" w:rsidR="00A4106C" w:rsidRDefault="00A4106C" w:rsidP="00A4106C">
      <w:pPr>
        <w:pStyle w:val="Normalparatextwithnumbers"/>
      </w:pPr>
      <w:r>
        <w:t xml:space="preserve">The amendments remove the qualifier for complying with the </w:t>
      </w:r>
      <w:r w:rsidR="00F97836">
        <w:t>Financial Stability Standards</w:t>
      </w:r>
      <w:r>
        <w:t>. This means CS facility licensees are required to comply with standards in force under section 827D and</w:t>
      </w:r>
      <w:r w:rsidR="00080B77">
        <w:t>, to the extent that it is reasonably practicable to do so,</w:t>
      </w:r>
      <w:r>
        <w:t xml:space="preserve"> continue to do all other things necessary to reduce systematic risk.</w:t>
      </w:r>
      <w:r>
        <w:br/>
      </w:r>
      <w:r w:rsidRPr="00E75CA8">
        <w:rPr>
          <w:rStyle w:val="References"/>
        </w:rPr>
        <w:t xml:space="preserve">[Schedule </w:t>
      </w:r>
      <w:r w:rsidR="00C2491C">
        <w:rPr>
          <w:rStyle w:val="References"/>
        </w:rPr>
        <w:t>2</w:t>
      </w:r>
      <w:r w:rsidRPr="00E75CA8">
        <w:rPr>
          <w:rStyle w:val="References"/>
        </w:rPr>
        <w:t>, item</w:t>
      </w:r>
      <w:r>
        <w:rPr>
          <w:rStyle w:val="References"/>
        </w:rPr>
        <w:t xml:space="preserve"> </w:t>
      </w:r>
      <w:r w:rsidR="006D27B4">
        <w:rPr>
          <w:rStyle w:val="References"/>
        </w:rPr>
        <w:t>85</w:t>
      </w:r>
      <w:r w:rsidRPr="00E75CA8">
        <w:rPr>
          <w:rStyle w:val="References"/>
        </w:rPr>
        <w:t xml:space="preserve">, </w:t>
      </w:r>
      <w:r>
        <w:rPr>
          <w:rStyle w:val="References"/>
        </w:rPr>
        <w:t>paragraphs 821A(</w:t>
      </w:r>
      <w:proofErr w:type="gramStart"/>
      <w:r>
        <w:rPr>
          <w:rStyle w:val="References"/>
        </w:rPr>
        <w:t>1)(</w:t>
      </w:r>
      <w:proofErr w:type="gramEnd"/>
      <w:r>
        <w:rPr>
          <w:rStyle w:val="References"/>
        </w:rPr>
        <w:t>aa) and (ab)</w:t>
      </w:r>
      <w:r w:rsidR="00A02E83">
        <w:rPr>
          <w:rStyle w:val="References"/>
        </w:rPr>
        <w:t xml:space="preserve"> of the Act</w:t>
      </w:r>
      <w:r w:rsidRPr="00E75CA8">
        <w:rPr>
          <w:rStyle w:val="References"/>
        </w:rPr>
        <w:t xml:space="preserve">] </w:t>
      </w:r>
    </w:p>
    <w:p w14:paraId="62CE5883" w14:textId="089C8811" w:rsidR="00413D71" w:rsidRDefault="00413D71" w:rsidP="00413D71">
      <w:pPr>
        <w:pStyle w:val="Heading5"/>
      </w:pPr>
      <w:r>
        <w:t xml:space="preserve">Direction to preserve stability in the Australian financial </w:t>
      </w:r>
      <w:proofErr w:type="gramStart"/>
      <w:r>
        <w:t>system</w:t>
      </w:r>
      <w:proofErr w:type="gramEnd"/>
      <w:r>
        <w:t xml:space="preserve"> </w:t>
      </w:r>
    </w:p>
    <w:p w14:paraId="3AA072D7" w14:textId="22C68E59" w:rsidR="00F05CD5" w:rsidRDefault="006937E8" w:rsidP="00125C2C">
      <w:pPr>
        <w:pStyle w:val="Normalparatextwithnumbers"/>
      </w:pPr>
      <w:bookmarkStart w:id="80" w:name="_Ref140163442"/>
      <w:r w:rsidRPr="00D078FF" w:rsidDel="00F05CD5">
        <w:t>Where the RBA considers that a CS facility licensee is conducting, or likely to conduct, its affairs in a way that may cause or promote instability in the Australian financial system</w:t>
      </w:r>
      <w:r w:rsidRPr="00D078FF" w:rsidDel="00A05800">
        <w:t xml:space="preserve">, </w:t>
      </w:r>
      <w:r w:rsidRPr="00D078FF" w:rsidDel="00F05CD5">
        <w:t xml:space="preserve">the RBA may </w:t>
      </w:r>
      <w:r w:rsidR="009C7446" w:rsidDel="00F05CD5">
        <w:t xml:space="preserve">issue a direction outlining a specific course of action the CS facility licensee must take. </w:t>
      </w:r>
      <w:bookmarkStart w:id="81" w:name="_Ref140163795"/>
      <w:bookmarkEnd w:id="80"/>
      <w:r w:rsidR="00F05CD5">
        <w:t>The RBA</w:t>
      </w:r>
      <w:r w:rsidR="0093616C">
        <w:t xml:space="preserve"> may exercise these powers if:</w:t>
      </w:r>
      <w:bookmarkEnd w:id="81"/>
      <w:r w:rsidR="0093616C">
        <w:t xml:space="preserve"> </w:t>
      </w:r>
    </w:p>
    <w:p w14:paraId="739B2199" w14:textId="501186B5" w:rsidR="003C0A0C" w:rsidRDefault="004C53EA" w:rsidP="004C53EA">
      <w:pPr>
        <w:pStyle w:val="Dotpoint1"/>
      </w:pPr>
      <w:r>
        <w:t xml:space="preserve">the licensee is likely to </w:t>
      </w:r>
      <w:r w:rsidR="00240C84">
        <w:t xml:space="preserve">be </w:t>
      </w:r>
      <w:r>
        <w:t xml:space="preserve">unable to meet its obligations </w:t>
      </w:r>
      <w:r w:rsidR="00F4312B">
        <w:t>- either by the RBA being informed or the RBA evaluating the</w:t>
      </w:r>
      <w:r>
        <w:t xml:space="preserve"> </w:t>
      </w:r>
      <w:proofErr w:type="gramStart"/>
      <w:r>
        <w:t>licensee;</w:t>
      </w:r>
      <w:proofErr w:type="gramEnd"/>
    </w:p>
    <w:p w14:paraId="741F4818" w14:textId="174B7676" w:rsidR="00D559E3" w:rsidRDefault="004C53EA" w:rsidP="001C4A87">
      <w:pPr>
        <w:pStyle w:val="Dotpoint1"/>
      </w:pPr>
      <w:r>
        <w:t>the RBA considers the licensee may become unable to meet its obligations</w:t>
      </w:r>
      <w:r w:rsidR="00F4312B">
        <w:t xml:space="preserve">, operate the facility consistently with the stability of the financial </w:t>
      </w:r>
      <w:proofErr w:type="gramStart"/>
      <w:r w:rsidR="00F4312B">
        <w:t xml:space="preserve">system </w:t>
      </w:r>
      <w:r>
        <w:t xml:space="preserve"> without</w:t>
      </w:r>
      <w:proofErr w:type="gramEnd"/>
      <w:r>
        <w:t xml:space="preserve"> external support; </w:t>
      </w:r>
      <w:r w:rsidR="00EF6A7A">
        <w:t>or</w:t>
      </w:r>
    </w:p>
    <w:p w14:paraId="62377A93" w14:textId="2067E90C" w:rsidR="00A31A85" w:rsidRDefault="0015040C" w:rsidP="001C4A87">
      <w:pPr>
        <w:pStyle w:val="Dotpoint1"/>
      </w:pPr>
      <w:r>
        <w:t xml:space="preserve">the RBA considers the licensee is conducting or is likely to conduct its affairs in a way </w:t>
      </w:r>
      <w:r w:rsidR="0087365F">
        <w:t xml:space="preserve">that may cause or promote instability in the Australian financial system. </w:t>
      </w:r>
      <w:r w:rsidR="00F4312B">
        <w:br/>
      </w:r>
      <w:r w:rsidR="00EF6A7A" w:rsidRPr="009C7446">
        <w:rPr>
          <w:rStyle w:val="References"/>
        </w:rPr>
        <w:t>[</w:t>
      </w:r>
      <w:r w:rsidR="00EF6A7A">
        <w:rPr>
          <w:rStyle w:val="References"/>
        </w:rPr>
        <w:t xml:space="preserve">Schedule </w:t>
      </w:r>
      <w:r w:rsidR="004810CF">
        <w:rPr>
          <w:rStyle w:val="References"/>
        </w:rPr>
        <w:t>2</w:t>
      </w:r>
      <w:r w:rsidR="00EF6A7A" w:rsidRPr="009C7446">
        <w:rPr>
          <w:rStyle w:val="References"/>
        </w:rPr>
        <w:t xml:space="preserve">, item </w:t>
      </w:r>
      <w:r w:rsidR="004810CF">
        <w:rPr>
          <w:rStyle w:val="References"/>
        </w:rPr>
        <w:t>95</w:t>
      </w:r>
      <w:r w:rsidR="00EF6A7A" w:rsidRPr="009C7446">
        <w:rPr>
          <w:rStyle w:val="References"/>
        </w:rPr>
        <w:t xml:space="preserve">, </w:t>
      </w:r>
      <w:r w:rsidR="00EF6A7A">
        <w:rPr>
          <w:rStyle w:val="References"/>
        </w:rPr>
        <w:t>sub</w:t>
      </w:r>
      <w:r w:rsidR="00EF6A7A" w:rsidRPr="009C7446">
        <w:rPr>
          <w:rStyle w:val="References"/>
        </w:rPr>
        <w:t>section</w:t>
      </w:r>
      <w:r w:rsidR="00EF6A7A">
        <w:rPr>
          <w:rStyle w:val="References"/>
        </w:rPr>
        <w:t xml:space="preserve"> 823</w:t>
      </w:r>
      <w:proofErr w:type="gramStart"/>
      <w:r w:rsidR="00EF6A7A">
        <w:rPr>
          <w:rStyle w:val="References"/>
        </w:rPr>
        <w:t>F(</w:t>
      </w:r>
      <w:proofErr w:type="gramEnd"/>
      <w:r w:rsidR="00EF6A7A">
        <w:rPr>
          <w:rStyle w:val="References"/>
        </w:rPr>
        <w:t>2)</w:t>
      </w:r>
      <w:r w:rsidR="00EF6A7A" w:rsidRPr="009C7446">
        <w:rPr>
          <w:rStyle w:val="References"/>
        </w:rPr>
        <w:t xml:space="preserve">of the </w:t>
      </w:r>
      <w:r w:rsidR="00EF6A7A">
        <w:rPr>
          <w:rStyle w:val="References"/>
        </w:rPr>
        <w:t>Act</w:t>
      </w:r>
      <w:r w:rsidR="00EF6A7A" w:rsidRPr="009C7446">
        <w:rPr>
          <w:rStyle w:val="References"/>
        </w:rPr>
        <w:t>]</w:t>
      </w:r>
    </w:p>
    <w:p w14:paraId="44FD5B52" w14:textId="1689D00C" w:rsidR="00EB40A1" w:rsidRPr="001C4A87" w:rsidRDefault="00EB40A1" w:rsidP="00EB40A1">
      <w:pPr>
        <w:pStyle w:val="Normalparatextwithnumbers"/>
        <w:rPr>
          <w:rStyle w:val="References"/>
          <w:b w:val="0"/>
          <w:i w:val="0"/>
        </w:rPr>
      </w:pPr>
      <w:r>
        <w:t xml:space="preserve">The regulations may specify a particular form of support is not external support. </w:t>
      </w:r>
      <w:r>
        <w:br/>
      </w:r>
      <w:r>
        <w:rPr>
          <w:rStyle w:val="References"/>
        </w:rPr>
        <w:t xml:space="preserve">[Schedule </w:t>
      </w:r>
      <w:r w:rsidR="00180F06">
        <w:rPr>
          <w:rStyle w:val="References"/>
        </w:rPr>
        <w:t>2</w:t>
      </w:r>
      <w:r>
        <w:rPr>
          <w:rStyle w:val="References"/>
        </w:rPr>
        <w:t xml:space="preserve">, item </w:t>
      </w:r>
      <w:r w:rsidR="00D53F27">
        <w:rPr>
          <w:rStyle w:val="References"/>
        </w:rPr>
        <w:t>95</w:t>
      </w:r>
      <w:r>
        <w:rPr>
          <w:rStyle w:val="References"/>
        </w:rPr>
        <w:t>, subsection 823</w:t>
      </w:r>
      <w:proofErr w:type="gramStart"/>
      <w:r>
        <w:rPr>
          <w:rStyle w:val="References"/>
        </w:rPr>
        <w:t>F(</w:t>
      </w:r>
      <w:proofErr w:type="gramEnd"/>
      <w:r>
        <w:rPr>
          <w:rStyle w:val="References"/>
        </w:rPr>
        <w:t>3) of the Act]</w:t>
      </w:r>
    </w:p>
    <w:p w14:paraId="37502F32" w14:textId="53C22EE0" w:rsidR="006937E8" w:rsidRPr="00D078FF" w:rsidRDefault="00E31F52" w:rsidP="00AD1047">
      <w:pPr>
        <w:pStyle w:val="Normalparatextwithnumbers"/>
      </w:pPr>
      <w:r>
        <w:t>T</w:t>
      </w:r>
      <w:r w:rsidR="009C7446">
        <w:t xml:space="preserve">he </w:t>
      </w:r>
      <w:r>
        <w:t xml:space="preserve">following are types of </w:t>
      </w:r>
      <w:r w:rsidRPr="00D078FF">
        <w:t>specific directions</w:t>
      </w:r>
      <w:r>
        <w:t xml:space="preserve"> the </w:t>
      </w:r>
      <w:r w:rsidR="009C7446">
        <w:t xml:space="preserve">RBA may issue to </w:t>
      </w:r>
      <w:r w:rsidR="006937E8" w:rsidRPr="00D078FF">
        <w:t>a CS facility licensee:</w:t>
      </w:r>
    </w:p>
    <w:p w14:paraId="1A2F5667" w14:textId="56FF243D" w:rsidR="006937E8" w:rsidRPr="00D078FF" w:rsidRDefault="006937E8" w:rsidP="004C53EA">
      <w:pPr>
        <w:pStyle w:val="Dotpoint1"/>
      </w:pPr>
      <w:r w:rsidRPr="00D078FF">
        <w:t>to do, or refrain from doing, anything under the CS facility licensee’s operating rules or procedures</w:t>
      </w:r>
      <w:r w:rsidR="00E31F52">
        <w:t xml:space="preserve"> (including</w:t>
      </w:r>
      <w:r w:rsidR="006E1D0D">
        <w:t xml:space="preserve"> documents, determinations, practice notes or handbooks relating to the licensee’s </w:t>
      </w:r>
      <w:r w:rsidR="00EB6E99">
        <w:t>operation</w:t>
      </w:r>
      <w:r w:rsidR="006E1D0D">
        <w:t>, conduct of participants</w:t>
      </w:r>
      <w:r w:rsidR="00EB6E99">
        <w:t xml:space="preserve"> in the facility, or the structure and operation of electronic communications</w:t>
      </w:r>
      <w:proofErr w:type="gramStart"/>
      <w:r w:rsidR="00E31F52">
        <w:t>)</w:t>
      </w:r>
      <w:r w:rsidRPr="00D078FF">
        <w:t>;</w:t>
      </w:r>
      <w:proofErr w:type="gramEnd"/>
      <w:r w:rsidRPr="00D078FF">
        <w:t xml:space="preserve"> </w:t>
      </w:r>
    </w:p>
    <w:p w14:paraId="25125A9A" w14:textId="093EA4C3" w:rsidR="006937E8" w:rsidRPr="00D078FF" w:rsidRDefault="006937E8" w:rsidP="004C53EA">
      <w:pPr>
        <w:pStyle w:val="Dotpoint1"/>
      </w:pPr>
      <w:r w:rsidRPr="00D078FF">
        <w:t xml:space="preserve">amend its operating rules or </w:t>
      </w:r>
      <w:proofErr w:type="gramStart"/>
      <w:r w:rsidRPr="00D078FF">
        <w:t>procedure</w:t>
      </w:r>
      <w:r w:rsidR="0011484F">
        <w:t>s</w:t>
      </w:r>
      <w:r w:rsidR="009C7446">
        <w:t>;</w:t>
      </w:r>
      <w:proofErr w:type="gramEnd"/>
      <w:r w:rsidR="009C7446">
        <w:t xml:space="preserve"> </w:t>
      </w:r>
    </w:p>
    <w:p w14:paraId="709B9F2E" w14:textId="5BB3033B" w:rsidR="00751686" w:rsidRPr="00D078FF" w:rsidRDefault="000E6591" w:rsidP="004C53EA">
      <w:pPr>
        <w:pStyle w:val="Dotpoint1"/>
      </w:pPr>
      <w:r>
        <w:t>a recapitalisation direction (refer below</w:t>
      </w:r>
      <w:proofErr w:type="gramStart"/>
      <w:r>
        <w:t>)</w:t>
      </w:r>
      <w:r w:rsidR="007A6750">
        <w:t>;</w:t>
      </w:r>
      <w:proofErr w:type="gramEnd"/>
      <w:r w:rsidR="007A6750">
        <w:t xml:space="preserve"> </w:t>
      </w:r>
    </w:p>
    <w:p w14:paraId="384FB2AA" w14:textId="77777777" w:rsidR="00E31F52" w:rsidRDefault="00E31F52" w:rsidP="00E31F52">
      <w:pPr>
        <w:pStyle w:val="Dotpoint1"/>
      </w:pPr>
      <w:r>
        <w:t xml:space="preserve">not to pay a dividend on any </w:t>
      </w:r>
      <w:proofErr w:type="gramStart"/>
      <w:r>
        <w:t>shares;</w:t>
      </w:r>
      <w:proofErr w:type="gramEnd"/>
      <w:r>
        <w:t xml:space="preserve"> </w:t>
      </w:r>
    </w:p>
    <w:p w14:paraId="6EF0B70A" w14:textId="77777777" w:rsidR="006937E8" w:rsidRPr="00D078FF" w:rsidRDefault="006937E8" w:rsidP="004C53EA">
      <w:pPr>
        <w:pStyle w:val="Dotpoint1"/>
      </w:pPr>
      <w:r w:rsidRPr="00D078FF">
        <w:t xml:space="preserve">not to repay any amount paid on shares; or </w:t>
      </w:r>
    </w:p>
    <w:p w14:paraId="23AAE1A9" w14:textId="3648FF57" w:rsidR="006937E8" w:rsidRPr="00D078FF" w:rsidRDefault="006937E8" w:rsidP="004C53EA">
      <w:pPr>
        <w:pStyle w:val="Dotpoint1"/>
      </w:pPr>
      <w:r w:rsidRPr="00D078FF">
        <w:t>exercise rights under a contract or agreement (including termination rights).</w:t>
      </w:r>
      <w:r w:rsidR="009C7446">
        <w:br/>
      </w:r>
      <w:r w:rsidR="009C7446" w:rsidRPr="009C7446">
        <w:rPr>
          <w:rStyle w:val="References"/>
        </w:rPr>
        <w:t>[</w:t>
      </w:r>
      <w:r w:rsidR="00A93424">
        <w:rPr>
          <w:rStyle w:val="References"/>
        </w:rPr>
        <w:t xml:space="preserve">Schedule </w:t>
      </w:r>
      <w:r w:rsidR="00180F06">
        <w:rPr>
          <w:rStyle w:val="References"/>
        </w:rPr>
        <w:t>2</w:t>
      </w:r>
      <w:r w:rsidR="009C7446" w:rsidRPr="009C7446">
        <w:rPr>
          <w:rStyle w:val="References"/>
        </w:rPr>
        <w:t xml:space="preserve">, item </w:t>
      </w:r>
      <w:r w:rsidR="00D53F27">
        <w:rPr>
          <w:rStyle w:val="References"/>
        </w:rPr>
        <w:t>95</w:t>
      </w:r>
      <w:r w:rsidR="009C7446" w:rsidRPr="009C7446">
        <w:rPr>
          <w:rStyle w:val="References"/>
        </w:rPr>
        <w:t xml:space="preserve">, </w:t>
      </w:r>
      <w:r w:rsidR="00FC4732">
        <w:rPr>
          <w:rStyle w:val="References"/>
        </w:rPr>
        <w:t>sub</w:t>
      </w:r>
      <w:r w:rsidR="009C7446" w:rsidRPr="009C7446">
        <w:rPr>
          <w:rStyle w:val="References"/>
        </w:rPr>
        <w:t>section</w:t>
      </w:r>
      <w:r w:rsidR="009C7446">
        <w:rPr>
          <w:rStyle w:val="References"/>
        </w:rPr>
        <w:t xml:space="preserve"> 823</w:t>
      </w:r>
      <w:proofErr w:type="gramStart"/>
      <w:r w:rsidR="009C7446">
        <w:rPr>
          <w:rStyle w:val="References"/>
        </w:rPr>
        <w:t>F</w:t>
      </w:r>
      <w:r w:rsidR="0088161A">
        <w:rPr>
          <w:rStyle w:val="References"/>
        </w:rPr>
        <w:t>(</w:t>
      </w:r>
      <w:proofErr w:type="gramEnd"/>
      <w:r w:rsidR="0088161A">
        <w:rPr>
          <w:rStyle w:val="References"/>
        </w:rPr>
        <w:t>1</w:t>
      </w:r>
      <w:r w:rsidR="00FC4732" w:rsidDel="00892BB6">
        <w:rPr>
          <w:rStyle w:val="References"/>
        </w:rPr>
        <w:t>)</w:t>
      </w:r>
      <w:r w:rsidR="009C7446" w:rsidRPr="009C7446" w:rsidDel="00892BB6">
        <w:rPr>
          <w:rStyle w:val="References"/>
        </w:rPr>
        <w:t xml:space="preserve"> </w:t>
      </w:r>
      <w:r w:rsidR="009C7446" w:rsidRPr="009C7446">
        <w:rPr>
          <w:rStyle w:val="References"/>
        </w:rPr>
        <w:t xml:space="preserve">of the </w:t>
      </w:r>
      <w:r w:rsidR="000E7C19">
        <w:rPr>
          <w:rStyle w:val="References"/>
        </w:rPr>
        <w:t>Act</w:t>
      </w:r>
      <w:r w:rsidR="009C7446" w:rsidRPr="009C7446">
        <w:rPr>
          <w:rStyle w:val="References"/>
        </w:rPr>
        <w:t>]</w:t>
      </w:r>
    </w:p>
    <w:p w14:paraId="0D9FB8B0" w14:textId="2B5549F3" w:rsidR="009C7446" w:rsidRDefault="000E6591" w:rsidP="00125C2C">
      <w:pPr>
        <w:pStyle w:val="Normalparatextwithnumbers"/>
      </w:pPr>
      <w:r>
        <w:lastRenderedPageBreak/>
        <w:t xml:space="preserve">Where a CS facility licensee is directed to </w:t>
      </w:r>
      <w:r w:rsidR="009C7446" w:rsidRPr="00D078FF">
        <w:t>change the operating rules</w:t>
      </w:r>
      <w:r>
        <w:t>,</w:t>
      </w:r>
      <w:r w:rsidR="00CC278A">
        <w:t xml:space="preserve"> the licensee must provide notice to ASIC under</w:t>
      </w:r>
      <w:r>
        <w:t xml:space="preserve"> </w:t>
      </w:r>
      <w:r w:rsidR="009C7446" w:rsidRPr="00D078FF">
        <w:t>section 822</w:t>
      </w:r>
      <w:proofErr w:type="gramStart"/>
      <w:r w:rsidR="009C7446" w:rsidRPr="00D078FF">
        <w:t>D(</w:t>
      </w:r>
      <w:proofErr w:type="gramEnd"/>
      <w:r w:rsidR="00CC278A">
        <w:t>1</w:t>
      </w:r>
      <w:r w:rsidR="009C7446" w:rsidRPr="00D078FF">
        <w:t>)</w:t>
      </w:r>
      <w:r w:rsidR="00CC278A">
        <w:t xml:space="preserve"> of the Act</w:t>
      </w:r>
      <w:r w:rsidR="004A60ED">
        <w:t>.</w:t>
      </w:r>
      <w:r w:rsidR="00CC278A">
        <w:t xml:space="preserve"> </w:t>
      </w:r>
      <w:r w:rsidR="004A60ED">
        <w:t>H</w:t>
      </w:r>
      <w:r w:rsidR="00CC278A">
        <w:t>owever, the changes to the rules will continue to have effect regardless if notification is provided after 21 days under subsection 822</w:t>
      </w:r>
      <w:proofErr w:type="gramStart"/>
      <w:r w:rsidR="00CC278A">
        <w:t>D(</w:t>
      </w:r>
      <w:proofErr w:type="gramEnd"/>
      <w:r w:rsidR="00CC278A">
        <w:t xml:space="preserve">2) of the Act. ASIC may not disallow changes under section </w:t>
      </w:r>
      <w:r w:rsidR="00CC278A" w:rsidRPr="00D078FF">
        <w:t>822E of the Act</w:t>
      </w:r>
      <w:r w:rsidR="00CC278A">
        <w:t xml:space="preserve"> when a CS facility is directed to do so</w:t>
      </w:r>
      <w:r w:rsidR="009C7446">
        <w:t xml:space="preserve">. </w:t>
      </w:r>
      <w:r w:rsidR="00CC278A">
        <w:t xml:space="preserve"> </w:t>
      </w:r>
      <w:r w:rsidR="00896709">
        <w:br/>
      </w:r>
      <w:r w:rsidR="00896709" w:rsidRPr="00896709">
        <w:rPr>
          <w:rStyle w:val="References"/>
        </w:rPr>
        <w:t>[</w:t>
      </w:r>
      <w:r w:rsidR="00A93424">
        <w:rPr>
          <w:rStyle w:val="References"/>
        </w:rPr>
        <w:t xml:space="preserve">Schedule </w:t>
      </w:r>
      <w:r w:rsidR="00AD41C5">
        <w:rPr>
          <w:rStyle w:val="References"/>
        </w:rPr>
        <w:t>2</w:t>
      </w:r>
      <w:r w:rsidR="00896709" w:rsidRPr="00896709">
        <w:rPr>
          <w:rStyle w:val="References"/>
        </w:rPr>
        <w:t xml:space="preserve">, item </w:t>
      </w:r>
      <w:r w:rsidR="00AD41C5">
        <w:rPr>
          <w:rStyle w:val="References"/>
        </w:rPr>
        <w:t>95</w:t>
      </w:r>
      <w:r w:rsidR="00896709" w:rsidRPr="00896709">
        <w:rPr>
          <w:rStyle w:val="References"/>
        </w:rPr>
        <w:t xml:space="preserve">, section </w:t>
      </w:r>
      <w:r w:rsidR="00896709">
        <w:rPr>
          <w:rStyle w:val="References"/>
        </w:rPr>
        <w:t xml:space="preserve">823S </w:t>
      </w:r>
      <w:r w:rsidR="00896709" w:rsidRPr="00896709">
        <w:rPr>
          <w:rStyle w:val="References"/>
        </w:rPr>
        <w:t xml:space="preserve">of the </w:t>
      </w:r>
      <w:r w:rsidR="000E7C19">
        <w:rPr>
          <w:rStyle w:val="References"/>
        </w:rPr>
        <w:t>Act</w:t>
      </w:r>
      <w:r w:rsidR="00896709" w:rsidRPr="00896709">
        <w:rPr>
          <w:rStyle w:val="References"/>
        </w:rPr>
        <w:t>]</w:t>
      </w:r>
      <w:r w:rsidR="009C7446">
        <w:t xml:space="preserve"> </w:t>
      </w:r>
    </w:p>
    <w:p w14:paraId="7500CEBC" w14:textId="4A2C4B68" w:rsidR="00FC4732" w:rsidRPr="00D078FF" w:rsidRDefault="00413D71" w:rsidP="00FD5CBA">
      <w:pPr>
        <w:pStyle w:val="Heading6"/>
        <w:rPr>
          <w:rFonts w:hint="eastAsia"/>
        </w:rPr>
      </w:pPr>
      <w:r>
        <w:t xml:space="preserve">Recapitalisation direction </w:t>
      </w:r>
    </w:p>
    <w:p w14:paraId="5D90AE6A" w14:textId="7E03F906" w:rsidR="00413D71" w:rsidRDefault="00F60D55" w:rsidP="00125C2C">
      <w:pPr>
        <w:pStyle w:val="Normalparatextwithnumbers"/>
      </w:pPr>
      <w:r>
        <w:t>I</w:t>
      </w:r>
      <w:r w:rsidRPr="00F60D55">
        <w:t>n accordance with an expert’s report on the fair value of shares or after working out the fair value of other capital instruments</w:t>
      </w:r>
      <w:r>
        <w:t>, the RBA may issue a</w:t>
      </w:r>
      <w:r w:rsidR="00E0251E" w:rsidRPr="00D078FF">
        <w:t xml:space="preserve"> recapitalisation direction </w:t>
      </w:r>
      <w:r w:rsidR="00E0251E">
        <w:t xml:space="preserve">to </w:t>
      </w:r>
      <w:r w:rsidR="00986603">
        <w:t xml:space="preserve">a </w:t>
      </w:r>
      <w:r w:rsidR="00E0251E" w:rsidRPr="00D078FF">
        <w:t>domestic CS facility licensee</w:t>
      </w:r>
      <w:r w:rsidR="00E0251E">
        <w:t xml:space="preserve"> </w:t>
      </w:r>
      <w:r w:rsidR="00FD5CBA">
        <w:t>to deal with the following</w:t>
      </w:r>
      <w:r w:rsidR="00E0251E">
        <w:t xml:space="preserve">: </w:t>
      </w:r>
    </w:p>
    <w:p w14:paraId="37EC94E4" w14:textId="346CC80A" w:rsidR="00FD5CBA" w:rsidRDefault="00FD5CBA" w:rsidP="00FD5CBA">
      <w:pPr>
        <w:pStyle w:val="Dotpoint1"/>
      </w:pPr>
      <w:r w:rsidRPr="000E6591">
        <w:t xml:space="preserve">increase the licensee’s level of share capital to a specified </w:t>
      </w:r>
      <w:proofErr w:type="gramStart"/>
      <w:r w:rsidRPr="000E6591">
        <w:t>level</w:t>
      </w:r>
      <w:r>
        <w:t>;</w:t>
      </w:r>
      <w:proofErr w:type="gramEnd"/>
      <w:r>
        <w:t xml:space="preserve"> </w:t>
      </w:r>
    </w:p>
    <w:p w14:paraId="2634FD1B" w14:textId="7328DF1E" w:rsidR="00FD5CBA" w:rsidRDefault="00FD5CBA" w:rsidP="00FD5CBA">
      <w:pPr>
        <w:pStyle w:val="Dotpoint1"/>
      </w:pPr>
      <w:r w:rsidRPr="000E6591">
        <w:t xml:space="preserve">issue one or more classes of shares </w:t>
      </w:r>
      <w:r>
        <w:t>or right to acquire shares in the licensee; or</w:t>
      </w:r>
    </w:p>
    <w:p w14:paraId="0FACF20D" w14:textId="6CF67BA9" w:rsidR="00FD5CBA" w:rsidRDefault="00FD5CBA" w:rsidP="00FD5CBA">
      <w:pPr>
        <w:pStyle w:val="Dotpoint1"/>
      </w:pPr>
      <w:r>
        <w:t xml:space="preserve">issue one or more </w:t>
      </w:r>
      <w:r w:rsidRPr="000E6591">
        <w:t>capital instruments</w:t>
      </w:r>
      <w:r>
        <w:t xml:space="preserve"> prescribed by the regulations.</w:t>
      </w:r>
      <w:r w:rsidRPr="000E6591">
        <w:t xml:space="preserve"> </w:t>
      </w:r>
      <w:r w:rsidR="00640CA5">
        <w:br/>
      </w:r>
      <w:r w:rsidR="00640CA5" w:rsidRPr="00FC4732">
        <w:rPr>
          <w:rStyle w:val="References"/>
        </w:rPr>
        <w:t>[</w:t>
      </w:r>
      <w:r w:rsidR="00640CA5">
        <w:rPr>
          <w:rStyle w:val="References"/>
        </w:rPr>
        <w:t xml:space="preserve">Schedule </w:t>
      </w:r>
      <w:r w:rsidR="00777596">
        <w:rPr>
          <w:rStyle w:val="References"/>
        </w:rPr>
        <w:t>2</w:t>
      </w:r>
      <w:r w:rsidR="00640CA5" w:rsidRPr="00FC4732">
        <w:rPr>
          <w:rStyle w:val="References"/>
        </w:rPr>
        <w:t xml:space="preserve">, item </w:t>
      </w:r>
      <w:r w:rsidR="00777596">
        <w:rPr>
          <w:rStyle w:val="References"/>
        </w:rPr>
        <w:t>95</w:t>
      </w:r>
      <w:r w:rsidR="00596746">
        <w:rPr>
          <w:rStyle w:val="References"/>
        </w:rPr>
        <w:t xml:space="preserve"> and </w:t>
      </w:r>
      <w:r w:rsidR="00596746" w:rsidRPr="00596746">
        <w:rPr>
          <w:rStyle w:val="References"/>
        </w:rPr>
        <w:t>1</w:t>
      </w:r>
      <w:r w:rsidR="00777596">
        <w:rPr>
          <w:rStyle w:val="References"/>
        </w:rPr>
        <w:t>0</w:t>
      </w:r>
      <w:r w:rsidR="00596746" w:rsidRPr="00596746">
        <w:rPr>
          <w:rStyle w:val="References"/>
        </w:rPr>
        <w:t>2</w:t>
      </w:r>
      <w:r w:rsidR="00640CA5" w:rsidRPr="00FC4732">
        <w:rPr>
          <w:rStyle w:val="References"/>
        </w:rPr>
        <w:t xml:space="preserve">, </w:t>
      </w:r>
      <w:r w:rsidR="00640CA5">
        <w:rPr>
          <w:rStyle w:val="References"/>
        </w:rPr>
        <w:t>paragraph 823F(1)(c)</w:t>
      </w:r>
      <w:r w:rsidR="00716B0A">
        <w:rPr>
          <w:rStyle w:val="References"/>
        </w:rPr>
        <w:t xml:space="preserve"> and section 9</w:t>
      </w:r>
      <w:r w:rsidR="00A41E54">
        <w:rPr>
          <w:rStyle w:val="References"/>
        </w:rPr>
        <w:t xml:space="preserve"> </w:t>
      </w:r>
      <w:r w:rsidR="00640CA5" w:rsidRPr="00FC4732">
        <w:rPr>
          <w:rStyle w:val="References"/>
        </w:rPr>
        <w:t xml:space="preserve">of the </w:t>
      </w:r>
      <w:r w:rsidR="00640CA5">
        <w:rPr>
          <w:rStyle w:val="References"/>
        </w:rPr>
        <w:t>Act</w:t>
      </w:r>
      <w:r w:rsidR="00640CA5" w:rsidRPr="00FC4732">
        <w:rPr>
          <w:rStyle w:val="References"/>
        </w:rPr>
        <w:t>]</w:t>
      </w:r>
    </w:p>
    <w:p w14:paraId="4ED907FD" w14:textId="2AF9EAD7" w:rsidR="00640CA5" w:rsidRPr="00F60D55" w:rsidRDefault="00640CA5" w:rsidP="00D10880">
      <w:pPr>
        <w:pStyle w:val="Heading6"/>
        <w:rPr>
          <w:rFonts w:hint="eastAsia"/>
        </w:rPr>
      </w:pPr>
      <w:r w:rsidRPr="00F60D55">
        <w:t>Expert report</w:t>
      </w:r>
    </w:p>
    <w:p w14:paraId="5F2B1E17" w14:textId="08B20EDD" w:rsidR="00BE6A4F" w:rsidRDefault="00640CA5" w:rsidP="00640CA5">
      <w:pPr>
        <w:pStyle w:val="Normalparatextwithnumbers"/>
      </w:pPr>
      <w:r w:rsidRPr="00D078FF">
        <w:t>Prior to issuing a recapitalisation direction</w:t>
      </w:r>
      <w:r>
        <w:t xml:space="preserve"> relating to shares</w:t>
      </w:r>
      <w:r w:rsidRPr="00D078FF">
        <w:t xml:space="preserve">, the RBA </w:t>
      </w:r>
      <w:r>
        <w:t xml:space="preserve">must </w:t>
      </w:r>
      <w:r w:rsidRPr="00D078FF">
        <w:t>obtain a</w:t>
      </w:r>
      <w:r>
        <w:t>n expert</w:t>
      </w:r>
      <w:r w:rsidRPr="00D078FF">
        <w:t xml:space="preserve"> report on the fair value of the shares or rights in the domestic CS facility licensee</w:t>
      </w:r>
      <w:r>
        <w:t xml:space="preserve">. </w:t>
      </w:r>
      <w:r w:rsidR="00BE6A4F">
        <w:t xml:space="preserve">The report cannot be completed by </w:t>
      </w:r>
      <w:r w:rsidR="00BE6A4F" w:rsidRPr="00D078FF">
        <w:t xml:space="preserve">an associate (within the meaning of Division 2 of Part 1.2 of the Act) of the </w:t>
      </w:r>
      <w:r w:rsidR="00BE6A4F">
        <w:t>body corporate.</w:t>
      </w:r>
      <w:r w:rsidR="00BE6A4F" w:rsidRPr="00BE6A4F">
        <w:rPr>
          <w:rStyle w:val="References"/>
        </w:rPr>
        <w:t xml:space="preserve"> </w:t>
      </w:r>
      <w:r w:rsidR="00BE6A4F" w:rsidRPr="004D29EE">
        <w:rPr>
          <w:rStyle w:val="References"/>
        </w:rPr>
        <w:t>[</w:t>
      </w:r>
      <w:r w:rsidR="00BE6A4F">
        <w:rPr>
          <w:rStyle w:val="References"/>
        </w:rPr>
        <w:t xml:space="preserve">Schedule </w:t>
      </w:r>
      <w:r w:rsidR="004B2876">
        <w:rPr>
          <w:rStyle w:val="References"/>
        </w:rPr>
        <w:t>2</w:t>
      </w:r>
      <w:r w:rsidR="00BE6A4F" w:rsidRPr="004D29EE">
        <w:rPr>
          <w:rStyle w:val="References"/>
        </w:rPr>
        <w:t xml:space="preserve">, item </w:t>
      </w:r>
      <w:r w:rsidR="004B2876">
        <w:rPr>
          <w:rStyle w:val="References"/>
        </w:rPr>
        <w:t>95</w:t>
      </w:r>
      <w:r w:rsidR="00BE6A4F" w:rsidRPr="004D29EE">
        <w:rPr>
          <w:rStyle w:val="References"/>
        </w:rPr>
        <w:t xml:space="preserve">, </w:t>
      </w:r>
      <w:r w:rsidR="00BE6A4F">
        <w:rPr>
          <w:rStyle w:val="References"/>
        </w:rPr>
        <w:t>sub</w:t>
      </w:r>
      <w:r w:rsidR="00BE6A4F" w:rsidRPr="004D29EE">
        <w:rPr>
          <w:rStyle w:val="References"/>
        </w:rPr>
        <w:t>section</w:t>
      </w:r>
      <w:r w:rsidR="00BE6A4F">
        <w:rPr>
          <w:rStyle w:val="References"/>
        </w:rPr>
        <w:t xml:space="preserve"> 823</w:t>
      </w:r>
      <w:proofErr w:type="gramStart"/>
      <w:r w:rsidR="00BE6A4F">
        <w:rPr>
          <w:rStyle w:val="References"/>
        </w:rPr>
        <w:t>M(</w:t>
      </w:r>
      <w:proofErr w:type="gramEnd"/>
      <w:r w:rsidR="00BE6A4F">
        <w:rPr>
          <w:rStyle w:val="References"/>
        </w:rPr>
        <w:t>1)</w:t>
      </w:r>
      <w:r w:rsidR="00BE6A4F" w:rsidRPr="004D29EE">
        <w:rPr>
          <w:rStyle w:val="References"/>
        </w:rPr>
        <w:t xml:space="preserve"> of the </w:t>
      </w:r>
      <w:r w:rsidR="00BE6A4F">
        <w:rPr>
          <w:rStyle w:val="References"/>
        </w:rPr>
        <w:t>Act</w:t>
      </w:r>
      <w:r w:rsidR="00BE6A4F" w:rsidRPr="004D29EE">
        <w:rPr>
          <w:rStyle w:val="References"/>
        </w:rPr>
        <w:t>]</w:t>
      </w:r>
    </w:p>
    <w:p w14:paraId="62FE5AED" w14:textId="0295C1BE" w:rsidR="00BE6A4F" w:rsidRPr="00BE6A4F" w:rsidRDefault="00640CA5" w:rsidP="00640CA5">
      <w:pPr>
        <w:pStyle w:val="Normalparatextwithnumbers"/>
        <w:rPr>
          <w:rStyle w:val="References"/>
          <w:b w:val="0"/>
          <w:bCs w:val="0"/>
          <w:i w:val="0"/>
          <w:iCs w:val="0"/>
        </w:rPr>
      </w:pPr>
      <w:r w:rsidRPr="00D078FF">
        <w:t xml:space="preserve">The report must set out the fair value of each share or right, and the reasons for the expert forming that opinion. </w:t>
      </w:r>
      <w:r>
        <w:t>In addition, the report must specify any monetary or non-monetary interest that could affect the expert’s judgment, including any connection between the expert, the licensee and persons associated with the licensee.</w:t>
      </w:r>
      <w:r w:rsidR="00BE6A4F">
        <w:t xml:space="preserve"> The RBA must consider the report. </w:t>
      </w:r>
      <w:r>
        <w:t xml:space="preserve"> </w:t>
      </w:r>
      <w:r w:rsidR="00BE6A4F">
        <w:br/>
      </w:r>
      <w:r w:rsidR="00BE6A4F" w:rsidRPr="00BE6A4F">
        <w:rPr>
          <w:rStyle w:val="References"/>
        </w:rPr>
        <w:t xml:space="preserve">[Schedule </w:t>
      </w:r>
      <w:r w:rsidR="004B2876">
        <w:rPr>
          <w:rStyle w:val="References"/>
        </w:rPr>
        <w:t>2</w:t>
      </w:r>
      <w:r w:rsidR="00BE6A4F" w:rsidRPr="00BE6A4F">
        <w:rPr>
          <w:rStyle w:val="References"/>
        </w:rPr>
        <w:t xml:space="preserve">, item </w:t>
      </w:r>
      <w:r w:rsidR="004B2876">
        <w:rPr>
          <w:rStyle w:val="References"/>
        </w:rPr>
        <w:t>95</w:t>
      </w:r>
      <w:r w:rsidR="00BE6A4F" w:rsidRPr="00BE6A4F">
        <w:rPr>
          <w:rStyle w:val="References"/>
        </w:rPr>
        <w:t>, subsection 823</w:t>
      </w:r>
      <w:proofErr w:type="gramStart"/>
      <w:r w:rsidR="00BE6A4F" w:rsidRPr="00BE6A4F">
        <w:rPr>
          <w:rStyle w:val="References"/>
        </w:rPr>
        <w:t>M(</w:t>
      </w:r>
      <w:proofErr w:type="gramEnd"/>
      <w:r w:rsidR="00BE6A4F">
        <w:rPr>
          <w:rStyle w:val="References"/>
        </w:rPr>
        <w:t>2</w:t>
      </w:r>
      <w:r w:rsidR="00BE6A4F" w:rsidRPr="00BE6A4F">
        <w:rPr>
          <w:rStyle w:val="References"/>
        </w:rPr>
        <w:t>) of the Act]</w:t>
      </w:r>
    </w:p>
    <w:p w14:paraId="5231A3F1" w14:textId="2C3A3434" w:rsidR="00BE6A4F" w:rsidRPr="00BE6A4F" w:rsidRDefault="00BE6A4F" w:rsidP="00BE6A4F">
      <w:pPr>
        <w:pStyle w:val="Normalparatextwithnumbers"/>
        <w:rPr>
          <w:bCs/>
          <w:iCs/>
        </w:rPr>
      </w:pPr>
      <w:r>
        <w:t>In determining the fair value of each share in a CS facility licensee, the expert must</w:t>
      </w:r>
      <w:r w:rsidR="00EB40A1">
        <w:t>:</w:t>
      </w:r>
      <w:r>
        <w:t xml:space="preserve"> </w:t>
      </w:r>
    </w:p>
    <w:p w14:paraId="2B1003CB" w14:textId="7F7D6FF0" w:rsidR="00EB40A1" w:rsidRPr="00EB40A1" w:rsidRDefault="00BE6A4F" w:rsidP="00BE6A4F">
      <w:pPr>
        <w:pStyle w:val="Dotpoint1"/>
        <w:rPr>
          <w:bCs/>
          <w:iCs/>
        </w:rPr>
      </w:pPr>
      <w:r>
        <w:t xml:space="preserve">assess the licensee’s value as a whole in accordance with any assumptions the Minister </w:t>
      </w:r>
      <w:proofErr w:type="gramStart"/>
      <w:r>
        <w:t>provides</w:t>
      </w:r>
      <w:r w:rsidR="00EB40A1">
        <w:t>;</w:t>
      </w:r>
      <w:proofErr w:type="gramEnd"/>
      <w:r>
        <w:t xml:space="preserve"> </w:t>
      </w:r>
    </w:p>
    <w:p w14:paraId="002BFB04" w14:textId="74EB4CEB" w:rsidR="00EB40A1" w:rsidRPr="00EB40A1" w:rsidRDefault="00BE6A4F" w:rsidP="00BE6A4F">
      <w:pPr>
        <w:pStyle w:val="Dotpoint1"/>
        <w:rPr>
          <w:bCs/>
          <w:iCs/>
        </w:rPr>
      </w:pPr>
      <w:r>
        <w:t xml:space="preserve">allocate that value among the classes of shares that have been issued or that the RBA proposes to be issued </w:t>
      </w:r>
      <w:r w:rsidR="00EB40A1">
        <w:t>in the direction (</w:t>
      </w:r>
      <w:r>
        <w:t>taking into account financial risk and voting distribution rights of the classes</w:t>
      </w:r>
      <w:proofErr w:type="gramStart"/>
      <w:r w:rsidR="00EB40A1">
        <w:t>);</w:t>
      </w:r>
      <w:proofErr w:type="gramEnd"/>
      <w:r>
        <w:t xml:space="preserve"> </w:t>
      </w:r>
    </w:p>
    <w:p w14:paraId="19728A1E" w14:textId="2BEAE276" w:rsidR="006B5095" w:rsidRPr="006B5095" w:rsidRDefault="006B5095" w:rsidP="00BE6A4F">
      <w:pPr>
        <w:pStyle w:val="Dotpoint1"/>
        <w:rPr>
          <w:bCs/>
          <w:iCs/>
        </w:rPr>
      </w:pPr>
      <w:r>
        <w:t xml:space="preserve">then after that allocation, </w:t>
      </w:r>
      <w:r w:rsidR="00BE6A4F">
        <w:t xml:space="preserve">allocate the value of each class pro rata among the shares in the class that has been issued, or that the RBA proposes to be issued. </w:t>
      </w:r>
      <w:r>
        <w:br/>
      </w:r>
      <w:r w:rsidRPr="006B5095">
        <w:rPr>
          <w:rStyle w:val="References"/>
        </w:rPr>
        <w:t xml:space="preserve">[Schedule </w:t>
      </w:r>
      <w:r w:rsidR="00D57E33">
        <w:rPr>
          <w:rStyle w:val="References"/>
        </w:rPr>
        <w:t>2</w:t>
      </w:r>
      <w:r w:rsidRPr="006B5095">
        <w:rPr>
          <w:rStyle w:val="References"/>
        </w:rPr>
        <w:t xml:space="preserve">, item </w:t>
      </w:r>
      <w:r w:rsidR="00D57E33">
        <w:rPr>
          <w:rStyle w:val="References"/>
        </w:rPr>
        <w:t>95</w:t>
      </w:r>
      <w:r w:rsidRPr="006B5095">
        <w:rPr>
          <w:rStyle w:val="References"/>
        </w:rPr>
        <w:t>, subsection 823</w:t>
      </w:r>
      <w:proofErr w:type="gramStart"/>
      <w:r w:rsidRPr="006B5095">
        <w:rPr>
          <w:rStyle w:val="References"/>
        </w:rPr>
        <w:t>N(</w:t>
      </w:r>
      <w:proofErr w:type="gramEnd"/>
      <w:r>
        <w:rPr>
          <w:rStyle w:val="References"/>
        </w:rPr>
        <w:t>1</w:t>
      </w:r>
      <w:r w:rsidRPr="006B5095">
        <w:rPr>
          <w:rStyle w:val="References"/>
        </w:rPr>
        <w:t>) of the Act]</w:t>
      </w:r>
    </w:p>
    <w:p w14:paraId="6ED144A2" w14:textId="03DB7762" w:rsidR="006B5095" w:rsidRPr="006B5095" w:rsidRDefault="006B5095" w:rsidP="006B5095">
      <w:pPr>
        <w:pStyle w:val="Normalparatextwithnumbers"/>
        <w:rPr>
          <w:bCs/>
          <w:iCs/>
        </w:rPr>
      </w:pPr>
      <w:r>
        <w:rPr>
          <w:bCs/>
          <w:iCs/>
        </w:rPr>
        <w:lastRenderedPageBreak/>
        <w:t xml:space="preserve">The </w:t>
      </w:r>
      <w:r w:rsidR="00F60D55">
        <w:rPr>
          <w:bCs/>
          <w:iCs/>
        </w:rPr>
        <w:t xml:space="preserve">written </w:t>
      </w:r>
      <w:r>
        <w:rPr>
          <w:bCs/>
          <w:iCs/>
        </w:rPr>
        <w:t xml:space="preserve">assumptions the Minister may provide the expert include the valuation of the CS facility licensee and the valuation of rights to acquire shares in the CS facility licensee. </w:t>
      </w:r>
      <w:r w:rsidR="00F60D55">
        <w:rPr>
          <w:bCs/>
          <w:iCs/>
        </w:rPr>
        <w:t xml:space="preserve">The Minister may not amend the assumptions provided to the </w:t>
      </w:r>
      <w:proofErr w:type="gramStart"/>
      <w:r w:rsidR="00F60D55">
        <w:rPr>
          <w:bCs/>
          <w:iCs/>
        </w:rPr>
        <w:t>expert, but</w:t>
      </w:r>
      <w:proofErr w:type="gramEnd"/>
      <w:r w:rsidR="00F60D55">
        <w:rPr>
          <w:bCs/>
          <w:iCs/>
        </w:rPr>
        <w:t xml:space="preserve"> is permitted to </w:t>
      </w:r>
      <w:r w:rsidR="00F60D55">
        <w:rPr>
          <w:rStyle w:val="References"/>
          <w:b w:val="0"/>
          <w:bCs w:val="0"/>
          <w:i w:val="0"/>
          <w:iCs w:val="0"/>
        </w:rPr>
        <w:t>revoke the assumptions in writing. The written assumptions or subsequent revocation is not a legislative instrument.</w:t>
      </w:r>
      <w:r>
        <w:rPr>
          <w:bCs/>
          <w:iCs/>
        </w:rPr>
        <w:br/>
      </w:r>
      <w:r w:rsidRPr="006B5095">
        <w:rPr>
          <w:rStyle w:val="References"/>
        </w:rPr>
        <w:t xml:space="preserve">[Schedule </w:t>
      </w:r>
      <w:r w:rsidR="00D57E33">
        <w:rPr>
          <w:rStyle w:val="References"/>
        </w:rPr>
        <w:t>2</w:t>
      </w:r>
      <w:r w:rsidRPr="006B5095">
        <w:rPr>
          <w:rStyle w:val="References"/>
        </w:rPr>
        <w:t xml:space="preserve">, item </w:t>
      </w:r>
      <w:r w:rsidR="00D57E33">
        <w:rPr>
          <w:rStyle w:val="References"/>
        </w:rPr>
        <w:t>95</w:t>
      </w:r>
      <w:r w:rsidRPr="006B5095">
        <w:rPr>
          <w:rStyle w:val="References"/>
        </w:rPr>
        <w:t>, subsection 823</w:t>
      </w:r>
      <w:proofErr w:type="gramStart"/>
      <w:r w:rsidRPr="006B5095">
        <w:rPr>
          <w:rStyle w:val="References"/>
        </w:rPr>
        <w:t>N(</w:t>
      </w:r>
      <w:proofErr w:type="gramEnd"/>
      <w:r>
        <w:rPr>
          <w:rStyle w:val="References"/>
        </w:rPr>
        <w:t>3</w:t>
      </w:r>
      <w:r w:rsidRPr="006B5095">
        <w:rPr>
          <w:rStyle w:val="References"/>
        </w:rPr>
        <w:t>)</w:t>
      </w:r>
      <w:r w:rsidR="00427330">
        <w:rPr>
          <w:rStyle w:val="References"/>
        </w:rPr>
        <w:t xml:space="preserve">, (4) and </w:t>
      </w:r>
      <w:r w:rsidR="00F60D55">
        <w:rPr>
          <w:rStyle w:val="References"/>
        </w:rPr>
        <w:t>(5)</w:t>
      </w:r>
      <w:r w:rsidRPr="006B5095">
        <w:rPr>
          <w:rStyle w:val="References"/>
        </w:rPr>
        <w:t xml:space="preserve"> </w:t>
      </w:r>
      <w:r>
        <w:rPr>
          <w:rStyle w:val="References"/>
        </w:rPr>
        <w:t>of the Act]</w:t>
      </w:r>
    </w:p>
    <w:p w14:paraId="2CA4BAFC" w14:textId="5DF11F24" w:rsidR="00BE6A4F" w:rsidRDefault="00F60D55">
      <w:pPr>
        <w:pStyle w:val="Normalparatextwithnumbers"/>
      </w:pPr>
      <w:r>
        <w:t xml:space="preserve">Where the </w:t>
      </w:r>
      <w:r w:rsidR="00BE6A4F">
        <w:t xml:space="preserve">RBA </w:t>
      </w:r>
      <w:r>
        <w:t xml:space="preserve">gives a direction to relating to capital instruments, the RBA </w:t>
      </w:r>
      <w:r w:rsidR="00BE6A4F">
        <w:t xml:space="preserve">must comply with any requirements </w:t>
      </w:r>
      <w:r>
        <w:t>prescribed in the R</w:t>
      </w:r>
      <w:r w:rsidR="00BE6A4F">
        <w:t xml:space="preserve">egulations for ascertaining the fair value of capital instruments or classes of capital instruments. </w:t>
      </w:r>
      <w:r w:rsidR="00BE6A4F">
        <w:br/>
      </w:r>
      <w:r w:rsidR="00BE6A4F">
        <w:rPr>
          <w:rStyle w:val="References"/>
        </w:rPr>
        <w:t xml:space="preserve">[Schedule </w:t>
      </w:r>
      <w:r w:rsidR="00D57E33">
        <w:rPr>
          <w:rStyle w:val="References"/>
        </w:rPr>
        <w:t>2</w:t>
      </w:r>
      <w:r w:rsidR="00BE6A4F">
        <w:rPr>
          <w:rStyle w:val="References"/>
        </w:rPr>
        <w:t xml:space="preserve">, item </w:t>
      </w:r>
      <w:r w:rsidR="00D57E33">
        <w:rPr>
          <w:rStyle w:val="References"/>
        </w:rPr>
        <w:t>95</w:t>
      </w:r>
      <w:r w:rsidR="00BE6A4F">
        <w:rPr>
          <w:rStyle w:val="References"/>
        </w:rPr>
        <w:t>, section 823P of the Act]</w:t>
      </w:r>
    </w:p>
    <w:p w14:paraId="179111F1" w14:textId="3CE090DA" w:rsidR="00BE6A4F" w:rsidRPr="00F60D55" w:rsidRDefault="00BE6A4F" w:rsidP="00D10880">
      <w:pPr>
        <w:pStyle w:val="Heading6"/>
        <w:rPr>
          <w:rFonts w:hint="eastAsia"/>
        </w:rPr>
      </w:pPr>
      <w:r w:rsidRPr="00F60D55">
        <w:t xml:space="preserve">Exception </w:t>
      </w:r>
    </w:p>
    <w:p w14:paraId="32E75C14" w14:textId="7D07D4C4" w:rsidR="00BE6A4F" w:rsidRPr="00F148C0" w:rsidRDefault="00BE6A4F" w:rsidP="00BE6A4F">
      <w:pPr>
        <w:pStyle w:val="Normalparatextwithnumbers"/>
        <w:rPr>
          <w:rStyle w:val="References"/>
          <w:b w:val="0"/>
          <w:bCs w:val="0"/>
          <w:i w:val="0"/>
          <w:iCs w:val="0"/>
        </w:rPr>
      </w:pPr>
      <w:r>
        <w:t xml:space="preserve">An expert report is not required to be obtained where the RBA considers that </w:t>
      </w:r>
      <w:r w:rsidRPr="00D078FF">
        <w:t xml:space="preserve">obtaining the </w:t>
      </w:r>
      <w:r>
        <w:t xml:space="preserve">expert </w:t>
      </w:r>
      <w:r w:rsidRPr="00D078FF">
        <w:t>report would detrimentally affect the continuity of critical CS facility services</w:t>
      </w:r>
      <w:r>
        <w:t xml:space="preserve"> or financial stability</w:t>
      </w:r>
      <w:r w:rsidRPr="00D078FF">
        <w:t>.</w:t>
      </w:r>
      <w:r w:rsidR="00596746">
        <w:t xml:space="preserve"> Similarly, failure for the RBA to obtain an expert report, determine the fair value of shares or comply with the requirements in the regulations relating to capital instruments does not affect the validity of a recapitalisation direction or </w:t>
      </w:r>
      <w:r w:rsidR="00596746">
        <w:rPr>
          <w:rStyle w:val="References"/>
          <w:b w:val="0"/>
          <w:bCs w:val="0"/>
          <w:i w:val="0"/>
          <w:iCs w:val="0"/>
        </w:rPr>
        <w:t>anything done in compl</w:t>
      </w:r>
      <w:r w:rsidR="00B53E51">
        <w:rPr>
          <w:rStyle w:val="References"/>
          <w:b w:val="0"/>
          <w:bCs w:val="0"/>
          <w:i w:val="0"/>
          <w:iCs w:val="0"/>
        </w:rPr>
        <w:t>y</w:t>
      </w:r>
      <w:r w:rsidR="00596746">
        <w:rPr>
          <w:rStyle w:val="References"/>
          <w:b w:val="0"/>
          <w:bCs w:val="0"/>
          <w:i w:val="0"/>
          <w:iCs w:val="0"/>
        </w:rPr>
        <w:t>in</w:t>
      </w:r>
      <w:r w:rsidR="00D57E33">
        <w:rPr>
          <w:rStyle w:val="References"/>
          <w:b w:val="0"/>
          <w:bCs w:val="0"/>
          <w:i w:val="0"/>
          <w:iCs w:val="0"/>
        </w:rPr>
        <w:t>g</w:t>
      </w:r>
      <w:r w:rsidR="00596746">
        <w:rPr>
          <w:rStyle w:val="References"/>
          <w:b w:val="0"/>
          <w:bCs w:val="0"/>
          <w:i w:val="0"/>
          <w:iCs w:val="0"/>
        </w:rPr>
        <w:t xml:space="preserve"> with the direction.</w:t>
      </w:r>
      <w:r>
        <w:br/>
      </w:r>
      <w:r w:rsidRPr="00763A96">
        <w:rPr>
          <w:rStyle w:val="References"/>
        </w:rPr>
        <w:t>[</w:t>
      </w:r>
      <w:r>
        <w:rPr>
          <w:rStyle w:val="References"/>
        </w:rPr>
        <w:t xml:space="preserve">Schedule </w:t>
      </w:r>
      <w:r w:rsidR="00D57E33">
        <w:rPr>
          <w:rStyle w:val="References"/>
        </w:rPr>
        <w:t>2</w:t>
      </w:r>
      <w:r w:rsidRPr="00763A96">
        <w:rPr>
          <w:rStyle w:val="References"/>
        </w:rPr>
        <w:t xml:space="preserve">, item </w:t>
      </w:r>
      <w:r w:rsidR="00D57E33">
        <w:rPr>
          <w:rStyle w:val="References"/>
        </w:rPr>
        <w:t>95</w:t>
      </w:r>
      <w:r w:rsidRPr="00763A96">
        <w:rPr>
          <w:rStyle w:val="References"/>
        </w:rPr>
        <w:t xml:space="preserve">, </w:t>
      </w:r>
      <w:r w:rsidR="008C572D">
        <w:rPr>
          <w:rStyle w:val="References"/>
        </w:rPr>
        <w:t>sub</w:t>
      </w:r>
      <w:r w:rsidRPr="00763A96">
        <w:rPr>
          <w:rStyle w:val="References"/>
        </w:rPr>
        <w:t xml:space="preserve">section </w:t>
      </w:r>
      <w:r>
        <w:rPr>
          <w:rStyle w:val="References"/>
        </w:rPr>
        <w:t>823</w:t>
      </w:r>
      <w:proofErr w:type="gramStart"/>
      <w:r>
        <w:rPr>
          <w:rStyle w:val="References"/>
        </w:rPr>
        <w:t>M(</w:t>
      </w:r>
      <w:proofErr w:type="gramEnd"/>
      <w:r>
        <w:rPr>
          <w:rStyle w:val="References"/>
        </w:rPr>
        <w:t>4)</w:t>
      </w:r>
      <w:r w:rsidR="00596746">
        <w:rPr>
          <w:rStyle w:val="References"/>
        </w:rPr>
        <w:t xml:space="preserve"> and </w:t>
      </w:r>
      <w:r w:rsidR="008C572D">
        <w:rPr>
          <w:rStyle w:val="References"/>
        </w:rPr>
        <w:t xml:space="preserve">section </w:t>
      </w:r>
      <w:r w:rsidR="00596746">
        <w:rPr>
          <w:rStyle w:val="References"/>
        </w:rPr>
        <w:t xml:space="preserve">823Q </w:t>
      </w:r>
      <w:r w:rsidRPr="00763A96">
        <w:rPr>
          <w:rStyle w:val="References"/>
        </w:rPr>
        <w:t xml:space="preserve">of the </w:t>
      </w:r>
      <w:r>
        <w:rPr>
          <w:rStyle w:val="References"/>
        </w:rPr>
        <w:t>Act</w:t>
      </w:r>
      <w:r w:rsidRPr="00763A96">
        <w:rPr>
          <w:rStyle w:val="References"/>
        </w:rPr>
        <w:t>]</w:t>
      </w:r>
    </w:p>
    <w:p w14:paraId="285850D8" w14:textId="0F9E98B1" w:rsidR="00640CA5" w:rsidRDefault="00640CA5" w:rsidP="00640CA5">
      <w:pPr>
        <w:pStyle w:val="Normalparatextwithnumbers"/>
      </w:pPr>
      <w:r>
        <w:t xml:space="preserve">The RBA is </w:t>
      </w:r>
      <w:r w:rsidR="00596746">
        <w:t>may</w:t>
      </w:r>
      <w:r>
        <w:t xml:space="preserve"> publish details of the report or details that relate to the report</w:t>
      </w:r>
      <w:r w:rsidR="00BE6A4F">
        <w:t>.</w:t>
      </w:r>
      <w:r w:rsidR="00BE6A4F">
        <w:br/>
      </w:r>
      <w:r w:rsidR="00BE6A4F" w:rsidRPr="00BE6A4F">
        <w:rPr>
          <w:rStyle w:val="References"/>
        </w:rPr>
        <w:t xml:space="preserve">[Schedule </w:t>
      </w:r>
      <w:r w:rsidR="008C572D">
        <w:rPr>
          <w:rStyle w:val="References"/>
        </w:rPr>
        <w:t>2</w:t>
      </w:r>
      <w:r w:rsidR="00BE6A4F" w:rsidRPr="00BE6A4F">
        <w:rPr>
          <w:rStyle w:val="References"/>
        </w:rPr>
        <w:t xml:space="preserve">, item </w:t>
      </w:r>
      <w:r w:rsidR="008C572D">
        <w:rPr>
          <w:rStyle w:val="References"/>
        </w:rPr>
        <w:t>95</w:t>
      </w:r>
      <w:r w:rsidR="00BE6A4F" w:rsidRPr="00BE6A4F">
        <w:rPr>
          <w:rStyle w:val="References"/>
        </w:rPr>
        <w:t>, subsection 823</w:t>
      </w:r>
      <w:proofErr w:type="gramStart"/>
      <w:r w:rsidR="00BE6A4F" w:rsidRPr="00BE6A4F">
        <w:rPr>
          <w:rStyle w:val="References"/>
        </w:rPr>
        <w:t>M(</w:t>
      </w:r>
      <w:proofErr w:type="gramEnd"/>
      <w:r w:rsidR="00006F44">
        <w:rPr>
          <w:rStyle w:val="References"/>
        </w:rPr>
        <w:t>3</w:t>
      </w:r>
      <w:r w:rsidR="00BE6A4F" w:rsidRPr="00BE6A4F">
        <w:rPr>
          <w:rStyle w:val="References"/>
        </w:rPr>
        <w:t>) of the Act]</w:t>
      </w:r>
    </w:p>
    <w:p w14:paraId="2B445F8C" w14:textId="2DE3F125" w:rsidR="00E25CD2" w:rsidRPr="00D078FF" w:rsidRDefault="00E25CD2" w:rsidP="00AD1047">
      <w:pPr>
        <w:pStyle w:val="Normalparatextwithnumbers"/>
      </w:pPr>
      <w:r w:rsidRPr="00D078FF">
        <w:t xml:space="preserve">As soon as practicable after complying with a recapitalisation direction, a domestic CS facility licensee or related body corporate must provide written notice to members </w:t>
      </w:r>
      <w:r w:rsidR="008C572D">
        <w:t xml:space="preserve">of the body corporate </w:t>
      </w:r>
      <w:r w:rsidR="00640CA5">
        <w:t xml:space="preserve">(including those </w:t>
      </w:r>
      <w:r w:rsidR="00E61250">
        <w:t>who were members of the licensee just before the issue</w:t>
      </w:r>
      <w:r w:rsidR="00640CA5">
        <w:t>)</w:t>
      </w:r>
      <w:r w:rsidR="00F4569B">
        <w:t>,</w:t>
      </w:r>
      <w:r w:rsidR="00E61250">
        <w:t xml:space="preserve"> </w:t>
      </w:r>
      <w:r w:rsidRPr="00D078FF">
        <w:t xml:space="preserve">identifying the issue and explaining its effect on their interests as members. </w:t>
      </w:r>
      <w:r w:rsidR="00763A96">
        <w:br/>
      </w:r>
      <w:r w:rsidRPr="00E25CD2">
        <w:rPr>
          <w:rStyle w:val="References"/>
        </w:rPr>
        <w:t>[</w:t>
      </w:r>
      <w:r w:rsidR="00A93424">
        <w:rPr>
          <w:rStyle w:val="References"/>
        </w:rPr>
        <w:t xml:space="preserve">Schedule </w:t>
      </w:r>
      <w:r w:rsidR="008C572D">
        <w:rPr>
          <w:rStyle w:val="References"/>
        </w:rPr>
        <w:t>2</w:t>
      </w:r>
      <w:r w:rsidRPr="00E25CD2">
        <w:rPr>
          <w:rStyle w:val="References"/>
        </w:rPr>
        <w:t xml:space="preserve">, item </w:t>
      </w:r>
      <w:r w:rsidR="008C572D">
        <w:rPr>
          <w:rStyle w:val="References"/>
        </w:rPr>
        <w:t>95</w:t>
      </w:r>
      <w:r w:rsidR="00D02A1E" w:rsidRPr="00E25CD2">
        <w:rPr>
          <w:rStyle w:val="References"/>
        </w:rPr>
        <w:t xml:space="preserve">, </w:t>
      </w:r>
      <w:r>
        <w:rPr>
          <w:rStyle w:val="References"/>
        </w:rPr>
        <w:t>sub</w:t>
      </w:r>
      <w:r w:rsidRPr="00E25CD2">
        <w:rPr>
          <w:rStyle w:val="References"/>
        </w:rPr>
        <w:t>section</w:t>
      </w:r>
      <w:r>
        <w:rPr>
          <w:rStyle w:val="References"/>
        </w:rPr>
        <w:t xml:space="preserve"> 823</w:t>
      </w:r>
      <w:proofErr w:type="gramStart"/>
      <w:r>
        <w:rPr>
          <w:rStyle w:val="References"/>
        </w:rPr>
        <w:t>L(</w:t>
      </w:r>
      <w:proofErr w:type="gramEnd"/>
      <w:r>
        <w:rPr>
          <w:rStyle w:val="References"/>
        </w:rPr>
        <w:t xml:space="preserve">1) </w:t>
      </w:r>
      <w:r w:rsidRPr="00E25CD2">
        <w:rPr>
          <w:rStyle w:val="References"/>
        </w:rPr>
        <w:t xml:space="preserve">of the </w:t>
      </w:r>
      <w:r w:rsidR="000E7C19">
        <w:rPr>
          <w:rStyle w:val="References"/>
        </w:rPr>
        <w:t>Act</w:t>
      </w:r>
      <w:r w:rsidRPr="00E25CD2">
        <w:rPr>
          <w:rStyle w:val="References"/>
        </w:rPr>
        <w:t>]</w:t>
      </w:r>
    </w:p>
    <w:p w14:paraId="47267158" w14:textId="5BC8B146" w:rsidR="004C7E4C" w:rsidRPr="000A4DC4" w:rsidRDefault="004C7E4C" w:rsidP="009D08D9">
      <w:pPr>
        <w:pStyle w:val="Normalparatextwithnumbers"/>
        <w:rPr>
          <w:rStyle w:val="References"/>
          <w:b w:val="0"/>
          <w:i w:val="0"/>
        </w:rPr>
      </w:pPr>
      <w:r>
        <w:rPr>
          <w:rStyle w:val="References"/>
          <w:b w:val="0"/>
          <w:bCs w:val="0"/>
          <w:i w:val="0"/>
          <w:iCs w:val="0"/>
        </w:rPr>
        <w:t xml:space="preserve">The acquisition </w:t>
      </w:r>
      <w:r w:rsidR="00B12F5F">
        <w:rPr>
          <w:rStyle w:val="References"/>
          <w:b w:val="0"/>
          <w:bCs w:val="0"/>
          <w:i w:val="0"/>
          <w:iCs w:val="0"/>
        </w:rPr>
        <w:t>of</w:t>
      </w:r>
      <w:r>
        <w:rPr>
          <w:rStyle w:val="References"/>
          <w:b w:val="0"/>
          <w:bCs w:val="0"/>
          <w:i w:val="0"/>
          <w:iCs w:val="0"/>
        </w:rPr>
        <w:t xml:space="preserve"> shares </w:t>
      </w:r>
      <w:r w:rsidR="00A74D1D">
        <w:rPr>
          <w:rStyle w:val="References"/>
          <w:b w:val="0"/>
          <w:bCs w:val="0"/>
          <w:i w:val="0"/>
          <w:iCs w:val="0"/>
        </w:rPr>
        <w:t>or other capital instruments as a result</w:t>
      </w:r>
      <w:r>
        <w:rPr>
          <w:rStyle w:val="References"/>
          <w:b w:val="0"/>
          <w:bCs w:val="0"/>
          <w:i w:val="0"/>
          <w:iCs w:val="0"/>
        </w:rPr>
        <w:t xml:space="preserve"> </w:t>
      </w:r>
      <w:r w:rsidR="0039640F">
        <w:rPr>
          <w:rStyle w:val="References"/>
          <w:b w:val="0"/>
          <w:bCs w:val="0"/>
          <w:i w:val="0"/>
          <w:iCs w:val="0"/>
        </w:rPr>
        <w:t xml:space="preserve">of </w:t>
      </w:r>
      <w:r>
        <w:rPr>
          <w:rStyle w:val="References"/>
          <w:b w:val="0"/>
          <w:bCs w:val="0"/>
          <w:i w:val="0"/>
          <w:iCs w:val="0"/>
        </w:rPr>
        <w:t xml:space="preserve">compliance with a recapitalisation direction is specifically authorised </w:t>
      </w:r>
      <w:r w:rsidR="00745C30">
        <w:rPr>
          <w:rStyle w:val="References"/>
          <w:b w:val="0"/>
          <w:bCs w:val="0"/>
          <w:i w:val="0"/>
          <w:iCs w:val="0"/>
        </w:rPr>
        <w:t xml:space="preserve">and </w:t>
      </w:r>
      <w:r w:rsidR="00814E41">
        <w:rPr>
          <w:rStyle w:val="References"/>
          <w:b w:val="0"/>
          <w:bCs w:val="0"/>
          <w:i w:val="0"/>
          <w:iCs w:val="0"/>
        </w:rPr>
        <w:t xml:space="preserve">is </w:t>
      </w:r>
      <w:r w:rsidR="00745C30">
        <w:rPr>
          <w:rStyle w:val="References"/>
          <w:b w:val="0"/>
          <w:bCs w:val="0"/>
          <w:i w:val="0"/>
          <w:iCs w:val="0"/>
        </w:rPr>
        <w:t xml:space="preserve">disregarded in working out </w:t>
      </w:r>
      <w:r w:rsidR="00814E41">
        <w:rPr>
          <w:rStyle w:val="References"/>
          <w:b w:val="0"/>
          <w:bCs w:val="0"/>
          <w:i w:val="0"/>
          <w:iCs w:val="0"/>
        </w:rPr>
        <w:t xml:space="preserve">whether </w:t>
      </w:r>
      <w:r w:rsidR="00745C30">
        <w:rPr>
          <w:rStyle w:val="References"/>
          <w:b w:val="0"/>
          <w:bCs w:val="0"/>
          <w:i w:val="0"/>
          <w:iCs w:val="0"/>
        </w:rPr>
        <w:t xml:space="preserve">a </w:t>
      </w:r>
      <w:r w:rsidR="00814E41">
        <w:rPr>
          <w:rStyle w:val="References"/>
          <w:b w:val="0"/>
          <w:bCs w:val="0"/>
          <w:i w:val="0"/>
          <w:iCs w:val="0"/>
        </w:rPr>
        <w:t xml:space="preserve">person has </w:t>
      </w:r>
      <w:r w:rsidR="00745C30">
        <w:rPr>
          <w:rStyle w:val="References"/>
          <w:b w:val="0"/>
          <w:bCs w:val="0"/>
          <w:i w:val="0"/>
          <w:iCs w:val="0"/>
        </w:rPr>
        <w:t>contraven</w:t>
      </w:r>
      <w:r w:rsidR="00814E41">
        <w:rPr>
          <w:rStyle w:val="References"/>
          <w:b w:val="0"/>
          <w:bCs w:val="0"/>
          <w:i w:val="0"/>
          <w:iCs w:val="0"/>
        </w:rPr>
        <w:t>ed</w:t>
      </w:r>
      <w:r w:rsidR="00745C30">
        <w:rPr>
          <w:rStyle w:val="References"/>
          <w:b w:val="0"/>
          <w:bCs w:val="0"/>
          <w:i w:val="0"/>
          <w:iCs w:val="0"/>
        </w:rPr>
        <w:t xml:space="preserve"> restrictive trade practices </w:t>
      </w:r>
      <w:r w:rsidR="00992439">
        <w:rPr>
          <w:rStyle w:val="References"/>
          <w:b w:val="0"/>
          <w:bCs w:val="0"/>
          <w:i w:val="0"/>
          <w:iCs w:val="0"/>
        </w:rPr>
        <w:t>under</w:t>
      </w:r>
      <w:r>
        <w:rPr>
          <w:rStyle w:val="References"/>
          <w:b w:val="0"/>
          <w:bCs w:val="0"/>
          <w:i w:val="0"/>
          <w:iCs w:val="0"/>
        </w:rPr>
        <w:t xml:space="preserve"> subsection 51(1) of the </w:t>
      </w:r>
      <w:r w:rsidR="009D08D9" w:rsidRPr="00745C30">
        <w:rPr>
          <w:rStyle w:val="References"/>
          <w:b w:val="0"/>
          <w:i w:val="0"/>
        </w:rPr>
        <w:t>CCA</w:t>
      </w:r>
      <w:r>
        <w:rPr>
          <w:rStyle w:val="References"/>
          <w:b w:val="0"/>
          <w:bCs w:val="0"/>
        </w:rPr>
        <w:t xml:space="preserve">. </w:t>
      </w:r>
      <w:r w:rsidR="009D08D9">
        <w:rPr>
          <w:rStyle w:val="References"/>
        </w:rPr>
        <w:br/>
      </w:r>
      <w:r>
        <w:rPr>
          <w:rStyle w:val="References"/>
        </w:rPr>
        <w:t xml:space="preserve">[Schedule </w:t>
      </w:r>
      <w:r w:rsidR="00A1778C">
        <w:rPr>
          <w:rStyle w:val="References"/>
        </w:rPr>
        <w:t>2</w:t>
      </w:r>
      <w:r>
        <w:rPr>
          <w:rStyle w:val="References"/>
        </w:rPr>
        <w:t xml:space="preserve">, item </w:t>
      </w:r>
      <w:r w:rsidR="00A1778C">
        <w:rPr>
          <w:rStyle w:val="References"/>
        </w:rPr>
        <w:t>95</w:t>
      </w:r>
      <w:r>
        <w:rPr>
          <w:rStyle w:val="References"/>
        </w:rPr>
        <w:t>, section 823R of the Act]</w:t>
      </w:r>
    </w:p>
    <w:p w14:paraId="1A630076" w14:textId="77777777" w:rsidR="000E6591" w:rsidRPr="00D078FF" w:rsidRDefault="000E6591" w:rsidP="000E6591">
      <w:pPr>
        <w:pStyle w:val="Heading5"/>
      </w:pPr>
      <w:r>
        <w:t xml:space="preserve">Direction to provide </w:t>
      </w:r>
      <w:proofErr w:type="gramStart"/>
      <w:r>
        <w:t>information</w:t>
      </w:r>
      <w:proofErr w:type="gramEnd"/>
      <w:r>
        <w:t xml:space="preserve"> </w:t>
      </w:r>
    </w:p>
    <w:p w14:paraId="63156843" w14:textId="63557550" w:rsidR="000E6591" w:rsidRPr="00D078FF" w:rsidRDefault="000E6591" w:rsidP="000E6591">
      <w:pPr>
        <w:pStyle w:val="Normalparatextwithnumbers"/>
      </w:pPr>
      <w:r w:rsidRPr="00D078FF">
        <w:t xml:space="preserve">The RBA may give a </w:t>
      </w:r>
      <w:r w:rsidR="00E34192">
        <w:t xml:space="preserve">written </w:t>
      </w:r>
      <w:r w:rsidRPr="00D078FF">
        <w:t xml:space="preserve">direction to a CS facility licensee </w:t>
      </w:r>
      <w:r w:rsidR="00FB449D">
        <w:t>to provide the RBA with</w:t>
      </w:r>
      <w:r w:rsidRPr="00D078FF">
        <w:t xml:space="preserve"> specified information or documents containing specified information relating to the CS facility licensee’s business where:</w:t>
      </w:r>
    </w:p>
    <w:p w14:paraId="474DB16C" w14:textId="77777777" w:rsidR="000E6591" w:rsidRPr="00D078FF" w:rsidRDefault="000E6591" w:rsidP="000E6591">
      <w:pPr>
        <w:pStyle w:val="Dotpoint1"/>
      </w:pPr>
      <w:r w:rsidRPr="00D078FF">
        <w:t>the RBA reasonably believes that the CS facility licensee has information or documents</w:t>
      </w:r>
      <w:r>
        <w:t xml:space="preserve"> and can give that information or the documents</w:t>
      </w:r>
      <w:r w:rsidRPr="00D078FF">
        <w:t>; and</w:t>
      </w:r>
    </w:p>
    <w:p w14:paraId="0A9C6955" w14:textId="3359B2E2" w:rsidR="000E6591" w:rsidRPr="00375422" w:rsidRDefault="000E6591" w:rsidP="000E6591">
      <w:pPr>
        <w:pStyle w:val="Dotpoint1"/>
        <w:rPr>
          <w:rStyle w:val="References"/>
          <w:b w:val="0"/>
          <w:bCs w:val="0"/>
          <w:i w:val="0"/>
          <w:iCs w:val="0"/>
        </w:rPr>
      </w:pPr>
      <w:r w:rsidRPr="00D078FF">
        <w:lastRenderedPageBreak/>
        <w:t>that information or documents would assist the RBA to perform its functions under Part 7.3 of the Act.</w:t>
      </w:r>
      <w:r>
        <w:br/>
      </w:r>
      <w:r w:rsidRPr="003149C5">
        <w:rPr>
          <w:rStyle w:val="References"/>
        </w:rPr>
        <w:t>[</w:t>
      </w:r>
      <w:r>
        <w:rPr>
          <w:rStyle w:val="References"/>
        </w:rPr>
        <w:t>Schedule</w:t>
      </w:r>
      <w:r w:rsidR="0027504A">
        <w:rPr>
          <w:rStyle w:val="References"/>
        </w:rPr>
        <w:t xml:space="preserve"> </w:t>
      </w:r>
      <w:r w:rsidR="00D641A4">
        <w:rPr>
          <w:rStyle w:val="References"/>
        </w:rPr>
        <w:t>2</w:t>
      </w:r>
      <w:r w:rsidRPr="003149C5">
        <w:rPr>
          <w:rStyle w:val="References"/>
        </w:rPr>
        <w:t xml:space="preserve">, item </w:t>
      </w:r>
      <w:r w:rsidR="00FB19BD">
        <w:rPr>
          <w:rStyle w:val="References"/>
        </w:rPr>
        <w:t>95</w:t>
      </w:r>
      <w:r w:rsidRPr="003149C5">
        <w:rPr>
          <w:rStyle w:val="References"/>
        </w:rPr>
        <w:t xml:space="preserve">, </w:t>
      </w:r>
      <w:r>
        <w:rPr>
          <w:rStyle w:val="References"/>
        </w:rPr>
        <w:t>sub</w:t>
      </w:r>
      <w:r w:rsidRPr="003149C5">
        <w:rPr>
          <w:rStyle w:val="References"/>
        </w:rPr>
        <w:t>section</w:t>
      </w:r>
      <w:r>
        <w:rPr>
          <w:rStyle w:val="References"/>
        </w:rPr>
        <w:t xml:space="preserve"> </w:t>
      </w:r>
      <w:r w:rsidRPr="00D641A4">
        <w:rPr>
          <w:rStyle w:val="References"/>
        </w:rPr>
        <w:t>823</w:t>
      </w:r>
      <w:proofErr w:type="gramStart"/>
      <w:r w:rsidRPr="00D641A4">
        <w:rPr>
          <w:rStyle w:val="References"/>
        </w:rPr>
        <w:t>G</w:t>
      </w:r>
      <w:r>
        <w:rPr>
          <w:rStyle w:val="References"/>
        </w:rPr>
        <w:t>(</w:t>
      </w:r>
      <w:proofErr w:type="gramEnd"/>
      <w:r>
        <w:rPr>
          <w:rStyle w:val="References"/>
        </w:rPr>
        <w:t>1)</w:t>
      </w:r>
      <w:r w:rsidR="00E003FC">
        <w:rPr>
          <w:rStyle w:val="References"/>
        </w:rPr>
        <w:t xml:space="preserve"> and </w:t>
      </w:r>
      <w:r>
        <w:rPr>
          <w:rStyle w:val="References"/>
        </w:rPr>
        <w:t>(2)</w:t>
      </w:r>
      <w:r w:rsidRPr="003149C5">
        <w:rPr>
          <w:rStyle w:val="References"/>
        </w:rPr>
        <w:t xml:space="preserve"> of the </w:t>
      </w:r>
      <w:r>
        <w:rPr>
          <w:rStyle w:val="References"/>
        </w:rPr>
        <w:t>Act</w:t>
      </w:r>
      <w:r w:rsidRPr="003149C5">
        <w:rPr>
          <w:rStyle w:val="References"/>
        </w:rPr>
        <w:t>]</w:t>
      </w:r>
    </w:p>
    <w:p w14:paraId="2D81A757" w14:textId="73201139" w:rsidR="000E6591" w:rsidRPr="00375422" w:rsidRDefault="000E6591" w:rsidP="000E6591">
      <w:pPr>
        <w:pStyle w:val="Normalparatextwithnumbers"/>
        <w:rPr>
          <w:rStyle w:val="References"/>
          <w:b w:val="0"/>
          <w:bCs w:val="0"/>
          <w:i w:val="0"/>
          <w:iCs w:val="0"/>
        </w:rPr>
      </w:pPr>
      <w:r w:rsidRPr="00D078FF">
        <w:t>The direction may specify the form and manner that the information or documents are to be provided.</w:t>
      </w:r>
      <w:r>
        <w:t xml:space="preserve"> </w:t>
      </w:r>
      <w:r w:rsidR="00F70FFE">
        <w:br/>
      </w:r>
      <w:r w:rsidR="00F70FFE" w:rsidRPr="00124163">
        <w:rPr>
          <w:rStyle w:val="References"/>
        </w:rPr>
        <w:t>[Schedule 2, item 95, paragraph 823G(3)(b) of the Act]</w:t>
      </w:r>
    </w:p>
    <w:p w14:paraId="356A1929" w14:textId="77777777" w:rsidR="00745C30" w:rsidRDefault="00745C30" w:rsidP="00745C30">
      <w:pPr>
        <w:pStyle w:val="Heading5"/>
      </w:pPr>
      <w:r>
        <w:t>Process of directions</w:t>
      </w:r>
    </w:p>
    <w:p w14:paraId="444AB883" w14:textId="77777777" w:rsidR="00181EFD" w:rsidRDefault="00745C30" w:rsidP="00181EFD">
      <w:pPr>
        <w:pStyle w:val="Heading6"/>
        <w:rPr>
          <w:rFonts w:hint="eastAsia"/>
        </w:rPr>
      </w:pPr>
      <w:r>
        <w:t xml:space="preserve">Variation or revocation and publication </w:t>
      </w:r>
    </w:p>
    <w:p w14:paraId="5A445EEB" w14:textId="1330671D" w:rsidR="00CD3C7E" w:rsidRDefault="00745C30" w:rsidP="00745C30">
      <w:pPr>
        <w:pStyle w:val="Normalparatextwithnumbers"/>
      </w:pPr>
      <w:r>
        <w:t>The RBA may vary or revoke a direction but is required to provide written notice to the CS facility. Upon revocation of a direction, the direction ceases to have effect.</w:t>
      </w:r>
      <w:r w:rsidR="00CD3C7E">
        <w:t xml:space="preserve"> The RBA is permitted to publish the details of directions, variations or revocations to a direction as it considers appropriate. </w:t>
      </w:r>
      <w:r w:rsidR="00CD3C7E">
        <w:br/>
      </w:r>
      <w:r w:rsidR="00CD3C7E" w:rsidRPr="00090A87">
        <w:rPr>
          <w:rStyle w:val="References"/>
        </w:rPr>
        <w:t>[</w:t>
      </w:r>
      <w:r w:rsidR="00CD3C7E">
        <w:rPr>
          <w:rStyle w:val="References"/>
        </w:rPr>
        <w:t xml:space="preserve">Schedule </w:t>
      </w:r>
      <w:r w:rsidR="00124163">
        <w:rPr>
          <w:rStyle w:val="References"/>
        </w:rPr>
        <w:t>2</w:t>
      </w:r>
      <w:r w:rsidR="00CD3C7E" w:rsidRPr="00090A87">
        <w:rPr>
          <w:rStyle w:val="References"/>
        </w:rPr>
        <w:t xml:space="preserve">, item </w:t>
      </w:r>
      <w:r w:rsidR="00124163">
        <w:rPr>
          <w:rStyle w:val="References"/>
        </w:rPr>
        <w:t>95</w:t>
      </w:r>
      <w:r w:rsidR="00CD3C7E" w:rsidRPr="00090A87">
        <w:rPr>
          <w:rStyle w:val="References"/>
        </w:rPr>
        <w:t>, section 823</w:t>
      </w:r>
      <w:r w:rsidR="00CD3C7E">
        <w:rPr>
          <w:rStyle w:val="References"/>
        </w:rPr>
        <w:t>J</w:t>
      </w:r>
      <w:r w:rsidR="00CD3C7E" w:rsidRPr="00090A87">
        <w:rPr>
          <w:rStyle w:val="References"/>
        </w:rPr>
        <w:t xml:space="preserve"> </w:t>
      </w:r>
      <w:r w:rsidR="00CD3C7E">
        <w:rPr>
          <w:rStyle w:val="References"/>
        </w:rPr>
        <w:t xml:space="preserve">and 823T </w:t>
      </w:r>
      <w:r w:rsidR="00CD3C7E" w:rsidRPr="00090A87">
        <w:rPr>
          <w:rStyle w:val="References"/>
        </w:rPr>
        <w:t xml:space="preserve">of the </w:t>
      </w:r>
      <w:r w:rsidR="00CD3C7E">
        <w:rPr>
          <w:rStyle w:val="References"/>
        </w:rPr>
        <w:t>Act</w:t>
      </w:r>
      <w:r w:rsidR="00CD3C7E" w:rsidRPr="00090A87">
        <w:rPr>
          <w:rStyle w:val="References"/>
        </w:rPr>
        <w:t>]</w:t>
      </w:r>
    </w:p>
    <w:p w14:paraId="70A57EF0" w14:textId="77777777" w:rsidR="00181EFD" w:rsidRDefault="00181EFD" w:rsidP="00181EFD">
      <w:pPr>
        <w:pStyle w:val="Heading6"/>
        <w:rPr>
          <w:rFonts w:hint="eastAsia"/>
        </w:rPr>
      </w:pPr>
      <w:r>
        <w:t>Referral to the Minister</w:t>
      </w:r>
    </w:p>
    <w:p w14:paraId="335A2C61" w14:textId="1EF464DC" w:rsidR="00181EFD" w:rsidRPr="001C4A87" w:rsidRDefault="00181EFD" w:rsidP="00181EFD">
      <w:pPr>
        <w:pStyle w:val="Normalparatextwithnumbers"/>
        <w:rPr>
          <w:rStyle w:val="References"/>
          <w:b w:val="0"/>
          <w:bCs w:val="0"/>
          <w:i w:val="0"/>
          <w:iCs w:val="0"/>
        </w:rPr>
      </w:pPr>
      <w:r>
        <w:t xml:space="preserve">A licensee may refer a direction to comply with licensee obligations or to give information </w:t>
      </w:r>
      <w:r w:rsidRPr="00FE67AA">
        <w:t>to the Minister</w:t>
      </w:r>
      <w:r>
        <w:t>, where</w:t>
      </w:r>
      <w:r w:rsidRPr="00FE67AA">
        <w:t xml:space="preserve"> the RBA must </w:t>
      </w:r>
      <w:r>
        <w:t xml:space="preserve">comply </w:t>
      </w:r>
      <w:r w:rsidRPr="00FE67AA">
        <w:t>immediately.</w:t>
      </w:r>
      <w:r w:rsidR="00720E77">
        <w:t xml:space="preserve"> I</w:t>
      </w:r>
      <w:r w:rsidRPr="00FE67AA">
        <w:t>f the Minister considers it appropriate</w:t>
      </w:r>
      <w:r w:rsidR="00720E77">
        <w:t>, the Minister may</w:t>
      </w:r>
      <w:r w:rsidRPr="00FE67AA">
        <w:t xml:space="preserve"> require the RBA to vary or revoke the direction, </w:t>
      </w:r>
      <w:r w:rsidR="00720E77">
        <w:t xml:space="preserve">where </w:t>
      </w:r>
      <w:r w:rsidRPr="00FE67AA">
        <w:t xml:space="preserve">the RBA </w:t>
      </w:r>
      <w:r w:rsidR="00720E77">
        <w:t xml:space="preserve">must comply </w:t>
      </w:r>
      <w:r w:rsidRPr="00FE67AA">
        <w:t>immediately.</w:t>
      </w:r>
      <w:r w:rsidR="0003217A">
        <w:rPr>
          <w:rStyle w:val="References"/>
        </w:rPr>
        <w:br/>
      </w:r>
      <w:r w:rsidRPr="001C4A87">
        <w:rPr>
          <w:rStyle w:val="References"/>
        </w:rPr>
        <w:t xml:space="preserve">[Schedule </w:t>
      </w:r>
      <w:r w:rsidR="00124163">
        <w:rPr>
          <w:rStyle w:val="References"/>
        </w:rPr>
        <w:t>2</w:t>
      </w:r>
      <w:r w:rsidRPr="001C4A87">
        <w:rPr>
          <w:rStyle w:val="References"/>
        </w:rPr>
        <w:t xml:space="preserve">, item </w:t>
      </w:r>
      <w:r w:rsidR="00124163">
        <w:rPr>
          <w:rStyle w:val="References"/>
        </w:rPr>
        <w:t>95</w:t>
      </w:r>
      <w:r w:rsidRPr="001C4A87">
        <w:rPr>
          <w:rStyle w:val="References"/>
        </w:rPr>
        <w:t xml:space="preserve">, </w:t>
      </w:r>
      <w:r>
        <w:rPr>
          <w:rStyle w:val="References"/>
        </w:rPr>
        <w:t>sub</w:t>
      </w:r>
      <w:r w:rsidRPr="001C4A87">
        <w:rPr>
          <w:rStyle w:val="References"/>
        </w:rPr>
        <w:t>section</w:t>
      </w:r>
      <w:r>
        <w:rPr>
          <w:rStyle w:val="References"/>
        </w:rPr>
        <w:t>s</w:t>
      </w:r>
      <w:r w:rsidRPr="001C4A87">
        <w:rPr>
          <w:rStyle w:val="References"/>
        </w:rPr>
        <w:t xml:space="preserve"> 823</w:t>
      </w:r>
      <w:proofErr w:type="gramStart"/>
      <w:r w:rsidRPr="001C4A87">
        <w:rPr>
          <w:rStyle w:val="References"/>
        </w:rPr>
        <w:t>D</w:t>
      </w:r>
      <w:r>
        <w:rPr>
          <w:rStyle w:val="References"/>
        </w:rPr>
        <w:t>B(</w:t>
      </w:r>
      <w:proofErr w:type="gramEnd"/>
      <w:r w:rsidR="000B453D">
        <w:rPr>
          <w:rStyle w:val="References"/>
        </w:rPr>
        <w:t>4</w:t>
      </w:r>
      <w:r>
        <w:rPr>
          <w:rStyle w:val="References"/>
        </w:rPr>
        <w:t>)</w:t>
      </w:r>
      <w:r w:rsidR="00D7111A">
        <w:rPr>
          <w:rStyle w:val="References"/>
        </w:rPr>
        <w:t xml:space="preserve"> and </w:t>
      </w:r>
      <w:r>
        <w:rPr>
          <w:rStyle w:val="References"/>
        </w:rPr>
        <w:t>(</w:t>
      </w:r>
      <w:r w:rsidR="000B453D">
        <w:rPr>
          <w:rStyle w:val="References"/>
        </w:rPr>
        <w:t>5</w:t>
      </w:r>
      <w:r>
        <w:rPr>
          <w:rStyle w:val="References"/>
        </w:rPr>
        <w:t xml:space="preserve">) </w:t>
      </w:r>
      <w:r w:rsidRPr="001C4A87">
        <w:rPr>
          <w:rStyle w:val="References"/>
        </w:rPr>
        <w:t>of the Act]</w:t>
      </w:r>
    </w:p>
    <w:p w14:paraId="36767030" w14:textId="77777777" w:rsidR="00745C30" w:rsidRDefault="00745C30" w:rsidP="00CD3C7E">
      <w:pPr>
        <w:pStyle w:val="Heading6"/>
        <w:rPr>
          <w:rFonts w:hint="eastAsia"/>
        </w:rPr>
      </w:pPr>
      <w:r>
        <w:t xml:space="preserve">Consultation </w:t>
      </w:r>
    </w:p>
    <w:p w14:paraId="58A6B84E" w14:textId="0E76F805" w:rsidR="00745C30" w:rsidRPr="00745C30" w:rsidRDefault="00745C30" w:rsidP="00745C30">
      <w:pPr>
        <w:pStyle w:val="Normalparatextwithnumbers"/>
        <w:rPr>
          <w:rStyle w:val="References"/>
          <w:b w:val="0"/>
          <w:bCs w:val="0"/>
          <w:i w:val="0"/>
          <w:iCs w:val="0"/>
        </w:rPr>
      </w:pPr>
      <w:r>
        <w:t xml:space="preserve">The </w:t>
      </w:r>
      <w:r w:rsidRPr="00D078FF">
        <w:t xml:space="preserve">RBA </w:t>
      </w:r>
      <w:r>
        <w:t xml:space="preserve">must </w:t>
      </w:r>
      <w:r w:rsidRPr="00D078FF">
        <w:t>consult ASIC before giving, varying or revoking a direction</w:t>
      </w:r>
      <w:r>
        <w:t xml:space="preserve"> that relates to reduction of systemic risk under section 823E of the Act or a recapitalisation direction under section 823F of the Act. However, if the RBA fails </w:t>
      </w:r>
      <w:r w:rsidRPr="00D078FF">
        <w:t xml:space="preserve">to consult </w:t>
      </w:r>
      <w:r>
        <w:t xml:space="preserve">with ASIC, the direction is </w:t>
      </w:r>
      <w:r w:rsidRPr="00D078FF">
        <w:t>not invalidate</w:t>
      </w:r>
      <w:r>
        <w:t>d</w:t>
      </w:r>
      <w:r w:rsidRPr="00D078FF">
        <w:t xml:space="preserve"> </w:t>
      </w:r>
      <w:r>
        <w:t>and continues to have effect</w:t>
      </w:r>
      <w:r w:rsidRPr="00D078FF">
        <w:t>.</w:t>
      </w:r>
      <w:r>
        <w:br/>
      </w:r>
      <w:r w:rsidRPr="003B2346">
        <w:rPr>
          <w:rStyle w:val="References"/>
        </w:rPr>
        <w:t>[</w:t>
      </w:r>
      <w:r>
        <w:rPr>
          <w:rStyle w:val="References"/>
        </w:rPr>
        <w:t xml:space="preserve">Schedule </w:t>
      </w:r>
      <w:r w:rsidR="00124163">
        <w:rPr>
          <w:rStyle w:val="References"/>
        </w:rPr>
        <w:t>2</w:t>
      </w:r>
      <w:r w:rsidRPr="003B2346">
        <w:rPr>
          <w:rStyle w:val="References"/>
        </w:rPr>
        <w:t xml:space="preserve">, item </w:t>
      </w:r>
      <w:r w:rsidR="00124163">
        <w:rPr>
          <w:rStyle w:val="References"/>
        </w:rPr>
        <w:t>95</w:t>
      </w:r>
      <w:r w:rsidRPr="003B2346">
        <w:rPr>
          <w:rStyle w:val="References"/>
        </w:rPr>
        <w:t>, section 823</w:t>
      </w:r>
      <w:r>
        <w:rPr>
          <w:rStyle w:val="References"/>
        </w:rPr>
        <w:t>K</w:t>
      </w:r>
      <w:r w:rsidRPr="003B2346">
        <w:rPr>
          <w:rStyle w:val="References"/>
        </w:rPr>
        <w:t xml:space="preserve"> of the </w:t>
      </w:r>
      <w:r>
        <w:rPr>
          <w:rStyle w:val="References"/>
        </w:rPr>
        <w:t>Act</w:t>
      </w:r>
      <w:r w:rsidRPr="003B2346">
        <w:rPr>
          <w:rStyle w:val="References"/>
        </w:rPr>
        <w:t>]</w:t>
      </w:r>
    </w:p>
    <w:p w14:paraId="7CAEF3D8" w14:textId="77777777" w:rsidR="009D2E44" w:rsidRPr="004B6F54" w:rsidRDefault="009D2E44" w:rsidP="009D2E44">
      <w:pPr>
        <w:keepNext/>
        <w:keepLines/>
        <w:spacing w:before="240"/>
        <w:outlineLvl w:val="5"/>
        <w:rPr>
          <w:rFonts w:ascii="Helvitica" w:eastAsiaTheme="majorEastAsia" w:hAnsi="Helvitica" w:cstheme="majorBidi" w:hint="eastAsia"/>
          <w:i/>
        </w:rPr>
      </w:pPr>
      <w:r w:rsidRPr="004B6F54">
        <w:rPr>
          <w:rFonts w:ascii="Helvitica" w:eastAsiaTheme="majorEastAsia" w:hAnsi="Helvitica" w:cstheme="majorBidi"/>
          <w:i/>
        </w:rPr>
        <w:t xml:space="preserve">Reviewability </w:t>
      </w:r>
    </w:p>
    <w:p w14:paraId="5ECD9C27" w14:textId="4C0E74E6" w:rsidR="009D2E44" w:rsidRPr="001C4A87" w:rsidRDefault="009D2E44" w:rsidP="009D2E44">
      <w:pPr>
        <w:numPr>
          <w:ilvl w:val="1"/>
          <w:numId w:val="42"/>
        </w:numPr>
        <w:rPr>
          <w:rStyle w:val="References"/>
          <w:b w:val="0"/>
          <w:i w:val="0"/>
        </w:rPr>
      </w:pPr>
      <w:r>
        <w:t xml:space="preserve">For any directions issued by the RBA under Part 7.3 of the Act, applications may be made to the tribunal for review. </w:t>
      </w:r>
      <w:r>
        <w:br/>
      </w:r>
      <w:r>
        <w:rPr>
          <w:rStyle w:val="References"/>
        </w:rPr>
        <w:t>[Schedule 1, item 31, subsection 1317</w:t>
      </w:r>
      <w:proofErr w:type="gramStart"/>
      <w:r>
        <w:rPr>
          <w:rStyle w:val="References"/>
        </w:rPr>
        <w:t>B(</w:t>
      </w:r>
      <w:proofErr w:type="gramEnd"/>
      <w:r>
        <w:rPr>
          <w:rStyle w:val="References"/>
        </w:rPr>
        <w:t>1) of the Act]</w:t>
      </w:r>
    </w:p>
    <w:p w14:paraId="75535600" w14:textId="62FA0166" w:rsidR="00896709" w:rsidRDefault="00E100E1" w:rsidP="00896709">
      <w:pPr>
        <w:pStyle w:val="Heading5"/>
      </w:pPr>
      <w:r>
        <w:t>Compliance with</w:t>
      </w:r>
      <w:r w:rsidR="00896709">
        <w:t xml:space="preserve"> RBA direction </w:t>
      </w:r>
    </w:p>
    <w:p w14:paraId="393530B4" w14:textId="259C18C9" w:rsidR="00745C30" w:rsidRPr="00745C30" w:rsidRDefault="00E100E1" w:rsidP="00745C30">
      <w:pPr>
        <w:pStyle w:val="Normalparatextwithnumbers"/>
        <w:rPr>
          <w:bCs/>
          <w:iCs/>
        </w:rPr>
      </w:pPr>
      <w:r>
        <w:t xml:space="preserve">CS facility licensees must comply with all directions issued by the RBA. </w:t>
      </w:r>
      <w:r w:rsidR="00351D07">
        <w:br/>
      </w:r>
      <w:r w:rsidR="00745C30" w:rsidRPr="002B1DC8">
        <w:rPr>
          <w:rStyle w:val="References"/>
        </w:rPr>
        <w:t>[</w:t>
      </w:r>
      <w:r w:rsidR="00745C30">
        <w:rPr>
          <w:rStyle w:val="References"/>
        </w:rPr>
        <w:t xml:space="preserve">Schedule </w:t>
      </w:r>
      <w:r w:rsidR="00124163">
        <w:rPr>
          <w:rStyle w:val="References"/>
        </w:rPr>
        <w:t>2</w:t>
      </w:r>
      <w:r w:rsidR="00745C30" w:rsidRPr="002B1DC8">
        <w:rPr>
          <w:rStyle w:val="References"/>
        </w:rPr>
        <w:t xml:space="preserve">, item </w:t>
      </w:r>
      <w:r w:rsidR="00124163">
        <w:rPr>
          <w:rStyle w:val="References"/>
        </w:rPr>
        <w:t>95</w:t>
      </w:r>
      <w:r w:rsidR="00745C30" w:rsidRPr="002B1DC8">
        <w:rPr>
          <w:rStyle w:val="References"/>
        </w:rPr>
        <w:t xml:space="preserve">, </w:t>
      </w:r>
      <w:r w:rsidR="00720E77">
        <w:rPr>
          <w:rStyle w:val="References"/>
        </w:rPr>
        <w:t>sub</w:t>
      </w:r>
      <w:r w:rsidR="00745C30" w:rsidRPr="002B1DC8">
        <w:rPr>
          <w:rStyle w:val="References"/>
        </w:rPr>
        <w:t>section</w:t>
      </w:r>
      <w:r w:rsidR="00720E77">
        <w:rPr>
          <w:rStyle w:val="References"/>
        </w:rPr>
        <w:t>s</w:t>
      </w:r>
      <w:r w:rsidR="00745C30">
        <w:rPr>
          <w:rStyle w:val="References"/>
        </w:rPr>
        <w:t xml:space="preserve"> </w:t>
      </w:r>
      <w:r w:rsidR="0003217A">
        <w:rPr>
          <w:rStyle w:val="References"/>
        </w:rPr>
        <w:t>823</w:t>
      </w:r>
      <w:proofErr w:type="gramStart"/>
      <w:r w:rsidR="0003217A">
        <w:rPr>
          <w:rStyle w:val="References"/>
        </w:rPr>
        <w:t>DB(</w:t>
      </w:r>
      <w:proofErr w:type="gramEnd"/>
      <w:r w:rsidR="0003217A">
        <w:rPr>
          <w:rStyle w:val="References"/>
        </w:rPr>
        <w:t xml:space="preserve">3), </w:t>
      </w:r>
      <w:r w:rsidR="00745C30">
        <w:rPr>
          <w:rStyle w:val="References"/>
        </w:rPr>
        <w:t>823E(</w:t>
      </w:r>
      <w:r w:rsidR="0003217A">
        <w:rPr>
          <w:rStyle w:val="References"/>
        </w:rPr>
        <w:t>3</w:t>
      </w:r>
      <w:r w:rsidR="00745C30">
        <w:rPr>
          <w:rStyle w:val="References"/>
        </w:rPr>
        <w:t>), 823F(</w:t>
      </w:r>
      <w:r w:rsidR="0003217A">
        <w:rPr>
          <w:rStyle w:val="References"/>
        </w:rPr>
        <w:t>5</w:t>
      </w:r>
      <w:r w:rsidR="00745C30">
        <w:rPr>
          <w:rStyle w:val="References"/>
        </w:rPr>
        <w:t>), 823FA</w:t>
      </w:r>
      <w:r w:rsidR="00720E77">
        <w:rPr>
          <w:rStyle w:val="References"/>
        </w:rPr>
        <w:t>(</w:t>
      </w:r>
      <w:r w:rsidR="0003217A">
        <w:rPr>
          <w:rStyle w:val="References"/>
        </w:rPr>
        <w:t>3</w:t>
      </w:r>
      <w:r w:rsidR="00720E77">
        <w:rPr>
          <w:rStyle w:val="References"/>
        </w:rPr>
        <w:t>)</w:t>
      </w:r>
      <w:r w:rsidR="00745C30">
        <w:rPr>
          <w:rStyle w:val="References"/>
        </w:rPr>
        <w:t>,</w:t>
      </w:r>
      <w:r w:rsidR="00720E77">
        <w:rPr>
          <w:rStyle w:val="References"/>
        </w:rPr>
        <w:t xml:space="preserve"> 823G(4),</w:t>
      </w:r>
      <w:r w:rsidR="00745C30">
        <w:rPr>
          <w:rStyle w:val="References"/>
        </w:rPr>
        <w:t xml:space="preserve"> 823L(2)</w:t>
      </w:r>
      <w:r w:rsidR="00745C30" w:rsidRPr="002B1DC8">
        <w:rPr>
          <w:rStyle w:val="References"/>
        </w:rPr>
        <w:t xml:space="preserve"> of the </w:t>
      </w:r>
      <w:r w:rsidR="00745C30">
        <w:rPr>
          <w:rStyle w:val="References"/>
        </w:rPr>
        <w:t>Act</w:t>
      </w:r>
      <w:r w:rsidR="00745C30" w:rsidRPr="002B1DC8">
        <w:rPr>
          <w:rStyle w:val="References"/>
        </w:rPr>
        <w:t>]</w:t>
      </w:r>
    </w:p>
    <w:p w14:paraId="3D0EF4A6" w14:textId="02323B09" w:rsidR="00745C30" w:rsidRDefault="00745C30">
      <w:pPr>
        <w:pStyle w:val="Normalparatextwithnumbers"/>
      </w:pPr>
      <w:r>
        <w:t xml:space="preserve">Directions issued by the RBA </w:t>
      </w:r>
      <w:r w:rsidR="0003217A">
        <w:t>must</w:t>
      </w:r>
      <w:r>
        <w:t xml:space="preserve"> specify a reasonable period for the CS facility licensee to comply with the direction. A direction concerned with preserving the stability of the financial system may deal with multiple matters.</w:t>
      </w:r>
      <w:r w:rsidR="00720E77">
        <w:br/>
      </w:r>
      <w:r w:rsidR="00720E77" w:rsidRPr="002B1DC8">
        <w:rPr>
          <w:rStyle w:val="References"/>
        </w:rPr>
        <w:lastRenderedPageBreak/>
        <w:t>[</w:t>
      </w:r>
      <w:r w:rsidR="00720E77">
        <w:rPr>
          <w:rStyle w:val="References"/>
        </w:rPr>
        <w:t xml:space="preserve">Schedule </w:t>
      </w:r>
      <w:r w:rsidR="00124163">
        <w:rPr>
          <w:rStyle w:val="References"/>
        </w:rPr>
        <w:t>2</w:t>
      </w:r>
      <w:r w:rsidR="00720E77" w:rsidRPr="002B1DC8">
        <w:rPr>
          <w:rStyle w:val="References"/>
        </w:rPr>
        <w:t xml:space="preserve">, item </w:t>
      </w:r>
      <w:r w:rsidR="00124163">
        <w:rPr>
          <w:rStyle w:val="References"/>
        </w:rPr>
        <w:t>95</w:t>
      </w:r>
      <w:r w:rsidR="00720E77" w:rsidRPr="002B1DC8">
        <w:rPr>
          <w:rStyle w:val="References"/>
        </w:rPr>
        <w:t xml:space="preserve">, </w:t>
      </w:r>
      <w:r w:rsidR="0003217A">
        <w:rPr>
          <w:rStyle w:val="References"/>
        </w:rPr>
        <w:t>sub</w:t>
      </w:r>
      <w:r w:rsidR="00720E77" w:rsidRPr="002B1DC8">
        <w:rPr>
          <w:rStyle w:val="References"/>
        </w:rPr>
        <w:t>sectio</w:t>
      </w:r>
      <w:r w:rsidR="0003217A">
        <w:rPr>
          <w:rStyle w:val="References"/>
        </w:rPr>
        <w:t>ns</w:t>
      </w:r>
      <w:r w:rsidR="00720E77">
        <w:rPr>
          <w:rStyle w:val="References"/>
        </w:rPr>
        <w:t xml:space="preserve"> </w:t>
      </w:r>
      <w:r w:rsidR="0003217A">
        <w:rPr>
          <w:rStyle w:val="References"/>
        </w:rPr>
        <w:t>823</w:t>
      </w:r>
      <w:proofErr w:type="gramStart"/>
      <w:r w:rsidR="0003217A">
        <w:rPr>
          <w:rStyle w:val="References"/>
        </w:rPr>
        <w:t>DB(</w:t>
      </w:r>
      <w:proofErr w:type="gramEnd"/>
      <w:r w:rsidR="0003217A">
        <w:rPr>
          <w:rStyle w:val="References"/>
        </w:rPr>
        <w:t xml:space="preserve">2), 823E(2), </w:t>
      </w:r>
      <w:r w:rsidR="00720E77">
        <w:rPr>
          <w:rStyle w:val="References"/>
        </w:rPr>
        <w:t>823F(</w:t>
      </w:r>
      <w:r w:rsidR="0003217A">
        <w:rPr>
          <w:rStyle w:val="References"/>
        </w:rPr>
        <w:t>4</w:t>
      </w:r>
      <w:r w:rsidR="00720E77">
        <w:rPr>
          <w:rStyle w:val="References"/>
        </w:rPr>
        <w:t>), 823FA(</w:t>
      </w:r>
      <w:r w:rsidR="0003217A">
        <w:rPr>
          <w:rStyle w:val="References"/>
        </w:rPr>
        <w:t>2</w:t>
      </w:r>
      <w:r w:rsidR="00720E77">
        <w:rPr>
          <w:rStyle w:val="References"/>
        </w:rPr>
        <w:t>)</w:t>
      </w:r>
      <w:r w:rsidR="0003217A">
        <w:rPr>
          <w:rStyle w:val="References"/>
        </w:rPr>
        <w:t>, 823G(3)</w:t>
      </w:r>
      <w:r w:rsidR="00720E77">
        <w:rPr>
          <w:rStyle w:val="References"/>
        </w:rPr>
        <w:t xml:space="preserve"> </w:t>
      </w:r>
      <w:r w:rsidR="00720E77" w:rsidRPr="002B1DC8">
        <w:rPr>
          <w:rStyle w:val="References"/>
        </w:rPr>
        <w:t xml:space="preserve">of the </w:t>
      </w:r>
      <w:r w:rsidR="00720E77">
        <w:rPr>
          <w:rStyle w:val="References"/>
        </w:rPr>
        <w:t>Act</w:t>
      </w:r>
      <w:r w:rsidR="00720E77" w:rsidRPr="002B1DC8">
        <w:rPr>
          <w:rStyle w:val="References"/>
        </w:rPr>
        <w:t>]</w:t>
      </w:r>
    </w:p>
    <w:p w14:paraId="47725806" w14:textId="259BF5FC" w:rsidR="00745C30" w:rsidRDefault="00745C30" w:rsidP="00CD3C7E">
      <w:pPr>
        <w:pStyle w:val="Heading6"/>
        <w:rPr>
          <w:rFonts w:hint="eastAsia"/>
        </w:rPr>
      </w:pPr>
      <w:r>
        <w:t xml:space="preserve">Contravention </w:t>
      </w:r>
    </w:p>
    <w:p w14:paraId="1917331E" w14:textId="4C38D68F" w:rsidR="00896709" w:rsidRPr="003B2346" w:rsidRDefault="00896709" w:rsidP="00125C2C">
      <w:pPr>
        <w:pStyle w:val="Normalparatextwithnumbers"/>
        <w:rPr>
          <w:rStyle w:val="References"/>
          <w:b w:val="0"/>
          <w:bCs w:val="0"/>
          <w:i w:val="0"/>
          <w:iCs w:val="0"/>
        </w:rPr>
      </w:pPr>
      <w:r>
        <w:t>F</w:t>
      </w:r>
      <w:r w:rsidRPr="00D078FF">
        <w:t>ail</w:t>
      </w:r>
      <w:r>
        <w:t>ure</w:t>
      </w:r>
      <w:r w:rsidRPr="00D078FF">
        <w:t xml:space="preserve"> to comply with </w:t>
      </w:r>
      <w:r>
        <w:t>the RBA’s</w:t>
      </w:r>
      <w:r w:rsidRPr="00D078FF">
        <w:t xml:space="preserve"> direction to provide information </w:t>
      </w:r>
      <w:r w:rsidR="0003217A">
        <w:t>is</w:t>
      </w:r>
      <w:r w:rsidR="0003217A" w:rsidRPr="0003217A">
        <w:t xml:space="preserve"> </w:t>
      </w:r>
      <w:r w:rsidR="0003217A">
        <w:t xml:space="preserve">100 penalty units for each day or part of day the offence is committed, for an individual and 1,000 penalty units for a body corporate.  </w:t>
      </w:r>
      <w:r w:rsidR="0003217A">
        <w:br/>
      </w:r>
      <w:r w:rsidR="0003217A" w:rsidRPr="003149C5">
        <w:rPr>
          <w:rStyle w:val="References"/>
        </w:rPr>
        <w:t>[</w:t>
      </w:r>
      <w:r w:rsidR="0003217A">
        <w:rPr>
          <w:rStyle w:val="References"/>
        </w:rPr>
        <w:t xml:space="preserve">Schedule </w:t>
      </w:r>
      <w:r w:rsidR="008235BB">
        <w:rPr>
          <w:rStyle w:val="References"/>
        </w:rPr>
        <w:t>2</w:t>
      </w:r>
      <w:r w:rsidR="0003217A" w:rsidRPr="003149C5">
        <w:rPr>
          <w:rStyle w:val="References"/>
        </w:rPr>
        <w:t>, item</w:t>
      </w:r>
      <w:r w:rsidR="0003217A">
        <w:rPr>
          <w:rStyle w:val="References"/>
        </w:rPr>
        <w:t>s</w:t>
      </w:r>
      <w:r w:rsidR="0003217A" w:rsidRPr="003149C5">
        <w:rPr>
          <w:rStyle w:val="References"/>
        </w:rPr>
        <w:t xml:space="preserve"> </w:t>
      </w:r>
      <w:r w:rsidR="00124163">
        <w:rPr>
          <w:rStyle w:val="References"/>
        </w:rPr>
        <w:t>95</w:t>
      </w:r>
      <w:r w:rsidR="0003217A">
        <w:rPr>
          <w:rStyle w:val="References"/>
        </w:rPr>
        <w:t xml:space="preserve"> and 1</w:t>
      </w:r>
      <w:r w:rsidR="00124163">
        <w:rPr>
          <w:rStyle w:val="References"/>
        </w:rPr>
        <w:t>00</w:t>
      </w:r>
      <w:r w:rsidR="0003217A">
        <w:rPr>
          <w:rStyle w:val="References"/>
        </w:rPr>
        <w:t>,</w:t>
      </w:r>
      <w:r w:rsidR="0003217A" w:rsidRPr="003149C5">
        <w:rPr>
          <w:rStyle w:val="References"/>
        </w:rPr>
        <w:t xml:space="preserve"> </w:t>
      </w:r>
      <w:r w:rsidR="0003217A">
        <w:rPr>
          <w:rStyle w:val="References"/>
        </w:rPr>
        <w:t>sub</w:t>
      </w:r>
      <w:r w:rsidR="0003217A" w:rsidRPr="003149C5">
        <w:rPr>
          <w:rStyle w:val="References"/>
        </w:rPr>
        <w:t xml:space="preserve">section </w:t>
      </w:r>
      <w:r w:rsidR="0003217A">
        <w:rPr>
          <w:rStyle w:val="References"/>
        </w:rPr>
        <w:t>823</w:t>
      </w:r>
      <w:proofErr w:type="gramStart"/>
      <w:r w:rsidR="0003217A">
        <w:rPr>
          <w:rStyle w:val="References"/>
        </w:rPr>
        <w:t>G(</w:t>
      </w:r>
      <w:proofErr w:type="gramEnd"/>
      <w:r w:rsidR="0003217A">
        <w:rPr>
          <w:rStyle w:val="References"/>
        </w:rPr>
        <w:t xml:space="preserve">4) and Schedule 3 </w:t>
      </w:r>
      <w:r w:rsidR="0003217A" w:rsidRPr="003149C5">
        <w:rPr>
          <w:rStyle w:val="References"/>
        </w:rPr>
        <w:t xml:space="preserve">of the </w:t>
      </w:r>
      <w:r w:rsidR="0003217A">
        <w:rPr>
          <w:rStyle w:val="References"/>
        </w:rPr>
        <w:t>Act</w:t>
      </w:r>
      <w:r w:rsidR="0003217A" w:rsidRPr="003149C5">
        <w:rPr>
          <w:rStyle w:val="References"/>
        </w:rPr>
        <w:t>]</w:t>
      </w:r>
    </w:p>
    <w:p w14:paraId="2A10B5C7" w14:textId="6E4552F3" w:rsidR="00896709" w:rsidRDefault="00896709" w:rsidP="00125C2C">
      <w:pPr>
        <w:pStyle w:val="Normalparatextwithnumbers"/>
      </w:pPr>
      <w:r>
        <w:t xml:space="preserve">Failure to comply with the RBA’s specific direction </w:t>
      </w:r>
      <w:r w:rsidR="00CD3C7E">
        <w:t xml:space="preserve">to preserve stability </w:t>
      </w:r>
      <w:r>
        <w:t>incurs a maximum penalty of 2 years imprisonment.</w:t>
      </w:r>
      <w:r>
        <w:br/>
      </w:r>
      <w:r w:rsidRPr="003B2346">
        <w:rPr>
          <w:rStyle w:val="References"/>
        </w:rPr>
        <w:t>[</w:t>
      </w:r>
      <w:r w:rsidR="00A93424">
        <w:rPr>
          <w:rStyle w:val="References"/>
        </w:rPr>
        <w:t xml:space="preserve">Schedule </w:t>
      </w:r>
      <w:r w:rsidR="007740AB">
        <w:rPr>
          <w:rStyle w:val="References"/>
        </w:rPr>
        <w:t>2</w:t>
      </w:r>
      <w:r w:rsidRPr="003B2346">
        <w:rPr>
          <w:rStyle w:val="References"/>
        </w:rPr>
        <w:t>, item</w:t>
      </w:r>
      <w:r w:rsidR="00035939">
        <w:rPr>
          <w:rStyle w:val="References"/>
        </w:rPr>
        <w:t>s</w:t>
      </w:r>
      <w:r w:rsidRPr="003B2346">
        <w:rPr>
          <w:rStyle w:val="References"/>
        </w:rPr>
        <w:t xml:space="preserve"> </w:t>
      </w:r>
      <w:r w:rsidR="00124163">
        <w:rPr>
          <w:rStyle w:val="References"/>
        </w:rPr>
        <w:t>95</w:t>
      </w:r>
      <w:r w:rsidR="00035939">
        <w:rPr>
          <w:rStyle w:val="References"/>
        </w:rPr>
        <w:t xml:space="preserve"> and 1</w:t>
      </w:r>
      <w:r w:rsidR="00124163">
        <w:rPr>
          <w:rStyle w:val="References"/>
        </w:rPr>
        <w:t>00</w:t>
      </w:r>
      <w:r w:rsidR="004C2D7A" w:rsidRPr="003B2346">
        <w:rPr>
          <w:rStyle w:val="References"/>
        </w:rPr>
        <w:t xml:space="preserve">, </w:t>
      </w:r>
      <w:r w:rsidRPr="003B2346">
        <w:rPr>
          <w:rStyle w:val="References"/>
        </w:rPr>
        <w:t>subsection 823</w:t>
      </w:r>
      <w:proofErr w:type="gramStart"/>
      <w:r>
        <w:rPr>
          <w:rStyle w:val="References"/>
        </w:rPr>
        <w:t>F</w:t>
      </w:r>
      <w:r w:rsidRPr="003B2346">
        <w:rPr>
          <w:rStyle w:val="References"/>
        </w:rPr>
        <w:t>(</w:t>
      </w:r>
      <w:proofErr w:type="gramEnd"/>
      <w:r>
        <w:rPr>
          <w:rStyle w:val="References"/>
        </w:rPr>
        <w:t>5</w:t>
      </w:r>
      <w:r w:rsidRPr="003B2346">
        <w:rPr>
          <w:rStyle w:val="References"/>
        </w:rPr>
        <w:t xml:space="preserve">) </w:t>
      </w:r>
      <w:r w:rsidR="00035939">
        <w:rPr>
          <w:rStyle w:val="References"/>
        </w:rPr>
        <w:t xml:space="preserve">and Schedule 3 </w:t>
      </w:r>
      <w:r w:rsidRPr="003B2346">
        <w:rPr>
          <w:rStyle w:val="References"/>
        </w:rPr>
        <w:t xml:space="preserve">of the </w:t>
      </w:r>
      <w:r w:rsidR="000E7C19">
        <w:rPr>
          <w:rStyle w:val="References"/>
        </w:rPr>
        <w:t>Act</w:t>
      </w:r>
      <w:r w:rsidRPr="003B2346">
        <w:rPr>
          <w:rStyle w:val="References"/>
        </w:rPr>
        <w:t>]</w:t>
      </w:r>
      <w:r>
        <w:t xml:space="preserve"> </w:t>
      </w:r>
    </w:p>
    <w:p w14:paraId="190F67F9" w14:textId="049424E9" w:rsidR="00CD3C7E" w:rsidRPr="00D078FF" w:rsidRDefault="00CD3C7E">
      <w:pPr>
        <w:pStyle w:val="Normalparatextwithnumbers"/>
      </w:pPr>
      <w:r>
        <w:t>A CS facility must comply with a recapitalisation direction</w:t>
      </w:r>
      <w:r w:rsidRPr="00D078FF">
        <w:t xml:space="preserve"> despite the Act, its constitution, its operating rules or procedures, any contract or arrangement to which it is a party, and any listing rules of a financial market in whose official list it is included. </w:t>
      </w:r>
      <w:r>
        <w:br/>
      </w:r>
      <w:r w:rsidRPr="00763A96">
        <w:rPr>
          <w:rStyle w:val="References"/>
        </w:rPr>
        <w:t>[</w:t>
      </w:r>
      <w:r>
        <w:rPr>
          <w:rStyle w:val="References"/>
        </w:rPr>
        <w:t xml:space="preserve">Schedule </w:t>
      </w:r>
      <w:r w:rsidR="00977E9E">
        <w:rPr>
          <w:rStyle w:val="References"/>
        </w:rPr>
        <w:t>2</w:t>
      </w:r>
      <w:r w:rsidRPr="00763A96">
        <w:rPr>
          <w:rStyle w:val="References"/>
        </w:rPr>
        <w:t xml:space="preserve">, item </w:t>
      </w:r>
      <w:r w:rsidR="00977E9E">
        <w:rPr>
          <w:rStyle w:val="References"/>
        </w:rPr>
        <w:t>95</w:t>
      </w:r>
      <w:r w:rsidRPr="00763A96">
        <w:rPr>
          <w:rStyle w:val="References"/>
        </w:rPr>
        <w:t xml:space="preserve">, </w:t>
      </w:r>
      <w:r>
        <w:rPr>
          <w:rStyle w:val="References"/>
        </w:rPr>
        <w:t>sub</w:t>
      </w:r>
      <w:r w:rsidRPr="00763A96">
        <w:rPr>
          <w:rStyle w:val="References"/>
        </w:rPr>
        <w:t xml:space="preserve">section </w:t>
      </w:r>
      <w:r>
        <w:rPr>
          <w:rStyle w:val="References"/>
        </w:rPr>
        <w:t>823</w:t>
      </w:r>
      <w:proofErr w:type="gramStart"/>
      <w:r>
        <w:rPr>
          <w:rStyle w:val="References"/>
        </w:rPr>
        <w:t>L(</w:t>
      </w:r>
      <w:proofErr w:type="gramEnd"/>
      <w:r>
        <w:rPr>
          <w:rStyle w:val="References"/>
        </w:rPr>
        <w:t xml:space="preserve">4) </w:t>
      </w:r>
      <w:r w:rsidRPr="00763A96">
        <w:rPr>
          <w:rStyle w:val="References"/>
        </w:rPr>
        <w:t xml:space="preserve">of the </w:t>
      </w:r>
      <w:r>
        <w:rPr>
          <w:rStyle w:val="References"/>
        </w:rPr>
        <w:t>Act</w:t>
      </w:r>
      <w:r w:rsidRPr="00763A96">
        <w:rPr>
          <w:rStyle w:val="References"/>
        </w:rPr>
        <w:t>]</w:t>
      </w:r>
    </w:p>
    <w:p w14:paraId="22673A04" w14:textId="77061831" w:rsidR="00E100E1" w:rsidRPr="00D078FF" w:rsidRDefault="00E100E1" w:rsidP="00E100E1">
      <w:pPr>
        <w:pStyle w:val="Normalparatextwithnumbers"/>
      </w:pPr>
      <w:r>
        <w:t xml:space="preserve">CS facility licensee </w:t>
      </w:r>
      <w:r w:rsidR="00CD3C7E">
        <w:t xml:space="preserve">has additional compliance obligations under a recapitalisation direction to notify </w:t>
      </w:r>
      <w:r>
        <w:t>members</w:t>
      </w:r>
      <w:r w:rsidR="00977E9E">
        <w:t xml:space="preserve"> of the body corporate</w:t>
      </w:r>
      <w:r>
        <w:t xml:space="preserve"> of the </w:t>
      </w:r>
      <w:r w:rsidR="00CD3C7E">
        <w:t xml:space="preserve">result of a </w:t>
      </w:r>
      <w:r>
        <w:t>recapitalisation direction</w:t>
      </w:r>
      <w:r w:rsidR="00CD3C7E">
        <w:t xml:space="preserve">. Failure to notify members </w:t>
      </w:r>
      <w:r w:rsidR="00181EFD">
        <w:t xml:space="preserve">is a </w:t>
      </w:r>
      <w:proofErr w:type="gramStart"/>
      <w:r>
        <w:t>100 penalty</w:t>
      </w:r>
      <w:proofErr w:type="gramEnd"/>
      <w:r>
        <w:t xml:space="preserve"> unit</w:t>
      </w:r>
      <w:r w:rsidR="00181EFD">
        <w:t xml:space="preserve"> offence </w:t>
      </w:r>
      <w:r>
        <w:t>per day or part of each day the offence is committed</w:t>
      </w:r>
      <w:r w:rsidR="00181EFD">
        <w:t xml:space="preserve"> for an individual and</w:t>
      </w:r>
      <w:r>
        <w:t xml:space="preserve"> 1,000 penalty units</w:t>
      </w:r>
      <w:r w:rsidR="00181EFD">
        <w:t xml:space="preserve"> for a body corporate</w:t>
      </w:r>
      <w:r>
        <w:t xml:space="preserve">. </w:t>
      </w:r>
      <w:r>
        <w:br/>
      </w:r>
      <w:r w:rsidRPr="00E25CD2">
        <w:rPr>
          <w:rStyle w:val="References"/>
        </w:rPr>
        <w:t>[</w:t>
      </w:r>
      <w:r>
        <w:rPr>
          <w:rStyle w:val="References"/>
        </w:rPr>
        <w:t xml:space="preserve">Schedule </w:t>
      </w:r>
      <w:r w:rsidR="00977E9E">
        <w:rPr>
          <w:rStyle w:val="References"/>
        </w:rPr>
        <w:t>2</w:t>
      </w:r>
      <w:r w:rsidRPr="00E25CD2">
        <w:rPr>
          <w:rStyle w:val="References"/>
        </w:rPr>
        <w:t>, item</w:t>
      </w:r>
      <w:r>
        <w:rPr>
          <w:rStyle w:val="References"/>
        </w:rPr>
        <w:t>s</w:t>
      </w:r>
      <w:r w:rsidRPr="00E25CD2">
        <w:rPr>
          <w:rStyle w:val="References"/>
        </w:rPr>
        <w:t xml:space="preserve"> </w:t>
      </w:r>
      <w:r w:rsidR="00977E9E">
        <w:rPr>
          <w:rStyle w:val="References"/>
        </w:rPr>
        <w:t>95</w:t>
      </w:r>
      <w:r>
        <w:rPr>
          <w:rStyle w:val="References"/>
        </w:rPr>
        <w:t xml:space="preserve"> and 1</w:t>
      </w:r>
      <w:r w:rsidR="00977E9E">
        <w:rPr>
          <w:rStyle w:val="References"/>
        </w:rPr>
        <w:t>00</w:t>
      </w:r>
      <w:r>
        <w:rPr>
          <w:rStyle w:val="References"/>
        </w:rPr>
        <w:t>,</w:t>
      </w:r>
      <w:r w:rsidRPr="00E25CD2">
        <w:rPr>
          <w:rStyle w:val="References"/>
        </w:rPr>
        <w:t xml:space="preserve"> </w:t>
      </w:r>
      <w:r>
        <w:rPr>
          <w:rStyle w:val="References"/>
        </w:rPr>
        <w:t>sub</w:t>
      </w:r>
      <w:r w:rsidRPr="00E25CD2">
        <w:rPr>
          <w:rStyle w:val="References"/>
        </w:rPr>
        <w:t>section</w:t>
      </w:r>
      <w:r>
        <w:rPr>
          <w:rStyle w:val="References"/>
        </w:rPr>
        <w:t xml:space="preserve"> 823</w:t>
      </w:r>
      <w:proofErr w:type="gramStart"/>
      <w:r>
        <w:rPr>
          <w:rStyle w:val="References"/>
        </w:rPr>
        <w:t>L(</w:t>
      </w:r>
      <w:proofErr w:type="gramEnd"/>
      <w:r>
        <w:rPr>
          <w:rStyle w:val="References"/>
        </w:rPr>
        <w:t xml:space="preserve">2) and (3) and Schedule 3 </w:t>
      </w:r>
      <w:r w:rsidRPr="00E25CD2">
        <w:rPr>
          <w:rStyle w:val="References"/>
        </w:rPr>
        <w:t xml:space="preserve">of the </w:t>
      </w:r>
      <w:r>
        <w:rPr>
          <w:rStyle w:val="References"/>
        </w:rPr>
        <w:t>Act</w:t>
      </w:r>
      <w:r w:rsidRPr="00E25CD2">
        <w:rPr>
          <w:rStyle w:val="References"/>
        </w:rPr>
        <w:t>]</w:t>
      </w:r>
    </w:p>
    <w:p w14:paraId="6D3E9C0E" w14:textId="23802903" w:rsidR="00E100E1" w:rsidRPr="00FB449D" w:rsidRDefault="00E100E1" w:rsidP="00B00E08">
      <w:pPr>
        <w:pStyle w:val="Heading6"/>
        <w:rPr>
          <w:rFonts w:hint="eastAsia"/>
        </w:rPr>
      </w:pPr>
      <w:r w:rsidRPr="00FB449D">
        <w:t xml:space="preserve">Orders </w:t>
      </w:r>
    </w:p>
    <w:p w14:paraId="5E1A6FC1" w14:textId="37336B68" w:rsidR="00896709" w:rsidRPr="00896709" w:rsidRDefault="00896709" w:rsidP="00AD1047">
      <w:pPr>
        <w:pStyle w:val="Normalparatextwithnumbers"/>
        <w:rPr>
          <w:rStyle w:val="References"/>
          <w:b w:val="0"/>
          <w:bCs w:val="0"/>
          <w:i w:val="0"/>
          <w:iCs w:val="0"/>
        </w:rPr>
      </w:pPr>
      <w:r>
        <w:t xml:space="preserve">Where a CS facility licensee fails to comply with a direction, the RBA may apply to court. </w:t>
      </w:r>
      <w:r w:rsidR="00607FEB">
        <w:t>T</w:t>
      </w:r>
      <w:r w:rsidR="00607FEB" w:rsidRPr="00D078FF">
        <w:t>he Court may make orders on the application of the RBA (alone o</w:t>
      </w:r>
      <w:r w:rsidR="00ED05CC">
        <w:t>r</w:t>
      </w:r>
      <w:r w:rsidR="00607FEB" w:rsidRPr="00D078FF">
        <w:t xml:space="preserve"> jointly with ASIC), if it appears to the Court that a person has contravened a </w:t>
      </w:r>
      <w:r w:rsidR="00607FEB">
        <w:t>direction</w:t>
      </w:r>
      <w:r w:rsidR="00607FEB" w:rsidRPr="00D078FF">
        <w:t>. However, the Court can only make such an order if the Court is satisfied that the order would not unfairly prejudice any person.</w:t>
      </w:r>
      <w:r w:rsidR="00CD3C7E" w:rsidRPr="00CD3C7E">
        <w:t xml:space="preserve"> </w:t>
      </w:r>
      <w:r w:rsidR="00CD3C7E">
        <w:t xml:space="preserve">In addition, in the event of non-compliance with a recapitalisation direction, the RBA may apply to the Court for an order that the licensee comply with the recapitalisation direction. </w:t>
      </w:r>
      <w:r w:rsidR="00CD3C7E" w:rsidRPr="00763A96">
        <w:t>The Court may order the CS facility licensee to comply with the direction</w:t>
      </w:r>
      <w:r>
        <w:br/>
      </w:r>
      <w:r w:rsidRPr="003B2346">
        <w:rPr>
          <w:rStyle w:val="References"/>
        </w:rPr>
        <w:t>[</w:t>
      </w:r>
      <w:r w:rsidR="00A93424">
        <w:rPr>
          <w:rStyle w:val="References"/>
        </w:rPr>
        <w:t xml:space="preserve">Schedule </w:t>
      </w:r>
      <w:r w:rsidR="00977E9E">
        <w:rPr>
          <w:rStyle w:val="References"/>
        </w:rPr>
        <w:t>2</w:t>
      </w:r>
      <w:r w:rsidRPr="003B2346">
        <w:rPr>
          <w:rStyle w:val="References"/>
        </w:rPr>
        <w:t xml:space="preserve">, item </w:t>
      </w:r>
      <w:r w:rsidR="00977E9E">
        <w:rPr>
          <w:rStyle w:val="References"/>
        </w:rPr>
        <w:t>95</w:t>
      </w:r>
      <w:r w:rsidR="004C2D7A" w:rsidRPr="003B2346">
        <w:rPr>
          <w:rStyle w:val="References"/>
        </w:rPr>
        <w:t xml:space="preserve">, </w:t>
      </w:r>
      <w:r w:rsidRPr="003B2346">
        <w:rPr>
          <w:rStyle w:val="References"/>
        </w:rPr>
        <w:t>section 823</w:t>
      </w:r>
      <w:r>
        <w:rPr>
          <w:rStyle w:val="References"/>
        </w:rPr>
        <w:t>H</w:t>
      </w:r>
      <w:r w:rsidRPr="003B2346">
        <w:rPr>
          <w:rStyle w:val="References"/>
        </w:rPr>
        <w:t xml:space="preserve"> </w:t>
      </w:r>
      <w:r w:rsidR="00CD3C7E">
        <w:rPr>
          <w:rStyle w:val="References"/>
        </w:rPr>
        <w:t xml:space="preserve">and </w:t>
      </w:r>
      <w:r w:rsidR="00D24A37">
        <w:rPr>
          <w:rStyle w:val="References"/>
        </w:rPr>
        <w:t xml:space="preserve">subsection </w:t>
      </w:r>
      <w:r w:rsidR="00CD3C7E">
        <w:rPr>
          <w:rStyle w:val="References"/>
        </w:rPr>
        <w:t>823</w:t>
      </w:r>
      <w:proofErr w:type="gramStart"/>
      <w:r w:rsidR="00CD3C7E">
        <w:rPr>
          <w:rStyle w:val="References"/>
        </w:rPr>
        <w:t>L(</w:t>
      </w:r>
      <w:proofErr w:type="gramEnd"/>
      <w:r w:rsidR="00CD3C7E">
        <w:rPr>
          <w:rStyle w:val="References"/>
        </w:rPr>
        <w:t xml:space="preserve">3) </w:t>
      </w:r>
      <w:r w:rsidRPr="003B2346">
        <w:rPr>
          <w:rStyle w:val="References"/>
        </w:rPr>
        <w:t xml:space="preserve">of the </w:t>
      </w:r>
      <w:r w:rsidR="000E7C19">
        <w:rPr>
          <w:rStyle w:val="References"/>
        </w:rPr>
        <w:t>Act</w:t>
      </w:r>
      <w:r w:rsidRPr="003B2346">
        <w:rPr>
          <w:rStyle w:val="References"/>
        </w:rPr>
        <w:t>]</w:t>
      </w:r>
      <w:r w:rsidR="00640CA5" w:rsidRPr="00640CA5">
        <w:t xml:space="preserve"> </w:t>
      </w:r>
    </w:p>
    <w:p w14:paraId="37145BED" w14:textId="4007420C" w:rsidR="00E100E1" w:rsidRPr="00FB449D" w:rsidRDefault="00607FEB">
      <w:pPr>
        <w:pStyle w:val="Normalparatextwithnumbers"/>
        <w:rPr>
          <w:rStyle w:val="References"/>
          <w:b w:val="0"/>
          <w:bCs w:val="0"/>
          <w:i w:val="0"/>
          <w:iCs w:val="0"/>
        </w:rPr>
      </w:pPr>
      <w:r>
        <w:t>T</w:t>
      </w:r>
      <w:r w:rsidRPr="00D078FF">
        <w:t xml:space="preserve">he RBA may apply </w:t>
      </w:r>
      <w:r w:rsidR="00375422">
        <w:t xml:space="preserve">itself </w:t>
      </w:r>
      <w:r w:rsidRPr="00D078FF">
        <w:t>or jointly with ASIC</w:t>
      </w:r>
      <w:r w:rsidR="00375422">
        <w:t xml:space="preserve"> for an injunction</w:t>
      </w:r>
      <w:r w:rsidR="00E151E2">
        <w:t xml:space="preserve"> in relation to a provision under Part 7.3</w:t>
      </w:r>
      <w:r>
        <w:t xml:space="preserve">. </w:t>
      </w:r>
      <w:r w:rsidR="00896709">
        <w:br/>
      </w:r>
      <w:r w:rsidR="00896709" w:rsidRPr="003B2346">
        <w:rPr>
          <w:rStyle w:val="References"/>
        </w:rPr>
        <w:t>[</w:t>
      </w:r>
      <w:r w:rsidR="00A93424">
        <w:rPr>
          <w:rStyle w:val="References"/>
        </w:rPr>
        <w:t xml:space="preserve">Schedule </w:t>
      </w:r>
      <w:r w:rsidR="00D24A37">
        <w:rPr>
          <w:rStyle w:val="References"/>
        </w:rPr>
        <w:t>2</w:t>
      </w:r>
      <w:r w:rsidR="00896709" w:rsidRPr="003B2346">
        <w:rPr>
          <w:rStyle w:val="References"/>
        </w:rPr>
        <w:t xml:space="preserve">, item </w:t>
      </w:r>
      <w:r w:rsidR="00D24A37">
        <w:rPr>
          <w:rStyle w:val="References"/>
        </w:rPr>
        <w:t>95</w:t>
      </w:r>
      <w:r w:rsidR="004C2D7A" w:rsidRPr="003B2346">
        <w:rPr>
          <w:rStyle w:val="References"/>
        </w:rPr>
        <w:t xml:space="preserve">, </w:t>
      </w:r>
      <w:r w:rsidR="00896709" w:rsidRPr="003B2346">
        <w:rPr>
          <w:rStyle w:val="References"/>
        </w:rPr>
        <w:t>section 82</w:t>
      </w:r>
      <w:r w:rsidR="00896709">
        <w:rPr>
          <w:rStyle w:val="References"/>
        </w:rPr>
        <w:t>3U</w:t>
      </w:r>
      <w:r w:rsidR="00896709" w:rsidRPr="003B2346">
        <w:rPr>
          <w:rStyle w:val="References"/>
        </w:rPr>
        <w:t xml:space="preserve"> of the </w:t>
      </w:r>
      <w:r w:rsidR="000E7C19">
        <w:rPr>
          <w:rStyle w:val="References"/>
        </w:rPr>
        <w:t>Act</w:t>
      </w:r>
      <w:r w:rsidR="00896709" w:rsidRPr="003B2346">
        <w:rPr>
          <w:rStyle w:val="References"/>
        </w:rPr>
        <w:t>]</w:t>
      </w:r>
      <w:r w:rsidR="00896709" w:rsidRPr="00FB449D">
        <w:rPr>
          <w:rStyle w:val="References"/>
          <w:b w:val="0"/>
          <w:bCs w:val="0"/>
          <w:i w:val="0"/>
          <w:iCs w:val="0"/>
        </w:rPr>
        <w:t xml:space="preserve"> </w:t>
      </w:r>
    </w:p>
    <w:p w14:paraId="2C1B9D5C" w14:textId="24D84FFD" w:rsidR="001C4A87" w:rsidRDefault="001C4A87" w:rsidP="001C4A87">
      <w:pPr>
        <w:pStyle w:val="Heading4"/>
      </w:pPr>
      <w:r>
        <w:lastRenderedPageBreak/>
        <w:t xml:space="preserve">Resolution planning </w:t>
      </w:r>
    </w:p>
    <w:p w14:paraId="0CBBD87A" w14:textId="7477DCFE" w:rsidR="001C4A87" w:rsidRPr="008154CD" w:rsidRDefault="00D24A37" w:rsidP="001C4A87">
      <w:pPr>
        <w:pStyle w:val="Normalparatextwithnumbers"/>
        <w:rPr>
          <w:rStyle w:val="References"/>
          <w:b w:val="0"/>
          <w:i w:val="0"/>
        </w:rPr>
      </w:pPr>
      <w:r>
        <w:t>It is at the discretion of t</w:t>
      </w:r>
      <w:r w:rsidR="001C4A87">
        <w:t xml:space="preserve">he RBA </w:t>
      </w:r>
      <w:r>
        <w:t xml:space="preserve">to </w:t>
      </w:r>
      <w:r w:rsidR="001C4A87">
        <w:t xml:space="preserve">make a </w:t>
      </w:r>
      <w:r w:rsidR="00FC0C49">
        <w:t>resolution plan</w:t>
      </w:r>
      <w:r w:rsidR="00677137">
        <w:t xml:space="preserve"> for </w:t>
      </w:r>
      <w:r w:rsidR="000A4DC4">
        <w:t xml:space="preserve">any </w:t>
      </w:r>
      <w:r w:rsidR="00677137">
        <w:t>CS facilit</w:t>
      </w:r>
      <w:r w:rsidR="000A4DC4">
        <w:t>y licensee</w:t>
      </w:r>
      <w:r w:rsidR="00677137">
        <w:t xml:space="preserve">. </w:t>
      </w:r>
      <w:r w:rsidR="00436238">
        <w:t>The RBA may subsequently review, vary or revoke the resolution plan</w:t>
      </w:r>
      <w:r w:rsidR="000A4DC4">
        <w:t>.</w:t>
      </w:r>
      <w:r w:rsidR="005422CC">
        <w:t xml:space="preserve"> </w:t>
      </w:r>
      <w:r w:rsidR="001C4A87">
        <w:br/>
      </w:r>
      <w:r w:rsidR="001C4A87" w:rsidRPr="006F0208">
        <w:rPr>
          <w:rStyle w:val="References"/>
        </w:rPr>
        <w:t>[</w:t>
      </w:r>
      <w:r w:rsidR="001C4A87">
        <w:rPr>
          <w:rStyle w:val="References"/>
        </w:rPr>
        <w:t xml:space="preserve">Schedule </w:t>
      </w:r>
      <w:r w:rsidR="00B26E85">
        <w:rPr>
          <w:rStyle w:val="References"/>
        </w:rPr>
        <w:t>1</w:t>
      </w:r>
      <w:r w:rsidR="001C4A87" w:rsidRPr="006F0208">
        <w:rPr>
          <w:rStyle w:val="References"/>
        </w:rPr>
        <w:t xml:space="preserve">, item </w:t>
      </w:r>
      <w:r w:rsidR="00B26E85">
        <w:rPr>
          <w:rStyle w:val="References"/>
        </w:rPr>
        <w:t>30</w:t>
      </w:r>
      <w:r w:rsidR="001C4A87">
        <w:rPr>
          <w:rStyle w:val="References"/>
        </w:rPr>
        <w:t>, section 8</w:t>
      </w:r>
      <w:r w:rsidR="007B6990">
        <w:rPr>
          <w:rStyle w:val="References"/>
        </w:rPr>
        <w:t>27DB</w:t>
      </w:r>
      <w:r w:rsidR="001C4A87" w:rsidRPr="006F0208">
        <w:rPr>
          <w:rStyle w:val="References"/>
        </w:rPr>
        <w:t xml:space="preserve"> of the </w:t>
      </w:r>
      <w:r w:rsidR="001C4A87">
        <w:rPr>
          <w:rStyle w:val="References"/>
        </w:rPr>
        <w:t>Act</w:t>
      </w:r>
      <w:r w:rsidR="001C4A87" w:rsidRPr="006F0208">
        <w:rPr>
          <w:rStyle w:val="References"/>
        </w:rPr>
        <w:t>]</w:t>
      </w:r>
    </w:p>
    <w:p w14:paraId="1D6C71ED" w14:textId="59B6C051" w:rsidR="001C4A87" w:rsidRDefault="005422CC" w:rsidP="001C4A87">
      <w:pPr>
        <w:pStyle w:val="Normalparatextwithnumbers"/>
      </w:pPr>
      <w:r>
        <w:t>To facilitate this resolution planning, the RBA may direct a body corporate to provide information or documents to the RBA.</w:t>
      </w:r>
      <w:r>
        <w:br/>
      </w:r>
      <w:r w:rsidRPr="005422CC">
        <w:rPr>
          <w:rStyle w:val="References"/>
        </w:rPr>
        <w:t>[Schedule 1, item 30 section 827DC of the Act]</w:t>
      </w:r>
    </w:p>
    <w:p w14:paraId="253FA34E" w14:textId="77777777" w:rsidR="001A4774" w:rsidRDefault="001A4774" w:rsidP="001A4774">
      <w:pPr>
        <w:pStyle w:val="Normalparatextwithnumbers"/>
      </w:pPr>
      <w:r>
        <w:t>R</w:t>
      </w:r>
      <w:r w:rsidRPr="00EB546F">
        <w:t>esolution planning</w:t>
      </w:r>
      <w:r>
        <w:t xml:space="preserve"> is important to crisis prevention by </w:t>
      </w:r>
      <w:r w:rsidRPr="00EB546F">
        <w:t>address</w:t>
      </w:r>
      <w:r>
        <w:t>ing</w:t>
      </w:r>
      <w:r w:rsidRPr="00EB546F">
        <w:t xml:space="preserve"> potential barriers to orderly resolution</w:t>
      </w:r>
      <w:r>
        <w:t>. It is at the RBA’s discretion to determine the frequency, form and notification requirements for resolution planning.</w:t>
      </w:r>
      <w:r w:rsidDel="008E2E39">
        <w:t xml:space="preserve"> </w:t>
      </w:r>
    </w:p>
    <w:p w14:paraId="4659373E" w14:textId="6B577E1F" w:rsidR="00844FD4" w:rsidRDefault="00844FD4" w:rsidP="00844FD4">
      <w:pPr>
        <w:pStyle w:val="Heading3"/>
        <w:rPr>
          <w:rFonts w:hint="eastAsia"/>
        </w:rPr>
      </w:pPr>
      <w:bookmarkStart w:id="82" w:name="_Toc152860459"/>
      <w:r>
        <w:t>Resolvability standards</w:t>
      </w:r>
      <w:bookmarkEnd w:id="82"/>
    </w:p>
    <w:p w14:paraId="1939B6A8" w14:textId="1F31B552" w:rsidR="003B309B" w:rsidRPr="001C4A87" w:rsidRDefault="00375422" w:rsidP="009D08D9">
      <w:pPr>
        <w:pStyle w:val="Normalparatextwithnumbers"/>
        <w:rPr>
          <w:rStyle w:val="References"/>
          <w:b w:val="0"/>
          <w:i w:val="0"/>
        </w:rPr>
      </w:pPr>
      <w:r w:rsidRPr="004710FD">
        <w:t>The R</w:t>
      </w:r>
      <w:r w:rsidR="00C44613">
        <w:t>B</w:t>
      </w:r>
      <w:r w:rsidRPr="004710FD">
        <w:t xml:space="preserve">A has the power to set </w:t>
      </w:r>
      <w:r>
        <w:t>r</w:t>
      </w:r>
      <w:r w:rsidRPr="004710FD">
        <w:t xml:space="preserve">esolvability </w:t>
      </w:r>
      <w:r>
        <w:t>s</w:t>
      </w:r>
      <w:r w:rsidRPr="004710FD">
        <w:t xml:space="preserve">tandards </w:t>
      </w:r>
      <w:r>
        <w:t>t</w:t>
      </w:r>
      <w:r w:rsidRPr="004710FD">
        <w:t>o ensur</w:t>
      </w:r>
      <w:r>
        <w:t>e</w:t>
      </w:r>
      <w:r w:rsidRPr="004710FD">
        <w:t xml:space="preserve"> that </w:t>
      </w:r>
      <w:r>
        <w:t>domestic CS facility licensee</w:t>
      </w:r>
      <w:r w:rsidRPr="004710FD">
        <w:t xml:space="preserve">s and their related bodies corporate conduct their affairs in a way that </w:t>
      </w:r>
      <w:r w:rsidR="00766B2D">
        <w:t xml:space="preserve">would </w:t>
      </w:r>
      <w:r w:rsidRPr="004710FD">
        <w:t xml:space="preserve">facilitate resolution of the </w:t>
      </w:r>
      <w:r>
        <w:t>domestic CS facility licensee</w:t>
      </w:r>
      <w:r w:rsidR="00766B2D">
        <w:t xml:space="preserve"> if required</w:t>
      </w:r>
      <w:r w:rsidRPr="004710FD">
        <w:t xml:space="preserve">. </w:t>
      </w:r>
      <w:r w:rsidR="003477EA" w:rsidRPr="004710FD">
        <w:t xml:space="preserve">The </w:t>
      </w:r>
      <w:r w:rsidR="003477EA">
        <w:t>RBA</w:t>
      </w:r>
      <w:r w:rsidR="003477EA" w:rsidRPr="004710FD">
        <w:t xml:space="preserve"> may assess </w:t>
      </w:r>
      <w:r w:rsidR="003477EA">
        <w:t>domestic CS facility licensee</w:t>
      </w:r>
      <w:r w:rsidR="003477EA" w:rsidRPr="004710FD">
        <w:t>s</w:t>
      </w:r>
      <w:r w:rsidR="003477EA">
        <w:t xml:space="preserve"> and related bodies corporate</w:t>
      </w:r>
      <w:r w:rsidR="003477EA" w:rsidRPr="004710FD">
        <w:t xml:space="preserve"> against the standards.  </w:t>
      </w:r>
      <w:r w:rsidR="009D08D9">
        <w:br/>
      </w:r>
      <w:r w:rsidR="003B309B">
        <w:rPr>
          <w:rStyle w:val="References"/>
        </w:rPr>
        <w:t xml:space="preserve">[Schedule </w:t>
      </w:r>
      <w:r w:rsidR="003477EA">
        <w:rPr>
          <w:rStyle w:val="References"/>
        </w:rPr>
        <w:t>1</w:t>
      </w:r>
      <w:r w:rsidR="003B309B">
        <w:rPr>
          <w:rStyle w:val="References"/>
        </w:rPr>
        <w:t xml:space="preserve">, item </w:t>
      </w:r>
      <w:r w:rsidR="00C12709">
        <w:rPr>
          <w:rStyle w:val="References"/>
        </w:rPr>
        <w:t>30</w:t>
      </w:r>
      <w:r w:rsidR="003B309B">
        <w:rPr>
          <w:rStyle w:val="References"/>
        </w:rPr>
        <w:t xml:space="preserve">, </w:t>
      </w:r>
      <w:r w:rsidR="00485D39">
        <w:rPr>
          <w:rStyle w:val="References"/>
        </w:rPr>
        <w:t>sub</w:t>
      </w:r>
      <w:r w:rsidR="003B309B">
        <w:rPr>
          <w:rStyle w:val="References"/>
        </w:rPr>
        <w:t>section 827</w:t>
      </w:r>
      <w:proofErr w:type="gramStart"/>
      <w:r w:rsidR="003B309B">
        <w:rPr>
          <w:rStyle w:val="References"/>
        </w:rPr>
        <w:t>DA</w:t>
      </w:r>
      <w:r w:rsidR="00485D39">
        <w:rPr>
          <w:rStyle w:val="References"/>
        </w:rPr>
        <w:t>(</w:t>
      </w:r>
      <w:proofErr w:type="gramEnd"/>
      <w:r w:rsidR="00485D39">
        <w:rPr>
          <w:rStyle w:val="References"/>
        </w:rPr>
        <w:t>1)</w:t>
      </w:r>
      <w:r w:rsidR="003477EA">
        <w:rPr>
          <w:rStyle w:val="References"/>
        </w:rPr>
        <w:t xml:space="preserve"> </w:t>
      </w:r>
      <w:r w:rsidR="00E9725C">
        <w:rPr>
          <w:rStyle w:val="References"/>
        </w:rPr>
        <w:t>of the Act]</w:t>
      </w:r>
    </w:p>
    <w:p w14:paraId="3066CA5D" w14:textId="18CCCBD6" w:rsidR="00375422" w:rsidRDefault="00375422" w:rsidP="00125C2C">
      <w:pPr>
        <w:pStyle w:val="Normalparatextwithnumbers"/>
      </w:pPr>
      <w:r w:rsidRPr="00D241E9">
        <w:t xml:space="preserve">The resolvability standards </w:t>
      </w:r>
      <w:r w:rsidR="00C44613">
        <w:t>may stipulate</w:t>
      </w:r>
      <w:r w:rsidRPr="00D241E9">
        <w:t xml:space="preserve"> different requirements and activities </w:t>
      </w:r>
      <w:r w:rsidR="00C44613">
        <w:t xml:space="preserve">to </w:t>
      </w:r>
      <w:r w:rsidRPr="00D241E9">
        <w:t>be complied with in different situations.</w:t>
      </w:r>
      <w:r w:rsidR="00D0651D">
        <w:t xml:space="preserve"> </w:t>
      </w:r>
      <w:r w:rsidR="00C44613">
        <w:br/>
      </w:r>
      <w:r w:rsidR="00C44613" w:rsidRPr="00C44613">
        <w:rPr>
          <w:rStyle w:val="References"/>
        </w:rPr>
        <w:t>[</w:t>
      </w:r>
      <w:r w:rsidR="00A93424">
        <w:rPr>
          <w:rStyle w:val="References"/>
        </w:rPr>
        <w:t xml:space="preserve">Schedule </w:t>
      </w:r>
      <w:r w:rsidR="00F44566">
        <w:rPr>
          <w:rStyle w:val="References"/>
        </w:rPr>
        <w:t>1</w:t>
      </w:r>
      <w:r w:rsidR="00C44613" w:rsidRPr="00C44613">
        <w:rPr>
          <w:rStyle w:val="References"/>
        </w:rPr>
        <w:t xml:space="preserve">, item </w:t>
      </w:r>
      <w:r w:rsidR="00C12709">
        <w:rPr>
          <w:rStyle w:val="References"/>
        </w:rPr>
        <w:t>30</w:t>
      </w:r>
      <w:r w:rsidR="00A173E6" w:rsidRPr="00C44613">
        <w:rPr>
          <w:rStyle w:val="References"/>
        </w:rPr>
        <w:t xml:space="preserve">, </w:t>
      </w:r>
      <w:r w:rsidR="00303671" w:rsidDel="008C7E6D">
        <w:rPr>
          <w:rStyle w:val="References"/>
        </w:rPr>
        <w:t>sub</w:t>
      </w:r>
      <w:r w:rsidR="00C44613" w:rsidRPr="00C44613" w:rsidDel="008C7E6D">
        <w:rPr>
          <w:rStyle w:val="References"/>
        </w:rPr>
        <w:t xml:space="preserve">section </w:t>
      </w:r>
      <w:r w:rsidR="00C32925">
        <w:rPr>
          <w:rStyle w:val="References"/>
        </w:rPr>
        <w:t>827</w:t>
      </w:r>
      <w:proofErr w:type="gramStart"/>
      <w:r w:rsidR="00C32925">
        <w:rPr>
          <w:rStyle w:val="References"/>
        </w:rPr>
        <w:t>DA(</w:t>
      </w:r>
      <w:proofErr w:type="gramEnd"/>
      <w:r w:rsidR="00C32925">
        <w:rPr>
          <w:rStyle w:val="References"/>
        </w:rPr>
        <w:t>4</w:t>
      </w:r>
      <w:r w:rsidR="008C7E6D">
        <w:rPr>
          <w:rStyle w:val="References"/>
        </w:rPr>
        <w:t>)</w:t>
      </w:r>
      <w:r w:rsidR="00C32925" w:rsidRPr="00C44613">
        <w:rPr>
          <w:rStyle w:val="References"/>
        </w:rPr>
        <w:t xml:space="preserve"> </w:t>
      </w:r>
      <w:r w:rsidR="00C44613" w:rsidRPr="00C44613">
        <w:rPr>
          <w:rStyle w:val="References"/>
        </w:rPr>
        <w:t xml:space="preserve">of the </w:t>
      </w:r>
      <w:r w:rsidR="000E7C19">
        <w:rPr>
          <w:rStyle w:val="References"/>
        </w:rPr>
        <w:t>Act</w:t>
      </w:r>
      <w:r w:rsidR="00C44613" w:rsidRPr="00C44613">
        <w:rPr>
          <w:rStyle w:val="References"/>
        </w:rPr>
        <w:t>]</w:t>
      </w:r>
    </w:p>
    <w:p w14:paraId="726E26FA" w14:textId="77777777" w:rsidR="00375422" w:rsidRDefault="00375422" w:rsidP="00375422">
      <w:pPr>
        <w:pStyle w:val="Heading6"/>
        <w:rPr>
          <w:rFonts w:hint="eastAsia"/>
        </w:rPr>
      </w:pPr>
      <w:r>
        <w:t xml:space="preserve">Compliance by affected </w:t>
      </w:r>
      <w:proofErr w:type="gramStart"/>
      <w:r>
        <w:t>entities</w:t>
      </w:r>
      <w:proofErr w:type="gramEnd"/>
    </w:p>
    <w:p w14:paraId="5EB121E6" w14:textId="1F62F73A" w:rsidR="000B0EA3" w:rsidRPr="000B0EA3" w:rsidRDefault="00375422" w:rsidP="000B0EA3">
      <w:pPr>
        <w:pStyle w:val="Normalparatextwithnumbers"/>
        <w:rPr>
          <w:bCs/>
          <w:iCs/>
        </w:rPr>
      </w:pPr>
      <w:r>
        <w:t>The resolvability standards are to be complied with by all domestic CS facility licensees, related bod</w:t>
      </w:r>
      <w:r w:rsidR="00127176">
        <w:t>ies</w:t>
      </w:r>
      <w:r>
        <w:t xml:space="preserve"> corporate of a domestic CS facility licensee or a specified class of CS facility licensees</w:t>
      </w:r>
      <w:r w:rsidR="00485D39">
        <w:t>. The RBA will have</w:t>
      </w:r>
      <w:r>
        <w:t xml:space="preserve"> the </w:t>
      </w:r>
      <w:r w:rsidR="00485D39" w:rsidRPr="008C74D6">
        <w:t>power</w:t>
      </w:r>
      <w:r w:rsidR="00485D39">
        <w:t xml:space="preserve"> </w:t>
      </w:r>
      <w:r w:rsidR="00485D39" w:rsidRPr="008C74D6">
        <w:t xml:space="preserve">to exempt specific </w:t>
      </w:r>
      <w:r w:rsidR="00485D39">
        <w:t xml:space="preserve">CS facility licensees </w:t>
      </w:r>
      <w:r w:rsidR="00485D39" w:rsidRPr="008C74D6">
        <w:t>or class</w:t>
      </w:r>
      <w:r w:rsidR="00485D39">
        <w:t>es</w:t>
      </w:r>
      <w:r>
        <w:t xml:space="preserve"> of </w:t>
      </w:r>
      <w:r w:rsidR="00485D39">
        <w:t>CS facility licensee</w:t>
      </w:r>
      <w:r w:rsidR="00485D39" w:rsidRPr="008C74D6">
        <w:t>s</w:t>
      </w:r>
      <w:r w:rsidR="00485D39">
        <w:t>. These entities may be exempt</w:t>
      </w:r>
      <w:r w:rsidR="00485D39" w:rsidRPr="008C74D6">
        <w:t xml:space="preserve"> from all or part of the resolvability standards.</w:t>
      </w:r>
      <w:r w:rsidR="009D08D9">
        <w:br/>
      </w:r>
      <w:r w:rsidR="00771730">
        <w:rPr>
          <w:rStyle w:val="References"/>
        </w:rPr>
        <w:t xml:space="preserve">[Schedule </w:t>
      </w:r>
      <w:r w:rsidR="00C12709">
        <w:rPr>
          <w:rStyle w:val="References"/>
        </w:rPr>
        <w:t>1</w:t>
      </w:r>
      <w:r w:rsidR="00771730">
        <w:rPr>
          <w:rStyle w:val="References"/>
        </w:rPr>
        <w:t xml:space="preserve">, item </w:t>
      </w:r>
      <w:r w:rsidR="00C12709">
        <w:rPr>
          <w:rStyle w:val="References"/>
        </w:rPr>
        <w:t>30</w:t>
      </w:r>
      <w:r w:rsidR="00771730">
        <w:rPr>
          <w:rStyle w:val="References"/>
        </w:rPr>
        <w:t xml:space="preserve">, </w:t>
      </w:r>
      <w:r w:rsidR="00392912">
        <w:rPr>
          <w:rStyle w:val="References"/>
        </w:rPr>
        <w:t>subsection 827</w:t>
      </w:r>
      <w:proofErr w:type="gramStart"/>
      <w:r w:rsidR="00392912">
        <w:rPr>
          <w:rStyle w:val="References"/>
        </w:rPr>
        <w:t>DA(</w:t>
      </w:r>
      <w:proofErr w:type="gramEnd"/>
      <w:r w:rsidR="00392912">
        <w:rPr>
          <w:rStyle w:val="References"/>
        </w:rPr>
        <w:t>2) of the Act]</w:t>
      </w:r>
      <w:r w:rsidR="000B0EA3" w:rsidRPr="000B0EA3">
        <w:t xml:space="preserve"> </w:t>
      </w:r>
    </w:p>
    <w:p w14:paraId="0B533FD6" w14:textId="1A2E6C7D" w:rsidR="00771730" w:rsidRPr="001C4A87" w:rsidRDefault="000B0EA3" w:rsidP="009D08D9">
      <w:pPr>
        <w:pStyle w:val="Normalparatextwithnumbers"/>
        <w:rPr>
          <w:rStyle w:val="References"/>
          <w:b w:val="0"/>
          <w:i w:val="0"/>
        </w:rPr>
      </w:pPr>
      <w:r>
        <w:t>Bod</w:t>
      </w:r>
      <w:r w:rsidR="00D24A37">
        <w:t>y</w:t>
      </w:r>
      <w:r>
        <w:t xml:space="preserve"> corporates are to comply with the </w:t>
      </w:r>
      <w:r w:rsidRPr="00891EC8">
        <w:t>resolvability standard</w:t>
      </w:r>
      <w:r>
        <w:t xml:space="preserve">s when it comes to force which is either the day the determination is made or </w:t>
      </w:r>
      <w:r w:rsidRPr="00891EC8">
        <w:t>when the determination specifies commencement</w:t>
      </w:r>
      <w:r>
        <w:t xml:space="preserve">. The standards cease to apply when </w:t>
      </w:r>
      <w:r w:rsidRPr="00891EC8">
        <w:t xml:space="preserve">it is revoked. </w:t>
      </w:r>
      <w:r>
        <w:br/>
      </w:r>
      <w:r>
        <w:rPr>
          <w:rStyle w:val="References"/>
        </w:rPr>
        <w:t xml:space="preserve">[Schedule </w:t>
      </w:r>
      <w:r w:rsidR="00C12709">
        <w:rPr>
          <w:rStyle w:val="References"/>
        </w:rPr>
        <w:t>1</w:t>
      </w:r>
      <w:r>
        <w:rPr>
          <w:rStyle w:val="References"/>
        </w:rPr>
        <w:t xml:space="preserve">, item </w:t>
      </w:r>
      <w:r w:rsidR="00C12709">
        <w:rPr>
          <w:rStyle w:val="References"/>
        </w:rPr>
        <w:t>30</w:t>
      </w:r>
      <w:r>
        <w:rPr>
          <w:rStyle w:val="References"/>
        </w:rPr>
        <w:t>, subsection 827</w:t>
      </w:r>
      <w:proofErr w:type="gramStart"/>
      <w:r>
        <w:rPr>
          <w:rStyle w:val="References"/>
        </w:rPr>
        <w:t>DA(</w:t>
      </w:r>
      <w:proofErr w:type="gramEnd"/>
      <w:r>
        <w:rPr>
          <w:rStyle w:val="References"/>
        </w:rPr>
        <w:t>5) of the Act]</w:t>
      </w:r>
    </w:p>
    <w:p w14:paraId="33A09BA3" w14:textId="37266867" w:rsidR="006651A7" w:rsidRPr="00C958C9" w:rsidRDefault="006651A7" w:rsidP="000B0EA3">
      <w:pPr>
        <w:pStyle w:val="Normalparatextwithnumbers"/>
        <w:rPr>
          <w:rStyle w:val="References"/>
          <w:b w:val="0"/>
          <w:i w:val="0"/>
        </w:rPr>
      </w:pPr>
      <w:r>
        <w:t xml:space="preserve">In the event of any conflict between the resolvability standards and </w:t>
      </w:r>
      <w:r w:rsidR="00C12709">
        <w:t xml:space="preserve">any other </w:t>
      </w:r>
      <w:r>
        <w:t>rules</w:t>
      </w:r>
      <w:r w:rsidR="00F44566">
        <w:t>, including the market integrity rules</w:t>
      </w:r>
      <w:r>
        <w:t>, the resolvability standards will prevai</w:t>
      </w:r>
      <w:r w:rsidR="001D7F36">
        <w:t xml:space="preserve">l. </w:t>
      </w:r>
      <w:r w:rsidR="001D7F36">
        <w:br/>
      </w:r>
      <w:r w:rsidR="001D7F36" w:rsidRPr="001D7F36">
        <w:rPr>
          <w:rStyle w:val="References"/>
        </w:rPr>
        <w:t xml:space="preserve">[Schedule </w:t>
      </w:r>
      <w:r w:rsidR="00C12709">
        <w:rPr>
          <w:rStyle w:val="References"/>
        </w:rPr>
        <w:t>1</w:t>
      </w:r>
      <w:r w:rsidR="001D7F36" w:rsidRPr="001D7F36">
        <w:rPr>
          <w:rStyle w:val="References"/>
        </w:rPr>
        <w:t xml:space="preserve">, item </w:t>
      </w:r>
      <w:r w:rsidR="00C12709">
        <w:rPr>
          <w:rStyle w:val="References"/>
        </w:rPr>
        <w:t>30</w:t>
      </w:r>
      <w:r w:rsidR="001D7F36" w:rsidRPr="001D7F36">
        <w:rPr>
          <w:rStyle w:val="References"/>
        </w:rPr>
        <w:t>, subsection 827</w:t>
      </w:r>
      <w:proofErr w:type="gramStart"/>
      <w:r w:rsidR="001D7F36" w:rsidRPr="001D7F36">
        <w:rPr>
          <w:rStyle w:val="References"/>
        </w:rPr>
        <w:t>DA</w:t>
      </w:r>
      <w:r w:rsidR="009F4E73" w:rsidRPr="001D7F36">
        <w:rPr>
          <w:rStyle w:val="References"/>
        </w:rPr>
        <w:t>(</w:t>
      </w:r>
      <w:proofErr w:type="gramEnd"/>
      <w:r w:rsidR="00C12709">
        <w:rPr>
          <w:rStyle w:val="References"/>
        </w:rPr>
        <w:t>8</w:t>
      </w:r>
      <w:r w:rsidR="009F4E73" w:rsidRPr="001D7F36">
        <w:rPr>
          <w:rStyle w:val="References"/>
        </w:rPr>
        <w:t xml:space="preserve">) </w:t>
      </w:r>
      <w:r w:rsidR="001D7F36" w:rsidRPr="001D7F36">
        <w:rPr>
          <w:rStyle w:val="References"/>
        </w:rPr>
        <w:t>of the Act]</w:t>
      </w:r>
    </w:p>
    <w:p w14:paraId="71ABC23F" w14:textId="73E8D738" w:rsidR="00C958C9" w:rsidRPr="00C958C9" w:rsidRDefault="00D24A37">
      <w:pPr>
        <w:pStyle w:val="Normalparatextwithnumbers"/>
        <w:rPr>
          <w:rStyle w:val="References"/>
          <w:b w:val="0"/>
          <w:i w:val="0"/>
        </w:rPr>
      </w:pPr>
      <w:r>
        <w:rPr>
          <w:rStyle w:val="References"/>
          <w:b w:val="0"/>
          <w:bCs w:val="0"/>
          <w:i w:val="0"/>
          <w:iCs w:val="0"/>
        </w:rPr>
        <w:lastRenderedPageBreak/>
        <w:t xml:space="preserve">A </w:t>
      </w:r>
      <w:r w:rsidR="00C958C9">
        <w:rPr>
          <w:rStyle w:val="References"/>
          <w:b w:val="0"/>
          <w:bCs w:val="0"/>
          <w:i w:val="0"/>
          <w:iCs w:val="0"/>
        </w:rPr>
        <w:t>CS facility license</w:t>
      </w:r>
      <w:r w:rsidR="00CE0A0D">
        <w:rPr>
          <w:rStyle w:val="References"/>
          <w:b w:val="0"/>
          <w:bCs w:val="0"/>
          <w:i w:val="0"/>
          <w:iCs w:val="0"/>
        </w:rPr>
        <w:t>e</w:t>
      </w:r>
      <w:r w:rsidR="00C958C9">
        <w:rPr>
          <w:rStyle w:val="References"/>
          <w:b w:val="0"/>
          <w:bCs w:val="0"/>
          <w:i w:val="0"/>
          <w:iCs w:val="0"/>
        </w:rPr>
        <w:t xml:space="preserve"> </w:t>
      </w:r>
      <w:r>
        <w:rPr>
          <w:rStyle w:val="References"/>
          <w:b w:val="0"/>
          <w:bCs w:val="0"/>
          <w:i w:val="0"/>
          <w:iCs w:val="0"/>
        </w:rPr>
        <w:t>is</w:t>
      </w:r>
      <w:r w:rsidR="00C958C9">
        <w:rPr>
          <w:rStyle w:val="References"/>
          <w:b w:val="0"/>
          <w:bCs w:val="0"/>
          <w:i w:val="0"/>
          <w:iCs w:val="0"/>
        </w:rPr>
        <w:t xml:space="preserve"> required to provide </w:t>
      </w:r>
      <w:r w:rsidR="00201B98">
        <w:rPr>
          <w:rStyle w:val="References"/>
          <w:b w:val="0"/>
          <w:bCs w:val="0"/>
          <w:i w:val="0"/>
          <w:iCs w:val="0"/>
        </w:rPr>
        <w:t xml:space="preserve">immediate notification to </w:t>
      </w:r>
      <w:r w:rsidR="00C958C9">
        <w:rPr>
          <w:rStyle w:val="References"/>
          <w:b w:val="0"/>
          <w:bCs w:val="0"/>
          <w:i w:val="0"/>
          <w:iCs w:val="0"/>
        </w:rPr>
        <w:t xml:space="preserve">the RBA that it is likely to fail to comply with the standards. This obligation is the same as for the </w:t>
      </w:r>
      <w:r w:rsidR="00F97836">
        <w:rPr>
          <w:rStyle w:val="References"/>
          <w:b w:val="0"/>
          <w:bCs w:val="0"/>
          <w:i w:val="0"/>
          <w:iCs w:val="0"/>
        </w:rPr>
        <w:t>Financial Stability Standards</w:t>
      </w:r>
      <w:r w:rsidR="00C958C9">
        <w:rPr>
          <w:rStyle w:val="References"/>
          <w:b w:val="0"/>
          <w:bCs w:val="0"/>
          <w:i w:val="0"/>
          <w:iCs w:val="0"/>
        </w:rPr>
        <w:t>.</w:t>
      </w:r>
      <w:r w:rsidR="00C958C9" w:rsidRPr="00C958C9">
        <w:rPr>
          <w:rStyle w:val="References"/>
          <w:b w:val="0"/>
          <w:bCs w:val="0"/>
          <w:i w:val="0"/>
          <w:iCs w:val="0"/>
        </w:rPr>
        <w:br/>
      </w:r>
      <w:r w:rsidR="00C958C9">
        <w:rPr>
          <w:rStyle w:val="References"/>
        </w:rPr>
        <w:t xml:space="preserve">[Schedule </w:t>
      </w:r>
      <w:r w:rsidR="00201B98">
        <w:rPr>
          <w:rStyle w:val="References"/>
        </w:rPr>
        <w:t>1</w:t>
      </w:r>
      <w:r w:rsidR="00C958C9" w:rsidRPr="00C958C9">
        <w:rPr>
          <w:rStyle w:val="References"/>
        </w:rPr>
        <w:t xml:space="preserve">, item </w:t>
      </w:r>
      <w:r w:rsidR="00201B98">
        <w:rPr>
          <w:rStyle w:val="References"/>
        </w:rPr>
        <w:t>19</w:t>
      </w:r>
      <w:r w:rsidR="00C958C9" w:rsidRPr="00C958C9">
        <w:rPr>
          <w:rStyle w:val="References"/>
        </w:rPr>
        <w:t xml:space="preserve">, </w:t>
      </w:r>
      <w:r w:rsidR="00201B98">
        <w:rPr>
          <w:rStyle w:val="References"/>
        </w:rPr>
        <w:t>section</w:t>
      </w:r>
      <w:r w:rsidR="00C958C9" w:rsidRPr="00C958C9">
        <w:rPr>
          <w:rStyle w:val="References"/>
        </w:rPr>
        <w:t xml:space="preserve"> 821BA</w:t>
      </w:r>
      <w:r w:rsidR="00C958C9">
        <w:rPr>
          <w:rStyle w:val="References"/>
        </w:rPr>
        <w:t xml:space="preserve"> of the Act]</w:t>
      </w:r>
    </w:p>
    <w:p w14:paraId="0B881B32" w14:textId="107DA559" w:rsidR="00375422" w:rsidRDefault="00D0651D" w:rsidP="00375422">
      <w:pPr>
        <w:pStyle w:val="Heading6"/>
        <w:rPr>
          <w:rFonts w:hint="eastAsia"/>
        </w:rPr>
      </w:pPr>
      <w:r>
        <w:t xml:space="preserve">Process </w:t>
      </w:r>
      <w:r w:rsidR="00375422">
        <w:t xml:space="preserve">of </w:t>
      </w:r>
      <w:r>
        <w:t xml:space="preserve">making </w:t>
      </w:r>
      <w:r w:rsidR="00375422">
        <w:t>standards</w:t>
      </w:r>
    </w:p>
    <w:p w14:paraId="2E99C795" w14:textId="60DD1493" w:rsidR="000B0EA3" w:rsidRDefault="00D0651D" w:rsidP="000B0EA3">
      <w:pPr>
        <w:pStyle w:val="Normalparatextwithnumbers"/>
      </w:pPr>
      <w:bookmarkStart w:id="83" w:name="_Ref140223844"/>
      <w:r>
        <w:t xml:space="preserve">Prior to making the resolvability standards, the RBA must consult with affected bodies corporate and ASIC. </w:t>
      </w:r>
      <w:r w:rsidR="000B0EA3">
        <w:t xml:space="preserve">The RBA may subsequently vary or revoke the standard where the RBA must follow a similar procedure to notify ASIC and affected licensees. </w:t>
      </w:r>
      <w:r w:rsidR="000B0EA3" w:rsidRPr="00AE2F70">
        <w:rPr>
          <w:rStyle w:val="References"/>
        </w:rPr>
        <w:br/>
        <w:t>[</w:t>
      </w:r>
      <w:r w:rsidR="000B0EA3">
        <w:rPr>
          <w:rStyle w:val="References"/>
        </w:rPr>
        <w:t xml:space="preserve">Schedule </w:t>
      </w:r>
      <w:r w:rsidR="006C0344">
        <w:rPr>
          <w:rStyle w:val="References"/>
        </w:rPr>
        <w:t>1</w:t>
      </w:r>
      <w:r w:rsidR="000B0EA3" w:rsidRPr="00AE2F70">
        <w:rPr>
          <w:rStyle w:val="References"/>
        </w:rPr>
        <w:t xml:space="preserve">, item </w:t>
      </w:r>
      <w:r w:rsidR="006C0344">
        <w:rPr>
          <w:rStyle w:val="References"/>
        </w:rPr>
        <w:t>30</w:t>
      </w:r>
      <w:r w:rsidR="000B0EA3" w:rsidRPr="00AE2F70">
        <w:rPr>
          <w:rStyle w:val="References"/>
        </w:rPr>
        <w:t xml:space="preserve">, </w:t>
      </w:r>
      <w:r w:rsidR="000B0EA3">
        <w:rPr>
          <w:rStyle w:val="References"/>
        </w:rPr>
        <w:t>sub</w:t>
      </w:r>
      <w:r w:rsidR="000B0EA3" w:rsidRPr="00AE2F70">
        <w:rPr>
          <w:rStyle w:val="References"/>
        </w:rPr>
        <w:t xml:space="preserve">section </w:t>
      </w:r>
      <w:r w:rsidR="000B0EA3">
        <w:rPr>
          <w:rStyle w:val="References"/>
        </w:rPr>
        <w:t>827</w:t>
      </w:r>
      <w:proofErr w:type="gramStart"/>
      <w:r w:rsidR="000B0EA3">
        <w:rPr>
          <w:rStyle w:val="References"/>
        </w:rPr>
        <w:t>DA(</w:t>
      </w:r>
      <w:proofErr w:type="gramEnd"/>
      <w:r w:rsidR="000B0EA3">
        <w:rPr>
          <w:rStyle w:val="References"/>
        </w:rPr>
        <w:t>3), 6), (</w:t>
      </w:r>
      <w:r w:rsidR="006C0344">
        <w:rPr>
          <w:rStyle w:val="References"/>
        </w:rPr>
        <w:t>7</w:t>
      </w:r>
      <w:r w:rsidR="000B0EA3">
        <w:rPr>
          <w:rStyle w:val="References"/>
        </w:rPr>
        <w:t xml:space="preserve">) </w:t>
      </w:r>
      <w:r w:rsidR="000B0EA3" w:rsidRPr="00AE2F70">
        <w:rPr>
          <w:rStyle w:val="References"/>
        </w:rPr>
        <w:t xml:space="preserve">of the </w:t>
      </w:r>
      <w:r w:rsidR="000B0EA3">
        <w:rPr>
          <w:rStyle w:val="References"/>
        </w:rPr>
        <w:t>Act</w:t>
      </w:r>
      <w:r w:rsidR="000B0EA3" w:rsidRPr="00AE2F70">
        <w:rPr>
          <w:rStyle w:val="References"/>
        </w:rPr>
        <w:t>]</w:t>
      </w:r>
    </w:p>
    <w:bookmarkEnd w:id="83"/>
    <w:p w14:paraId="0841012D" w14:textId="1237026C" w:rsidR="00375422" w:rsidRDefault="00375422" w:rsidP="00375422">
      <w:pPr>
        <w:pStyle w:val="Heading6"/>
        <w:rPr>
          <w:rFonts w:hint="eastAsia"/>
        </w:rPr>
      </w:pPr>
      <w:r>
        <w:t>Assessing compliance with resolvability standards</w:t>
      </w:r>
    </w:p>
    <w:p w14:paraId="65BA0DBD" w14:textId="17F66F28" w:rsidR="005F2327" w:rsidRPr="00201B98" w:rsidRDefault="003477EA" w:rsidP="00125C2C">
      <w:pPr>
        <w:pStyle w:val="Normalparatextwithnumbers"/>
        <w:rPr>
          <w:rStyle w:val="References"/>
          <w:b w:val="0"/>
          <w:bCs w:val="0"/>
          <w:i w:val="0"/>
          <w:iCs w:val="0"/>
        </w:rPr>
      </w:pPr>
      <w:r>
        <w:t xml:space="preserve">In addition to assessing compliance with the </w:t>
      </w:r>
      <w:r w:rsidR="00F97836">
        <w:t>Financial Stability Standards</w:t>
      </w:r>
      <w:r>
        <w:t>, t</w:t>
      </w:r>
      <w:r w:rsidR="00375422" w:rsidRPr="00891EC8">
        <w:t>he R</w:t>
      </w:r>
      <w:r w:rsidR="00AE2F70">
        <w:t>B</w:t>
      </w:r>
      <w:r w:rsidR="00375422" w:rsidRPr="00891EC8">
        <w:t xml:space="preserve">A may assess how well a </w:t>
      </w:r>
      <w:r w:rsidR="00375422">
        <w:t>domestic CS facility licensee</w:t>
      </w:r>
      <w:r w:rsidR="00375422" w:rsidRPr="00891EC8">
        <w:t xml:space="preserve"> and its </w:t>
      </w:r>
      <w:r w:rsidR="00375422">
        <w:t>r</w:t>
      </w:r>
      <w:r w:rsidR="00375422" w:rsidRPr="00891EC8">
        <w:t xml:space="preserve">elated </w:t>
      </w:r>
      <w:r w:rsidR="00375422">
        <w:t>b</w:t>
      </w:r>
      <w:r w:rsidR="00375422" w:rsidRPr="00891EC8">
        <w:t xml:space="preserve">odies </w:t>
      </w:r>
      <w:r w:rsidR="00375422">
        <w:t>c</w:t>
      </w:r>
      <w:r w:rsidR="00375422" w:rsidRPr="00891EC8">
        <w:t>orporate are complying with their respective obligations under any resolvability standards that appl</w:t>
      </w:r>
      <w:r w:rsidR="005E1F00">
        <w:t>y</w:t>
      </w:r>
      <w:r w:rsidR="00375422" w:rsidRPr="00891EC8">
        <w:t>.</w:t>
      </w:r>
      <w:r w:rsidR="005F2327">
        <w:t xml:space="preserve"> </w:t>
      </w:r>
      <w:r w:rsidR="00375422" w:rsidRPr="00891EC8">
        <w:t>In making this assessment, the R</w:t>
      </w:r>
      <w:r w:rsidR="005F2327">
        <w:t>B</w:t>
      </w:r>
      <w:r w:rsidR="00375422" w:rsidRPr="00891EC8">
        <w:t xml:space="preserve">A may take account of any information and reports it </w:t>
      </w:r>
      <w:r w:rsidR="005F2327">
        <w:t xml:space="preserve">considers </w:t>
      </w:r>
      <w:r w:rsidR="00375422" w:rsidRPr="00891EC8">
        <w:t xml:space="preserve">appropriate. </w:t>
      </w:r>
      <w:r w:rsidR="006A2A11">
        <w:br/>
      </w:r>
      <w:r w:rsidR="006A2A11" w:rsidRPr="006A2A11">
        <w:rPr>
          <w:rStyle w:val="References"/>
        </w:rPr>
        <w:t xml:space="preserve">[Schedule </w:t>
      </w:r>
      <w:r w:rsidR="006E12B4">
        <w:rPr>
          <w:rStyle w:val="References"/>
        </w:rPr>
        <w:t>1</w:t>
      </w:r>
      <w:r w:rsidR="006A2A11" w:rsidRPr="006A2A11">
        <w:rPr>
          <w:rStyle w:val="References"/>
        </w:rPr>
        <w:t>, item</w:t>
      </w:r>
      <w:r w:rsidR="00EF5FC3">
        <w:rPr>
          <w:rStyle w:val="References"/>
        </w:rPr>
        <w:t>s 22 and</w:t>
      </w:r>
      <w:r w:rsidR="006A2A11" w:rsidRPr="006A2A11">
        <w:rPr>
          <w:rStyle w:val="References"/>
        </w:rPr>
        <w:t xml:space="preserve"> </w:t>
      </w:r>
      <w:r w:rsidR="006E12B4">
        <w:rPr>
          <w:rStyle w:val="References"/>
        </w:rPr>
        <w:t>23</w:t>
      </w:r>
      <w:r>
        <w:rPr>
          <w:rStyle w:val="References"/>
        </w:rPr>
        <w:t>,</w:t>
      </w:r>
      <w:r w:rsidR="00CE63D0" w:rsidRPr="006A2A11">
        <w:rPr>
          <w:rStyle w:val="References"/>
        </w:rPr>
        <w:t xml:space="preserve"> </w:t>
      </w:r>
      <w:r w:rsidR="006A2A11" w:rsidRPr="006A2A11">
        <w:rPr>
          <w:rStyle w:val="References"/>
        </w:rPr>
        <w:t xml:space="preserve">subsection </w:t>
      </w:r>
      <w:r w:rsidR="007700B9">
        <w:rPr>
          <w:rStyle w:val="References"/>
        </w:rPr>
        <w:t>823</w:t>
      </w:r>
      <w:proofErr w:type="gramStart"/>
      <w:r w:rsidR="007700B9">
        <w:rPr>
          <w:rStyle w:val="References"/>
        </w:rPr>
        <w:t>CA(</w:t>
      </w:r>
      <w:proofErr w:type="gramEnd"/>
      <w:r w:rsidR="007700B9">
        <w:rPr>
          <w:rStyle w:val="References"/>
        </w:rPr>
        <w:t>1)</w:t>
      </w:r>
      <w:r w:rsidR="005D0F91">
        <w:rPr>
          <w:rStyle w:val="References"/>
        </w:rPr>
        <w:t xml:space="preserve"> </w:t>
      </w:r>
      <w:r w:rsidR="006A2A11" w:rsidRPr="006A2A11">
        <w:rPr>
          <w:rStyle w:val="References"/>
        </w:rPr>
        <w:t>of the Act]</w:t>
      </w:r>
    </w:p>
    <w:p w14:paraId="40D6BD5E" w14:textId="62E32B62" w:rsidR="00375422" w:rsidRPr="00891EC8" w:rsidRDefault="005F2327" w:rsidP="00AD1047">
      <w:pPr>
        <w:pStyle w:val="Normalparatextwithnumbers"/>
      </w:pPr>
      <w:r>
        <w:t xml:space="preserve">Assessing compliance with resolvability standards </w:t>
      </w:r>
      <w:r w:rsidR="00375422" w:rsidRPr="00891EC8">
        <w:t xml:space="preserve">is not intended </w:t>
      </w:r>
      <w:r>
        <w:t>to impose a recurring frequency</w:t>
      </w:r>
      <w:r w:rsidR="00375422" w:rsidRPr="00891EC8">
        <w:t>,</w:t>
      </w:r>
      <w:r>
        <w:t xml:space="preserve"> or to require </w:t>
      </w:r>
      <w:r w:rsidR="00375422" w:rsidRPr="00891EC8">
        <w:t xml:space="preserve">a written report on the assessment to the Minister </w:t>
      </w:r>
      <w:r w:rsidR="00375422">
        <w:t xml:space="preserve">(noting this obligation will be removed </w:t>
      </w:r>
      <w:proofErr w:type="spellStart"/>
      <w:r w:rsidR="000150AA">
        <w:t>under</w:t>
      </w:r>
      <w:r w:rsidR="0028259D" w:rsidRPr="00020288">
        <w:t>Outline</w:t>
      </w:r>
      <w:proofErr w:type="spellEnd"/>
      <w:r w:rsidR="0028259D" w:rsidRPr="00020288">
        <w:t xml:space="preserve"> </w:t>
      </w:r>
      <w:r w:rsidR="0028259D" w:rsidRPr="005D0844">
        <w:t>of</w:t>
      </w:r>
      <w:r w:rsidR="0028259D" w:rsidRPr="00020288">
        <w:t xml:space="preserve"> chapter</w:t>
      </w:r>
      <w:r w:rsidR="007A5695">
        <w:t xml:space="preserve"> </w:t>
      </w:r>
      <w:r w:rsidR="00AD7C0F">
        <w:t>Schedule 3)</w:t>
      </w:r>
      <w:r w:rsidR="00375422">
        <w:t xml:space="preserve"> </w:t>
      </w:r>
      <w:r w:rsidR="00375422" w:rsidRPr="00891EC8">
        <w:t>and ASIC (or other person) or to publish (all or part of) a written report on an assessment (as is consistent with sections 823CA(1A) to (5)</w:t>
      </w:r>
      <w:r w:rsidR="00375422">
        <w:t xml:space="preserve"> of the </w:t>
      </w:r>
      <w:r w:rsidR="000E7C19">
        <w:t>Act</w:t>
      </w:r>
      <w:r w:rsidR="00375422" w:rsidRPr="00891EC8">
        <w:t xml:space="preserve">). </w:t>
      </w:r>
    </w:p>
    <w:p w14:paraId="00856172" w14:textId="1DF1AA69" w:rsidR="006F0208" w:rsidRDefault="0080439D" w:rsidP="006F0208">
      <w:pPr>
        <w:pStyle w:val="Heading6"/>
        <w:rPr>
          <w:rFonts w:hint="eastAsia"/>
        </w:rPr>
      </w:pPr>
      <w:r>
        <w:t>I</w:t>
      </w:r>
      <w:r w:rsidR="006F0208">
        <w:t xml:space="preserve">nformation gathering </w:t>
      </w:r>
      <w:proofErr w:type="gramStart"/>
      <w:r w:rsidR="006F0208">
        <w:t>powers</w:t>
      </w:r>
      <w:proofErr w:type="gramEnd"/>
    </w:p>
    <w:p w14:paraId="17F7F243" w14:textId="45C97A56" w:rsidR="006F0208" w:rsidRDefault="0080439D" w:rsidP="00125C2C">
      <w:pPr>
        <w:pStyle w:val="Normalparatextwithnumbers"/>
      </w:pPr>
      <w:r>
        <w:t>In assessing compliance, t</w:t>
      </w:r>
      <w:r w:rsidR="006F0208" w:rsidRPr="00891EC8">
        <w:t>he R</w:t>
      </w:r>
      <w:r w:rsidR="006F0208">
        <w:t>B</w:t>
      </w:r>
      <w:r w:rsidR="006F0208" w:rsidRPr="00891EC8">
        <w:t xml:space="preserve">A </w:t>
      </w:r>
      <w:r>
        <w:t>is afforded specific</w:t>
      </w:r>
      <w:r w:rsidR="006F0208" w:rsidRPr="00891EC8">
        <w:t xml:space="preserve"> information gathering powers</w:t>
      </w:r>
      <w:r w:rsidR="006F0208">
        <w:t xml:space="preserve"> </w:t>
      </w:r>
      <w:r w:rsidR="006F0208" w:rsidRPr="00891EC8">
        <w:t>to assess resolvability</w:t>
      </w:r>
      <w:r w:rsidR="006F0208">
        <w:t xml:space="preserve"> of a domestic CS facility licensee or related body corporate</w:t>
      </w:r>
      <w:r w:rsidR="006F0208" w:rsidRPr="00891EC8">
        <w:t>.</w:t>
      </w:r>
      <w:r>
        <w:t xml:space="preserve"> If the RBA reasonably believes that a body corporate can provide documents or information, the RBA may direct an entity to provide specific information that will assist in assessing compliance with the resolvability standards. The direction to provide information must specify a reasonable time to comply with the direction and may specify the form or manner the information is to be provided. </w:t>
      </w:r>
      <w:r w:rsidR="005E29AB">
        <w:br/>
      </w:r>
      <w:r w:rsidR="005E29AB" w:rsidRPr="005E29AB">
        <w:rPr>
          <w:rStyle w:val="References"/>
        </w:rPr>
        <w:t>[Schedule 1, item 24, section 823CB of the Act]</w:t>
      </w:r>
      <w:r w:rsidR="006F0208" w:rsidRPr="00891EC8">
        <w:t xml:space="preserve"> </w:t>
      </w:r>
    </w:p>
    <w:p w14:paraId="65855704" w14:textId="77777777" w:rsidR="00375422" w:rsidRDefault="00375422" w:rsidP="00375422">
      <w:pPr>
        <w:pStyle w:val="Heading6"/>
        <w:rPr>
          <w:rFonts w:hint="eastAsia"/>
        </w:rPr>
      </w:pPr>
      <w:r>
        <w:t xml:space="preserve">Resolvability standards to be a legislative </w:t>
      </w:r>
      <w:proofErr w:type="gramStart"/>
      <w:r>
        <w:t>instrument</w:t>
      </w:r>
      <w:proofErr w:type="gramEnd"/>
    </w:p>
    <w:p w14:paraId="52A93059" w14:textId="08651623" w:rsidR="00065075" w:rsidRDefault="00065075" w:rsidP="00065075">
      <w:pPr>
        <w:pStyle w:val="Normalparatextwithnumbers"/>
      </w:pPr>
      <w:r>
        <w:t>The r</w:t>
      </w:r>
      <w:r w:rsidR="00375422" w:rsidRPr="004710FD">
        <w:t xml:space="preserve">esolvability </w:t>
      </w:r>
      <w:r>
        <w:t>s</w:t>
      </w:r>
      <w:r w:rsidR="00375422" w:rsidRPr="004710FD">
        <w:t xml:space="preserve">tandards will be a legislative instrument for the purposes of the Legislation Act. The power of the </w:t>
      </w:r>
      <w:r w:rsidR="004D4BAC">
        <w:t>RBA</w:t>
      </w:r>
      <w:r w:rsidR="00375422" w:rsidRPr="004710FD">
        <w:t xml:space="preserve"> to set these standards will be </w:t>
      </w:r>
      <w:proofErr w:type="gramStart"/>
      <w:r w:rsidR="00375422" w:rsidRPr="004710FD">
        <w:t>similar to</w:t>
      </w:r>
      <w:proofErr w:type="gramEnd"/>
      <w:r w:rsidR="00375422" w:rsidRPr="004710FD">
        <w:t xml:space="preserve"> the existing provision for the RBA to set</w:t>
      </w:r>
      <w:r w:rsidR="00375422">
        <w:t xml:space="preserve"> </w:t>
      </w:r>
      <w:r w:rsidR="00F97836">
        <w:t>Financial Stability Standards</w:t>
      </w:r>
      <w:r w:rsidR="00375422" w:rsidRPr="004710FD">
        <w:t xml:space="preserve"> in section 827D of the </w:t>
      </w:r>
      <w:r w:rsidR="000E7C19">
        <w:t>Act</w:t>
      </w:r>
      <w:r w:rsidR="00375422" w:rsidRPr="004710FD">
        <w:t xml:space="preserve">. </w:t>
      </w:r>
      <w:r>
        <w:br/>
      </w:r>
      <w:r>
        <w:rPr>
          <w:rStyle w:val="References"/>
        </w:rPr>
        <w:t xml:space="preserve">[Schedule </w:t>
      </w:r>
      <w:r w:rsidR="00C12709">
        <w:rPr>
          <w:rStyle w:val="References"/>
        </w:rPr>
        <w:t>1</w:t>
      </w:r>
      <w:r>
        <w:rPr>
          <w:rStyle w:val="References"/>
        </w:rPr>
        <w:t xml:space="preserve">, item </w:t>
      </w:r>
      <w:r w:rsidR="00C12709">
        <w:rPr>
          <w:rStyle w:val="References"/>
        </w:rPr>
        <w:t>30</w:t>
      </w:r>
      <w:r>
        <w:rPr>
          <w:rStyle w:val="References"/>
        </w:rPr>
        <w:t>, subsection 827</w:t>
      </w:r>
      <w:proofErr w:type="gramStart"/>
      <w:r>
        <w:rPr>
          <w:rStyle w:val="References"/>
        </w:rPr>
        <w:t>DA(</w:t>
      </w:r>
      <w:proofErr w:type="gramEnd"/>
      <w:r>
        <w:rPr>
          <w:rStyle w:val="References"/>
        </w:rPr>
        <w:t>1) of the Act]</w:t>
      </w:r>
    </w:p>
    <w:p w14:paraId="724575DD" w14:textId="75D262BB" w:rsidR="00065075" w:rsidRDefault="00065075" w:rsidP="00065075">
      <w:pPr>
        <w:pStyle w:val="Normalparatextwithnumbers"/>
        <w:rPr>
          <w:rStyle w:val="References"/>
          <w:b w:val="0"/>
          <w:bCs w:val="0"/>
          <w:i w:val="0"/>
          <w:iCs w:val="0"/>
        </w:rPr>
      </w:pPr>
      <w:r w:rsidRPr="00065075">
        <w:rPr>
          <w:rStyle w:val="References"/>
          <w:b w:val="0"/>
          <w:bCs w:val="0"/>
          <w:i w:val="0"/>
          <w:iCs w:val="0"/>
        </w:rPr>
        <w:lastRenderedPageBreak/>
        <w:t xml:space="preserve">The RBA’s </w:t>
      </w:r>
      <w:r w:rsidR="00F97836">
        <w:rPr>
          <w:rStyle w:val="References"/>
          <w:b w:val="0"/>
          <w:bCs w:val="0"/>
          <w:i w:val="0"/>
          <w:iCs w:val="0"/>
        </w:rPr>
        <w:t>Financial Stability Standards</w:t>
      </w:r>
      <w:r w:rsidR="007E7E5F">
        <w:rPr>
          <w:rStyle w:val="References"/>
          <w:b w:val="0"/>
          <w:bCs w:val="0"/>
          <w:i w:val="0"/>
          <w:iCs w:val="0"/>
        </w:rPr>
        <w:t xml:space="preserve"> </w:t>
      </w:r>
      <w:r w:rsidRPr="00065075">
        <w:rPr>
          <w:rStyle w:val="References"/>
          <w:b w:val="0"/>
          <w:bCs w:val="0"/>
          <w:i w:val="0"/>
          <w:iCs w:val="0"/>
        </w:rPr>
        <w:t xml:space="preserve">are currently available on the RBA’s website. To reflect the introduction of the resolvability standards, amendments are made to clarify that the </w:t>
      </w:r>
      <w:r w:rsidR="00F97836">
        <w:rPr>
          <w:rStyle w:val="References"/>
          <w:b w:val="0"/>
          <w:bCs w:val="0"/>
          <w:i w:val="0"/>
          <w:iCs w:val="0"/>
        </w:rPr>
        <w:t>Financial Stability Standards</w:t>
      </w:r>
      <w:r w:rsidRPr="00065075">
        <w:rPr>
          <w:rStyle w:val="References"/>
          <w:b w:val="0"/>
          <w:bCs w:val="0"/>
          <w:i w:val="0"/>
          <w:iCs w:val="0"/>
        </w:rPr>
        <w:t xml:space="preserve"> are a legislative instrument</w:t>
      </w:r>
      <w:r w:rsidR="002D753D">
        <w:rPr>
          <w:rStyle w:val="References"/>
          <w:b w:val="0"/>
          <w:bCs w:val="0"/>
          <w:i w:val="0"/>
          <w:iCs w:val="0"/>
        </w:rPr>
        <w:br/>
      </w:r>
      <w:r w:rsidR="002D753D" w:rsidRPr="00436238">
        <w:rPr>
          <w:rStyle w:val="References"/>
        </w:rPr>
        <w:t xml:space="preserve">[Schedule </w:t>
      </w:r>
      <w:r w:rsidR="00F133C9">
        <w:rPr>
          <w:rStyle w:val="References"/>
        </w:rPr>
        <w:t>1</w:t>
      </w:r>
      <w:r w:rsidR="002D753D" w:rsidRPr="00436238">
        <w:rPr>
          <w:rStyle w:val="References"/>
        </w:rPr>
        <w:t>, ite</w:t>
      </w:r>
      <w:r w:rsidR="00F133C9">
        <w:rPr>
          <w:rStyle w:val="References"/>
        </w:rPr>
        <w:t>ms 26</w:t>
      </w:r>
      <w:r w:rsidR="00265CC4">
        <w:rPr>
          <w:rStyle w:val="References"/>
        </w:rPr>
        <w:t xml:space="preserve">, 27, 28 and </w:t>
      </w:r>
      <w:r w:rsidR="00F133C9">
        <w:rPr>
          <w:rStyle w:val="References"/>
        </w:rPr>
        <w:t>29</w:t>
      </w:r>
      <w:r w:rsidR="002D753D">
        <w:rPr>
          <w:rStyle w:val="References"/>
        </w:rPr>
        <w:t xml:space="preserve">, subsections </w:t>
      </w:r>
      <w:r w:rsidR="009240C3">
        <w:rPr>
          <w:rStyle w:val="References"/>
        </w:rPr>
        <w:t>827D</w:t>
      </w:r>
      <w:r w:rsidR="00F133C9">
        <w:rPr>
          <w:rStyle w:val="References"/>
        </w:rPr>
        <w:t>(1)</w:t>
      </w:r>
      <w:r w:rsidR="00C12709">
        <w:rPr>
          <w:rStyle w:val="References"/>
        </w:rPr>
        <w:t>, (6)</w:t>
      </w:r>
      <w:r w:rsidR="00F7280D">
        <w:rPr>
          <w:rStyle w:val="References"/>
        </w:rPr>
        <w:t xml:space="preserve">, (7), (8), (9) and </w:t>
      </w:r>
      <w:r w:rsidR="009240C3">
        <w:rPr>
          <w:rStyle w:val="References"/>
        </w:rPr>
        <w:t>(</w:t>
      </w:r>
      <w:r w:rsidR="00F133C9">
        <w:rPr>
          <w:rStyle w:val="References"/>
        </w:rPr>
        <w:t>10</w:t>
      </w:r>
      <w:r w:rsidR="009240C3">
        <w:rPr>
          <w:rStyle w:val="References"/>
        </w:rPr>
        <w:t>) of the Act</w:t>
      </w:r>
      <w:r w:rsidR="007B081F">
        <w:rPr>
          <w:rStyle w:val="References"/>
        </w:rPr>
        <w:t>; Schedule 3, it</w:t>
      </w:r>
      <w:r w:rsidR="0078241F">
        <w:rPr>
          <w:rStyle w:val="References"/>
        </w:rPr>
        <w:t xml:space="preserve">ems 136 and 137, subsections 827F(1), (6), </w:t>
      </w:r>
      <w:r w:rsidR="003D0EE5">
        <w:rPr>
          <w:rStyle w:val="References"/>
        </w:rPr>
        <w:t>(7) and (10) of the Act</w:t>
      </w:r>
      <w:r w:rsidR="002D753D" w:rsidRPr="00436238">
        <w:rPr>
          <w:rStyle w:val="References"/>
        </w:rPr>
        <w:t xml:space="preserve">] </w:t>
      </w:r>
    </w:p>
    <w:p w14:paraId="6DC782F0" w14:textId="23228B62" w:rsidR="00065075" w:rsidRPr="00A93424" w:rsidRDefault="00065075" w:rsidP="00065075">
      <w:pPr>
        <w:pStyle w:val="Normalparatextwithnumbers"/>
      </w:pPr>
      <w:r w:rsidRPr="00A93424">
        <w:rPr>
          <w:rStyle w:val="References"/>
          <w:b w:val="0"/>
          <w:bCs w:val="0"/>
          <w:i w:val="0"/>
          <w:iCs w:val="0"/>
        </w:rPr>
        <w:t>Subsections 56(2) and (3) of the Legislation Act</w:t>
      </w:r>
      <w:r>
        <w:rPr>
          <w:rStyle w:val="References"/>
          <w:b w:val="0"/>
          <w:bCs w:val="0"/>
          <w:i w:val="0"/>
          <w:iCs w:val="0"/>
        </w:rPr>
        <w:t xml:space="preserve"> requires legislative instruments to be published on the Gazette and will</w:t>
      </w:r>
      <w:r w:rsidRPr="00A93424">
        <w:rPr>
          <w:rStyle w:val="References"/>
          <w:b w:val="0"/>
          <w:bCs w:val="0"/>
          <w:i w:val="0"/>
          <w:iCs w:val="0"/>
        </w:rPr>
        <w:t xml:space="preserve"> continue to apply. The amendment does not change the </w:t>
      </w:r>
      <w:r>
        <w:rPr>
          <w:rStyle w:val="References"/>
          <w:b w:val="0"/>
          <w:bCs w:val="0"/>
          <w:i w:val="0"/>
          <w:iCs w:val="0"/>
        </w:rPr>
        <w:t xml:space="preserve">form of the </w:t>
      </w:r>
      <w:r w:rsidR="00F97836">
        <w:rPr>
          <w:rStyle w:val="References"/>
          <w:b w:val="0"/>
          <w:bCs w:val="0"/>
          <w:i w:val="0"/>
          <w:iCs w:val="0"/>
        </w:rPr>
        <w:t>Financial Stability Standards</w:t>
      </w:r>
      <w:r w:rsidRPr="00A93424">
        <w:rPr>
          <w:rStyle w:val="References"/>
          <w:b w:val="0"/>
          <w:bCs w:val="0"/>
          <w:i w:val="0"/>
          <w:iCs w:val="0"/>
        </w:rPr>
        <w:t xml:space="preserve"> but</w:t>
      </w:r>
      <w:r>
        <w:rPr>
          <w:rStyle w:val="References"/>
          <w:b w:val="0"/>
          <w:bCs w:val="0"/>
          <w:i w:val="0"/>
          <w:iCs w:val="0"/>
        </w:rPr>
        <w:t xml:space="preserve"> is</w:t>
      </w:r>
      <w:r w:rsidRPr="00A93424">
        <w:rPr>
          <w:rStyle w:val="References"/>
          <w:b w:val="0"/>
          <w:bCs w:val="0"/>
          <w:i w:val="0"/>
          <w:iCs w:val="0"/>
        </w:rPr>
        <w:t xml:space="preserve"> merely </w:t>
      </w:r>
      <w:r>
        <w:rPr>
          <w:rStyle w:val="References"/>
          <w:b w:val="0"/>
          <w:bCs w:val="0"/>
          <w:i w:val="0"/>
          <w:iCs w:val="0"/>
        </w:rPr>
        <w:t xml:space="preserve">a technical amendment to provide </w:t>
      </w:r>
      <w:r w:rsidRPr="00A93424">
        <w:rPr>
          <w:rStyle w:val="References"/>
          <w:b w:val="0"/>
          <w:bCs w:val="0"/>
          <w:i w:val="0"/>
          <w:iCs w:val="0"/>
        </w:rPr>
        <w:t>clari</w:t>
      </w:r>
      <w:r>
        <w:rPr>
          <w:rStyle w:val="References"/>
          <w:b w:val="0"/>
          <w:bCs w:val="0"/>
          <w:i w:val="0"/>
          <w:iCs w:val="0"/>
        </w:rPr>
        <w:t>ty</w:t>
      </w:r>
      <w:r w:rsidRPr="00A93424">
        <w:rPr>
          <w:rStyle w:val="References"/>
          <w:b w:val="0"/>
          <w:bCs w:val="0"/>
          <w:i w:val="0"/>
          <w:iCs w:val="0"/>
        </w:rPr>
        <w:t xml:space="preserve">. </w:t>
      </w:r>
    </w:p>
    <w:p w14:paraId="1A94C6DE" w14:textId="690E981B" w:rsidR="00375422" w:rsidRDefault="00375422" w:rsidP="00375422">
      <w:pPr>
        <w:pStyle w:val="Heading6"/>
        <w:rPr>
          <w:rFonts w:hint="eastAsia"/>
        </w:rPr>
      </w:pPr>
      <w:r>
        <w:t xml:space="preserve">Consequences of failing to comply </w:t>
      </w:r>
      <w:r w:rsidR="006146F9">
        <w:t xml:space="preserve">with the </w:t>
      </w:r>
      <w:proofErr w:type="gramStart"/>
      <w:r w:rsidR="006146F9">
        <w:t>standards</w:t>
      </w:r>
      <w:proofErr w:type="gramEnd"/>
    </w:p>
    <w:p w14:paraId="108CD67C" w14:textId="77777777" w:rsidR="006146F9" w:rsidRPr="00891EC8" w:rsidRDefault="006146F9" w:rsidP="006146F9">
      <w:pPr>
        <w:pStyle w:val="Normalparatextwithnumbers"/>
      </w:pPr>
      <w:r w:rsidRPr="00951A72">
        <w:t>Where the R</w:t>
      </w:r>
      <w:r>
        <w:t>B</w:t>
      </w:r>
      <w:r w:rsidRPr="00951A72">
        <w:t>A has identified an impediment to comply with the resolvability standard</w:t>
      </w:r>
      <w:r>
        <w:t xml:space="preserve">s </w:t>
      </w:r>
      <w:r w:rsidRPr="00951A72">
        <w:t>or an impediment to resolution, the R</w:t>
      </w:r>
      <w:r>
        <w:t>B</w:t>
      </w:r>
      <w:r w:rsidRPr="00951A72">
        <w:t xml:space="preserve">A may request the </w:t>
      </w:r>
      <w:r>
        <w:t>domestic CS facility licensee</w:t>
      </w:r>
      <w:r w:rsidRPr="00951A72">
        <w:t xml:space="preserve"> or a </w:t>
      </w:r>
      <w:r>
        <w:t>r</w:t>
      </w:r>
      <w:r w:rsidRPr="00951A72">
        <w:t xml:space="preserve">elated </w:t>
      </w:r>
      <w:r>
        <w:t>b</w:t>
      </w:r>
      <w:r w:rsidRPr="00951A72">
        <w:t xml:space="preserve">ody </w:t>
      </w:r>
      <w:r>
        <w:t>c</w:t>
      </w:r>
      <w:r w:rsidRPr="00951A72">
        <w:t>orporate to provide a proposed solution</w:t>
      </w:r>
      <w:r>
        <w:t>. Following the proposed solution provided by the entity, the RBA may issue a direction</w:t>
      </w:r>
      <w:r w:rsidRPr="00951A72">
        <w:t xml:space="preserve"> if </w:t>
      </w:r>
      <w:r>
        <w:t xml:space="preserve">it </w:t>
      </w:r>
      <w:r w:rsidRPr="00951A72">
        <w:t>consider</w:t>
      </w:r>
      <w:r>
        <w:t>s the proposed solution is in</w:t>
      </w:r>
      <w:r w:rsidRPr="00951A72">
        <w:t>effectiv</w:t>
      </w:r>
      <w:r>
        <w:t>e</w:t>
      </w:r>
      <w:r w:rsidRPr="00951A72">
        <w:t xml:space="preserve"> or not implemented within a reasonable time.</w:t>
      </w:r>
      <w:r>
        <w:t xml:space="preserve"> This is part of the resolvability direction specified under the RBA’s general direction powers. </w:t>
      </w:r>
    </w:p>
    <w:p w14:paraId="27AC42ED" w14:textId="161914C6" w:rsidR="006146F9" w:rsidRPr="00AB2EDD" w:rsidRDefault="00784114" w:rsidP="00125C2C">
      <w:pPr>
        <w:pStyle w:val="Normalparatextwithnumbers"/>
      </w:pPr>
      <w:r w:rsidRPr="00F83C22">
        <w:t>Where the RBA determines a CS facility licensee has failed to comply with the resolvability standards the RBA may direct the licensee to comply</w:t>
      </w:r>
      <w:r w:rsidR="006146F9">
        <w:t xml:space="preserve"> (under section 823FA</w:t>
      </w:r>
      <w:r w:rsidR="00AB2EDD">
        <w:t xml:space="preserve"> of the Act</w:t>
      </w:r>
      <w:r w:rsidR="006146F9">
        <w:t>)</w:t>
      </w:r>
      <w:r w:rsidRPr="00F83C22">
        <w:t>.</w:t>
      </w:r>
      <w:r w:rsidRPr="00AB2EDD">
        <w:t xml:space="preserve"> </w:t>
      </w:r>
    </w:p>
    <w:p w14:paraId="71DEDFBF" w14:textId="77777777" w:rsidR="006146F9" w:rsidRPr="00B67EA5" w:rsidRDefault="006146F9" w:rsidP="006146F9">
      <w:pPr>
        <w:pStyle w:val="Normalparatextwithnumbers"/>
      </w:pPr>
      <w:r w:rsidRPr="00B67EA5">
        <w:t xml:space="preserve">The </w:t>
      </w:r>
      <w:r>
        <w:t xml:space="preserve">RBA may issue </w:t>
      </w:r>
      <w:r w:rsidRPr="00B67EA5">
        <w:t>a resolvability direction</w:t>
      </w:r>
      <w:r>
        <w:t xml:space="preserve"> as part of the power to set resolvability standards. </w:t>
      </w:r>
      <w:r w:rsidRPr="00B67EA5">
        <w:t xml:space="preserve">The resolvability direction may </w:t>
      </w:r>
      <w:r>
        <w:t xml:space="preserve">be issued to either </w:t>
      </w:r>
      <w:r w:rsidRPr="00B67EA5">
        <w:t xml:space="preserve">a domestic CS facility licensee or a related body corporate to: </w:t>
      </w:r>
    </w:p>
    <w:p w14:paraId="0E3A904F" w14:textId="77777777" w:rsidR="006146F9" w:rsidRDefault="006146F9" w:rsidP="006146F9">
      <w:pPr>
        <w:pStyle w:val="Dotpoint1"/>
      </w:pPr>
      <w:r>
        <w:t xml:space="preserve">take a specified action to comply with the resolvability standards; or </w:t>
      </w:r>
    </w:p>
    <w:p w14:paraId="77BEEC28" w14:textId="30F3008A" w:rsidR="006146F9" w:rsidRDefault="006146F9" w:rsidP="006146F9">
      <w:pPr>
        <w:pStyle w:val="Dotpoint1"/>
      </w:pPr>
      <w:r>
        <w:t xml:space="preserve">take a specified action to address an impediment to the effective exercise of the resolution powers. </w:t>
      </w:r>
      <w:r>
        <w:br/>
      </w:r>
      <w:r w:rsidRPr="00AE2F70">
        <w:rPr>
          <w:rStyle w:val="References"/>
        </w:rPr>
        <w:t>[</w:t>
      </w:r>
      <w:r>
        <w:rPr>
          <w:rStyle w:val="References"/>
        </w:rPr>
        <w:t xml:space="preserve">Schedule </w:t>
      </w:r>
      <w:r w:rsidR="00AB2EDD">
        <w:rPr>
          <w:rStyle w:val="References"/>
        </w:rPr>
        <w:t>2</w:t>
      </w:r>
      <w:r w:rsidRPr="00AE2F70">
        <w:rPr>
          <w:rStyle w:val="References"/>
        </w:rPr>
        <w:t xml:space="preserve">, item </w:t>
      </w:r>
      <w:r w:rsidR="009D1E6E">
        <w:rPr>
          <w:rStyle w:val="References"/>
        </w:rPr>
        <w:t>95</w:t>
      </w:r>
      <w:r w:rsidRPr="00AE2F70">
        <w:rPr>
          <w:rStyle w:val="References"/>
        </w:rPr>
        <w:t>, section</w:t>
      </w:r>
      <w:r w:rsidR="009D1E6E">
        <w:rPr>
          <w:rStyle w:val="References"/>
        </w:rPr>
        <w:t xml:space="preserve"> 823FA</w:t>
      </w:r>
      <w:r w:rsidR="009D1E6E" w:rsidDel="009D1E6E">
        <w:rPr>
          <w:rStyle w:val="References"/>
        </w:rPr>
        <w:t xml:space="preserve"> </w:t>
      </w:r>
      <w:r w:rsidRPr="00AE2F70">
        <w:rPr>
          <w:rStyle w:val="References"/>
        </w:rPr>
        <w:t xml:space="preserve">of the </w:t>
      </w:r>
      <w:r>
        <w:rPr>
          <w:rStyle w:val="References"/>
        </w:rPr>
        <w:t>Act</w:t>
      </w:r>
      <w:r w:rsidRPr="00AE2F70">
        <w:rPr>
          <w:rStyle w:val="References"/>
        </w:rPr>
        <w:t>]</w:t>
      </w:r>
      <w:r>
        <w:rPr>
          <w:rStyle w:val="References"/>
        </w:rPr>
        <w:t xml:space="preserve">                  </w:t>
      </w:r>
    </w:p>
    <w:p w14:paraId="5180012E" w14:textId="77777777" w:rsidR="004B6F54" w:rsidRPr="004B6F54" w:rsidRDefault="004B6F54" w:rsidP="00B1511B">
      <w:pPr>
        <w:pStyle w:val="Heading4"/>
      </w:pPr>
      <w:r w:rsidRPr="004B6F54">
        <w:t xml:space="preserve">Power to require an expert </w:t>
      </w:r>
      <w:proofErr w:type="gramStart"/>
      <w:r w:rsidRPr="004B6F54">
        <w:t>report</w:t>
      </w:r>
      <w:proofErr w:type="gramEnd"/>
    </w:p>
    <w:p w14:paraId="36BA1AB0" w14:textId="318C8111" w:rsidR="004B6F54" w:rsidRPr="004B6F54" w:rsidRDefault="004B6F54" w:rsidP="004B6F54">
      <w:pPr>
        <w:numPr>
          <w:ilvl w:val="1"/>
          <w:numId w:val="48"/>
        </w:numPr>
      </w:pPr>
      <w:r w:rsidRPr="004B6F54">
        <w:t xml:space="preserve">The RBA </w:t>
      </w:r>
      <w:r w:rsidR="00AE526F">
        <w:t>has</w:t>
      </w:r>
      <w:r w:rsidRPr="004B6F54">
        <w:t xml:space="preserve"> the power to obtain an expert report</w:t>
      </w:r>
      <w:r w:rsidR="00BC0571">
        <w:t>.</w:t>
      </w:r>
      <w:r w:rsidRPr="004B6F54">
        <w:t xml:space="preserve"> The power to obtain an expert report provides the RBA with timely and sufficient access to appropriate expertise from an independent source that will assist in fulfilling their oversight and supervision of CS facility licensees. </w:t>
      </w:r>
    </w:p>
    <w:p w14:paraId="1C9EB359" w14:textId="481699FF" w:rsidR="004B6F54" w:rsidRPr="004B6F54" w:rsidRDefault="004B6F54" w:rsidP="004B6F54">
      <w:pPr>
        <w:numPr>
          <w:ilvl w:val="1"/>
          <w:numId w:val="48"/>
        </w:numPr>
      </w:pPr>
      <w:bookmarkStart w:id="84" w:name="_Ref140230808"/>
      <w:r w:rsidRPr="004B6F54">
        <w:t>The RBA may appoint a person or require a CS facility licensee to appoint a person to provide an expert report on specified matters relating to the licensee and relevant to fulfilling the RBA’s functions. The RBA must give notice of the appointment to the CS facility licensee.</w:t>
      </w:r>
      <w:bookmarkEnd w:id="84"/>
      <w:r w:rsidRPr="004B6F54">
        <w:br/>
      </w:r>
      <w:r w:rsidRPr="004B6F54">
        <w:rPr>
          <w:b/>
          <w:bCs/>
          <w:i/>
          <w:iCs/>
        </w:rPr>
        <w:t>[</w:t>
      </w:r>
      <w:r w:rsidR="00A93424">
        <w:rPr>
          <w:b/>
          <w:bCs/>
          <w:i/>
          <w:iCs/>
        </w:rPr>
        <w:t xml:space="preserve">Schedule </w:t>
      </w:r>
      <w:r w:rsidR="00EB396B">
        <w:rPr>
          <w:b/>
          <w:bCs/>
          <w:i/>
          <w:iCs/>
        </w:rPr>
        <w:t>2</w:t>
      </w:r>
      <w:r w:rsidRPr="004B6F54">
        <w:rPr>
          <w:b/>
          <w:bCs/>
          <w:i/>
          <w:iCs/>
        </w:rPr>
        <w:t xml:space="preserve">, item </w:t>
      </w:r>
      <w:r w:rsidR="00EB396B">
        <w:rPr>
          <w:b/>
          <w:bCs/>
          <w:i/>
          <w:iCs/>
        </w:rPr>
        <w:t>94</w:t>
      </w:r>
      <w:r w:rsidR="00D82911" w:rsidRPr="004B6F54">
        <w:rPr>
          <w:b/>
          <w:bCs/>
          <w:i/>
          <w:iCs/>
        </w:rPr>
        <w:t xml:space="preserve">, </w:t>
      </w:r>
      <w:r w:rsidRPr="004B6F54">
        <w:rPr>
          <w:b/>
          <w:bCs/>
          <w:i/>
          <w:iCs/>
        </w:rPr>
        <w:t>subsection 823</w:t>
      </w:r>
      <w:proofErr w:type="gramStart"/>
      <w:r w:rsidRPr="004B6F54">
        <w:rPr>
          <w:b/>
          <w:bCs/>
          <w:i/>
          <w:iCs/>
        </w:rPr>
        <w:t>BB(</w:t>
      </w:r>
      <w:proofErr w:type="gramEnd"/>
      <w:r w:rsidRPr="004B6F54">
        <w:rPr>
          <w:b/>
          <w:bCs/>
          <w:i/>
          <w:iCs/>
        </w:rPr>
        <w:t>1)</w:t>
      </w:r>
      <w:r w:rsidR="00AE526F">
        <w:rPr>
          <w:b/>
          <w:bCs/>
          <w:i/>
          <w:iCs/>
        </w:rPr>
        <w:t xml:space="preserve"> and (2)</w:t>
      </w:r>
      <w:r w:rsidRPr="004B6F54">
        <w:rPr>
          <w:b/>
          <w:bCs/>
          <w:i/>
          <w:iCs/>
        </w:rPr>
        <w:t xml:space="preserve"> of the </w:t>
      </w:r>
      <w:r w:rsidR="000E7C19">
        <w:rPr>
          <w:b/>
          <w:bCs/>
          <w:i/>
          <w:iCs/>
        </w:rPr>
        <w:t>Act</w:t>
      </w:r>
      <w:r w:rsidRPr="004B6F54">
        <w:rPr>
          <w:b/>
          <w:bCs/>
          <w:i/>
          <w:iCs/>
        </w:rPr>
        <w:t>]</w:t>
      </w:r>
    </w:p>
    <w:p w14:paraId="6587C86C" w14:textId="5190A87F" w:rsidR="00C958C9" w:rsidRDefault="004B6F54" w:rsidP="004B6F54">
      <w:pPr>
        <w:numPr>
          <w:ilvl w:val="1"/>
          <w:numId w:val="48"/>
        </w:numPr>
      </w:pPr>
      <w:r w:rsidRPr="004B6F54">
        <w:lastRenderedPageBreak/>
        <w:t xml:space="preserve">Where the RBA appoints a person, written notice must be provided to the expert and a fee must be determined </w:t>
      </w:r>
      <w:r w:rsidR="00C27933">
        <w:t>equal to the RBA’s expenses in appointing and paying the expert to provide the report</w:t>
      </w:r>
      <w:r w:rsidRPr="004B6F54">
        <w:t xml:space="preserve">. </w:t>
      </w:r>
      <w:r w:rsidR="00C958C9">
        <w:t>T</w:t>
      </w:r>
      <w:r w:rsidR="00C958C9" w:rsidRPr="00C958C9">
        <w:t xml:space="preserve">he </w:t>
      </w:r>
      <w:r w:rsidR="00C958C9">
        <w:t xml:space="preserve">CS facility </w:t>
      </w:r>
      <w:r w:rsidR="00C958C9" w:rsidRPr="00C958C9">
        <w:t xml:space="preserve">licensee will </w:t>
      </w:r>
      <w:r w:rsidR="00C958C9">
        <w:t xml:space="preserve">be responsible for the fee involved in </w:t>
      </w:r>
      <w:r w:rsidR="00C958C9" w:rsidRPr="00C958C9">
        <w:t>appoint</w:t>
      </w:r>
      <w:r w:rsidR="00C958C9">
        <w:t xml:space="preserve">ing </w:t>
      </w:r>
      <w:r w:rsidR="00C958C9" w:rsidRPr="00C958C9">
        <w:t>expert</w:t>
      </w:r>
      <w:r w:rsidR="002372C8">
        <w:t>, which is payable to the RBA</w:t>
      </w:r>
      <w:r w:rsidR="00C958C9">
        <w:t xml:space="preserve">. </w:t>
      </w:r>
      <w:r w:rsidR="00C72BF5">
        <w:br/>
      </w:r>
      <w:r w:rsidR="00C72BF5" w:rsidRPr="004B6F54">
        <w:rPr>
          <w:b/>
          <w:bCs/>
          <w:i/>
          <w:iCs/>
        </w:rPr>
        <w:t>[</w:t>
      </w:r>
      <w:r w:rsidR="00C72BF5">
        <w:rPr>
          <w:b/>
          <w:bCs/>
          <w:i/>
          <w:iCs/>
        </w:rPr>
        <w:t xml:space="preserve">Schedule </w:t>
      </w:r>
      <w:r w:rsidR="00B67837">
        <w:rPr>
          <w:b/>
          <w:bCs/>
          <w:i/>
          <w:iCs/>
        </w:rPr>
        <w:t>2</w:t>
      </w:r>
      <w:r w:rsidR="00C72BF5" w:rsidRPr="004B6F54">
        <w:rPr>
          <w:b/>
          <w:bCs/>
          <w:i/>
          <w:iCs/>
        </w:rPr>
        <w:t xml:space="preserve">, item </w:t>
      </w:r>
      <w:r w:rsidR="00B67837">
        <w:rPr>
          <w:b/>
          <w:bCs/>
          <w:i/>
          <w:iCs/>
        </w:rPr>
        <w:t>94</w:t>
      </w:r>
      <w:r w:rsidR="00C72BF5" w:rsidRPr="004B6F54">
        <w:rPr>
          <w:b/>
          <w:bCs/>
          <w:i/>
          <w:iCs/>
        </w:rPr>
        <w:t>, subsection 823</w:t>
      </w:r>
      <w:proofErr w:type="gramStart"/>
      <w:r w:rsidR="00C72BF5" w:rsidRPr="004B6F54">
        <w:rPr>
          <w:b/>
          <w:bCs/>
          <w:i/>
          <w:iCs/>
        </w:rPr>
        <w:t>BB</w:t>
      </w:r>
      <w:r w:rsidR="00C72BF5">
        <w:rPr>
          <w:b/>
          <w:bCs/>
          <w:i/>
          <w:iCs/>
        </w:rPr>
        <w:t>(</w:t>
      </w:r>
      <w:proofErr w:type="gramEnd"/>
      <w:r w:rsidR="00C72BF5">
        <w:rPr>
          <w:b/>
          <w:bCs/>
          <w:i/>
          <w:iCs/>
        </w:rPr>
        <w:t>1)</w:t>
      </w:r>
      <w:r w:rsidR="00C72BF5" w:rsidRPr="004B6F54">
        <w:rPr>
          <w:b/>
          <w:bCs/>
          <w:i/>
          <w:iCs/>
        </w:rPr>
        <w:t>and (</w:t>
      </w:r>
      <w:r w:rsidR="005A200F">
        <w:rPr>
          <w:b/>
          <w:bCs/>
          <w:i/>
          <w:iCs/>
        </w:rPr>
        <w:t>6</w:t>
      </w:r>
      <w:r w:rsidR="00C72BF5" w:rsidRPr="004B6F54">
        <w:rPr>
          <w:b/>
          <w:bCs/>
          <w:i/>
          <w:iCs/>
        </w:rPr>
        <w:t xml:space="preserve">) of the </w:t>
      </w:r>
      <w:r w:rsidR="00C72BF5">
        <w:rPr>
          <w:b/>
          <w:bCs/>
          <w:i/>
          <w:iCs/>
        </w:rPr>
        <w:t>Act</w:t>
      </w:r>
      <w:r w:rsidR="00C72BF5" w:rsidRPr="004B6F54">
        <w:rPr>
          <w:b/>
          <w:bCs/>
          <w:i/>
          <w:iCs/>
        </w:rPr>
        <w:t>]</w:t>
      </w:r>
    </w:p>
    <w:p w14:paraId="0F5315E8" w14:textId="359CFDAF" w:rsidR="004B6F54" w:rsidRPr="004B6F54" w:rsidRDefault="004B6F54" w:rsidP="004B6F54">
      <w:pPr>
        <w:numPr>
          <w:ilvl w:val="1"/>
          <w:numId w:val="48"/>
        </w:numPr>
      </w:pPr>
      <w:r w:rsidRPr="004B6F54">
        <w:t>Where the CS facility licensee is directed to appoint a person to produce an expert report</w:t>
      </w:r>
      <w:r w:rsidR="00E9533E">
        <w:t>,</w:t>
      </w:r>
      <w:r w:rsidRPr="004B6F54">
        <w:t xml:space="preserve"> the CS facility licensee is required to pay the expert directly. If the RBA has appointed an expert</w:t>
      </w:r>
      <w:r w:rsidR="00E9533E">
        <w:t>,</w:t>
      </w:r>
      <w:r w:rsidRPr="004B6F54">
        <w:t xml:space="preserve"> the CS facility licensee must pay the RBA within 30 days of receiving the notice. </w:t>
      </w:r>
      <w:r w:rsidRPr="004B6F54">
        <w:br/>
      </w:r>
      <w:r w:rsidR="00801459" w:rsidRPr="00076A2F">
        <w:rPr>
          <w:rStyle w:val="References"/>
        </w:rPr>
        <w:t>[Schedule 2, item 94, subsection 823</w:t>
      </w:r>
      <w:proofErr w:type="gramStart"/>
      <w:r w:rsidR="00801459" w:rsidRPr="00076A2F">
        <w:rPr>
          <w:rStyle w:val="References"/>
        </w:rPr>
        <w:t>BB(</w:t>
      </w:r>
      <w:proofErr w:type="gramEnd"/>
      <w:r w:rsidR="00801459" w:rsidRPr="00076A2F">
        <w:rPr>
          <w:rStyle w:val="References"/>
        </w:rPr>
        <w:t>2) of the Act]</w:t>
      </w:r>
    </w:p>
    <w:p w14:paraId="017C1E15" w14:textId="6D7D82CF" w:rsidR="004B6F54" w:rsidRPr="004B6F54" w:rsidRDefault="004B6F54" w:rsidP="004B6F54">
      <w:pPr>
        <w:numPr>
          <w:ilvl w:val="1"/>
          <w:numId w:val="48"/>
        </w:numPr>
      </w:pPr>
      <w:r w:rsidRPr="004B6F54">
        <w:t>A person appointed to make an expert report must be a person that has the necessary skills to make a report on the specified matter and must be a person nominated or approved by the RBA (the RBA approves where an appointment is made by the CS facility licensee).</w:t>
      </w:r>
      <w:r w:rsidRPr="004B6F54">
        <w:br/>
      </w:r>
      <w:r w:rsidRPr="004B6F54">
        <w:rPr>
          <w:b/>
          <w:bCs/>
          <w:i/>
          <w:iCs/>
        </w:rPr>
        <w:t>[</w:t>
      </w:r>
      <w:r w:rsidR="00A93424">
        <w:rPr>
          <w:b/>
          <w:bCs/>
          <w:i/>
          <w:iCs/>
        </w:rPr>
        <w:t xml:space="preserve">Schedule </w:t>
      </w:r>
      <w:r w:rsidR="006E66FE">
        <w:rPr>
          <w:b/>
          <w:bCs/>
          <w:i/>
          <w:iCs/>
        </w:rPr>
        <w:t>2</w:t>
      </w:r>
      <w:r w:rsidRPr="004B6F54">
        <w:rPr>
          <w:b/>
          <w:bCs/>
          <w:i/>
          <w:iCs/>
        </w:rPr>
        <w:t xml:space="preserve">, item </w:t>
      </w:r>
      <w:r w:rsidR="006E66FE">
        <w:rPr>
          <w:b/>
          <w:bCs/>
          <w:i/>
          <w:iCs/>
        </w:rPr>
        <w:t>94</w:t>
      </w:r>
      <w:r w:rsidR="00E60F82" w:rsidRPr="004B6F54">
        <w:rPr>
          <w:b/>
          <w:bCs/>
          <w:i/>
          <w:iCs/>
        </w:rPr>
        <w:t xml:space="preserve">, </w:t>
      </w:r>
      <w:r w:rsidRPr="004B6F54">
        <w:rPr>
          <w:b/>
          <w:bCs/>
          <w:i/>
          <w:iCs/>
        </w:rPr>
        <w:t>subsection 823</w:t>
      </w:r>
      <w:proofErr w:type="gramStart"/>
      <w:r w:rsidRPr="004B6F54">
        <w:rPr>
          <w:b/>
          <w:bCs/>
          <w:i/>
          <w:iCs/>
        </w:rPr>
        <w:t>BB(</w:t>
      </w:r>
      <w:proofErr w:type="gramEnd"/>
      <w:r w:rsidRPr="004B6F54">
        <w:rPr>
          <w:b/>
          <w:bCs/>
          <w:i/>
          <w:iCs/>
        </w:rPr>
        <w:t xml:space="preserve">3) of the </w:t>
      </w:r>
      <w:r w:rsidR="000E7C19">
        <w:rPr>
          <w:b/>
          <w:bCs/>
          <w:i/>
          <w:iCs/>
        </w:rPr>
        <w:t>Act</w:t>
      </w:r>
      <w:r w:rsidRPr="004B6F54">
        <w:rPr>
          <w:b/>
          <w:bCs/>
          <w:i/>
          <w:iCs/>
        </w:rPr>
        <w:t>]</w:t>
      </w:r>
    </w:p>
    <w:p w14:paraId="119AB2F8" w14:textId="1F7A2A07" w:rsidR="004B6F54" w:rsidRPr="007E34BD" w:rsidRDefault="004B6F54" w:rsidP="004B6F54">
      <w:pPr>
        <w:numPr>
          <w:ilvl w:val="1"/>
          <w:numId w:val="48"/>
        </w:numPr>
      </w:pPr>
      <w:r w:rsidRPr="004B6F54">
        <w:t>The CS facility licensee must give assistance to the appointed person preparing an expert report as reasonably required.</w:t>
      </w:r>
      <w:r w:rsidR="009A6330">
        <w:t xml:space="preserve"> </w:t>
      </w:r>
      <w:r w:rsidRPr="004B6F54">
        <w:br/>
      </w:r>
      <w:r w:rsidRPr="004B6F54">
        <w:rPr>
          <w:b/>
          <w:bCs/>
          <w:i/>
          <w:iCs/>
        </w:rPr>
        <w:t>[</w:t>
      </w:r>
      <w:r w:rsidR="00A93424">
        <w:rPr>
          <w:b/>
          <w:bCs/>
          <w:i/>
          <w:iCs/>
        </w:rPr>
        <w:t xml:space="preserve">Schedule </w:t>
      </w:r>
      <w:r w:rsidR="00C56DAC">
        <w:rPr>
          <w:b/>
          <w:bCs/>
          <w:i/>
          <w:iCs/>
        </w:rPr>
        <w:t>2</w:t>
      </w:r>
      <w:r w:rsidRPr="004B6F54">
        <w:rPr>
          <w:b/>
          <w:bCs/>
          <w:i/>
          <w:iCs/>
        </w:rPr>
        <w:t xml:space="preserve">, item </w:t>
      </w:r>
      <w:r w:rsidR="000E091B">
        <w:rPr>
          <w:b/>
          <w:bCs/>
          <w:i/>
          <w:iCs/>
        </w:rPr>
        <w:t>94</w:t>
      </w:r>
      <w:r w:rsidR="00054967" w:rsidRPr="004B6F54">
        <w:rPr>
          <w:b/>
          <w:bCs/>
          <w:i/>
          <w:iCs/>
        </w:rPr>
        <w:t xml:space="preserve">, </w:t>
      </w:r>
      <w:r w:rsidRPr="004B6F54">
        <w:rPr>
          <w:b/>
          <w:bCs/>
          <w:i/>
          <w:iCs/>
        </w:rPr>
        <w:t xml:space="preserve">subsection </w:t>
      </w:r>
      <w:r w:rsidR="00054967" w:rsidRPr="004B6F54">
        <w:rPr>
          <w:b/>
          <w:bCs/>
          <w:i/>
          <w:iCs/>
        </w:rPr>
        <w:t>823</w:t>
      </w:r>
      <w:proofErr w:type="gramStart"/>
      <w:r w:rsidR="00054967" w:rsidRPr="004B6F54">
        <w:rPr>
          <w:b/>
          <w:bCs/>
          <w:i/>
          <w:iCs/>
        </w:rPr>
        <w:t>B</w:t>
      </w:r>
      <w:r w:rsidR="00054967">
        <w:rPr>
          <w:b/>
          <w:bCs/>
          <w:i/>
          <w:iCs/>
        </w:rPr>
        <w:t>B</w:t>
      </w:r>
      <w:r w:rsidRPr="004B6F54">
        <w:rPr>
          <w:b/>
          <w:bCs/>
          <w:i/>
          <w:iCs/>
        </w:rPr>
        <w:t>(</w:t>
      </w:r>
      <w:proofErr w:type="gramEnd"/>
      <w:r w:rsidRPr="004B6F54">
        <w:rPr>
          <w:b/>
          <w:bCs/>
          <w:i/>
          <w:iCs/>
        </w:rPr>
        <w:t xml:space="preserve">5) of the </w:t>
      </w:r>
      <w:r w:rsidR="000E7C19">
        <w:rPr>
          <w:b/>
          <w:bCs/>
          <w:i/>
          <w:iCs/>
        </w:rPr>
        <w:t>Act</w:t>
      </w:r>
      <w:r w:rsidRPr="004B6F54">
        <w:rPr>
          <w:b/>
          <w:bCs/>
          <w:i/>
          <w:iCs/>
        </w:rPr>
        <w:t>]</w:t>
      </w:r>
    </w:p>
    <w:p w14:paraId="462F8A8A" w14:textId="77777777" w:rsidR="004B6F54" w:rsidRPr="004B6F54" w:rsidRDefault="004B6F54" w:rsidP="004B6F54">
      <w:pPr>
        <w:keepNext/>
        <w:keepLines/>
        <w:spacing w:before="240"/>
        <w:outlineLvl w:val="5"/>
        <w:rPr>
          <w:rFonts w:ascii="Helvitica" w:eastAsiaTheme="majorEastAsia" w:hAnsi="Helvitica" w:cstheme="majorBidi" w:hint="eastAsia"/>
          <w:i/>
        </w:rPr>
      </w:pPr>
      <w:r w:rsidRPr="004B6F54">
        <w:rPr>
          <w:rFonts w:ascii="Helvitica" w:eastAsiaTheme="majorEastAsia" w:hAnsi="Helvitica" w:cstheme="majorBidi"/>
          <w:i/>
        </w:rPr>
        <w:t>Contravention</w:t>
      </w:r>
    </w:p>
    <w:p w14:paraId="72490577" w14:textId="269BD918" w:rsidR="00EA1B4B" w:rsidRDefault="006845A7" w:rsidP="00EA1B4B">
      <w:pPr>
        <w:pStyle w:val="Normalparatextwithnumbers"/>
        <w:rPr>
          <w:rFonts w:ascii="Helvitica" w:eastAsiaTheme="majorEastAsia" w:hAnsi="Helvitica" w:cstheme="majorBidi" w:hint="eastAsia"/>
          <w:i/>
        </w:rPr>
      </w:pPr>
      <w:bookmarkStart w:id="85" w:name="_Ref140230816"/>
      <w:r>
        <w:t>Failure to comply with a requirement to provide an expert report</w:t>
      </w:r>
      <w:r w:rsidR="005A200F">
        <w:t xml:space="preserve"> or give assistance</w:t>
      </w:r>
      <w:r>
        <w:t xml:space="preserve"> is a criminal offence with a maximum penalty of 2 years imprisonment. </w:t>
      </w:r>
      <w:bookmarkEnd w:id="85"/>
      <w:r w:rsidR="009D08D9">
        <w:br/>
      </w:r>
      <w:r w:rsidR="00054967">
        <w:rPr>
          <w:rStyle w:val="References"/>
        </w:rPr>
        <w:t xml:space="preserve">[Schedule </w:t>
      </w:r>
      <w:r w:rsidR="006722B5">
        <w:rPr>
          <w:rStyle w:val="References"/>
        </w:rPr>
        <w:t>2</w:t>
      </w:r>
      <w:r w:rsidR="00054967">
        <w:rPr>
          <w:rStyle w:val="References"/>
        </w:rPr>
        <w:t>, item</w:t>
      </w:r>
      <w:r w:rsidR="002157D3">
        <w:rPr>
          <w:rStyle w:val="References"/>
        </w:rPr>
        <w:t>s</w:t>
      </w:r>
      <w:r w:rsidR="00054967">
        <w:rPr>
          <w:rStyle w:val="References"/>
        </w:rPr>
        <w:t xml:space="preserve"> </w:t>
      </w:r>
      <w:r w:rsidR="008669E0">
        <w:rPr>
          <w:rStyle w:val="References"/>
        </w:rPr>
        <w:t>94</w:t>
      </w:r>
      <w:r w:rsidR="002157D3">
        <w:rPr>
          <w:rStyle w:val="References"/>
        </w:rPr>
        <w:t xml:space="preserve"> and </w:t>
      </w:r>
      <w:r w:rsidR="00D25AC6">
        <w:rPr>
          <w:rStyle w:val="References"/>
        </w:rPr>
        <w:t>99</w:t>
      </w:r>
      <w:r w:rsidR="00837ABA">
        <w:rPr>
          <w:rStyle w:val="References"/>
        </w:rPr>
        <w:t xml:space="preserve">, </w:t>
      </w:r>
      <w:r w:rsidR="00054967">
        <w:rPr>
          <w:rStyle w:val="References"/>
        </w:rPr>
        <w:t>subsections 823</w:t>
      </w:r>
      <w:proofErr w:type="gramStart"/>
      <w:r w:rsidR="00054967">
        <w:rPr>
          <w:rStyle w:val="References"/>
        </w:rPr>
        <w:t>BB(</w:t>
      </w:r>
      <w:proofErr w:type="gramEnd"/>
      <w:r w:rsidR="00054967">
        <w:rPr>
          <w:rStyle w:val="References"/>
        </w:rPr>
        <w:t>4)</w:t>
      </w:r>
      <w:r w:rsidR="009540CB">
        <w:rPr>
          <w:rStyle w:val="References"/>
        </w:rPr>
        <w:t xml:space="preserve"> and </w:t>
      </w:r>
      <w:r w:rsidR="00054967">
        <w:rPr>
          <w:rStyle w:val="References"/>
        </w:rPr>
        <w:t>(</w:t>
      </w:r>
      <w:r w:rsidR="008669E0">
        <w:rPr>
          <w:rStyle w:val="References"/>
        </w:rPr>
        <w:t>5</w:t>
      </w:r>
      <w:r w:rsidR="00054967">
        <w:rPr>
          <w:rStyle w:val="References"/>
        </w:rPr>
        <w:t>)</w:t>
      </w:r>
      <w:r w:rsidR="00A4628C">
        <w:rPr>
          <w:rStyle w:val="References"/>
        </w:rPr>
        <w:t xml:space="preserve"> and Schedule 3</w:t>
      </w:r>
      <w:r w:rsidR="00054967">
        <w:rPr>
          <w:rStyle w:val="References"/>
        </w:rPr>
        <w:t xml:space="preserve"> of the Act]</w:t>
      </w:r>
      <w:r w:rsidR="00EA1B4B" w:rsidRPr="00EA1B4B">
        <w:rPr>
          <w:rFonts w:ascii="Helvitica" w:eastAsiaTheme="majorEastAsia" w:hAnsi="Helvitica" w:cstheme="majorBidi"/>
          <w:i/>
        </w:rPr>
        <w:t xml:space="preserve"> </w:t>
      </w:r>
    </w:p>
    <w:p w14:paraId="5548D288" w14:textId="77777777" w:rsidR="00063F63" w:rsidRDefault="00063F63" w:rsidP="00063F63">
      <w:pPr>
        <w:keepNext/>
        <w:keepLines/>
        <w:numPr>
          <w:ilvl w:val="4"/>
          <w:numId w:val="2"/>
        </w:numPr>
        <w:spacing w:before="240" w:after="240"/>
        <w:contextualSpacing/>
        <w:outlineLvl w:val="4"/>
        <w:rPr>
          <w:rFonts w:ascii="Helvetica" w:eastAsiaTheme="majorEastAsia" w:hAnsi="Helvetica" w:cstheme="majorBidi"/>
          <w:b/>
          <w:spacing w:val="-10"/>
          <w:kern w:val="28"/>
          <w:sz w:val="24"/>
          <w:szCs w:val="56"/>
        </w:rPr>
      </w:pPr>
      <w:r w:rsidRPr="00D06C2E">
        <w:rPr>
          <w:rFonts w:ascii="Helvetica" w:eastAsiaTheme="majorEastAsia" w:hAnsi="Helvetica" w:cstheme="majorBidi"/>
          <w:b/>
          <w:spacing w:val="-10"/>
          <w:kern w:val="28"/>
          <w:sz w:val="24"/>
          <w:szCs w:val="56"/>
        </w:rPr>
        <w:t xml:space="preserve">Power to require a special </w:t>
      </w:r>
      <w:proofErr w:type="gramStart"/>
      <w:r w:rsidRPr="00D06C2E">
        <w:rPr>
          <w:rFonts w:ascii="Helvetica" w:eastAsiaTheme="majorEastAsia" w:hAnsi="Helvetica" w:cstheme="majorBidi"/>
          <w:b/>
          <w:spacing w:val="-10"/>
          <w:kern w:val="28"/>
          <w:sz w:val="24"/>
          <w:szCs w:val="56"/>
        </w:rPr>
        <w:t>report</w:t>
      </w:r>
      <w:proofErr w:type="gramEnd"/>
    </w:p>
    <w:p w14:paraId="743C7B3F" w14:textId="77777777" w:rsidR="00B93039" w:rsidRPr="00D06C2E" w:rsidRDefault="00B93039" w:rsidP="00063F63">
      <w:pPr>
        <w:keepNext/>
        <w:keepLines/>
        <w:numPr>
          <w:ilvl w:val="4"/>
          <w:numId w:val="2"/>
        </w:numPr>
        <w:spacing w:before="240" w:after="240"/>
        <w:contextualSpacing/>
        <w:outlineLvl w:val="4"/>
        <w:rPr>
          <w:rFonts w:ascii="Helvetica" w:eastAsiaTheme="majorEastAsia" w:hAnsi="Helvetica" w:cstheme="majorBidi"/>
          <w:b/>
          <w:spacing w:val="-10"/>
          <w:kern w:val="28"/>
          <w:sz w:val="24"/>
          <w:szCs w:val="56"/>
        </w:rPr>
      </w:pPr>
    </w:p>
    <w:p w14:paraId="65C1882A" w14:textId="668CCF10" w:rsidR="00063F63" w:rsidRPr="00D06C2E" w:rsidRDefault="00063F63" w:rsidP="00063F63">
      <w:pPr>
        <w:numPr>
          <w:ilvl w:val="1"/>
          <w:numId w:val="6"/>
        </w:numPr>
      </w:pPr>
      <w:r>
        <w:t>To complement the RBA’s power to require a</w:t>
      </w:r>
      <w:r w:rsidR="00B93039">
        <w:t xml:space="preserve"> special</w:t>
      </w:r>
      <w:r>
        <w:t xml:space="preserve"> report, the RBA may also </w:t>
      </w:r>
      <w:r w:rsidR="00045C69">
        <w:t>require a</w:t>
      </w:r>
      <w:r w:rsidR="00B93039">
        <w:t>n expert</w:t>
      </w:r>
      <w:r w:rsidR="00045C69">
        <w:t xml:space="preserve"> report.</w:t>
      </w:r>
      <w:r>
        <w:t xml:space="preserve"> </w:t>
      </w:r>
      <w:r w:rsidRPr="00D06C2E">
        <w:t xml:space="preserve">The </w:t>
      </w:r>
      <w:r w:rsidR="00045C69">
        <w:t xml:space="preserve">existing </w:t>
      </w:r>
      <w:r w:rsidRPr="00D06C2E">
        <w:t xml:space="preserve">power to require a special report on specified matters is </w:t>
      </w:r>
      <w:r w:rsidR="00045C69">
        <w:t xml:space="preserve">formally </w:t>
      </w:r>
      <w:r w:rsidRPr="00D06C2E">
        <w:t xml:space="preserve">transferred </w:t>
      </w:r>
      <w:r>
        <w:t>from the Minister to ASIC, as detailed in</w:t>
      </w:r>
      <w:r w:rsidR="006274C0">
        <w:t xml:space="preserve"> Schedule 3</w:t>
      </w:r>
      <w:r>
        <w:t>.</w:t>
      </w:r>
    </w:p>
    <w:p w14:paraId="4C91AE84" w14:textId="20EEF9DD" w:rsidR="00063F63" w:rsidRPr="009D08D9" w:rsidRDefault="00063F63" w:rsidP="00063F63">
      <w:pPr>
        <w:numPr>
          <w:ilvl w:val="1"/>
          <w:numId w:val="6"/>
        </w:numPr>
        <w:rPr>
          <w:rStyle w:val="References"/>
          <w:b w:val="0"/>
          <w:i w:val="0"/>
        </w:rPr>
      </w:pPr>
      <w:r w:rsidRPr="00D06C2E">
        <w:t xml:space="preserve">The RBA may give a CS facility licensee written notice requiring the licensee to give the </w:t>
      </w:r>
      <w:r>
        <w:t>RBA</w:t>
      </w:r>
      <w:r w:rsidRPr="00D06C2E">
        <w:t xml:space="preserve"> a special report on specified matters.</w:t>
      </w:r>
      <w:r>
        <w:br/>
      </w:r>
      <w:r w:rsidRPr="00D06C2E">
        <w:rPr>
          <w:rStyle w:val="References"/>
        </w:rPr>
        <w:t>[</w:t>
      </w:r>
      <w:r w:rsidRPr="00D06C2E">
        <w:rPr>
          <w:b/>
          <w:bCs/>
          <w:i/>
          <w:iCs/>
        </w:rPr>
        <w:t xml:space="preserve">Schedule </w:t>
      </w:r>
      <w:r>
        <w:rPr>
          <w:b/>
          <w:bCs/>
          <w:i/>
          <w:iCs/>
        </w:rPr>
        <w:t>2</w:t>
      </w:r>
      <w:r w:rsidRPr="00D06C2E">
        <w:rPr>
          <w:b/>
          <w:bCs/>
          <w:i/>
          <w:iCs/>
        </w:rPr>
        <w:t xml:space="preserve">, item </w:t>
      </w:r>
      <w:r>
        <w:rPr>
          <w:b/>
          <w:bCs/>
          <w:i/>
          <w:iCs/>
        </w:rPr>
        <w:t>94</w:t>
      </w:r>
      <w:r w:rsidRPr="00D06C2E">
        <w:rPr>
          <w:b/>
          <w:bCs/>
          <w:i/>
          <w:iCs/>
        </w:rPr>
        <w:t>, subsection 823</w:t>
      </w:r>
      <w:r>
        <w:rPr>
          <w:b/>
          <w:bCs/>
          <w:i/>
          <w:iCs/>
        </w:rPr>
        <w:t>B</w:t>
      </w:r>
      <w:r w:rsidRPr="00D06C2E">
        <w:rPr>
          <w:b/>
          <w:bCs/>
          <w:i/>
          <w:iCs/>
        </w:rPr>
        <w:t>AA of the Act</w:t>
      </w:r>
      <w:r w:rsidRPr="00D06C2E">
        <w:rPr>
          <w:rStyle w:val="References"/>
        </w:rPr>
        <w:t xml:space="preserve">] </w:t>
      </w:r>
    </w:p>
    <w:p w14:paraId="0BE0D014" w14:textId="43B28B53" w:rsidR="00063F63" w:rsidRPr="00D06C2E" w:rsidRDefault="00063F63" w:rsidP="00063F63">
      <w:pPr>
        <w:numPr>
          <w:ilvl w:val="1"/>
          <w:numId w:val="6"/>
        </w:numPr>
      </w:pPr>
      <w:r w:rsidRPr="00D06C2E">
        <w:t xml:space="preserve">The licensee must give the special report to the </w:t>
      </w:r>
      <w:r>
        <w:t>RBA</w:t>
      </w:r>
      <w:r w:rsidRPr="00D06C2E">
        <w:t xml:space="preserve"> within the time required by the notice. Failure to do so incurs a maximum penalty of 2 years imprisonment.</w:t>
      </w:r>
      <w:r w:rsidRPr="00D06C2E">
        <w:br/>
      </w:r>
      <w:r w:rsidRPr="00D06C2E">
        <w:rPr>
          <w:b/>
          <w:bCs/>
          <w:i/>
          <w:iCs/>
        </w:rPr>
        <w:t xml:space="preserve">[Schedule </w:t>
      </w:r>
      <w:r>
        <w:rPr>
          <w:b/>
          <w:bCs/>
          <w:i/>
          <w:iCs/>
        </w:rPr>
        <w:t>2</w:t>
      </w:r>
      <w:r w:rsidRPr="00D06C2E">
        <w:rPr>
          <w:b/>
          <w:bCs/>
          <w:i/>
          <w:iCs/>
        </w:rPr>
        <w:t>, item</w:t>
      </w:r>
      <w:r>
        <w:rPr>
          <w:b/>
          <w:bCs/>
          <w:i/>
          <w:iCs/>
        </w:rPr>
        <w:t>s</w:t>
      </w:r>
      <w:r w:rsidRPr="00D06C2E">
        <w:rPr>
          <w:b/>
          <w:bCs/>
          <w:i/>
          <w:iCs/>
        </w:rPr>
        <w:t xml:space="preserve"> </w:t>
      </w:r>
      <w:proofErr w:type="gramStart"/>
      <w:r>
        <w:rPr>
          <w:b/>
          <w:bCs/>
          <w:i/>
          <w:iCs/>
        </w:rPr>
        <w:t>94  and</w:t>
      </w:r>
      <w:proofErr w:type="gramEnd"/>
      <w:r>
        <w:rPr>
          <w:b/>
          <w:bCs/>
          <w:i/>
          <w:iCs/>
        </w:rPr>
        <w:t xml:space="preserve"> 99</w:t>
      </w:r>
      <w:r w:rsidRPr="00D06C2E">
        <w:rPr>
          <w:b/>
          <w:bCs/>
          <w:i/>
          <w:iCs/>
        </w:rPr>
        <w:t xml:space="preserve"> subsection 823</w:t>
      </w:r>
      <w:r>
        <w:rPr>
          <w:b/>
          <w:bCs/>
          <w:i/>
          <w:iCs/>
        </w:rPr>
        <w:t>B</w:t>
      </w:r>
      <w:r w:rsidRPr="00D06C2E">
        <w:rPr>
          <w:b/>
          <w:bCs/>
          <w:i/>
          <w:iCs/>
        </w:rPr>
        <w:t xml:space="preserve">AA(2) </w:t>
      </w:r>
      <w:r>
        <w:rPr>
          <w:b/>
          <w:bCs/>
          <w:i/>
          <w:iCs/>
        </w:rPr>
        <w:t xml:space="preserve">and Schedule 3 </w:t>
      </w:r>
      <w:r w:rsidRPr="001C4A87">
        <w:rPr>
          <w:b/>
          <w:bCs/>
          <w:i/>
          <w:iCs/>
        </w:rPr>
        <w:t>of the Act]</w:t>
      </w:r>
    </w:p>
    <w:p w14:paraId="52D0A669" w14:textId="77777777" w:rsidR="00F572E1" w:rsidRDefault="00F572E1" w:rsidP="00F572E1">
      <w:pPr>
        <w:pStyle w:val="Heading3"/>
        <w:rPr>
          <w:rFonts w:hint="eastAsia"/>
        </w:rPr>
      </w:pPr>
      <w:bookmarkStart w:id="86" w:name="_Toc152860460"/>
      <w:r>
        <w:lastRenderedPageBreak/>
        <w:t>Other powers</w:t>
      </w:r>
      <w:bookmarkEnd w:id="86"/>
    </w:p>
    <w:p w14:paraId="298CEFAD" w14:textId="63B86AE8" w:rsidR="00F572E1" w:rsidRDefault="00C958C9" w:rsidP="00F572E1">
      <w:pPr>
        <w:pStyle w:val="Normalparatextwithnumbers"/>
      </w:pPr>
      <w:r>
        <w:t>The RBA</w:t>
      </w:r>
      <w:r w:rsidR="00FB497D">
        <w:t xml:space="preserve"> is afforded additional </w:t>
      </w:r>
      <w:r>
        <w:t>power</w:t>
      </w:r>
      <w:r w:rsidR="008E4E9C">
        <w:t>s</w:t>
      </w:r>
      <w:r w:rsidR="00F572E1">
        <w:t xml:space="preserve"> </w:t>
      </w:r>
      <w:r w:rsidR="00D60899">
        <w:t xml:space="preserve">that mirror ASIC’s existing powers, such as the power </w:t>
      </w:r>
      <w:r w:rsidR="00F572E1">
        <w:t xml:space="preserve">to </w:t>
      </w:r>
      <w:r w:rsidR="00D60899">
        <w:t xml:space="preserve">compel a licensee to give the RBA access to a facility, and </w:t>
      </w:r>
      <w:r w:rsidR="00A6040B">
        <w:t xml:space="preserve">the ability to </w:t>
      </w:r>
      <w:r w:rsidR="00D60899">
        <w:t>exempt</w:t>
      </w:r>
      <w:r w:rsidR="00A6040B">
        <w:t xml:space="preserve"> licensees</w:t>
      </w:r>
      <w:r w:rsidR="00F572E1">
        <w:t xml:space="preserve"> </w:t>
      </w:r>
      <w:r w:rsidR="00A6040B">
        <w:t xml:space="preserve">from certain obligations. These powers </w:t>
      </w:r>
      <w:r>
        <w:t>reflect</w:t>
      </w:r>
      <w:r w:rsidR="00F572E1">
        <w:t xml:space="preserve"> the vital function the RBA has in oversight of CS facilities that contribute to financial system stability in Australia. </w:t>
      </w:r>
    </w:p>
    <w:p w14:paraId="43C3CB06" w14:textId="0C2BF929" w:rsidR="00963BB0" w:rsidRPr="00A93424" w:rsidRDefault="00963BB0" w:rsidP="004B6F54">
      <w:pPr>
        <w:pStyle w:val="Heading5"/>
      </w:pPr>
      <w:r w:rsidRPr="00A93424">
        <w:t xml:space="preserve">Obligation to give RBA access to the </w:t>
      </w:r>
      <w:proofErr w:type="gramStart"/>
      <w:r w:rsidRPr="00A93424">
        <w:t>facility</w:t>
      </w:r>
      <w:proofErr w:type="gramEnd"/>
    </w:p>
    <w:p w14:paraId="49507D13" w14:textId="12A49B48" w:rsidR="00963BB0" w:rsidRPr="00A93424" w:rsidRDefault="00963BB0" w:rsidP="00125C2C">
      <w:pPr>
        <w:pStyle w:val="Normalparatextwithnumbers"/>
      </w:pPr>
      <w:r w:rsidRPr="00A93424">
        <w:t xml:space="preserve">The existing obligation to provide ASIC access to a CS facility under section 821D of the Act is extended to the RBA so that an authorised person of the RBA may also access the CS facility. </w:t>
      </w:r>
      <w:r w:rsidR="000000ED" w:rsidRPr="00A93424">
        <w:br/>
      </w:r>
      <w:r w:rsidR="000000ED" w:rsidRPr="00A93424">
        <w:rPr>
          <w:rStyle w:val="References"/>
        </w:rPr>
        <w:t>[</w:t>
      </w:r>
      <w:r w:rsidR="00A93424">
        <w:rPr>
          <w:rStyle w:val="References"/>
        </w:rPr>
        <w:t xml:space="preserve">Schedule </w:t>
      </w:r>
      <w:r w:rsidR="007B305B">
        <w:rPr>
          <w:rStyle w:val="References"/>
        </w:rPr>
        <w:t>2</w:t>
      </w:r>
      <w:r w:rsidR="000000ED" w:rsidRPr="00A93424">
        <w:rPr>
          <w:rStyle w:val="References"/>
        </w:rPr>
        <w:t>, items</w:t>
      </w:r>
      <w:r w:rsidR="00462577">
        <w:rPr>
          <w:rStyle w:val="References"/>
        </w:rPr>
        <w:t xml:space="preserve"> </w:t>
      </w:r>
      <w:r w:rsidR="0042556A">
        <w:rPr>
          <w:rStyle w:val="References"/>
        </w:rPr>
        <w:t>86</w:t>
      </w:r>
      <w:r w:rsidR="00075ED6">
        <w:rPr>
          <w:rStyle w:val="References"/>
        </w:rPr>
        <w:t xml:space="preserve">, 87 and </w:t>
      </w:r>
      <w:r w:rsidR="0042556A">
        <w:rPr>
          <w:rStyle w:val="References"/>
        </w:rPr>
        <w:t>88</w:t>
      </w:r>
      <w:r w:rsidR="000000ED" w:rsidRPr="00A93424">
        <w:rPr>
          <w:rStyle w:val="References"/>
        </w:rPr>
        <w:t xml:space="preserve">, </w:t>
      </w:r>
      <w:r w:rsidR="00077BF5">
        <w:rPr>
          <w:rStyle w:val="References"/>
        </w:rPr>
        <w:t>section 821D</w:t>
      </w:r>
      <w:r w:rsidR="000000ED" w:rsidRPr="00A93424">
        <w:rPr>
          <w:rStyle w:val="References"/>
        </w:rPr>
        <w:t xml:space="preserve"> of the </w:t>
      </w:r>
      <w:r w:rsidR="000E7C19" w:rsidRPr="00A93424">
        <w:rPr>
          <w:rStyle w:val="References"/>
        </w:rPr>
        <w:t>Act</w:t>
      </w:r>
      <w:r w:rsidR="000000ED" w:rsidRPr="00A93424">
        <w:rPr>
          <w:rStyle w:val="References"/>
        </w:rPr>
        <w:t>]</w:t>
      </w:r>
    </w:p>
    <w:p w14:paraId="2FDB0EDB" w14:textId="4D51915E" w:rsidR="00963BB0" w:rsidRDefault="007A2352" w:rsidP="00AD1047">
      <w:pPr>
        <w:pStyle w:val="Normalparatextwithnumbers"/>
      </w:pPr>
      <w:r w:rsidRPr="00A93424">
        <w:t xml:space="preserve">Failure to provide access to the RBA attracts the existing penalty </w:t>
      </w:r>
      <w:r w:rsidR="00963BB0" w:rsidRPr="00A93424">
        <w:t>for failure to comply with th</w:t>
      </w:r>
      <w:r w:rsidR="000000ED" w:rsidRPr="00A93424">
        <w:t>e</w:t>
      </w:r>
      <w:r w:rsidR="00963BB0" w:rsidRPr="00A93424">
        <w:t xml:space="preserve"> obligation </w:t>
      </w:r>
      <w:r w:rsidR="000000ED" w:rsidRPr="00A93424">
        <w:t xml:space="preserve">to give ASIC access, </w:t>
      </w:r>
      <w:r w:rsidR="00963BB0" w:rsidRPr="00A93424">
        <w:t xml:space="preserve">being a maximum penalty of 2 years imprisonment.  </w:t>
      </w:r>
      <w:r w:rsidR="00A93424">
        <w:br/>
      </w:r>
      <w:r w:rsidR="00A93424" w:rsidRPr="00A93424">
        <w:rPr>
          <w:rStyle w:val="References"/>
        </w:rPr>
        <w:t xml:space="preserve">[Schedule </w:t>
      </w:r>
      <w:r w:rsidR="00F631EB">
        <w:rPr>
          <w:rStyle w:val="References"/>
        </w:rPr>
        <w:t>2</w:t>
      </w:r>
      <w:r w:rsidR="00A93424" w:rsidRPr="00A93424">
        <w:rPr>
          <w:rStyle w:val="References"/>
        </w:rPr>
        <w:t>, item</w:t>
      </w:r>
      <w:r w:rsidR="00814782">
        <w:rPr>
          <w:rStyle w:val="References"/>
        </w:rPr>
        <w:t xml:space="preserve"> 99</w:t>
      </w:r>
      <w:r w:rsidR="00A93424" w:rsidRPr="00A93424">
        <w:rPr>
          <w:rStyle w:val="References"/>
        </w:rPr>
        <w:t xml:space="preserve"> </w:t>
      </w:r>
      <w:r w:rsidR="00B11CF2">
        <w:rPr>
          <w:rStyle w:val="References"/>
        </w:rPr>
        <w:t xml:space="preserve">Schedule 3 </w:t>
      </w:r>
      <w:r w:rsidR="00A93424" w:rsidRPr="00A93424">
        <w:rPr>
          <w:rStyle w:val="References"/>
        </w:rPr>
        <w:t>of the Act]</w:t>
      </w:r>
    </w:p>
    <w:p w14:paraId="671D7D74" w14:textId="6EAFE5AC" w:rsidR="00A93424" w:rsidRPr="00A93424" w:rsidRDefault="00A93424" w:rsidP="00A93424">
      <w:pPr>
        <w:pStyle w:val="Heading5"/>
        <w:rPr>
          <w:rStyle w:val="References"/>
          <w:rFonts w:ascii="Helvetica" w:hAnsi="Helvetica"/>
          <w:b/>
          <w:bCs w:val="0"/>
          <w:i w:val="0"/>
          <w:iCs w:val="0"/>
          <w:sz w:val="24"/>
        </w:rPr>
      </w:pPr>
      <w:r>
        <w:t>Exemptions</w:t>
      </w:r>
    </w:p>
    <w:p w14:paraId="7162C9FE" w14:textId="4D42B2DE" w:rsidR="00A93424" w:rsidRDefault="00A93424" w:rsidP="00125C2C">
      <w:pPr>
        <w:pStyle w:val="Normalparatextwithnumbers"/>
        <w:rPr>
          <w:rStyle w:val="References"/>
          <w:b w:val="0"/>
          <w:bCs w:val="0"/>
          <w:i w:val="0"/>
          <w:iCs w:val="0"/>
        </w:rPr>
      </w:pPr>
      <w:r w:rsidRPr="007217E0">
        <w:rPr>
          <w:rStyle w:val="References"/>
          <w:b w:val="0"/>
          <w:bCs w:val="0"/>
          <w:i w:val="0"/>
          <w:iCs w:val="0"/>
        </w:rPr>
        <w:t xml:space="preserve">The </w:t>
      </w:r>
      <w:r>
        <w:rPr>
          <w:rStyle w:val="References"/>
          <w:b w:val="0"/>
          <w:bCs w:val="0"/>
          <w:i w:val="0"/>
          <w:iCs w:val="0"/>
        </w:rPr>
        <w:t xml:space="preserve">RBA is empowered to </w:t>
      </w:r>
      <w:r w:rsidRPr="007217E0">
        <w:rPr>
          <w:rStyle w:val="References"/>
          <w:b w:val="0"/>
          <w:bCs w:val="0"/>
          <w:i w:val="0"/>
          <w:iCs w:val="0"/>
        </w:rPr>
        <w:t xml:space="preserve">exempt </w:t>
      </w:r>
      <w:r>
        <w:rPr>
          <w:rStyle w:val="References"/>
          <w:b w:val="0"/>
          <w:bCs w:val="0"/>
          <w:i w:val="0"/>
          <w:iCs w:val="0"/>
        </w:rPr>
        <w:t xml:space="preserve">CS </w:t>
      </w:r>
      <w:r w:rsidRPr="007217E0">
        <w:rPr>
          <w:rStyle w:val="References"/>
          <w:b w:val="0"/>
          <w:bCs w:val="0"/>
          <w:i w:val="0"/>
          <w:iCs w:val="0"/>
        </w:rPr>
        <w:t>facilities</w:t>
      </w:r>
      <w:r>
        <w:rPr>
          <w:rStyle w:val="References"/>
          <w:b w:val="0"/>
          <w:bCs w:val="0"/>
          <w:i w:val="0"/>
          <w:iCs w:val="0"/>
        </w:rPr>
        <w:t xml:space="preserve"> </w:t>
      </w:r>
      <w:r w:rsidRPr="007217E0">
        <w:rPr>
          <w:rStyle w:val="References"/>
          <w:b w:val="0"/>
          <w:bCs w:val="0"/>
          <w:i w:val="0"/>
          <w:iCs w:val="0"/>
        </w:rPr>
        <w:t>from</w:t>
      </w:r>
      <w:r w:rsidR="004F43DE">
        <w:rPr>
          <w:rStyle w:val="References"/>
          <w:b w:val="0"/>
          <w:bCs w:val="0"/>
          <w:i w:val="0"/>
          <w:iCs w:val="0"/>
        </w:rPr>
        <w:t xml:space="preserve"> </w:t>
      </w:r>
      <w:r w:rsidR="00C0274F">
        <w:rPr>
          <w:rStyle w:val="References"/>
          <w:b w:val="0"/>
          <w:bCs w:val="0"/>
          <w:i w:val="0"/>
          <w:iCs w:val="0"/>
        </w:rPr>
        <w:t xml:space="preserve">the </w:t>
      </w:r>
      <w:r w:rsidR="00580A38">
        <w:rPr>
          <w:rStyle w:val="References"/>
          <w:b w:val="0"/>
          <w:bCs w:val="0"/>
          <w:i w:val="0"/>
          <w:iCs w:val="0"/>
        </w:rPr>
        <w:t>obligation of</w:t>
      </w:r>
      <w:r w:rsidR="00C0274F">
        <w:rPr>
          <w:rStyle w:val="References"/>
          <w:b w:val="0"/>
          <w:bCs w:val="0"/>
          <w:i w:val="0"/>
          <w:iCs w:val="0"/>
        </w:rPr>
        <w:t xml:space="preserve"> a CS facility license</w:t>
      </w:r>
      <w:r w:rsidR="00D464A7">
        <w:rPr>
          <w:rStyle w:val="References"/>
          <w:b w:val="0"/>
          <w:bCs w:val="0"/>
          <w:i w:val="0"/>
          <w:iCs w:val="0"/>
        </w:rPr>
        <w:t xml:space="preserve"> to comply with the Financial Stability Standards</w:t>
      </w:r>
      <w:r w:rsidR="00E2250F">
        <w:rPr>
          <w:rStyle w:val="References"/>
          <w:b w:val="0"/>
          <w:bCs w:val="0"/>
          <w:i w:val="0"/>
          <w:iCs w:val="0"/>
        </w:rPr>
        <w:t xml:space="preserve">. </w:t>
      </w:r>
      <w:r>
        <w:rPr>
          <w:rStyle w:val="References"/>
          <w:b w:val="0"/>
          <w:bCs w:val="0"/>
          <w:i w:val="0"/>
          <w:iCs w:val="0"/>
        </w:rPr>
        <w:t xml:space="preserve"> </w:t>
      </w:r>
    </w:p>
    <w:p w14:paraId="167A62A2" w14:textId="2277BF2F" w:rsidR="00A93424" w:rsidRPr="00A93424" w:rsidRDefault="00A93424" w:rsidP="00125C2C">
      <w:pPr>
        <w:pStyle w:val="Normalparatextwithnumbers"/>
        <w:rPr>
          <w:rStyle w:val="References"/>
          <w:b w:val="0"/>
          <w:bCs w:val="0"/>
          <w:i w:val="0"/>
          <w:iCs w:val="0"/>
        </w:rPr>
      </w:pPr>
      <w:r w:rsidRPr="00A93424">
        <w:rPr>
          <w:rStyle w:val="References"/>
          <w:b w:val="0"/>
          <w:bCs w:val="0"/>
          <w:i w:val="0"/>
          <w:iCs w:val="0"/>
        </w:rPr>
        <w:t xml:space="preserve">The RBA may vary the exemption to impose additional conditions or revoke the exemption entirely. </w:t>
      </w:r>
      <w:r>
        <w:rPr>
          <w:rStyle w:val="References"/>
          <w:b w:val="0"/>
          <w:bCs w:val="0"/>
          <w:i w:val="0"/>
          <w:iCs w:val="0"/>
        </w:rPr>
        <w:br/>
      </w:r>
      <w:r w:rsidRPr="00A93424">
        <w:rPr>
          <w:rStyle w:val="References"/>
        </w:rPr>
        <w:t>[</w:t>
      </w:r>
      <w:r>
        <w:rPr>
          <w:rStyle w:val="References"/>
        </w:rPr>
        <w:t xml:space="preserve">Schedule </w:t>
      </w:r>
      <w:r w:rsidR="00E2250F">
        <w:rPr>
          <w:rStyle w:val="References"/>
        </w:rPr>
        <w:t>3</w:t>
      </w:r>
      <w:r w:rsidRPr="00A93424">
        <w:rPr>
          <w:rStyle w:val="References"/>
        </w:rPr>
        <w:t xml:space="preserve">, item </w:t>
      </w:r>
      <w:r w:rsidR="001622EB">
        <w:rPr>
          <w:rStyle w:val="References"/>
        </w:rPr>
        <w:t>7</w:t>
      </w:r>
      <w:r w:rsidR="00E2250F">
        <w:rPr>
          <w:rStyle w:val="References"/>
        </w:rPr>
        <w:t>8</w:t>
      </w:r>
      <w:r w:rsidR="001622EB" w:rsidRPr="00A93424">
        <w:rPr>
          <w:rStyle w:val="References"/>
        </w:rPr>
        <w:t xml:space="preserve">, </w:t>
      </w:r>
      <w:r w:rsidRPr="00A93424">
        <w:rPr>
          <w:rStyle w:val="References"/>
        </w:rPr>
        <w:t>section 820CA of the Act]</w:t>
      </w:r>
    </w:p>
    <w:p w14:paraId="17834F34" w14:textId="77777777" w:rsidR="00844FD4" w:rsidRPr="00020288" w:rsidRDefault="00844FD4">
      <w:pPr>
        <w:pStyle w:val="Heading2"/>
        <w:rPr>
          <w:rFonts w:hint="eastAsia"/>
        </w:rPr>
      </w:pPr>
      <w:bookmarkStart w:id="87" w:name="_Toc152860461"/>
      <w:r w:rsidRPr="005D0844">
        <w:t>Consequential</w:t>
      </w:r>
      <w:r w:rsidRPr="00020288">
        <w:t xml:space="preserve"> amendments</w:t>
      </w:r>
      <w:bookmarkEnd w:id="87"/>
    </w:p>
    <w:p w14:paraId="238237D0" w14:textId="6475CB88" w:rsidR="00844FD4" w:rsidRPr="00C958C9" w:rsidRDefault="000D4DA0" w:rsidP="001C4A87">
      <w:pPr>
        <w:pStyle w:val="Normalparatextwithnumbers"/>
        <w:rPr>
          <w:rStyle w:val="References"/>
          <w:b w:val="0"/>
          <w:i w:val="0"/>
        </w:rPr>
      </w:pPr>
      <w:r>
        <w:t>T</w:t>
      </w:r>
      <w:r w:rsidR="006112ED">
        <w:t>he ALRC’s recommendation to introduce a single definition has been adopted</w:t>
      </w:r>
      <w:r w:rsidR="006112ED" w:rsidDel="000D4DA0">
        <w:t xml:space="preserve"> </w:t>
      </w:r>
      <w:r w:rsidR="006112ED">
        <w:t>for updating the definition</w:t>
      </w:r>
      <w:r w:rsidR="00C958C9">
        <w:t xml:space="preserve"> of the RBA</w:t>
      </w:r>
      <w:r w:rsidR="006112ED">
        <w:t>. Amendments are made throughout Chapter 7 to accommodate this change.</w:t>
      </w:r>
      <w:r w:rsidR="006112ED">
        <w:br/>
      </w:r>
      <w:r w:rsidR="006112ED" w:rsidRPr="006112ED">
        <w:rPr>
          <w:rStyle w:val="References"/>
        </w:rPr>
        <w:t>[</w:t>
      </w:r>
      <w:r w:rsidR="00A93424">
        <w:rPr>
          <w:rStyle w:val="References"/>
        </w:rPr>
        <w:t xml:space="preserve">Schedule </w:t>
      </w:r>
      <w:r w:rsidR="00160670">
        <w:rPr>
          <w:rStyle w:val="References"/>
        </w:rPr>
        <w:t>2</w:t>
      </w:r>
      <w:r w:rsidR="006112ED" w:rsidRPr="006112ED">
        <w:rPr>
          <w:rStyle w:val="References"/>
        </w:rPr>
        <w:t>, item</w:t>
      </w:r>
      <w:r w:rsidR="006112ED">
        <w:rPr>
          <w:rStyle w:val="References"/>
        </w:rPr>
        <w:t xml:space="preserve">s </w:t>
      </w:r>
      <w:r w:rsidR="002F5F39">
        <w:rPr>
          <w:rStyle w:val="References"/>
        </w:rPr>
        <w:t>1</w:t>
      </w:r>
      <w:r w:rsidR="00160670">
        <w:rPr>
          <w:rStyle w:val="References"/>
        </w:rPr>
        <w:t>0</w:t>
      </w:r>
      <w:r w:rsidR="002F5F39">
        <w:rPr>
          <w:rStyle w:val="References"/>
        </w:rPr>
        <w:t>2</w:t>
      </w:r>
      <w:r w:rsidR="00F64B3B">
        <w:rPr>
          <w:rStyle w:val="References"/>
        </w:rPr>
        <w:t xml:space="preserve"> to </w:t>
      </w:r>
      <w:r w:rsidR="008B7CA8">
        <w:rPr>
          <w:rStyle w:val="References"/>
        </w:rPr>
        <w:t>1</w:t>
      </w:r>
      <w:r w:rsidR="00160670">
        <w:rPr>
          <w:rStyle w:val="References"/>
        </w:rPr>
        <w:t>14</w:t>
      </w:r>
      <w:r w:rsidR="006112ED" w:rsidRPr="006112ED">
        <w:rPr>
          <w:rStyle w:val="References"/>
        </w:rPr>
        <w:t>, Subsection 821C(3), Subsection 823C(3), Subsection 823CA(1), Paragraph 824B(2)(d), Paragraphs 827A(2)(h) and (3)(d), Section 827C, Subsection 827D(1), Subsections 901B(4) and (6), Subparagraph 901J(1)(b)(ii), Paragraph 904B(2)(c), Paragraph 904D(1)(c), Subsection 908BR(1)</w:t>
      </w:r>
      <w:r w:rsidR="006112ED">
        <w:rPr>
          <w:rStyle w:val="References"/>
        </w:rPr>
        <w:t xml:space="preserve"> </w:t>
      </w:r>
      <w:r w:rsidR="006112ED" w:rsidRPr="006112ED">
        <w:rPr>
          <w:rStyle w:val="References"/>
        </w:rPr>
        <w:t>of the Act]</w:t>
      </w:r>
    </w:p>
    <w:p w14:paraId="5364BD65" w14:textId="77777777" w:rsidR="00844FD4" w:rsidRPr="00020288" w:rsidRDefault="00844FD4">
      <w:pPr>
        <w:pStyle w:val="Heading2"/>
        <w:rPr>
          <w:rFonts w:hint="eastAsia"/>
        </w:rPr>
      </w:pPr>
      <w:bookmarkStart w:id="88" w:name="_Toc152860462"/>
      <w:r w:rsidRPr="00020288">
        <w:lastRenderedPageBreak/>
        <w:t xml:space="preserve">Commencement, </w:t>
      </w:r>
      <w:r w:rsidRPr="00AF50CE">
        <w:t>application</w:t>
      </w:r>
      <w:r w:rsidRPr="00020288">
        <w:t>, and transitional provisions</w:t>
      </w:r>
      <w:bookmarkEnd w:id="88"/>
    </w:p>
    <w:p w14:paraId="557E4C83" w14:textId="4EE92211" w:rsidR="006479AC" w:rsidRPr="006479AC" w:rsidRDefault="00BE6099" w:rsidP="00BE6099">
      <w:pPr>
        <w:pStyle w:val="Heading5"/>
      </w:pPr>
      <w:bookmarkStart w:id="89" w:name="_Toc78193246"/>
      <w:bookmarkStart w:id="90" w:name="_Toc78193403"/>
      <w:bookmarkStart w:id="91" w:name="_Toc78548476"/>
      <w:bookmarkStart w:id="92" w:name="_Toc78549747"/>
      <w:bookmarkStart w:id="93" w:name="_Toc78549791"/>
      <w:r>
        <w:t xml:space="preserve">Directions to reduce systemic </w:t>
      </w:r>
      <w:proofErr w:type="gramStart"/>
      <w:r>
        <w:t>risk</w:t>
      </w:r>
      <w:proofErr w:type="gramEnd"/>
    </w:p>
    <w:p w14:paraId="1BE55688" w14:textId="379E16C9" w:rsidR="00F00380" w:rsidRPr="00020288" w:rsidRDefault="008A3992" w:rsidP="00BE6099">
      <w:pPr>
        <w:pStyle w:val="Normalparatextwithnumbers"/>
        <w:sectPr w:rsidR="00F00380" w:rsidRPr="00020288" w:rsidSect="00F00380">
          <w:headerReference w:type="even" r:id="rId28"/>
          <w:headerReference w:type="default" r:id="rId29"/>
          <w:footerReference w:type="even" r:id="rId30"/>
          <w:footerReference w:type="default" r:id="rId31"/>
          <w:headerReference w:type="first" r:id="rId32"/>
          <w:footerReference w:type="first" r:id="rId33"/>
          <w:type w:val="oddPage"/>
          <w:pgSz w:w="9979" w:h="14175" w:code="9"/>
          <w:pgMar w:top="567" w:right="1134" w:bottom="567" w:left="1134" w:header="709" w:footer="709" w:gutter="0"/>
          <w:cols w:space="708"/>
          <w:titlePg/>
          <w:docGrid w:linePitch="360"/>
        </w:sectPr>
      </w:pPr>
      <w:r>
        <w:t>Given that the</w:t>
      </w:r>
      <w:r w:rsidR="002235BC">
        <w:t xml:space="preserve"> directions power to reduce systemic risk under section 823E of the Act is transferred from ASIC to the RBA, any directions that </w:t>
      </w:r>
      <w:r w:rsidR="003D205E">
        <w:t xml:space="preserve">were issued by ASIC and </w:t>
      </w:r>
      <w:r w:rsidR="00CE2AAF">
        <w:t>in force</w:t>
      </w:r>
      <w:r w:rsidR="003D205E">
        <w:t xml:space="preserve"> before the commencement of Schedule 2 will continue in force </w:t>
      </w:r>
      <w:r w:rsidR="004C495C">
        <w:t xml:space="preserve">as if the RBA had issued the direction.  </w:t>
      </w:r>
      <w:r>
        <w:br/>
      </w:r>
      <w:r w:rsidRPr="008A3992">
        <w:rPr>
          <w:rStyle w:val="References"/>
        </w:rPr>
        <w:t>[Schedule 2, item 143, section 1706AL of the Act</w:t>
      </w:r>
      <w:bookmarkEnd w:id="73"/>
      <w:r w:rsidRPr="008A3992">
        <w:rPr>
          <w:rStyle w:val="References"/>
        </w:rPr>
        <w:t>]</w:t>
      </w:r>
    </w:p>
    <w:p w14:paraId="48355E45" w14:textId="276E07DC" w:rsidR="00F00380" w:rsidRPr="0073326A" w:rsidRDefault="00A95BCD">
      <w:pPr>
        <w:pStyle w:val="Chapterheading"/>
        <w:rPr>
          <w:rFonts w:hint="eastAsia"/>
        </w:rPr>
      </w:pPr>
      <w:bookmarkStart w:id="94" w:name="_Ref140151460"/>
      <w:bookmarkStart w:id="95" w:name="_Ref140230881"/>
      <w:bookmarkStart w:id="96" w:name="_Toc152860442"/>
      <w:r>
        <w:lastRenderedPageBreak/>
        <w:t xml:space="preserve">FMI Reform - </w:t>
      </w:r>
      <w:r w:rsidR="00B234E6">
        <w:t xml:space="preserve">Enhancing </w:t>
      </w:r>
      <w:r>
        <w:t>and stream</w:t>
      </w:r>
      <w:r w:rsidR="00EB3996">
        <w:t>lining</w:t>
      </w:r>
      <w:r>
        <w:t xml:space="preserve"> </w:t>
      </w:r>
      <w:r w:rsidR="007576EE">
        <w:t>ASIC</w:t>
      </w:r>
      <w:r w:rsidR="00584234">
        <w:t>’</w:t>
      </w:r>
      <w:r w:rsidR="007576EE">
        <w:t>s</w:t>
      </w:r>
      <w:r w:rsidR="001F49CA">
        <w:t xml:space="preserve"> </w:t>
      </w:r>
      <w:r w:rsidR="0052362E">
        <w:t xml:space="preserve">licensing and supervisory </w:t>
      </w:r>
      <w:proofErr w:type="gramStart"/>
      <w:r w:rsidR="001F49CA">
        <w:t>powers</w:t>
      </w:r>
      <w:bookmarkEnd w:id="94"/>
      <w:bookmarkEnd w:id="95"/>
      <w:bookmarkEnd w:id="96"/>
      <w:proofErr w:type="gramEnd"/>
      <w:r w:rsidR="001F49CA">
        <w:t xml:space="preserve"> </w:t>
      </w:r>
      <w:r w:rsidR="00BF30DD">
        <w:t xml:space="preserve">  </w:t>
      </w:r>
    </w:p>
    <w:p w14:paraId="205059B4" w14:textId="64F6AAFD" w:rsidR="00F00380" w:rsidRDefault="00CE0C6D">
      <w:pPr>
        <w:rPr>
          <w:rFonts w:ascii="Helvitica" w:hAnsi="Helvitica"/>
          <w:sz w:val="40"/>
        </w:rPr>
      </w:pPr>
      <w:bookmarkStart w:id="97" w:name="Chapter3"/>
      <w:r>
        <w:rPr>
          <w:rFonts w:ascii="Helvitica" w:hAnsi="Helvitica"/>
          <w:sz w:val="40"/>
        </w:rPr>
        <w:t xml:space="preserve">Table of Contents: </w:t>
      </w:r>
    </w:p>
    <w:p w14:paraId="550E082D" w14:textId="185FE57E" w:rsidR="00EC134D" w:rsidRDefault="00CE0C6D">
      <w:pPr>
        <w:pStyle w:val="TOC2"/>
        <w:rPr>
          <w:rFonts w:asciiTheme="minorHAnsi" w:eastAsiaTheme="minorEastAsia" w:hAnsiTheme="minorHAnsi"/>
          <w:sz w:val="22"/>
          <w:lang w:eastAsia="en-AU"/>
        </w:rPr>
      </w:pPr>
      <w:r>
        <w:fldChar w:fldCharType="begin"/>
      </w:r>
      <w:r>
        <w:instrText xml:space="preserve"> TOC \o "1-3" \z  \B Chapter3</w:instrText>
      </w:r>
      <w:r>
        <w:fldChar w:fldCharType="separate"/>
      </w:r>
      <w:r w:rsidR="00EC134D">
        <w:t>Outline of chapter</w:t>
      </w:r>
      <w:r w:rsidR="00EC134D">
        <w:rPr>
          <w:webHidden/>
        </w:rPr>
        <w:tab/>
      </w:r>
      <w:r w:rsidR="00EC134D">
        <w:rPr>
          <w:webHidden/>
        </w:rPr>
        <w:fldChar w:fldCharType="begin"/>
      </w:r>
      <w:r w:rsidR="00EC134D">
        <w:rPr>
          <w:webHidden/>
        </w:rPr>
        <w:instrText xml:space="preserve"> PAGEREF _Toc152860463 \h </w:instrText>
      </w:r>
      <w:r w:rsidR="00EC134D">
        <w:rPr>
          <w:webHidden/>
        </w:rPr>
      </w:r>
      <w:r w:rsidR="00EC134D">
        <w:rPr>
          <w:webHidden/>
        </w:rPr>
        <w:fldChar w:fldCharType="separate"/>
      </w:r>
      <w:r w:rsidR="0028259D">
        <w:rPr>
          <w:webHidden/>
        </w:rPr>
        <w:t>77</w:t>
      </w:r>
      <w:r w:rsidR="00EC134D">
        <w:rPr>
          <w:webHidden/>
        </w:rPr>
        <w:fldChar w:fldCharType="end"/>
      </w:r>
    </w:p>
    <w:p w14:paraId="165C7A58" w14:textId="7367B01F" w:rsidR="00EC134D" w:rsidRDefault="00EC134D">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_Toc152860464 \h </w:instrText>
      </w:r>
      <w:r>
        <w:rPr>
          <w:webHidden/>
        </w:rPr>
      </w:r>
      <w:r>
        <w:rPr>
          <w:webHidden/>
        </w:rPr>
        <w:fldChar w:fldCharType="separate"/>
      </w:r>
      <w:r w:rsidR="0028259D">
        <w:rPr>
          <w:webHidden/>
        </w:rPr>
        <w:t>78</w:t>
      </w:r>
      <w:r>
        <w:rPr>
          <w:webHidden/>
        </w:rPr>
        <w:fldChar w:fldCharType="end"/>
      </w:r>
    </w:p>
    <w:p w14:paraId="74CE4D32" w14:textId="070017C2" w:rsidR="00EC134D" w:rsidRDefault="00EC134D">
      <w:pPr>
        <w:pStyle w:val="TOC2"/>
        <w:rPr>
          <w:rFonts w:asciiTheme="minorHAnsi" w:eastAsiaTheme="minorEastAsia" w:hAnsiTheme="minorHAnsi"/>
          <w:sz w:val="22"/>
          <w:lang w:eastAsia="en-AU"/>
        </w:rPr>
      </w:pPr>
      <w:r>
        <w:t>Summary of new law</w:t>
      </w:r>
      <w:r>
        <w:rPr>
          <w:webHidden/>
        </w:rPr>
        <w:tab/>
      </w:r>
      <w:r>
        <w:rPr>
          <w:webHidden/>
        </w:rPr>
        <w:fldChar w:fldCharType="begin"/>
      </w:r>
      <w:r>
        <w:rPr>
          <w:webHidden/>
        </w:rPr>
        <w:instrText xml:space="preserve"> PAGEREF _Toc152860465 \h </w:instrText>
      </w:r>
      <w:r>
        <w:rPr>
          <w:webHidden/>
        </w:rPr>
      </w:r>
      <w:r>
        <w:rPr>
          <w:webHidden/>
        </w:rPr>
        <w:fldChar w:fldCharType="separate"/>
      </w:r>
      <w:r w:rsidR="0028259D">
        <w:rPr>
          <w:webHidden/>
        </w:rPr>
        <w:t>78</w:t>
      </w:r>
      <w:r>
        <w:rPr>
          <w:webHidden/>
        </w:rPr>
        <w:fldChar w:fldCharType="end"/>
      </w:r>
    </w:p>
    <w:p w14:paraId="29745F17" w14:textId="67412FF2" w:rsidR="00EC134D" w:rsidRDefault="00EC134D">
      <w:pPr>
        <w:pStyle w:val="TOC2"/>
        <w:rPr>
          <w:rFonts w:asciiTheme="minorHAnsi" w:eastAsiaTheme="minorEastAsia" w:hAnsiTheme="minorHAnsi"/>
          <w:sz w:val="22"/>
          <w:lang w:eastAsia="en-AU"/>
        </w:rPr>
      </w:pPr>
      <w:r>
        <w:t>Comparison of key features of new law and current law</w:t>
      </w:r>
      <w:r>
        <w:rPr>
          <w:webHidden/>
        </w:rPr>
        <w:tab/>
      </w:r>
      <w:r>
        <w:rPr>
          <w:webHidden/>
        </w:rPr>
        <w:fldChar w:fldCharType="begin"/>
      </w:r>
      <w:r>
        <w:rPr>
          <w:webHidden/>
        </w:rPr>
        <w:instrText xml:space="preserve"> PAGEREF _Toc152860466 \h </w:instrText>
      </w:r>
      <w:r>
        <w:rPr>
          <w:webHidden/>
        </w:rPr>
      </w:r>
      <w:r>
        <w:rPr>
          <w:webHidden/>
        </w:rPr>
        <w:fldChar w:fldCharType="separate"/>
      </w:r>
      <w:r w:rsidR="0028259D">
        <w:rPr>
          <w:webHidden/>
        </w:rPr>
        <w:t>82</w:t>
      </w:r>
      <w:r>
        <w:rPr>
          <w:webHidden/>
        </w:rPr>
        <w:fldChar w:fldCharType="end"/>
      </w:r>
    </w:p>
    <w:p w14:paraId="7070CCCB" w14:textId="0D68FD29" w:rsidR="00EC134D" w:rsidRDefault="00EC134D">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_Toc152860467 \h </w:instrText>
      </w:r>
      <w:r>
        <w:rPr>
          <w:webHidden/>
        </w:rPr>
      </w:r>
      <w:r>
        <w:rPr>
          <w:webHidden/>
        </w:rPr>
        <w:fldChar w:fldCharType="separate"/>
      </w:r>
      <w:r w:rsidR="0028259D">
        <w:rPr>
          <w:webHidden/>
        </w:rPr>
        <w:t>85</w:t>
      </w:r>
      <w:r>
        <w:rPr>
          <w:webHidden/>
        </w:rPr>
        <w:fldChar w:fldCharType="end"/>
      </w:r>
    </w:p>
    <w:p w14:paraId="326D86FA" w14:textId="0DAAC39D" w:rsidR="00EC134D" w:rsidRDefault="00EC134D">
      <w:pPr>
        <w:pStyle w:val="TOC3"/>
        <w:rPr>
          <w:rFonts w:asciiTheme="minorHAnsi" w:eastAsiaTheme="minorEastAsia" w:hAnsiTheme="minorHAnsi" w:cstheme="minorBidi"/>
          <w:iCs w:val="0"/>
          <w:noProof/>
          <w:sz w:val="22"/>
          <w:szCs w:val="22"/>
          <w:lang w:eastAsia="en-AU"/>
        </w:rPr>
      </w:pPr>
      <w:r>
        <w:rPr>
          <w:noProof/>
        </w:rPr>
        <w:t>Amendments relating only to CS facilities</w:t>
      </w:r>
      <w:r>
        <w:rPr>
          <w:noProof/>
          <w:webHidden/>
        </w:rPr>
        <w:tab/>
      </w:r>
      <w:r>
        <w:rPr>
          <w:noProof/>
          <w:webHidden/>
        </w:rPr>
        <w:fldChar w:fldCharType="begin"/>
      </w:r>
      <w:r>
        <w:rPr>
          <w:noProof/>
          <w:webHidden/>
        </w:rPr>
        <w:instrText xml:space="preserve"> PAGEREF _Toc152860468 \h </w:instrText>
      </w:r>
      <w:r>
        <w:rPr>
          <w:noProof/>
          <w:webHidden/>
        </w:rPr>
      </w:r>
      <w:r>
        <w:rPr>
          <w:noProof/>
          <w:webHidden/>
        </w:rPr>
        <w:fldChar w:fldCharType="separate"/>
      </w:r>
      <w:r w:rsidR="0028259D">
        <w:rPr>
          <w:noProof/>
          <w:webHidden/>
        </w:rPr>
        <w:t>85</w:t>
      </w:r>
      <w:r>
        <w:rPr>
          <w:noProof/>
          <w:webHidden/>
        </w:rPr>
        <w:fldChar w:fldCharType="end"/>
      </w:r>
    </w:p>
    <w:p w14:paraId="2EDFE8C8" w14:textId="229C1881" w:rsidR="00EC134D" w:rsidRDefault="00EC134D">
      <w:pPr>
        <w:pStyle w:val="TOC3"/>
        <w:rPr>
          <w:rFonts w:asciiTheme="minorHAnsi" w:eastAsiaTheme="minorEastAsia" w:hAnsiTheme="minorHAnsi" w:cstheme="minorBidi"/>
          <w:iCs w:val="0"/>
          <w:noProof/>
          <w:sz w:val="22"/>
          <w:szCs w:val="22"/>
          <w:lang w:eastAsia="en-AU"/>
        </w:rPr>
      </w:pPr>
      <w:r>
        <w:rPr>
          <w:noProof/>
        </w:rPr>
        <w:t>Amendments relating to financial markets and CS facilities</w:t>
      </w:r>
      <w:r>
        <w:rPr>
          <w:noProof/>
          <w:webHidden/>
        </w:rPr>
        <w:tab/>
      </w:r>
      <w:r>
        <w:rPr>
          <w:noProof/>
          <w:webHidden/>
        </w:rPr>
        <w:fldChar w:fldCharType="begin"/>
      </w:r>
      <w:r>
        <w:rPr>
          <w:noProof/>
          <w:webHidden/>
        </w:rPr>
        <w:instrText xml:space="preserve"> PAGEREF _Toc152860469 \h </w:instrText>
      </w:r>
      <w:r>
        <w:rPr>
          <w:noProof/>
          <w:webHidden/>
        </w:rPr>
      </w:r>
      <w:r>
        <w:rPr>
          <w:noProof/>
          <w:webHidden/>
        </w:rPr>
        <w:fldChar w:fldCharType="separate"/>
      </w:r>
      <w:r w:rsidR="0028259D">
        <w:rPr>
          <w:noProof/>
          <w:webHidden/>
        </w:rPr>
        <w:t>90</w:t>
      </w:r>
      <w:r>
        <w:rPr>
          <w:noProof/>
          <w:webHidden/>
        </w:rPr>
        <w:fldChar w:fldCharType="end"/>
      </w:r>
    </w:p>
    <w:p w14:paraId="5EF210D4" w14:textId="0C587712" w:rsidR="00EC134D" w:rsidRDefault="00EC134D">
      <w:pPr>
        <w:pStyle w:val="TOC3"/>
        <w:rPr>
          <w:rFonts w:asciiTheme="minorHAnsi" w:eastAsiaTheme="minorEastAsia" w:hAnsiTheme="minorHAnsi" w:cstheme="minorBidi"/>
          <w:iCs w:val="0"/>
          <w:noProof/>
          <w:sz w:val="22"/>
          <w:szCs w:val="22"/>
          <w:lang w:eastAsia="en-AU"/>
        </w:rPr>
      </w:pPr>
      <w:r>
        <w:rPr>
          <w:noProof/>
        </w:rPr>
        <w:t>Amendments relating to financial markets, CS facilities, derivative trade repositories and financial benchmark administrators</w:t>
      </w:r>
      <w:r>
        <w:rPr>
          <w:noProof/>
          <w:webHidden/>
        </w:rPr>
        <w:tab/>
      </w:r>
      <w:r>
        <w:rPr>
          <w:noProof/>
          <w:webHidden/>
        </w:rPr>
        <w:fldChar w:fldCharType="begin"/>
      </w:r>
      <w:r>
        <w:rPr>
          <w:noProof/>
          <w:webHidden/>
        </w:rPr>
        <w:instrText xml:space="preserve"> PAGEREF _Toc152860470 \h </w:instrText>
      </w:r>
      <w:r>
        <w:rPr>
          <w:noProof/>
          <w:webHidden/>
        </w:rPr>
      </w:r>
      <w:r>
        <w:rPr>
          <w:noProof/>
          <w:webHidden/>
        </w:rPr>
        <w:fldChar w:fldCharType="separate"/>
      </w:r>
      <w:r w:rsidR="0028259D">
        <w:rPr>
          <w:noProof/>
          <w:webHidden/>
        </w:rPr>
        <w:t>95</w:t>
      </w:r>
      <w:r>
        <w:rPr>
          <w:noProof/>
          <w:webHidden/>
        </w:rPr>
        <w:fldChar w:fldCharType="end"/>
      </w:r>
    </w:p>
    <w:p w14:paraId="077C7C7F" w14:textId="0295AE14" w:rsidR="00EC134D" w:rsidRDefault="00EC134D">
      <w:pPr>
        <w:pStyle w:val="TOC3"/>
        <w:rPr>
          <w:rFonts w:asciiTheme="minorHAnsi" w:eastAsiaTheme="minorEastAsia" w:hAnsiTheme="minorHAnsi" w:cstheme="minorBidi"/>
          <w:iCs w:val="0"/>
          <w:noProof/>
          <w:sz w:val="22"/>
          <w:szCs w:val="22"/>
          <w:lang w:eastAsia="en-AU"/>
        </w:rPr>
      </w:pPr>
      <w:r>
        <w:rPr>
          <w:noProof/>
        </w:rPr>
        <w:t>Additional transferred powers</w:t>
      </w:r>
      <w:r>
        <w:rPr>
          <w:noProof/>
          <w:webHidden/>
        </w:rPr>
        <w:tab/>
      </w:r>
      <w:r>
        <w:rPr>
          <w:noProof/>
          <w:webHidden/>
        </w:rPr>
        <w:fldChar w:fldCharType="begin"/>
      </w:r>
      <w:r>
        <w:rPr>
          <w:noProof/>
          <w:webHidden/>
        </w:rPr>
        <w:instrText xml:space="preserve"> PAGEREF _Toc152860471 \h </w:instrText>
      </w:r>
      <w:r>
        <w:rPr>
          <w:noProof/>
          <w:webHidden/>
        </w:rPr>
      </w:r>
      <w:r>
        <w:rPr>
          <w:noProof/>
          <w:webHidden/>
        </w:rPr>
        <w:fldChar w:fldCharType="separate"/>
      </w:r>
      <w:r w:rsidR="0028259D">
        <w:rPr>
          <w:noProof/>
          <w:webHidden/>
        </w:rPr>
        <w:t>106</w:t>
      </w:r>
      <w:r>
        <w:rPr>
          <w:noProof/>
          <w:webHidden/>
        </w:rPr>
        <w:fldChar w:fldCharType="end"/>
      </w:r>
    </w:p>
    <w:p w14:paraId="4DC0C1B1" w14:textId="1EDD175B" w:rsidR="00EC134D" w:rsidRDefault="00EC134D">
      <w:pPr>
        <w:pStyle w:val="TOC2"/>
        <w:rPr>
          <w:rFonts w:asciiTheme="minorHAnsi" w:eastAsiaTheme="minorEastAsia" w:hAnsiTheme="minorHAnsi"/>
          <w:sz w:val="22"/>
          <w:lang w:eastAsia="en-AU"/>
        </w:rPr>
      </w:pPr>
      <w:r>
        <w:t>Consequential and minor amendments</w:t>
      </w:r>
      <w:r>
        <w:rPr>
          <w:webHidden/>
        </w:rPr>
        <w:tab/>
      </w:r>
      <w:r>
        <w:rPr>
          <w:webHidden/>
        </w:rPr>
        <w:fldChar w:fldCharType="begin"/>
      </w:r>
      <w:r>
        <w:rPr>
          <w:webHidden/>
        </w:rPr>
        <w:instrText xml:space="preserve"> PAGEREF _Toc152860472 \h </w:instrText>
      </w:r>
      <w:r>
        <w:rPr>
          <w:webHidden/>
        </w:rPr>
      </w:r>
      <w:r>
        <w:rPr>
          <w:webHidden/>
        </w:rPr>
        <w:fldChar w:fldCharType="separate"/>
      </w:r>
      <w:r w:rsidR="0028259D">
        <w:rPr>
          <w:webHidden/>
        </w:rPr>
        <w:t>113</w:t>
      </w:r>
      <w:r>
        <w:rPr>
          <w:webHidden/>
        </w:rPr>
        <w:fldChar w:fldCharType="end"/>
      </w:r>
    </w:p>
    <w:p w14:paraId="76D38DEC" w14:textId="7DA6684E" w:rsidR="00EC134D" w:rsidRDefault="00EC134D">
      <w:pPr>
        <w:pStyle w:val="TOC2"/>
        <w:rPr>
          <w:rFonts w:asciiTheme="minorHAnsi" w:eastAsiaTheme="minorEastAsia" w:hAnsiTheme="minorHAnsi"/>
          <w:sz w:val="22"/>
          <w:lang w:eastAsia="en-AU"/>
        </w:rPr>
      </w:pPr>
      <w:r>
        <w:t>Commencement, application, and transitional provisions</w:t>
      </w:r>
      <w:r>
        <w:rPr>
          <w:webHidden/>
        </w:rPr>
        <w:tab/>
      </w:r>
      <w:r>
        <w:rPr>
          <w:webHidden/>
        </w:rPr>
        <w:fldChar w:fldCharType="begin"/>
      </w:r>
      <w:r>
        <w:rPr>
          <w:webHidden/>
        </w:rPr>
        <w:instrText xml:space="preserve"> PAGEREF _Toc152860473 \h </w:instrText>
      </w:r>
      <w:r>
        <w:rPr>
          <w:webHidden/>
        </w:rPr>
      </w:r>
      <w:r>
        <w:rPr>
          <w:webHidden/>
        </w:rPr>
        <w:fldChar w:fldCharType="separate"/>
      </w:r>
      <w:r w:rsidR="0028259D">
        <w:rPr>
          <w:webHidden/>
        </w:rPr>
        <w:t>114</w:t>
      </w:r>
      <w:r>
        <w:rPr>
          <w:webHidden/>
        </w:rPr>
        <w:fldChar w:fldCharType="end"/>
      </w:r>
    </w:p>
    <w:p w14:paraId="70DFF1C3" w14:textId="2CF882C8" w:rsidR="00CE0C6D" w:rsidRPr="00020288" w:rsidRDefault="00CE0C6D" w:rsidP="00CE0C6D">
      <w:r>
        <w:fldChar w:fldCharType="end"/>
      </w:r>
    </w:p>
    <w:p w14:paraId="75AE05C4" w14:textId="77777777" w:rsidR="00F00380" w:rsidRPr="00020288" w:rsidRDefault="00F00380">
      <w:pPr>
        <w:pStyle w:val="Heading2"/>
        <w:rPr>
          <w:rFonts w:hint="eastAsia"/>
        </w:rPr>
      </w:pPr>
      <w:bookmarkStart w:id="98" w:name="_Ref143014331"/>
      <w:bookmarkStart w:id="99" w:name="_Ref143154639"/>
      <w:bookmarkStart w:id="100" w:name="_Ref143154654"/>
      <w:bookmarkStart w:id="101" w:name="_Toc152860463"/>
      <w:r w:rsidRPr="00020288">
        <w:t xml:space="preserve">Outline </w:t>
      </w:r>
      <w:r w:rsidRPr="005D0844">
        <w:t>of</w:t>
      </w:r>
      <w:r w:rsidRPr="00020288">
        <w:t xml:space="preserve"> chapter</w:t>
      </w:r>
      <w:bookmarkEnd w:id="98"/>
      <w:bookmarkEnd w:id="99"/>
      <w:bookmarkEnd w:id="100"/>
      <w:bookmarkEnd w:id="101"/>
    </w:p>
    <w:p w14:paraId="2277B496" w14:textId="3A784382" w:rsidR="003B69B5" w:rsidRPr="00004072" w:rsidRDefault="003B69B5" w:rsidP="00125C2C">
      <w:pPr>
        <w:pStyle w:val="Normalparatextwithnumbers"/>
      </w:pPr>
      <w:r w:rsidRPr="00004072">
        <w:t xml:space="preserve">Schedule </w:t>
      </w:r>
      <w:r w:rsidR="00C350F0">
        <w:t>2</w:t>
      </w:r>
      <w:r w:rsidRPr="00004072">
        <w:t xml:space="preserve"> of the Bill provides for new and enhanced regulatory powers for ASIC in relation to FMI entities. Schedule </w:t>
      </w:r>
      <w:r w:rsidR="00C350F0">
        <w:t>3</w:t>
      </w:r>
      <w:r w:rsidRPr="00004072">
        <w:t xml:space="preserve"> transfers certain existing </w:t>
      </w:r>
      <w:r w:rsidR="00175E85">
        <w:t>M</w:t>
      </w:r>
      <w:r w:rsidRPr="00004072">
        <w:t xml:space="preserve">inisterial powers relating to the licensing and supervision of CS facilities and financial markets to ASIC and the RBA. </w:t>
      </w:r>
    </w:p>
    <w:p w14:paraId="5D571042" w14:textId="31C40C1A" w:rsidR="00E67DD8" w:rsidRPr="000E521B" w:rsidRDefault="005A0C00" w:rsidP="00AD1047">
      <w:pPr>
        <w:pStyle w:val="Normalparatextwithnumbers"/>
      </w:pPr>
      <w:r w:rsidRPr="00B110F1">
        <w:t xml:space="preserve">All legislative references </w:t>
      </w:r>
      <w:r>
        <w:t>in this chapter</w:t>
      </w:r>
      <w:r w:rsidRPr="00B110F1">
        <w:t xml:space="preserve"> are to the Corporations Act </w:t>
      </w:r>
      <w:r>
        <w:t>unless otherwise stated.</w:t>
      </w:r>
    </w:p>
    <w:p w14:paraId="2FF75C18" w14:textId="77777777" w:rsidR="00F00380" w:rsidRPr="00020288" w:rsidRDefault="00F00380">
      <w:pPr>
        <w:pStyle w:val="Heading2"/>
        <w:rPr>
          <w:rFonts w:hint="eastAsia"/>
        </w:rPr>
      </w:pPr>
      <w:bookmarkStart w:id="102" w:name="_Toc152860464"/>
      <w:r w:rsidRPr="00020288">
        <w:lastRenderedPageBreak/>
        <w:t xml:space="preserve">Context of </w:t>
      </w:r>
      <w:r w:rsidRPr="005D0844">
        <w:t>amendments</w:t>
      </w:r>
      <w:bookmarkEnd w:id="102"/>
    </w:p>
    <w:p w14:paraId="520A18E1" w14:textId="2A54B848" w:rsidR="003B0E05" w:rsidRPr="00675CC1" w:rsidRDefault="003B0E05" w:rsidP="00F10A7D">
      <w:pPr>
        <w:pStyle w:val="Normalparatextwithnumbers"/>
      </w:pPr>
      <w:r w:rsidRPr="00675CC1">
        <w:t xml:space="preserve">The 2020 advice to Government concluded that regulators </w:t>
      </w:r>
      <w:r w:rsidR="00B800E6">
        <w:t>required additional</w:t>
      </w:r>
      <w:r w:rsidRPr="00675CC1">
        <w:t xml:space="preserve"> supervisory </w:t>
      </w:r>
      <w:r w:rsidR="00733BE5">
        <w:t>and</w:t>
      </w:r>
      <w:r w:rsidRPr="00675CC1">
        <w:t xml:space="preserve"> enforcement powers to most effectively monitor </w:t>
      </w:r>
      <w:r w:rsidR="00244200">
        <w:t>and</w:t>
      </w:r>
      <w:r w:rsidRPr="00675CC1">
        <w:t xml:space="preserve"> manage the risks </w:t>
      </w:r>
      <w:r w:rsidR="00244200">
        <w:t xml:space="preserve">associated </w:t>
      </w:r>
      <w:r w:rsidR="0040715A">
        <w:t>with</w:t>
      </w:r>
      <w:r w:rsidRPr="00675CC1">
        <w:t xml:space="preserve"> FMI entities </w:t>
      </w:r>
      <w:r w:rsidR="0014371F">
        <w:t>and promote the reliability and integrity of the markets that they support</w:t>
      </w:r>
      <w:r w:rsidRPr="00675CC1">
        <w:t>.</w:t>
      </w:r>
    </w:p>
    <w:p w14:paraId="6869406F" w14:textId="0F2E7DF2" w:rsidR="003B0E05" w:rsidRPr="00675CC1" w:rsidRDefault="003B0E05" w:rsidP="00F10A7D">
      <w:pPr>
        <w:pStyle w:val="Normalparatextwithnumbers"/>
      </w:pPr>
      <w:r w:rsidRPr="00675CC1">
        <w:t xml:space="preserve">The 2020 advice to Government found that, currently, the Minister has </w:t>
      </w:r>
      <w:r w:rsidR="00115177">
        <w:t xml:space="preserve">operational </w:t>
      </w:r>
      <w:r w:rsidRPr="00675CC1">
        <w:t xml:space="preserve">powers that more appropriately sit with the </w:t>
      </w:r>
      <w:r w:rsidR="002513BD">
        <w:t>r</w:t>
      </w:r>
      <w:r w:rsidRPr="00675CC1">
        <w:t xml:space="preserve">egulators, while ASIC has powers that more appropriately sit with the RBA. Formally redistributing these powers will better distinguish the </w:t>
      </w:r>
      <w:r w:rsidR="009E6607">
        <w:t>r</w:t>
      </w:r>
      <w:r w:rsidRPr="00675CC1">
        <w:t xml:space="preserve">egulators’ responsibilities from the strategic role of Government and align the </w:t>
      </w:r>
      <w:r w:rsidR="00C826FA">
        <w:t>r</w:t>
      </w:r>
      <w:r w:rsidRPr="00675CC1">
        <w:t>egulators’ powers with their respective mandates.</w:t>
      </w:r>
    </w:p>
    <w:p w14:paraId="28D9D438" w14:textId="05A273F3" w:rsidR="003B0E05" w:rsidRPr="00675CC1" w:rsidRDefault="003B0E05" w:rsidP="00F10A7D">
      <w:pPr>
        <w:pStyle w:val="Normalparatextwithnumbers"/>
      </w:pPr>
      <w:r w:rsidRPr="00675CC1">
        <w:t xml:space="preserve">The amendments in Schedule </w:t>
      </w:r>
      <w:r w:rsidR="0088046D">
        <w:t>2</w:t>
      </w:r>
      <w:r w:rsidRPr="00675CC1">
        <w:t xml:space="preserve"> strengthen the </w:t>
      </w:r>
      <w:r w:rsidR="00196E74">
        <w:t>r</w:t>
      </w:r>
      <w:r w:rsidRPr="00675CC1">
        <w:t xml:space="preserve">egulators’ supervisory powers and broaden the range of enforcement tools they have available. This will give the </w:t>
      </w:r>
      <w:r w:rsidR="00196E74">
        <w:t>r</w:t>
      </w:r>
      <w:r w:rsidRPr="00675CC1">
        <w:t xml:space="preserve">egulators significantly more capacity to monitor the ongoing conduct of FMI entities, identify risks as they emerge, and take appropriate action to prevent those risks </w:t>
      </w:r>
      <w:r w:rsidR="008B7FE5">
        <w:t xml:space="preserve">from </w:t>
      </w:r>
      <w:r w:rsidRPr="00675CC1">
        <w:t>escalating.</w:t>
      </w:r>
    </w:p>
    <w:p w14:paraId="47AF1F6A" w14:textId="6F28CFB8" w:rsidR="003B0E05" w:rsidRPr="00675CC1" w:rsidRDefault="003B0E05" w:rsidP="00F10A7D">
      <w:pPr>
        <w:pStyle w:val="Normalparatextwithnumbers"/>
      </w:pPr>
      <w:r w:rsidRPr="00675CC1">
        <w:t xml:space="preserve">The amendments in Schedule </w:t>
      </w:r>
      <w:r w:rsidR="0088046D">
        <w:t>3</w:t>
      </w:r>
      <w:r w:rsidRPr="00675CC1">
        <w:t xml:space="preserve"> redistribute various </w:t>
      </w:r>
      <w:r w:rsidR="00175E85">
        <w:t>M</w:t>
      </w:r>
      <w:r w:rsidRPr="00675CC1">
        <w:t xml:space="preserve">inisterial powers that are currently delegated by the Minister to ASIC under the </w:t>
      </w:r>
      <w:r w:rsidRPr="00675CC1">
        <w:rPr>
          <w:i/>
          <w:iCs/>
        </w:rPr>
        <w:t>Ministerial Powers (ASIC) Delegations 2021</w:t>
      </w:r>
      <w:r w:rsidRPr="00675CC1">
        <w:t xml:space="preserve"> in the primary law. CS facilities are co-regulated by </w:t>
      </w:r>
      <w:r w:rsidR="00D05EA4">
        <w:t xml:space="preserve">ASIC and </w:t>
      </w:r>
      <w:r w:rsidRPr="00675CC1">
        <w:t xml:space="preserve">the RBA, and so the RBA </w:t>
      </w:r>
      <w:r w:rsidR="00214994">
        <w:t>has</w:t>
      </w:r>
      <w:r w:rsidRPr="00675CC1">
        <w:t xml:space="preserve"> also received powers in relation to </w:t>
      </w:r>
      <w:r w:rsidR="00051C70">
        <w:t xml:space="preserve">CS facility </w:t>
      </w:r>
      <w:r w:rsidR="007D1AB6">
        <w:t>licensees</w:t>
      </w:r>
      <w:r w:rsidRPr="00675CC1">
        <w:t>.</w:t>
      </w:r>
    </w:p>
    <w:p w14:paraId="245512C1" w14:textId="55620437" w:rsidR="00C101FD" w:rsidRPr="00020288" w:rsidRDefault="00EB511F" w:rsidP="00F10A7D">
      <w:pPr>
        <w:pStyle w:val="Normalparatextwithnumbers"/>
      </w:pPr>
      <w:r w:rsidRPr="007576EE">
        <w:t xml:space="preserve">The amendments introduced in this Bill ensure that the </w:t>
      </w:r>
      <w:r w:rsidR="002C0829">
        <w:t>distribution</w:t>
      </w:r>
      <w:r w:rsidR="002C0829" w:rsidRPr="007576EE">
        <w:t xml:space="preserve"> </w:t>
      </w:r>
      <w:r w:rsidRPr="007576EE">
        <w:t xml:space="preserve">of responsibilities is consistent with comparable regimes and international best practice. </w:t>
      </w:r>
      <w:r w:rsidR="00C101FD">
        <w:t xml:space="preserve"> </w:t>
      </w:r>
    </w:p>
    <w:p w14:paraId="4E348A32" w14:textId="77777777" w:rsidR="00F00380" w:rsidRPr="00020288" w:rsidRDefault="00F00380">
      <w:pPr>
        <w:pStyle w:val="Heading2"/>
        <w:rPr>
          <w:rFonts w:hint="eastAsia"/>
        </w:rPr>
      </w:pPr>
      <w:bookmarkStart w:id="103" w:name="_Toc152860465"/>
      <w:r w:rsidRPr="00020288">
        <w:t xml:space="preserve">Summary of </w:t>
      </w:r>
      <w:r w:rsidRPr="005D0844">
        <w:t>new</w:t>
      </w:r>
      <w:r w:rsidRPr="00020288">
        <w:t xml:space="preserve"> law</w:t>
      </w:r>
      <w:bookmarkEnd w:id="103"/>
    </w:p>
    <w:p w14:paraId="361942D0" w14:textId="0D90C28A" w:rsidR="00DF3756" w:rsidRPr="0060252B" w:rsidRDefault="00DF3756" w:rsidP="00F10A7D">
      <w:pPr>
        <w:pStyle w:val="Normalparatextwithnumbers"/>
      </w:pPr>
      <w:r w:rsidRPr="0060252B">
        <w:t xml:space="preserve">Schedules </w:t>
      </w:r>
      <w:r w:rsidR="0088046D">
        <w:t>2</w:t>
      </w:r>
      <w:r w:rsidRPr="0060252B">
        <w:t xml:space="preserve"> and </w:t>
      </w:r>
      <w:r w:rsidR="0088046D">
        <w:t>3</w:t>
      </w:r>
      <w:r w:rsidRPr="0060252B">
        <w:t xml:space="preserve"> to the Bill provide for the streamlining and enhancement of supervisory and licensing </w:t>
      </w:r>
      <w:r w:rsidRPr="0060252B">
        <w:rPr>
          <w:rFonts w:cs="Times New Roman"/>
        </w:rPr>
        <w:t xml:space="preserve">powers to </w:t>
      </w:r>
      <w:r w:rsidR="00EA78B3">
        <w:rPr>
          <w:rFonts w:cs="Times New Roman"/>
        </w:rPr>
        <w:t>promote financial stability and f</w:t>
      </w:r>
      <w:r w:rsidR="00093BA3">
        <w:rPr>
          <w:rFonts w:cs="Times New Roman"/>
        </w:rPr>
        <w:t>inancial markets that are stable, fair, orderly and transparent</w:t>
      </w:r>
      <w:r w:rsidRPr="0060252B">
        <w:rPr>
          <w:rFonts w:cs="Times New Roman"/>
        </w:rPr>
        <w:t xml:space="preserve">. </w:t>
      </w:r>
    </w:p>
    <w:p w14:paraId="0224F5F7" w14:textId="0583CFEC" w:rsidR="00CE0C6D" w:rsidRDefault="00CE0C6D" w:rsidP="00F10A7D">
      <w:pPr>
        <w:pStyle w:val="Normalparatextwithnumbers"/>
      </w:pPr>
      <w:r>
        <w:t>The amendments</w:t>
      </w:r>
      <w:r w:rsidR="00C569F6">
        <w:t xml:space="preserve"> in Schedule </w:t>
      </w:r>
      <w:r w:rsidR="00406DCC">
        <w:t>2</w:t>
      </w:r>
      <w:r>
        <w:t xml:space="preserve">: </w:t>
      </w:r>
    </w:p>
    <w:p w14:paraId="5EFCB462" w14:textId="06C7C787" w:rsidR="00CE0C6D" w:rsidRDefault="008C670F" w:rsidP="00CE0C6D">
      <w:pPr>
        <w:pStyle w:val="Dotpoint1"/>
        <w:ind w:left="1418" w:hanging="709"/>
      </w:pPr>
      <w:r>
        <w:t xml:space="preserve">Introduce a requirement for domestic CS facility licensees to be registered under Chapter 2A of the </w:t>
      </w:r>
      <w:proofErr w:type="gramStart"/>
      <w:r>
        <w:t>Act</w:t>
      </w:r>
      <w:r w:rsidR="009406F1">
        <w:t>;</w:t>
      </w:r>
      <w:proofErr w:type="gramEnd"/>
      <w:r>
        <w:t xml:space="preserve"> </w:t>
      </w:r>
      <w:r w:rsidR="00CE0C6D">
        <w:t xml:space="preserve"> </w:t>
      </w:r>
    </w:p>
    <w:p w14:paraId="1FA10187" w14:textId="23CF8DE1" w:rsidR="00DF3756" w:rsidRPr="0060252B" w:rsidRDefault="00DF3756" w:rsidP="0012640E">
      <w:pPr>
        <w:pStyle w:val="Dotpoint1"/>
        <w:ind w:left="1418" w:hanging="709"/>
      </w:pPr>
      <w:r w:rsidRPr="0060252B">
        <w:t xml:space="preserve">ensure Ministerial approval is required </w:t>
      </w:r>
      <w:r w:rsidR="00A56463">
        <w:t>for changes in control</w:t>
      </w:r>
      <w:r w:rsidRPr="0060252B">
        <w:t xml:space="preserve"> in all widely held market bodies</w:t>
      </w:r>
      <w:r w:rsidR="003407E7">
        <w:t xml:space="preserve">, with such bodies being </w:t>
      </w:r>
      <w:r w:rsidR="00A6224C">
        <w:t>declared by ASI</w:t>
      </w:r>
      <w:r w:rsidR="00D92F83">
        <w:t>C</w:t>
      </w:r>
      <w:r w:rsidRPr="0060252B">
        <w:t>; and</w:t>
      </w:r>
    </w:p>
    <w:p w14:paraId="7EC44E10" w14:textId="3CF40CA6" w:rsidR="00DF3756" w:rsidRPr="0060252B" w:rsidRDefault="00DF3756" w:rsidP="0012640E">
      <w:pPr>
        <w:pStyle w:val="Dotpoint1"/>
        <w:ind w:left="1418" w:hanging="709"/>
      </w:pPr>
      <w:r w:rsidRPr="0060252B">
        <w:lastRenderedPageBreak/>
        <w:t>implement a fit</w:t>
      </w:r>
      <w:r w:rsidR="001357C5">
        <w:t>,</w:t>
      </w:r>
      <w:r w:rsidRPr="0060252B">
        <w:t xml:space="preserve"> proper </w:t>
      </w:r>
      <w:r w:rsidR="001357C5">
        <w:t>and competent</w:t>
      </w:r>
      <w:r w:rsidRPr="0060252B">
        <w:t xml:space="preserve"> standard for </w:t>
      </w:r>
      <w:r w:rsidR="00025051">
        <w:t xml:space="preserve">individuals </w:t>
      </w:r>
      <w:r w:rsidR="00184A94">
        <w:t xml:space="preserve">performing </w:t>
      </w:r>
      <w:r w:rsidR="0001135D">
        <w:t>certain role</w:t>
      </w:r>
      <w:r w:rsidR="00EA326C">
        <w:t>s or carrying out certain functions</w:t>
      </w:r>
      <w:r w:rsidR="0001135D">
        <w:t xml:space="preserve"> </w:t>
      </w:r>
      <w:r w:rsidRPr="0060252B">
        <w:t>in licensed entities.</w:t>
      </w:r>
    </w:p>
    <w:p w14:paraId="4BF3BA97" w14:textId="799620EE" w:rsidR="00CE0C6D" w:rsidRDefault="00CE0C6D" w:rsidP="00F10A7D">
      <w:pPr>
        <w:pStyle w:val="Normalparatextwithnumbers"/>
      </w:pPr>
      <w:r>
        <w:t xml:space="preserve">ASIC is provided with new powers </w:t>
      </w:r>
      <w:r w:rsidR="0090537F">
        <w:t>to</w:t>
      </w:r>
      <w:r>
        <w:t xml:space="preserve">: </w:t>
      </w:r>
    </w:p>
    <w:p w14:paraId="604A1995" w14:textId="43A006D7" w:rsidR="00DF3756" w:rsidRPr="0060252B" w:rsidRDefault="00DF3756" w:rsidP="0012640E">
      <w:pPr>
        <w:pStyle w:val="Dotpoint1"/>
        <w:ind w:left="1418" w:hanging="709"/>
      </w:pPr>
      <w:r w:rsidRPr="0060252B">
        <w:t>determin</w:t>
      </w:r>
      <w:r w:rsidR="00A23F0D">
        <w:t>e</w:t>
      </w:r>
      <w:r w:rsidRPr="0060252B">
        <w:t xml:space="preserve"> </w:t>
      </w:r>
      <w:r w:rsidR="005D7260">
        <w:t>that</w:t>
      </w:r>
      <w:r w:rsidR="005D7260" w:rsidRPr="0060252B">
        <w:t xml:space="preserve"> </w:t>
      </w:r>
      <w:r w:rsidRPr="0060252B">
        <w:t xml:space="preserve">a particular </w:t>
      </w:r>
      <w:r w:rsidR="00FE74FD">
        <w:t>overseas</w:t>
      </w:r>
      <w:r w:rsidRPr="0060252B">
        <w:t xml:space="preserve"> financial market or </w:t>
      </w:r>
      <w:r w:rsidR="00FE3306">
        <w:t>CS</w:t>
      </w:r>
      <w:r w:rsidRPr="0060252B">
        <w:t xml:space="preserve"> facility has a material connection with Australia in order to </w:t>
      </w:r>
      <w:r w:rsidR="00F54189">
        <w:t xml:space="preserve">provide certainty for all stakeholders about the scope of the Australian licensing </w:t>
      </w:r>
      <w:proofErr w:type="gramStart"/>
      <w:r w:rsidR="00F54189">
        <w:t>regime</w:t>
      </w:r>
      <w:r w:rsidRPr="0060252B">
        <w:t>;</w:t>
      </w:r>
      <w:proofErr w:type="gramEnd"/>
    </w:p>
    <w:p w14:paraId="647FD2F9" w14:textId="5D1924C1" w:rsidR="00DB1F57" w:rsidRDefault="00DB1F57" w:rsidP="0012640E">
      <w:pPr>
        <w:pStyle w:val="Dotpoint1"/>
        <w:ind w:left="1418" w:hanging="709"/>
      </w:pPr>
      <w:r>
        <w:t xml:space="preserve">request </w:t>
      </w:r>
      <w:r w:rsidR="00263841">
        <w:t xml:space="preserve">information about a </w:t>
      </w:r>
      <w:r w:rsidR="009F014B">
        <w:t xml:space="preserve">financial market or </w:t>
      </w:r>
      <w:r w:rsidR="006F0D16">
        <w:t>CS</w:t>
      </w:r>
      <w:r w:rsidR="00263841">
        <w:t xml:space="preserve"> facility operated</w:t>
      </w:r>
      <w:r w:rsidR="00435219">
        <w:t xml:space="preserve"> by</w:t>
      </w:r>
      <w:r w:rsidR="00263841">
        <w:t xml:space="preserve"> a body corporate</w:t>
      </w:r>
      <w:r w:rsidR="00501DEB">
        <w:t xml:space="preserve"> </w:t>
      </w:r>
      <w:r w:rsidR="00ED0345">
        <w:t xml:space="preserve">related to </w:t>
      </w:r>
      <w:r w:rsidR="009F3AD8">
        <w:t xml:space="preserve">considering </w:t>
      </w:r>
      <w:r w:rsidR="00857360">
        <w:t xml:space="preserve">if </w:t>
      </w:r>
      <w:r w:rsidR="003045B6">
        <w:t xml:space="preserve">a connection with </w:t>
      </w:r>
      <w:r w:rsidR="00D338DC">
        <w:t>Australia</w:t>
      </w:r>
      <w:r w:rsidR="003045B6">
        <w:t xml:space="preserve"> is </w:t>
      </w:r>
      <w:proofErr w:type="gramStart"/>
      <w:r w:rsidR="003045B6">
        <w:t>material</w:t>
      </w:r>
      <w:r w:rsidR="006F0D16">
        <w:t>;</w:t>
      </w:r>
      <w:proofErr w:type="gramEnd"/>
    </w:p>
    <w:p w14:paraId="219097B3" w14:textId="7CA859F8" w:rsidR="00A12B9C" w:rsidRPr="0060252B" w:rsidRDefault="00C037E6" w:rsidP="0012640E">
      <w:pPr>
        <w:pStyle w:val="Dotpoint1"/>
        <w:ind w:left="1418" w:hanging="709"/>
      </w:pPr>
      <w:r>
        <w:t xml:space="preserve">take licensing action in a broader set of circumstances to safeguard the integrity of the licensing </w:t>
      </w:r>
      <w:proofErr w:type="gramStart"/>
      <w:r>
        <w:t>regime</w:t>
      </w:r>
      <w:r w:rsidR="003D5FC0">
        <w:t>;</w:t>
      </w:r>
      <w:proofErr w:type="gramEnd"/>
    </w:p>
    <w:p w14:paraId="257513D4" w14:textId="08CE3B5E" w:rsidR="00DF3756" w:rsidRPr="0060252B" w:rsidRDefault="00DF3756" w:rsidP="0012640E">
      <w:pPr>
        <w:pStyle w:val="Dotpoint1"/>
        <w:ind w:left="1418" w:hanging="709"/>
      </w:pPr>
      <w:r w:rsidRPr="0060252B">
        <w:t>declar</w:t>
      </w:r>
      <w:r w:rsidR="001C2183">
        <w:t>e</w:t>
      </w:r>
      <w:r w:rsidRPr="0060252B">
        <w:t xml:space="preserve"> a financial market to be a declared financial market or </w:t>
      </w:r>
      <w:r w:rsidR="00FD1273">
        <w:t xml:space="preserve">a body to be a </w:t>
      </w:r>
      <w:r w:rsidRPr="0060252B">
        <w:t xml:space="preserve">widely held market </w:t>
      </w:r>
      <w:proofErr w:type="gramStart"/>
      <w:r w:rsidRPr="0060252B">
        <w:t>body;</w:t>
      </w:r>
      <w:proofErr w:type="gramEnd"/>
    </w:p>
    <w:p w14:paraId="0B38DE61" w14:textId="394A689D" w:rsidR="00987C24" w:rsidRPr="0060252B" w:rsidRDefault="00987C24" w:rsidP="0012640E">
      <w:pPr>
        <w:pStyle w:val="Dotpoint1"/>
        <w:ind w:left="1418" w:hanging="709"/>
      </w:pPr>
      <w:r>
        <w:t>requir</w:t>
      </w:r>
      <w:r w:rsidR="001C2183">
        <w:t>e</w:t>
      </w:r>
      <w:r>
        <w:t xml:space="preserve"> an expert report</w:t>
      </w:r>
      <w:r w:rsidR="004E0C12">
        <w:t xml:space="preserve"> in relation to </w:t>
      </w:r>
      <w:r w:rsidR="00CE34DD">
        <w:t xml:space="preserve">licensed </w:t>
      </w:r>
      <w:proofErr w:type="gramStart"/>
      <w:r w:rsidR="00CE34DD">
        <w:t>entities</w:t>
      </w:r>
      <w:r w:rsidR="008249F1">
        <w:t>;</w:t>
      </w:r>
      <w:proofErr w:type="gramEnd"/>
    </w:p>
    <w:p w14:paraId="576236ED" w14:textId="356D78CA" w:rsidR="00245819" w:rsidRDefault="00753F09" w:rsidP="00CF077E">
      <w:pPr>
        <w:pStyle w:val="Dotpoint1"/>
        <w:ind w:left="1418" w:hanging="709"/>
      </w:pPr>
      <w:r>
        <w:t>mak</w:t>
      </w:r>
      <w:r w:rsidR="001C2183">
        <w:t>e</w:t>
      </w:r>
      <w:r>
        <w:t xml:space="preserve"> FMI banning orders against </w:t>
      </w:r>
      <w:r w:rsidR="005617E9">
        <w:t>certain individuals</w:t>
      </w:r>
      <w:r w:rsidR="00245819">
        <w:t xml:space="preserve"> who do not meet the fit</w:t>
      </w:r>
      <w:r w:rsidR="005A348A">
        <w:t>,</w:t>
      </w:r>
      <w:r w:rsidR="00245819">
        <w:t xml:space="preserve"> proper </w:t>
      </w:r>
      <w:r w:rsidR="005A348A">
        <w:t xml:space="preserve">and competent </w:t>
      </w:r>
      <w:proofErr w:type="gramStart"/>
      <w:r w:rsidR="00245819">
        <w:t>standard;</w:t>
      </w:r>
      <w:proofErr w:type="gramEnd"/>
    </w:p>
    <w:p w14:paraId="17866DF5" w14:textId="43BF9D12" w:rsidR="00DF3756" w:rsidRPr="0060252B" w:rsidRDefault="00DF3756" w:rsidP="0012640E">
      <w:pPr>
        <w:pStyle w:val="Dotpoint1"/>
        <w:ind w:left="1418" w:hanging="709"/>
      </w:pPr>
      <w:r w:rsidRPr="0060252B">
        <w:t>approv</w:t>
      </w:r>
      <w:r w:rsidR="001C2183">
        <w:t>e</w:t>
      </w:r>
      <w:r w:rsidRPr="0060252B">
        <w:t xml:space="preserve"> proposals to acquire more than 15% of the voting rights in a domestically incorporated licensee (other than a widely held market body);</w:t>
      </w:r>
      <w:r w:rsidR="00670AEA">
        <w:t xml:space="preserve"> and</w:t>
      </w:r>
    </w:p>
    <w:p w14:paraId="4E498C87" w14:textId="268178EB" w:rsidR="00CF077E" w:rsidRDefault="00101E9D" w:rsidP="000716FA">
      <w:pPr>
        <w:pStyle w:val="Dotpoint1"/>
        <w:ind w:left="1418" w:hanging="709"/>
      </w:pPr>
      <w:r>
        <w:t>mak</w:t>
      </w:r>
      <w:r w:rsidR="001C2183">
        <w:t>e</w:t>
      </w:r>
      <w:r w:rsidRPr="0060252B">
        <w:t xml:space="preserve"> </w:t>
      </w:r>
      <w:r w:rsidR="00DF3756" w:rsidRPr="0060252B">
        <w:t xml:space="preserve">rules </w:t>
      </w:r>
      <w:r w:rsidR="00B01BAF">
        <w:t xml:space="preserve">(including emergency rules) </w:t>
      </w:r>
      <w:r w:rsidR="00DF3756" w:rsidRPr="0060252B">
        <w:t xml:space="preserve">in respect of </w:t>
      </w:r>
      <w:r>
        <w:t xml:space="preserve">operators of licensed </w:t>
      </w:r>
      <w:r w:rsidR="00DF3756" w:rsidRPr="0060252B">
        <w:t>CS facilities</w:t>
      </w:r>
      <w:r w:rsidR="00395779">
        <w:t xml:space="preserve"> and participants </w:t>
      </w:r>
      <w:r>
        <w:t>in licensed</w:t>
      </w:r>
      <w:r w:rsidR="00395779">
        <w:t xml:space="preserve"> CS facilities</w:t>
      </w:r>
      <w:r w:rsidR="00880DF3">
        <w:t>.</w:t>
      </w:r>
    </w:p>
    <w:p w14:paraId="70E1F52E" w14:textId="12115E69" w:rsidR="00C44F6E" w:rsidRDefault="0087188F" w:rsidP="00B14525">
      <w:pPr>
        <w:pStyle w:val="Normalparatextwithnumbers"/>
      </w:pPr>
      <w:r>
        <w:t>In addition</w:t>
      </w:r>
      <w:r w:rsidR="004451A9">
        <w:t>,</w:t>
      </w:r>
      <w:r w:rsidR="00843D74">
        <w:t xml:space="preserve"> </w:t>
      </w:r>
      <w:r>
        <w:t>the amendments</w:t>
      </w:r>
      <w:r w:rsidR="00C569F6">
        <w:t xml:space="preserve"> in Schedule </w:t>
      </w:r>
      <w:r w:rsidR="004F0B11">
        <w:t>2</w:t>
      </w:r>
      <w:r w:rsidR="00406DCC">
        <w:t xml:space="preserve"> </w:t>
      </w:r>
      <w:r>
        <w:t xml:space="preserve">streamline </w:t>
      </w:r>
      <w:r w:rsidR="00843D74">
        <w:t>some of ASIC’s existing directions powers and</w:t>
      </w:r>
      <w:r w:rsidR="00E750DE">
        <w:t xml:space="preserve"> </w:t>
      </w:r>
      <w:r w:rsidR="00B14525">
        <w:t>remove</w:t>
      </w:r>
      <w:r w:rsidR="00D224C5">
        <w:t xml:space="preserve"> the </w:t>
      </w:r>
      <w:r w:rsidR="005573D4">
        <w:t xml:space="preserve">limit on the period during which certain directions issued by ASIC </w:t>
      </w:r>
      <w:r w:rsidR="006B5D38">
        <w:t xml:space="preserve">are </w:t>
      </w:r>
      <w:r w:rsidR="005573D4">
        <w:t>effective</w:t>
      </w:r>
      <w:r w:rsidR="00B14525">
        <w:t>.</w:t>
      </w:r>
    </w:p>
    <w:p w14:paraId="73C14EEA" w14:textId="2E0AFC73" w:rsidR="00787542" w:rsidRDefault="00CE0C6D" w:rsidP="00AD1047">
      <w:pPr>
        <w:pStyle w:val="Normalparatextwithnumbers"/>
      </w:pPr>
      <w:r>
        <w:t xml:space="preserve">The amendments </w:t>
      </w:r>
      <w:r w:rsidR="00C569F6">
        <w:t xml:space="preserve">in Schedule </w:t>
      </w:r>
      <w:r w:rsidR="004F0B11">
        <w:t>3</w:t>
      </w:r>
      <w:r w:rsidR="00753B02">
        <w:t xml:space="preserve"> </w:t>
      </w:r>
      <w:r>
        <w:t>transfer certain supervisory and licensing powers</w:t>
      </w:r>
      <w:r w:rsidR="00EF53B6">
        <w:t xml:space="preserve"> that </w:t>
      </w:r>
      <w:r w:rsidR="00285624">
        <w:t>previously sat</w:t>
      </w:r>
      <w:r w:rsidR="00EF53B6">
        <w:t xml:space="preserve"> with the Minister</w:t>
      </w:r>
      <w:r>
        <w:t xml:space="preserve"> </w:t>
      </w:r>
      <w:r w:rsidR="00D4481C">
        <w:t xml:space="preserve">(and are delegated to ASIC under the </w:t>
      </w:r>
      <w:r w:rsidR="00D4481C" w:rsidRPr="31E6CC8C">
        <w:rPr>
          <w:i/>
          <w:iCs/>
        </w:rPr>
        <w:t>Ministerial Powers (ASIC) Delegations 2021</w:t>
      </w:r>
      <w:r w:rsidR="00D4481C">
        <w:t>)</w:t>
      </w:r>
      <w:r>
        <w:t xml:space="preserve"> to </w:t>
      </w:r>
      <w:r w:rsidR="00EF53B6">
        <w:t>ASIC, and in some circumstances, the RBA</w:t>
      </w:r>
      <w:r>
        <w:t>.</w:t>
      </w:r>
      <w:r w:rsidR="00037420">
        <w:t xml:space="preserve"> </w:t>
      </w:r>
      <w:r w:rsidR="005D43BD">
        <w:t xml:space="preserve">These </w:t>
      </w:r>
      <w:r w:rsidR="0096540F">
        <w:t xml:space="preserve">powers </w:t>
      </w:r>
      <w:r w:rsidR="005D43BD">
        <w:t xml:space="preserve">are outlined in the table below. </w:t>
      </w:r>
    </w:p>
    <w:p w14:paraId="350B25D2" w14:textId="77777777" w:rsidR="00D55494" w:rsidRDefault="00D55494" w:rsidP="00D55494">
      <w:pPr>
        <w:pStyle w:val="TableHeading"/>
      </w:pPr>
      <w:r>
        <w:t>Transfer of the Minister’s powers under Chapter 7</w:t>
      </w:r>
    </w:p>
    <w:tbl>
      <w:tblPr>
        <w:tblStyle w:val="TableGrid"/>
        <w:tblW w:w="4994" w:type="pct"/>
        <w:tblLook w:val="04A0" w:firstRow="1" w:lastRow="0" w:firstColumn="1" w:lastColumn="0" w:noHBand="0" w:noVBand="1"/>
      </w:tblPr>
      <w:tblGrid>
        <w:gridCol w:w="2564"/>
        <w:gridCol w:w="2565"/>
        <w:gridCol w:w="2563"/>
      </w:tblGrid>
      <w:tr w:rsidR="00D55494" w14:paraId="581CF61A" w14:textId="77777777" w:rsidTr="000B0B95">
        <w:tc>
          <w:tcPr>
            <w:tcW w:w="1667" w:type="pct"/>
          </w:tcPr>
          <w:p w14:paraId="07B6CA1A" w14:textId="77777777" w:rsidR="00D55494" w:rsidRPr="00733101" w:rsidRDefault="00D55494" w:rsidP="000B0B95">
            <w:pPr>
              <w:pStyle w:val="Tableheaderrowtext"/>
              <w:numPr>
                <w:ilvl w:val="3"/>
                <w:numId w:val="2"/>
              </w:numPr>
            </w:pPr>
            <w:r w:rsidRPr="00733101">
              <w:rPr>
                <w:szCs w:val="22"/>
                <w:lang w:eastAsia="en-US"/>
              </w:rPr>
              <w:t>Provisions of the Corporations Act 2001</w:t>
            </w:r>
          </w:p>
        </w:tc>
        <w:tc>
          <w:tcPr>
            <w:tcW w:w="1667" w:type="pct"/>
          </w:tcPr>
          <w:p w14:paraId="0A73EEA3" w14:textId="77777777" w:rsidR="00D55494" w:rsidRPr="00733101" w:rsidRDefault="00D55494" w:rsidP="000B0B95">
            <w:pPr>
              <w:pStyle w:val="Tableheaderrowtext"/>
              <w:numPr>
                <w:ilvl w:val="3"/>
                <w:numId w:val="2"/>
              </w:numPr>
            </w:pPr>
            <w:r w:rsidRPr="00733101">
              <w:t>Description of the function or power</w:t>
            </w:r>
          </w:p>
        </w:tc>
        <w:tc>
          <w:tcPr>
            <w:tcW w:w="1666" w:type="pct"/>
          </w:tcPr>
          <w:p w14:paraId="1C96969E" w14:textId="77777777" w:rsidR="00D55494" w:rsidRPr="00733101" w:rsidRDefault="00D55494" w:rsidP="000B0B95">
            <w:pPr>
              <w:pStyle w:val="Tableheaderrowtext"/>
              <w:numPr>
                <w:ilvl w:val="3"/>
                <w:numId w:val="2"/>
              </w:numPr>
            </w:pPr>
            <w:r>
              <w:rPr>
                <w:szCs w:val="22"/>
                <w:lang w:eastAsia="en-US"/>
              </w:rPr>
              <w:t>Minister’s power is transferred to the following regulator(s)</w:t>
            </w:r>
          </w:p>
        </w:tc>
      </w:tr>
      <w:tr w:rsidR="00D55494" w14:paraId="076F24DC" w14:textId="77777777" w:rsidTr="000B0B95">
        <w:tc>
          <w:tcPr>
            <w:tcW w:w="5000" w:type="pct"/>
            <w:gridSpan w:val="3"/>
          </w:tcPr>
          <w:p w14:paraId="6A1A20F4" w14:textId="77777777" w:rsidR="00D55494" w:rsidRDefault="00D55494" w:rsidP="000B0B95">
            <w:pPr>
              <w:pStyle w:val="Tabletext"/>
              <w:jc w:val="center"/>
            </w:pPr>
            <w:r w:rsidRPr="007B7E42">
              <w:rPr>
                <w:rFonts w:ascii="Helvetica" w:hAnsi="Helvetica" w:cs="Helvetica"/>
                <w:b/>
                <w:i/>
                <w:iCs/>
                <w:sz w:val="22"/>
                <w:szCs w:val="22"/>
                <w:lang w:eastAsia="en-US"/>
              </w:rPr>
              <w:t>Licensed markets</w:t>
            </w:r>
          </w:p>
        </w:tc>
      </w:tr>
      <w:tr w:rsidR="00D55494" w14:paraId="113B7C02" w14:textId="77777777" w:rsidTr="000B0B95">
        <w:tc>
          <w:tcPr>
            <w:tcW w:w="1667" w:type="pct"/>
          </w:tcPr>
          <w:p w14:paraId="4DE5B4D5" w14:textId="77777777" w:rsidR="00D55494" w:rsidRDefault="00D55494" w:rsidP="000B0B95">
            <w:pPr>
              <w:pStyle w:val="Tabletext"/>
            </w:pPr>
            <w:r w:rsidRPr="00DB616D">
              <w:t>section 791C</w:t>
            </w:r>
          </w:p>
        </w:tc>
        <w:tc>
          <w:tcPr>
            <w:tcW w:w="1667" w:type="pct"/>
          </w:tcPr>
          <w:p w14:paraId="00572FF7" w14:textId="77777777" w:rsidR="00D55494" w:rsidRDefault="00D55494" w:rsidP="000B0B95">
            <w:pPr>
              <w:pStyle w:val="Tabletext"/>
            </w:pPr>
            <w:r w:rsidRPr="00DB616D">
              <w:t xml:space="preserve">Issue/revoke/vary an exemption from all or </w:t>
            </w:r>
            <w:r w:rsidRPr="00DB616D">
              <w:lastRenderedPageBreak/>
              <w:t>specified provisions of Part 7.2 of the Corporations Act</w:t>
            </w:r>
          </w:p>
        </w:tc>
        <w:tc>
          <w:tcPr>
            <w:tcW w:w="1666" w:type="pct"/>
          </w:tcPr>
          <w:p w14:paraId="2BD7CF61" w14:textId="77777777" w:rsidR="00D55494" w:rsidRDefault="00D55494" w:rsidP="000B0B95">
            <w:pPr>
              <w:pStyle w:val="Tabletext"/>
            </w:pPr>
            <w:r>
              <w:lastRenderedPageBreak/>
              <w:t>ASIC</w:t>
            </w:r>
          </w:p>
        </w:tc>
      </w:tr>
      <w:tr w:rsidR="00D55494" w14:paraId="4E73438C" w14:textId="77777777" w:rsidTr="000B0B95">
        <w:tc>
          <w:tcPr>
            <w:tcW w:w="1667" w:type="pct"/>
          </w:tcPr>
          <w:p w14:paraId="32110A55" w14:textId="77777777" w:rsidR="00D55494" w:rsidRDefault="00D55494" w:rsidP="000B0B95">
            <w:pPr>
              <w:pStyle w:val="Tabletext"/>
            </w:pPr>
            <w:r>
              <w:t>section 792F</w:t>
            </w:r>
          </w:p>
        </w:tc>
        <w:tc>
          <w:tcPr>
            <w:tcW w:w="1667" w:type="pct"/>
          </w:tcPr>
          <w:p w14:paraId="52C61BCB" w14:textId="77777777" w:rsidR="00D55494" w:rsidRDefault="00D55494" w:rsidP="000B0B95">
            <w:pPr>
              <w:pStyle w:val="Tabletext"/>
            </w:pPr>
            <w:r w:rsidRPr="00CC4789">
              <w:t>Direct audit of annual report</w:t>
            </w:r>
          </w:p>
        </w:tc>
        <w:tc>
          <w:tcPr>
            <w:tcW w:w="1666" w:type="pct"/>
          </w:tcPr>
          <w:p w14:paraId="15252E70" w14:textId="77777777" w:rsidR="00D55494" w:rsidRDefault="00D55494" w:rsidP="000B0B95">
            <w:pPr>
              <w:pStyle w:val="Tabletext"/>
            </w:pPr>
            <w:r>
              <w:t>ASIC</w:t>
            </w:r>
          </w:p>
        </w:tc>
      </w:tr>
      <w:tr w:rsidR="00D55494" w14:paraId="51925698" w14:textId="77777777" w:rsidTr="000B0B95">
        <w:tc>
          <w:tcPr>
            <w:tcW w:w="1667" w:type="pct"/>
          </w:tcPr>
          <w:p w14:paraId="36F328ED" w14:textId="77777777" w:rsidR="00D55494" w:rsidRDefault="00D55494" w:rsidP="000B0B95">
            <w:pPr>
              <w:pStyle w:val="Tabletext"/>
            </w:pPr>
            <w:r>
              <w:rPr>
                <w:color w:val="000000"/>
              </w:rPr>
              <w:t>section 792H</w:t>
            </w:r>
          </w:p>
        </w:tc>
        <w:tc>
          <w:tcPr>
            <w:tcW w:w="1667" w:type="pct"/>
          </w:tcPr>
          <w:p w14:paraId="2975E87C" w14:textId="77777777" w:rsidR="00D55494" w:rsidRDefault="00D55494" w:rsidP="000B0B95">
            <w:pPr>
              <w:pStyle w:val="Tabletext"/>
            </w:pPr>
            <w:r>
              <w:rPr>
                <w:color w:val="000000"/>
              </w:rPr>
              <w:t>Approve change of country by foreign licensee</w:t>
            </w:r>
          </w:p>
        </w:tc>
        <w:tc>
          <w:tcPr>
            <w:tcW w:w="1666" w:type="pct"/>
          </w:tcPr>
          <w:p w14:paraId="2B64B577" w14:textId="77777777" w:rsidR="00D55494" w:rsidRDefault="00D55494" w:rsidP="000B0B95">
            <w:pPr>
              <w:pStyle w:val="Tabletext"/>
            </w:pPr>
            <w:r>
              <w:t>ASIC</w:t>
            </w:r>
          </w:p>
        </w:tc>
      </w:tr>
      <w:tr w:rsidR="00D55494" w14:paraId="119DE1CF" w14:textId="77777777" w:rsidTr="000B0B95">
        <w:tc>
          <w:tcPr>
            <w:tcW w:w="1667" w:type="pct"/>
          </w:tcPr>
          <w:p w14:paraId="7610E02E" w14:textId="77777777" w:rsidR="00D55494" w:rsidRDefault="00D55494" w:rsidP="000B0B95">
            <w:pPr>
              <w:pStyle w:val="Tabletext"/>
              <w:rPr>
                <w:color w:val="000000"/>
              </w:rPr>
            </w:pPr>
            <w:r>
              <w:rPr>
                <w:color w:val="000000"/>
              </w:rPr>
              <w:t>section 793E</w:t>
            </w:r>
          </w:p>
        </w:tc>
        <w:tc>
          <w:tcPr>
            <w:tcW w:w="1667" w:type="pct"/>
          </w:tcPr>
          <w:p w14:paraId="0075322F" w14:textId="77777777" w:rsidR="00D55494" w:rsidRDefault="00D55494" w:rsidP="000B0B95">
            <w:pPr>
              <w:pStyle w:val="Tabletext"/>
              <w:rPr>
                <w:color w:val="000000"/>
              </w:rPr>
            </w:pPr>
            <w:r>
              <w:rPr>
                <w:color w:val="000000"/>
              </w:rPr>
              <w:t>Disallow changes to operating rules</w:t>
            </w:r>
          </w:p>
        </w:tc>
        <w:tc>
          <w:tcPr>
            <w:tcW w:w="1666" w:type="pct"/>
          </w:tcPr>
          <w:p w14:paraId="2B12F716" w14:textId="77777777" w:rsidR="00D55494" w:rsidRDefault="00D55494" w:rsidP="000B0B95">
            <w:pPr>
              <w:pStyle w:val="Tabletext"/>
            </w:pPr>
            <w:r>
              <w:t>ASIC</w:t>
            </w:r>
          </w:p>
        </w:tc>
      </w:tr>
      <w:tr w:rsidR="00D55494" w14:paraId="153D0674" w14:textId="77777777" w:rsidTr="000B0B95">
        <w:tc>
          <w:tcPr>
            <w:tcW w:w="1667" w:type="pct"/>
          </w:tcPr>
          <w:p w14:paraId="70EC86DE" w14:textId="77777777" w:rsidR="00D55494" w:rsidRDefault="00D55494" w:rsidP="000B0B95">
            <w:pPr>
              <w:pStyle w:val="Tabletext"/>
              <w:rPr>
                <w:color w:val="000000"/>
              </w:rPr>
            </w:pPr>
            <w:r>
              <w:rPr>
                <w:color w:val="000000"/>
              </w:rPr>
              <w:t>section 794A</w:t>
            </w:r>
          </w:p>
        </w:tc>
        <w:tc>
          <w:tcPr>
            <w:tcW w:w="1667" w:type="pct"/>
          </w:tcPr>
          <w:p w14:paraId="3CFEF1D7" w14:textId="77777777" w:rsidR="00D55494" w:rsidRDefault="00D55494" w:rsidP="000B0B95">
            <w:pPr>
              <w:pStyle w:val="Tabletext"/>
              <w:rPr>
                <w:color w:val="000000"/>
              </w:rPr>
            </w:pPr>
            <w:r>
              <w:rPr>
                <w:color w:val="000000"/>
              </w:rPr>
              <w:t>Issue/vary/revoke directions</w:t>
            </w:r>
          </w:p>
        </w:tc>
        <w:tc>
          <w:tcPr>
            <w:tcW w:w="1666" w:type="pct"/>
          </w:tcPr>
          <w:p w14:paraId="1B9098A7" w14:textId="77777777" w:rsidR="00D55494" w:rsidRDefault="00D55494" w:rsidP="000B0B95">
            <w:pPr>
              <w:pStyle w:val="Tabletext"/>
            </w:pPr>
            <w:r>
              <w:t>ASIC</w:t>
            </w:r>
          </w:p>
        </w:tc>
      </w:tr>
      <w:tr w:rsidR="00D55494" w14:paraId="4FE6DEE7" w14:textId="77777777" w:rsidTr="000B0B95">
        <w:tc>
          <w:tcPr>
            <w:tcW w:w="1667" w:type="pct"/>
          </w:tcPr>
          <w:p w14:paraId="612D4410" w14:textId="77777777" w:rsidR="00D55494" w:rsidRDefault="00D55494" w:rsidP="000B0B95">
            <w:pPr>
              <w:pStyle w:val="Tabletext"/>
              <w:rPr>
                <w:color w:val="000000"/>
              </w:rPr>
            </w:pPr>
            <w:r>
              <w:rPr>
                <w:color w:val="000000"/>
              </w:rPr>
              <w:t>section 795B</w:t>
            </w:r>
          </w:p>
        </w:tc>
        <w:tc>
          <w:tcPr>
            <w:tcW w:w="1667" w:type="pct"/>
          </w:tcPr>
          <w:p w14:paraId="2099154C" w14:textId="77777777" w:rsidR="00D55494" w:rsidRDefault="00D55494" w:rsidP="000B0B95">
            <w:pPr>
              <w:pStyle w:val="Tabletext"/>
              <w:rPr>
                <w:color w:val="000000"/>
              </w:rPr>
            </w:pPr>
            <w:r>
              <w:rPr>
                <w:color w:val="000000"/>
              </w:rPr>
              <w:t>Issue domestic and overseas licence</w:t>
            </w:r>
          </w:p>
        </w:tc>
        <w:tc>
          <w:tcPr>
            <w:tcW w:w="1666" w:type="pct"/>
          </w:tcPr>
          <w:p w14:paraId="2BD2C546" w14:textId="77777777" w:rsidR="00D55494" w:rsidRDefault="00D55494" w:rsidP="000B0B95">
            <w:pPr>
              <w:pStyle w:val="Tabletext"/>
            </w:pPr>
            <w:r>
              <w:t>ASIC</w:t>
            </w:r>
          </w:p>
        </w:tc>
      </w:tr>
      <w:tr w:rsidR="00D55494" w14:paraId="29E288E8" w14:textId="77777777" w:rsidTr="000B0B95">
        <w:tc>
          <w:tcPr>
            <w:tcW w:w="1667" w:type="pct"/>
          </w:tcPr>
          <w:p w14:paraId="670220E7" w14:textId="77777777" w:rsidR="00D55494" w:rsidRDefault="00D55494" w:rsidP="000B0B95">
            <w:pPr>
              <w:pStyle w:val="Tabletext"/>
              <w:rPr>
                <w:color w:val="000000"/>
              </w:rPr>
            </w:pPr>
            <w:r>
              <w:rPr>
                <w:color w:val="000000"/>
              </w:rPr>
              <w:t>section 795C</w:t>
            </w:r>
          </w:p>
        </w:tc>
        <w:tc>
          <w:tcPr>
            <w:tcW w:w="1667" w:type="pct"/>
          </w:tcPr>
          <w:p w14:paraId="57B527B7" w14:textId="77777777" w:rsidR="00D55494" w:rsidRDefault="00D55494" w:rsidP="000B0B95">
            <w:pPr>
              <w:pStyle w:val="Tabletext"/>
              <w:rPr>
                <w:color w:val="000000"/>
              </w:rPr>
            </w:pPr>
            <w:r>
              <w:rPr>
                <w:color w:val="000000"/>
              </w:rPr>
              <w:t>Gazette the licence</w:t>
            </w:r>
          </w:p>
        </w:tc>
        <w:tc>
          <w:tcPr>
            <w:tcW w:w="1666" w:type="pct"/>
          </w:tcPr>
          <w:p w14:paraId="5BC1839A" w14:textId="77777777" w:rsidR="00D55494" w:rsidRDefault="00D55494" w:rsidP="000B0B95">
            <w:pPr>
              <w:pStyle w:val="Tabletext"/>
            </w:pPr>
            <w:r>
              <w:t>ASIC</w:t>
            </w:r>
          </w:p>
        </w:tc>
      </w:tr>
      <w:tr w:rsidR="00D55494" w14:paraId="37DDDB17" w14:textId="77777777" w:rsidTr="000B0B95">
        <w:tc>
          <w:tcPr>
            <w:tcW w:w="1667" w:type="pct"/>
          </w:tcPr>
          <w:p w14:paraId="72AAFD93" w14:textId="77777777" w:rsidR="00D55494" w:rsidRDefault="00D55494" w:rsidP="000B0B95">
            <w:pPr>
              <w:pStyle w:val="Tabletext"/>
              <w:rPr>
                <w:color w:val="000000"/>
              </w:rPr>
            </w:pPr>
            <w:r>
              <w:rPr>
                <w:color w:val="000000"/>
              </w:rPr>
              <w:t>section 796A</w:t>
            </w:r>
          </w:p>
        </w:tc>
        <w:tc>
          <w:tcPr>
            <w:tcW w:w="1667" w:type="pct"/>
          </w:tcPr>
          <w:p w14:paraId="24CEF3AE" w14:textId="77777777" w:rsidR="00D55494" w:rsidRDefault="00D55494" w:rsidP="000B0B95">
            <w:pPr>
              <w:pStyle w:val="Tabletext"/>
              <w:rPr>
                <w:color w:val="000000"/>
              </w:rPr>
            </w:pPr>
            <w:r>
              <w:rPr>
                <w:color w:val="000000"/>
              </w:rPr>
              <w:t>Impose/vary/revoke conditions on licence</w:t>
            </w:r>
          </w:p>
        </w:tc>
        <w:tc>
          <w:tcPr>
            <w:tcW w:w="1666" w:type="pct"/>
          </w:tcPr>
          <w:p w14:paraId="326716AE" w14:textId="77777777" w:rsidR="00D55494" w:rsidRDefault="00D55494" w:rsidP="000B0B95">
            <w:pPr>
              <w:pStyle w:val="Tabletext"/>
            </w:pPr>
            <w:r>
              <w:t>ASIC</w:t>
            </w:r>
          </w:p>
        </w:tc>
      </w:tr>
      <w:tr w:rsidR="00D55494" w14:paraId="22603DB8" w14:textId="77777777" w:rsidTr="000B0B95">
        <w:tc>
          <w:tcPr>
            <w:tcW w:w="1667" w:type="pct"/>
          </w:tcPr>
          <w:p w14:paraId="552ADEF1" w14:textId="77777777" w:rsidR="00D55494" w:rsidRDefault="00D55494" w:rsidP="000B0B95">
            <w:pPr>
              <w:pStyle w:val="Tabletext"/>
              <w:rPr>
                <w:color w:val="000000"/>
              </w:rPr>
            </w:pPr>
            <w:r>
              <w:rPr>
                <w:color w:val="000000"/>
              </w:rPr>
              <w:t>section 797A</w:t>
            </w:r>
          </w:p>
        </w:tc>
        <w:tc>
          <w:tcPr>
            <w:tcW w:w="1667" w:type="pct"/>
          </w:tcPr>
          <w:p w14:paraId="68B7985E" w14:textId="77777777" w:rsidR="00D55494" w:rsidRDefault="00D55494" w:rsidP="000B0B95">
            <w:pPr>
              <w:pStyle w:val="Tabletext"/>
              <w:rPr>
                <w:color w:val="000000"/>
              </w:rPr>
            </w:pPr>
            <w:r>
              <w:rPr>
                <w:color w:val="000000"/>
              </w:rPr>
              <w:t xml:space="preserve">Vary licence to </w:t>
            </w:r>
            <w:proofErr w:type="gramStart"/>
            <w:r>
              <w:rPr>
                <w:color w:val="000000"/>
              </w:rPr>
              <w:t>take into account</w:t>
            </w:r>
            <w:proofErr w:type="gramEnd"/>
            <w:r>
              <w:rPr>
                <w:color w:val="000000"/>
              </w:rPr>
              <w:t xml:space="preserve"> name change</w:t>
            </w:r>
          </w:p>
        </w:tc>
        <w:tc>
          <w:tcPr>
            <w:tcW w:w="1666" w:type="pct"/>
          </w:tcPr>
          <w:p w14:paraId="665D3FAA" w14:textId="77777777" w:rsidR="00D55494" w:rsidRDefault="00D55494" w:rsidP="000B0B95">
            <w:pPr>
              <w:pStyle w:val="Tabletext"/>
            </w:pPr>
            <w:r>
              <w:t>ASIC</w:t>
            </w:r>
          </w:p>
        </w:tc>
      </w:tr>
      <w:tr w:rsidR="00D55494" w14:paraId="54285CAA" w14:textId="77777777" w:rsidTr="000B0B95">
        <w:tc>
          <w:tcPr>
            <w:tcW w:w="1667" w:type="pct"/>
          </w:tcPr>
          <w:p w14:paraId="612C70F7" w14:textId="77777777" w:rsidR="00D55494" w:rsidRDefault="00D55494" w:rsidP="000B0B95">
            <w:pPr>
              <w:pStyle w:val="Tabletext"/>
              <w:rPr>
                <w:color w:val="000000"/>
              </w:rPr>
            </w:pPr>
            <w:r>
              <w:rPr>
                <w:color w:val="000000"/>
              </w:rPr>
              <w:t>section 797B</w:t>
            </w:r>
          </w:p>
        </w:tc>
        <w:tc>
          <w:tcPr>
            <w:tcW w:w="1667" w:type="pct"/>
          </w:tcPr>
          <w:p w14:paraId="00F6AB9F" w14:textId="77777777" w:rsidR="00D55494" w:rsidRDefault="00D55494" w:rsidP="000B0B95">
            <w:pPr>
              <w:pStyle w:val="Tabletext"/>
              <w:rPr>
                <w:color w:val="000000"/>
              </w:rPr>
            </w:pPr>
            <w:r>
              <w:rPr>
                <w:color w:val="000000"/>
              </w:rPr>
              <w:t>Immediately suspend or cancel licence</w:t>
            </w:r>
          </w:p>
        </w:tc>
        <w:tc>
          <w:tcPr>
            <w:tcW w:w="1666" w:type="pct"/>
          </w:tcPr>
          <w:p w14:paraId="122297DB" w14:textId="77777777" w:rsidR="00D55494" w:rsidRDefault="00D55494" w:rsidP="000B0B95">
            <w:pPr>
              <w:pStyle w:val="Tabletext"/>
            </w:pPr>
            <w:r>
              <w:t>ASIC</w:t>
            </w:r>
          </w:p>
        </w:tc>
      </w:tr>
      <w:tr w:rsidR="00D55494" w14:paraId="38ADC583" w14:textId="77777777" w:rsidTr="000B0B95">
        <w:tc>
          <w:tcPr>
            <w:tcW w:w="1667" w:type="pct"/>
          </w:tcPr>
          <w:p w14:paraId="2B77BC44" w14:textId="77777777" w:rsidR="00D55494" w:rsidRDefault="00D55494" w:rsidP="000B0B95">
            <w:pPr>
              <w:pStyle w:val="Tabletext"/>
              <w:rPr>
                <w:color w:val="000000"/>
              </w:rPr>
            </w:pPr>
            <w:r>
              <w:rPr>
                <w:color w:val="000000"/>
              </w:rPr>
              <w:t>section 797C</w:t>
            </w:r>
          </w:p>
        </w:tc>
        <w:tc>
          <w:tcPr>
            <w:tcW w:w="1667" w:type="pct"/>
          </w:tcPr>
          <w:p w14:paraId="2B7E380C" w14:textId="77777777" w:rsidR="00D55494" w:rsidRDefault="00D55494" w:rsidP="000B0B95">
            <w:pPr>
              <w:pStyle w:val="Tabletext"/>
              <w:rPr>
                <w:color w:val="000000"/>
              </w:rPr>
            </w:pPr>
            <w:r>
              <w:rPr>
                <w:color w:val="000000"/>
              </w:rPr>
              <w:t>Suspend or cancel licence following hearing and report</w:t>
            </w:r>
          </w:p>
        </w:tc>
        <w:tc>
          <w:tcPr>
            <w:tcW w:w="1666" w:type="pct"/>
          </w:tcPr>
          <w:p w14:paraId="2438F8CE" w14:textId="77777777" w:rsidR="00D55494" w:rsidRDefault="00D55494" w:rsidP="000B0B95">
            <w:pPr>
              <w:pStyle w:val="Tabletext"/>
            </w:pPr>
            <w:r>
              <w:t>ASIC</w:t>
            </w:r>
          </w:p>
        </w:tc>
      </w:tr>
      <w:tr w:rsidR="00D55494" w14:paraId="1DB3ECF5" w14:textId="77777777" w:rsidTr="000B0B95">
        <w:tc>
          <w:tcPr>
            <w:tcW w:w="1667" w:type="pct"/>
          </w:tcPr>
          <w:p w14:paraId="7D7F01C9" w14:textId="77777777" w:rsidR="00D55494" w:rsidRDefault="00D55494" w:rsidP="000B0B95">
            <w:pPr>
              <w:pStyle w:val="Tabletext"/>
              <w:rPr>
                <w:color w:val="000000"/>
              </w:rPr>
            </w:pPr>
            <w:r>
              <w:rPr>
                <w:color w:val="000000"/>
              </w:rPr>
              <w:t>section 797D</w:t>
            </w:r>
          </w:p>
        </w:tc>
        <w:tc>
          <w:tcPr>
            <w:tcW w:w="1667" w:type="pct"/>
          </w:tcPr>
          <w:p w14:paraId="0C747C00" w14:textId="77777777" w:rsidR="00D55494" w:rsidRDefault="00D55494" w:rsidP="000B0B95">
            <w:pPr>
              <w:pStyle w:val="Tabletext"/>
              <w:rPr>
                <w:color w:val="000000"/>
              </w:rPr>
            </w:pPr>
            <w:r>
              <w:rPr>
                <w:color w:val="000000"/>
              </w:rPr>
              <w:t>Effect of suspension</w:t>
            </w:r>
          </w:p>
        </w:tc>
        <w:tc>
          <w:tcPr>
            <w:tcW w:w="1666" w:type="pct"/>
          </w:tcPr>
          <w:p w14:paraId="6BC5C8C4" w14:textId="77777777" w:rsidR="00D55494" w:rsidRDefault="00D55494" w:rsidP="000B0B95">
            <w:pPr>
              <w:pStyle w:val="Tabletext"/>
            </w:pPr>
            <w:r>
              <w:t>ASIC</w:t>
            </w:r>
          </w:p>
        </w:tc>
      </w:tr>
      <w:tr w:rsidR="00D55494" w14:paraId="1318D9C2" w14:textId="77777777" w:rsidTr="000B0B95">
        <w:tc>
          <w:tcPr>
            <w:tcW w:w="1667" w:type="pct"/>
          </w:tcPr>
          <w:p w14:paraId="1A964042" w14:textId="77777777" w:rsidR="00D55494" w:rsidRDefault="00D55494" w:rsidP="000B0B95">
            <w:pPr>
              <w:pStyle w:val="Tabletext"/>
              <w:rPr>
                <w:color w:val="000000"/>
              </w:rPr>
            </w:pPr>
            <w:r>
              <w:rPr>
                <w:color w:val="000000"/>
              </w:rPr>
              <w:t>section 797E</w:t>
            </w:r>
          </w:p>
        </w:tc>
        <w:tc>
          <w:tcPr>
            <w:tcW w:w="1667" w:type="pct"/>
          </w:tcPr>
          <w:p w14:paraId="112BE1DF" w14:textId="77777777" w:rsidR="00D55494" w:rsidRDefault="00D55494" w:rsidP="000B0B95">
            <w:pPr>
              <w:pStyle w:val="Tabletext"/>
              <w:rPr>
                <w:color w:val="000000"/>
              </w:rPr>
            </w:pPr>
            <w:r>
              <w:rPr>
                <w:color w:val="000000"/>
              </w:rPr>
              <w:t>Vary or revoke suspension</w:t>
            </w:r>
          </w:p>
        </w:tc>
        <w:tc>
          <w:tcPr>
            <w:tcW w:w="1666" w:type="pct"/>
          </w:tcPr>
          <w:p w14:paraId="5B84DCD6" w14:textId="77777777" w:rsidR="00D55494" w:rsidRDefault="00D55494" w:rsidP="000B0B95">
            <w:pPr>
              <w:pStyle w:val="Tabletext"/>
            </w:pPr>
            <w:r>
              <w:t>ASIC</w:t>
            </w:r>
          </w:p>
        </w:tc>
      </w:tr>
      <w:tr w:rsidR="00D55494" w14:paraId="2BB1A80B" w14:textId="77777777" w:rsidTr="000B0B95">
        <w:tc>
          <w:tcPr>
            <w:tcW w:w="1667" w:type="pct"/>
          </w:tcPr>
          <w:p w14:paraId="3B669D0D" w14:textId="77777777" w:rsidR="00D55494" w:rsidRDefault="00D55494" w:rsidP="000B0B95">
            <w:pPr>
              <w:pStyle w:val="Tabletext"/>
              <w:rPr>
                <w:color w:val="000000"/>
              </w:rPr>
            </w:pPr>
            <w:r>
              <w:rPr>
                <w:color w:val="000000"/>
              </w:rPr>
              <w:t>section 797F</w:t>
            </w:r>
          </w:p>
        </w:tc>
        <w:tc>
          <w:tcPr>
            <w:tcW w:w="1667" w:type="pct"/>
          </w:tcPr>
          <w:p w14:paraId="6AA3D0B0" w14:textId="77777777" w:rsidR="00D55494" w:rsidRDefault="00D55494" w:rsidP="000B0B95">
            <w:pPr>
              <w:pStyle w:val="Tabletext"/>
              <w:rPr>
                <w:color w:val="000000"/>
              </w:rPr>
            </w:pPr>
            <w:r>
              <w:rPr>
                <w:color w:val="000000"/>
              </w:rPr>
              <w:t>Publication of notice of suspension or cancellation</w:t>
            </w:r>
          </w:p>
        </w:tc>
        <w:tc>
          <w:tcPr>
            <w:tcW w:w="1666" w:type="pct"/>
          </w:tcPr>
          <w:p w14:paraId="2989EF64" w14:textId="77777777" w:rsidR="00D55494" w:rsidRDefault="00D55494" w:rsidP="000B0B95">
            <w:pPr>
              <w:pStyle w:val="Tabletext"/>
            </w:pPr>
            <w:r>
              <w:t>ASIC</w:t>
            </w:r>
          </w:p>
        </w:tc>
      </w:tr>
      <w:tr w:rsidR="00D55494" w14:paraId="26E31945" w14:textId="77777777" w:rsidTr="000B0B95">
        <w:tc>
          <w:tcPr>
            <w:tcW w:w="1667" w:type="pct"/>
          </w:tcPr>
          <w:p w14:paraId="59888A3B" w14:textId="77777777" w:rsidR="00D55494" w:rsidRDefault="00D55494" w:rsidP="000B0B95">
            <w:pPr>
              <w:pStyle w:val="Tabletext"/>
              <w:rPr>
                <w:color w:val="000000"/>
              </w:rPr>
            </w:pPr>
            <w:r>
              <w:rPr>
                <w:color w:val="000000"/>
              </w:rPr>
              <w:t>section 798M</w:t>
            </w:r>
          </w:p>
        </w:tc>
        <w:tc>
          <w:tcPr>
            <w:tcW w:w="1667" w:type="pct"/>
          </w:tcPr>
          <w:p w14:paraId="662BEA46" w14:textId="77777777" w:rsidR="00D55494" w:rsidRDefault="00D55494" w:rsidP="000B0B95">
            <w:pPr>
              <w:pStyle w:val="Tabletext"/>
              <w:rPr>
                <w:color w:val="000000"/>
              </w:rPr>
            </w:pPr>
            <w:r>
              <w:rPr>
                <w:color w:val="000000"/>
              </w:rPr>
              <w:t>Issue/revoke/vary exemption from all or specified provisions of Part 7.2A of the Corporations Act</w:t>
            </w:r>
          </w:p>
        </w:tc>
        <w:tc>
          <w:tcPr>
            <w:tcW w:w="1666" w:type="pct"/>
          </w:tcPr>
          <w:p w14:paraId="3DC76E66" w14:textId="77777777" w:rsidR="00D55494" w:rsidRDefault="00D55494" w:rsidP="000B0B95">
            <w:pPr>
              <w:pStyle w:val="Tabletext"/>
            </w:pPr>
            <w:r>
              <w:t>ASIC</w:t>
            </w:r>
          </w:p>
        </w:tc>
      </w:tr>
      <w:tr w:rsidR="00D55494" w14:paraId="3ABF3B21" w14:textId="77777777" w:rsidTr="000B0B95">
        <w:tc>
          <w:tcPr>
            <w:tcW w:w="5000" w:type="pct"/>
            <w:gridSpan w:val="3"/>
          </w:tcPr>
          <w:p w14:paraId="714D3A37" w14:textId="77777777" w:rsidR="00D55494" w:rsidRDefault="00D55494" w:rsidP="000B0B95">
            <w:pPr>
              <w:pStyle w:val="Tabletext"/>
              <w:jc w:val="center"/>
            </w:pPr>
            <w:r w:rsidRPr="00E152A1">
              <w:rPr>
                <w:rFonts w:ascii="Helvetica" w:hAnsi="Helvetica" w:cs="Helvetica"/>
                <w:b/>
                <w:i/>
                <w:iCs/>
                <w:sz w:val="22"/>
                <w:szCs w:val="22"/>
                <w:lang w:eastAsia="en-US"/>
              </w:rPr>
              <w:t>Licensed CS facilities</w:t>
            </w:r>
          </w:p>
        </w:tc>
      </w:tr>
      <w:tr w:rsidR="00D55494" w14:paraId="5533E7C9" w14:textId="77777777" w:rsidTr="000B0B95">
        <w:tc>
          <w:tcPr>
            <w:tcW w:w="1667" w:type="pct"/>
          </w:tcPr>
          <w:p w14:paraId="554C313C" w14:textId="77777777" w:rsidR="00D55494" w:rsidRDefault="00D55494" w:rsidP="000B0B95">
            <w:pPr>
              <w:pStyle w:val="Tabletext"/>
              <w:rPr>
                <w:color w:val="000000"/>
              </w:rPr>
            </w:pPr>
            <w:r>
              <w:rPr>
                <w:color w:val="000000"/>
              </w:rPr>
              <w:t>section 820C</w:t>
            </w:r>
          </w:p>
        </w:tc>
        <w:tc>
          <w:tcPr>
            <w:tcW w:w="1667" w:type="pct"/>
          </w:tcPr>
          <w:p w14:paraId="6709B93D" w14:textId="77777777" w:rsidR="00D55494" w:rsidRDefault="00D55494" w:rsidP="000B0B95">
            <w:pPr>
              <w:pStyle w:val="Tabletext"/>
              <w:rPr>
                <w:color w:val="000000"/>
              </w:rPr>
            </w:pPr>
            <w:r>
              <w:rPr>
                <w:color w:val="000000"/>
              </w:rPr>
              <w:t>Issue/revoke/vary exemption from all or specified provisions of Part 7.3 of the Corporations Act</w:t>
            </w:r>
          </w:p>
        </w:tc>
        <w:tc>
          <w:tcPr>
            <w:tcW w:w="1666" w:type="pct"/>
          </w:tcPr>
          <w:p w14:paraId="7B144F52" w14:textId="77777777" w:rsidR="00D55494" w:rsidRDefault="00D55494" w:rsidP="000B0B95">
            <w:pPr>
              <w:pStyle w:val="Tabletext"/>
            </w:pPr>
            <w:r>
              <w:t>ASIC (and the RBA for certain exemptions in relation to CS facilities)</w:t>
            </w:r>
          </w:p>
        </w:tc>
      </w:tr>
      <w:tr w:rsidR="00D55494" w14:paraId="3581F6B7" w14:textId="77777777" w:rsidTr="000B0B95">
        <w:tc>
          <w:tcPr>
            <w:tcW w:w="1667" w:type="pct"/>
          </w:tcPr>
          <w:p w14:paraId="434FF28B" w14:textId="77777777" w:rsidR="00D55494" w:rsidRDefault="00D55494" w:rsidP="000B0B95">
            <w:pPr>
              <w:pStyle w:val="Tabletext"/>
              <w:rPr>
                <w:color w:val="000000"/>
              </w:rPr>
            </w:pPr>
            <w:r>
              <w:rPr>
                <w:color w:val="000000"/>
              </w:rPr>
              <w:t>section 821E</w:t>
            </w:r>
          </w:p>
        </w:tc>
        <w:tc>
          <w:tcPr>
            <w:tcW w:w="1667" w:type="pct"/>
          </w:tcPr>
          <w:p w14:paraId="6D18A73E" w14:textId="77777777" w:rsidR="00D55494" w:rsidRDefault="00D55494" w:rsidP="000B0B95">
            <w:pPr>
              <w:pStyle w:val="Tabletext"/>
              <w:rPr>
                <w:color w:val="000000"/>
              </w:rPr>
            </w:pPr>
            <w:r>
              <w:rPr>
                <w:color w:val="000000"/>
              </w:rPr>
              <w:t>Direct audit of annual report</w:t>
            </w:r>
          </w:p>
        </w:tc>
        <w:tc>
          <w:tcPr>
            <w:tcW w:w="1666" w:type="pct"/>
          </w:tcPr>
          <w:p w14:paraId="65D4F32D" w14:textId="77777777" w:rsidR="00D55494" w:rsidRDefault="00D55494" w:rsidP="000B0B95">
            <w:pPr>
              <w:pStyle w:val="Tabletext"/>
            </w:pPr>
            <w:r>
              <w:rPr>
                <w:color w:val="000000"/>
              </w:rPr>
              <w:t>ASIC</w:t>
            </w:r>
          </w:p>
        </w:tc>
      </w:tr>
      <w:tr w:rsidR="00D55494" w14:paraId="2F6FFEE7" w14:textId="77777777" w:rsidTr="000B0B95">
        <w:tc>
          <w:tcPr>
            <w:tcW w:w="1667" w:type="pct"/>
          </w:tcPr>
          <w:p w14:paraId="55E29D80" w14:textId="77777777" w:rsidR="00D55494" w:rsidRDefault="00D55494" w:rsidP="000B0B95">
            <w:pPr>
              <w:pStyle w:val="Tabletext"/>
              <w:rPr>
                <w:color w:val="000000"/>
              </w:rPr>
            </w:pPr>
            <w:r>
              <w:rPr>
                <w:color w:val="000000"/>
              </w:rPr>
              <w:t>section 821F</w:t>
            </w:r>
          </w:p>
        </w:tc>
        <w:tc>
          <w:tcPr>
            <w:tcW w:w="1667" w:type="pct"/>
          </w:tcPr>
          <w:p w14:paraId="71C11B3A" w14:textId="77777777" w:rsidR="00D55494" w:rsidRDefault="00D55494" w:rsidP="000B0B95">
            <w:pPr>
              <w:pStyle w:val="Tabletext"/>
              <w:rPr>
                <w:color w:val="000000"/>
              </w:rPr>
            </w:pPr>
            <w:r>
              <w:rPr>
                <w:color w:val="000000"/>
              </w:rPr>
              <w:t>Approve change of country by foreign licensee</w:t>
            </w:r>
          </w:p>
        </w:tc>
        <w:tc>
          <w:tcPr>
            <w:tcW w:w="1666" w:type="pct"/>
          </w:tcPr>
          <w:p w14:paraId="183E7736" w14:textId="77777777" w:rsidR="00D55494" w:rsidRDefault="00D55494" w:rsidP="000B0B95">
            <w:pPr>
              <w:pStyle w:val="Tabletext"/>
            </w:pPr>
            <w:r>
              <w:rPr>
                <w:color w:val="000000"/>
              </w:rPr>
              <w:t>ASIC</w:t>
            </w:r>
          </w:p>
        </w:tc>
      </w:tr>
      <w:tr w:rsidR="00D55494" w14:paraId="7FEF0CCF" w14:textId="77777777" w:rsidTr="000B0B95">
        <w:tc>
          <w:tcPr>
            <w:tcW w:w="1667" w:type="pct"/>
          </w:tcPr>
          <w:p w14:paraId="7692A4CE" w14:textId="77777777" w:rsidR="00D55494" w:rsidRDefault="00D55494" w:rsidP="000B0B95">
            <w:pPr>
              <w:pStyle w:val="Tabletext"/>
              <w:rPr>
                <w:color w:val="000000"/>
              </w:rPr>
            </w:pPr>
            <w:r>
              <w:rPr>
                <w:color w:val="000000"/>
              </w:rPr>
              <w:t>section 822E</w:t>
            </w:r>
          </w:p>
        </w:tc>
        <w:tc>
          <w:tcPr>
            <w:tcW w:w="1667" w:type="pct"/>
          </w:tcPr>
          <w:p w14:paraId="72C95836" w14:textId="77777777" w:rsidR="00D55494" w:rsidRDefault="00D55494" w:rsidP="000B0B95">
            <w:pPr>
              <w:pStyle w:val="Tabletext"/>
              <w:rPr>
                <w:color w:val="000000"/>
              </w:rPr>
            </w:pPr>
            <w:r>
              <w:rPr>
                <w:color w:val="000000"/>
              </w:rPr>
              <w:t>Disallow changes to operating rules</w:t>
            </w:r>
          </w:p>
        </w:tc>
        <w:tc>
          <w:tcPr>
            <w:tcW w:w="1666" w:type="pct"/>
          </w:tcPr>
          <w:p w14:paraId="314A06AE" w14:textId="77777777" w:rsidR="00D55494" w:rsidRDefault="00D55494" w:rsidP="000B0B95">
            <w:pPr>
              <w:pStyle w:val="Tabletext"/>
            </w:pPr>
            <w:r>
              <w:rPr>
                <w:color w:val="000000"/>
              </w:rPr>
              <w:t>ASIC</w:t>
            </w:r>
          </w:p>
        </w:tc>
      </w:tr>
      <w:tr w:rsidR="00D55494" w14:paraId="7B2BC733" w14:textId="77777777" w:rsidTr="000B0B95">
        <w:tc>
          <w:tcPr>
            <w:tcW w:w="1667" w:type="pct"/>
          </w:tcPr>
          <w:p w14:paraId="10CB6BF8" w14:textId="77777777" w:rsidR="00D55494" w:rsidRDefault="00D55494" w:rsidP="000B0B95">
            <w:pPr>
              <w:pStyle w:val="Tabletext"/>
              <w:rPr>
                <w:color w:val="000000"/>
              </w:rPr>
            </w:pPr>
            <w:r>
              <w:rPr>
                <w:color w:val="000000"/>
              </w:rPr>
              <w:lastRenderedPageBreak/>
              <w:t>section 823A</w:t>
            </w:r>
          </w:p>
        </w:tc>
        <w:tc>
          <w:tcPr>
            <w:tcW w:w="1667" w:type="pct"/>
          </w:tcPr>
          <w:p w14:paraId="66F9CBDA" w14:textId="77777777" w:rsidR="00D55494" w:rsidRDefault="00D55494" w:rsidP="000B0B95">
            <w:pPr>
              <w:pStyle w:val="Tabletext"/>
              <w:rPr>
                <w:color w:val="000000"/>
              </w:rPr>
            </w:pPr>
            <w:r>
              <w:rPr>
                <w:color w:val="000000"/>
              </w:rPr>
              <w:t>Issue/vary/revoke directions</w:t>
            </w:r>
          </w:p>
        </w:tc>
        <w:tc>
          <w:tcPr>
            <w:tcW w:w="1666" w:type="pct"/>
          </w:tcPr>
          <w:p w14:paraId="180E6455" w14:textId="77777777" w:rsidR="00D55494" w:rsidRDefault="00D55494" w:rsidP="000B0B95">
            <w:pPr>
              <w:pStyle w:val="Tabletext"/>
            </w:pPr>
            <w:r>
              <w:rPr>
                <w:color w:val="000000"/>
              </w:rPr>
              <w:t>ASIC/RBA</w:t>
            </w:r>
          </w:p>
        </w:tc>
      </w:tr>
      <w:tr w:rsidR="00D55494" w14:paraId="07D03204" w14:textId="77777777" w:rsidTr="000B0B95">
        <w:tc>
          <w:tcPr>
            <w:tcW w:w="1667" w:type="pct"/>
          </w:tcPr>
          <w:p w14:paraId="5985E3D1" w14:textId="77777777" w:rsidR="00D55494" w:rsidRDefault="00D55494" w:rsidP="000B0B95">
            <w:pPr>
              <w:pStyle w:val="Tabletext"/>
              <w:rPr>
                <w:color w:val="000000"/>
              </w:rPr>
            </w:pPr>
            <w:r>
              <w:rPr>
                <w:color w:val="000000"/>
              </w:rPr>
              <w:t>section 824B</w:t>
            </w:r>
          </w:p>
        </w:tc>
        <w:tc>
          <w:tcPr>
            <w:tcW w:w="1667" w:type="pct"/>
          </w:tcPr>
          <w:p w14:paraId="00819F2C" w14:textId="77777777" w:rsidR="00D55494" w:rsidRDefault="00D55494" w:rsidP="000B0B95">
            <w:pPr>
              <w:pStyle w:val="Tabletext"/>
              <w:rPr>
                <w:color w:val="000000"/>
              </w:rPr>
            </w:pPr>
            <w:r>
              <w:rPr>
                <w:color w:val="000000"/>
              </w:rPr>
              <w:t>Issue domestic and overseas licence</w:t>
            </w:r>
          </w:p>
        </w:tc>
        <w:tc>
          <w:tcPr>
            <w:tcW w:w="1666" w:type="pct"/>
          </w:tcPr>
          <w:p w14:paraId="07C41116" w14:textId="77777777" w:rsidR="00D55494" w:rsidRDefault="00D55494" w:rsidP="000B0B95">
            <w:pPr>
              <w:pStyle w:val="Tabletext"/>
            </w:pPr>
            <w:r>
              <w:rPr>
                <w:color w:val="000000"/>
              </w:rPr>
              <w:t>ASIC</w:t>
            </w:r>
          </w:p>
        </w:tc>
      </w:tr>
      <w:tr w:rsidR="00D55494" w14:paraId="72EEAD08" w14:textId="77777777" w:rsidTr="000B0B95">
        <w:tc>
          <w:tcPr>
            <w:tcW w:w="1667" w:type="pct"/>
          </w:tcPr>
          <w:p w14:paraId="591B8B32" w14:textId="77777777" w:rsidR="00D55494" w:rsidRDefault="00D55494" w:rsidP="000B0B95">
            <w:pPr>
              <w:pStyle w:val="Tabletext"/>
              <w:rPr>
                <w:color w:val="000000"/>
              </w:rPr>
            </w:pPr>
            <w:r>
              <w:rPr>
                <w:color w:val="000000"/>
              </w:rPr>
              <w:t>section 824C</w:t>
            </w:r>
          </w:p>
        </w:tc>
        <w:tc>
          <w:tcPr>
            <w:tcW w:w="1667" w:type="pct"/>
          </w:tcPr>
          <w:p w14:paraId="10B7E727" w14:textId="77777777" w:rsidR="00D55494" w:rsidRDefault="00D55494" w:rsidP="000B0B95">
            <w:pPr>
              <w:pStyle w:val="Tabletext"/>
              <w:rPr>
                <w:color w:val="000000"/>
              </w:rPr>
            </w:pPr>
            <w:r>
              <w:rPr>
                <w:color w:val="000000"/>
              </w:rPr>
              <w:t>Gazette the licence</w:t>
            </w:r>
          </w:p>
        </w:tc>
        <w:tc>
          <w:tcPr>
            <w:tcW w:w="1666" w:type="pct"/>
          </w:tcPr>
          <w:p w14:paraId="7A2B8733" w14:textId="77777777" w:rsidR="00D55494" w:rsidRDefault="00D55494" w:rsidP="000B0B95">
            <w:pPr>
              <w:pStyle w:val="Tabletext"/>
            </w:pPr>
            <w:r>
              <w:rPr>
                <w:color w:val="000000"/>
              </w:rPr>
              <w:t>ASIC</w:t>
            </w:r>
          </w:p>
        </w:tc>
      </w:tr>
      <w:tr w:rsidR="00D55494" w14:paraId="5DBA742D" w14:textId="77777777" w:rsidTr="000B0B95">
        <w:tc>
          <w:tcPr>
            <w:tcW w:w="1667" w:type="pct"/>
          </w:tcPr>
          <w:p w14:paraId="4970EF56" w14:textId="77777777" w:rsidR="00D55494" w:rsidRDefault="00D55494" w:rsidP="000B0B95">
            <w:pPr>
              <w:pStyle w:val="Tabletext"/>
              <w:rPr>
                <w:color w:val="000000"/>
              </w:rPr>
            </w:pPr>
            <w:r>
              <w:rPr>
                <w:color w:val="000000"/>
              </w:rPr>
              <w:t>section 825A</w:t>
            </w:r>
          </w:p>
        </w:tc>
        <w:tc>
          <w:tcPr>
            <w:tcW w:w="1667" w:type="pct"/>
          </w:tcPr>
          <w:p w14:paraId="0C9A9195" w14:textId="77777777" w:rsidR="00D55494" w:rsidRDefault="00D55494" w:rsidP="000B0B95">
            <w:pPr>
              <w:pStyle w:val="Tabletext"/>
              <w:rPr>
                <w:color w:val="000000"/>
              </w:rPr>
            </w:pPr>
            <w:r>
              <w:rPr>
                <w:color w:val="000000"/>
              </w:rPr>
              <w:t>Impose/vary/revoke conditions on licence</w:t>
            </w:r>
          </w:p>
        </w:tc>
        <w:tc>
          <w:tcPr>
            <w:tcW w:w="1666" w:type="pct"/>
          </w:tcPr>
          <w:p w14:paraId="20CFC4B7" w14:textId="77777777" w:rsidR="00D55494" w:rsidRDefault="00D55494" w:rsidP="000B0B95">
            <w:pPr>
              <w:pStyle w:val="Tabletext"/>
            </w:pPr>
            <w:r w:rsidRPr="00413BE2">
              <w:rPr>
                <w:color w:val="000000"/>
              </w:rPr>
              <w:t>ASIC</w:t>
            </w:r>
          </w:p>
        </w:tc>
      </w:tr>
      <w:tr w:rsidR="00D55494" w14:paraId="30842D63" w14:textId="77777777" w:rsidTr="000B0B95">
        <w:tc>
          <w:tcPr>
            <w:tcW w:w="1667" w:type="pct"/>
          </w:tcPr>
          <w:p w14:paraId="5507B811" w14:textId="77777777" w:rsidR="00D55494" w:rsidRDefault="00D55494" w:rsidP="000B0B95">
            <w:pPr>
              <w:pStyle w:val="Tabletext"/>
              <w:rPr>
                <w:color w:val="000000"/>
              </w:rPr>
            </w:pPr>
            <w:r>
              <w:rPr>
                <w:color w:val="000000"/>
              </w:rPr>
              <w:t>section 826A</w:t>
            </w:r>
          </w:p>
        </w:tc>
        <w:tc>
          <w:tcPr>
            <w:tcW w:w="1667" w:type="pct"/>
          </w:tcPr>
          <w:p w14:paraId="242D3639" w14:textId="77777777" w:rsidR="00D55494" w:rsidRDefault="00D55494" w:rsidP="000B0B95">
            <w:pPr>
              <w:pStyle w:val="Tabletext"/>
              <w:rPr>
                <w:color w:val="000000"/>
              </w:rPr>
            </w:pPr>
            <w:r>
              <w:rPr>
                <w:color w:val="000000"/>
              </w:rPr>
              <w:t>Vary licence</w:t>
            </w:r>
          </w:p>
        </w:tc>
        <w:tc>
          <w:tcPr>
            <w:tcW w:w="1666" w:type="pct"/>
          </w:tcPr>
          <w:p w14:paraId="7585FE92" w14:textId="77777777" w:rsidR="00D55494" w:rsidRDefault="00D55494" w:rsidP="000B0B95">
            <w:pPr>
              <w:pStyle w:val="Tabletext"/>
            </w:pPr>
            <w:r w:rsidRPr="00413BE2">
              <w:rPr>
                <w:color w:val="000000"/>
              </w:rPr>
              <w:t>ASIC</w:t>
            </w:r>
          </w:p>
        </w:tc>
      </w:tr>
      <w:tr w:rsidR="00D55494" w14:paraId="619396C6" w14:textId="77777777" w:rsidTr="000B0B95">
        <w:tc>
          <w:tcPr>
            <w:tcW w:w="1667" w:type="pct"/>
          </w:tcPr>
          <w:p w14:paraId="59CDFCAA" w14:textId="77777777" w:rsidR="00D55494" w:rsidRDefault="00D55494" w:rsidP="000B0B95">
            <w:pPr>
              <w:pStyle w:val="Tabletext"/>
              <w:rPr>
                <w:color w:val="000000"/>
              </w:rPr>
            </w:pPr>
            <w:r>
              <w:rPr>
                <w:color w:val="000000"/>
              </w:rPr>
              <w:t>section 826B</w:t>
            </w:r>
          </w:p>
        </w:tc>
        <w:tc>
          <w:tcPr>
            <w:tcW w:w="1667" w:type="pct"/>
          </w:tcPr>
          <w:p w14:paraId="4E62ED75" w14:textId="77777777" w:rsidR="00D55494" w:rsidRDefault="00D55494" w:rsidP="000B0B95">
            <w:pPr>
              <w:pStyle w:val="Tabletext"/>
              <w:rPr>
                <w:color w:val="000000"/>
              </w:rPr>
            </w:pPr>
            <w:r>
              <w:rPr>
                <w:color w:val="000000"/>
              </w:rPr>
              <w:t>Immediately suspend or cancel licence</w:t>
            </w:r>
          </w:p>
        </w:tc>
        <w:tc>
          <w:tcPr>
            <w:tcW w:w="1666" w:type="pct"/>
          </w:tcPr>
          <w:p w14:paraId="443C8A54" w14:textId="77777777" w:rsidR="00D55494" w:rsidRDefault="00D55494" w:rsidP="000B0B95">
            <w:pPr>
              <w:pStyle w:val="Tabletext"/>
            </w:pPr>
            <w:r w:rsidRPr="00AC382E">
              <w:rPr>
                <w:color w:val="000000"/>
              </w:rPr>
              <w:t>ASIC</w:t>
            </w:r>
          </w:p>
        </w:tc>
      </w:tr>
      <w:tr w:rsidR="00D55494" w14:paraId="31A30AC3" w14:textId="77777777" w:rsidTr="000B0B95">
        <w:tc>
          <w:tcPr>
            <w:tcW w:w="1667" w:type="pct"/>
          </w:tcPr>
          <w:p w14:paraId="760C1719" w14:textId="77777777" w:rsidR="00D55494" w:rsidRDefault="00D55494" w:rsidP="000B0B95">
            <w:pPr>
              <w:pStyle w:val="Tabletext"/>
              <w:rPr>
                <w:color w:val="000000"/>
              </w:rPr>
            </w:pPr>
            <w:r>
              <w:rPr>
                <w:color w:val="000000"/>
              </w:rPr>
              <w:t>section 826C</w:t>
            </w:r>
          </w:p>
        </w:tc>
        <w:tc>
          <w:tcPr>
            <w:tcW w:w="1667" w:type="pct"/>
          </w:tcPr>
          <w:p w14:paraId="48DF0CDF" w14:textId="77777777" w:rsidR="00D55494" w:rsidRDefault="00D55494" w:rsidP="000B0B95">
            <w:pPr>
              <w:pStyle w:val="Tabletext"/>
              <w:rPr>
                <w:color w:val="000000"/>
              </w:rPr>
            </w:pPr>
            <w:r>
              <w:rPr>
                <w:color w:val="000000"/>
              </w:rPr>
              <w:t>Suspend or cancel licence following hearing and report</w:t>
            </w:r>
          </w:p>
        </w:tc>
        <w:tc>
          <w:tcPr>
            <w:tcW w:w="1666" w:type="pct"/>
          </w:tcPr>
          <w:p w14:paraId="2FFDAB58" w14:textId="77777777" w:rsidR="00D55494" w:rsidRDefault="00D55494" w:rsidP="000B0B95">
            <w:pPr>
              <w:pStyle w:val="Tabletext"/>
            </w:pPr>
            <w:r w:rsidRPr="00AC382E">
              <w:rPr>
                <w:color w:val="000000"/>
              </w:rPr>
              <w:t>ASIC</w:t>
            </w:r>
          </w:p>
        </w:tc>
      </w:tr>
      <w:tr w:rsidR="00D55494" w14:paraId="53628DBA" w14:textId="77777777" w:rsidTr="000B0B95">
        <w:tc>
          <w:tcPr>
            <w:tcW w:w="1667" w:type="pct"/>
          </w:tcPr>
          <w:p w14:paraId="56E0B2BB" w14:textId="77777777" w:rsidR="00D55494" w:rsidRDefault="00D55494" w:rsidP="000B0B95">
            <w:pPr>
              <w:pStyle w:val="Tabletext"/>
              <w:rPr>
                <w:color w:val="000000"/>
              </w:rPr>
            </w:pPr>
            <w:r>
              <w:rPr>
                <w:color w:val="000000"/>
              </w:rPr>
              <w:t>section 826D</w:t>
            </w:r>
          </w:p>
        </w:tc>
        <w:tc>
          <w:tcPr>
            <w:tcW w:w="1667" w:type="pct"/>
          </w:tcPr>
          <w:p w14:paraId="05358C40" w14:textId="77777777" w:rsidR="00D55494" w:rsidRDefault="00D55494" w:rsidP="000B0B95">
            <w:pPr>
              <w:pStyle w:val="Tabletext"/>
              <w:rPr>
                <w:color w:val="000000"/>
              </w:rPr>
            </w:pPr>
            <w:r>
              <w:rPr>
                <w:color w:val="000000"/>
              </w:rPr>
              <w:t>Effect of suspension</w:t>
            </w:r>
          </w:p>
        </w:tc>
        <w:tc>
          <w:tcPr>
            <w:tcW w:w="1666" w:type="pct"/>
          </w:tcPr>
          <w:p w14:paraId="72521E55" w14:textId="77777777" w:rsidR="00D55494" w:rsidRDefault="00D55494" w:rsidP="000B0B95">
            <w:pPr>
              <w:pStyle w:val="Tabletext"/>
            </w:pPr>
            <w:r w:rsidRPr="00AC382E">
              <w:rPr>
                <w:color w:val="000000"/>
              </w:rPr>
              <w:t>ASIC</w:t>
            </w:r>
          </w:p>
        </w:tc>
      </w:tr>
      <w:tr w:rsidR="00D55494" w14:paraId="6E21C228" w14:textId="77777777" w:rsidTr="000B0B95">
        <w:tc>
          <w:tcPr>
            <w:tcW w:w="1667" w:type="pct"/>
          </w:tcPr>
          <w:p w14:paraId="06E3F350" w14:textId="77777777" w:rsidR="00D55494" w:rsidRDefault="00D55494" w:rsidP="000B0B95">
            <w:pPr>
              <w:pStyle w:val="Tabletext"/>
              <w:rPr>
                <w:color w:val="000000"/>
              </w:rPr>
            </w:pPr>
            <w:r>
              <w:rPr>
                <w:color w:val="000000"/>
              </w:rPr>
              <w:t>section 826E</w:t>
            </w:r>
          </w:p>
        </w:tc>
        <w:tc>
          <w:tcPr>
            <w:tcW w:w="1667" w:type="pct"/>
          </w:tcPr>
          <w:p w14:paraId="71F9F643" w14:textId="77777777" w:rsidR="00D55494" w:rsidRDefault="00D55494" w:rsidP="000B0B95">
            <w:pPr>
              <w:pStyle w:val="Tabletext"/>
              <w:rPr>
                <w:color w:val="000000"/>
              </w:rPr>
            </w:pPr>
            <w:r>
              <w:rPr>
                <w:color w:val="000000"/>
              </w:rPr>
              <w:t>Vary or revoke suspension</w:t>
            </w:r>
          </w:p>
        </w:tc>
        <w:tc>
          <w:tcPr>
            <w:tcW w:w="1666" w:type="pct"/>
          </w:tcPr>
          <w:p w14:paraId="1D695D01" w14:textId="77777777" w:rsidR="00D55494" w:rsidRDefault="00D55494" w:rsidP="000B0B95">
            <w:pPr>
              <w:pStyle w:val="Tabletext"/>
            </w:pPr>
            <w:r w:rsidRPr="00AC382E">
              <w:rPr>
                <w:color w:val="000000"/>
              </w:rPr>
              <w:t>ASIC</w:t>
            </w:r>
          </w:p>
        </w:tc>
      </w:tr>
      <w:tr w:rsidR="00D55494" w14:paraId="534E6977" w14:textId="77777777" w:rsidTr="000B0B95">
        <w:tc>
          <w:tcPr>
            <w:tcW w:w="1667" w:type="pct"/>
          </w:tcPr>
          <w:p w14:paraId="20226DB9" w14:textId="77777777" w:rsidR="00D55494" w:rsidRDefault="00D55494" w:rsidP="000B0B95">
            <w:pPr>
              <w:pStyle w:val="Tabletext"/>
              <w:rPr>
                <w:color w:val="000000"/>
              </w:rPr>
            </w:pPr>
            <w:r>
              <w:rPr>
                <w:color w:val="000000"/>
              </w:rPr>
              <w:t>section 826F</w:t>
            </w:r>
          </w:p>
        </w:tc>
        <w:tc>
          <w:tcPr>
            <w:tcW w:w="1667" w:type="pct"/>
          </w:tcPr>
          <w:p w14:paraId="63D808FA" w14:textId="77777777" w:rsidR="00D55494" w:rsidRDefault="00D55494" w:rsidP="000B0B95">
            <w:pPr>
              <w:pStyle w:val="Tabletext"/>
              <w:rPr>
                <w:color w:val="000000"/>
              </w:rPr>
            </w:pPr>
            <w:r>
              <w:rPr>
                <w:color w:val="000000"/>
              </w:rPr>
              <w:t>Publication of notice of licence suspension or cancellation</w:t>
            </w:r>
          </w:p>
        </w:tc>
        <w:tc>
          <w:tcPr>
            <w:tcW w:w="1666" w:type="pct"/>
          </w:tcPr>
          <w:p w14:paraId="71DD568E" w14:textId="77777777" w:rsidR="00D55494" w:rsidRDefault="00D55494" w:rsidP="000B0B95">
            <w:pPr>
              <w:pStyle w:val="Tabletext"/>
            </w:pPr>
            <w:r w:rsidRPr="00AC382E">
              <w:rPr>
                <w:color w:val="000000"/>
              </w:rPr>
              <w:t>ASIC</w:t>
            </w:r>
          </w:p>
        </w:tc>
      </w:tr>
      <w:tr w:rsidR="00D55494" w14:paraId="27023FAD" w14:textId="77777777" w:rsidTr="000B0B95">
        <w:tc>
          <w:tcPr>
            <w:tcW w:w="5000" w:type="pct"/>
            <w:gridSpan w:val="3"/>
          </w:tcPr>
          <w:p w14:paraId="0230D905" w14:textId="77777777" w:rsidR="00D55494" w:rsidRPr="00AC382E" w:rsidRDefault="00D55494" w:rsidP="000B0B95">
            <w:pPr>
              <w:pStyle w:val="Tabletext"/>
              <w:jc w:val="center"/>
              <w:rPr>
                <w:color w:val="000000"/>
              </w:rPr>
            </w:pPr>
            <w:r w:rsidRPr="008F4CA4">
              <w:rPr>
                <w:rFonts w:ascii="Helvetica" w:hAnsi="Helvetica" w:cs="Helvetica"/>
                <w:b/>
                <w:i/>
                <w:iCs/>
                <w:sz w:val="22"/>
                <w:szCs w:val="22"/>
                <w:lang w:eastAsia="en-US"/>
              </w:rPr>
              <w:t>Compensation regimes for financial markets</w:t>
            </w:r>
          </w:p>
        </w:tc>
      </w:tr>
      <w:tr w:rsidR="00D55494" w14:paraId="5F57BDEE" w14:textId="77777777" w:rsidTr="000B0B95">
        <w:tc>
          <w:tcPr>
            <w:tcW w:w="1667" w:type="pct"/>
          </w:tcPr>
          <w:p w14:paraId="1C51A5CC" w14:textId="77777777" w:rsidR="00D55494" w:rsidRDefault="00D55494" w:rsidP="000B0B95">
            <w:pPr>
              <w:pStyle w:val="Tabletext"/>
              <w:rPr>
                <w:color w:val="000000"/>
              </w:rPr>
            </w:pPr>
            <w:r>
              <w:rPr>
                <w:color w:val="000000"/>
              </w:rPr>
              <w:t>section 881D</w:t>
            </w:r>
          </w:p>
        </w:tc>
        <w:tc>
          <w:tcPr>
            <w:tcW w:w="1667" w:type="pct"/>
          </w:tcPr>
          <w:p w14:paraId="03523457" w14:textId="77777777" w:rsidR="00D55494" w:rsidRDefault="00D55494" w:rsidP="000B0B95">
            <w:pPr>
              <w:pStyle w:val="Tabletext"/>
              <w:rPr>
                <w:color w:val="000000"/>
              </w:rPr>
            </w:pPr>
            <w:r>
              <w:rPr>
                <w:color w:val="000000"/>
              </w:rPr>
              <w:t>Consider whether market will be covered by Division 4 of Part 7.5 of the Corporations Act</w:t>
            </w:r>
          </w:p>
        </w:tc>
        <w:tc>
          <w:tcPr>
            <w:tcW w:w="1666" w:type="pct"/>
          </w:tcPr>
          <w:p w14:paraId="03AEAE0C" w14:textId="77777777" w:rsidR="00D55494" w:rsidRPr="00AC382E" w:rsidRDefault="00D55494" w:rsidP="000B0B95">
            <w:pPr>
              <w:pStyle w:val="Tabletext"/>
              <w:rPr>
                <w:color w:val="000000"/>
              </w:rPr>
            </w:pPr>
            <w:r w:rsidRPr="00AC382E">
              <w:rPr>
                <w:color w:val="000000"/>
              </w:rPr>
              <w:t>ASIC</w:t>
            </w:r>
          </w:p>
        </w:tc>
      </w:tr>
      <w:tr w:rsidR="00D55494" w14:paraId="3D73F4C7" w14:textId="77777777" w:rsidTr="000B0B95">
        <w:tc>
          <w:tcPr>
            <w:tcW w:w="1667" w:type="pct"/>
          </w:tcPr>
          <w:p w14:paraId="441E2D71" w14:textId="77777777" w:rsidR="00D55494" w:rsidRDefault="00D55494" w:rsidP="000B0B95">
            <w:pPr>
              <w:pStyle w:val="Tabletext"/>
              <w:rPr>
                <w:color w:val="000000"/>
              </w:rPr>
            </w:pPr>
            <w:r>
              <w:rPr>
                <w:color w:val="000000"/>
              </w:rPr>
              <w:t>section 882A</w:t>
            </w:r>
          </w:p>
        </w:tc>
        <w:tc>
          <w:tcPr>
            <w:tcW w:w="1667" w:type="pct"/>
          </w:tcPr>
          <w:p w14:paraId="54C2185F" w14:textId="77777777" w:rsidR="00D55494" w:rsidRDefault="00D55494" w:rsidP="000B0B95">
            <w:pPr>
              <w:pStyle w:val="Tabletext"/>
              <w:rPr>
                <w:color w:val="000000"/>
              </w:rPr>
            </w:pPr>
            <w:r>
              <w:rPr>
                <w:color w:val="000000"/>
              </w:rPr>
              <w:t>Approve compensation arrangements with grant of licence</w:t>
            </w:r>
          </w:p>
        </w:tc>
        <w:tc>
          <w:tcPr>
            <w:tcW w:w="1666" w:type="pct"/>
          </w:tcPr>
          <w:p w14:paraId="352DE9ED" w14:textId="77777777" w:rsidR="00D55494" w:rsidRPr="00AC382E" w:rsidRDefault="00D55494" w:rsidP="000B0B95">
            <w:pPr>
              <w:pStyle w:val="Tabletext"/>
              <w:rPr>
                <w:color w:val="000000"/>
              </w:rPr>
            </w:pPr>
            <w:r w:rsidRPr="00152845">
              <w:rPr>
                <w:color w:val="000000"/>
              </w:rPr>
              <w:t>ASIC</w:t>
            </w:r>
          </w:p>
        </w:tc>
      </w:tr>
      <w:tr w:rsidR="00D55494" w14:paraId="6A7A43E5" w14:textId="77777777" w:rsidTr="000B0B95">
        <w:tc>
          <w:tcPr>
            <w:tcW w:w="1667" w:type="pct"/>
          </w:tcPr>
          <w:p w14:paraId="24823B4E" w14:textId="77777777" w:rsidR="00D55494" w:rsidRDefault="00D55494" w:rsidP="000B0B95">
            <w:pPr>
              <w:pStyle w:val="Tabletext"/>
              <w:rPr>
                <w:color w:val="000000"/>
              </w:rPr>
            </w:pPr>
            <w:r>
              <w:rPr>
                <w:color w:val="000000"/>
              </w:rPr>
              <w:t>section 882B</w:t>
            </w:r>
          </w:p>
        </w:tc>
        <w:tc>
          <w:tcPr>
            <w:tcW w:w="1667" w:type="pct"/>
          </w:tcPr>
          <w:p w14:paraId="3329DDFA" w14:textId="77777777" w:rsidR="00D55494" w:rsidRDefault="00D55494" w:rsidP="000B0B95">
            <w:pPr>
              <w:pStyle w:val="Tabletext"/>
              <w:rPr>
                <w:color w:val="000000"/>
              </w:rPr>
            </w:pPr>
            <w:r>
              <w:rPr>
                <w:color w:val="000000"/>
              </w:rPr>
              <w:t>Approve compensation arrangements after licence is granted</w:t>
            </w:r>
          </w:p>
        </w:tc>
        <w:tc>
          <w:tcPr>
            <w:tcW w:w="1666" w:type="pct"/>
          </w:tcPr>
          <w:p w14:paraId="683593F6" w14:textId="77777777" w:rsidR="00D55494" w:rsidRPr="00AC382E" w:rsidRDefault="00D55494" w:rsidP="000B0B95">
            <w:pPr>
              <w:pStyle w:val="Tabletext"/>
              <w:rPr>
                <w:color w:val="000000"/>
              </w:rPr>
            </w:pPr>
            <w:r w:rsidRPr="00152845">
              <w:rPr>
                <w:color w:val="000000"/>
              </w:rPr>
              <w:t>ASIC</w:t>
            </w:r>
          </w:p>
        </w:tc>
      </w:tr>
      <w:tr w:rsidR="00D55494" w14:paraId="0F557593" w14:textId="77777777" w:rsidTr="000B0B95">
        <w:tc>
          <w:tcPr>
            <w:tcW w:w="1667" w:type="pct"/>
          </w:tcPr>
          <w:p w14:paraId="6F8B87DF" w14:textId="77777777" w:rsidR="00D55494" w:rsidRDefault="00D55494" w:rsidP="000B0B95">
            <w:pPr>
              <w:pStyle w:val="Tabletext"/>
              <w:rPr>
                <w:color w:val="000000"/>
              </w:rPr>
            </w:pPr>
            <w:r>
              <w:rPr>
                <w:color w:val="000000"/>
              </w:rPr>
              <w:t>section 882C</w:t>
            </w:r>
          </w:p>
        </w:tc>
        <w:tc>
          <w:tcPr>
            <w:tcW w:w="1667" w:type="pct"/>
          </w:tcPr>
          <w:p w14:paraId="56E8747D" w14:textId="77777777" w:rsidR="00D55494" w:rsidRDefault="00D55494" w:rsidP="000B0B95">
            <w:pPr>
              <w:pStyle w:val="Tabletext"/>
              <w:rPr>
                <w:color w:val="000000"/>
              </w:rPr>
            </w:pPr>
            <w:r>
              <w:rPr>
                <w:color w:val="000000"/>
              </w:rPr>
              <w:t>Revoke an approval of compensation arrangements</w:t>
            </w:r>
          </w:p>
        </w:tc>
        <w:tc>
          <w:tcPr>
            <w:tcW w:w="1666" w:type="pct"/>
          </w:tcPr>
          <w:p w14:paraId="2EC9D0A1" w14:textId="77777777" w:rsidR="00D55494" w:rsidRPr="00AC382E" w:rsidRDefault="00D55494" w:rsidP="000B0B95">
            <w:pPr>
              <w:pStyle w:val="Tabletext"/>
              <w:rPr>
                <w:color w:val="000000"/>
              </w:rPr>
            </w:pPr>
            <w:r w:rsidRPr="00B26169">
              <w:rPr>
                <w:color w:val="000000"/>
              </w:rPr>
              <w:t>ASIC</w:t>
            </w:r>
          </w:p>
        </w:tc>
      </w:tr>
      <w:tr w:rsidR="00D55494" w14:paraId="38490011" w14:textId="77777777" w:rsidTr="000B0B95">
        <w:tc>
          <w:tcPr>
            <w:tcW w:w="1667" w:type="pct"/>
          </w:tcPr>
          <w:p w14:paraId="5C8C4E02" w14:textId="77777777" w:rsidR="00D55494" w:rsidRDefault="00D55494" w:rsidP="000B0B95">
            <w:pPr>
              <w:pStyle w:val="Tabletext"/>
              <w:rPr>
                <w:color w:val="000000"/>
              </w:rPr>
            </w:pPr>
            <w:r>
              <w:rPr>
                <w:color w:val="000000"/>
              </w:rPr>
              <w:t>section 882D</w:t>
            </w:r>
          </w:p>
        </w:tc>
        <w:tc>
          <w:tcPr>
            <w:tcW w:w="1667" w:type="pct"/>
          </w:tcPr>
          <w:p w14:paraId="0D99991E" w14:textId="77777777" w:rsidR="00D55494" w:rsidRDefault="00D55494" w:rsidP="000B0B95">
            <w:pPr>
              <w:pStyle w:val="Tabletext"/>
              <w:rPr>
                <w:color w:val="000000"/>
              </w:rPr>
            </w:pPr>
            <w:r>
              <w:rPr>
                <w:color w:val="000000"/>
              </w:rPr>
              <w:t>Issue directions to licensee</w:t>
            </w:r>
          </w:p>
        </w:tc>
        <w:tc>
          <w:tcPr>
            <w:tcW w:w="1666" w:type="pct"/>
          </w:tcPr>
          <w:p w14:paraId="5893C713" w14:textId="77777777" w:rsidR="00D55494" w:rsidRPr="00AC382E" w:rsidRDefault="00D55494" w:rsidP="000B0B95">
            <w:pPr>
              <w:pStyle w:val="Tabletext"/>
              <w:rPr>
                <w:color w:val="000000"/>
              </w:rPr>
            </w:pPr>
            <w:r w:rsidRPr="00B26169">
              <w:rPr>
                <w:color w:val="000000"/>
              </w:rPr>
              <w:t>ASIC</w:t>
            </w:r>
          </w:p>
        </w:tc>
      </w:tr>
      <w:tr w:rsidR="00D55494" w14:paraId="263CFD41" w14:textId="77777777" w:rsidTr="000B0B95">
        <w:tc>
          <w:tcPr>
            <w:tcW w:w="1667" w:type="pct"/>
          </w:tcPr>
          <w:p w14:paraId="63944FAF" w14:textId="77777777" w:rsidR="00D55494" w:rsidRDefault="00D55494" w:rsidP="000B0B95">
            <w:pPr>
              <w:pStyle w:val="Tabletext"/>
              <w:rPr>
                <w:color w:val="000000"/>
              </w:rPr>
            </w:pPr>
            <w:r>
              <w:rPr>
                <w:color w:val="000000"/>
              </w:rPr>
              <w:t>section 884B</w:t>
            </w:r>
          </w:p>
        </w:tc>
        <w:tc>
          <w:tcPr>
            <w:tcW w:w="1667" w:type="pct"/>
          </w:tcPr>
          <w:p w14:paraId="4BC1DFAA" w14:textId="77777777" w:rsidR="00D55494" w:rsidRDefault="00D55494" w:rsidP="000B0B95">
            <w:pPr>
              <w:pStyle w:val="Tabletext"/>
              <w:rPr>
                <w:color w:val="000000"/>
              </w:rPr>
            </w:pPr>
            <w:r>
              <w:rPr>
                <w:color w:val="000000"/>
              </w:rPr>
              <w:t>Disallow changes to compensation rules</w:t>
            </w:r>
          </w:p>
        </w:tc>
        <w:tc>
          <w:tcPr>
            <w:tcW w:w="1666" w:type="pct"/>
          </w:tcPr>
          <w:p w14:paraId="67AE5698" w14:textId="77777777" w:rsidR="00D55494" w:rsidRPr="00AC382E" w:rsidRDefault="00D55494" w:rsidP="000B0B95">
            <w:pPr>
              <w:pStyle w:val="Tabletext"/>
              <w:rPr>
                <w:color w:val="000000"/>
              </w:rPr>
            </w:pPr>
            <w:r w:rsidRPr="00B26169">
              <w:rPr>
                <w:color w:val="000000"/>
              </w:rPr>
              <w:t>ASIC</w:t>
            </w:r>
          </w:p>
        </w:tc>
      </w:tr>
      <w:tr w:rsidR="00D55494" w14:paraId="16587CA7" w14:textId="77777777" w:rsidTr="000B0B95">
        <w:tc>
          <w:tcPr>
            <w:tcW w:w="1667" w:type="pct"/>
          </w:tcPr>
          <w:p w14:paraId="0CCC8002" w14:textId="77777777" w:rsidR="00D55494" w:rsidRDefault="00D55494" w:rsidP="000B0B95">
            <w:pPr>
              <w:pStyle w:val="Tabletext"/>
              <w:rPr>
                <w:color w:val="000000"/>
              </w:rPr>
            </w:pPr>
            <w:r>
              <w:rPr>
                <w:color w:val="000000"/>
              </w:rPr>
              <w:t>section 884C</w:t>
            </w:r>
          </w:p>
        </w:tc>
        <w:tc>
          <w:tcPr>
            <w:tcW w:w="1667" w:type="pct"/>
          </w:tcPr>
          <w:p w14:paraId="1C577497" w14:textId="77777777" w:rsidR="00D55494" w:rsidRDefault="00D55494" w:rsidP="000B0B95">
            <w:pPr>
              <w:pStyle w:val="Tabletext"/>
              <w:rPr>
                <w:color w:val="000000"/>
              </w:rPr>
            </w:pPr>
            <w:r>
              <w:rPr>
                <w:color w:val="000000"/>
              </w:rPr>
              <w:t>Approve changes to compensation arrangements</w:t>
            </w:r>
          </w:p>
        </w:tc>
        <w:tc>
          <w:tcPr>
            <w:tcW w:w="1666" w:type="pct"/>
          </w:tcPr>
          <w:p w14:paraId="6220909B" w14:textId="77777777" w:rsidR="00D55494" w:rsidRPr="00AC382E" w:rsidRDefault="00D55494" w:rsidP="000B0B95">
            <w:pPr>
              <w:pStyle w:val="Tabletext"/>
              <w:rPr>
                <w:color w:val="000000"/>
              </w:rPr>
            </w:pPr>
            <w:r w:rsidRPr="00B26169">
              <w:rPr>
                <w:color w:val="000000"/>
              </w:rPr>
              <w:t>ASIC</w:t>
            </w:r>
          </w:p>
        </w:tc>
      </w:tr>
      <w:tr w:rsidR="00D55494" w14:paraId="0DFC7576" w14:textId="77777777" w:rsidTr="000B0B95">
        <w:tc>
          <w:tcPr>
            <w:tcW w:w="1667" w:type="pct"/>
          </w:tcPr>
          <w:p w14:paraId="5BB2CD30" w14:textId="77777777" w:rsidR="00D55494" w:rsidRDefault="00D55494" w:rsidP="000B0B95">
            <w:pPr>
              <w:pStyle w:val="Tabletext"/>
              <w:rPr>
                <w:color w:val="000000"/>
              </w:rPr>
            </w:pPr>
            <w:r>
              <w:rPr>
                <w:color w:val="000000"/>
              </w:rPr>
              <w:t>section 885B</w:t>
            </w:r>
          </w:p>
        </w:tc>
        <w:tc>
          <w:tcPr>
            <w:tcW w:w="1667" w:type="pct"/>
          </w:tcPr>
          <w:p w14:paraId="75767EF4" w14:textId="77777777" w:rsidR="00D55494" w:rsidRDefault="00D55494" w:rsidP="000B0B95">
            <w:pPr>
              <w:pStyle w:val="Tabletext"/>
              <w:rPr>
                <w:color w:val="000000"/>
              </w:rPr>
            </w:pPr>
            <w:r>
              <w:rPr>
                <w:color w:val="000000"/>
              </w:rPr>
              <w:t>Requirements for compensation arrangements to be adequate</w:t>
            </w:r>
          </w:p>
        </w:tc>
        <w:tc>
          <w:tcPr>
            <w:tcW w:w="1666" w:type="pct"/>
          </w:tcPr>
          <w:p w14:paraId="5DF152A5" w14:textId="77777777" w:rsidR="00D55494" w:rsidRPr="00AC382E" w:rsidRDefault="00D55494" w:rsidP="000B0B95">
            <w:pPr>
              <w:pStyle w:val="Tabletext"/>
              <w:rPr>
                <w:color w:val="000000"/>
              </w:rPr>
            </w:pPr>
            <w:r w:rsidRPr="00B26169">
              <w:rPr>
                <w:color w:val="000000"/>
              </w:rPr>
              <w:t>ASIC</w:t>
            </w:r>
          </w:p>
        </w:tc>
      </w:tr>
      <w:tr w:rsidR="00D55494" w14:paraId="20A22F95" w14:textId="77777777" w:rsidTr="000B0B95">
        <w:tc>
          <w:tcPr>
            <w:tcW w:w="1667" w:type="pct"/>
          </w:tcPr>
          <w:p w14:paraId="2932EA76" w14:textId="77777777" w:rsidR="00D55494" w:rsidRDefault="00D55494" w:rsidP="000B0B95">
            <w:pPr>
              <w:pStyle w:val="Tabletext"/>
              <w:rPr>
                <w:color w:val="000000"/>
              </w:rPr>
            </w:pPr>
            <w:r>
              <w:rPr>
                <w:color w:val="000000"/>
              </w:rPr>
              <w:t>section 885C</w:t>
            </w:r>
          </w:p>
        </w:tc>
        <w:tc>
          <w:tcPr>
            <w:tcW w:w="1667" w:type="pct"/>
          </w:tcPr>
          <w:p w14:paraId="21598C5B" w14:textId="77777777" w:rsidR="00D55494" w:rsidRDefault="00D55494" w:rsidP="000B0B95">
            <w:pPr>
              <w:pStyle w:val="Tabletext"/>
              <w:rPr>
                <w:color w:val="000000"/>
              </w:rPr>
            </w:pPr>
            <w:r>
              <w:rPr>
                <w:color w:val="000000"/>
              </w:rPr>
              <w:t>Adequacy of compensation arrangements – losses to be covered</w:t>
            </w:r>
          </w:p>
        </w:tc>
        <w:tc>
          <w:tcPr>
            <w:tcW w:w="1666" w:type="pct"/>
          </w:tcPr>
          <w:p w14:paraId="036A5096" w14:textId="77777777" w:rsidR="00D55494" w:rsidRPr="00AC382E" w:rsidRDefault="00D55494" w:rsidP="000B0B95">
            <w:pPr>
              <w:pStyle w:val="Tabletext"/>
              <w:rPr>
                <w:color w:val="000000"/>
              </w:rPr>
            </w:pPr>
            <w:r w:rsidRPr="00B26169">
              <w:rPr>
                <w:color w:val="000000"/>
              </w:rPr>
              <w:t>ASIC</w:t>
            </w:r>
          </w:p>
        </w:tc>
      </w:tr>
      <w:tr w:rsidR="00D55494" w14:paraId="0E162753" w14:textId="77777777" w:rsidTr="000B0B95">
        <w:tc>
          <w:tcPr>
            <w:tcW w:w="1667" w:type="pct"/>
          </w:tcPr>
          <w:p w14:paraId="09083D9A" w14:textId="77777777" w:rsidR="00D55494" w:rsidRDefault="00D55494" w:rsidP="000B0B95">
            <w:pPr>
              <w:pStyle w:val="Tabletext"/>
              <w:rPr>
                <w:color w:val="000000"/>
              </w:rPr>
            </w:pPr>
            <w:r>
              <w:rPr>
                <w:color w:val="000000"/>
              </w:rPr>
              <w:lastRenderedPageBreak/>
              <w:t>section 885J</w:t>
            </w:r>
          </w:p>
        </w:tc>
        <w:tc>
          <w:tcPr>
            <w:tcW w:w="1667" w:type="pct"/>
          </w:tcPr>
          <w:p w14:paraId="1C2FE196" w14:textId="77777777" w:rsidR="00D55494" w:rsidRDefault="00D55494" w:rsidP="000B0B95">
            <w:pPr>
              <w:pStyle w:val="Tabletext"/>
              <w:rPr>
                <w:color w:val="000000"/>
              </w:rPr>
            </w:pPr>
            <w:r>
              <w:rPr>
                <w:color w:val="000000"/>
              </w:rPr>
              <w:t xml:space="preserve">Adequacy of compensation arrangements </w:t>
            </w:r>
            <w:r>
              <w:rPr>
                <w:color w:val="000000"/>
              </w:rPr>
              <w:noBreakHyphen/>
              <w:t xml:space="preserve"> other matters to be </w:t>
            </w:r>
            <w:proofErr w:type="gramStart"/>
            <w:r>
              <w:rPr>
                <w:color w:val="000000"/>
              </w:rPr>
              <w:t>taken into account</w:t>
            </w:r>
            <w:proofErr w:type="gramEnd"/>
          </w:p>
        </w:tc>
        <w:tc>
          <w:tcPr>
            <w:tcW w:w="1666" w:type="pct"/>
          </w:tcPr>
          <w:p w14:paraId="73EE0A83" w14:textId="77777777" w:rsidR="00D55494" w:rsidRPr="00AC382E" w:rsidRDefault="00D55494" w:rsidP="000B0B95">
            <w:pPr>
              <w:pStyle w:val="Tabletext"/>
              <w:rPr>
                <w:color w:val="000000"/>
              </w:rPr>
            </w:pPr>
            <w:r w:rsidRPr="00B26169">
              <w:rPr>
                <w:color w:val="000000"/>
              </w:rPr>
              <w:t>ASIC</w:t>
            </w:r>
          </w:p>
        </w:tc>
      </w:tr>
      <w:tr w:rsidR="00D55494" w14:paraId="29350B6B" w14:textId="77777777" w:rsidTr="000B0B95">
        <w:tc>
          <w:tcPr>
            <w:tcW w:w="1667" w:type="pct"/>
          </w:tcPr>
          <w:p w14:paraId="02EF45A4" w14:textId="77777777" w:rsidR="00D55494" w:rsidRDefault="00D55494" w:rsidP="000B0B95">
            <w:pPr>
              <w:pStyle w:val="Tabletext"/>
              <w:rPr>
                <w:color w:val="000000"/>
              </w:rPr>
            </w:pPr>
            <w:r>
              <w:rPr>
                <w:color w:val="000000"/>
              </w:rPr>
              <w:t>section 890H</w:t>
            </w:r>
          </w:p>
        </w:tc>
        <w:tc>
          <w:tcPr>
            <w:tcW w:w="1667" w:type="pct"/>
          </w:tcPr>
          <w:p w14:paraId="304F57AE" w14:textId="77777777" w:rsidR="00D55494" w:rsidRDefault="00D55494" w:rsidP="000B0B95">
            <w:pPr>
              <w:pStyle w:val="Tabletext"/>
              <w:rPr>
                <w:color w:val="000000"/>
              </w:rPr>
            </w:pPr>
            <w:r>
              <w:rPr>
                <w:color w:val="000000"/>
              </w:rPr>
              <w:t>Disallow changes to the operating rules of the Securities Exchanges Guarantee Corporation</w:t>
            </w:r>
          </w:p>
        </w:tc>
        <w:tc>
          <w:tcPr>
            <w:tcW w:w="1666" w:type="pct"/>
          </w:tcPr>
          <w:p w14:paraId="6EE38367" w14:textId="77777777" w:rsidR="00D55494" w:rsidRPr="00AC382E" w:rsidRDefault="00D55494" w:rsidP="000B0B95">
            <w:pPr>
              <w:pStyle w:val="Tabletext"/>
              <w:rPr>
                <w:color w:val="000000"/>
              </w:rPr>
            </w:pPr>
            <w:r w:rsidRPr="00B26169">
              <w:rPr>
                <w:color w:val="000000"/>
              </w:rPr>
              <w:t>ASIC</w:t>
            </w:r>
          </w:p>
        </w:tc>
      </w:tr>
      <w:tr w:rsidR="00D55494" w14:paraId="51309724" w14:textId="77777777" w:rsidTr="000B0B95">
        <w:tc>
          <w:tcPr>
            <w:tcW w:w="1667" w:type="pct"/>
          </w:tcPr>
          <w:p w14:paraId="7303CB3B" w14:textId="77777777" w:rsidR="00D55494" w:rsidRDefault="00D55494" w:rsidP="000B0B95">
            <w:pPr>
              <w:pStyle w:val="Tabletext"/>
              <w:rPr>
                <w:color w:val="000000"/>
              </w:rPr>
            </w:pPr>
            <w:r>
              <w:rPr>
                <w:color w:val="000000"/>
              </w:rPr>
              <w:t>section 892K</w:t>
            </w:r>
          </w:p>
        </w:tc>
        <w:tc>
          <w:tcPr>
            <w:tcW w:w="1667" w:type="pct"/>
          </w:tcPr>
          <w:p w14:paraId="73987B95" w14:textId="77777777" w:rsidR="00D55494" w:rsidRDefault="00D55494" w:rsidP="000B0B95">
            <w:pPr>
              <w:pStyle w:val="Tabletext"/>
              <w:rPr>
                <w:color w:val="000000"/>
              </w:rPr>
            </w:pPr>
            <w:r>
              <w:rPr>
                <w:color w:val="000000"/>
              </w:rPr>
              <w:t>Request a risk assessment report</w:t>
            </w:r>
          </w:p>
        </w:tc>
        <w:tc>
          <w:tcPr>
            <w:tcW w:w="1666" w:type="pct"/>
          </w:tcPr>
          <w:p w14:paraId="3BCA0BB9" w14:textId="77777777" w:rsidR="00D55494" w:rsidRPr="00AC382E" w:rsidRDefault="00D55494" w:rsidP="000B0B95">
            <w:pPr>
              <w:pStyle w:val="Tabletext"/>
              <w:rPr>
                <w:color w:val="000000"/>
              </w:rPr>
            </w:pPr>
            <w:r w:rsidRPr="003F05B8">
              <w:rPr>
                <w:color w:val="000000"/>
              </w:rPr>
              <w:t>ASIC</w:t>
            </w:r>
          </w:p>
        </w:tc>
      </w:tr>
      <w:tr w:rsidR="00D55494" w14:paraId="1DF79397" w14:textId="77777777" w:rsidTr="000B0B95">
        <w:tc>
          <w:tcPr>
            <w:tcW w:w="1667" w:type="pct"/>
          </w:tcPr>
          <w:p w14:paraId="50231F3D" w14:textId="77777777" w:rsidR="00D55494" w:rsidRDefault="00D55494" w:rsidP="000B0B95">
            <w:pPr>
              <w:pStyle w:val="Tabletext"/>
              <w:rPr>
                <w:color w:val="000000"/>
              </w:rPr>
            </w:pPr>
            <w:r>
              <w:rPr>
                <w:color w:val="000000"/>
              </w:rPr>
              <w:t>section 893B</w:t>
            </w:r>
          </w:p>
        </w:tc>
        <w:tc>
          <w:tcPr>
            <w:tcW w:w="1667" w:type="pct"/>
          </w:tcPr>
          <w:p w14:paraId="6E7234DC" w14:textId="77777777" w:rsidR="00D55494" w:rsidRDefault="00D55494" w:rsidP="000B0B95">
            <w:pPr>
              <w:pStyle w:val="Tabletext"/>
              <w:rPr>
                <w:color w:val="000000"/>
              </w:rPr>
            </w:pPr>
            <w:r>
              <w:rPr>
                <w:color w:val="000000"/>
              </w:rPr>
              <w:t>Issue/revoke exemption from all or specified provisions of Part 7.5 (compensation regimes) and vary/revoke an exemption</w:t>
            </w:r>
          </w:p>
        </w:tc>
        <w:tc>
          <w:tcPr>
            <w:tcW w:w="1666" w:type="pct"/>
          </w:tcPr>
          <w:p w14:paraId="2E62C3A0" w14:textId="77777777" w:rsidR="00D55494" w:rsidRPr="00AC382E" w:rsidRDefault="00D55494" w:rsidP="000B0B95">
            <w:pPr>
              <w:pStyle w:val="Tabletext"/>
              <w:rPr>
                <w:color w:val="000000"/>
              </w:rPr>
            </w:pPr>
            <w:r w:rsidRPr="003F05B8">
              <w:rPr>
                <w:color w:val="000000"/>
              </w:rPr>
              <w:t>ASIC</w:t>
            </w:r>
          </w:p>
        </w:tc>
      </w:tr>
    </w:tbl>
    <w:p w14:paraId="4D81E808" w14:textId="77777777" w:rsidR="00F00380" w:rsidRPr="00020288" w:rsidRDefault="00F00380">
      <w:pPr>
        <w:pStyle w:val="Heading2"/>
        <w:rPr>
          <w:rFonts w:hint="eastAsia"/>
        </w:rPr>
      </w:pPr>
      <w:bookmarkStart w:id="104" w:name="_Toc152860466"/>
      <w:r w:rsidRPr="00AF50CE">
        <w:t>Comparison</w:t>
      </w:r>
      <w:r w:rsidRPr="00020288">
        <w:t xml:space="preserve"> of key features of new law and current law</w:t>
      </w:r>
      <w:bookmarkEnd w:id="104"/>
    </w:p>
    <w:p w14:paraId="5F79D16D" w14:textId="77777777" w:rsidR="00F00380" w:rsidRPr="002D3B91" w:rsidRDefault="00F00380" w:rsidP="00F00380">
      <w:pPr>
        <w:pStyle w:val="TableHeading"/>
        <w:numPr>
          <w:ilvl w:val="4"/>
          <w:numId w:val="42"/>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B72AEA" w:rsidRPr="00020288" w14:paraId="7BCD8771" w14:textId="77777777">
        <w:trPr>
          <w:cnfStyle w:val="100000000000" w:firstRow="1" w:lastRow="0" w:firstColumn="0" w:lastColumn="0" w:oddVBand="0" w:evenVBand="0" w:oddHBand="0" w:evenHBand="0" w:firstRowFirstColumn="0" w:firstRowLastColumn="0" w:lastRowFirstColumn="0" w:lastRowLastColumn="0"/>
        </w:trPr>
        <w:tc>
          <w:tcPr>
            <w:tcW w:w="3776" w:type="dxa"/>
          </w:tcPr>
          <w:p w14:paraId="403673C6" w14:textId="77777777" w:rsidR="00FD4EF7" w:rsidRDefault="00F00380" w:rsidP="00FD4EF7">
            <w:pPr>
              <w:pStyle w:val="Tableheaderrowtext"/>
              <w:numPr>
                <w:ilvl w:val="3"/>
                <w:numId w:val="2"/>
              </w:numPr>
              <w:ind w:left="1701" w:hanging="1701"/>
            </w:pPr>
            <w:r w:rsidRPr="00A61FE9">
              <w:t>New law</w:t>
            </w:r>
          </w:p>
          <w:p w14:paraId="5F642DD2" w14:textId="764F94A9" w:rsidR="00F00380" w:rsidRPr="00AE6620" w:rsidRDefault="007F7340" w:rsidP="00FD4EF7">
            <w:pPr>
              <w:pStyle w:val="Tableheaderrowtext"/>
              <w:rPr>
                <w:sz w:val="16"/>
                <w:szCs w:val="16"/>
              </w:rPr>
            </w:pPr>
            <w:r w:rsidRPr="00AE6620">
              <w:rPr>
                <w:sz w:val="16"/>
                <w:szCs w:val="16"/>
              </w:rPr>
              <w:t>(</w:t>
            </w:r>
            <w:proofErr w:type="gramStart"/>
            <w:r w:rsidRPr="00AE6620">
              <w:rPr>
                <w:sz w:val="16"/>
                <w:szCs w:val="16"/>
              </w:rPr>
              <w:t>in</w:t>
            </w:r>
            <w:proofErr w:type="gramEnd"/>
            <w:r w:rsidRPr="00AE6620">
              <w:rPr>
                <w:sz w:val="16"/>
                <w:szCs w:val="16"/>
              </w:rPr>
              <w:t xml:space="preserve"> </w:t>
            </w:r>
            <w:r>
              <w:rPr>
                <w:sz w:val="16"/>
                <w:szCs w:val="16"/>
              </w:rPr>
              <w:t>relation</w:t>
            </w:r>
            <w:r w:rsidRPr="00AE6620">
              <w:rPr>
                <w:sz w:val="16"/>
                <w:szCs w:val="16"/>
              </w:rPr>
              <w:t xml:space="preserve"> to the application of </w:t>
            </w:r>
            <w:r>
              <w:rPr>
                <w:sz w:val="16"/>
                <w:szCs w:val="16"/>
              </w:rPr>
              <w:t xml:space="preserve">Schedule </w:t>
            </w:r>
            <w:r w:rsidR="00531198">
              <w:rPr>
                <w:sz w:val="16"/>
                <w:szCs w:val="16"/>
              </w:rPr>
              <w:t>2</w:t>
            </w:r>
            <w:r>
              <w:rPr>
                <w:sz w:val="16"/>
                <w:szCs w:val="16"/>
              </w:rPr>
              <w:t>)</w:t>
            </w:r>
          </w:p>
        </w:tc>
        <w:tc>
          <w:tcPr>
            <w:tcW w:w="3874" w:type="dxa"/>
          </w:tcPr>
          <w:p w14:paraId="213EA85C" w14:textId="77777777" w:rsidR="00F00380" w:rsidRPr="00A61FE9" w:rsidRDefault="00F00380" w:rsidP="00F00380">
            <w:pPr>
              <w:pStyle w:val="Tableheaderrowtext"/>
              <w:numPr>
                <w:ilvl w:val="3"/>
                <w:numId w:val="2"/>
              </w:numPr>
              <w:ind w:left="1701" w:hanging="1701"/>
            </w:pPr>
            <w:r w:rsidRPr="00A61FE9">
              <w:t>Current law</w:t>
            </w:r>
          </w:p>
        </w:tc>
      </w:tr>
      <w:tr w:rsidR="00F00380" w:rsidRPr="00020288" w14:paraId="12B92AFD" w14:textId="77777777">
        <w:tc>
          <w:tcPr>
            <w:tcW w:w="3776" w:type="dxa"/>
          </w:tcPr>
          <w:p w14:paraId="16D1F8D5" w14:textId="00EA6F7C" w:rsidR="00F00380" w:rsidRPr="00020288" w:rsidRDefault="00644061">
            <w:pPr>
              <w:pStyle w:val="Tabletext"/>
            </w:pPr>
            <w:r w:rsidRPr="00800991">
              <w:t>ASIC may</w:t>
            </w:r>
            <w:r>
              <w:t xml:space="preserve"> grant an</w:t>
            </w:r>
            <w:r w:rsidR="00742A06">
              <w:t xml:space="preserve"> Australian CS facility</w:t>
            </w:r>
            <w:r w:rsidR="00C668C4" w:rsidRPr="00C668C4">
              <w:t xml:space="preserve"> licence </w:t>
            </w:r>
            <w:r w:rsidR="00C668C4">
              <w:t xml:space="preserve">to </w:t>
            </w:r>
            <w:r w:rsidR="00742A06">
              <w:t>a body corporate registered under Chapter 2A,</w:t>
            </w:r>
            <w:r w:rsidR="00C668C4">
              <w:t xml:space="preserve"> </w:t>
            </w:r>
            <w:r w:rsidR="00742A06">
              <w:t xml:space="preserve">or a foreign body corporate operating overseas </w:t>
            </w:r>
            <w:r w:rsidR="00B60DF7">
              <w:t xml:space="preserve">CS </w:t>
            </w:r>
            <w:proofErr w:type="gramStart"/>
            <w:r w:rsidR="00742A06">
              <w:t>facilities</w:t>
            </w:r>
            <w:proofErr w:type="gramEnd"/>
          </w:p>
        </w:tc>
        <w:tc>
          <w:tcPr>
            <w:tcW w:w="3874" w:type="dxa"/>
          </w:tcPr>
          <w:p w14:paraId="1043C3BF" w14:textId="5D2C129E" w:rsidR="00F00380" w:rsidRPr="00020288" w:rsidRDefault="00644061">
            <w:pPr>
              <w:pStyle w:val="Tabletext"/>
            </w:pPr>
            <w:r>
              <w:t>The Minister may grant an</w:t>
            </w:r>
            <w:r w:rsidR="00742A06">
              <w:t xml:space="preserve"> Australian CS facility</w:t>
            </w:r>
            <w:r w:rsidR="00742A06" w:rsidRPr="00C668C4">
              <w:t xml:space="preserve"> licence </w:t>
            </w:r>
            <w:r w:rsidR="00742A06">
              <w:t xml:space="preserve">to a body corporate, or a foreign body corporate operating overseas </w:t>
            </w:r>
            <w:r w:rsidR="00B60DF7">
              <w:t xml:space="preserve">CS </w:t>
            </w:r>
            <w:proofErr w:type="gramStart"/>
            <w:r w:rsidR="00742A06">
              <w:t>facilities</w:t>
            </w:r>
            <w:proofErr w:type="gramEnd"/>
            <w:r w:rsidR="00742A06">
              <w:t>.</w:t>
            </w:r>
          </w:p>
        </w:tc>
      </w:tr>
      <w:tr w:rsidR="00F00380" w:rsidRPr="00020288" w14:paraId="6B1F67F5" w14:textId="77777777">
        <w:tc>
          <w:tcPr>
            <w:tcW w:w="3776" w:type="dxa"/>
          </w:tcPr>
          <w:p w14:paraId="64B2F304" w14:textId="236ABDA7" w:rsidR="00F00380" w:rsidRPr="00020288" w:rsidRDefault="00644061">
            <w:pPr>
              <w:pStyle w:val="Tabletext"/>
            </w:pPr>
            <w:r>
              <w:t xml:space="preserve">ASIC may immediately suspend or cancel </w:t>
            </w:r>
            <w:r w:rsidR="000A2471">
              <w:t>the</w:t>
            </w:r>
            <w:r w:rsidR="000A2471" w:rsidRPr="000948F4">
              <w:t xml:space="preserve"> licence of a</w:t>
            </w:r>
            <w:r w:rsidR="000A2471">
              <w:t xml:space="preserve"> market licensee</w:t>
            </w:r>
            <w:r w:rsidR="000A2471" w:rsidRPr="000948F4">
              <w:t>, CS facility licensee, derivative trade repository licensee or benchmark administrator licensee</w:t>
            </w:r>
            <w:r w:rsidR="000A2471">
              <w:t xml:space="preserve"> </w:t>
            </w:r>
            <w:r>
              <w:t>for lack of use</w:t>
            </w:r>
            <w:r w:rsidR="00AC5192">
              <w:t>.</w:t>
            </w:r>
            <w:r>
              <w:t xml:space="preserve"> </w:t>
            </w:r>
          </w:p>
        </w:tc>
        <w:tc>
          <w:tcPr>
            <w:tcW w:w="3874" w:type="dxa"/>
          </w:tcPr>
          <w:p w14:paraId="4021C8C1" w14:textId="37A3F523" w:rsidR="00F00380" w:rsidRPr="00020288" w:rsidRDefault="00495414" w:rsidP="00D10880">
            <w:pPr>
              <w:pStyle w:val="Tabletext"/>
              <w:ind w:left="0"/>
            </w:pPr>
            <w:r>
              <w:t>No equivalent.</w:t>
            </w:r>
          </w:p>
        </w:tc>
      </w:tr>
      <w:tr w:rsidR="00F00380" w:rsidRPr="00020288" w14:paraId="03F9B0E4" w14:textId="77777777">
        <w:tc>
          <w:tcPr>
            <w:tcW w:w="3776" w:type="dxa"/>
          </w:tcPr>
          <w:p w14:paraId="2EE405A9" w14:textId="40AF6D88" w:rsidR="00F00380" w:rsidRPr="00020288" w:rsidRDefault="00C668C4">
            <w:pPr>
              <w:pStyle w:val="Tabletext"/>
            </w:pPr>
            <w:r w:rsidRPr="00C668C4">
              <w:t>ASIC</w:t>
            </w:r>
            <w:r>
              <w:t xml:space="preserve"> </w:t>
            </w:r>
            <w:r w:rsidR="0084772B">
              <w:t>may</w:t>
            </w:r>
            <w:r w:rsidRPr="00C668C4">
              <w:t xml:space="preserve"> declare a financial market to be a </w:t>
            </w:r>
            <w:r w:rsidR="0084772B">
              <w:t>declared</w:t>
            </w:r>
            <w:r w:rsidRPr="00C668C4">
              <w:t xml:space="preserve"> financial market and </w:t>
            </w:r>
            <w:r w:rsidR="00351D61">
              <w:t>a body corporate</w:t>
            </w:r>
            <w:r w:rsidRPr="00C668C4">
              <w:t xml:space="preserve"> to be widely held market bod</w:t>
            </w:r>
            <w:r w:rsidR="00351D61">
              <w:t>y</w:t>
            </w:r>
            <w:r w:rsidR="0084772B">
              <w:t>.</w:t>
            </w:r>
          </w:p>
        </w:tc>
        <w:tc>
          <w:tcPr>
            <w:tcW w:w="3874" w:type="dxa"/>
          </w:tcPr>
          <w:p w14:paraId="7CB9EE58" w14:textId="66A1875A" w:rsidR="00F00380" w:rsidRPr="00020288" w:rsidRDefault="00BA2EBA">
            <w:pPr>
              <w:pStyle w:val="Tabletext"/>
            </w:pPr>
            <w:r>
              <w:t>Corporations Regulations specify prescribed financial markets and widely held market bodies for the purposes of the Act.</w:t>
            </w:r>
          </w:p>
        </w:tc>
      </w:tr>
      <w:tr w:rsidR="00F00380" w:rsidRPr="00020288" w14:paraId="2E517B3D" w14:textId="77777777">
        <w:tc>
          <w:tcPr>
            <w:tcW w:w="3776" w:type="dxa"/>
          </w:tcPr>
          <w:p w14:paraId="1443397F" w14:textId="3D3FD19B" w:rsidR="00A6683D" w:rsidRPr="00020288" w:rsidRDefault="00A6683D" w:rsidP="00A6683D">
            <w:pPr>
              <w:pStyle w:val="Tabletext"/>
            </w:pPr>
            <w:r>
              <w:t xml:space="preserve">The Minister may grant an application for approval lodged with ASIC </w:t>
            </w:r>
            <w:r w:rsidRPr="00A6683D">
              <w:t>to have voting power of more than 15% in a particular widely held market body (</w:t>
            </w:r>
            <w:r>
              <w:t>including</w:t>
            </w:r>
            <w:r w:rsidRPr="00A6683D">
              <w:t xml:space="preserve"> the </w:t>
            </w:r>
            <w:r w:rsidR="007914B4">
              <w:t>ASX</w:t>
            </w:r>
            <w:r w:rsidRPr="00A6683D">
              <w:t xml:space="preserve"> Limited)</w:t>
            </w:r>
            <w:r>
              <w:t>.</w:t>
            </w:r>
          </w:p>
          <w:p w14:paraId="1D03C551" w14:textId="05B59DC5" w:rsidR="00F00380" w:rsidRPr="00020288" w:rsidRDefault="00F00380">
            <w:pPr>
              <w:pStyle w:val="Tabletext"/>
            </w:pPr>
          </w:p>
        </w:tc>
        <w:tc>
          <w:tcPr>
            <w:tcW w:w="3874" w:type="dxa"/>
          </w:tcPr>
          <w:p w14:paraId="5BC2F6A6" w14:textId="791873D2" w:rsidR="00A6683D" w:rsidRPr="00020288" w:rsidRDefault="00A6683D" w:rsidP="00A6683D">
            <w:pPr>
              <w:pStyle w:val="Tabletext"/>
            </w:pPr>
            <w:r>
              <w:t xml:space="preserve">The Minister may grant an application for approval lodged with ASIC </w:t>
            </w:r>
            <w:r w:rsidRPr="00A6683D">
              <w:t>to have voting power of more than 15% in a particular widely held market body (</w:t>
            </w:r>
            <w:r w:rsidR="003D4788" w:rsidRPr="003D4788">
              <w:t>other than the</w:t>
            </w:r>
            <w:r w:rsidRPr="00A6683D">
              <w:t xml:space="preserve"> </w:t>
            </w:r>
            <w:r w:rsidR="00354E3F">
              <w:t>ASX</w:t>
            </w:r>
            <w:r w:rsidRPr="00A6683D">
              <w:t xml:space="preserve"> Limited)</w:t>
            </w:r>
            <w:r>
              <w:t>.</w:t>
            </w:r>
          </w:p>
          <w:p w14:paraId="2A96EE27" w14:textId="324122D2" w:rsidR="004A1EA7" w:rsidRDefault="004A1EA7" w:rsidP="00A6683D">
            <w:pPr>
              <w:pStyle w:val="Tabletext"/>
            </w:pPr>
          </w:p>
          <w:p w14:paraId="5B4B3988" w14:textId="3A203228" w:rsidR="004A1EA7" w:rsidRPr="00020288" w:rsidRDefault="004A1EA7" w:rsidP="004207D3">
            <w:pPr>
              <w:pStyle w:val="Tabletext"/>
            </w:pPr>
            <w:r>
              <w:lastRenderedPageBreak/>
              <w:t xml:space="preserve">The regulations may prescribe </w:t>
            </w:r>
            <w:r w:rsidR="00C70414">
              <w:t xml:space="preserve">for </w:t>
            </w:r>
            <w:r>
              <w:t xml:space="preserve">a higher percentage than 15% </w:t>
            </w:r>
            <w:r w:rsidR="004207D3">
              <w:t xml:space="preserve">of voting power </w:t>
            </w:r>
            <w:r>
              <w:t xml:space="preserve">in </w:t>
            </w:r>
            <w:r w:rsidR="004207D3">
              <w:t>the</w:t>
            </w:r>
            <w:r w:rsidRPr="00A6683D">
              <w:t xml:space="preserve"> </w:t>
            </w:r>
            <w:r w:rsidR="00B9627F">
              <w:t xml:space="preserve">ASX </w:t>
            </w:r>
            <w:r w:rsidRPr="00A6683D">
              <w:t>Limited</w:t>
            </w:r>
            <w:r w:rsidR="001402CA">
              <w:t>.</w:t>
            </w:r>
          </w:p>
          <w:p w14:paraId="34B56787" w14:textId="77777777" w:rsidR="00F00380" w:rsidRPr="00020288" w:rsidRDefault="00F00380">
            <w:pPr>
              <w:pStyle w:val="Tabletext"/>
            </w:pPr>
          </w:p>
        </w:tc>
      </w:tr>
      <w:tr w:rsidR="008D3FEC" w:rsidRPr="00020288" w14:paraId="00AE6B68" w14:textId="77777777">
        <w:tc>
          <w:tcPr>
            <w:tcW w:w="3776" w:type="dxa"/>
          </w:tcPr>
          <w:p w14:paraId="1B0C9E37" w14:textId="794FC102" w:rsidR="008D3FEC" w:rsidRPr="00020288" w:rsidRDefault="005E043E" w:rsidP="005E043E">
            <w:pPr>
              <w:pStyle w:val="Tabletext"/>
            </w:pPr>
            <w:r>
              <w:lastRenderedPageBreak/>
              <w:t xml:space="preserve">ASIC may grant an application for approval to have </w:t>
            </w:r>
            <w:r w:rsidRPr="00A6683D">
              <w:t>voting power of more than 15% in a</w:t>
            </w:r>
            <w:r>
              <w:t xml:space="preserve"> body corporate registered under Chapter 2A that is a market licensee, a CS facility licensee, a derivative trade repository licensee or a benchmark administrator licensee (other than a widely held market body).</w:t>
            </w:r>
          </w:p>
        </w:tc>
        <w:tc>
          <w:tcPr>
            <w:tcW w:w="3874" w:type="dxa"/>
          </w:tcPr>
          <w:p w14:paraId="4E1E6FA8" w14:textId="4E202FD2" w:rsidR="008D3FEC" w:rsidRPr="00020288" w:rsidRDefault="007F0AAE">
            <w:pPr>
              <w:pStyle w:val="Tabletext"/>
            </w:pPr>
            <w:r>
              <w:t>No</w:t>
            </w:r>
            <w:r w:rsidR="00286C23">
              <w:t xml:space="preserve"> equivalent</w:t>
            </w:r>
            <w:r w:rsidR="000F3987">
              <w:t>.</w:t>
            </w:r>
          </w:p>
        </w:tc>
      </w:tr>
      <w:tr w:rsidR="008D3FEC" w:rsidRPr="00020288" w14:paraId="1A598FDF" w14:textId="77777777">
        <w:tc>
          <w:tcPr>
            <w:tcW w:w="3776" w:type="dxa"/>
          </w:tcPr>
          <w:p w14:paraId="791721D6" w14:textId="50A4956F" w:rsidR="00D9089D" w:rsidRDefault="00C668C4" w:rsidP="00D9089D">
            <w:pPr>
              <w:pStyle w:val="Tabletext"/>
            </w:pPr>
            <w:r w:rsidRPr="00C668C4">
              <w:t>ASIC</w:t>
            </w:r>
            <w:r>
              <w:t xml:space="preserve"> may </w:t>
            </w:r>
            <w:r w:rsidRPr="00C668C4">
              <w:t xml:space="preserve">impose </w:t>
            </w:r>
            <w:r w:rsidR="00D9089D">
              <w:t xml:space="preserve">conditions or additional conditions or vary or revoke conditions on an </w:t>
            </w:r>
            <w:r w:rsidR="00D9089D" w:rsidRPr="005318FF">
              <w:t xml:space="preserve">Australian </w:t>
            </w:r>
            <w:r w:rsidR="00D9089D">
              <w:t>m</w:t>
            </w:r>
            <w:r w:rsidR="00D9089D" w:rsidRPr="005318FF">
              <w:t>arket licence and a CS facility licence</w:t>
            </w:r>
            <w:r w:rsidR="00D9089D">
              <w:t>.</w:t>
            </w:r>
          </w:p>
          <w:p w14:paraId="421D7CA9" w14:textId="077A0728" w:rsidR="00D9089D" w:rsidRDefault="00D9089D">
            <w:pPr>
              <w:pStyle w:val="Tabletext"/>
            </w:pPr>
          </w:p>
          <w:p w14:paraId="3E5B336C" w14:textId="5584C3F8" w:rsidR="005318FF" w:rsidRPr="00020288" w:rsidRDefault="00774F2C" w:rsidP="005628DE">
            <w:pPr>
              <w:pStyle w:val="Tabletext"/>
              <w:ind w:left="0"/>
            </w:pPr>
            <w:r>
              <w:t>The conditions may include limits on a licence.</w:t>
            </w:r>
          </w:p>
        </w:tc>
        <w:tc>
          <w:tcPr>
            <w:tcW w:w="3874" w:type="dxa"/>
          </w:tcPr>
          <w:p w14:paraId="1D1BE2BB" w14:textId="0030ED8B" w:rsidR="00D9089D" w:rsidRDefault="00D9089D" w:rsidP="00D9089D">
            <w:pPr>
              <w:pStyle w:val="Tabletext"/>
            </w:pPr>
            <w:r>
              <w:t>Th</w:t>
            </w:r>
            <w:r w:rsidR="00551638">
              <w:t>e</w:t>
            </w:r>
            <w:r>
              <w:t xml:space="preserve"> Minister may </w:t>
            </w:r>
            <w:r w:rsidRPr="00C668C4">
              <w:t xml:space="preserve">impose </w:t>
            </w:r>
            <w:r>
              <w:t xml:space="preserve">conditions or additional conditions or vary or revoke conditions on an </w:t>
            </w:r>
            <w:r w:rsidRPr="005318FF">
              <w:t xml:space="preserve">Australian </w:t>
            </w:r>
            <w:r>
              <w:t>m</w:t>
            </w:r>
            <w:r w:rsidRPr="005318FF">
              <w:t>arket licence and a CS facility licence</w:t>
            </w:r>
            <w:r>
              <w:t>.</w:t>
            </w:r>
          </w:p>
          <w:p w14:paraId="6F35BC5D" w14:textId="7752BA00" w:rsidR="00D664E4" w:rsidRDefault="00D664E4" w:rsidP="00D9089D">
            <w:pPr>
              <w:pStyle w:val="Tabletext"/>
            </w:pPr>
          </w:p>
          <w:p w14:paraId="3BB69952" w14:textId="75123D8D" w:rsidR="00D664E4" w:rsidRDefault="00D664E4" w:rsidP="00D9089D">
            <w:pPr>
              <w:pStyle w:val="Tabletext"/>
            </w:pPr>
            <w:r>
              <w:t xml:space="preserve">The Minister’s power is delegated to ASIC under the </w:t>
            </w:r>
            <w:r w:rsidRPr="00D664E4">
              <w:rPr>
                <w:i/>
                <w:iCs/>
              </w:rPr>
              <w:t>Ministerial Powers (ASIC) Delegations 2021</w:t>
            </w:r>
            <w:r>
              <w:t>.</w:t>
            </w:r>
          </w:p>
          <w:p w14:paraId="01122C29" w14:textId="77777777" w:rsidR="005318FF" w:rsidRDefault="005318FF">
            <w:pPr>
              <w:pStyle w:val="Tabletext"/>
            </w:pPr>
          </w:p>
          <w:p w14:paraId="4BD08A61" w14:textId="7DA6DA6F" w:rsidR="004064AE" w:rsidRPr="00020288" w:rsidRDefault="004064AE" w:rsidP="00774F2C">
            <w:pPr>
              <w:pStyle w:val="paragraph"/>
              <w:shd w:val="clear" w:color="auto" w:fill="FFFFFF"/>
              <w:spacing w:before="40" w:beforeAutospacing="0" w:after="0" w:afterAutospacing="0"/>
              <w:ind w:left="1644" w:hanging="1644"/>
            </w:pPr>
          </w:p>
        </w:tc>
      </w:tr>
      <w:tr w:rsidR="008D3FEC" w:rsidRPr="00020288" w14:paraId="444D9244" w14:textId="77777777">
        <w:tc>
          <w:tcPr>
            <w:tcW w:w="3776" w:type="dxa"/>
          </w:tcPr>
          <w:p w14:paraId="78F10F50" w14:textId="256B232E" w:rsidR="008D3FEC" w:rsidRPr="00020288" w:rsidRDefault="00C668C4">
            <w:pPr>
              <w:pStyle w:val="Tabletext"/>
            </w:pPr>
            <w:r w:rsidRPr="00C668C4">
              <w:t xml:space="preserve">ASIC </w:t>
            </w:r>
            <w:r>
              <w:t>may make rules</w:t>
            </w:r>
            <w:r w:rsidR="00A45FBE">
              <w:t xml:space="preserve"> for the purposes of</w:t>
            </w:r>
            <w:r>
              <w:t xml:space="preserve"> </w:t>
            </w:r>
            <w:r w:rsidR="00A45FBE">
              <w:t>promoting</w:t>
            </w:r>
            <w:r w:rsidRPr="00C668C4">
              <w:t xml:space="preserve"> the provision of </w:t>
            </w:r>
            <w:r w:rsidR="00A45FBE" w:rsidRPr="00C668C4">
              <w:t xml:space="preserve">fair and effective </w:t>
            </w:r>
            <w:r w:rsidR="00A45FBE">
              <w:t xml:space="preserve">services by licensed </w:t>
            </w:r>
            <w:r w:rsidRPr="00C668C4">
              <w:t>CS facilit</w:t>
            </w:r>
            <w:r w:rsidR="00A45FBE">
              <w:t>ies.</w:t>
            </w:r>
          </w:p>
        </w:tc>
        <w:tc>
          <w:tcPr>
            <w:tcW w:w="3874" w:type="dxa"/>
          </w:tcPr>
          <w:p w14:paraId="52E55DD5" w14:textId="3037A962" w:rsidR="008D3FEC" w:rsidRPr="00020288" w:rsidRDefault="00DB1069">
            <w:pPr>
              <w:pStyle w:val="Tabletext"/>
            </w:pPr>
            <w:r>
              <w:t xml:space="preserve">No </w:t>
            </w:r>
            <w:r w:rsidR="0095519C">
              <w:t>equivalent</w:t>
            </w:r>
            <w:r w:rsidR="000F3987">
              <w:t>.</w:t>
            </w:r>
          </w:p>
        </w:tc>
      </w:tr>
      <w:tr w:rsidR="008D3FEC" w:rsidRPr="00020288" w14:paraId="4D0DADB8" w14:textId="77777777">
        <w:tc>
          <w:tcPr>
            <w:tcW w:w="3776" w:type="dxa"/>
          </w:tcPr>
          <w:p w14:paraId="1BE4A0B4" w14:textId="77777777" w:rsidR="008D3FEC" w:rsidRDefault="001B7B4A">
            <w:pPr>
              <w:pStyle w:val="Tabletext"/>
            </w:pPr>
            <w:r>
              <w:t xml:space="preserve">ASIC may give a direction to a market licensee, a CS facility licensee and derivative </w:t>
            </w:r>
            <w:r w:rsidR="001A3986">
              <w:t>trade</w:t>
            </w:r>
            <w:r w:rsidR="00F61314">
              <w:t xml:space="preserve"> repository licensee.</w:t>
            </w:r>
          </w:p>
          <w:p w14:paraId="0C7077D2" w14:textId="77777777" w:rsidR="00F61314" w:rsidRDefault="00F61314">
            <w:pPr>
              <w:pStyle w:val="Tabletext"/>
            </w:pPr>
          </w:p>
          <w:p w14:paraId="6EF10508" w14:textId="7015AC22" w:rsidR="008D3FEC" w:rsidRPr="00020288" w:rsidRDefault="00F61314">
            <w:pPr>
              <w:pStyle w:val="Tabletext"/>
            </w:pPr>
            <w:r>
              <w:t xml:space="preserve">The period </w:t>
            </w:r>
            <w:r w:rsidR="0041040D">
              <w:t xml:space="preserve">for which </w:t>
            </w:r>
            <w:r>
              <w:t xml:space="preserve">the direction has effect is not </w:t>
            </w:r>
            <w:r w:rsidR="0085032D">
              <w:t xml:space="preserve">time </w:t>
            </w:r>
            <w:r>
              <w:t>limited.</w:t>
            </w:r>
          </w:p>
        </w:tc>
        <w:tc>
          <w:tcPr>
            <w:tcW w:w="3874" w:type="dxa"/>
          </w:tcPr>
          <w:p w14:paraId="1C025933" w14:textId="77777777" w:rsidR="008D3FEC" w:rsidRDefault="007B19D8">
            <w:pPr>
              <w:pStyle w:val="Tabletext"/>
            </w:pPr>
            <w:r>
              <w:t>ASIC may only give a direction to a market licensee, a CS facility licensee and derivative trade repository licensee if ASIC considers it appropriate after the licensee does not take actions after receiving ASIC’s advice (and reasons) that ASIC is of the opinion that it is necessary, or in the public interest, to give a direction.</w:t>
            </w:r>
          </w:p>
          <w:p w14:paraId="3F1CBEED" w14:textId="77777777" w:rsidR="00962656" w:rsidRDefault="00962656">
            <w:pPr>
              <w:pStyle w:val="Tabletext"/>
            </w:pPr>
          </w:p>
          <w:p w14:paraId="2F5AE4F1" w14:textId="25EF0FE7" w:rsidR="008D3FEC" w:rsidRPr="00020288" w:rsidRDefault="00962656">
            <w:pPr>
              <w:pStyle w:val="Tabletext"/>
            </w:pPr>
            <w:r>
              <w:t>The direction has effect for a period of up to 21 days.</w:t>
            </w:r>
          </w:p>
        </w:tc>
      </w:tr>
      <w:tr w:rsidR="007317B2" w:rsidRPr="00020288" w14:paraId="1EB1A4B7" w14:textId="77777777">
        <w:tc>
          <w:tcPr>
            <w:tcW w:w="3776" w:type="dxa"/>
          </w:tcPr>
          <w:p w14:paraId="30290B21" w14:textId="0A798EDD" w:rsidR="007317B2" w:rsidRDefault="00757129">
            <w:pPr>
              <w:pStyle w:val="Tabletext"/>
            </w:pPr>
            <w:r w:rsidRPr="00757129">
              <w:t>ASIC</w:t>
            </w:r>
            <w:r w:rsidR="00023B48">
              <w:t xml:space="preserve"> is given the</w:t>
            </w:r>
            <w:r w:rsidRPr="00757129">
              <w:t xml:space="preserve"> power to require </w:t>
            </w:r>
            <w:r w:rsidR="0085032D">
              <w:t>a</w:t>
            </w:r>
            <w:r w:rsidR="007E709F">
              <w:t xml:space="preserve"> CS facility licensee </w:t>
            </w:r>
            <w:r w:rsidR="0085032D">
              <w:t>or market licensee</w:t>
            </w:r>
            <w:r w:rsidR="007E709F">
              <w:t xml:space="preserve"> to give ASIC </w:t>
            </w:r>
            <w:r w:rsidR="00423910">
              <w:t>a special report.</w:t>
            </w:r>
          </w:p>
          <w:p w14:paraId="34DFF803" w14:textId="77777777" w:rsidR="00423910" w:rsidRDefault="00423910">
            <w:pPr>
              <w:pStyle w:val="Tabletext"/>
            </w:pPr>
          </w:p>
          <w:p w14:paraId="01A2B110" w14:textId="51C5507B" w:rsidR="007317B2" w:rsidRDefault="00423910">
            <w:pPr>
              <w:pStyle w:val="Tabletext"/>
            </w:pPr>
            <w:r w:rsidRPr="00757129">
              <w:t>ASIC</w:t>
            </w:r>
            <w:r w:rsidR="005405E4">
              <w:t xml:space="preserve"> is also given the</w:t>
            </w:r>
            <w:r w:rsidRPr="00757129">
              <w:t xml:space="preserve"> power </w:t>
            </w:r>
            <w:r>
              <w:t>to require</w:t>
            </w:r>
            <w:r w:rsidR="000E56E6">
              <w:t xml:space="preserve"> a</w:t>
            </w:r>
            <w:r>
              <w:t xml:space="preserve"> CS facility licensee</w:t>
            </w:r>
            <w:r w:rsidR="000E56E6">
              <w:t>, market licensee</w:t>
            </w:r>
            <w:r w:rsidR="000E56E6" w:rsidRPr="000948F4">
              <w:t xml:space="preserve">, </w:t>
            </w:r>
            <w:r w:rsidR="000E56E6" w:rsidRPr="000948F4">
              <w:lastRenderedPageBreak/>
              <w:t xml:space="preserve">derivative trade repository licensee </w:t>
            </w:r>
            <w:r w:rsidR="000E56E6">
              <w:t>and</w:t>
            </w:r>
            <w:r w:rsidR="000E56E6" w:rsidRPr="000948F4">
              <w:t xml:space="preserve"> benchmark administrator licensee</w:t>
            </w:r>
            <w:r>
              <w:t xml:space="preserve"> to give ASIC an </w:t>
            </w:r>
            <w:r w:rsidR="00757129" w:rsidRPr="00757129">
              <w:t>expert report</w:t>
            </w:r>
            <w:r w:rsidR="00AE526F">
              <w:t>.</w:t>
            </w:r>
          </w:p>
        </w:tc>
        <w:tc>
          <w:tcPr>
            <w:tcW w:w="3874" w:type="dxa"/>
          </w:tcPr>
          <w:p w14:paraId="596F5235" w14:textId="746A758B" w:rsidR="007317B2" w:rsidRDefault="007E709F">
            <w:pPr>
              <w:pStyle w:val="Tabletext"/>
            </w:pPr>
            <w:r w:rsidRPr="007E709F">
              <w:lastRenderedPageBreak/>
              <w:t>The Minister</w:t>
            </w:r>
            <w:r>
              <w:t xml:space="preserve">’s power to require </w:t>
            </w:r>
            <w:r w:rsidR="0085032D">
              <w:t xml:space="preserve">a </w:t>
            </w:r>
            <w:r>
              <w:t xml:space="preserve">CS facility licensee </w:t>
            </w:r>
            <w:r w:rsidR="0085032D">
              <w:t xml:space="preserve">or market licensee </w:t>
            </w:r>
            <w:r>
              <w:t xml:space="preserve">to give ASIC a special report </w:t>
            </w:r>
            <w:r w:rsidRPr="007E709F">
              <w:t>including an audited special report</w:t>
            </w:r>
            <w:r>
              <w:t xml:space="preserve"> i</w:t>
            </w:r>
            <w:r w:rsidRPr="007E709F">
              <w:t>s delegated to</w:t>
            </w:r>
            <w:r>
              <w:t xml:space="preserve"> ASIC</w:t>
            </w:r>
            <w:r w:rsidR="002C7167">
              <w:t xml:space="preserve"> under the </w:t>
            </w:r>
            <w:r w:rsidR="002C7167" w:rsidRPr="00D664E4">
              <w:rPr>
                <w:i/>
                <w:iCs/>
              </w:rPr>
              <w:t>Ministerial Powers (ASIC) Delegations 2021</w:t>
            </w:r>
            <w:r w:rsidR="002C7167">
              <w:t>.</w:t>
            </w:r>
          </w:p>
        </w:tc>
      </w:tr>
      <w:tr w:rsidR="009C7EF4" w:rsidRPr="00020288" w14:paraId="7916F3EC" w14:textId="77777777">
        <w:tc>
          <w:tcPr>
            <w:tcW w:w="3776" w:type="dxa"/>
          </w:tcPr>
          <w:p w14:paraId="5D456BDA" w14:textId="32E82BA7" w:rsidR="00AE4BDF" w:rsidRDefault="00553890" w:rsidP="00AE4BDF">
            <w:pPr>
              <w:pStyle w:val="Tabletext"/>
            </w:pPr>
            <w:r w:rsidRPr="00800991">
              <w:t>ASIC may</w:t>
            </w:r>
            <w:r w:rsidRPr="007A20B1">
              <w:t xml:space="preserve"> declare an individual who is involved in a market licensee, a CS facility licensee, a derivative trade repository licensee or a benchmark administrator licensee</w:t>
            </w:r>
            <w:r>
              <w:t xml:space="preserve"> is</w:t>
            </w:r>
            <w:r w:rsidRPr="007A20B1">
              <w:t xml:space="preserve"> disqualified</w:t>
            </w:r>
            <w:r>
              <w:t xml:space="preserve"> </w:t>
            </w:r>
            <w:proofErr w:type="gramStart"/>
            <w:r w:rsidRPr="007A20B1">
              <w:t>tak</w:t>
            </w:r>
            <w:r>
              <w:t xml:space="preserve">ing </w:t>
            </w:r>
            <w:r w:rsidRPr="007A20B1">
              <w:t>into account</w:t>
            </w:r>
            <w:proofErr w:type="gramEnd"/>
            <w:r w:rsidRPr="007A20B1">
              <w:t xml:space="preserve"> such matters as the individual’s fame, character and integrity</w:t>
            </w:r>
            <w:r>
              <w:t>.</w:t>
            </w:r>
            <w:r w:rsidR="00AE4BDF">
              <w:t xml:space="preserve"> </w:t>
            </w:r>
            <w:r w:rsidR="00EE7C70">
              <w:t>ASIC</w:t>
            </w:r>
            <w:r w:rsidR="00AE4BDF">
              <w:t xml:space="preserve"> only needs to be satisfied that</w:t>
            </w:r>
            <w:r w:rsidR="00AE4BDF" w:rsidRPr="00EE7C70">
              <w:t xml:space="preserve"> the individual is unfit to be involved in the licensee</w:t>
            </w:r>
            <w:r w:rsidR="00AE4BDF">
              <w:t>.</w:t>
            </w:r>
          </w:p>
          <w:p w14:paraId="0FDF7731" w14:textId="2752BF72" w:rsidR="00427007" w:rsidRDefault="00427007" w:rsidP="00AE4BDF">
            <w:pPr>
              <w:pStyle w:val="Tabletext"/>
            </w:pPr>
          </w:p>
          <w:p w14:paraId="61DF3078" w14:textId="426A1836" w:rsidR="00EE7C70" w:rsidRPr="00757129" w:rsidRDefault="00EE7C70" w:rsidP="00427007">
            <w:pPr>
              <w:pStyle w:val="Tabletext"/>
            </w:pPr>
          </w:p>
        </w:tc>
        <w:tc>
          <w:tcPr>
            <w:tcW w:w="3874" w:type="dxa"/>
          </w:tcPr>
          <w:p w14:paraId="4A534F53" w14:textId="7B2FB78A" w:rsidR="00EE7C70" w:rsidRPr="007E709F" w:rsidRDefault="007A20B1" w:rsidP="00AE4BDF">
            <w:pPr>
              <w:pStyle w:val="Tabletext"/>
            </w:pPr>
            <w:r w:rsidRPr="007A20B1">
              <w:t>ASIC may declare an individual who is involved in a market licensee, a CS facility licensee, a derivative trade repository licensee or a benchmark administrator licensee</w:t>
            </w:r>
            <w:r>
              <w:t xml:space="preserve"> is</w:t>
            </w:r>
            <w:r w:rsidRPr="007A20B1">
              <w:t xml:space="preserve"> disqualified</w:t>
            </w:r>
            <w:r>
              <w:t xml:space="preserve"> </w:t>
            </w:r>
            <w:proofErr w:type="gramStart"/>
            <w:r w:rsidRPr="007A20B1">
              <w:t>tak</w:t>
            </w:r>
            <w:r>
              <w:t xml:space="preserve">ing </w:t>
            </w:r>
            <w:r w:rsidRPr="007A20B1">
              <w:t>into account</w:t>
            </w:r>
            <w:proofErr w:type="gramEnd"/>
            <w:r w:rsidRPr="007A20B1">
              <w:t xml:space="preserve"> such matters as the individual’s fame, character and integrity</w:t>
            </w:r>
            <w:r>
              <w:t>.</w:t>
            </w:r>
            <w:r w:rsidR="00AE4BDF">
              <w:t xml:space="preserve"> </w:t>
            </w:r>
            <w:r w:rsidR="00EE7C70" w:rsidRPr="00EE7C70">
              <w:t xml:space="preserve">ASIC may make such a declaration only if ASIC is satisfied that, because the individual is unfit to be involved in the licensee, there is a risk that the licensee or </w:t>
            </w:r>
            <w:r w:rsidR="005F1A4D">
              <w:t>a</w:t>
            </w:r>
            <w:r w:rsidR="00B60DF7">
              <w:t>pplicant</w:t>
            </w:r>
            <w:r w:rsidR="00EE7C70" w:rsidRPr="00EE7C70">
              <w:t xml:space="preserve"> will breach its obligations under Chapter</w:t>
            </w:r>
            <w:r w:rsidR="00EE7C70">
              <w:t xml:space="preserve"> 7 of the Act</w:t>
            </w:r>
            <w:r w:rsidR="00EE7C70" w:rsidRPr="00EE7C70">
              <w:t xml:space="preserve"> if the declaration is not made.</w:t>
            </w:r>
          </w:p>
        </w:tc>
      </w:tr>
      <w:tr w:rsidR="00B9627F" w:rsidRPr="00020288" w14:paraId="1F6C5EA1" w14:textId="77777777">
        <w:tc>
          <w:tcPr>
            <w:tcW w:w="3776" w:type="dxa"/>
          </w:tcPr>
          <w:p w14:paraId="23FD634A" w14:textId="6A57AEC6" w:rsidR="00161CBE" w:rsidRDefault="00000826" w:rsidP="00B9627F">
            <w:pPr>
              <w:rPr>
                <w:rFonts w:eastAsia="Times New Roman" w:cs="Times New Roman"/>
                <w:sz w:val="20"/>
                <w:szCs w:val="20"/>
                <w:lang w:eastAsia="en-AU"/>
              </w:rPr>
            </w:pPr>
            <w:r>
              <w:rPr>
                <w:rFonts w:eastAsia="Times New Roman" w:cs="Times New Roman"/>
                <w:sz w:val="20"/>
                <w:szCs w:val="20"/>
                <w:lang w:eastAsia="en-AU"/>
              </w:rPr>
              <w:t xml:space="preserve">A new general obligation on </w:t>
            </w:r>
            <w:r w:rsidRPr="00B14221">
              <w:rPr>
                <w:rFonts w:eastAsia="Times New Roman" w:cs="Times New Roman"/>
                <w:sz w:val="20"/>
                <w:szCs w:val="20"/>
                <w:lang w:eastAsia="en-AU"/>
              </w:rPr>
              <w:t xml:space="preserve">a market licensee, a CS facility licensee, a derivative trade repository licensee </w:t>
            </w:r>
            <w:r>
              <w:rPr>
                <w:rFonts w:eastAsia="Times New Roman" w:cs="Times New Roman"/>
                <w:sz w:val="20"/>
                <w:szCs w:val="20"/>
                <w:lang w:eastAsia="en-AU"/>
              </w:rPr>
              <w:t>and</w:t>
            </w:r>
            <w:r w:rsidRPr="00B14221">
              <w:rPr>
                <w:rFonts w:eastAsia="Times New Roman" w:cs="Times New Roman"/>
                <w:sz w:val="20"/>
                <w:szCs w:val="20"/>
                <w:lang w:eastAsia="en-AU"/>
              </w:rPr>
              <w:t xml:space="preserve"> a benchmark administrator licensee</w:t>
            </w:r>
            <w:r>
              <w:rPr>
                <w:rFonts w:eastAsia="Times New Roman" w:cs="Times New Roman"/>
                <w:sz w:val="20"/>
                <w:szCs w:val="20"/>
                <w:lang w:eastAsia="en-AU"/>
              </w:rPr>
              <w:t xml:space="preserve"> to ensure that individuals performing certain roles are fit, proper and competent for that role.</w:t>
            </w:r>
          </w:p>
          <w:p w14:paraId="75DD69AB" w14:textId="77777777" w:rsidR="00000826" w:rsidRDefault="00000826" w:rsidP="00B9627F">
            <w:pPr>
              <w:rPr>
                <w:rFonts w:eastAsia="Times New Roman" w:cs="Times New Roman"/>
                <w:sz w:val="20"/>
                <w:szCs w:val="20"/>
                <w:lang w:eastAsia="en-AU"/>
              </w:rPr>
            </w:pPr>
          </w:p>
          <w:p w14:paraId="4E4944A9" w14:textId="63CBFEDD" w:rsidR="00E733AD" w:rsidRDefault="00E733AD" w:rsidP="00B9627F">
            <w:pPr>
              <w:rPr>
                <w:rFonts w:eastAsia="Times New Roman" w:cs="Times New Roman"/>
                <w:sz w:val="20"/>
                <w:szCs w:val="20"/>
                <w:lang w:eastAsia="en-AU"/>
              </w:rPr>
            </w:pPr>
            <w:r w:rsidRPr="00E733AD">
              <w:rPr>
                <w:rFonts w:eastAsia="Times New Roman" w:cs="Times New Roman"/>
                <w:sz w:val="20"/>
                <w:szCs w:val="20"/>
                <w:lang w:eastAsia="en-AU"/>
              </w:rPr>
              <w:t>ASIC may make FMI banning orders if ASIC has reason to believe that an individual is not fit, proper and competent.</w:t>
            </w:r>
          </w:p>
          <w:p w14:paraId="682BCCB0" w14:textId="23814046" w:rsidR="00B9627F" w:rsidRPr="00800991" w:rsidRDefault="00B9627F" w:rsidP="00D10880"/>
        </w:tc>
        <w:tc>
          <w:tcPr>
            <w:tcW w:w="3874" w:type="dxa"/>
          </w:tcPr>
          <w:p w14:paraId="73585972" w14:textId="32A36F98" w:rsidR="00B9627F" w:rsidRPr="00857F4C" w:rsidRDefault="00E733AD" w:rsidP="00857F4C">
            <w:pPr>
              <w:rPr>
                <w:rFonts w:eastAsia="Times New Roman" w:cs="Times New Roman"/>
                <w:sz w:val="20"/>
                <w:szCs w:val="20"/>
                <w:lang w:eastAsia="en-AU"/>
              </w:rPr>
            </w:pPr>
            <w:r>
              <w:rPr>
                <w:rFonts w:eastAsia="Times New Roman" w:cs="Times New Roman"/>
                <w:sz w:val="20"/>
                <w:szCs w:val="20"/>
                <w:lang w:eastAsia="en-AU"/>
              </w:rPr>
              <w:t xml:space="preserve">No </w:t>
            </w:r>
            <w:r w:rsidR="007400F6">
              <w:rPr>
                <w:rFonts w:eastAsia="Times New Roman" w:cs="Times New Roman"/>
                <w:sz w:val="20"/>
                <w:szCs w:val="20"/>
                <w:lang w:eastAsia="en-AU"/>
              </w:rPr>
              <w:t>equivalent.</w:t>
            </w:r>
          </w:p>
        </w:tc>
      </w:tr>
      <w:tr w:rsidR="00E1438E" w:rsidRPr="00020288" w14:paraId="5BC7E0E0" w14:textId="77777777">
        <w:tc>
          <w:tcPr>
            <w:tcW w:w="3776" w:type="dxa"/>
          </w:tcPr>
          <w:p w14:paraId="3429DC44" w14:textId="0A1E99F1" w:rsidR="00E1438E" w:rsidRPr="00E1438E" w:rsidRDefault="007B7C22">
            <w:pPr>
              <w:pStyle w:val="Tabletext"/>
            </w:pPr>
            <w:r w:rsidRPr="00800991">
              <w:t>A financial market</w:t>
            </w:r>
            <w:r w:rsidR="00A409F9">
              <w:t xml:space="preserve"> or</w:t>
            </w:r>
            <w:r>
              <w:t xml:space="preserve"> CS facility is taken to be operated in this jurisdiction </w:t>
            </w:r>
            <w:r w:rsidRPr="00581F5B">
              <w:t>if it is operated by a body corporate that is registered under Chapter 2A</w:t>
            </w:r>
            <w:r>
              <w:t xml:space="preserve"> or ASIC declares that it has a material connection with this jurisdiction.</w:t>
            </w:r>
          </w:p>
        </w:tc>
        <w:tc>
          <w:tcPr>
            <w:tcW w:w="3874" w:type="dxa"/>
          </w:tcPr>
          <w:p w14:paraId="4BC61B58" w14:textId="55284D0E" w:rsidR="00581F5B" w:rsidRDefault="00581F5B" w:rsidP="00581F5B">
            <w:pPr>
              <w:pStyle w:val="Tabletext"/>
            </w:pPr>
            <w:r>
              <w:t xml:space="preserve">A financial market </w:t>
            </w:r>
            <w:r w:rsidR="00A409F9">
              <w:t>or</w:t>
            </w:r>
            <w:r>
              <w:t xml:space="preserve"> CS facility is taken to be operated in this jurisdiction </w:t>
            </w:r>
            <w:r w:rsidRPr="00581F5B">
              <w:t>if it is operated by a body corporate that is registered under Chapter 2A</w:t>
            </w:r>
            <w:r>
              <w:t xml:space="preserve"> (but not limited to this circumstance).</w:t>
            </w:r>
          </w:p>
          <w:p w14:paraId="44F3E5E8" w14:textId="77777777" w:rsidR="00E1438E" w:rsidRPr="00020288" w:rsidRDefault="00E1438E">
            <w:pPr>
              <w:pStyle w:val="Tabletext"/>
            </w:pPr>
          </w:p>
        </w:tc>
      </w:tr>
      <w:tr w:rsidR="00F00380" w:rsidRPr="00020288" w14:paraId="1C77DE72" w14:textId="77777777">
        <w:tc>
          <w:tcPr>
            <w:tcW w:w="3776" w:type="dxa"/>
          </w:tcPr>
          <w:p w14:paraId="06F19ACC" w14:textId="09FD7020" w:rsidR="00F00380" w:rsidRPr="00020288" w:rsidRDefault="008D3FEC">
            <w:pPr>
              <w:pStyle w:val="Tabletext"/>
            </w:pPr>
            <w:r>
              <w:t>ASIC is directly empowered to make decisions on the licensing of financial markets and CS facilities</w:t>
            </w:r>
            <w:r w:rsidR="00E1438E">
              <w:t xml:space="preserve">, overseeing licensee compliance, </w:t>
            </w:r>
            <w:r w:rsidR="00532D87">
              <w:t xml:space="preserve">and </w:t>
            </w:r>
            <w:r w:rsidR="00E1438E">
              <w:t>disallowing operating rule changes</w:t>
            </w:r>
            <w:r w:rsidR="00F90DD2">
              <w:t>.</w:t>
            </w:r>
          </w:p>
        </w:tc>
        <w:tc>
          <w:tcPr>
            <w:tcW w:w="3874" w:type="dxa"/>
          </w:tcPr>
          <w:p w14:paraId="7DCC2A18" w14:textId="31B7913E" w:rsidR="00F00380" w:rsidRPr="00020288" w:rsidRDefault="00587A7C">
            <w:pPr>
              <w:pStyle w:val="Tabletext"/>
            </w:pPr>
            <w:r>
              <w:t>Certain Ministerial powers under Chapter 7 of the Act are</w:t>
            </w:r>
            <w:r w:rsidR="008D3FEC">
              <w:t xml:space="preserve"> </w:t>
            </w:r>
            <w:r w:rsidR="00EC2BEA">
              <w:t xml:space="preserve">delegated to ASIC </w:t>
            </w:r>
            <w:r>
              <w:t xml:space="preserve">under the </w:t>
            </w:r>
            <w:r w:rsidRPr="00D664E4">
              <w:rPr>
                <w:i/>
                <w:iCs/>
              </w:rPr>
              <w:t>Ministerial Powers (ASIC) Delegations 2021</w:t>
            </w:r>
            <w:r>
              <w:t xml:space="preserve">. This includes powers </w:t>
            </w:r>
            <w:r w:rsidR="008D3FEC">
              <w:t>over the licensing of financial markets and CS facilities</w:t>
            </w:r>
            <w:r w:rsidR="004058F1">
              <w:t>, overseeing licensee compliance, disallowing operating rule changes.</w:t>
            </w:r>
          </w:p>
        </w:tc>
      </w:tr>
    </w:tbl>
    <w:p w14:paraId="3D9D7B7A" w14:textId="77777777" w:rsidR="00F00380" w:rsidRPr="00020288" w:rsidRDefault="00F00380" w:rsidP="00F00380">
      <w:pPr>
        <w:pStyle w:val="Heading2"/>
        <w:numPr>
          <w:ilvl w:val="1"/>
          <w:numId w:val="2"/>
        </w:numPr>
        <w:tabs>
          <w:tab w:val="num" w:pos="567"/>
        </w:tabs>
        <w:ind w:left="567" w:hanging="567"/>
        <w:rPr>
          <w:rFonts w:hint="eastAsia"/>
        </w:rPr>
      </w:pPr>
      <w:bookmarkStart w:id="105" w:name="_Ref152763264"/>
      <w:bookmarkStart w:id="106" w:name="_Ref152768211"/>
      <w:bookmarkStart w:id="107" w:name="_Toc152860467"/>
      <w:r w:rsidRPr="00020288">
        <w:lastRenderedPageBreak/>
        <w:t>Detailed explanation of new law</w:t>
      </w:r>
      <w:bookmarkEnd w:id="105"/>
      <w:bookmarkEnd w:id="106"/>
      <w:bookmarkEnd w:id="107"/>
    </w:p>
    <w:p w14:paraId="5AD1BBDD" w14:textId="359DC5E0" w:rsidR="00514A2A" w:rsidRDefault="00495EAD" w:rsidP="00514A2A">
      <w:pPr>
        <w:pStyle w:val="Heading3"/>
        <w:rPr>
          <w:rFonts w:hint="eastAsia"/>
        </w:rPr>
      </w:pPr>
      <w:bookmarkStart w:id="108" w:name="_Toc152860468"/>
      <w:r>
        <w:t xml:space="preserve">Amendments relating only to </w:t>
      </w:r>
      <w:r w:rsidR="00514A2A">
        <w:t>CS</w:t>
      </w:r>
      <w:r w:rsidR="00E9790A">
        <w:t xml:space="preserve"> </w:t>
      </w:r>
      <w:proofErr w:type="gramStart"/>
      <w:r w:rsidR="00E9790A">
        <w:t>facilities</w:t>
      </w:r>
      <w:bookmarkEnd w:id="108"/>
      <w:proofErr w:type="gramEnd"/>
    </w:p>
    <w:p w14:paraId="4EF9A385" w14:textId="6319052A" w:rsidR="004C1D4B" w:rsidRPr="007F440F" w:rsidRDefault="0092386E" w:rsidP="004C1D4B">
      <w:pPr>
        <w:pStyle w:val="Heading5"/>
        <w:numPr>
          <w:ilvl w:val="4"/>
          <w:numId w:val="2"/>
        </w:numPr>
      </w:pPr>
      <w:r>
        <w:t>Who may be granted an</w:t>
      </w:r>
      <w:r w:rsidR="004C1D4B" w:rsidRPr="004C1D4B">
        <w:t xml:space="preserve"> Australian CS </w:t>
      </w:r>
      <w:r w:rsidR="004C1D4B" w:rsidRPr="007F440F">
        <w:t xml:space="preserve">facility </w:t>
      </w:r>
      <w:proofErr w:type="gramStart"/>
      <w:r w:rsidR="004C1D4B" w:rsidRPr="007F440F">
        <w:t>licence</w:t>
      </w:r>
      <w:proofErr w:type="gramEnd"/>
    </w:p>
    <w:p w14:paraId="3D2CB0A2" w14:textId="4886E2EC" w:rsidR="005D2F7C" w:rsidRDefault="00B016E2" w:rsidP="00AD1047">
      <w:pPr>
        <w:pStyle w:val="Normalparatextwithnumbers"/>
      </w:pPr>
      <w:r w:rsidRPr="007F440F">
        <w:t>An Australian CS facility licence may be granted to either an Australian bod</w:t>
      </w:r>
      <w:r w:rsidR="007604FB">
        <w:t xml:space="preserve">y </w:t>
      </w:r>
      <w:r w:rsidRPr="007F440F">
        <w:t>corporate</w:t>
      </w:r>
      <w:r w:rsidR="00C95DE5">
        <w:t>,</w:t>
      </w:r>
      <w:r w:rsidRPr="007F440F">
        <w:t xml:space="preserve"> or</w:t>
      </w:r>
      <w:r w:rsidR="00C95DE5">
        <w:t xml:space="preserve"> to</w:t>
      </w:r>
      <w:r w:rsidRPr="007F440F">
        <w:t xml:space="preserve"> </w:t>
      </w:r>
      <w:r w:rsidR="007604FB">
        <w:t>a f</w:t>
      </w:r>
      <w:r w:rsidRPr="007F440F">
        <w:t>oreign body corporate</w:t>
      </w:r>
      <w:r w:rsidR="007604FB">
        <w:t xml:space="preserve"> </w:t>
      </w:r>
      <w:r w:rsidRPr="007F440F">
        <w:t xml:space="preserve">operating </w:t>
      </w:r>
      <w:r w:rsidR="007604FB">
        <w:t xml:space="preserve">an </w:t>
      </w:r>
      <w:r w:rsidRPr="007F440F">
        <w:t xml:space="preserve">overseas CS </w:t>
      </w:r>
      <w:r w:rsidR="007604FB" w:rsidRPr="007F440F">
        <w:t>facility</w:t>
      </w:r>
      <w:r w:rsidR="00000FD9">
        <w:t>.</w:t>
      </w:r>
      <w:r w:rsidR="00000FD9" w:rsidRPr="00000FD9">
        <w:t xml:space="preserve"> </w:t>
      </w:r>
      <w:r w:rsidR="00000FD9">
        <w:t>An Australian body corporate is a body corporate that is registered under Chapter 2A</w:t>
      </w:r>
      <w:r w:rsidR="00C3487B">
        <w:t xml:space="preserve"> (that is, incorporated in this jurisdiction).</w:t>
      </w:r>
      <w:r w:rsidR="00DF57A0" w:rsidDel="00DF57A0">
        <w:rPr>
          <w:rStyle w:val="FootnoteReference"/>
        </w:rPr>
        <w:t xml:space="preserve"> </w:t>
      </w:r>
      <w:r w:rsidR="00DF57A0">
        <w:t xml:space="preserve"> Fo</w:t>
      </w:r>
      <w:r w:rsidR="00CF3FA2">
        <w:t xml:space="preserve">reign </w:t>
      </w:r>
      <w:r w:rsidR="00942C15">
        <w:t xml:space="preserve">bodies </w:t>
      </w:r>
      <w:r w:rsidR="00BB5BB7">
        <w:t>corporate</w:t>
      </w:r>
      <w:r w:rsidR="00CF3FA2">
        <w:t xml:space="preserve"> incorporated outside </w:t>
      </w:r>
      <w:r w:rsidR="00767149">
        <w:t>of Australia</w:t>
      </w:r>
      <w:r w:rsidR="00CF3FA2">
        <w:t xml:space="preserve"> </w:t>
      </w:r>
      <w:r w:rsidR="00333FE2">
        <w:t xml:space="preserve">will </w:t>
      </w:r>
      <w:r w:rsidR="00AC667C">
        <w:t>be registered under Division 2 of Part 5B.2</w:t>
      </w:r>
      <w:r w:rsidR="00EB66B0">
        <w:t>.</w:t>
      </w:r>
      <w:r w:rsidR="007A4B69">
        <w:t xml:space="preserve"> </w:t>
      </w:r>
    </w:p>
    <w:p w14:paraId="2F44D3C7" w14:textId="2D2558E9" w:rsidR="00AF1542" w:rsidRPr="00410C3F" w:rsidRDefault="00D03076" w:rsidP="00AD1047">
      <w:pPr>
        <w:pStyle w:val="Normalparatextwithnumbers"/>
        <w:rPr>
          <w:rStyle w:val="References"/>
          <w:b w:val="0"/>
          <w:bCs w:val="0"/>
          <w:i w:val="0"/>
          <w:iCs w:val="0"/>
        </w:rPr>
      </w:pPr>
      <w:r>
        <w:t>Currently</w:t>
      </w:r>
      <w:r w:rsidR="00AF1542">
        <w:t xml:space="preserve">, the Minister </w:t>
      </w:r>
      <w:r w:rsidR="00F3491F">
        <w:t xml:space="preserve">may grant </w:t>
      </w:r>
      <w:r w:rsidR="004244D2" w:rsidRPr="007F440F">
        <w:t>Australian CS facility licence</w:t>
      </w:r>
      <w:r w:rsidR="004244D2">
        <w:t>s</w:t>
      </w:r>
      <w:r w:rsidR="00AF1542">
        <w:t>.</w:t>
      </w:r>
      <w:r w:rsidR="004244D2">
        <w:t xml:space="preserve"> These amendments transfer </w:t>
      </w:r>
      <w:r w:rsidR="007A4B69">
        <w:t xml:space="preserve">the </w:t>
      </w:r>
      <w:r w:rsidR="004244D2">
        <w:t xml:space="preserve">power to </w:t>
      </w:r>
      <w:r w:rsidR="007A4B69">
        <w:t>grant CS facility licenses</w:t>
      </w:r>
      <w:r w:rsidR="004244D2">
        <w:t xml:space="preserve"> to ASIC.</w:t>
      </w:r>
      <w:r w:rsidR="003639A0">
        <w:t xml:space="preserve"> </w:t>
      </w:r>
      <w:r w:rsidR="007A4B69">
        <w:t xml:space="preserve">The administrative process remains the same, where </w:t>
      </w:r>
      <w:r w:rsidR="003639A0">
        <w:t xml:space="preserve">ASIC must be satisfied </w:t>
      </w:r>
      <w:r w:rsidR="007A4B69">
        <w:t>with</w:t>
      </w:r>
      <w:r w:rsidR="003639A0">
        <w:t xml:space="preserve"> the same criteria the Minister had to be satisfied </w:t>
      </w:r>
      <w:r w:rsidR="00EF07A0">
        <w:t>under</w:t>
      </w:r>
      <w:r w:rsidR="003639A0">
        <w:t xml:space="preserve">, </w:t>
      </w:r>
      <w:proofErr w:type="gramStart"/>
      <w:r w:rsidR="003639A0">
        <w:t>and also</w:t>
      </w:r>
      <w:proofErr w:type="gramEnd"/>
      <w:r w:rsidR="003639A0" w:rsidRPr="003639A0">
        <w:t xml:space="preserve"> have regard to the </w:t>
      </w:r>
      <w:r w:rsidR="003639A0">
        <w:t xml:space="preserve">same </w:t>
      </w:r>
      <w:r w:rsidR="003639A0" w:rsidRPr="003639A0">
        <w:t xml:space="preserve">matters in </w:t>
      </w:r>
      <w:r w:rsidR="003639A0" w:rsidRPr="001B03B0">
        <w:t>section 827A</w:t>
      </w:r>
      <w:r w:rsidR="00A815A9">
        <w:t xml:space="preserve"> </w:t>
      </w:r>
      <w:r w:rsidR="003639A0" w:rsidRPr="003639A0">
        <w:t>in deciding whether to grant a licence</w:t>
      </w:r>
      <w:r w:rsidR="003639A0">
        <w:t>.</w:t>
      </w:r>
      <w:r w:rsidR="00054E07">
        <w:t xml:space="preserve"> Similarly, </w:t>
      </w:r>
      <w:r w:rsidR="00054E07" w:rsidRPr="00054E07">
        <w:t xml:space="preserve">ASIC must not grant an Australian CS facility licence unless </w:t>
      </w:r>
      <w:r w:rsidR="0011478E">
        <w:t>forty</w:t>
      </w:r>
      <w:r w:rsidR="007A4B69">
        <w:noBreakHyphen/>
      </w:r>
      <w:r w:rsidR="0011478E">
        <w:t>two</w:t>
      </w:r>
      <w:r w:rsidR="00054E07" w:rsidRPr="00054E07">
        <w:t xml:space="preserve"> days have passed since the application was made for the licence and ASIC has not </w:t>
      </w:r>
      <w:r w:rsidR="0011478E">
        <w:t>declared the</w:t>
      </w:r>
      <w:r w:rsidR="00054E07" w:rsidRPr="00054E07">
        <w:t xml:space="preserve"> applicant </w:t>
      </w:r>
      <w:r w:rsidR="0011478E">
        <w:t xml:space="preserve">is </w:t>
      </w:r>
      <w:r w:rsidR="0011478E" w:rsidRPr="0011478E">
        <w:t xml:space="preserve">disqualified </w:t>
      </w:r>
      <w:r w:rsidR="00054E07" w:rsidRPr="00054E07">
        <w:t xml:space="preserve">within </w:t>
      </w:r>
      <w:r w:rsidR="0011478E">
        <w:t>that period.</w:t>
      </w:r>
      <w:r w:rsidR="00767149" w:rsidRPr="00767149">
        <w:rPr>
          <w:rStyle w:val="References"/>
        </w:rPr>
        <w:t xml:space="preserve"> </w:t>
      </w:r>
      <w:r w:rsidR="00767149">
        <w:rPr>
          <w:rStyle w:val="References"/>
        </w:rPr>
        <w:br/>
      </w:r>
      <w:r w:rsidR="00767149" w:rsidRPr="00EF777C">
        <w:rPr>
          <w:rStyle w:val="References"/>
        </w:rPr>
        <w:t xml:space="preserve">[Schedule </w:t>
      </w:r>
      <w:r w:rsidR="004745DF">
        <w:rPr>
          <w:rStyle w:val="References"/>
        </w:rPr>
        <w:t>2</w:t>
      </w:r>
      <w:r w:rsidR="00767149" w:rsidRPr="00EF777C">
        <w:rPr>
          <w:rStyle w:val="References"/>
        </w:rPr>
        <w:t xml:space="preserve">, items </w:t>
      </w:r>
      <w:r w:rsidR="008B3181">
        <w:rPr>
          <w:rStyle w:val="References"/>
        </w:rPr>
        <w:t>3 to 9</w:t>
      </w:r>
      <w:r w:rsidR="00767149" w:rsidRPr="00EF777C">
        <w:rPr>
          <w:rStyle w:val="References"/>
        </w:rPr>
        <w:t>, section 824B</w:t>
      </w:r>
      <w:r w:rsidR="00767149">
        <w:rPr>
          <w:rStyle w:val="References"/>
        </w:rPr>
        <w:t xml:space="preserve"> of the Act</w:t>
      </w:r>
      <w:r w:rsidR="00767149" w:rsidRPr="00EF777C">
        <w:rPr>
          <w:rStyle w:val="References"/>
        </w:rPr>
        <w:t>]</w:t>
      </w:r>
    </w:p>
    <w:p w14:paraId="5D6CCC60" w14:textId="3F432E10" w:rsidR="007A037B" w:rsidRPr="00410C3F" w:rsidRDefault="007A037B" w:rsidP="00AD1047">
      <w:pPr>
        <w:pStyle w:val="Normalparatextwithnumbers"/>
      </w:pPr>
      <w:r w:rsidRPr="00410C3F">
        <w:t xml:space="preserve">ASIC must consult the RBA before granting an applicant an Australian CS facility licence under </w:t>
      </w:r>
      <w:r w:rsidR="00A47B12" w:rsidRPr="00410C3F">
        <w:t xml:space="preserve">section 842B. </w:t>
      </w:r>
      <w:proofErr w:type="gramStart"/>
      <w:r w:rsidR="00A47B12" w:rsidRPr="00410C3F">
        <w:t>However</w:t>
      </w:r>
      <w:proofErr w:type="gramEnd"/>
      <w:r w:rsidR="00A47B12" w:rsidRPr="00410C3F">
        <w:t xml:space="preserve"> a failure to consult does not invalidate the grant of the licence. </w:t>
      </w:r>
      <w:r w:rsidR="00A47B12">
        <w:br/>
      </w:r>
      <w:r w:rsidR="00A47B12" w:rsidRPr="00410C3F">
        <w:rPr>
          <w:rStyle w:val="References"/>
        </w:rPr>
        <w:t xml:space="preserve">[Schedule </w:t>
      </w:r>
      <w:r w:rsidR="00A47B12">
        <w:rPr>
          <w:rStyle w:val="References"/>
        </w:rPr>
        <w:t>2, item 9, subsection 824</w:t>
      </w:r>
      <w:proofErr w:type="gramStart"/>
      <w:r w:rsidR="00A47B12">
        <w:rPr>
          <w:rStyle w:val="References"/>
        </w:rPr>
        <w:t>B(</w:t>
      </w:r>
      <w:proofErr w:type="gramEnd"/>
      <w:r w:rsidR="00A47B12">
        <w:rPr>
          <w:rStyle w:val="References"/>
        </w:rPr>
        <w:t>4)</w:t>
      </w:r>
      <w:r w:rsidR="00A47B12" w:rsidRPr="00410C3F">
        <w:rPr>
          <w:rStyle w:val="References"/>
        </w:rPr>
        <w:t xml:space="preserve">] </w:t>
      </w:r>
    </w:p>
    <w:p w14:paraId="56881305" w14:textId="4A2F7303" w:rsidR="000E0581" w:rsidRPr="006D0761" w:rsidRDefault="00901F01" w:rsidP="000B15AF">
      <w:pPr>
        <w:pStyle w:val="Normalparatextwithnumbers"/>
        <w:rPr>
          <w:rStyle w:val="References"/>
          <w:b w:val="0"/>
          <w:i w:val="0"/>
        </w:rPr>
      </w:pPr>
      <w:r w:rsidRPr="00D10880">
        <w:t xml:space="preserve">The amendments </w:t>
      </w:r>
      <w:r w:rsidR="006919FA" w:rsidRPr="00D10880">
        <w:t xml:space="preserve">create a general licence condition for CS facility licences that </w:t>
      </w:r>
      <w:r w:rsidR="000B15AF" w:rsidRPr="00D10880">
        <w:t>if the licence was granted under subsection 824</w:t>
      </w:r>
      <w:proofErr w:type="gramStart"/>
      <w:r w:rsidR="000B15AF" w:rsidRPr="00D10880">
        <w:t>B(</w:t>
      </w:r>
      <w:proofErr w:type="gramEnd"/>
      <w:r w:rsidR="000B15AF" w:rsidRPr="00D10880">
        <w:t xml:space="preserve">1), the licensee must be a body corporate registered under Chapter 2A of the Act. </w:t>
      </w:r>
      <w:r w:rsidR="000B15AF">
        <w:br/>
      </w:r>
      <w:r w:rsidR="000B15AF" w:rsidRPr="00D10880">
        <w:rPr>
          <w:rStyle w:val="References"/>
        </w:rPr>
        <w:t xml:space="preserve">[Schedule </w:t>
      </w:r>
      <w:r w:rsidR="000B15AF">
        <w:rPr>
          <w:rStyle w:val="References"/>
        </w:rPr>
        <w:t>2</w:t>
      </w:r>
      <w:r w:rsidR="000B15AF" w:rsidRPr="00D10880">
        <w:rPr>
          <w:rStyle w:val="References"/>
        </w:rPr>
        <w:t>, item</w:t>
      </w:r>
      <w:r w:rsidR="000B15AF">
        <w:rPr>
          <w:rStyle w:val="References"/>
        </w:rPr>
        <w:t xml:space="preserve"> 1</w:t>
      </w:r>
      <w:r w:rsidR="000B15AF" w:rsidRPr="00D10880">
        <w:rPr>
          <w:rStyle w:val="References"/>
        </w:rPr>
        <w:t xml:space="preserve">, </w:t>
      </w:r>
      <w:r w:rsidR="00083B9A">
        <w:rPr>
          <w:rStyle w:val="References"/>
        </w:rPr>
        <w:t>paragraph 821A(</w:t>
      </w:r>
      <w:proofErr w:type="gramStart"/>
      <w:r w:rsidR="00083B9A">
        <w:rPr>
          <w:rStyle w:val="References"/>
        </w:rPr>
        <w:t>1)(</w:t>
      </w:r>
      <w:proofErr w:type="spellStart"/>
      <w:proofErr w:type="gramEnd"/>
      <w:r w:rsidR="00083B9A">
        <w:rPr>
          <w:rStyle w:val="References"/>
        </w:rPr>
        <w:t>ea</w:t>
      </w:r>
      <w:proofErr w:type="spellEnd"/>
      <w:r w:rsidR="00083B9A">
        <w:rPr>
          <w:rStyle w:val="References"/>
        </w:rPr>
        <w:t xml:space="preserve">) </w:t>
      </w:r>
      <w:r w:rsidR="000B15AF" w:rsidRPr="00D10880">
        <w:rPr>
          <w:rStyle w:val="References"/>
        </w:rPr>
        <w:t>of</w:t>
      </w:r>
      <w:r w:rsidR="00083B9A">
        <w:rPr>
          <w:rStyle w:val="References"/>
        </w:rPr>
        <w:t xml:space="preserve"> the</w:t>
      </w:r>
      <w:r w:rsidR="000B15AF" w:rsidRPr="00D10880">
        <w:rPr>
          <w:rStyle w:val="References"/>
        </w:rPr>
        <w:t xml:space="preserve"> Act] </w:t>
      </w:r>
    </w:p>
    <w:p w14:paraId="609C0385" w14:textId="1521FB67" w:rsidR="006D0761" w:rsidRPr="00FC6886" w:rsidRDefault="006D0761" w:rsidP="006D0761">
      <w:pPr>
        <w:pStyle w:val="Normalparatextwithnumbers"/>
        <w:rPr>
          <w:rStyle w:val="References"/>
          <w:b w:val="0"/>
          <w:i w:val="0"/>
        </w:rPr>
      </w:pPr>
      <w:r w:rsidRPr="001B03B0">
        <w:t>Subsection 824</w:t>
      </w:r>
      <w:proofErr w:type="gramStart"/>
      <w:r w:rsidRPr="001B03B0">
        <w:t>B(</w:t>
      </w:r>
      <w:proofErr w:type="gramEnd"/>
      <w:r w:rsidRPr="001B03B0">
        <w:t>3)</w:t>
      </w:r>
      <w:r>
        <w:t>,</w:t>
      </w:r>
      <w:r w:rsidRPr="001B03B0">
        <w:t xml:space="preserve"> which contains the requirement that a foreign body corporate be registered under Division 2 of Part 5B.2</w:t>
      </w:r>
      <w:r>
        <w:t>,</w:t>
      </w:r>
      <w:r w:rsidRPr="001B03B0">
        <w:t xml:space="preserve"> is repealed and instead the requirement is </w:t>
      </w:r>
      <w:r>
        <w:t>retained as a general obligation in subsection 821A(1)(e)</w:t>
      </w:r>
      <w:r w:rsidRPr="001B03B0">
        <w:t>.</w:t>
      </w:r>
      <w:r>
        <w:br/>
      </w:r>
      <w:r w:rsidRPr="00C573EA">
        <w:rPr>
          <w:rStyle w:val="References"/>
        </w:rPr>
        <w:t xml:space="preserve">[Schedule </w:t>
      </w:r>
      <w:r>
        <w:rPr>
          <w:rStyle w:val="References"/>
        </w:rPr>
        <w:t>2</w:t>
      </w:r>
      <w:r w:rsidRPr="00C573EA">
        <w:rPr>
          <w:rStyle w:val="References"/>
        </w:rPr>
        <w:t>, item</w:t>
      </w:r>
      <w:r w:rsidRPr="001B03B0">
        <w:rPr>
          <w:rStyle w:val="References"/>
        </w:rPr>
        <w:t xml:space="preserve"> </w:t>
      </w:r>
      <w:r>
        <w:rPr>
          <w:rStyle w:val="References"/>
        </w:rPr>
        <w:t>9</w:t>
      </w:r>
      <w:r w:rsidRPr="001B03B0">
        <w:rPr>
          <w:rStyle w:val="References"/>
        </w:rPr>
        <w:t>, subsection 824B(</w:t>
      </w:r>
      <w:r>
        <w:rPr>
          <w:rStyle w:val="References"/>
        </w:rPr>
        <w:t>3</w:t>
      </w:r>
      <w:r w:rsidRPr="001B03B0">
        <w:rPr>
          <w:rStyle w:val="References"/>
        </w:rPr>
        <w:t>)</w:t>
      </w:r>
      <w:r>
        <w:rPr>
          <w:rStyle w:val="References"/>
        </w:rPr>
        <w:t xml:space="preserve"> of the Act</w:t>
      </w:r>
      <w:r w:rsidRPr="001B03B0">
        <w:rPr>
          <w:rStyle w:val="References"/>
        </w:rPr>
        <w:t>]</w:t>
      </w:r>
    </w:p>
    <w:p w14:paraId="2998F6F9" w14:textId="1BE53E5A" w:rsidR="00A27648" w:rsidRDefault="00A27648" w:rsidP="00A27648">
      <w:pPr>
        <w:pStyle w:val="Heading5"/>
        <w:numPr>
          <w:ilvl w:val="4"/>
          <w:numId w:val="2"/>
        </w:numPr>
      </w:pPr>
      <w:r>
        <w:t xml:space="preserve">CS facility rules </w:t>
      </w:r>
    </w:p>
    <w:p w14:paraId="6C4768F9" w14:textId="77777777" w:rsidR="00A27648" w:rsidRPr="00AD0257" w:rsidRDefault="00A27648" w:rsidP="0031431E">
      <w:pPr>
        <w:pStyle w:val="Heading6"/>
        <w:rPr>
          <w:rFonts w:hint="eastAsia"/>
        </w:rPr>
      </w:pPr>
      <w:r w:rsidRPr="00AD0257">
        <w:t xml:space="preserve">Power to make </w:t>
      </w:r>
      <w:proofErr w:type="gramStart"/>
      <w:r w:rsidRPr="00AD0257">
        <w:t>rules</w:t>
      </w:r>
      <w:proofErr w:type="gramEnd"/>
    </w:p>
    <w:p w14:paraId="167587AA" w14:textId="155B1C25" w:rsidR="003D5342" w:rsidRPr="003D5342" w:rsidRDefault="00A27648" w:rsidP="00F10A7D">
      <w:pPr>
        <w:pStyle w:val="Normalparatextwithnumbers"/>
      </w:pPr>
      <w:r>
        <w:t>The amendments provide ASIC with a power to</w:t>
      </w:r>
      <w:r w:rsidR="003D5342">
        <w:t xml:space="preserve"> make rules</w:t>
      </w:r>
      <w:r w:rsidR="003D5342" w:rsidRPr="003D5342">
        <w:t xml:space="preserve"> for the purposes of promoting the provision of fair and effective services by licensed CS facilities.</w:t>
      </w:r>
      <w:r w:rsidR="00873D5F">
        <w:t xml:space="preserve"> Schedule </w:t>
      </w:r>
      <w:r w:rsidR="003B2900">
        <w:t>@</w:t>
      </w:r>
      <w:r w:rsidR="00873D5F">
        <w:t xml:space="preserve"> defines such rules </w:t>
      </w:r>
      <w:r w:rsidR="00EB3B2B">
        <w:t xml:space="preserve">as </w:t>
      </w:r>
      <w:r w:rsidR="00EB3B2B" w:rsidRPr="00EB3B2B">
        <w:rPr>
          <w:b/>
          <w:bCs/>
          <w:i/>
          <w:iCs/>
        </w:rPr>
        <w:t>CS facility rules</w:t>
      </w:r>
      <w:r w:rsidR="00EB3B2B">
        <w:t>.</w:t>
      </w:r>
      <w:r w:rsidR="00873D5F">
        <w:t xml:space="preserve"> </w:t>
      </w:r>
      <w:r w:rsidR="003D5342">
        <w:br/>
      </w:r>
      <w:r w:rsidR="003D5342" w:rsidRPr="003D5342">
        <w:rPr>
          <w:rStyle w:val="References"/>
        </w:rPr>
        <w:t xml:space="preserve">[Schedule </w:t>
      </w:r>
      <w:r w:rsidR="004745DF">
        <w:rPr>
          <w:rStyle w:val="References"/>
        </w:rPr>
        <w:t>2</w:t>
      </w:r>
      <w:r w:rsidR="003D5342" w:rsidRPr="003D5342">
        <w:rPr>
          <w:rStyle w:val="References"/>
        </w:rPr>
        <w:t>, item</w:t>
      </w:r>
      <w:r w:rsidR="003E1E01">
        <w:rPr>
          <w:rStyle w:val="References"/>
        </w:rPr>
        <w:t xml:space="preserve">s </w:t>
      </w:r>
      <w:r w:rsidR="00036A66">
        <w:rPr>
          <w:rStyle w:val="References"/>
        </w:rPr>
        <w:t>6</w:t>
      </w:r>
      <w:r w:rsidR="001530B1">
        <w:rPr>
          <w:rStyle w:val="References"/>
        </w:rPr>
        <w:t>9</w:t>
      </w:r>
      <w:r w:rsidR="003E1E01">
        <w:rPr>
          <w:rStyle w:val="References"/>
        </w:rPr>
        <w:t xml:space="preserve"> and</w:t>
      </w:r>
      <w:r w:rsidR="007149C0">
        <w:rPr>
          <w:rStyle w:val="References"/>
        </w:rPr>
        <w:t xml:space="preserve"> </w:t>
      </w:r>
      <w:r w:rsidR="00D70056">
        <w:rPr>
          <w:rStyle w:val="References"/>
        </w:rPr>
        <w:t>72</w:t>
      </w:r>
      <w:r w:rsidR="003D5342" w:rsidRPr="003D5342">
        <w:rPr>
          <w:rStyle w:val="References"/>
        </w:rPr>
        <w:t xml:space="preserve">, </w:t>
      </w:r>
      <w:r w:rsidR="00287A2C">
        <w:rPr>
          <w:rStyle w:val="References"/>
        </w:rPr>
        <w:t>section</w:t>
      </w:r>
      <w:r w:rsidR="003E1E01">
        <w:rPr>
          <w:rStyle w:val="References"/>
        </w:rPr>
        <w:t>s 9 and</w:t>
      </w:r>
      <w:r w:rsidR="003D5342" w:rsidRPr="003D5342">
        <w:rPr>
          <w:rStyle w:val="References"/>
        </w:rPr>
        <w:t xml:space="preserve"> </w:t>
      </w:r>
      <w:r w:rsidR="003D5342">
        <w:rPr>
          <w:rStyle w:val="References"/>
        </w:rPr>
        <w:t>826H</w:t>
      </w:r>
      <w:r w:rsidR="00CD2F15">
        <w:rPr>
          <w:rStyle w:val="References"/>
        </w:rPr>
        <w:t xml:space="preserve"> of the Act</w:t>
      </w:r>
      <w:r w:rsidR="003D5342" w:rsidRPr="003D5342">
        <w:rPr>
          <w:rStyle w:val="References"/>
        </w:rPr>
        <w:t xml:space="preserve">] </w:t>
      </w:r>
    </w:p>
    <w:p w14:paraId="5C947E94" w14:textId="6482BC73" w:rsidR="004B5EF6" w:rsidRDefault="004B5EF6" w:rsidP="004B5EF6">
      <w:pPr>
        <w:pStyle w:val="Heading6"/>
        <w:rPr>
          <w:rFonts w:hint="eastAsia"/>
        </w:rPr>
      </w:pPr>
      <w:r>
        <w:lastRenderedPageBreak/>
        <w:t xml:space="preserve">Application of the rules </w:t>
      </w:r>
    </w:p>
    <w:p w14:paraId="3A5CF890" w14:textId="4E0B97E8" w:rsidR="004B5EF6" w:rsidRDefault="004B5EF6">
      <w:pPr>
        <w:pStyle w:val="Normalparatextwithnumbers"/>
      </w:pPr>
      <w:r>
        <w:t xml:space="preserve">The </w:t>
      </w:r>
      <w:r w:rsidRPr="00A90634">
        <w:t xml:space="preserve">rules </w:t>
      </w:r>
      <w:r>
        <w:t xml:space="preserve">may </w:t>
      </w:r>
      <w:r w:rsidRPr="00A90634">
        <w:t xml:space="preserve">impose obligations on both operators and participants of licensed CS facilities, as well as any other person prescribed in </w:t>
      </w:r>
      <w:r>
        <w:t>the R</w:t>
      </w:r>
      <w:r w:rsidRPr="00A90634">
        <w:t>egulations</w:t>
      </w:r>
      <w:r>
        <w:t xml:space="preserve">. </w:t>
      </w:r>
      <w:r w:rsidR="00D73908">
        <w:t xml:space="preserve">The </w:t>
      </w:r>
      <w:r>
        <w:t xml:space="preserve">application to </w:t>
      </w:r>
      <w:r w:rsidR="00F34BB6">
        <w:t xml:space="preserve">participants </w:t>
      </w:r>
      <w:r>
        <w:t xml:space="preserve">reflects the </w:t>
      </w:r>
      <w:r w:rsidR="00F34BB6">
        <w:t xml:space="preserve">key conduit for </w:t>
      </w:r>
      <w:r w:rsidR="0030187E">
        <w:t xml:space="preserve">the provision of clearing and settlement to financial markets, </w:t>
      </w:r>
      <w:proofErr w:type="gramStart"/>
      <w:r w:rsidR="0030187E">
        <w:t>and also</w:t>
      </w:r>
      <w:proofErr w:type="gramEnd"/>
      <w:r w:rsidR="0030187E">
        <w:t xml:space="preserve"> of risk to the CS facility</w:t>
      </w:r>
      <w:r w:rsidR="00133688">
        <w:t xml:space="preserve">. </w:t>
      </w:r>
      <w:r>
        <w:t xml:space="preserve">However, the CS facility rules do not apply </w:t>
      </w:r>
      <w:r w:rsidR="00AB48D5">
        <w:t xml:space="preserve">in relation </w:t>
      </w:r>
      <w:r>
        <w:t>to overseas CS facilit</w:t>
      </w:r>
      <w:r w:rsidR="00AB48D5">
        <w:t>ies</w:t>
      </w:r>
      <w:r>
        <w:t>.</w:t>
      </w:r>
      <w:r>
        <w:br/>
      </w:r>
      <w:r w:rsidRPr="00CD133A">
        <w:rPr>
          <w:rStyle w:val="References"/>
        </w:rPr>
        <w:t xml:space="preserve">[Schedule </w:t>
      </w:r>
      <w:r w:rsidR="004745DF">
        <w:rPr>
          <w:rStyle w:val="References"/>
        </w:rPr>
        <w:t>2</w:t>
      </w:r>
      <w:r w:rsidRPr="00CD133A">
        <w:rPr>
          <w:rStyle w:val="References"/>
        </w:rPr>
        <w:t xml:space="preserve">, item </w:t>
      </w:r>
      <w:r w:rsidR="00DA6357">
        <w:rPr>
          <w:rStyle w:val="References"/>
        </w:rPr>
        <w:t>7</w:t>
      </w:r>
      <w:r w:rsidR="00EF2AD1">
        <w:rPr>
          <w:rStyle w:val="References"/>
        </w:rPr>
        <w:t>2</w:t>
      </w:r>
      <w:r w:rsidRPr="00CD133A">
        <w:rPr>
          <w:rStyle w:val="References"/>
        </w:rPr>
        <w:t xml:space="preserve">, section </w:t>
      </w:r>
      <w:r>
        <w:rPr>
          <w:rStyle w:val="References"/>
        </w:rPr>
        <w:t xml:space="preserve">826J </w:t>
      </w:r>
      <w:r w:rsidRPr="00CD133A">
        <w:rPr>
          <w:rStyle w:val="References"/>
        </w:rPr>
        <w:t>of the Act]</w:t>
      </w:r>
    </w:p>
    <w:p w14:paraId="61F693FE" w14:textId="05F6E657" w:rsidR="004B5EF6" w:rsidRDefault="004B5EF6" w:rsidP="004B5EF6">
      <w:pPr>
        <w:pStyle w:val="Heading6"/>
        <w:rPr>
          <w:rFonts w:hint="eastAsia"/>
        </w:rPr>
      </w:pPr>
      <w:r>
        <w:t>Difference between CS service</w:t>
      </w:r>
      <w:r w:rsidR="00C27E2F">
        <w:t>s</w:t>
      </w:r>
      <w:r>
        <w:t xml:space="preserve"> rules </w:t>
      </w:r>
    </w:p>
    <w:p w14:paraId="7959230F" w14:textId="51796E4A" w:rsidR="00A27648" w:rsidRPr="00502489" w:rsidRDefault="00A36F9D" w:rsidP="00D10880">
      <w:pPr>
        <w:pStyle w:val="Normalparatextwithnumbers"/>
      </w:pPr>
      <w:r>
        <w:t>The CS facility rules differ from</w:t>
      </w:r>
      <w:r w:rsidR="00326DE7">
        <w:t xml:space="preserve"> </w:t>
      </w:r>
      <w:r w:rsidR="00906348">
        <w:t xml:space="preserve">CS </w:t>
      </w:r>
      <w:r w:rsidR="00706E5E">
        <w:t>s</w:t>
      </w:r>
      <w:r w:rsidR="00906348">
        <w:t>ervices rules</w:t>
      </w:r>
      <w:r w:rsidR="008D54A9">
        <w:t xml:space="preserve">. CS </w:t>
      </w:r>
      <w:r w:rsidR="000B061E">
        <w:t>services</w:t>
      </w:r>
      <w:r w:rsidR="008D54A9">
        <w:t xml:space="preserve"> rules</w:t>
      </w:r>
      <w:r w:rsidR="00906348">
        <w:t xml:space="preserve"> cannot impose</w:t>
      </w:r>
      <w:r w:rsidR="00054857">
        <w:t xml:space="preserve"> requirements dealing with the activities, conduct and governance arrangements of CS facility licensees and associated entities, in relation to CS services, unless those services are of a type covered by a determination made by the Minister.</w:t>
      </w:r>
      <w:r w:rsidR="005B5492">
        <w:t xml:space="preserve"> </w:t>
      </w:r>
      <w:r w:rsidR="000C68B9">
        <w:t xml:space="preserve">Such a determination is intended only to be made for classes of CS services that </w:t>
      </w:r>
      <w:r w:rsidR="00F379A5">
        <w:t>meet certain criteria</w:t>
      </w:r>
      <w:r w:rsidR="00EA1D83">
        <w:t>, particularly regarding the state of competition in the market for those services.</w:t>
      </w:r>
      <w:r w:rsidR="00F379A5">
        <w:t xml:space="preserve"> </w:t>
      </w:r>
      <w:r w:rsidR="005B5492">
        <w:t xml:space="preserve">CS facility rules are not constrained to </w:t>
      </w:r>
      <w:r w:rsidR="004B42BD">
        <w:t>the provision of certain services.</w:t>
      </w:r>
    </w:p>
    <w:p w14:paraId="677B23CA" w14:textId="77777777" w:rsidR="00A27648" w:rsidRPr="00A5281B" w:rsidRDefault="00A27648" w:rsidP="0031431E">
      <w:pPr>
        <w:pStyle w:val="Heading6"/>
        <w:rPr>
          <w:rFonts w:hint="eastAsia"/>
        </w:rPr>
      </w:pPr>
      <w:r w:rsidRPr="00A5281B">
        <w:t xml:space="preserve">Exemption </w:t>
      </w:r>
    </w:p>
    <w:p w14:paraId="35339385" w14:textId="21919990" w:rsidR="00613FDD" w:rsidRPr="00F10A7D" w:rsidRDefault="00A27648" w:rsidP="009D08D9">
      <w:pPr>
        <w:pStyle w:val="Normalparatextwithnumbers"/>
        <w:rPr>
          <w:rStyle w:val="References"/>
          <w:b w:val="0"/>
          <w:i w:val="0"/>
        </w:rPr>
      </w:pPr>
      <w:r>
        <w:t xml:space="preserve">ASIC or the Regulations may exempt a person or class of persons from </w:t>
      </w:r>
      <w:r w:rsidR="00BB6AAC">
        <w:t>all or specified provisions</w:t>
      </w:r>
      <w:r w:rsidR="004F164F">
        <w:t xml:space="preserve"> </w:t>
      </w:r>
      <w:r w:rsidR="00A0416A">
        <w:t>in Division 3A (establishing the rules)</w:t>
      </w:r>
      <w:r w:rsidR="00545F86">
        <w:t xml:space="preserve">, regulations made pursuant to the Division, or </w:t>
      </w:r>
      <w:proofErr w:type="gramStart"/>
      <w:r w:rsidR="00724D9B">
        <w:t>all of</w:t>
      </w:r>
      <w:proofErr w:type="gramEnd"/>
      <w:r w:rsidR="00724D9B">
        <w:t xml:space="preserve"> specified provisions of the CS facility rules</w:t>
      </w:r>
      <w:r>
        <w:t xml:space="preserve">. If the exemption applies to a class of persons, </w:t>
      </w:r>
      <w:r w:rsidR="00500328">
        <w:t>the exemption is made by way of disallowable instrument.</w:t>
      </w:r>
      <w:r>
        <w:t xml:space="preserve"> Where there is a conflict between an exemption by the regulations and an exemption </w:t>
      </w:r>
      <w:r w:rsidR="00303BEA">
        <w:t xml:space="preserve">prescribed by </w:t>
      </w:r>
      <w:r>
        <w:t xml:space="preserve">ASIC, the exemption in the regulations prevails. </w:t>
      </w:r>
      <w:r w:rsidR="009D08D9">
        <w:br/>
      </w:r>
      <w:r w:rsidR="00613FDD">
        <w:rPr>
          <w:rStyle w:val="References"/>
        </w:rPr>
        <w:t xml:space="preserve">[Schedule </w:t>
      </w:r>
      <w:r w:rsidR="00575566">
        <w:rPr>
          <w:rStyle w:val="References"/>
        </w:rPr>
        <w:t>2</w:t>
      </w:r>
      <w:r w:rsidR="00613FDD">
        <w:rPr>
          <w:rStyle w:val="References"/>
        </w:rPr>
        <w:t xml:space="preserve">, item </w:t>
      </w:r>
      <w:r w:rsidR="00320E1C">
        <w:rPr>
          <w:rStyle w:val="References"/>
        </w:rPr>
        <w:t>7</w:t>
      </w:r>
      <w:r w:rsidR="00B56220">
        <w:rPr>
          <w:rStyle w:val="References"/>
        </w:rPr>
        <w:t>2</w:t>
      </w:r>
      <w:r w:rsidR="00613FDD">
        <w:rPr>
          <w:rStyle w:val="References"/>
        </w:rPr>
        <w:t>, sections 826S</w:t>
      </w:r>
      <w:r w:rsidR="00A42FCD">
        <w:rPr>
          <w:rStyle w:val="References"/>
        </w:rPr>
        <w:t xml:space="preserve">, </w:t>
      </w:r>
      <w:r w:rsidR="00613FDD">
        <w:rPr>
          <w:rStyle w:val="References"/>
        </w:rPr>
        <w:t>826T</w:t>
      </w:r>
      <w:r w:rsidR="00E22296">
        <w:rPr>
          <w:rStyle w:val="References"/>
        </w:rPr>
        <w:t xml:space="preserve">, </w:t>
      </w:r>
      <w:r w:rsidR="00A42FCD">
        <w:rPr>
          <w:rStyle w:val="References"/>
        </w:rPr>
        <w:t>826U</w:t>
      </w:r>
      <w:r w:rsidR="00E22296">
        <w:rPr>
          <w:rStyle w:val="References"/>
        </w:rPr>
        <w:t xml:space="preserve"> and 826V</w:t>
      </w:r>
      <w:r w:rsidR="00613FDD">
        <w:rPr>
          <w:rStyle w:val="References"/>
        </w:rPr>
        <w:t xml:space="preserve"> of the Act]</w:t>
      </w:r>
    </w:p>
    <w:p w14:paraId="29E9EBD3" w14:textId="7FE1FF79" w:rsidR="00A27648" w:rsidRDefault="00A27648" w:rsidP="00125C2C">
      <w:pPr>
        <w:pStyle w:val="Normalparatextwithnumbers"/>
      </w:pPr>
      <w:r>
        <w:t xml:space="preserve">ASIC </w:t>
      </w:r>
      <w:r w:rsidR="00773A7A">
        <w:t>may only</w:t>
      </w:r>
      <w:r w:rsidR="003E23AB">
        <w:t xml:space="preserve"> exempt a class of persons</w:t>
      </w:r>
      <w:r w:rsidR="0086610F">
        <w:t xml:space="preserve"> or facilities</w:t>
      </w:r>
      <w:r w:rsidR="00AA7017">
        <w:t xml:space="preserve"> if a notice is published on ASIC’s website allowing a reasonable period for relevant operators to make a submission and the submission period has ended.</w:t>
      </w:r>
      <w:r w:rsidR="00AA7017">
        <w:br/>
      </w:r>
      <w:r w:rsidR="00AA7017" w:rsidRPr="00D10880">
        <w:rPr>
          <w:rStyle w:val="References"/>
        </w:rPr>
        <w:t xml:space="preserve">[Schedule </w:t>
      </w:r>
      <w:r w:rsidR="00AA7017">
        <w:rPr>
          <w:rStyle w:val="References"/>
        </w:rPr>
        <w:t>2</w:t>
      </w:r>
      <w:r w:rsidR="00AA7017" w:rsidRPr="00D10880">
        <w:rPr>
          <w:rStyle w:val="References"/>
        </w:rPr>
        <w:t xml:space="preserve">, item </w:t>
      </w:r>
      <w:r w:rsidR="00AA7017">
        <w:rPr>
          <w:rStyle w:val="References"/>
        </w:rPr>
        <w:t>7</w:t>
      </w:r>
      <w:r w:rsidR="00076C79">
        <w:rPr>
          <w:rStyle w:val="References"/>
        </w:rPr>
        <w:t>2</w:t>
      </w:r>
      <w:r w:rsidR="00AA7017" w:rsidRPr="00D10880">
        <w:rPr>
          <w:rStyle w:val="References"/>
        </w:rPr>
        <w:t xml:space="preserve">, </w:t>
      </w:r>
      <w:r w:rsidR="00AA7017">
        <w:rPr>
          <w:rStyle w:val="References"/>
        </w:rPr>
        <w:t xml:space="preserve">subsection </w:t>
      </w:r>
      <w:r w:rsidR="0086427A">
        <w:rPr>
          <w:rStyle w:val="References"/>
        </w:rPr>
        <w:t>826</w:t>
      </w:r>
      <w:proofErr w:type="gramStart"/>
      <w:r w:rsidR="0086427A">
        <w:rPr>
          <w:rStyle w:val="References"/>
        </w:rPr>
        <w:t>U(</w:t>
      </w:r>
      <w:proofErr w:type="gramEnd"/>
      <w:r w:rsidR="0086427A">
        <w:rPr>
          <w:rStyle w:val="References"/>
        </w:rPr>
        <w:t>2)</w:t>
      </w:r>
      <w:r w:rsidR="00AA7017" w:rsidRPr="00D10880">
        <w:rPr>
          <w:rStyle w:val="References"/>
        </w:rPr>
        <w:t xml:space="preserve">] </w:t>
      </w:r>
      <w:r>
        <w:t>.</w:t>
      </w:r>
    </w:p>
    <w:p w14:paraId="0E08BD6B" w14:textId="5A0E9B77" w:rsidR="00A27648" w:rsidRDefault="00A27648" w:rsidP="00AD1047">
      <w:pPr>
        <w:pStyle w:val="Normalparatextwithnumbers"/>
      </w:pPr>
      <w:r>
        <w:t xml:space="preserve">The ability to exempt </w:t>
      </w:r>
      <w:r w:rsidR="0048591C">
        <w:t xml:space="preserve">or modify </w:t>
      </w:r>
      <w:r w:rsidR="00D02D48">
        <w:t xml:space="preserve">by Regulations </w:t>
      </w:r>
      <w:r>
        <w:t>a specific class from the rules is consistent with section 798L (relating to market integrity rules), section 907E (relating to derivative trade repository rules) and section 908EB (relating to the benchmark rules). Exemption by ASIC is consistent with the Minister and ASIC’s power to provide exemptions with respect to financial markets under section 798M, derivative trade repositories under section 907D, and financial benchmark administrators under section 908EB</w:t>
      </w:r>
      <w:r w:rsidR="00F10A7D">
        <w:t xml:space="preserve"> of the Act</w:t>
      </w:r>
      <w:r>
        <w:t>.</w:t>
      </w:r>
    </w:p>
    <w:p w14:paraId="00577B74" w14:textId="3EF2E7F7" w:rsidR="00A27648" w:rsidRPr="00AD0257" w:rsidRDefault="00A27648" w:rsidP="0031431E">
      <w:pPr>
        <w:pStyle w:val="Heading6"/>
        <w:rPr>
          <w:rFonts w:hint="eastAsia"/>
        </w:rPr>
      </w:pPr>
      <w:r w:rsidRPr="00AD0257">
        <w:t>Consultation and consent requirements</w:t>
      </w:r>
    </w:p>
    <w:p w14:paraId="3727D2DB" w14:textId="7E4A6F75" w:rsidR="00A27648" w:rsidRDefault="00A27648" w:rsidP="00125C2C">
      <w:pPr>
        <w:pStyle w:val="Normalparatextwithnumbers"/>
      </w:pPr>
      <w:r>
        <w:t>ASIC must not make a rule unless ASIC has:</w:t>
      </w:r>
    </w:p>
    <w:p w14:paraId="0DD0DA81" w14:textId="77777777" w:rsidR="00A27648" w:rsidRDefault="00A27648" w:rsidP="00A27648">
      <w:pPr>
        <w:pStyle w:val="Dotpoint1"/>
        <w:ind w:left="1418" w:hanging="709"/>
      </w:pPr>
      <w:r>
        <w:t xml:space="preserve">consulted the public about the proposed </w:t>
      </w:r>
      <w:proofErr w:type="gramStart"/>
      <w:r>
        <w:t>rule;</w:t>
      </w:r>
      <w:proofErr w:type="gramEnd"/>
    </w:p>
    <w:p w14:paraId="205B388B" w14:textId="77777777" w:rsidR="00A27648" w:rsidRDefault="00A27648" w:rsidP="00A27648">
      <w:pPr>
        <w:pStyle w:val="Dotpoint1"/>
        <w:ind w:left="1418" w:hanging="709"/>
      </w:pPr>
      <w:r>
        <w:lastRenderedPageBreak/>
        <w:t>consulted any other person or body as required by regulations; and</w:t>
      </w:r>
    </w:p>
    <w:p w14:paraId="6694F061" w14:textId="7A9CFCFE" w:rsidR="00A27648" w:rsidRDefault="00A27648" w:rsidP="00A27648">
      <w:pPr>
        <w:pStyle w:val="Dotpoint1"/>
        <w:ind w:left="1418" w:hanging="709"/>
      </w:pPr>
      <w:r>
        <w:t>consulted the RBA.</w:t>
      </w:r>
      <w:r>
        <w:br/>
      </w:r>
      <w:r w:rsidRPr="00CD133A">
        <w:rPr>
          <w:rStyle w:val="References"/>
        </w:rPr>
        <w:t xml:space="preserve">[Schedule </w:t>
      </w:r>
      <w:r w:rsidR="00575566">
        <w:rPr>
          <w:rStyle w:val="References"/>
        </w:rPr>
        <w:t>2</w:t>
      </w:r>
      <w:r w:rsidRPr="00CD133A">
        <w:rPr>
          <w:rStyle w:val="References"/>
        </w:rPr>
        <w:t xml:space="preserve">, item </w:t>
      </w:r>
      <w:r w:rsidR="00575566">
        <w:rPr>
          <w:rStyle w:val="References"/>
        </w:rPr>
        <w:t>7</w:t>
      </w:r>
      <w:r w:rsidR="000304BE">
        <w:rPr>
          <w:rStyle w:val="References"/>
        </w:rPr>
        <w:t>2</w:t>
      </w:r>
      <w:r w:rsidRPr="00CD133A">
        <w:rPr>
          <w:rStyle w:val="References"/>
        </w:rPr>
        <w:t xml:space="preserve">, </w:t>
      </w:r>
      <w:r w:rsidR="00756AC4">
        <w:rPr>
          <w:rStyle w:val="References"/>
        </w:rPr>
        <w:t>sub</w:t>
      </w:r>
      <w:r w:rsidRPr="00CD133A">
        <w:rPr>
          <w:rStyle w:val="References"/>
        </w:rPr>
        <w:t xml:space="preserve">section </w:t>
      </w:r>
      <w:r w:rsidR="00737303">
        <w:rPr>
          <w:rStyle w:val="References"/>
        </w:rPr>
        <w:t>826</w:t>
      </w:r>
      <w:proofErr w:type="gramStart"/>
      <w:r w:rsidR="00737303">
        <w:rPr>
          <w:rStyle w:val="References"/>
        </w:rPr>
        <w:t>M</w:t>
      </w:r>
      <w:r w:rsidR="009C5ABF">
        <w:rPr>
          <w:rStyle w:val="References"/>
        </w:rPr>
        <w:t>(</w:t>
      </w:r>
      <w:proofErr w:type="gramEnd"/>
      <w:r w:rsidR="009C5ABF">
        <w:rPr>
          <w:rStyle w:val="References"/>
        </w:rPr>
        <w:t>1)</w:t>
      </w:r>
      <w:r w:rsidR="00737303">
        <w:rPr>
          <w:rStyle w:val="References"/>
        </w:rPr>
        <w:t xml:space="preserve"> </w:t>
      </w:r>
      <w:r w:rsidRPr="00CD133A">
        <w:rPr>
          <w:rStyle w:val="References"/>
        </w:rPr>
        <w:t>of the Act]</w:t>
      </w:r>
    </w:p>
    <w:p w14:paraId="7AD6A8CE" w14:textId="77777777" w:rsidR="00A27648" w:rsidRDefault="00A27648" w:rsidP="00125C2C">
      <w:pPr>
        <w:pStyle w:val="Normalparatextwithnumbers"/>
      </w:pPr>
      <w:r>
        <w:t>Without limiting the ways in which ASIC may comply with the obligation to consult the public about the proposed rule, ASIC is taken to comply with that obligation if ASIC, on its website:</w:t>
      </w:r>
    </w:p>
    <w:p w14:paraId="1816D270" w14:textId="77777777" w:rsidR="00A27648" w:rsidRDefault="00A27648" w:rsidP="00A27648">
      <w:pPr>
        <w:pStyle w:val="Dotpoint1"/>
        <w:ind w:left="1418" w:hanging="709"/>
      </w:pPr>
      <w:r>
        <w:t>makes the proposed rule, or a description of the proposed rule, available; and</w:t>
      </w:r>
    </w:p>
    <w:p w14:paraId="3E93BFDF" w14:textId="7E6953A2" w:rsidR="00A27648" w:rsidRDefault="00A27648" w:rsidP="00A27648">
      <w:pPr>
        <w:pStyle w:val="Dotpoint1"/>
        <w:ind w:left="1418" w:hanging="709"/>
      </w:pPr>
      <w:r>
        <w:t>invites the public to comment on the proposed rule.</w:t>
      </w:r>
      <w:r>
        <w:br/>
      </w:r>
      <w:r w:rsidRPr="00CD133A">
        <w:rPr>
          <w:rStyle w:val="References"/>
        </w:rPr>
        <w:t xml:space="preserve">[Schedule </w:t>
      </w:r>
      <w:r w:rsidR="00C25847">
        <w:rPr>
          <w:rStyle w:val="References"/>
        </w:rPr>
        <w:t>2</w:t>
      </w:r>
      <w:r w:rsidRPr="00CD133A">
        <w:rPr>
          <w:rStyle w:val="References"/>
        </w:rPr>
        <w:t xml:space="preserve">, item </w:t>
      </w:r>
      <w:r w:rsidR="00C25847">
        <w:rPr>
          <w:rStyle w:val="References"/>
        </w:rPr>
        <w:t>7</w:t>
      </w:r>
      <w:r w:rsidR="000F63C2">
        <w:rPr>
          <w:rStyle w:val="References"/>
        </w:rPr>
        <w:t>2</w:t>
      </w:r>
      <w:r w:rsidRPr="00CD133A">
        <w:rPr>
          <w:rStyle w:val="References"/>
        </w:rPr>
        <w:t xml:space="preserve">, </w:t>
      </w:r>
      <w:r w:rsidR="00756AC4">
        <w:rPr>
          <w:rStyle w:val="References"/>
        </w:rPr>
        <w:t>sub</w:t>
      </w:r>
      <w:r w:rsidRPr="00CD133A">
        <w:rPr>
          <w:rStyle w:val="References"/>
        </w:rPr>
        <w:t>section</w:t>
      </w:r>
      <w:r w:rsidR="009C5ABF">
        <w:rPr>
          <w:rStyle w:val="References"/>
        </w:rPr>
        <w:t xml:space="preserve"> 826</w:t>
      </w:r>
      <w:proofErr w:type="gramStart"/>
      <w:r w:rsidR="009C5ABF">
        <w:rPr>
          <w:rStyle w:val="References"/>
        </w:rPr>
        <w:t>M(</w:t>
      </w:r>
      <w:proofErr w:type="gramEnd"/>
      <w:r w:rsidR="009C5ABF">
        <w:rPr>
          <w:rStyle w:val="References"/>
        </w:rPr>
        <w:t>2)</w:t>
      </w:r>
      <w:r w:rsidRPr="00CD133A">
        <w:rPr>
          <w:rStyle w:val="References"/>
        </w:rPr>
        <w:t xml:space="preserve"> of the Act]</w:t>
      </w:r>
    </w:p>
    <w:p w14:paraId="1A362A7B" w14:textId="71F72B6B" w:rsidR="00756AC4" w:rsidRPr="00F10A7D" w:rsidRDefault="00A27648" w:rsidP="009D08D9">
      <w:pPr>
        <w:pStyle w:val="Normalparatextwithnumbers"/>
        <w:rPr>
          <w:rStyle w:val="References"/>
          <w:b w:val="0"/>
          <w:i w:val="0"/>
        </w:rPr>
      </w:pPr>
      <w:r>
        <w:t>A failure to consult with the public or any other person or body as required by regulations does not invalidate the rule. A failure to consult with the RBA also does not invalidate the rule.</w:t>
      </w:r>
      <w:r w:rsidR="009D08D9">
        <w:br/>
      </w:r>
      <w:r w:rsidR="00756AC4">
        <w:rPr>
          <w:rStyle w:val="References"/>
        </w:rPr>
        <w:t xml:space="preserve">[Schedule </w:t>
      </w:r>
      <w:r w:rsidR="00C25847">
        <w:rPr>
          <w:rStyle w:val="References"/>
        </w:rPr>
        <w:t>2</w:t>
      </w:r>
      <w:r w:rsidR="00756AC4">
        <w:rPr>
          <w:rStyle w:val="References"/>
        </w:rPr>
        <w:t xml:space="preserve">, item </w:t>
      </w:r>
      <w:r w:rsidR="00C25847">
        <w:rPr>
          <w:rStyle w:val="References"/>
        </w:rPr>
        <w:t>7</w:t>
      </w:r>
      <w:r w:rsidR="00D7042F">
        <w:rPr>
          <w:rStyle w:val="References"/>
        </w:rPr>
        <w:t>2</w:t>
      </w:r>
      <w:r w:rsidR="00756AC4">
        <w:rPr>
          <w:rStyle w:val="References"/>
        </w:rPr>
        <w:t>, subsection 826</w:t>
      </w:r>
      <w:proofErr w:type="gramStart"/>
      <w:r w:rsidR="00756AC4">
        <w:rPr>
          <w:rStyle w:val="References"/>
        </w:rPr>
        <w:t>M(</w:t>
      </w:r>
      <w:proofErr w:type="gramEnd"/>
      <w:r w:rsidR="00756AC4">
        <w:rPr>
          <w:rStyle w:val="References"/>
        </w:rPr>
        <w:t>3) of the Act]</w:t>
      </w:r>
    </w:p>
    <w:p w14:paraId="4EDB1793" w14:textId="68B1A180" w:rsidR="00294346" w:rsidRPr="00410C3F" w:rsidRDefault="00A27648" w:rsidP="00A034BA">
      <w:pPr>
        <w:pStyle w:val="Normalparatextwithnumbers"/>
        <w:rPr>
          <w:rStyle w:val="References"/>
          <w:b w:val="0"/>
          <w:bCs w:val="0"/>
          <w:i w:val="0"/>
          <w:iCs w:val="0"/>
        </w:rPr>
      </w:pPr>
      <w:r>
        <w:t xml:space="preserve">ASIC must not make a rule without the Minister’s consent, in writing, to the making of the rule. The RBA may provide advice to the Minister when ASIC seeks written consent from the Minister to make the rule. </w:t>
      </w:r>
      <w:r w:rsidR="00FF09B2">
        <w:t xml:space="preserve">Schedule </w:t>
      </w:r>
      <w:r w:rsidR="00C25847">
        <w:t>2</w:t>
      </w:r>
      <w:r w:rsidR="00FF09B2">
        <w:t xml:space="preserve"> clarifies that m</w:t>
      </w:r>
      <w:r>
        <w:t>inisterial consent is not a legislative instrument</w:t>
      </w:r>
      <w:r w:rsidR="00FF09B2">
        <w:t xml:space="preserve"> </w:t>
      </w:r>
      <w:r w:rsidR="002B2514">
        <w:t xml:space="preserve">within the meaning of subsection 8(1) of the </w:t>
      </w:r>
      <w:r w:rsidR="002B2514">
        <w:rPr>
          <w:i/>
          <w:iCs/>
        </w:rPr>
        <w:t xml:space="preserve">Legislation Act 2003 </w:t>
      </w:r>
      <w:r w:rsidR="00FF09B2">
        <w:t>to assist readers</w:t>
      </w:r>
      <w:r>
        <w:t>.</w:t>
      </w:r>
      <w:r>
        <w:br/>
      </w:r>
      <w:r w:rsidRPr="00CD133A">
        <w:rPr>
          <w:rStyle w:val="References"/>
        </w:rPr>
        <w:t xml:space="preserve">[Schedule </w:t>
      </w:r>
      <w:r w:rsidR="00C25847">
        <w:rPr>
          <w:rStyle w:val="References"/>
        </w:rPr>
        <w:t>2</w:t>
      </w:r>
      <w:r w:rsidRPr="00CD133A">
        <w:rPr>
          <w:rStyle w:val="References"/>
        </w:rPr>
        <w:t xml:space="preserve">, item </w:t>
      </w:r>
      <w:r w:rsidR="00C25847">
        <w:rPr>
          <w:rStyle w:val="References"/>
        </w:rPr>
        <w:t>7</w:t>
      </w:r>
      <w:r w:rsidR="00D7042F">
        <w:rPr>
          <w:rStyle w:val="References"/>
        </w:rPr>
        <w:t>2</w:t>
      </w:r>
      <w:r w:rsidRPr="00CD133A">
        <w:rPr>
          <w:rStyle w:val="References"/>
        </w:rPr>
        <w:t xml:space="preserve">, section </w:t>
      </w:r>
      <w:r w:rsidR="00A42884">
        <w:rPr>
          <w:rStyle w:val="References"/>
        </w:rPr>
        <w:t>826N</w:t>
      </w:r>
      <w:r w:rsidR="00756AC4">
        <w:rPr>
          <w:rStyle w:val="References"/>
        </w:rPr>
        <w:t xml:space="preserve"> </w:t>
      </w:r>
      <w:r w:rsidRPr="00CD133A">
        <w:rPr>
          <w:rStyle w:val="References"/>
        </w:rPr>
        <w:t>of the Act]</w:t>
      </w:r>
    </w:p>
    <w:p w14:paraId="42E061FD" w14:textId="491F5213" w:rsidR="00C6263E" w:rsidRPr="004F2172" w:rsidRDefault="00C6263E" w:rsidP="008E1A91">
      <w:pPr>
        <w:pStyle w:val="Normalparatextwithnumbers"/>
      </w:pPr>
      <w:r>
        <w:t xml:space="preserve">ASIC may vary or revoke the rules in like manner and subject to like conditions (see subsections 33(3) and (3AA) of the </w:t>
      </w:r>
      <w:r w:rsidRPr="00D4102B">
        <w:rPr>
          <w:i/>
          <w:iCs/>
        </w:rPr>
        <w:t>Acts Interpretation Act 1901</w:t>
      </w:r>
      <w:r>
        <w:t xml:space="preserve">). </w:t>
      </w:r>
      <w:r>
        <w:br/>
      </w:r>
      <w:r>
        <w:rPr>
          <w:rStyle w:val="References"/>
        </w:rPr>
        <w:t xml:space="preserve">[Schedule </w:t>
      </w:r>
      <w:r w:rsidR="008E1A91">
        <w:rPr>
          <w:rStyle w:val="References"/>
        </w:rPr>
        <w:t>2</w:t>
      </w:r>
      <w:r>
        <w:rPr>
          <w:rStyle w:val="References"/>
        </w:rPr>
        <w:t>, item 7</w:t>
      </w:r>
      <w:r w:rsidR="00D7042F">
        <w:rPr>
          <w:rStyle w:val="References"/>
        </w:rPr>
        <w:t>2</w:t>
      </w:r>
      <w:r>
        <w:rPr>
          <w:rStyle w:val="References"/>
        </w:rPr>
        <w:t>, section 826Q of the Act]</w:t>
      </w:r>
    </w:p>
    <w:p w14:paraId="39749964" w14:textId="25DBC892" w:rsidR="00A27648" w:rsidRPr="00D71431" w:rsidRDefault="00A27648" w:rsidP="00935A21">
      <w:pPr>
        <w:pStyle w:val="Heading6"/>
        <w:rPr>
          <w:rFonts w:hint="eastAsia"/>
          <w:i w:val="0"/>
          <w:iCs/>
        </w:rPr>
      </w:pPr>
      <w:r w:rsidRPr="00D71431">
        <w:t xml:space="preserve">Emergency </w:t>
      </w:r>
      <w:r w:rsidR="00447488">
        <w:t>CS facility</w:t>
      </w:r>
      <w:r w:rsidRPr="00D71431">
        <w:t xml:space="preserve"> rules  </w:t>
      </w:r>
    </w:p>
    <w:p w14:paraId="492D51FE" w14:textId="32B06DAF" w:rsidR="00A27648" w:rsidRDefault="00A27648" w:rsidP="00125C2C">
      <w:pPr>
        <w:pStyle w:val="Normalparatextwithnumbers"/>
      </w:pPr>
      <w:r>
        <w:t xml:space="preserve">ASIC may make emergency rules without the consent of the Minister </w:t>
      </w:r>
      <w:r w:rsidR="001C47E4">
        <w:t xml:space="preserve">and without </w:t>
      </w:r>
      <w:r>
        <w:t>consulti</w:t>
      </w:r>
      <w:r w:rsidR="001C47E4">
        <w:t xml:space="preserve">ng </w:t>
      </w:r>
      <w:r>
        <w:t xml:space="preserve">the RBA, if ASIC is of the opinion that the rules are </w:t>
      </w:r>
      <w:r w:rsidR="00BF61AF">
        <w:t>necessary</w:t>
      </w:r>
      <w:r w:rsidR="00B778A7">
        <w:t>, or in the public interest,</w:t>
      </w:r>
      <w:r>
        <w:t xml:space="preserve"> to protect the Australian economy, the efficiency, integrity or stability of the Australian financial system</w:t>
      </w:r>
      <w:r w:rsidR="005651CB">
        <w:t>, or the provision of fair and effective services by licensed CS facilities</w:t>
      </w:r>
      <w:r>
        <w:t xml:space="preserve">. </w:t>
      </w:r>
    </w:p>
    <w:p w14:paraId="6AAF4DBF" w14:textId="73FBD78B" w:rsidR="00A27648" w:rsidRDefault="00A27648" w:rsidP="00AD1047">
      <w:pPr>
        <w:pStyle w:val="Normalparatextwithnumbers"/>
      </w:pPr>
      <w:r>
        <w:t xml:space="preserve">Where a rule is made in an emergency, consultation with the public or any other person or body as required by regulations is also not required. </w:t>
      </w:r>
      <w:r w:rsidR="00467E7A">
        <w:br/>
      </w:r>
      <w:r w:rsidR="00467E7A" w:rsidRPr="00467E7A">
        <w:rPr>
          <w:rStyle w:val="References"/>
        </w:rPr>
        <w:t xml:space="preserve">[Schedule </w:t>
      </w:r>
      <w:r w:rsidR="008E1A91">
        <w:rPr>
          <w:rStyle w:val="References"/>
        </w:rPr>
        <w:t>2</w:t>
      </w:r>
      <w:r w:rsidR="00467E7A" w:rsidRPr="00467E7A">
        <w:rPr>
          <w:rStyle w:val="References"/>
        </w:rPr>
        <w:t>, item</w:t>
      </w:r>
      <w:r w:rsidR="00467E7A">
        <w:rPr>
          <w:rStyle w:val="References"/>
        </w:rPr>
        <w:t xml:space="preserve"> </w:t>
      </w:r>
      <w:r w:rsidR="008E1A91">
        <w:rPr>
          <w:rStyle w:val="References"/>
        </w:rPr>
        <w:t>7</w:t>
      </w:r>
      <w:r w:rsidR="00144A13">
        <w:rPr>
          <w:rStyle w:val="References"/>
        </w:rPr>
        <w:t>2</w:t>
      </w:r>
      <w:r w:rsidR="00467E7A" w:rsidRPr="00467E7A">
        <w:rPr>
          <w:rStyle w:val="References"/>
        </w:rPr>
        <w:t xml:space="preserve">, </w:t>
      </w:r>
      <w:r w:rsidR="001E6CC4">
        <w:rPr>
          <w:rStyle w:val="References"/>
        </w:rPr>
        <w:t>s</w:t>
      </w:r>
      <w:r w:rsidR="000D5FF9">
        <w:rPr>
          <w:rStyle w:val="References"/>
        </w:rPr>
        <w:t>ubs</w:t>
      </w:r>
      <w:r w:rsidR="001E6CC4">
        <w:rPr>
          <w:rStyle w:val="References"/>
        </w:rPr>
        <w:t>ection 826</w:t>
      </w:r>
      <w:proofErr w:type="gramStart"/>
      <w:r w:rsidR="001E6CC4">
        <w:rPr>
          <w:rStyle w:val="References"/>
        </w:rPr>
        <w:t>P</w:t>
      </w:r>
      <w:r w:rsidR="000D5FF9">
        <w:rPr>
          <w:rStyle w:val="References"/>
        </w:rPr>
        <w:t>(</w:t>
      </w:r>
      <w:proofErr w:type="gramEnd"/>
      <w:r w:rsidR="000D5FF9">
        <w:rPr>
          <w:rStyle w:val="References"/>
        </w:rPr>
        <w:t>1)</w:t>
      </w:r>
      <w:r w:rsidR="00EA5C6D">
        <w:rPr>
          <w:rStyle w:val="References"/>
        </w:rPr>
        <w:t xml:space="preserve"> of the Act</w:t>
      </w:r>
      <w:r w:rsidR="00467E7A" w:rsidRPr="00467E7A">
        <w:rPr>
          <w:rStyle w:val="References"/>
        </w:rPr>
        <w:t xml:space="preserve">] </w:t>
      </w:r>
    </w:p>
    <w:p w14:paraId="4411A74F" w14:textId="7177DA31" w:rsidR="00A27648" w:rsidRDefault="00A27648" w:rsidP="00B60DF7">
      <w:pPr>
        <w:pStyle w:val="Normalparatextwithnumbers"/>
      </w:pPr>
      <w:r>
        <w:t>Where emergency rules are made, ASIC must provide the Minister a written explanation of the need for the emergency rules the following day and comply with any direction from the Minister to vary or revoke the rule.</w:t>
      </w:r>
      <w:r w:rsidR="00A6483E">
        <w:t xml:space="preserve"> </w:t>
      </w:r>
      <w:r w:rsidR="003275A1">
        <w:t>The amendments</w:t>
      </w:r>
      <w:r w:rsidR="008C67D8">
        <w:t xml:space="preserve"> that a</w:t>
      </w:r>
      <w:r w:rsidR="00A6483E">
        <w:t xml:space="preserve"> direction from the Minister is not a legislative instrument</w:t>
      </w:r>
      <w:r w:rsidR="008C67D8">
        <w:t xml:space="preserve"> to assist readers</w:t>
      </w:r>
      <w:r w:rsidR="00A6483E">
        <w:t xml:space="preserve">. </w:t>
      </w:r>
      <w:r w:rsidR="00D2448E">
        <w:t xml:space="preserve"> </w:t>
      </w:r>
      <w:r>
        <w:br/>
      </w:r>
      <w:r w:rsidRPr="00CD133A">
        <w:rPr>
          <w:rStyle w:val="References"/>
        </w:rPr>
        <w:t xml:space="preserve">[Schedule </w:t>
      </w:r>
      <w:r w:rsidR="00BF5F54">
        <w:rPr>
          <w:rStyle w:val="References"/>
        </w:rPr>
        <w:t>2</w:t>
      </w:r>
      <w:r w:rsidRPr="00CD133A">
        <w:rPr>
          <w:rStyle w:val="References"/>
        </w:rPr>
        <w:t xml:space="preserve">, item </w:t>
      </w:r>
      <w:r w:rsidR="00BF5F54">
        <w:rPr>
          <w:rStyle w:val="References"/>
        </w:rPr>
        <w:t>7</w:t>
      </w:r>
      <w:r w:rsidR="00502688">
        <w:rPr>
          <w:rStyle w:val="References"/>
        </w:rPr>
        <w:t>2</w:t>
      </w:r>
      <w:r w:rsidRPr="00CD133A">
        <w:rPr>
          <w:rStyle w:val="References"/>
        </w:rPr>
        <w:t xml:space="preserve">, </w:t>
      </w:r>
      <w:r w:rsidR="003A0AC1">
        <w:rPr>
          <w:rStyle w:val="References"/>
        </w:rPr>
        <w:t>s</w:t>
      </w:r>
      <w:r w:rsidR="006F3EE9">
        <w:rPr>
          <w:rStyle w:val="References"/>
        </w:rPr>
        <w:t>ub</w:t>
      </w:r>
      <w:r w:rsidR="00674521">
        <w:rPr>
          <w:rStyle w:val="References"/>
        </w:rPr>
        <w:t>s</w:t>
      </w:r>
      <w:r w:rsidR="003A0AC1">
        <w:rPr>
          <w:rStyle w:val="References"/>
        </w:rPr>
        <w:t>ection</w:t>
      </w:r>
      <w:r w:rsidR="006F3EE9">
        <w:rPr>
          <w:rStyle w:val="References"/>
        </w:rPr>
        <w:t>s</w:t>
      </w:r>
      <w:r w:rsidR="003A0AC1">
        <w:rPr>
          <w:rStyle w:val="References"/>
        </w:rPr>
        <w:t xml:space="preserve"> 826</w:t>
      </w:r>
      <w:proofErr w:type="gramStart"/>
      <w:r w:rsidR="006F3EE9">
        <w:rPr>
          <w:rStyle w:val="References"/>
        </w:rPr>
        <w:t>P(</w:t>
      </w:r>
      <w:proofErr w:type="gramEnd"/>
      <w:r w:rsidR="00B24BA0">
        <w:rPr>
          <w:rStyle w:val="References"/>
        </w:rPr>
        <w:t>2)</w:t>
      </w:r>
      <w:r w:rsidR="00502688">
        <w:rPr>
          <w:rStyle w:val="References"/>
        </w:rPr>
        <w:t xml:space="preserve">, (3), (4) and </w:t>
      </w:r>
      <w:r w:rsidR="00B24BA0">
        <w:rPr>
          <w:rStyle w:val="References"/>
        </w:rPr>
        <w:t>(5)</w:t>
      </w:r>
      <w:r w:rsidR="00E72B22">
        <w:rPr>
          <w:rStyle w:val="References"/>
        </w:rPr>
        <w:t xml:space="preserve"> </w:t>
      </w:r>
      <w:r w:rsidRPr="00CD133A">
        <w:rPr>
          <w:rStyle w:val="References"/>
        </w:rPr>
        <w:t>of the Act</w:t>
      </w:r>
      <w:r w:rsidR="00B60DF7">
        <w:rPr>
          <w:rStyle w:val="References"/>
        </w:rPr>
        <w:t>]</w:t>
      </w:r>
    </w:p>
    <w:p w14:paraId="744C6DD1" w14:textId="77777777" w:rsidR="00A27648" w:rsidRPr="00D71431" w:rsidRDefault="00A27648" w:rsidP="00A034BA">
      <w:pPr>
        <w:pStyle w:val="Heading6"/>
        <w:rPr>
          <w:rFonts w:hint="eastAsia"/>
          <w:i w:val="0"/>
        </w:rPr>
      </w:pPr>
      <w:r w:rsidRPr="00D71431">
        <w:lastRenderedPageBreak/>
        <w:t xml:space="preserve">Regulations may limit the rules to deal with certain </w:t>
      </w:r>
      <w:proofErr w:type="gramStart"/>
      <w:r w:rsidRPr="00D71431">
        <w:t>matters</w:t>
      </w:r>
      <w:proofErr w:type="gramEnd"/>
      <w:r w:rsidRPr="00D71431">
        <w:t xml:space="preserve"> </w:t>
      </w:r>
    </w:p>
    <w:p w14:paraId="331DEF40" w14:textId="7A1190EC" w:rsidR="00A27648" w:rsidRDefault="003D15CC" w:rsidP="00125C2C">
      <w:pPr>
        <w:pStyle w:val="Normalparatextwithnumbers"/>
      </w:pPr>
      <w:r>
        <w:t>R</w:t>
      </w:r>
      <w:r w:rsidR="00A27648">
        <w:t xml:space="preserve">egulations </w:t>
      </w:r>
      <w:r>
        <w:t>may</w:t>
      </w:r>
      <w:r w:rsidR="00A27648">
        <w:t xml:space="preserve"> prescribe limits on </w:t>
      </w:r>
      <w:r w:rsidR="00AE198B">
        <w:t>the extent to which</w:t>
      </w:r>
      <w:r w:rsidR="001C47E4">
        <w:t xml:space="preserve"> the CS facility rules may deal with certain </w:t>
      </w:r>
      <w:r w:rsidR="00A27648">
        <w:t xml:space="preserve">matters </w:t>
      </w:r>
      <w:r w:rsidR="00AE198B">
        <w:t>and</w:t>
      </w:r>
      <w:r w:rsidR="001C47E4">
        <w:t xml:space="preserve"> </w:t>
      </w:r>
      <w:r w:rsidR="00A27648">
        <w:t>the extent to which the rules may impose requirements on certain classes of persons.</w:t>
      </w:r>
      <w:r w:rsidR="00A27648">
        <w:br/>
      </w:r>
      <w:r w:rsidR="00A27648" w:rsidRPr="00886D57">
        <w:rPr>
          <w:rStyle w:val="References"/>
        </w:rPr>
        <w:t xml:space="preserve">[Schedule </w:t>
      </w:r>
      <w:r w:rsidR="00BF5F54">
        <w:rPr>
          <w:rStyle w:val="References"/>
        </w:rPr>
        <w:t>2</w:t>
      </w:r>
      <w:r w:rsidR="00A27648" w:rsidRPr="00886D57">
        <w:rPr>
          <w:rStyle w:val="References"/>
        </w:rPr>
        <w:t xml:space="preserve">, item </w:t>
      </w:r>
      <w:r w:rsidR="00BF5F54">
        <w:rPr>
          <w:rStyle w:val="References"/>
        </w:rPr>
        <w:t>7</w:t>
      </w:r>
      <w:r w:rsidR="00930F83">
        <w:rPr>
          <w:rStyle w:val="References"/>
        </w:rPr>
        <w:t>2</w:t>
      </w:r>
      <w:r w:rsidR="00A27648" w:rsidRPr="00886D57">
        <w:rPr>
          <w:rStyle w:val="References"/>
        </w:rPr>
        <w:t>, section</w:t>
      </w:r>
      <w:r w:rsidR="0097194F">
        <w:rPr>
          <w:rStyle w:val="References"/>
        </w:rPr>
        <w:t xml:space="preserve"> </w:t>
      </w:r>
      <w:r w:rsidR="0053035B">
        <w:rPr>
          <w:rStyle w:val="References"/>
        </w:rPr>
        <w:t>8</w:t>
      </w:r>
      <w:r w:rsidR="0097194F">
        <w:rPr>
          <w:rStyle w:val="References"/>
        </w:rPr>
        <w:t>26R</w:t>
      </w:r>
      <w:r w:rsidR="00A27648" w:rsidRPr="00886D57">
        <w:rPr>
          <w:rStyle w:val="References"/>
        </w:rPr>
        <w:t xml:space="preserve"> of the Act]</w:t>
      </w:r>
    </w:p>
    <w:p w14:paraId="0E23F381" w14:textId="4C876C7A" w:rsidR="00040DA8" w:rsidRPr="00A034BA" w:rsidRDefault="00A27648" w:rsidP="00A034BA">
      <w:pPr>
        <w:pStyle w:val="Heading6"/>
        <w:rPr>
          <w:rFonts w:hint="eastAsia"/>
        </w:rPr>
      </w:pPr>
      <w:r w:rsidRPr="00AD0257">
        <w:t xml:space="preserve">Inconsistency between rules  </w:t>
      </w:r>
    </w:p>
    <w:p w14:paraId="21E310D1" w14:textId="577388A4" w:rsidR="00116794" w:rsidRPr="00116794" w:rsidRDefault="00116794" w:rsidP="00605B01">
      <w:pPr>
        <w:pStyle w:val="Normalparatextwithnumbers"/>
        <w:rPr>
          <w:bCs/>
          <w:iCs/>
        </w:rPr>
      </w:pPr>
      <w:r>
        <w:t xml:space="preserve">In the event of any inconsistencies between the operating rules of a licensed CS facility or the operating rules of a financial market and the CS facility rules, the CS facility rules prevail over the operating rules to the extent of that inconsistency. </w:t>
      </w:r>
      <w:r>
        <w:br/>
      </w:r>
      <w:r w:rsidRPr="001B76BD">
        <w:rPr>
          <w:rStyle w:val="References"/>
        </w:rPr>
        <w:t xml:space="preserve">[Schedule </w:t>
      </w:r>
      <w:r>
        <w:rPr>
          <w:rStyle w:val="References"/>
        </w:rPr>
        <w:t>2</w:t>
      </w:r>
      <w:r w:rsidRPr="001B76BD">
        <w:rPr>
          <w:rStyle w:val="References"/>
        </w:rPr>
        <w:t>, item</w:t>
      </w:r>
      <w:r w:rsidR="001B2244">
        <w:rPr>
          <w:rStyle w:val="References"/>
        </w:rPr>
        <w:t>s</w:t>
      </w:r>
      <w:r w:rsidRPr="001B76BD">
        <w:rPr>
          <w:rStyle w:val="References"/>
        </w:rPr>
        <w:t xml:space="preserve"> </w:t>
      </w:r>
      <w:r w:rsidR="000F3033">
        <w:rPr>
          <w:rStyle w:val="References"/>
        </w:rPr>
        <w:t>70</w:t>
      </w:r>
      <w:r w:rsidR="00D7554B">
        <w:rPr>
          <w:rStyle w:val="References"/>
        </w:rPr>
        <w:t xml:space="preserve"> and </w:t>
      </w:r>
      <w:r w:rsidR="000F3033">
        <w:rPr>
          <w:rStyle w:val="References"/>
        </w:rPr>
        <w:t>71</w:t>
      </w:r>
      <w:r w:rsidRPr="0082061A">
        <w:rPr>
          <w:rStyle w:val="References"/>
        </w:rPr>
        <w:t xml:space="preserve">, </w:t>
      </w:r>
      <w:r>
        <w:rPr>
          <w:rStyle w:val="References"/>
        </w:rPr>
        <w:t>paragraph</w:t>
      </w:r>
      <w:r w:rsidR="00D7554B">
        <w:rPr>
          <w:rStyle w:val="References"/>
        </w:rPr>
        <w:t>s</w:t>
      </w:r>
      <w:r w:rsidRPr="001B76BD">
        <w:rPr>
          <w:rStyle w:val="References"/>
        </w:rPr>
        <w:t xml:space="preserve"> 793B(</w:t>
      </w:r>
      <w:proofErr w:type="gramStart"/>
      <w:r w:rsidRPr="001B76BD">
        <w:rPr>
          <w:rStyle w:val="References"/>
        </w:rPr>
        <w:t>2)</w:t>
      </w:r>
      <w:r>
        <w:rPr>
          <w:rStyle w:val="References"/>
        </w:rPr>
        <w:t>(</w:t>
      </w:r>
      <w:proofErr w:type="gramEnd"/>
      <w:r>
        <w:rPr>
          <w:rStyle w:val="References"/>
        </w:rPr>
        <w:t>aa)</w:t>
      </w:r>
      <w:r w:rsidR="00D7554B">
        <w:rPr>
          <w:rStyle w:val="References"/>
        </w:rPr>
        <w:t xml:space="preserve"> and </w:t>
      </w:r>
      <w:r w:rsidR="00154B1D">
        <w:rPr>
          <w:rStyle w:val="References"/>
        </w:rPr>
        <w:t>822B(2)(aa) of</w:t>
      </w:r>
      <w:r>
        <w:rPr>
          <w:rStyle w:val="References"/>
        </w:rPr>
        <w:t xml:space="preserve"> </w:t>
      </w:r>
      <w:r w:rsidRPr="001B76BD">
        <w:rPr>
          <w:rStyle w:val="References"/>
        </w:rPr>
        <w:t>the Act]</w:t>
      </w:r>
    </w:p>
    <w:p w14:paraId="09AA3A39" w14:textId="6BF68418" w:rsidR="00605B01" w:rsidRPr="0080651D" w:rsidRDefault="00021EA1" w:rsidP="00605B01">
      <w:pPr>
        <w:pStyle w:val="Normalparatextwithnumbers"/>
        <w:rPr>
          <w:rStyle w:val="References"/>
          <w:b w:val="0"/>
          <w:i w:val="0"/>
        </w:rPr>
      </w:pPr>
      <w:r>
        <w:t>In the event there is an inconsistency between the CS facility rules and the</w:t>
      </w:r>
      <w:r w:rsidR="00294650">
        <w:t xml:space="preserve"> CS services rules,</w:t>
      </w:r>
      <w:r>
        <w:t xml:space="preserve"> derivative transaction </w:t>
      </w:r>
      <w:r w:rsidR="00C855C8">
        <w:t xml:space="preserve">rules </w:t>
      </w:r>
      <w:r>
        <w:t xml:space="preserve">or </w:t>
      </w:r>
      <w:r w:rsidR="00C855C8">
        <w:t xml:space="preserve">the derivative </w:t>
      </w:r>
      <w:r>
        <w:t xml:space="preserve">trade repository rules, the CS </w:t>
      </w:r>
      <w:r w:rsidR="00756290">
        <w:t>facility</w:t>
      </w:r>
      <w:r>
        <w:t xml:space="preserve"> rules prevail to the extent of </w:t>
      </w:r>
      <w:r w:rsidR="00350FDD">
        <w:t>the inconsistency.</w:t>
      </w:r>
      <w:r w:rsidR="00DC246F">
        <w:br/>
      </w:r>
      <w:r w:rsidR="00DC246F">
        <w:rPr>
          <w:rStyle w:val="References"/>
        </w:rPr>
        <w:t>[Schedule 2, item 7</w:t>
      </w:r>
      <w:r w:rsidR="00C83F85">
        <w:rPr>
          <w:rStyle w:val="References"/>
        </w:rPr>
        <w:t>2</w:t>
      </w:r>
      <w:r w:rsidR="00DC246F">
        <w:rPr>
          <w:rStyle w:val="References"/>
        </w:rPr>
        <w:t xml:space="preserve">, </w:t>
      </w:r>
      <w:r w:rsidR="00F33E06">
        <w:rPr>
          <w:rStyle w:val="References"/>
        </w:rPr>
        <w:t>sub</w:t>
      </w:r>
      <w:r w:rsidR="00DC246F">
        <w:rPr>
          <w:rStyle w:val="References"/>
        </w:rPr>
        <w:t>section 826</w:t>
      </w:r>
      <w:proofErr w:type="gramStart"/>
      <w:r w:rsidR="00DC246F">
        <w:rPr>
          <w:rStyle w:val="References"/>
        </w:rPr>
        <w:t>K</w:t>
      </w:r>
      <w:r w:rsidR="00F33E06">
        <w:rPr>
          <w:rStyle w:val="References"/>
        </w:rPr>
        <w:t>(</w:t>
      </w:r>
      <w:proofErr w:type="gramEnd"/>
      <w:r w:rsidR="00F33E06">
        <w:rPr>
          <w:rStyle w:val="References"/>
        </w:rPr>
        <w:t>1)</w:t>
      </w:r>
      <w:r w:rsidR="00DC246F">
        <w:rPr>
          <w:rStyle w:val="References"/>
        </w:rPr>
        <w:t xml:space="preserve"> of the Act</w:t>
      </w:r>
      <w:r w:rsidR="00DC246F" w:rsidRPr="00410C3F">
        <w:rPr>
          <w:rStyle w:val="References"/>
        </w:rPr>
        <w:t xml:space="preserve">] </w:t>
      </w:r>
      <w:r w:rsidR="00350FDD">
        <w:t xml:space="preserve"> </w:t>
      </w:r>
    </w:p>
    <w:p w14:paraId="177B8DCE" w14:textId="261DCEA2" w:rsidR="009A3E6F" w:rsidRPr="009A3E6F" w:rsidRDefault="00753C1D" w:rsidP="009A3E6F">
      <w:pPr>
        <w:pStyle w:val="Normalparatextwithnumbers"/>
        <w:rPr>
          <w:bCs/>
          <w:iCs/>
        </w:rPr>
      </w:pPr>
      <w:r>
        <w:rPr>
          <w:bCs/>
          <w:iCs/>
        </w:rPr>
        <w:t>In the event there is an incon</w:t>
      </w:r>
      <w:r w:rsidR="005E7028">
        <w:rPr>
          <w:bCs/>
          <w:iCs/>
        </w:rPr>
        <w:t xml:space="preserve">sistency between a CS facility rule and </w:t>
      </w:r>
      <w:proofErr w:type="gramStart"/>
      <w:r w:rsidR="001300F2">
        <w:rPr>
          <w:bCs/>
          <w:iCs/>
        </w:rPr>
        <w:t>a</w:t>
      </w:r>
      <w:r w:rsidR="006022CD">
        <w:rPr>
          <w:bCs/>
          <w:iCs/>
        </w:rPr>
        <w:t>n</w:t>
      </w:r>
      <w:proofErr w:type="gramEnd"/>
      <w:r w:rsidR="005E7028">
        <w:rPr>
          <w:bCs/>
          <w:iCs/>
        </w:rPr>
        <w:t xml:space="preserve"> </w:t>
      </w:r>
      <w:r w:rsidR="00F97836">
        <w:rPr>
          <w:bCs/>
          <w:iCs/>
        </w:rPr>
        <w:t>Financial Stability Standard</w:t>
      </w:r>
      <w:r w:rsidR="005E7028">
        <w:rPr>
          <w:bCs/>
          <w:iCs/>
        </w:rPr>
        <w:t>, the</w:t>
      </w:r>
      <w:r w:rsidR="001300F2">
        <w:rPr>
          <w:bCs/>
          <w:iCs/>
        </w:rPr>
        <w:t xml:space="preserve"> </w:t>
      </w:r>
      <w:r w:rsidR="00F97836">
        <w:rPr>
          <w:bCs/>
          <w:iCs/>
        </w:rPr>
        <w:t>Financial Stability Standard</w:t>
      </w:r>
      <w:r w:rsidR="001300F2">
        <w:rPr>
          <w:bCs/>
          <w:iCs/>
        </w:rPr>
        <w:t xml:space="preserve"> prevails to the extent of any inconsistency.</w:t>
      </w:r>
      <w:r w:rsidR="009A3E6F">
        <w:rPr>
          <w:bCs/>
          <w:iCs/>
        </w:rPr>
        <w:t xml:space="preserve"> </w:t>
      </w:r>
      <w:r w:rsidR="009A3E6F">
        <w:rPr>
          <w:bCs/>
          <w:iCs/>
        </w:rPr>
        <w:br/>
      </w:r>
      <w:r w:rsidR="009A3E6F" w:rsidRPr="00410C3F">
        <w:rPr>
          <w:rStyle w:val="References"/>
        </w:rPr>
        <w:t>[Schedule</w:t>
      </w:r>
      <w:r w:rsidR="009A3E6F">
        <w:rPr>
          <w:rStyle w:val="References"/>
        </w:rPr>
        <w:t xml:space="preserve"> 2, item </w:t>
      </w:r>
      <w:r w:rsidR="00246840">
        <w:rPr>
          <w:rStyle w:val="References"/>
        </w:rPr>
        <w:t>73</w:t>
      </w:r>
      <w:r w:rsidR="00510EBB">
        <w:rPr>
          <w:rStyle w:val="References"/>
        </w:rPr>
        <w:t>, subsection 827D(2A) of the Act]</w:t>
      </w:r>
      <w:r w:rsidR="001300F2">
        <w:rPr>
          <w:bCs/>
          <w:iCs/>
        </w:rPr>
        <w:t xml:space="preserve"> </w:t>
      </w:r>
      <w:r w:rsidR="005E7028">
        <w:rPr>
          <w:bCs/>
          <w:iCs/>
        </w:rPr>
        <w:t xml:space="preserve"> </w:t>
      </w:r>
    </w:p>
    <w:p w14:paraId="3012B43B" w14:textId="72063AE5" w:rsidR="00350FDD" w:rsidRPr="00F10A7D" w:rsidRDefault="00C94CB9" w:rsidP="009D08D9">
      <w:pPr>
        <w:pStyle w:val="Normalparatextwithnumbers"/>
        <w:rPr>
          <w:rStyle w:val="References"/>
          <w:b w:val="0"/>
          <w:i w:val="0"/>
        </w:rPr>
      </w:pPr>
      <w:r>
        <w:t>However, i</w:t>
      </w:r>
      <w:r w:rsidR="003479E0">
        <w:t>f the RBA considers there is an inconsistency between a CS facility rul</w:t>
      </w:r>
      <w:r w:rsidR="000877E1">
        <w:t>e</w:t>
      </w:r>
      <w:r w:rsidR="00023AED">
        <w:t xml:space="preserve"> and </w:t>
      </w:r>
      <w:proofErr w:type="gramStart"/>
      <w:r w:rsidR="006022CD">
        <w:t>an</w:t>
      </w:r>
      <w:proofErr w:type="gramEnd"/>
      <w:r w:rsidR="0012366D">
        <w:t xml:space="preserve"> </w:t>
      </w:r>
      <w:r w:rsidR="00F97836">
        <w:t>Financial Stability Standard</w:t>
      </w:r>
      <w:r w:rsidR="003479E0">
        <w:t xml:space="preserve">, </w:t>
      </w:r>
      <w:r w:rsidR="00F7259E">
        <w:t xml:space="preserve">the RBA must refer the matter to the Minister. </w:t>
      </w:r>
      <w:r w:rsidR="00B82DAC">
        <w:t>The Minister may</w:t>
      </w:r>
      <w:r w:rsidR="00C92FF1">
        <w:t>, if appropriate,</w:t>
      </w:r>
      <w:r w:rsidR="00B82DAC">
        <w:t xml:space="preserve"> give ASIC a written direction to vary or revoke the CS facility rule</w:t>
      </w:r>
      <w:r w:rsidR="00E81CCD">
        <w:t xml:space="preserve">. Schedule </w:t>
      </w:r>
      <w:r w:rsidR="00893206">
        <w:t>2</w:t>
      </w:r>
      <w:r w:rsidR="00E81CCD">
        <w:t xml:space="preserve"> clarifies that such a</w:t>
      </w:r>
      <w:r w:rsidR="005C77F2">
        <w:t xml:space="preserve"> direction from the Minister </w:t>
      </w:r>
      <w:r w:rsidR="00E67FFA">
        <w:t>is not a legislative instrument</w:t>
      </w:r>
      <w:r w:rsidR="00E81CCD">
        <w:t xml:space="preserve"> to assist readers</w:t>
      </w:r>
      <w:r w:rsidR="00E67FFA">
        <w:t xml:space="preserve">. </w:t>
      </w:r>
      <w:r w:rsidR="009D08D9">
        <w:br/>
      </w:r>
      <w:r w:rsidR="00F33E06">
        <w:rPr>
          <w:rStyle w:val="References"/>
        </w:rPr>
        <w:t>[Schedule 2, item 7</w:t>
      </w:r>
      <w:r w:rsidR="00D5440E">
        <w:rPr>
          <w:rStyle w:val="References"/>
        </w:rPr>
        <w:t>2</w:t>
      </w:r>
      <w:r w:rsidR="00F33E06">
        <w:rPr>
          <w:rStyle w:val="References"/>
        </w:rPr>
        <w:t xml:space="preserve">, </w:t>
      </w:r>
      <w:r w:rsidR="00351C97">
        <w:rPr>
          <w:rStyle w:val="References"/>
        </w:rPr>
        <w:t>sub</w:t>
      </w:r>
      <w:r w:rsidR="005E7028">
        <w:rPr>
          <w:rStyle w:val="References"/>
        </w:rPr>
        <w:t>section</w:t>
      </w:r>
      <w:r w:rsidR="00F33E06">
        <w:rPr>
          <w:rStyle w:val="References"/>
        </w:rPr>
        <w:t xml:space="preserve"> 826</w:t>
      </w:r>
      <w:proofErr w:type="gramStart"/>
      <w:r w:rsidR="00F33E06">
        <w:rPr>
          <w:rStyle w:val="References"/>
        </w:rPr>
        <w:t>K</w:t>
      </w:r>
      <w:r w:rsidR="00351C97">
        <w:rPr>
          <w:rStyle w:val="References"/>
        </w:rPr>
        <w:t>(</w:t>
      </w:r>
      <w:proofErr w:type="gramEnd"/>
      <w:r w:rsidR="00351C97">
        <w:rPr>
          <w:rStyle w:val="References"/>
        </w:rPr>
        <w:t>2)</w:t>
      </w:r>
      <w:r w:rsidR="00F33E06">
        <w:rPr>
          <w:rStyle w:val="References"/>
        </w:rPr>
        <w:t xml:space="preserve"> of the Act]</w:t>
      </w:r>
    </w:p>
    <w:p w14:paraId="4596A1A9" w14:textId="020D429D" w:rsidR="004B5EF6" w:rsidRPr="00C409F6" w:rsidRDefault="00605B01" w:rsidP="00C409F6">
      <w:pPr>
        <w:pStyle w:val="Normalparatextwithnumbers"/>
        <w:rPr>
          <w:bCs/>
          <w:iCs/>
        </w:rPr>
      </w:pPr>
      <w:r>
        <w:t xml:space="preserve">As the </w:t>
      </w:r>
      <w:r w:rsidR="004B5EF6" w:rsidRPr="00F45969">
        <w:t xml:space="preserve">CS </w:t>
      </w:r>
      <w:r w:rsidR="004B5EF6">
        <w:t xml:space="preserve">facility </w:t>
      </w:r>
      <w:r w:rsidR="004B5EF6" w:rsidRPr="00F45969">
        <w:t xml:space="preserve">rules </w:t>
      </w:r>
      <w:r w:rsidR="00D208E1">
        <w:t>are</w:t>
      </w:r>
      <w:r>
        <w:t xml:space="preserve"> a</w:t>
      </w:r>
      <w:r w:rsidR="004B5EF6" w:rsidRPr="00F45969">
        <w:t xml:space="preserve"> legislative instrument</w:t>
      </w:r>
      <w:r>
        <w:t xml:space="preserve">, </w:t>
      </w:r>
      <w:r w:rsidR="005224AB">
        <w:t>they will be</w:t>
      </w:r>
      <w:r w:rsidR="004B5EF6" w:rsidRPr="00F45969">
        <w:t xml:space="preserve"> subject to disallowance.</w:t>
      </w:r>
      <w:r w:rsidR="004B5EF6">
        <w:t xml:space="preserve"> </w:t>
      </w:r>
    </w:p>
    <w:p w14:paraId="1F99AA2E" w14:textId="77777777" w:rsidR="00A27648" w:rsidRPr="00AD0257" w:rsidRDefault="00A27648" w:rsidP="00A034BA">
      <w:pPr>
        <w:pStyle w:val="Heading6"/>
        <w:rPr>
          <w:rFonts w:hint="eastAsia"/>
          <w:i w:val="0"/>
        </w:rPr>
      </w:pPr>
      <w:r w:rsidRPr="00AD0257">
        <w:t xml:space="preserve">Compliance with the rules </w:t>
      </w:r>
    </w:p>
    <w:p w14:paraId="2FAC5FA2" w14:textId="5E002951" w:rsidR="00F67B86" w:rsidRPr="00F10A7D" w:rsidRDefault="00A27648" w:rsidP="009D08D9">
      <w:pPr>
        <w:pStyle w:val="Normalparatextwithnumbers"/>
        <w:rPr>
          <w:rStyle w:val="References"/>
          <w:b w:val="0"/>
          <w:i w:val="0"/>
        </w:rPr>
      </w:pPr>
      <w:r>
        <w:t xml:space="preserve">Contravening the rules is a civil penalty under section 1317E. Relief </w:t>
      </w:r>
      <w:r w:rsidR="001865F6">
        <w:t>from liability</w:t>
      </w:r>
      <w:r>
        <w:t xml:space="preserve"> is available under section 1317S.</w:t>
      </w:r>
      <w:r w:rsidR="009D08D9">
        <w:br/>
      </w:r>
      <w:r w:rsidR="00F67B86">
        <w:rPr>
          <w:rStyle w:val="References"/>
        </w:rPr>
        <w:t xml:space="preserve">[Schedule </w:t>
      </w:r>
      <w:r w:rsidR="004F6524">
        <w:rPr>
          <w:rStyle w:val="References"/>
        </w:rPr>
        <w:t>2</w:t>
      </w:r>
      <w:r w:rsidR="00F67B86">
        <w:rPr>
          <w:rStyle w:val="References"/>
        </w:rPr>
        <w:t>, item</w:t>
      </w:r>
      <w:r w:rsidR="002957AB">
        <w:rPr>
          <w:rStyle w:val="References"/>
        </w:rPr>
        <w:t>s</w:t>
      </w:r>
      <w:r w:rsidR="00F67B86">
        <w:rPr>
          <w:rStyle w:val="References"/>
        </w:rPr>
        <w:t xml:space="preserve"> </w:t>
      </w:r>
      <w:r w:rsidR="00000DE4">
        <w:rPr>
          <w:rStyle w:val="References"/>
        </w:rPr>
        <w:t>7</w:t>
      </w:r>
      <w:r w:rsidR="00D46838">
        <w:rPr>
          <w:rStyle w:val="References"/>
        </w:rPr>
        <w:t>2</w:t>
      </w:r>
      <w:r w:rsidR="002957AB">
        <w:rPr>
          <w:rStyle w:val="References"/>
        </w:rPr>
        <w:t xml:space="preserve"> and 7</w:t>
      </w:r>
      <w:r w:rsidR="00D46838">
        <w:rPr>
          <w:rStyle w:val="References"/>
        </w:rPr>
        <w:t>5</w:t>
      </w:r>
      <w:r w:rsidR="0022187D">
        <w:rPr>
          <w:rStyle w:val="References"/>
        </w:rPr>
        <w:t>,</w:t>
      </w:r>
      <w:r w:rsidR="00F67B86">
        <w:rPr>
          <w:rStyle w:val="References"/>
        </w:rPr>
        <w:t xml:space="preserve"> </w:t>
      </w:r>
      <w:r w:rsidR="00725F88">
        <w:rPr>
          <w:rStyle w:val="References"/>
        </w:rPr>
        <w:t>the note to sub</w:t>
      </w:r>
      <w:r w:rsidR="009457DA">
        <w:rPr>
          <w:rStyle w:val="References"/>
        </w:rPr>
        <w:t>section 826</w:t>
      </w:r>
      <w:proofErr w:type="gramStart"/>
      <w:r w:rsidR="009457DA">
        <w:rPr>
          <w:rStyle w:val="References"/>
        </w:rPr>
        <w:t>J</w:t>
      </w:r>
      <w:r w:rsidR="00E83B8A">
        <w:rPr>
          <w:rStyle w:val="References"/>
        </w:rPr>
        <w:t>(</w:t>
      </w:r>
      <w:proofErr w:type="gramEnd"/>
      <w:r w:rsidR="00E83B8A">
        <w:rPr>
          <w:rStyle w:val="References"/>
        </w:rPr>
        <w:t>1)</w:t>
      </w:r>
      <w:r w:rsidR="00725F88">
        <w:rPr>
          <w:rStyle w:val="References"/>
        </w:rPr>
        <w:t xml:space="preserve"> and </w:t>
      </w:r>
      <w:r w:rsidR="004B65C7">
        <w:rPr>
          <w:rStyle w:val="References"/>
        </w:rPr>
        <w:t>sub</w:t>
      </w:r>
      <w:r w:rsidR="00725F88">
        <w:rPr>
          <w:rStyle w:val="References"/>
        </w:rPr>
        <w:t xml:space="preserve">section </w:t>
      </w:r>
      <w:r w:rsidR="00B90E05">
        <w:rPr>
          <w:rStyle w:val="References"/>
        </w:rPr>
        <w:t>1317E</w:t>
      </w:r>
      <w:r w:rsidR="004B65C7">
        <w:rPr>
          <w:rStyle w:val="References"/>
        </w:rPr>
        <w:t>(3)</w:t>
      </w:r>
      <w:r w:rsidR="009457DA">
        <w:rPr>
          <w:rStyle w:val="References"/>
        </w:rPr>
        <w:t xml:space="preserve"> </w:t>
      </w:r>
      <w:r w:rsidR="00E3656B">
        <w:rPr>
          <w:rStyle w:val="References"/>
        </w:rPr>
        <w:t>of</w:t>
      </w:r>
      <w:r w:rsidR="009457DA">
        <w:rPr>
          <w:rStyle w:val="References"/>
        </w:rPr>
        <w:t xml:space="preserve"> the Act]</w:t>
      </w:r>
    </w:p>
    <w:p w14:paraId="14C8C26E" w14:textId="51470EA8" w:rsidR="003D15CC" w:rsidRDefault="003D15CC" w:rsidP="00125C2C">
      <w:pPr>
        <w:pStyle w:val="Normalparatextwithnumbers"/>
      </w:pPr>
      <w:r>
        <w:t xml:space="preserve">The regulations may allow for alternatives to civil proceedings for a person who is alleged to have </w:t>
      </w:r>
      <w:r w:rsidR="00582756">
        <w:t xml:space="preserve">failed to comply with </w:t>
      </w:r>
      <w:r>
        <w:t>the CS facility rules. The alternatives are limited to:</w:t>
      </w:r>
    </w:p>
    <w:p w14:paraId="69FC5FBB" w14:textId="67BEC82A" w:rsidR="00A53F31" w:rsidRDefault="007F336D" w:rsidP="00A53F31">
      <w:pPr>
        <w:pStyle w:val="Dotpoint1"/>
        <w:ind w:left="1418" w:hanging="709"/>
      </w:pPr>
      <w:r>
        <w:t>p</w:t>
      </w:r>
      <w:r w:rsidR="00A53F31">
        <w:t>aying a penalty to the Commonwealth that is not more than 3</w:t>
      </w:r>
      <w:r w:rsidR="0001592C">
        <w:t>,</w:t>
      </w:r>
      <w:r w:rsidR="00A53F31">
        <w:t>000 penalty units for individuals and 15</w:t>
      </w:r>
      <w:r w:rsidR="0001592C">
        <w:t>,</w:t>
      </w:r>
      <w:r w:rsidR="00A53F31">
        <w:t xml:space="preserve">000 penalty units for a body </w:t>
      </w:r>
      <w:proofErr w:type="gramStart"/>
      <w:r w:rsidR="00A53F31">
        <w:t>corporate;</w:t>
      </w:r>
      <w:proofErr w:type="gramEnd"/>
    </w:p>
    <w:p w14:paraId="611DCAF5" w14:textId="1D11D38B" w:rsidR="00A53F31" w:rsidRDefault="00095968" w:rsidP="00A53F31">
      <w:pPr>
        <w:pStyle w:val="Dotpoint1"/>
        <w:ind w:left="1418" w:hanging="709"/>
      </w:pPr>
      <w:r>
        <w:lastRenderedPageBreak/>
        <w:t>u</w:t>
      </w:r>
      <w:r w:rsidR="00A53F31">
        <w:t>ndertaking or instituting remedial measures (including education programs</w:t>
      </w:r>
      <w:proofErr w:type="gramStart"/>
      <w:r w:rsidR="00A53F31">
        <w:t>);</w:t>
      </w:r>
      <w:proofErr w:type="gramEnd"/>
    </w:p>
    <w:p w14:paraId="674F2B76" w14:textId="4FED3EA2" w:rsidR="00A53F31" w:rsidRDefault="00095968" w:rsidP="00A53F31">
      <w:pPr>
        <w:pStyle w:val="Dotpoint1"/>
        <w:ind w:left="1418" w:hanging="709"/>
      </w:pPr>
      <w:r>
        <w:t>a</w:t>
      </w:r>
      <w:r w:rsidR="00A53F31">
        <w:t>ccepting sanctions other than the payment of a penalty to the Commonwealth; or</w:t>
      </w:r>
    </w:p>
    <w:p w14:paraId="19EB7E9F" w14:textId="5B889D19" w:rsidR="00A53F31" w:rsidRDefault="00D00644" w:rsidP="00A53F31">
      <w:pPr>
        <w:pStyle w:val="Dotpoint1"/>
        <w:ind w:left="1418" w:hanging="709"/>
      </w:pPr>
      <w:proofErr w:type="gramStart"/>
      <w:r>
        <w:t>e</w:t>
      </w:r>
      <w:r w:rsidR="00A53F31">
        <w:t>ntering into</w:t>
      </w:r>
      <w:proofErr w:type="gramEnd"/>
      <w:r w:rsidR="00A53F31">
        <w:t xml:space="preserve"> a legally enforceable undertaking, which may include one or more of the following:</w:t>
      </w:r>
    </w:p>
    <w:p w14:paraId="74BD3582" w14:textId="099CC2C7" w:rsidR="00A53F31" w:rsidRDefault="00ED05E1" w:rsidP="00A53F31">
      <w:pPr>
        <w:pStyle w:val="dotpoint2"/>
      </w:pPr>
      <w:r>
        <w:t>a</w:t>
      </w:r>
      <w:r w:rsidR="00A53F31">
        <w:t xml:space="preserve">n undertaking to take specified action within a specified </w:t>
      </w:r>
      <w:proofErr w:type="gramStart"/>
      <w:r w:rsidR="00A53F31">
        <w:t>period;</w:t>
      </w:r>
      <w:proofErr w:type="gramEnd"/>
    </w:p>
    <w:p w14:paraId="6CEDD18B" w14:textId="5DE908D5" w:rsidR="00A53F31" w:rsidRDefault="00ED05E1" w:rsidP="00A53F31">
      <w:pPr>
        <w:pStyle w:val="dotpoint2"/>
      </w:pPr>
      <w:r>
        <w:t>a</w:t>
      </w:r>
      <w:r w:rsidR="00A53F31">
        <w:t>n undertaking to refrain from taking specified action;</w:t>
      </w:r>
      <w:r w:rsidR="00642602">
        <w:t xml:space="preserve"> or</w:t>
      </w:r>
    </w:p>
    <w:p w14:paraId="3353BD3B" w14:textId="551F2764" w:rsidR="009B6B6C" w:rsidRPr="00F10A7D" w:rsidRDefault="00ED05E1" w:rsidP="009D08D9">
      <w:pPr>
        <w:pStyle w:val="dotpoint2"/>
        <w:rPr>
          <w:rStyle w:val="References"/>
          <w:b w:val="0"/>
          <w:i w:val="0"/>
        </w:rPr>
      </w:pPr>
      <w:r>
        <w:t>a</w:t>
      </w:r>
      <w:r w:rsidR="00A53F31">
        <w:t xml:space="preserve">n undertaking to pay a specified amount within a specified period to the </w:t>
      </w:r>
      <w:r w:rsidR="00185A57">
        <w:t>Commonwealth</w:t>
      </w:r>
      <w:r w:rsidR="00A53F31">
        <w:t xml:space="preserve"> or to some other specified person.</w:t>
      </w:r>
      <w:r w:rsidR="009D08D9">
        <w:t xml:space="preserve"> </w:t>
      </w:r>
      <w:r w:rsidR="009D08D9">
        <w:br/>
      </w:r>
      <w:r w:rsidR="009B6B6C">
        <w:rPr>
          <w:rStyle w:val="References"/>
        </w:rPr>
        <w:t xml:space="preserve">[Schedule </w:t>
      </w:r>
      <w:r w:rsidR="00A00D6E">
        <w:rPr>
          <w:rStyle w:val="References"/>
        </w:rPr>
        <w:t>2</w:t>
      </w:r>
      <w:r w:rsidR="009B6B6C">
        <w:rPr>
          <w:rStyle w:val="References"/>
        </w:rPr>
        <w:t xml:space="preserve">, item </w:t>
      </w:r>
      <w:r w:rsidR="00AB6293">
        <w:rPr>
          <w:rStyle w:val="References"/>
        </w:rPr>
        <w:t>72</w:t>
      </w:r>
      <w:r w:rsidR="009B6B6C">
        <w:rPr>
          <w:rStyle w:val="References"/>
        </w:rPr>
        <w:t>, section 826L of the Act]</w:t>
      </w:r>
    </w:p>
    <w:p w14:paraId="73750D79" w14:textId="599E211F" w:rsidR="00422E61" w:rsidRPr="00F10A7D" w:rsidRDefault="00D920A5" w:rsidP="009D08D9">
      <w:pPr>
        <w:pStyle w:val="Normalparatextwithnumbers"/>
        <w:rPr>
          <w:rStyle w:val="References"/>
          <w:b w:val="0"/>
          <w:i w:val="0"/>
        </w:rPr>
      </w:pPr>
      <w:r>
        <w:t xml:space="preserve">Enforcement of </w:t>
      </w:r>
      <w:r w:rsidR="00CB4702">
        <w:t xml:space="preserve">CS facility </w:t>
      </w:r>
      <w:r>
        <w:t xml:space="preserve">operating rules is governed by </w:t>
      </w:r>
      <w:r w:rsidR="00EF4F3E">
        <w:t xml:space="preserve">section 822C of the Act. </w:t>
      </w:r>
      <w:r w:rsidR="008106B6">
        <w:t>Minor amendments are made to</w:t>
      </w:r>
      <w:r w:rsidR="00EF4F3E">
        <w:t xml:space="preserve"> that</w:t>
      </w:r>
      <w:r w:rsidR="008106B6">
        <w:t xml:space="preserve"> section to </w:t>
      </w:r>
      <w:r w:rsidR="006F5D8B">
        <w:t xml:space="preserve">reflect the RBA’s expanded role and </w:t>
      </w:r>
      <w:r w:rsidR="003B1CBB">
        <w:t xml:space="preserve">to </w:t>
      </w:r>
      <w:r w:rsidR="007C6740">
        <w:t xml:space="preserve">highlight that one or more </w:t>
      </w:r>
      <w:r w:rsidR="009D0EFA">
        <w:t>persons</w:t>
      </w:r>
      <w:r w:rsidR="00B47E0E">
        <w:t xml:space="preserve"> or entities</w:t>
      </w:r>
      <w:r w:rsidR="009D0EFA">
        <w:t xml:space="preserve"> can </w:t>
      </w:r>
      <w:r w:rsidR="00422E61">
        <w:t>apply to the Court</w:t>
      </w:r>
      <w:r w:rsidR="00E5741B">
        <w:t xml:space="preserve"> in the event of </w:t>
      </w:r>
      <w:r w:rsidR="00882F7E">
        <w:t>non-compliance</w:t>
      </w:r>
      <w:r w:rsidR="00E5741B">
        <w:t xml:space="preserve"> with or failure to enforce operating rules. </w:t>
      </w:r>
      <w:r w:rsidR="00237CF2">
        <w:t xml:space="preserve">A minor and technical amendment </w:t>
      </w:r>
      <w:r w:rsidR="00583D71">
        <w:t>removes an erroneous</w:t>
      </w:r>
      <w:r w:rsidR="00752EFC">
        <w:t xml:space="preserve"> and repetitive</w:t>
      </w:r>
      <w:r w:rsidR="00583D71">
        <w:t xml:space="preserve"> </w:t>
      </w:r>
      <w:r w:rsidR="00373C16">
        <w:t xml:space="preserve">use of </w:t>
      </w:r>
      <w:r w:rsidR="00674290">
        <w:t>‘</w:t>
      </w:r>
      <w:r w:rsidR="00373C16">
        <w:t>or</w:t>
      </w:r>
      <w:r w:rsidR="00674290">
        <w:t>’</w:t>
      </w:r>
      <w:r w:rsidR="00373C16">
        <w:t xml:space="preserve"> in the list of persons and entities</w:t>
      </w:r>
      <w:r w:rsidR="009C1F93">
        <w:t xml:space="preserve"> who can make an application to the Court</w:t>
      </w:r>
      <w:r w:rsidR="0059445F">
        <w:t xml:space="preserve"> to improve readability of the Act.</w:t>
      </w:r>
      <w:r w:rsidR="00583D71">
        <w:t xml:space="preserve"> </w:t>
      </w:r>
      <w:r w:rsidR="00374C7E">
        <w:t xml:space="preserve"> </w:t>
      </w:r>
      <w:r w:rsidR="009D08D9">
        <w:br/>
      </w:r>
      <w:r w:rsidR="00422E61">
        <w:rPr>
          <w:rStyle w:val="References"/>
        </w:rPr>
        <w:t xml:space="preserve">[Schedule </w:t>
      </w:r>
      <w:r w:rsidR="00A00D6E">
        <w:rPr>
          <w:rStyle w:val="References"/>
        </w:rPr>
        <w:t>2</w:t>
      </w:r>
      <w:r w:rsidR="00422E61">
        <w:rPr>
          <w:rStyle w:val="References"/>
        </w:rPr>
        <w:t>, items</w:t>
      </w:r>
      <w:r w:rsidR="00E12895">
        <w:rPr>
          <w:rStyle w:val="References"/>
        </w:rPr>
        <w:t xml:space="preserve"> </w:t>
      </w:r>
      <w:r w:rsidR="00613ACB">
        <w:rPr>
          <w:rStyle w:val="References"/>
        </w:rPr>
        <w:t>89, 90</w:t>
      </w:r>
      <w:r w:rsidR="006A4891">
        <w:rPr>
          <w:rStyle w:val="References"/>
        </w:rPr>
        <w:t xml:space="preserve"> </w:t>
      </w:r>
      <w:r w:rsidR="00EB3728">
        <w:rPr>
          <w:rStyle w:val="References"/>
        </w:rPr>
        <w:t>and</w:t>
      </w:r>
      <w:r w:rsidR="00C35B0B">
        <w:rPr>
          <w:rStyle w:val="References"/>
        </w:rPr>
        <w:t xml:space="preserve"> </w:t>
      </w:r>
      <w:r w:rsidR="00EB3728">
        <w:rPr>
          <w:rStyle w:val="References"/>
        </w:rPr>
        <w:t>91</w:t>
      </w:r>
      <w:r w:rsidR="00E0366B">
        <w:rPr>
          <w:rStyle w:val="References"/>
        </w:rPr>
        <w:t xml:space="preserve">, </w:t>
      </w:r>
      <w:r w:rsidR="006A4891">
        <w:rPr>
          <w:rStyle w:val="References"/>
        </w:rPr>
        <w:t>subsection 822</w:t>
      </w:r>
      <w:proofErr w:type="gramStart"/>
      <w:r w:rsidR="006A4891">
        <w:rPr>
          <w:rStyle w:val="References"/>
        </w:rPr>
        <w:t>C(</w:t>
      </w:r>
      <w:proofErr w:type="gramEnd"/>
      <w:r w:rsidR="006A4891">
        <w:rPr>
          <w:rStyle w:val="References"/>
        </w:rPr>
        <w:t xml:space="preserve">1) and </w:t>
      </w:r>
      <w:r w:rsidR="00B02E2D">
        <w:rPr>
          <w:rStyle w:val="References"/>
        </w:rPr>
        <w:t>paragraph</w:t>
      </w:r>
      <w:r w:rsidR="001E4B49">
        <w:rPr>
          <w:rStyle w:val="References"/>
        </w:rPr>
        <w:t>s</w:t>
      </w:r>
      <w:r w:rsidR="00B02E2D">
        <w:rPr>
          <w:rStyle w:val="References"/>
        </w:rPr>
        <w:t xml:space="preserve"> 822C(1)(a)</w:t>
      </w:r>
      <w:r w:rsidR="001E4B49">
        <w:rPr>
          <w:rStyle w:val="References"/>
        </w:rPr>
        <w:t xml:space="preserve"> to </w:t>
      </w:r>
      <w:r w:rsidR="00E5741B">
        <w:rPr>
          <w:rStyle w:val="References"/>
        </w:rPr>
        <w:t>(c) of the Act]</w:t>
      </w:r>
    </w:p>
    <w:p w14:paraId="70FA895B" w14:textId="7605E8DC" w:rsidR="0000692C" w:rsidRDefault="00101638" w:rsidP="00AD1047">
      <w:pPr>
        <w:pStyle w:val="Normalparatextwithnumbers"/>
      </w:pPr>
      <w:r w:rsidRPr="00185A57">
        <w:t xml:space="preserve">The Guide to Framing Commonwealth Offences recommends maintaining consistency in the legislative framework </w:t>
      </w:r>
      <w:r w:rsidR="00F4155C">
        <w:t>with</w:t>
      </w:r>
      <w:r w:rsidRPr="00185A57">
        <w:t xml:space="preserve"> regards to penalties as much as is appropriate. Consistent with this principle, this </w:t>
      </w:r>
      <w:r w:rsidR="00277F18">
        <w:t xml:space="preserve">compliance </w:t>
      </w:r>
      <w:r w:rsidRPr="00185A57">
        <w:t xml:space="preserve">provision largely mirrors existing section 798K of the Act which applies to </w:t>
      </w:r>
      <w:r w:rsidR="003B6378">
        <w:t xml:space="preserve">the </w:t>
      </w:r>
      <w:r w:rsidRPr="00185A57">
        <w:t>enforcement of market integrity rules, section 901F of the Act which applies to enforcement of derivative transaction rules and section 903E of the Act which applies to enforcement of derivative trade repository rules.</w:t>
      </w:r>
    </w:p>
    <w:p w14:paraId="19B28818" w14:textId="7F51C96A" w:rsidR="007E0B0D" w:rsidRDefault="007E0B0D" w:rsidP="00A034BA">
      <w:pPr>
        <w:pStyle w:val="Heading6"/>
        <w:rPr>
          <w:rFonts w:hint="eastAsia"/>
        </w:rPr>
      </w:pPr>
      <w:r>
        <w:t>Reviewability</w:t>
      </w:r>
      <w:r w:rsidR="002013EC">
        <w:t xml:space="preserve"> of decisions</w:t>
      </w:r>
    </w:p>
    <w:p w14:paraId="3C180B2D" w14:textId="3FDAE47A" w:rsidR="007E0B0D" w:rsidRDefault="007E0B0D" w:rsidP="007E0B0D">
      <w:pPr>
        <w:pStyle w:val="Normalparatextwithnumbers"/>
        <w:rPr>
          <w:rStyle w:val="References"/>
          <w:b w:val="0"/>
          <w:bCs w:val="0"/>
          <w:i w:val="0"/>
          <w:iCs w:val="0"/>
        </w:rPr>
      </w:pPr>
      <w:r w:rsidRPr="005A49D0">
        <w:rPr>
          <w:rStyle w:val="References"/>
          <w:b w:val="0"/>
          <w:bCs w:val="0"/>
          <w:i w:val="0"/>
          <w:iCs w:val="0"/>
        </w:rPr>
        <w:t>T</w:t>
      </w:r>
      <w:r>
        <w:rPr>
          <w:rStyle w:val="References"/>
          <w:b w:val="0"/>
          <w:bCs w:val="0"/>
          <w:i w:val="0"/>
          <w:iCs w:val="0"/>
        </w:rPr>
        <w:t>he follow</w:t>
      </w:r>
      <w:r w:rsidR="0061675F">
        <w:rPr>
          <w:rStyle w:val="References"/>
          <w:b w:val="0"/>
          <w:bCs w:val="0"/>
          <w:i w:val="0"/>
          <w:iCs w:val="0"/>
        </w:rPr>
        <w:t>ing</w:t>
      </w:r>
      <w:r>
        <w:rPr>
          <w:rStyle w:val="References"/>
          <w:b w:val="0"/>
          <w:bCs w:val="0"/>
          <w:i w:val="0"/>
          <w:iCs w:val="0"/>
        </w:rPr>
        <w:t xml:space="preserve"> decisions </w:t>
      </w:r>
      <w:r w:rsidR="005A7EEB">
        <w:rPr>
          <w:rStyle w:val="References"/>
          <w:b w:val="0"/>
          <w:bCs w:val="0"/>
          <w:i w:val="0"/>
          <w:iCs w:val="0"/>
        </w:rPr>
        <w:t>are not su</w:t>
      </w:r>
      <w:r w:rsidR="004D17EE">
        <w:rPr>
          <w:rStyle w:val="References"/>
          <w:b w:val="0"/>
          <w:bCs w:val="0"/>
          <w:i w:val="0"/>
          <w:iCs w:val="0"/>
        </w:rPr>
        <w:t>bject to AAT review</w:t>
      </w:r>
      <w:r>
        <w:rPr>
          <w:rStyle w:val="References"/>
          <w:b w:val="0"/>
          <w:bCs w:val="0"/>
          <w:i w:val="0"/>
          <w:iCs w:val="0"/>
        </w:rPr>
        <w:t xml:space="preserve">:  </w:t>
      </w:r>
    </w:p>
    <w:p w14:paraId="017198EA" w14:textId="7C16D85E" w:rsidR="007E0B0D" w:rsidRPr="005A49D0" w:rsidRDefault="007E0B0D" w:rsidP="00A034BA">
      <w:pPr>
        <w:pStyle w:val="Dotpoint1"/>
        <w:rPr>
          <w:rStyle w:val="References"/>
          <w:b w:val="0"/>
          <w:bCs w:val="0"/>
          <w:i w:val="0"/>
          <w:iCs w:val="0"/>
        </w:rPr>
      </w:pPr>
      <w:r w:rsidRPr="005A49D0">
        <w:rPr>
          <w:rStyle w:val="References"/>
          <w:b w:val="0"/>
          <w:bCs w:val="0"/>
          <w:i w:val="0"/>
          <w:iCs w:val="0"/>
        </w:rPr>
        <w:t xml:space="preserve">a decision by ASIC to make </w:t>
      </w:r>
      <w:r w:rsidR="00BE56A1">
        <w:rPr>
          <w:rStyle w:val="References"/>
          <w:b w:val="0"/>
          <w:bCs w:val="0"/>
          <w:i w:val="0"/>
          <w:iCs w:val="0"/>
        </w:rPr>
        <w:t xml:space="preserve">CS </w:t>
      </w:r>
      <w:r w:rsidRPr="005A49D0">
        <w:rPr>
          <w:rStyle w:val="References"/>
          <w:b w:val="0"/>
          <w:bCs w:val="0"/>
          <w:i w:val="0"/>
          <w:iCs w:val="0"/>
        </w:rPr>
        <w:t>facility rules</w:t>
      </w:r>
      <w:r w:rsidR="00325969">
        <w:rPr>
          <w:rStyle w:val="References"/>
          <w:b w:val="0"/>
          <w:bCs w:val="0"/>
          <w:i w:val="0"/>
          <w:iCs w:val="0"/>
        </w:rPr>
        <w:t>,</w:t>
      </w:r>
      <w:r w:rsidRPr="005A49D0">
        <w:rPr>
          <w:rStyle w:val="References"/>
          <w:b w:val="0"/>
          <w:bCs w:val="0"/>
          <w:i w:val="0"/>
          <w:iCs w:val="0"/>
        </w:rPr>
        <w:t xml:space="preserve"> or to vary or revoke </w:t>
      </w:r>
      <w:r w:rsidR="00BE56A1">
        <w:rPr>
          <w:rStyle w:val="References"/>
          <w:b w:val="0"/>
          <w:bCs w:val="0"/>
          <w:i w:val="0"/>
          <w:iCs w:val="0"/>
        </w:rPr>
        <w:t>CS</w:t>
      </w:r>
      <w:r w:rsidRPr="005A49D0">
        <w:rPr>
          <w:rStyle w:val="References"/>
          <w:b w:val="0"/>
          <w:bCs w:val="0"/>
          <w:i w:val="0"/>
          <w:iCs w:val="0"/>
        </w:rPr>
        <w:t xml:space="preserve"> facility </w:t>
      </w:r>
      <w:proofErr w:type="gramStart"/>
      <w:r w:rsidRPr="005A49D0">
        <w:rPr>
          <w:rStyle w:val="References"/>
          <w:b w:val="0"/>
          <w:bCs w:val="0"/>
          <w:i w:val="0"/>
          <w:iCs w:val="0"/>
        </w:rPr>
        <w:t>rules;</w:t>
      </w:r>
      <w:proofErr w:type="gramEnd"/>
      <w:r w:rsidRPr="005A49D0">
        <w:rPr>
          <w:rStyle w:val="References"/>
          <w:b w:val="0"/>
          <w:bCs w:val="0"/>
          <w:i w:val="0"/>
          <w:iCs w:val="0"/>
        </w:rPr>
        <w:t xml:space="preserve"> </w:t>
      </w:r>
    </w:p>
    <w:p w14:paraId="7E03FB22" w14:textId="1FB922BF" w:rsidR="007E0B0D" w:rsidRDefault="007E0B0D" w:rsidP="00A034BA">
      <w:pPr>
        <w:pStyle w:val="Dotpoint1"/>
        <w:rPr>
          <w:rStyle w:val="References"/>
          <w:b w:val="0"/>
          <w:bCs w:val="0"/>
          <w:i w:val="0"/>
          <w:iCs w:val="0"/>
        </w:rPr>
      </w:pPr>
      <w:r>
        <w:rPr>
          <w:rStyle w:val="References"/>
          <w:b w:val="0"/>
          <w:bCs w:val="0"/>
          <w:i w:val="0"/>
          <w:iCs w:val="0"/>
        </w:rPr>
        <w:t xml:space="preserve">a decision by ASIC to do or not do anything under the regulations made for the purposes of </w:t>
      </w:r>
      <w:r w:rsidR="00990112">
        <w:rPr>
          <w:rStyle w:val="References"/>
          <w:b w:val="0"/>
          <w:bCs w:val="0"/>
          <w:i w:val="0"/>
          <w:iCs w:val="0"/>
        </w:rPr>
        <w:t xml:space="preserve">allowing </w:t>
      </w:r>
      <w:r>
        <w:rPr>
          <w:rStyle w:val="References"/>
          <w:b w:val="0"/>
          <w:bCs w:val="0"/>
          <w:i w:val="0"/>
          <w:iCs w:val="0"/>
        </w:rPr>
        <w:t xml:space="preserve">alternatives to civil </w:t>
      </w:r>
      <w:proofErr w:type="gramStart"/>
      <w:r>
        <w:rPr>
          <w:rStyle w:val="References"/>
          <w:b w:val="0"/>
          <w:bCs w:val="0"/>
          <w:i w:val="0"/>
          <w:iCs w:val="0"/>
        </w:rPr>
        <w:t>proceedings;</w:t>
      </w:r>
      <w:proofErr w:type="gramEnd"/>
      <w:r>
        <w:rPr>
          <w:rStyle w:val="References"/>
          <w:b w:val="0"/>
          <w:bCs w:val="0"/>
          <w:i w:val="0"/>
          <w:iCs w:val="0"/>
        </w:rPr>
        <w:t xml:space="preserve"> </w:t>
      </w:r>
    </w:p>
    <w:p w14:paraId="79C6350B" w14:textId="2354ED40" w:rsidR="007E0B0D" w:rsidRDefault="007E0B0D" w:rsidP="00A034BA">
      <w:pPr>
        <w:pStyle w:val="Dotpoint1"/>
        <w:rPr>
          <w:rStyle w:val="References"/>
          <w:b w:val="0"/>
          <w:bCs w:val="0"/>
          <w:i w:val="0"/>
          <w:iCs w:val="0"/>
        </w:rPr>
      </w:pPr>
      <w:r>
        <w:rPr>
          <w:rStyle w:val="References"/>
          <w:b w:val="0"/>
          <w:bCs w:val="0"/>
          <w:i w:val="0"/>
          <w:iCs w:val="0"/>
        </w:rPr>
        <w:t xml:space="preserve">a decision by the Minister to consent to the making of a </w:t>
      </w:r>
      <w:r w:rsidR="00853347">
        <w:rPr>
          <w:rStyle w:val="References"/>
          <w:b w:val="0"/>
          <w:bCs w:val="0"/>
          <w:i w:val="0"/>
          <w:iCs w:val="0"/>
        </w:rPr>
        <w:t xml:space="preserve">CS </w:t>
      </w:r>
      <w:r>
        <w:rPr>
          <w:rStyle w:val="References"/>
          <w:b w:val="0"/>
          <w:bCs w:val="0"/>
          <w:i w:val="0"/>
          <w:iCs w:val="0"/>
        </w:rPr>
        <w:t>facility rule</w:t>
      </w:r>
      <w:r w:rsidR="00325969">
        <w:rPr>
          <w:rStyle w:val="References"/>
          <w:b w:val="0"/>
          <w:bCs w:val="0"/>
          <w:i w:val="0"/>
          <w:iCs w:val="0"/>
        </w:rPr>
        <w:t>,</w:t>
      </w:r>
      <w:r>
        <w:rPr>
          <w:rStyle w:val="References"/>
          <w:b w:val="0"/>
          <w:bCs w:val="0"/>
          <w:i w:val="0"/>
          <w:iCs w:val="0"/>
        </w:rPr>
        <w:t xml:space="preserve"> or to direct ASIC to vary or revoke a</w:t>
      </w:r>
      <w:r w:rsidR="007D60E9">
        <w:rPr>
          <w:rStyle w:val="References"/>
          <w:b w:val="0"/>
          <w:bCs w:val="0"/>
          <w:i w:val="0"/>
          <w:iCs w:val="0"/>
        </w:rPr>
        <w:t xml:space="preserve"> CS</w:t>
      </w:r>
      <w:r>
        <w:rPr>
          <w:rStyle w:val="References"/>
          <w:b w:val="0"/>
          <w:bCs w:val="0"/>
          <w:i w:val="0"/>
          <w:iCs w:val="0"/>
        </w:rPr>
        <w:t xml:space="preserve"> facility </w:t>
      </w:r>
      <w:proofErr w:type="gramStart"/>
      <w:r>
        <w:rPr>
          <w:rStyle w:val="References"/>
          <w:b w:val="0"/>
          <w:bCs w:val="0"/>
          <w:i w:val="0"/>
          <w:iCs w:val="0"/>
        </w:rPr>
        <w:t>rule;</w:t>
      </w:r>
      <w:proofErr w:type="gramEnd"/>
      <w:r>
        <w:rPr>
          <w:rStyle w:val="References"/>
          <w:b w:val="0"/>
          <w:bCs w:val="0"/>
          <w:i w:val="0"/>
          <w:iCs w:val="0"/>
        </w:rPr>
        <w:t xml:space="preserve"> </w:t>
      </w:r>
    </w:p>
    <w:p w14:paraId="18B7D317" w14:textId="0A1C9642" w:rsidR="00F62F09" w:rsidRPr="00A034BA" w:rsidRDefault="007E0B0D" w:rsidP="00A034BA">
      <w:pPr>
        <w:pStyle w:val="Dotpoint1"/>
        <w:rPr>
          <w:rStyle w:val="References"/>
          <w:b w:val="0"/>
          <w:i w:val="0"/>
        </w:rPr>
      </w:pPr>
      <w:r>
        <w:rPr>
          <w:rStyle w:val="References"/>
          <w:b w:val="0"/>
          <w:bCs w:val="0"/>
          <w:i w:val="0"/>
          <w:iCs w:val="0"/>
        </w:rPr>
        <w:t>a decision by ASIC to grant an exemption</w:t>
      </w:r>
      <w:r w:rsidR="000C0622">
        <w:rPr>
          <w:rStyle w:val="References"/>
          <w:b w:val="0"/>
          <w:bCs w:val="0"/>
          <w:i w:val="0"/>
          <w:iCs w:val="0"/>
        </w:rPr>
        <w:t xml:space="preserve"> for a class of persons or facilities from all or specified provisions of </w:t>
      </w:r>
      <w:r w:rsidR="009012AA">
        <w:rPr>
          <w:rStyle w:val="References"/>
          <w:b w:val="0"/>
          <w:bCs w:val="0"/>
          <w:i w:val="0"/>
          <w:iCs w:val="0"/>
        </w:rPr>
        <w:t>‘</w:t>
      </w:r>
      <w:r w:rsidR="000C0622">
        <w:rPr>
          <w:rStyle w:val="References"/>
          <w:b w:val="0"/>
          <w:bCs w:val="0"/>
          <w:i w:val="0"/>
          <w:iCs w:val="0"/>
        </w:rPr>
        <w:t xml:space="preserve">Division 3A CS facility </w:t>
      </w:r>
      <w:proofErr w:type="gramStart"/>
      <w:r w:rsidR="000C0622">
        <w:rPr>
          <w:rStyle w:val="References"/>
          <w:b w:val="0"/>
          <w:bCs w:val="0"/>
          <w:i w:val="0"/>
          <w:iCs w:val="0"/>
        </w:rPr>
        <w:t>rules</w:t>
      </w:r>
      <w:r w:rsidR="009012AA">
        <w:rPr>
          <w:rStyle w:val="References"/>
          <w:b w:val="0"/>
          <w:bCs w:val="0"/>
          <w:i w:val="0"/>
          <w:iCs w:val="0"/>
        </w:rPr>
        <w:t>’</w:t>
      </w:r>
      <w:proofErr w:type="gramEnd"/>
      <w:r w:rsidR="000C0622">
        <w:rPr>
          <w:rStyle w:val="References"/>
          <w:b w:val="0"/>
          <w:bCs w:val="0"/>
          <w:i w:val="0"/>
          <w:iCs w:val="0"/>
        </w:rPr>
        <w:t>.</w:t>
      </w:r>
      <w:r w:rsidR="00F10A7D">
        <w:rPr>
          <w:rStyle w:val="References"/>
          <w:b w:val="0"/>
          <w:bCs w:val="0"/>
          <w:i w:val="0"/>
          <w:iCs w:val="0"/>
        </w:rPr>
        <w:br/>
      </w:r>
      <w:r>
        <w:rPr>
          <w:rStyle w:val="References"/>
        </w:rPr>
        <w:lastRenderedPageBreak/>
        <w:t xml:space="preserve">[Schedule </w:t>
      </w:r>
      <w:r w:rsidR="00967FD9">
        <w:rPr>
          <w:rStyle w:val="References"/>
        </w:rPr>
        <w:t>2</w:t>
      </w:r>
      <w:r>
        <w:rPr>
          <w:rStyle w:val="References"/>
        </w:rPr>
        <w:t xml:space="preserve">, item </w:t>
      </w:r>
      <w:r w:rsidR="009F3F7A">
        <w:rPr>
          <w:rStyle w:val="References"/>
        </w:rPr>
        <w:t>7</w:t>
      </w:r>
      <w:r w:rsidR="00F67625">
        <w:rPr>
          <w:rStyle w:val="References"/>
        </w:rPr>
        <w:t>4</w:t>
      </w:r>
      <w:r>
        <w:rPr>
          <w:rStyle w:val="References"/>
        </w:rPr>
        <w:t>, paragraphs 1317C(</w:t>
      </w:r>
      <w:proofErr w:type="spellStart"/>
      <w:r w:rsidR="00715AB6">
        <w:rPr>
          <w:rStyle w:val="References"/>
        </w:rPr>
        <w:t>gccc</w:t>
      </w:r>
      <w:proofErr w:type="spellEnd"/>
      <w:r>
        <w:rPr>
          <w:rStyle w:val="References"/>
        </w:rPr>
        <w:t>)</w:t>
      </w:r>
      <w:r w:rsidR="00715AB6">
        <w:rPr>
          <w:rStyle w:val="References"/>
        </w:rPr>
        <w:t>, (</w:t>
      </w:r>
      <w:proofErr w:type="spellStart"/>
      <w:r w:rsidR="00715AB6">
        <w:rPr>
          <w:rStyle w:val="References"/>
        </w:rPr>
        <w:t>gccd</w:t>
      </w:r>
      <w:proofErr w:type="spellEnd"/>
      <w:r w:rsidR="00715AB6">
        <w:rPr>
          <w:rStyle w:val="References"/>
        </w:rPr>
        <w:t>), (</w:t>
      </w:r>
      <w:proofErr w:type="spellStart"/>
      <w:r w:rsidR="00715AB6">
        <w:rPr>
          <w:rStyle w:val="References"/>
        </w:rPr>
        <w:t>gcce</w:t>
      </w:r>
      <w:proofErr w:type="spellEnd"/>
      <w:r w:rsidR="0038768E">
        <w:rPr>
          <w:rStyle w:val="References"/>
        </w:rPr>
        <w:t>) and (</w:t>
      </w:r>
      <w:proofErr w:type="spellStart"/>
      <w:r w:rsidR="0038768E">
        <w:rPr>
          <w:rStyle w:val="References"/>
        </w:rPr>
        <w:t>gccf</w:t>
      </w:r>
      <w:proofErr w:type="spellEnd"/>
      <w:r w:rsidR="0038768E">
        <w:rPr>
          <w:rStyle w:val="References"/>
        </w:rPr>
        <w:t xml:space="preserve">) </w:t>
      </w:r>
      <w:r>
        <w:rPr>
          <w:rStyle w:val="References"/>
        </w:rPr>
        <w:t>of the Act]</w:t>
      </w:r>
    </w:p>
    <w:p w14:paraId="4CBBF9B7" w14:textId="4B552632" w:rsidR="00EF344F" w:rsidRDefault="00EF344F" w:rsidP="00EF344F">
      <w:pPr>
        <w:pStyle w:val="Heading3"/>
        <w:rPr>
          <w:rFonts w:hint="eastAsia"/>
        </w:rPr>
      </w:pPr>
      <w:bookmarkStart w:id="109" w:name="_Toc152860469"/>
      <w:r>
        <w:t xml:space="preserve">Amendments relating to financial markets and CS </w:t>
      </w:r>
      <w:proofErr w:type="gramStart"/>
      <w:r>
        <w:t>facilities</w:t>
      </w:r>
      <w:bookmarkEnd w:id="109"/>
      <w:proofErr w:type="gramEnd"/>
    </w:p>
    <w:p w14:paraId="53350198" w14:textId="5FF9A13B" w:rsidR="00EF344F" w:rsidRPr="00BB7CB3" w:rsidRDefault="00EF344F" w:rsidP="00EF344F">
      <w:pPr>
        <w:pStyle w:val="Heading5"/>
        <w:numPr>
          <w:ilvl w:val="4"/>
          <w:numId w:val="2"/>
        </w:numPr>
      </w:pPr>
      <w:r w:rsidRPr="001E6E3C">
        <w:t xml:space="preserve">When is a financial market or CS facility taken to be operated in this </w:t>
      </w:r>
      <w:proofErr w:type="gramStart"/>
      <w:r w:rsidRPr="001E6E3C">
        <w:t>jurisdiction</w:t>
      </w:r>
      <w:proofErr w:type="gramEnd"/>
    </w:p>
    <w:p w14:paraId="54ED9AE4" w14:textId="17E4E318" w:rsidR="00983AAA" w:rsidRDefault="00EF344F" w:rsidP="008B71D8">
      <w:pPr>
        <w:pStyle w:val="Normalparatextwithnumbers"/>
      </w:pPr>
      <w:r>
        <w:t xml:space="preserve">The amendments clarify the test </w:t>
      </w:r>
      <w:r w:rsidR="003F1AC8">
        <w:t xml:space="preserve">in </w:t>
      </w:r>
      <w:r>
        <w:t xml:space="preserve">ASIC </w:t>
      </w:r>
      <w:r w:rsidR="003F1AC8">
        <w:t>regulatory guidance that</w:t>
      </w:r>
      <w:r>
        <w:t xml:space="preserve"> </w:t>
      </w:r>
      <w:r w:rsidR="00AC73FD">
        <w:t xml:space="preserve">sets out the factors to consider when </w:t>
      </w:r>
      <w:r>
        <w:t>de</w:t>
      </w:r>
      <w:r w:rsidR="00AC73FD">
        <w:t xml:space="preserve">ciding </w:t>
      </w:r>
      <w:r>
        <w:t>whether a</w:t>
      </w:r>
      <w:r w:rsidR="00AC73FD">
        <w:t>n overseas</w:t>
      </w:r>
      <w:r>
        <w:t xml:space="preserve"> market or </w:t>
      </w:r>
      <w:r w:rsidR="00AC73FD">
        <w:t xml:space="preserve">CS </w:t>
      </w:r>
      <w:r>
        <w:t xml:space="preserve">facility </w:t>
      </w:r>
      <w:r w:rsidR="00AC73FD">
        <w:t>falls within the Australian licensing regime</w:t>
      </w:r>
      <w:r w:rsidR="001874DC">
        <w:t xml:space="preserve">, or in the words of the statute, is </w:t>
      </w:r>
      <w:r w:rsidR="005F0A4A">
        <w:t>‘operated in this jurisdiction’</w:t>
      </w:r>
      <w:r>
        <w:t xml:space="preserve">. </w:t>
      </w:r>
      <w:r w:rsidR="007E042E">
        <w:t>The intent of the amendments is to c</w:t>
      </w:r>
      <w:r w:rsidR="007E042E" w:rsidRPr="006D5CCF">
        <w:t>odify the current approach</w:t>
      </w:r>
      <w:r w:rsidR="007E042E">
        <w:t xml:space="preserve"> for determining whether an overseas financial market or CS facility falls within the Australian regulatory regime and therefore should be licensed as such.</w:t>
      </w:r>
    </w:p>
    <w:p w14:paraId="3E38F299" w14:textId="163B5DCC" w:rsidR="0079308F" w:rsidRDefault="0079308F" w:rsidP="0079308F">
      <w:pPr>
        <w:pStyle w:val="Normalparatextwithnumbers"/>
      </w:pPr>
      <w:bookmarkStart w:id="110" w:name="_Ref137796928"/>
      <w:r>
        <w:t xml:space="preserve">Whether an overseas financial market or CS facility operates in Australia will be based on whether a body corporate is domestically incorporated under Chapter 2A of the Act or if ASIC declares that </w:t>
      </w:r>
      <w:r w:rsidR="008F6657">
        <w:t>the</w:t>
      </w:r>
      <w:r w:rsidR="00C534A7">
        <w:t xml:space="preserve"> financial </w:t>
      </w:r>
      <w:r w:rsidR="00AA586A">
        <w:t>market or</w:t>
      </w:r>
      <w:r w:rsidR="008F6657">
        <w:t xml:space="preserve"> CS facility has</w:t>
      </w:r>
      <w:r>
        <w:t xml:space="preserve"> a material connection to Australia.</w:t>
      </w:r>
      <w:r w:rsidR="00422764">
        <w:t xml:space="preserve"> </w:t>
      </w:r>
      <w:r>
        <w:br/>
      </w:r>
      <w:r w:rsidRPr="002D3E4F">
        <w:rPr>
          <w:rStyle w:val="References"/>
        </w:rPr>
        <w:t xml:space="preserve">[Schedule </w:t>
      </w:r>
      <w:r w:rsidR="008F6657">
        <w:rPr>
          <w:rStyle w:val="References"/>
        </w:rPr>
        <w:t>2</w:t>
      </w:r>
      <w:r w:rsidRPr="002D3E4F">
        <w:rPr>
          <w:rStyle w:val="References"/>
        </w:rPr>
        <w:t>, item</w:t>
      </w:r>
      <w:r w:rsidR="00F30D4B">
        <w:rPr>
          <w:rStyle w:val="References"/>
        </w:rPr>
        <w:t>s</w:t>
      </w:r>
      <w:r w:rsidRPr="002D3E4F">
        <w:rPr>
          <w:rStyle w:val="References"/>
        </w:rPr>
        <w:t xml:space="preserve"> </w:t>
      </w:r>
      <w:r>
        <w:rPr>
          <w:rStyle w:val="References"/>
        </w:rPr>
        <w:t>1</w:t>
      </w:r>
      <w:r w:rsidR="00B0214B">
        <w:rPr>
          <w:rStyle w:val="References"/>
        </w:rPr>
        <w:t>3</w:t>
      </w:r>
      <w:r w:rsidR="007452E8">
        <w:rPr>
          <w:rStyle w:val="References"/>
        </w:rPr>
        <w:t>9</w:t>
      </w:r>
      <w:r w:rsidR="00F30D4B">
        <w:rPr>
          <w:rStyle w:val="References"/>
        </w:rPr>
        <w:t xml:space="preserve"> and 1</w:t>
      </w:r>
      <w:r w:rsidR="009821AC">
        <w:rPr>
          <w:rStyle w:val="References"/>
        </w:rPr>
        <w:t>40</w:t>
      </w:r>
      <w:r w:rsidR="00B27B18">
        <w:rPr>
          <w:rStyle w:val="References"/>
        </w:rPr>
        <w:t xml:space="preserve">, </w:t>
      </w:r>
      <w:r w:rsidR="005B1632">
        <w:rPr>
          <w:rStyle w:val="References"/>
        </w:rPr>
        <w:t>section</w:t>
      </w:r>
      <w:r w:rsidR="007F6D5C">
        <w:rPr>
          <w:rStyle w:val="References"/>
        </w:rPr>
        <w:t>s</w:t>
      </w:r>
      <w:r w:rsidR="005B1632">
        <w:rPr>
          <w:rStyle w:val="References"/>
        </w:rPr>
        <w:t xml:space="preserve"> 791D</w:t>
      </w:r>
      <w:r w:rsidR="007F6D5C">
        <w:rPr>
          <w:rStyle w:val="References"/>
        </w:rPr>
        <w:t xml:space="preserve"> and 820D</w:t>
      </w:r>
      <w:r w:rsidR="005B1632">
        <w:rPr>
          <w:rStyle w:val="References"/>
        </w:rPr>
        <w:t xml:space="preserve"> of the Act]</w:t>
      </w:r>
      <w:r>
        <w:rPr>
          <w:rStyle w:val="References"/>
        </w:rPr>
        <w:t xml:space="preserve"> </w:t>
      </w:r>
      <w:bookmarkEnd w:id="110"/>
    </w:p>
    <w:p w14:paraId="28CE08BE" w14:textId="2F11759E" w:rsidR="008E3882" w:rsidRPr="006E14A6" w:rsidRDefault="00CB0617" w:rsidP="005C7DEF">
      <w:pPr>
        <w:pStyle w:val="Normalparatextwithnumbers"/>
      </w:pPr>
      <w:r>
        <w:t>The amendments introduce</w:t>
      </w:r>
      <w:r w:rsidR="00741D5F">
        <w:t xml:space="preserve"> a</w:t>
      </w:r>
      <w:r w:rsidR="00AC73FD">
        <w:t xml:space="preserve"> new </w:t>
      </w:r>
      <w:r w:rsidR="00741D5F">
        <w:t>two-step</w:t>
      </w:r>
      <w:r w:rsidR="00AC73FD">
        <w:t xml:space="preserve"> test </w:t>
      </w:r>
      <w:r w:rsidR="00E6705A">
        <w:t>for</w:t>
      </w:r>
      <w:r w:rsidR="0079308F">
        <w:t xml:space="preserve"> </w:t>
      </w:r>
      <w:r w:rsidR="001D6482">
        <w:t xml:space="preserve">ASIC to </w:t>
      </w:r>
      <w:r w:rsidR="0079308F">
        <w:t>declar</w:t>
      </w:r>
      <w:r w:rsidR="001D6482">
        <w:t>e</w:t>
      </w:r>
      <w:r w:rsidR="00AC73FD">
        <w:t xml:space="preserve"> whether an overseas financial </w:t>
      </w:r>
      <w:r w:rsidR="008B71D8">
        <w:t xml:space="preserve">market or CS facility has a material connection with Australia. The first part of this test is an objective assessment of whether the market or CS facility has a connection to Australia. The second part of this test is consideration as to whether the connection to Australia is material. </w:t>
      </w:r>
      <w:r w:rsidR="00F74A9B">
        <w:br/>
      </w:r>
      <w:r w:rsidR="00F74A9B" w:rsidRPr="00287229">
        <w:rPr>
          <w:rStyle w:val="References"/>
        </w:rPr>
        <w:t>[Schedule</w:t>
      </w:r>
      <w:r w:rsidR="00F74A9B">
        <w:rPr>
          <w:rStyle w:val="References"/>
        </w:rPr>
        <w:t xml:space="preserve"> 2</w:t>
      </w:r>
      <w:r w:rsidR="00F74A9B" w:rsidRPr="00287229">
        <w:rPr>
          <w:rStyle w:val="References"/>
        </w:rPr>
        <w:t>, item</w:t>
      </w:r>
      <w:r w:rsidR="00F30D4B">
        <w:rPr>
          <w:rStyle w:val="References"/>
        </w:rPr>
        <w:t>s</w:t>
      </w:r>
      <w:r w:rsidR="00F74A9B">
        <w:rPr>
          <w:rStyle w:val="References"/>
        </w:rPr>
        <w:t xml:space="preserve"> 13</w:t>
      </w:r>
      <w:r w:rsidR="005C7DEF">
        <w:rPr>
          <w:rStyle w:val="References"/>
        </w:rPr>
        <w:t>9</w:t>
      </w:r>
      <w:r w:rsidR="00F30D4B">
        <w:rPr>
          <w:rStyle w:val="References"/>
        </w:rPr>
        <w:t xml:space="preserve"> and 1</w:t>
      </w:r>
      <w:r w:rsidR="005C7DEF">
        <w:rPr>
          <w:rStyle w:val="References"/>
        </w:rPr>
        <w:t>40</w:t>
      </w:r>
      <w:r w:rsidR="00F74A9B" w:rsidRPr="00287229">
        <w:rPr>
          <w:rStyle w:val="References"/>
        </w:rPr>
        <w:t xml:space="preserve">, </w:t>
      </w:r>
      <w:r w:rsidR="00F74A9B">
        <w:rPr>
          <w:rStyle w:val="References"/>
        </w:rPr>
        <w:t>sections</w:t>
      </w:r>
      <w:r w:rsidR="00F30D4B">
        <w:rPr>
          <w:rStyle w:val="References"/>
        </w:rPr>
        <w:t xml:space="preserve"> </w:t>
      </w:r>
      <w:r w:rsidR="00F74A9B">
        <w:rPr>
          <w:rStyle w:val="References"/>
        </w:rPr>
        <w:t>791E</w:t>
      </w:r>
      <w:r w:rsidR="00F30D4B">
        <w:rPr>
          <w:rStyle w:val="References"/>
        </w:rPr>
        <w:t xml:space="preserve"> and 820E</w:t>
      </w:r>
      <w:r w:rsidR="00F74A9B">
        <w:rPr>
          <w:rStyle w:val="References"/>
        </w:rPr>
        <w:t xml:space="preserve"> of the Act</w:t>
      </w:r>
      <w:r w:rsidR="00F74A9B" w:rsidRPr="00287229">
        <w:rPr>
          <w:rStyle w:val="References"/>
        </w:rPr>
        <w:t xml:space="preserve">] </w:t>
      </w:r>
      <w:r w:rsidR="008B71D8">
        <w:t xml:space="preserve"> </w:t>
      </w:r>
    </w:p>
    <w:p w14:paraId="3ECB1DF4" w14:textId="419503E3" w:rsidR="00CF0863" w:rsidRPr="006E14A6" w:rsidRDefault="004B64C5" w:rsidP="006E14A6">
      <w:pPr>
        <w:pStyle w:val="Normalparatextwithnumbers"/>
        <w:rPr>
          <w:rStyle w:val="References"/>
          <w:b w:val="0"/>
          <w:i w:val="0"/>
        </w:rPr>
      </w:pPr>
      <w:r>
        <w:t xml:space="preserve">ASIC may, by a written </w:t>
      </w:r>
      <w:r w:rsidR="00CF0863">
        <w:t>notice</w:t>
      </w:r>
      <w:r>
        <w:t xml:space="preserve"> to a body corporate, request the body to give ASIC information about the financial market or CS facility </w:t>
      </w:r>
      <w:r w:rsidR="00CF0863">
        <w:t xml:space="preserve">within a period specified in the notice. </w:t>
      </w:r>
      <w:r w:rsidR="006E14A6">
        <w:br/>
      </w:r>
      <w:r w:rsidR="00C16B7B">
        <w:rPr>
          <w:rStyle w:val="References"/>
        </w:rPr>
        <w:t xml:space="preserve">[Schedule </w:t>
      </w:r>
      <w:r w:rsidR="00C754ED">
        <w:rPr>
          <w:rStyle w:val="References"/>
        </w:rPr>
        <w:t>2</w:t>
      </w:r>
      <w:r w:rsidR="00C16B7B">
        <w:rPr>
          <w:rStyle w:val="References"/>
        </w:rPr>
        <w:t>, items 1</w:t>
      </w:r>
      <w:r w:rsidR="00C754ED">
        <w:rPr>
          <w:rStyle w:val="References"/>
        </w:rPr>
        <w:t>3</w:t>
      </w:r>
      <w:r w:rsidR="005C7DEF">
        <w:rPr>
          <w:rStyle w:val="References"/>
        </w:rPr>
        <w:t>9</w:t>
      </w:r>
      <w:r w:rsidR="00C16B7B">
        <w:rPr>
          <w:rStyle w:val="References"/>
        </w:rPr>
        <w:t xml:space="preserve"> and 1</w:t>
      </w:r>
      <w:r w:rsidR="005C7DEF">
        <w:rPr>
          <w:rStyle w:val="References"/>
        </w:rPr>
        <w:t>40</w:t>
      </w:r>
      <w:r w:rsidR="00C16B7B">
        <w:rPr>
          <w:rStyle w:val="References"/>
        </w:rPr>
        <w:t>, subsections 791</w:t>
      </w:r>
      <w:proofErr w:type="gramStart"/>
      <w:r w:rsidR="00B92BEC">
        <w:rPr>
          <w:rStyle w:val="References"/>
        </w:rPr>
        <w:t>E</w:t>
      </w:r>
      <w:r w:rsidR="00C16B7B">
        <w:rPr>
          <w:rStyle w:val="References"/>
        </w:rPr>
        <w:t>(</w:t>
      </w:r>
      <w:proofErr w:type="gramEnd"/>
      <w:r w:rsidR="00C16B7B">
        <w:rPr>
          <w:rStyle w:val="References"/>
        </w:rPr>
        <w:t>5)</w:t>
      </w:r>
      <w:r w:rsidR="00C76D5C">
        <w:rPr>
          <w:rStyle w:val="References"/>
        </w:rPr>
        <w:t xml:space="preserve"> and 820D(</w:t>
      </w:r>
      <w:r w:rsidR="00812C59">
        <w:rPr>
          <w:rStyle w:val="References"/>
        </w:rPr>
        <w:t>6</w:t>
      </w:r>
      <w:r w:rsidR="00C76D5C">
        <w:rPr>
          <w:rStyle w:val="References"/>
        </w:rPr>
        <w:t>) of the Act]</w:t>
      </w:r>
    </w:p>
    <w:p w14:paraId="5BEE1E5C" w14:textId="68D5ACD0" w:rsidR="00EC4F13" w:rsidRPr="00C57855" w:rsidRDefault="00EC4F13" w:rsidP="00EC4F13">
      <w:pPr>
        <w:pStyle w:val="Normalparatextwithnumbers"/>
        <w:rPr>
          <w:rStyle w:val="References"/>
          <w:b w:val="0"/>
          <w:i w:val="0"/>
        </w:rPr>
      </w:pPr>
      <w:r>
        <w:t xml:space="preserve">ASIC </w:t>
      </w:r>
      <w:r w:rsidR="004550D4">
        <w:t>can revoke a declaration</w:t>
      </w:r>
      <w:r w:rsidR="00575B3D">
        <w:t xml:space="preserve"> if ASIC considers, having regard to the test, the financial market or CS facility </w:t>
      </w:r>
      <w:r w:rsidR="00A63915">
        <w:t>does not have a connection to Australia, or if there is a connection, that the connection is n</w:t>
      </w:r>
      <w:r w:rsidR="00CA16C7">
        <w:t xml:space="preserve">ot material. </w:t>
      </w:r>
      <w:r>
        <w:rPr>
          <w:rStyle w:val="References"/>
          <w:b w:val="0"/>
          <w:i w:val="0"/>
        </w:rPr>
        <w:br/>
      </w:r>
      <w:r>
        <w:rPr>
          <w:rStyle w:val="References"/>
        </w:rPr>
        <w:t xml:space="preserve">[Schedule </w:t>
      </w:r>
      <w:r w:rsidR="00A51C82">
        <w:rPr>
          <w:rStyle w:val="References"/>
        </w:rPr>
        <w:t>2</w:t>
      </w:r>
      <w:r>
        <w:rPr>
          <w:rStyle w:val="References"/>
        </w:rPr>
        <w:t xml:space="preserve">, items </w:t>
      </w:r>
      <w:r w:rsidR="00A51C82">
        <w:rPr>
          <w:rStyle w:val="References"/>
        </w:rPr>
        <w:t>13</w:t>
      </w:r>
      <w:r w:rsidR="00E70BA8">
        <w:rPr>
          <w:rStyle w:val="References"/>
        </w:rPr>
        <w:t>9</w:t>
      </w:r>
      <w:r w:rsidR="00A51C82">
        <w:rPr>
          <w:rStyle w:val="References"/>
        </w:rPr>
        <w:t xml:space="preserve"> and 1</w:t>
      </w:r>
      <w:r w:rsidR="00957383">
        <w:rPr>
          <w:rStyle w:val="References"/>
        </w:rPr>
        <w:t>40</w:t>
      </w:r>
      <w:r w:rsidR="00A51C82">
        <w:rPr>
          <w:rStyle w:val="References"/>
        </w:rPr>
        <w:t xml:space="preserve">, </w:t>
      </w:r>
      <w:r>
        <w:rPr>
          <w:rStyle w:val="References"/>
        </w:rPr>
        <w:t>sections 791F and 820F of the Act]</w:t>
      </w:r>
    </w:p>
    <w:p w14:paraId="24B80DFE" w14:textId="5A10E94C" w:rsidR="00421979" w:rsidRPr="0074211A" w:rsidRDefault="00421979" w:rsidP="00C57855">
      <w:pPr>
        <w:pStyle w:val="Heading6"/>
        <w:rPr>
          <w:rFonts w:hint="eastAsia"/>
        </w:rPr>
      </w:pPr>
      <w:r w:rsidRPr="0074211A">
        <w:t xml:space="preserve">Step 1: </w:t>
      </w:r>
      <w:r w:rsidR="00A9442F" w:rsidRPr="0074211A">
        <w:t>connection to Au</w:t>
      </w:r>
      <w:r w:rsidR="00C50FE9" w:rsidRPr="0074211A">
        <w:t>s</w:t>
      </w:r>
      <w:r w:rsidR="00A9442F" w:rsidRPr="0074211A">
        <w:t>tralia</w:t>
      </w:r>
    </w:p>
    <w:p w14:paraId="239DD6CF" w14:textId="2597CAA6" w:rsidR="00EF344F" w:rsidRPr="008C3D48" w:rsidRDefault="00983AAA" w:rsidP="00AD1047">
      <w:pPr>
        <w:pStyle w:val="Normalparatextwithnumbers"/>
      </w:pPr>
      <w:r w:rsidRPr="0074211A">
        <w:t xml:space="preserve"> </w:t>
      </w:r>
      <w:r w:rsidR="00EF344F">
        <w:t>T</w:t>
      </w:r>
      <w:r w:rsidR="00EF344F" w:rsidRPr="008C3D48">
        <w:t>he current licensing framework</w:t>
      </w:r>
      <w:r w:rsidR="00EF344F">
        <w:t xml:space="preserve"> requires </w:t>
      </w:r>
      <w:r w:rsidR="00EF344F" w:rsidRPr="008C3D48">
        <w:t xml:space="preserve">a financial market operator or </w:t>
      </w:r>
      <w:r w:rsidR="00EF344F">
        <w:t xml:space="preserve">CS </w:t>
      </w:r>
      <w:r w:rsidR="00EF344F" w:rsidRPr="008C3D48">
        <w:t xml:space="preserve">facility operator </w:t>
      </w:r>
      <w:r w:rsidR="00EF344F">
        <w:t xml:space="preserve">to </w:t>
      </w:r>
      <w:r w:rsidR="00EF344F" w:rsidRPr="008C3D48">
        <w:t>be licensed or exemp</w:t>
      </w:r>
      <w:r w:rsidR="006F31FB">
        <w:t>t</w:t>
      </w:r>
      <w:r w:rsidR="00EF344F">
        <w:t xml:space="preserve"> </w:t>
      </w:r>
      <w:r w:rsidR="00EF344F" w:rsidRPr="008C3D48">
        <w:t xml:space="preserve">if the market or facility operates in </w:t>
      </w:r>
      <w:r w:rsidR="00EF344F">
        <w:t>Australia.</w:t>
      </w:r>
      <w:r w:rsidR="00EF344F" w:rsidRPr="008C3D48">
        <w:t xml:space="preserve"> </w:t>
      </w:r>
    </w:p>
    <w:p w14:paraId="6C8888B3" w14:textId="1880F6D1" w:rsidR="00EF344F" w:rsidRDefault="00915AD2" w:rsidP="00AD1047">
      <w:pPr>
        <w:pStyle w:val="Normalparatextwithnumbers"/>
        <w:rPr>
          <w:rStyle w:val="References"/>
          <w:b w:val="0"/>
          <w:bCs w:val="0"/>
          <w:i w:val="0"/>
          <w:iCs w:val="0"/>
        </w:rPr>
      </w:pPr>
      <w:r>
        <w:rPr>
          <w:rStyle w:val="References"/>
          <w:b w:val="0"/>
          <w:bCs w:val="0"/>
          <w:i w:val="0"/>
          <w:iCs w:val="0"/>
        </w:rPr>
        <w:t>While prospective financial market and CS facility licensees do not need to apply for a declaration</w:t>
      </w:r>
      <w:r w:rsidR="00B11A85">
        <w:rPr>
          <w:rStyle w:val="References"/>
          <w:b w:val="0"/>
          <w:bCs w:val="0"/>
          <w:i w:val="0"/>
          <w:iCs w:val="0"/>
        </w:rPr>
        <w:t xml:space="preserve"> to apply for a licence</w:t>
      </w:r>
      <w:r w:rsidR="00D40416">
        <w:rPr>
          <w:rStyle w:val="References"/>
          <w:b w:val="0"/>
          <w:bCs w:val="0"/>
          <w:i w:val="0"/>
          <w:iCs w:val="0"/>
        </w:rPr>
        <w:t xml:space="preserve">, </w:t>
      </w:r>
      <w:r w:rsidR="00D75873">
        <w:rPr>
          <w:rStyle w:val="References"/>
          <w:b w:val="0"/>
          <w:bCs w:val="0"/>
          <w:i w:val="0"/>
          <w:iCs w:val="0"/>
        </w:rPr>
        <w:t xml:space="preserve">operators can </w:t>
      </w:r>
      <w:r w:rsidR="00B11A85">
        <w:rPr>
          <w:rStyle w:val="References"/>
          <w:b w:val="0"/>
          <w:bCs w:val="0"/>
          <w:i w:val="0"/>
          <w:iCs w:val="0"/>
        </w:rPr>
        <w:t>determine</w:t>
      </w:r>
      <w:r w:rsidR="00EF344F">
        <w:rPr>
          <w:rStyle w:val="References"/>
          <w:b w:val="0"/>
          <w:bCs w:val="0"/>
          <w:i w:val="0"/>
          <w:iCs w:val="0"/>
        </w:rPr>
        <w:t xml:space="preserve"> whether </w:t>
      </w:r>
      <w:r w:rsidR="00EF344F" w:rsidRPr="00D75873">
        <w:rPr>
          <w:rStyle w:val="References"/>
          <w:b w:val="0"/>
          <w:bCs w:val="0"/>
          <w:i w:val="0"/>
          <w:iCs w:val="0"/>
        </w:rPr>
        <w:lastRenderedPageBreak/>
        <w:t>the</w:t>
      </w:r>
      <w:r w:rsidR="00D75873" w:rsidRPr="00D75873">
        <w:rPr>
          <w:rStyle w:val="References"/>
          <w:b w:val="0"/>
          <w:bCs w:val="0"/>
          <w:i w:val="0"/>
          <w:iCs w:val="0"/>
        </w:rPr>
        <w:t>y have</w:t>
      </w:r>
      <w:r w:rsidR="00EF344F">
        <w:rPr>
          <w:rStyle w:val="References"/>
          <w:b w:val="0"/>
          <w:bCs w:val="0"/>
          <w:i w:val="0"/>
          <w:iCs w:val="0"/>
        </w:rPr>
        <w:t xml:space="preserve"> a connection </w:t>
      </w:r>
      <w:r w:rsidR="00D75873">
        <w:rPr>
          <w:rStyle w:val="References"/>
          <w:b w:val="0"/>
          <w:bCs w:val="0"/>
          <w:i w:val="0"/>
          <w:iCs w:val="0"/>
        </w:rPr>
        <w:t>to</w:t>
      </w:r>
      <w:r w:rsidR="00EF344F">
        <w:rPr>
          <w:rStyle w:val="References"/>
          <w:b w:val="0"/>
          <w:bCs w:val="0"/>
          <w:i w:val="0"/>
          <w:iCs w:val="0"/>
        </w:rPr>
        <w:t xml:space="preserve"> Australia </w:t>
      </w:r>
      <w:r w:rsidR="00EF344F" w:rsidRPr="00D75873">
        <w:rPr>
          <w:rStyle w:val="References"/>
          <w:b w:val="0"/>
          <w:bCs w:val="0"/>
          <w:i w:val="0"/>
          <w:iCs w:val="0"/>
        </w:rPr>
        <w:t>us</w:t>
      </w:r>
      <w:r w:rsidR="00D75873">
        <w:rPr>
          <w:rStyle w:val="References"/>
          <w:b w:val="0"/>
          <w:bCs w:val="0"/>
          <w:i w:val="0"/>
          <w:iCs w:val="0"/>
        </w:rPr>
        <w:t>ing</w:t>
      </w:r>
      <w:r w:rsidR="00EF344F">
        <w:rPr>
          <w:rStyle w:val="References"/>
          <w:b w:val="0"/>
          <w:bCs w:val="0"/>
          <w:i w:val="0"/>
          <w:iCs w:val="0"/>
        </w:rPr>
        <w:t xml:space="preserve"> the same </w:t>
      </w:r>
      <w:r w:rsidR="00AA22A9">
        <w:rPr>
          <w:rStyle w:val="References"/>
          <w:b w:val="0"/>
          <w:bCs w:val="0"/>
          <w:i w:val="0"/>
          <w:iCs w:val="0"/>
        </w:rPr>
        <w:t xml:space="preserve">respective </w:t>
      </w:r>
      <w:r w:rsidR="003B6B8C">
        <w:rPr>
          <w:rStyle w:val="References"/>
          <w:b w:val="0"/>
          <w:bCs w:val="0"/>
          <w:i w:val="0"/>
          <w:iCs w:val="0"/>
        </w:rPr>
        <w:t>test</w:t>
      </w:r>
      <w:r w:rsidR="00EF344F">
        <w:rPr>
          <w:rStyle w:val="References"/>
          <w:b w:val="0"/>
          <w:bCs w:val="0"/>
          <w:i w:val="0"/>
          <w:iCs w:val="0"/>
        </w:rPr>
        <w:t xml:space="preserve">. </w:t>
      </w:r>
      <w:r w:rsidR="00EF344F">
        <w:t>In making a declaration, ASIC must consider whether the connection</w:t>
      </w:r>
      <w:r w:rsidR="00D75873">
        <w:t xml:space="preserve"> a </w:t>
      </w:r>
      <w:r w:rsidR="00EF344F">
        <w:t xml:space="preserve">market or </w:t>
      </w:r>
      <w:r w:rsidR="000E1CC7">
        <w:t>CS</w:t>
      </w:r>
      <w:r w:rsidR="00EF344F">
        <w:t xml:space="preserve"> facility has with Australia is a material connection</w:t>
      </w:r>
      <w:r w:rsidR="0023399E">
        <w:t xml:space="preserve">, which is </w:t>
      </w:r>
      <w:r w:rsidR="00062BA1" w:rsidRPr="0023399E">
        <w:rPr>
          <w:rStyle w:val="References"/>
          <w:b w:val="0"/>
          <w:bCs w:val="0"/>
          <w:i w:val="0"/>
          <w:iCs w:val="0"/>
        </w:rPr>
        <w:t>based on the entity</w:t>
      </w:r>
      <w:r w:rsidR="00EF344F" w:rsidRPr="0023399E">
        <w:rPr>
          <w:rStyle w:val="References"/>
          <w:b w:val="0"/>
          <w:bCs w:val="0"/>
          <w:i w:val="0"/>
          <w:iCs w:val="0"/>
        </w:rPr>
        <w:t>:</w:t>
      </w:r>
    </w:p>
    <w:p w14:paraId="4CF132D6" w14:textId="26897011" w:rsidR="00EF344F" w:rsidRDefault="00516F34" w:rsidP="00287229">
      <w:pPr>
        <w:pStyle w:val="Dotpoint1"/>
        <w:ind w:left="1418" w:hanging="709"/>
        <w:rPr>
          <w:rStyle w:val="References"/>
          <w:b w:val="0"/>
          <w:bCs w:val="0"/>
          <w:i w:val="0"/>
          <w:iCs w:val="0"/>
        </w:rPr>
      </w:pPr>
      <w:r>
        <w:rPr>
          <w:rStyle w:val="References"/>
          <w:b w:val="0"/>
          <w:bCs w:val="0"/>
          <w:i w:val="0"/>
          <w:iCs w:val="0"/>
        </w:rPr>
        <w:t xml:space="preserve">having </w:t>
      </w:r>
      <w:r w:rsidR="00EF344F">
        <w:rPr>
          <w:rStyle w:val="References"/>
          <w:b w:val="0"/>
          <w:bCs w:val="0"/>
          <w:i w:val="0"/>
          <w:iCs w:val="0"/>
        </w:rPr>
        <w:t>operati</w:t>
      </w:r>
      <w:r>
        <w:rPr>
          <w:rStyle w:val="References"/>
          <w:b w:val="0"/>
          <w:bCs w:val="0"/>
          <w:i w:val="0"/>
          <w:iCs w:val="0"/>
        </w:rPr>
        <w:t>o</w:t>
      </w:r>
      <w:r w:rsidR="00EF344F">
        <w:rPr>
          <w:rStyle w:val="References"/>
          <w:b w:val="0"/>
          <w:bCs w:val="0"/>
          <w:i w:val="0"/>
          <w:iCs w:val="0"/>
        </w:rPr>
        <w:t>n</w:t>
      </w:r>
      <w:r>
        <w:rPr>
          <w:rStyle w:val="References"/>
          <w:b w:val="0"/>
          <w:bCs w:val="0"/>
          <w:i w:val="0"/>
          <w:iCs w:val="0"/>
        </w:rPr>
        <w:t>s</w:t>
      </w:r>
      <w:r w:rsidR="00EF344F">
        <w:rPr>
          <w:rStyle w:val="References"/>
          <w:b w:val="0"/>
          <w:bCs w:val="0"/>
          <w:i w:val="0"/>
          <w:iCs w:val="0"/>
        </w:rPr>
        <w:t xml:space="preserve"> in </w:t>
      </w:r>
      <w:proofErr w:type="gramStart"/>
      <w:r w:rsidR="00EF344F">
        <w:rPr>
          <w:rStyle w:val="References"/>
          <w:b w:val="0"/>
          <w:bCs w:val="0"/>
          <w:i w:val="0"/>
          <w:iCs w:val="0"/>
        </w:rPr>
        <w:t>Australia;</w:t>
      </w:r>
      <w:proofErr w:type="gramEnd"/>
      <w:r w:rsidR="00EF344F">
        <w:rPr>
          <w:rStyle w:val="References"/>
          <w:b w:val="0"/>
          <w:bCs w:val="0"/>
          <w:i w:val="0"/>
          <w:iCs w:val="0"/>
        </w:rPr>
        <w:t xml:space="preserve"> </w:t>
      </w:r>
    </w:p>
    <w:p w14:paraId="5C3826AA" w14:textId="73CE5680" w:rsidR="00EF344F" w:rsidRDefault="00EF344F" w:rsidP="00287229">
      <w:pPr>
        <w:pStyle w:val="Dotpoint1"/>
        <w:ind w:left="1418" w:hanging="709"/>
        <w:rPr>
          <w:rStyle w:val="References"/>
          <w:b w:val="0"/>
          <w:bCs w:val="0"/>
          <w:i w:val="0"/>
          <w:iCs w:val="0"/>
        </w:rPr>
      </w:pPr>
      <w:r>
        <w:rPr>
          <w:rStyle w:val="References"/>
          <w:b w:val="0"/>
          <w:bCs w:val="0"/>
          <w:i w:val="0"/>
          <w:iCs w:val="0"/>
        </w:rPr>
        <w:t xml:space="preserve">providing </w:t>
      </w:r>
      <w:r w:rsidR="007539A5">
        <w:rPr>
          <w:rStyle w:val="References"/>
          <w:b w:val="0"/>
          <w:bCs w:val="0"/>
          <w:i w:val="0"/>
          <w:iCs w:val="0"/>
        </w:rPr>
        <w:t xml:space="preserve">a market or </w:t>
      </w:r>
      <w:r w:rsidR="00516F34">
        <w:rPr>
          <w:rStyle w:val="References"/>
          <w:b w:val="0"/>
          <w:bCs w:val="0"/>
          <w:i w:val="0"/>
          <w:iCs w:val="0"/>
        </w:rPr>
        <w:t xml:space="preserve">services in respect of Australian </w:t>
      </w:r>
      <w:r>
        <w:rPr>
          <w:rStyle w:val="References"/>
          <w:b w:val="0"/>
          <w:bCs w:val="0"/>
          <w:i w:val="0"/>
          <w:iCs w:val="0"/>
        </w:rPr>
        <w:t xml:space="preserve">financial </w:t>
      </w:r>
      <w:proofErr w:type="gramStart"/>
      <w:r>
        <w:rPr>
          <w:rStyle w:val="References"/>
          <w:b w:val="0"/>
          <w:bCs w:val="0"/>
          <w:i w:val="0"/>
          <w:iCs w:val="0"/>
        </w:rPr>
        <w:t>products;</w:t>
      </w:r>
      <w:proofErr w:type="gramEnd"/>
      <w:r>
        <w:rPr>
          <w:rStyle w:val="References"/>
          <w:b w:val="0"/>
          <w:bCs w:val="0"/>
          <w:i w:val="0"/>
          <w:iCs w:val="0"/>
        </w:rPr>
        <w:t xml:space="preserve"> </w:t>
      </w:r>
    </w:p>
    <w:p w14:paraId="71302950" w14:textId="27EFD55D" w:rsidR="00EF344F" w:rsidRDefault="00EF344F" w:rsidP="00287229">
      <w:pPr>
        <w:pStyle w:val="Dotpoint1"/>
        <w:ind w:left="1418" w:hanging="709"/>
        <w:rPr>
          <w:rStyle w:val="References"/>
          <w:b w:val="0"/>
          <w:bCs w:val="0"/>
          <w:i w:val="0"/>
          <w:iCs w:val="0"/>
        </w:rPr>
      </w:pPr>
      <w:r>
        <w:rPr>
          <w:rStyle w:val="References"/>
          <w:b w:val="0"/>
          <w:bCs w:val="0"/>
          <w:i w:val="0"/>
          <w:iCs w:val="0"/>
        </w:rPr>
        <w:t xml:space="preserve">having at least one current or expected </w:t>
      </w:r>
      <w:r w:rsidR="00516F34">
        <w:rPr>
          <w:rStyle w:val="References"/>
          <w:b w:val="0"/>
          <w:bCs w:val="0"/>
          <w:i w:val="0"/>
          <w:iCs w:val="0"/>
        </w:rPr>
        <w:t xml:space="preserve">Australian </w:t>
      </w:r>
      <w:r>
        <w:rPr>
          <w:rStyle w:val="References"/>
          <w:b w:val="0"/>
          <w:bCs w:val="0"/>
          <w:i w:val="0"/>
          <w:iCs w:val="0"/>
        </w:rPr>
        <w:t xml:space="preserve">market </w:t>
      </w:r>
      <w:r w:rsidR="00A749E3">
        <w:rPr>
          <w:rStyle w:val="References"/>
          <w:b w:val="0"/>
          <w:bCs w:val="0"/>
          <w:i w:val="0"/>
          <w:iCs w:val="0"/>
        </w:rPr>
        <w:t xml:space="preserve">or </w:t>
      </w:r>
      <w:r w:rsidR="005D36C0">
        <w:rPr>
          <w:rStyle w:val="References"/>
          <w:b w:val="0"/>
          <w:bCs w:val="0"/>
          <w:i w:val="0"/>
          <w:iCs w:val="0"/>
        </w:rPr>
        <w:t xml:space="preserve">CS </w:t>
      </w:r>
      <w:r w:rsidR="00A749E3">
        <w:rPr>
          <w:rStyle w:val="References"/>
          <w:b w:val="0"/>
          <w:bCs w:val="0"/>
          <w:i w:val="0"/>
          <w:iCs w:val="0"/>
        </w:rPr>
        <w:t xml:space="preserve">facility </w:t>
      </w:r>
      <w:proofErr w:type="gramStart"/>
      <w:r>
        <w:rPr>
          <w:rStyle w:val="References"/>
          <w:b w:val="0"/>
          <w:bCs w:val="0"/>
          <w:i w:val="0"/>
          <w:iCs w:val="0"/>
        </w:rPr>
        <w:t>participant;</w:t>
      </w:r>
      <w:proofErr w:type="gramEnd"/>
      <w:r>
        <w:rPr>
          <w:rStyle w:val="References"/>
          <w:b w:val="0"/>
          <w:bCs w:val="0"/>
          <w:i w:val="0"/>
          <w:iCs w:val="0"/>
        </w:rPr>
        <w:t xml:space="preserve"> </w:t>
      </w:r>
      <w:r w:rsidR="00906251">
        <w:rPr>
          <w:rStyle w:val="References"/>
          <w:b w:val="0"/>
          <w:bCs w:val="0"/>
          <w:i w:val="0"/>
          <w:iCs w:val="0"/>
        </w:rPr>
        <w:t>or</w:t>
      </w:r>
    </w:p>
    <w:p w14:paraId="5DB33A51" w14:textId="3DAA16C9" w:rsidR="00E52CE1" w:rsidRDefault="00EF344F" w:rsidP="00287229">
      <w:pPr>
        <w:pStyle w:val="Dotpoint1"/>
        <w:ind w:left="1418" w:hanging="709"/>
      </w:pPr>
      <w:r w:rsidRPr="0072316F">
        <w:t xml:space="preserve">additional kinds of connections that one or more specified kinds of financial markets </w:t>
      </w:r>
      <w:r>
        <w:t xml:space="preserve">or CS facilities </w:t>
      </w:r>
      <w:r w:rsidRPr="0072316F">
        <w:t>may have with Australia</w:t>
      </w:r>
      <w:r w:rsidR="002D5AFD">
        <w:t>, as determined by ASIC</w:t>
      </w:r>
      <w:r>
        <w:t>.</w:t>
      </w:r>
      <w:r w:rsidR="00287229">
        <w:br/>
      </w:r>
      <w:r w:rsidRPr="0072316F">
        <w:rPr>
          <w:rStyle w:val="References"/>
        </w:rPr>
        <w:t xml:space="preserve">[Schedule </w:t>
      </w:r>
      <w:r w:rsidR="0006190E">
        <w:rPr>
          <w:rStyle w:val="References"/>
        </w:rPr>
        <w:t>2</w:t>
      </w:r>
      <w:r w:rsidRPr="0072316F">
        <w:rPr>
          <w:rStyle w:val="References"/>
        </w:rPr>
        <w:t>, item</w:t>
      </w:r>
      <w:r w:rsidR="00B10E9E">
        <w:rPr>
          <w:rStyle w:val="References"/>
        </w:rPr>
        <w:t>s</w:t>
      </w:r>
      <w:r w:rsidRPr="0072316F">
        <w:rPr>
          <w:rStyle w:val="References"/>
        </w:rPr>
        <w:t xml:space="preserve"> </w:t>
      </w:r>
      <w:r w:rsidR="00B10E9E">
        <w:rPr>
          <w:rStyle w:val="References"/>
        </w:rPr>
        <w:t>1</w:t>
      </w:r>
      <w:r w:rsidR="0006190E">
        <w:rPr>
          <w:rStyle w:val="References"/>
        </w:rPr>
        <w:t>3</w:t>
      </w:r>
      <w:r w:rsidR="00052D5F">
        <w:rPr>
          <w:rStyle w:val="References"/>
        </w:rPr>
        <w:t>9</w:t>
      </w:r>
      <w:r w:rsidR="00B10E9E">
        <w:rPr>
          <w:rStyle w:val="References"/>
        </w:rPr>
        <w:t xml:space="preserve"> and 1</w:t>
      </w:r>
      <w:r w:rsidR="00052D5F">
        <w:rPr>
          <w:rStyle w:val="References"/>
        </w:rPr>
        <w:t>40</w:t>
      </w:r>
      <w:r w:rsidR="00B10E9E">
        <w:rPr>
          <w:rStyle w:val="References"/>
        </w:rPr>
        <w:t>,</w:t>
      </w:r>
      <w:r w:rsidR="00B10E9E" w:rsidRPr="0072316F">
        <w:rPr>
          <w:rStyle w:val="References"/>
        </w:rPr>
        <w:t xml:space="preserve"> </w:t>
      </w:r>
      <w:r w:rsidRPr="0072316F">
        <w:rPr>
          <w:rStyle w:val="References"/>
        </w:rPr>
        <w:t>subsections</w:t>
      </w:r>
      <w:r w:rsidR="006429EE">
        <w:rPr>
          <w:rStyle w:val="References"/>
        </w:rPr>
        <w:t xml:space="preserve"> </w:t>
      </w:r>
      <w:r w:rsidRPr="0072316F">
        <w:rPr>
          <w:rStyle w:val="References"/>
        </w:rPr>
        <w:t>791</w:t>
      </w:r>
      <w:proofErr w:type="gramStart"/>
      <w:r w:rsidRPr="0072316F">
        <w:rPr>
          <w:rStyle w:val="References"/>
        </w:rPr>
        <w:t>E(</w:t>
      </w:r>
      <w:proofErr w:type="gramEnd"/>
      <w:r w:rsidR="0023399E">
        <w:rPr>
          <w:rStyle w:val="References"/>
        </w:rPr>
        <w:t>1)</w:t>
      </w:r>
      <w:r w:rsidR="006429EE">
        <w:rPr>
          <w:rStyle w:val="References"/>
        </w:rPr>
        <w:t xml:space="preserve"> and </w:t>
      </w:r>
      <w:r w:rsidRPr="0072316F">
        <w:rPr>
          <w:rStyle w:val="References"/>
        </w:rPr>
        <w:t>(</w:t>
      </w:r>
      <w:r>
        <w:rPr>
          <w:rStyle w:val="References"/>
        </w:rPr>
        <w:t>2</w:t>
      </w:r>
      <w:r w:rsidRPr="0072316F">
        <w:rPr>
          <w:rStyle w:val="References"/>
        </w:rPr>
        <w:t>) and 820E(</w:t>
      </w:r>
      <w:r w:rsidR="0023399E">
        <w:rPr>
          <w:rStyle w:val="References"/>
        </w:rPr>
        <w:t>1)</w:t>
      </w:r>
      <w:r w:rsidR="00DD2925">
        <w:rPr>
          <w:rStyle w:val="References"/>
        </w:rPr>
        <w:t xml:space="preserve"> and </w:t>
      </w:r>
      <w:r w:rsidRPr="0072316F">
        <w:rPr>
          <w:rStyle w:val="References"/>
        </w:rPr>
        <w:t>(</w:t>
      </w:r>
      <w:r>
        <w:rPr>
          <w:rStyle w:val="References"/>
        </w:rPr>
        <w:t>2</w:t>
      </w:r>
      <w:r w:rsidRPr="0072316F">
        <w:rPr>
          <w:rStyle w:val="References"/>
        </w:rPr>
        <w:t>)</w:t>
      </w:r>
      <w:r>
        <w:rPr>
          <w:rStyle w:val="References"/>
        </w:rPr>
        <w:t xml:space="preserve"> and paragraphs 791E(4)(a) and 820E(4)(a)</w:t>
      </w:r>
      <w:r w:rsidRPr="0072316F">
        <w:rPr>
          <w:rStyle w:val="References"/>
        </w:rPr>
        <w:t xml:space="preserve"> of the Act]</w:t>
      </w:r>
      <w:r>
        <w:t xml:space="preserve"> </w:t>
      </w:r>
    </w:p>
    <w:p w14:paraId="1A78A21E" w14:textId="4138F0CA" w:rsidR="00E52CE1" w:rsidRPr="00E52CE1" w:rsidRDefault="001F58CA" w:rsidP="00125C2C">
      <w:pPr>
        <w:pStyle w:val="Normalparatextwithnumbers"/>
        <w:rPr>
          <w:rStyle w:val="References"/>
          <w:b w:val="0"/>
          <w:i w:val="0"/>
        </w:rPr>
      </w:pPr>
      <w:r>
        <w:rPr>
          <w:rStyle w:val="References"/>
          <w:b w:val="0"/>
          <w:i w:val="0"/>
        </w:rPr>
        <w:t xml:space="preserve">Where ASIC proposes to make a determination with respect to additional kinds </w:t>
      </w:r>
      <w:r w:rsidR="004D548E">
        <w:rPr>
          <w:rStyle w:val="References"/>
          <w:b w:val="0"/>
          <w:i w:val="0"/>
        </w:rPr>
        <w:t>of</w:t>
      </w:r>
      <w:r>
        <w:rPr>
          <w:rStyle w:val="References"/>
          <w:b w:val="0"/>
          <w:i w:val="0"/>
        </w:rPr>
        <w:t xml:space="preserve"> connections CS facilities may have with Australia, ASIC must </w:t>
      </w:r>
      <w:r w:rsidR="001922F0">
        <w:rPr>
          <w:rStyle w:val="References"/>
          <w:b w:val="0"/>
          <w:i w:val="0"/>
        </w:rPr>
        <w:t>have regard to any relevant advice received from the RBA.</w:t>
      </w:r>
      <w:r w:rsidR="001922F0">
        <w:rPr>
          <w:rStyle w:val="References"/>
          <w:b w:val="0"/>
          <w:i w:val="0"/>
        </w:rPr>
        <w:br/>
      </w:r>
      <w:r w:rsidR="001922F0" w:rsidRPr="00287229">
        <w:rPr>
          <w:rStyle w:val="References"/>
        </w:rPr>
        <w:t xml:space="preserve">[Schedule </w:t>
      </w:r>
      <w:r w:rsidR="001922F0">
        <w:rPr>
          <w:rStyle w:val="References"/>
        </w:rPr>
        <w:t>2</w:t>
      </w:r>
      <w:r w:rsidR="001922F0" w:rsidRPr="00287229">
        <w:rPr>
          <w:rStyle w:val="References"/>
        </w:rPr>
        <w:t>, item</w:t>
      </w:r>
      <w:r w:rsidR="001922F0">
        <w:rPr>
          <w:rStyle w:val="References"/>
        </w:rPr>
        <w:t xml:space="preserve"> 1</w:t>
      </w:r>
      <w:r w:rsidR="00A14C88">
        <w:rPr>
          <w:rStyle w:val="References"/>
        </w:rPr>
        <w:t>40</w:t>
      </w:r>
      <w:r w:rsidR="001922F0" w:rsidRPr="00287229">
        <w:rPr>
          <w:rStyle w:val="References"/>
        </w:rPr>
        <w:t xml:space="preserve">, </w:t>
      </w:r>
      <w:r w:rsidR="001922F0">
        <w:rPr>
          <w:rStyle w:val="References"/>
        </w:rPr>
        <w:t>subsection 820</w:t>
      </w:r>
      <w:proofErr w:type="gramStart"/>
      <w:r w:rsidR="001922F0">
        <w:rPr>
          <w:rStyle w:val="References"/>
        </w:rPr>
        <w:t>E(</w:t>
      </w:r>
      <w:proofErr w:type="gramEnd"/>
      <w:r w:rsidR="001922F0">
        <w:rPr>
          <w:rStyle w:val="References"/>
        </w:rPr>
        <w:t>5) of the Act</w:t>
      </w:r>
      <w:r w:rsidR="001922F0" w:rsidRPr="00287229">
        <w:rPr>
          <w:rStyle w:val="References"/>
        </w:rPr>
        <w:t xml:space="preserve">] </w:t>
      </w:r>
    </w:p>
    <w:p w14:paraId="037DB738" w14:textId="439E783A" w:rsidR="00EF344F" w:rsidRPr="00B72F2C" w:rsidRDefault="00516F34" w:rsidP="00125C2C">
      <w:pPr>
        <w:pStyle w:val="Normalparatextwithnumbers"/>
        <w:rPr>
          <w:rStyle w:val="References"/>
          <w:b w:val="0"/>
          <w:i w:val="0"/>
        </w:rPr>
      </w:pPr>
      <w:r>
        <w:rPr>
          <w:rStyle w:val="References"/>
          <w:b w:val="0"/>
          <w:bCs w:val="0"/>
          <w:i w:val="0"/>
        </w:rPr>
        <w:t xml:space="preserve">In addition to these common factors, there are certain kinds of connections that are specific to the type of </w:t>
      </w:r>
      <w:r w:rsidR="0063512B">
        <w:rPr>
          <w:rStyle w:val="References"/>
          <w:b w:val="0"/>
          <w:bCs w:val="0"/>
          <w:i w:val="0"/>
        </w:rPr>
        <w:t>entity</w:t>
      </w:r>
      <w:r>
        <w:rPr>
          <w:rStyle w:val="References"/>
          <w:b w:val="0"/>
          <w:bCs w:val="0"/>
          <w:i w:val="0"/>
        </w:rPr>
        <w:t xml:space="preserve">. For overseas financial markets, this additional criterion is based on targeting Australian investors. For overseas CS facilities, this is based on whether there is a relevant connection with the Australian market infrastructure, which will arise if the overseas CS facility provides clearing </w:t>
      </w:r>
      <w:r w:rsidR="002978A9">
        <w:rPr>
          <w:rStyle w:val="References"/>
          <w:b w:val="0"/>
          <w:bCs w:val="0"/>
          <w:i w:val="0"/>
        </w:rPr>
        <w:t>or</w:t>
      </w:r>
      <w:r>
        <w:rPr>
          <w:rStyle w:val="References"/>
          <w:b w:val="0"/>
          <w:bCs w:val="0"/>
          <w:i w:val="0"/>
        </w:rPr>
        <w:t xml:space="preserve"> settlement arrangements for a domestic financial market, has established a</w:t>
      </w:r>
      <w:r w:rsidR="0063512B">
        <w:rPr>
          <w:rStyle w:val="References"/>
          <w:b w:val="0"/>
          <w:bCs w:val="0"/>
          <w:i w:val="0"/>
        </w:rPr>
        <w:t xml:space="preserve"> </w:t>
      </w:r>
      <w:r>
        <w:rPr>
          <w:rStyle w:val="References"/>
          <w:b w:val="0"/>
          <w:bCs w:val="0"/>
          <w:i w:val="0"/>
        </w:rPr>
        <w:t xml:space="preserve">link to a domestic CS facility, or is linked to a payments system </w:t>
      </w:r>
      <w:r w:rsidR="005320CB">
        <w:rPr>
          <w:rStyle w:val="References"/>
          <w:b w:val="0"/>
          <w:bCs w:val="0"/>
          <w:i w:val="0"/>
        </w:rPr>
        <w:t>(that has a connection with Australia)</w:t>
      </w:r>
      <w:r>
        <w:rPr>
          <w:rStyle w:val="References"/>
          <w:b w:val="0"/>
          <w:bCs w:val="0"/>
          <w:i w:val="0"/>
        </w:rPr>
        <w:t>.</w:t>
      </w:r>
      <w:r w:rsidR="00EF344F">
        <w:rPr>
          <w:rStyle w:val="References"/>
          <w:b w:val="0"/>
          <w:bCs w:val="0"/>
          <w:i w:val="0"/>
        </w:rPr>
        <w:br/>
      </w:r>
      <w:r w:rsidR="00EF344F" w:rsidRPr="00600CC8">
        <w:rPr>
          <w:rStyle w:val="References"/>
        </w:rPr>
        <w:t xml:space="preserve">[Schedule </w:t>
      </w:r>
      <w:r w:rsidR="0063512B">
        <w:rPr>
          <w:rStyle w:val="References"/>
        </w:rPr>
        <w:t>2</w:t>
      </w:r>
      <w:r w:rsidR="00EF344F" w:rsidRPr="00600CC8">
        <w:rPr>
          <w:rStyle w:val="References"/>
        </w:rPr>
        <w:t>, item</w:t>
      </w:r>
      <w:r w:rsidR="0071370F">
        <w:rPr>
          <w:rStyle w:val="References"/>
        </w:rPr>
        <w:t>s</w:t>
      </w:r>
      <w:r w:rsidR="00EF344F" w:rsidRPr="00600CC8">
        <w:rPr>
          <w:rStyle w:val="References"/>
        </w:rPr>
        <w:t xml:space="preserve"> </w:t>
      </w:r>
      <w:r w:rsidR="0071370F">
        <w:rPr>
          <w:rStyle w:val="References"/>
        </w:rPr>
        <w:t>1</w:t>
      </w:r>
      <w:r w:rsidR="0063512B">
        <w:rPr>
          <w:rStyle w:val="References"/>
        </w:rPr>
        <w:t>3</w:t>
      </w:r>
      <w:r w:rsidR="00A14C88">
        <w:rPr>
          <w:rStyle w:val="References"/>
        </w:rPr>
        <w:t>9</w:t>
      </w:r>
      <w:r w:rsidR="0071370F">
        <w:rPr>
          <w:rStyle w:val="References"/>
        </w:rPr>
        <w:t xml:space="preserve"> and 1</w:t>
      </w:r>
      <w:r w:rsidR="00A14C88">
        <w:rPr>
          <w:rStyle w:val="References"/>
        </w:rPr>
        <w:t>40</w:t>
      </w:r>
      <w:r w:rsidR="00EF344F" w:rsidRPr="00600CC8">
        <w:rPr>
          <w:rStyle w:val="References"/>
        </w:rPr>
        <w:t xml:space="preserve">, </w:t>
      </w:r>
      <w:r w:rsidR="00EF344F">
        <w:rPr>
          <w:rStyle w:val="References"/>
        </w:rPr>
        <w:t xml:space="preserve">paragraphs </w:t>
      </w:r>
      <w:r w:rsidR="00EF344F" w:rsidRPr="00600CC8">
        <w:rPr>
          <w:rStyle w:val="References"/>
        </w:rPr>
        <w:t>791E(2)</w:t>
      </w:r>
      <w:r w:rsidR="00EF344F">
        <w:rPr>
          <w:rStyle w:val="References"/>
        </w:rPr>
        <w:t>(d)</w:t>
      </w:r>
      <w:r w:rsidR="00EF344F" w:rsidRPr="00600CC8">
        <w:rPr>
          <w:rStyle w:val="References"/>
        </w:rPr>
        <w:t xml:space="preserve"> and 820E(2)</w:t>
      </w:r>
      <w:r w:rsidR="00EF344F">
        <w:rPr>
          <w:rStyle w:val="References"/>
        </w:rPr>
        <w:t>(d)</w:t>
      </w:r>
      <w:r w:rsidR="003B0163">
        <w:rPr>
          <w:rStyle w:val="References"/>
        </w:rPr>
        <w:t xml:space="preserve"> of the Act</w:t>
      </w:r>
      <w:r w:rsidR="00EF344F">
        <w:rPr>
          <w:rStyle w:val="References"/>
        </w:rPr>
        <w:t>]</w:t>
      </w:r>
    </w:p>
    <w:p w14:paraId="4BBCE39D" w14:textId="5B1789CA" w:rsidR="00421979" w:rsidRPr="00C57855" w:rsidRDefault="00421979" w:rsidP="00C57855">
      <w:pPr>
        <w:pStyle w:val="Heading6"/>
        <w:rPr>
          <w:rStyle w:val="References"/>
          <w:rFonts w:eastAsiaTheme="minorHAnsi" w:cstheme="minorBidi"/>
          <w:b w:val="0"/>
          <w:bCs w:val="0"/>
          <w:i/>
        </w:rPr>
      </w:pPr>
      <w:r w:rsidRPr="00553E96">
        <w:rPr>
          <w:rStyle w:val="References"/>
          <w:rFonts w:ascii="Helvitica" w:eastAsiaTheme="minorHAnsi" w:hAnsi="Helvitica" w:cstheme="minorBidi"/>
          <w:b w:val="0"/>
          <w:i/>
        </w:rPr>
        <w:t>Step 2: materiality</w:t>
      </w:r>
      <w:r w:rsidR="00107FB8" w:rsidRPr="00553E96">
        <w:rPr>
          <w:rStyle w:val="References"/>
          <w:rFonts w:ascii="Helvitica" w:eastAsiaTheme="minorHAnsi" w:hAnsi="Helvitica" w:cstheme="minorBidi"/>
          <w:b w:val="0"/>
          <w:i/>
        </w:rPr>
        <w:t xml:space="preserve"> of the connection</w:t>
      </w:r>
      <w:r w:rsidRPr="00C57855">
        <w:rPr>
          <w:rStyle w:val="References"/>
          <w:rFonts w:ascii="Helvitica" w:hAnsi="Helvitica"/>
          <w:b w:val="0"/>
          <w:bCs w:val="0"/>
          <w:i/>
        </w:rPr>
        <w:t xml:space="preserve"> </w:t>
      </w:r>
    </w:p>
    <w:p w14:paraId="572F9058" w14:textId="2312DC26" w:rsidR="00EF344F" w:rsidRDefault="00EF344F" w:rsidP="00AD1047">
      <w:pPr>
        <w:pStyle w:val="Normalparatextwithnumbers"/>
      </w:pPr>
      <w:r>
        <w:t xml:space="preserve">The second part of the test requires ASIC to </w:t>
      </w:r>
      <w:r w:rsidR="00553E96">
        <w:t xml:space="preserve">consider whether </w:t>
      </w:r>
      <w:r>
        <w:t xml:space="preserve">the connection is material. </w:t>
      </w:r>
      <w:r w:rsidR="0057251C" w:rsidRPr="00565A42">
        <w:t xml:space="preserve">This is a subjective test that follows the objective test </w:t>
      </w:r>
      <w:r w:rsidR="00553E96">
        <w:t xml:space="preserve">of </w:t>
      </w:r>
      <w:r w:rsidR="0057251C">
        <w:t>determin</w:t>
      </w:r>
      <w:r w:rsidR="5A30DE1B">
        <w:t>ing</w:t>
      </w:r>
      <w:r w:rsidR="0057251C" w:rsidRPr="00565A42">
        <w:t xml:space="preserve"> </w:t>
      </w:r>
      <w:r w:rsidR="00553E96">
        <w:t xml:space="preserve">whether the overseas financial market or CS facility has </w:t>
      </w:r>
      <w:r w:rsidR="0057251C" w:rsidRPr="00565A42">
        <w:t xml:space="preserve">a connection with Australia. </w:t>
      </w:r>
      <w:r w:rsidR="00C21A4A">
        <w:t>Under the second limb of the test</w:t>
      </w:r>
      <w:r w:rsidR="0057251C" w:rsidRPr="00565A42">
        <w:t>, ASIC must determine the materiality of the connection</w:t>
      </w:r>
      <w:r w:rsidR="00C9725A" w:rsidRPr="00565A42">
        <w:t xml:space="preserve"> by reference to criteria</w:t>
      </w:r>
      <w:r w:rsidR="008B110B">
        <w:t xml:space="preserve">. The </w:t>
      </w:r>
      <w:proofErr w:type="gramStart"/>
      <w:r w:rsidR="008B110B">
        <w:t xml:space="preserve">criteria </w:t>
      </w:r>
      <w:r w:rsidR="00C9725A" w:rsidRPr="00565A42">
        <w:t xml:space="preserve"> </w:t>
      </w:r>
      <w:r w:rsidR="006D7CDE">
        <w:t>assist</w:t>
      </w:r>
      <w:proofErr w:type="gramEnd"/>
      <w:r w:rsidR="006D7CDE">
        <w:t xml:space="preserve"> ASIC in </w:t>
      </w:r>
      <w:r w:rsidR="00C9725A" w:rsidRPr="00565A42">
        <w:t xml:space="preserve"> </w:t>
      </w:r>
      <w:r w:rsidR="006D7CDE">
        <w:t>determining if</w:t>
      </w:r>
      <w:r w:rsidR="00516F34">
        <w:t xml:space="preserve"> the operations of the overseas financial market or CS facility have or may have implications for the safe and effective functioning of </w:t>
      </w:r>
      <w:r w:rsidR="000A67EE" w:rsidRPr="00565A42">
        <w:t xml:space="preserve">the Australian financial </w:t>
      </w:r>
      <w:r w:rsidR="00516F34">
        <w:t xml:space="preserve">system or the confident, fair and effective dealings in financial products by Australian </w:t>
      </w:r>
      <w:r w:rsidR="00233FDC">
        <w:t>i</w:t>
      </w:r>
      <w:r w:rsidR="00516F34">
        <w:t>nvestors</w:t>
      </w:r>
      <w:r w:rsidR="0057251C" w:rsidRPr="00565A42">
        <w:t xml:space="preserve">. </w:t>
      </w:r>
    </w:p>
    <w:p w14:paraId="56C15C81" w14:textId="45CB4B28" w:rsidR="00EF344F" w:rsidRDefault="00EF344F" w:rsidP="00AD1047">
      <w:pPr>
        <w:pStyle w:val="Normalparatextwithnumbers"/>
      </w:pPr>
      <w:r>
        <w:t xml:space="preserve">For financial markets, </w:t>
      </w:r>
      <w:r w:rsidR="00A165E5">
        <w:t xml:space="preserve">ASIC may declare that </w:t>
      </w:r>
      <w:r>
        <w:t>a</w:t>
      </w:r>
      <w:r w:rsidR="00A165E5">
        <w:t>n overseas financial marke</w:t>
      </w:r>
      <w:r w:rsidR="00553E96">
        <w:t>t’s</w:t>
      </w:r>
      <w:r>
        <w:t xml:space="preserve"> connection </w:t>
      </w:r>
      <w:r w:rsidR="00553E96">
        <w:t xml:space="preserve">with Australia is </w:t>
      </w:r>
      <w:r w:rsidR="00124A23">
        <w:t>material</w:t>
      </w:r>
      <w:r>
        <w:t xml:space="preserve"> </w:t>
      </w:r>
      <w:r w:rsidR="00295E60">
        <w:t>if</w:t>
      </w:r>
      <w:r>
        <w:t xml:space="preserve"> the </w:t>
      </w:r>
      <w:r w:rsidR="00553E96">
        <w:t xml:space="preserve">size and extent </w:t>
      </w:r>
      <w:r>
        <w:t xml:space="preserve">of the </w:t>
      </w:r>
      <w:r w:rsidR="00553E96">
        <w:t xml:space="preserve">current or </w:t>
      </w:r>
      <w:r w:rsidR="00553E96">
        <w:lastRenderedPageBreak/>
        <w:t xml:space="preserve">expected </w:t>
      </w:r>
      <w:r>
        <w:t>aggregate activity in the market of participants in the market, and users of the market, is material to:</w:t>
      </w:r>
    </w:p>
    <w:p w14:paraId="5306A737" w14:textId="77777777" w:rsidR="00EF344F" w:rsidRDefault="00EF344F" w:rsidP="00EF344F">
      <w:pPr>
        <w:pStyle w:val="Dotpoint1"/>
        <w:ind w:left="1418" w:hanging="709"/>
      </w:pPr>
      <w:r>
        <w:t>the risk management activities of those participants and users; or</w:t>
      </w:r>
    </w:p>
    <w:p w14:paraId="4149C777" w14:textId="77777777" w:rsidR="00EF344F" w:rsidRDefault="00EF344F" w:rsidP="00EF344F">
      <w:pPr>
        <w:pStyle w:val="Dotpoint1"/>
        <w:ind w:left="1418" w:hanging="709"/>
      </w:pPr>
      <w:r>
        <w:t>the efficient allocation of capital or liquidity to the Australian economy; or</w:t>
      </w:r>
    </w:p>
    <w:p w14:paraId="4675FBF1" w14:textId="77777777" w:rsidR="00EF344F" w:rsidRDefault="00EF344F" w:rsidP="00EF344F">
      <w:pPr>
        <w:pStyle w:val="Dotpoint1"/>
        <w:ind w:left="1418" w:hanging="709"/>
      </w:pPr>
      <w:r>
        <w:t>the provision of fair, orderly and transparent financial markets to those participants, and users, who have a connection with Australia; or</w:t>
      </w:r>
    </w:p>
    <w:p w14:paraId="374F32FB" w14:textId="78669158" w:rsidR="00EF344F" w:rsidRDefault="00EF344F" w:rsidP="00EF344F">
      <w:pPr>
        <w:pStyle w:val="Dotpoint1"/>
        <w:ind w:left="1418" w:hanging="709"/>
      </w:pPr>
      <w:r>
        <w:t xml:space="preserve">confident and informed decision making by consumers of financial products or financial services who have a connection with Australia. </w:t>
      </w:r>
      <w:r>
        <w:br/>
      </w:r>
      <w:r w:rsidRPr="00071E1F">
        <w:rPr>
          <w:rStyle w:val="References"/>
        </w:rPr>
        <w:t xml:space="preserve">[Schedule </w:t>
      </w:r>
      <w:r w:rsidR="00046621">
        <w:rPr>
          <w:rStyle w:val="References"/>
        </w:rPr>
        <w:t>2</w:t>
      </w:r>
      <w:r w:rsidRPr="00071E1F">
        <w:rPr>
          <w:rStyle w:val="References"/>
        </w:rPr>
        <w:t xml:space="preserve">, item </w:t>
      </w:r>
      <w:r w:rsidR="00713292">
        <w:rPr>
          <w:rStyle w:val="References"/>
        </w:rPr>
        <w:t>1</w:t>
      </w:r>
      <w:r w:rsidR="00046621">
        <w:rPr>
          <w:rStyle w:val="References"/>
        </w:rPr>
        <w:t>3</w:t>
      </w:r>
      <w:r w:rsidR="00CB5450">
        <w:rPr>
          <w:rStyle w:val="References"/>
        </w:rPr>
        <w:t>8</w:t>
      </w:r>
      <w:r w:rsidR="00713292" w:rsidRPr="00071E1F">
        <w:rPr>
          <w:rStyle w:val="References"/>
        </w:rPr>
        <w:t xml:space="preserve">, </w:t>
      </w:r>
      <w:r w:rsidRPr="00071E1F">
        <w:rPr>
          <w:rStyle w:val="References"/>
        </w:rPr>
        <w:t>subsection 791</w:t>
      </w:r>
      <w:proofErr w:type="gramStart"/>
      <w:r w:rsidRPr="00071E1F">
        <w:rPr>
          <w:rStyle w:val="References"/>
        </w:rPr>
        <w:t>E(</w:t>
      </w:r>
      <w:proofErr w:type="gramEnd"/>
      <w:r w:rsidRPr="00071E1F">
        <w:rPr>
          <w:rStyle w:val="References"/>
        </w:rPr>
        <w:t>3)</w:t>
      </w:r>
      <w:r w:rsidR="003B0163">
        <w:rPr>
          <w:rStyle w:val="References"/>
        </w:rPr>
        <w:t xml:space="preserve"> of the Act</w:t>
      </w:r>
      <w:r w:rsidRPr="00071E1F">
        <w:rPr>
          <w:rStyle w:val="References"/>
        </w:rPr>
        <w:t>]</w:t>
      </w:r>
    </w:p>
    <w:p w14:paraId="74638645" w14:textId="4734B3C4" w:rsidR="00EF344F" w:rsidRDefault="00EF344F" w:rsidP="00125C2C">
      <w:pPr>
        <w:pStyle w:val="Normalparatextwithnumbers"/>
      </w:pPr>
      <w:r>
        <w:t>For CS facilities</w:t>
      </w:r>
      <w:r w:rsidR="00A165E5">
        <w:t xml:space="preserve"> ASIC may make a declaration that an overseas CS facility’s connection is</w:t>
      </w:r>
      <w:r>
        <w:t xml:space="preserve"> material </w:t>
      </w:r>
      <w:r w:rsidR="00A165E5">
        <w:t>if</w:t>
      </w:r>
      <w:r>
        <w:t xml:space="preserve">: </w:t>
      </w:r>
    </w:p>
    <w:p w14:paraId="29230306" w14:textId="1B8DD5BB" w:rsidR="00EF344F" w:rsidRDefault="00A165E5" w:rsidP="00EF344F">
      <w:pPr>
        <w:pStyle w:val="Dotpoint1"/>
        <w:ind w:left="1418" w:hanging="709"/>
      </w:pPr>
      <w:r>
        <w:t>t</w:t>
      </w:r>
      <w:r w:rsidR="00EF344F">
        <w:t>he</w:t>
      </w:r>
      <w:r w:rsidR="00FB65B3">
        <w:t>re is a material</w:t>
      </w:r>
      <w:r w:rsidR="00EF344F">
        <w:t xml:space="preserve"> </w:t>
      </w:r>
      <w:r w:rsidR="008B0411">
        <w:t>number of</w:t>
      </w:r>
      <w:r w:rsidR="00EF344F">
        <w:t xml:space="preserve"> current or </w:t>
      </w:r>
      <w:r w:rsidR="00FB65B3">
        <w:t>expected Australian</w:t>
      </w:r>
      <w:r w:rsidR="00EF344F">
        <w:t xml:space="preserve"> participants or users of the </w:t>
      </w:r>
      <w:proofErr w:type="gramStart"/>
      <w:r w:rsidR="00EF344F">
        <w:t>facility;</w:t>
      </w:r>
      <w:proofErr w:type="gramEnd"/>
      <w:r w:rsidR="00EF344F">
        <w:t xml:space="preserve"> </w:t>
      </w:r>
    </w:p>
    <w:p w14:paraId="3F37BDB1" w14:textId="2B4D28DF" w:rsidR="00EF344F" w:rsidRDefault="00EF344F" w:rsidP="00EF344F">
      <w:pPr>
        <w:pStyle w:val="Dotpoint1"/>
        <w:ind w:left="1418" w:hanging="709"/>
      </w:pPr>
      <w:r w:rsidRPr="00B7242D">
        <w:t xml:space="preserve">the </w:t>
      </w:r>
      <w:r>
        <w:t xml:space="preserve">size and extent of </w:t>
      </w:r>
      <w:r w:rsidRPr="00B7242D">
        <w:t xml:space="preserve">current </w:t>
      </w:r>
      <w:r>
        <w:t>or</w:t>
      </w:r>
      <w:r w:rsidRPr="00B7242D">
        <w:t xml:space="preserve"> expected aggregate activity</w:t>
      </w:r>
      <w:r>
        <w:t xml:space="preserve"> </w:t>
      </w:r>
      <w:r w:rsidR="00FB65B3">
        <w:t xml:space="preserve">of Australian </w:t>
      </w:r>
      <w:r>
        <w:t xml:space="preserve">participants </w:t>
      </w:r>
      <w:r w:rsidR="00FB65B3">
        <w:t xml:space="preserve">or users </w:t>
      </w:r>
      <w:r>
        <w:t xml:space="preserve">of the facility is material to the risk management activities </w:t>
      </w:r>
      <w:r w:rsidR="00FB65B3">
        <w:t xml:space="preserve">of those participants or users </w:t>
      </w:r>
      <w:r>
        <w:t xml:space="preserve">or </w:t>
      </w:r>
      <w:r w:rsidR="00FB65B3">
        <w:t xml:space="preserve">to </w:t>
      </w:r>
      <w:r>
        <w:t>the efficient allocation of capital or liquidity to the Australian economy; or</w:t>
      </w:r>
    </w:p>
    <w:p w14:paraId="35902625" w14:textId="7B5B3770" w:rsidR="00B2121A" w:rsidRPr="00B2121A" w:rsidRDefault="00EF344F" w:rsidP="00B2121A">
      <w:pPr>
        <w:pStyle w:val="Dotpoint1"/>
        <w:ind w:left="1418" w:hanging="709"/>
        <w:rPr>
          <w:rStyle w:val="References"/>
          <w:b w:val="0"/>
          <w:bCs w:val="0"/>
          <w:i w:val="0"/>
          <w:iCs w:val="0"/>
        </w:rPr>
      </w:pPr>
      <w:r>
        <w:t>the</w:t>
      </w:r>
      <w:r w:rsidRPr="00071E1F">
        <w:t xml:space="preserve"> </w:t>
      </w:r>
      <w:r w:rsidR="008B5612">
        <w:t>overseas</w:t>
      </w:r>
      <w:r w:rsidRPr="00071E1F">
        <w:t xml:space="preserve"> CS facility</w:t>
      </w:r>
      <w:r w:rsidR="008B5612">
        <w:t>’s connection with the Australian financial market infrastructure</w:t>
      </w:r>
      <w:r>
        <w:t xml:space="preserve"> is material</w:t>
      </w:r>
      <w:r w:rsidRPr="00071E1F">
        <w:t>.</w:t>
      </w:r>
      <w:r>
        <w:br/>
      </w:r>
      <w:r w:rsidRPr="00071E1F">
        <w:rPr>
          <w:rStyle w:val="References"/>
        </w:rPr>
        <w:t xml:space="preserve">[Schedule </w:t>
      </w:r>
      <w:r w:rsidR="005327E9">
        <w:rPr>
          <w:rStyle w:val="References"/>
        </w:rPr>
        <w:t>2</w:t>
      </w:r>
      <w:r w:rsidRPr="00071E1F">
        <w:rPr>
          <w:rStyle w:val="References"/>
        </w:rPr>
        <w:t xml:space="preserve">, item </w:t>
      </w:r>
      <w:r w:rsidR="003E58DA">
        <w:rPr>
          <w:rStyle w:val="References"/>
        </w:rPr>
        <w:t>1</w:t>
      </w:r>
      <w:r w:rsidR="00CB5450">
        <w:rPr>
          <w:rStyle w:val="References"/>
        </w:rPr>
        <w:t>40</w:t>
      </w:r>
      <w:r w:rsidR="0072212A" w:rsidRPr="00071E1F">
        <w:rPr>
          <w:rStyle w:val="References"/>
        </w:rPr>
        <w:t xml:space="preserve">, </w:t>
      </w:r>
      <w:r w:rsidRPr="00071E1F">
        <w:rPr>
          <w:rStyle w:val="References"/>
        </w:rPr>
        <w:t xml:space="preserve">subsection </w:t>
      </w:r>
      <w:r>
        <w:rPr>
          <w:rStyle w:val="References"/>
        </w:rPr>
        <w:t>820</w:t>
      </w:r>
      <w:proofErr w:type="gramStart"/>
      <w:r w:rsidRPr="00071E1F">
        <w:rPr>
          <w:rStyle w:val="References"/>
        </w:rPr>
        <w:t>E(</w:t>
      </w:r>
      <w:proofErr w:type="gramEnd"/>
      <w:r w:rsidRPr="00071E1F">
        <w:rPr>
          <w:rStyle w:val="References"/>
        </w:rPr>
        <w:t>3)</w:t>
      </w:r>
      <w:r w:rsidR="00DE2B3A">
        <w:rPr>
          <w:rStyle w:val="References"/>
        </w:rPr>
        <w:t xml:space="preserve"> of the Act</w:t>
      </w:r>
      <w:r w:rsidRPr="00071E1F">
        <w:rPr>
          <w:rStyle w:val="References"/>
        </w:rPr>
        <w:t>]</w:t>
      </w:r>
    </w:p>
    <w:p w14:paraId="4211E169" w14:textId="2BEF47C0" w:rsidR="00BF0F9A" w:rsidRPr="006E14A6" w:rsidDel="008E3882" w:rsidRDefault="00EF344F" w:rsidP="006E14A6">
      <w:pPr>
        <w:pStyle w:val="Normalparatextwithnumbers"/>
        <w:rPr>
          <w:rStyle w:val="References"/>
          <w:b w:val="0"/>
          <w:i w:val="0"/>
        </w:rPr>
      </w:pPr>
      <w:r>
        <w:t>ASIC may</w:t>
      </w:r>
      <w:r w:rsidR="00FD0D83">
        <w:t>, by legislative instrument,</w:t>
      </w:r>
      <w:r>
        <w:t xml:space="preserve"> determine </w:t>
      </w:r>
      <w:r w:rsidRPr="00CC353F">
        <w:t>additional kinds of matters that show when connections with Australia are material</w:t>
      </w:r>
      <w:r>
        <w:t xml:space="preserve">. </w:t>
      </w:r>
      <w:r>
        <w:br/>
      </w:r>
      <w:r w:rsidRPr="00A97583">
        <w:rPr>
          <w:rStyle w:val="References"/>
        </w:rPr>
        <w:t xml:space="preserve">[Schedule </w:t>
      </w:r>
      <w:r w:rsidR="005327E9">
        <w:rPr>
          <w:rStyle w:val="References"/>
        </w:rPr>
        <w:t>2</w:t>
      </w:r>
      <w:r w:rsidRPr="00A97583">
        <w:rPr>
          <w:rStyle w:val="References"/>
        </w:rPr>
        <w:t>, item</w:t>
      </w:r>
      <w:r w:rsidR="00D3553A">
        <w:rPr>
          <w:rStyle w:val="References"/>
        </w:rPr>
        <w:t xml:space="preserve">s </w:t>
      </w:r>
      <w:r w:rsidR="00BF24B1">
        <w:rPr>
          <w:rStyle w:val="References"/>
        </w:rPr>
        <w:t>13</w:t>
      </w:r>
      <w:r w:rsidR="00175631">
        <w:rPr>
          <w:rStyle w:val="References"/>
        </w:rPr>
        <w:t>9</w:t>
      </w:r>
      <w:r w:rsidR="00BF24B1">
        <w:rPr>
          <w:rStyle w:val="References"/>
        </w:rPr>
        <w:t xml:space="preserve"> and 1</w:t>
      </w:r>
      <w:r w:rsidR="00175631">
        <w:rPr>
          <w:rStyle w:val="References"/>
        </w:rPr>
        <w:t>40</w:t>
      </w:r>
      <w:r w:rsidRPr="00A97583">
        <w:rPr>
          <w:rStyle w:val="References"/>
        </w:rPr>
        <w:t>, paragraph</w:t>
      </w:r>
      <w:r w:rsidR="00AB44E9">
        <w:rPr>
          <w:rStyle w:val="References"/>
        </w:rPr>
        <w:t>s</w:t>
      </w:r>
      <w:r w:rsidRPr="00A97583">
        <w:rPr>
          <w:rStyle w:val="References"/>
        </w:rPr>
        <w:t xml:space="preserve"> 791E(4)(</w:t>
      </w:r>
      <w:r w:rsidR="00421979">
        <w:rPr>
          <w:rStyle w:val="References"/>
        </w:rPr>
        <w:t>b</w:t>
      </w:r>
      <w:r w:rsidRPr="00A97583">
        <w:rPr>
          <w:rStyle w:val="References"/>
        </w:rPr>
        <w:t>)</w:t>
      </w:r>
      <w:r w:rsidR="0012050B">
        <w:rPr>
          <w:rStyle w:val="References"/>
        </w:rPr>
        <w:t xml:space="preserve"> to </w:t>
      </w:r>
      <w:r w:rsidR="00421979">
        <w:rPr>
          <w:rStyle w:val="References"/>
        </w:rPr>
        <w:t>(c</w:t>
      </w:r>
      <w:r w:rsidRPr="00A97583">
        <w:rPr>
          <w:rStyle w:val="References"/>
        </w:rPr>
        <w:t>) and 820E(4)(</w:t>
      </w:r>
      <w:r w:rsidR="00421979">
        <w:rPr>
          <w:rStyle w:val="References"/>
        </w:rPr>
        <w:t>b)</w:t>
      </w:r>
      <w:r w:rsidR="0012050B">
        <w:rPr>
          <w:rStyle w:val="References"/>
        </w:rPr>
        <w:t xml:space="preserve"> to </w:t>
      </w:r>
      <w:r w:rsidR="00421979">
        <w:rPr>
          <w:rStyle w:val="References"/>
        </w:rPr>
        <w:t>(c)</w:t>
      </w:r>
      <w:r w:rsidRPr="00A97583">
        <w:rPr>
          <w:rStyle w:val="References"/>
        </w:rPr>
        <w:t>)</w:t>
      </w:r>
      <w:r w:rsidR="00DE2B3A">
        <w:rPr>
          <w:rStyle w:val="References"/>
        </w:rPr>
        <w:t xml:space="preserve"> of the Act</w:t>
      </w:r>
      <w:r w:rsidRPr="00A97583">
        <w:rPr>
          <w:rStyle w:val="References"/>
        </w:rPr>
        <w:t>]</w:t>
      </w:r>
    </w:p>
    <w:p w14:paraId="732825D8" w14:textId="4E0EF38D" w:rsidR="006731B3" w:rsidRDefault="006731B3" w:rsidP="006731B3">
      <w:pPr>
        <w:pStyle w:val="Heading5"/>
        <w:numPr>
          <w:ilvl w:val="4"/>
          <w:numId w:val="2"/>
        </w:numPr>
      </w:pPr>
      <w:r w:rsidRPr="00642BA4">
        <w:t xml:space="preserve">Declared financial markets and widely held market </w:t>
      </w:r>
      <w:proofErr w:type="gramStart"/>
      <w:r w:rsidRPr="00642BA4">
        <w:t>bodies</w:t>
      </w:r>
      <w:proofErr w:type="gramEnd"/>
    </w:p>
    <w:p w14:paraId="7004264E" w14:textId="11B078CB" w:rsidR="00CA7A76" w:rsidRPr="00287229" w:rsidRDefault="00CA7A76" w:rsidP="00125C2C">
      <w:pPr>
        <w:pStyle w:val="Normalparatextwithnumbers"/>
        <w:rPr>
          <w:rStyle w:val="References"/>
          <w:b w:val="0"/>
          <w:bCs w:val="0"/>
          <w:i w:val="0"/>
          <w:iCs w:val="0"/>
        </w:rPr>
      </w:pPr>
      <w:r w:rsidRPr="007021DC">
        <w:t xml:space="preserve">The current definition of </w:t>
      </w:r>
      <w:r w:rsidRPr="007021DC">
        <w:rPr>
          <w:b/>
          <w:bCs/>
          <w:i/>
          <w:iCs/>
        </w:rPr>
        <w:t xml:space="preserve">prescribed financial market </w:t>
      </w:r>
      <w:r w:rsidRPr="007021DC">
        <w:t xml:space="preserve">is repealed and replaced with a new definition of the expression </w:t>
      </w:r>
      <w:r w:rsidRPr="007021DC">
        <w:rPr>
          <w:b/>
          <w:bCs/>
          <w:i/>
          <w:iCs/>
        </w:rPr>
        <w:t>declared financial market</w:t>
      </w:r>
      <w:r w:rsidRPr="007021DC">
        <w:t xml:space="preserve"> which has been added to the glossary in section 9 of the Act. </w:t>
      </w:r>
      <w:r w:rsidRPr="007021DC">
        <w:br/>
      </w:r>
      <w:r w:rsidRPr="007021DC">
        <w:rPr>
          <w:rStyle w:val="References"/>
        </w:rPr>
        <w:t xml:space="preserve">[Schedule </w:t>
      </w:r>
      <w:r w:rsidR="005327E9">
        <w:rPr>
          <w:rStyle w:val="References"/>
        </w:rPr>
        <w:t>2</w:t>
      </w:r>
      <w:r w:rsidRPr="007021DC">
        <w:rPr>
          <w:rStyle w:val="References"/>
        </w:rPr>
        <w:t xml:space="preserve">, items </w:t>
      </w:r>
      <w:r w:rsidR="003A42D5">
        <w:rPr>
          <w:rStyle w:val="References"/>
        </w:rPr>
        <w:t>20</w:t>
      </w:r>
      <w:r w:rsidR="00D40E83">
        <w:rPr>
          <w:rStyle w:val="References"/>
        </w:rPr>
        <w:t xml:space="preserve"> and </w:t>
      </w:r>
      <w:r w:rsidR="003A42D5">
        <w:rPr>
          <w:rStyle w:val="References"/>
        </w:rPr>
        <w:t>21</w:t>
      </w:r>
      <w:r w:rsidR="00E67556">
        <w:rPr>
          <w:rStyle w:val="References"/>
        </w:rPr>
        <w:t>,</w:t>
      </w:r>
      <w:r w:rsidRPr="007021DC">
        <w:rPr>
          <w:rStyle w:val="References"/>
        </w:rPr>
        <w:t xml:space="preserve"> section 9</w:t>
      </w:r>
      <w:r w:rsidR="00A6270C">
        <w:rPr>
          <w:rStyle w:val="References"/>
        </w:rPr>
        <w:t xml:space="preserve"> of the Act</w:t>
      </w:r>
      <w:r w:rsidRPr="007021DC">
        <w:rPr>
          <w:rStyle w:val="References"/>
        </w:rPr>
        <w:t xml:space="preserve">] </w:t>
      </w:r>
    </w:p>
    <w:p w14:paraId="67431585" w14:textId="67898D3F" w:rsidR="00C0573D" w:rsidRPr="00287229" w:rsidRDefault="00C0573D" w:rsidP="00125C2C">
      <w:pPr>
        <w:pStyle w:val="Normalparatextwithnumbers"/>
        <w:rPr>
          <w:rStyle w:val="References"/>
          <w:b w:val="0"/>
          <w:bCs w:val="0"/>
          <w:i w:val="0"/>
          <w:iCs w:val="0"/>
        </w:rPr>
      </w:pPr>
      <w:r>
        <w:rPr>
          <w:rStyle w:val="References"/>
          <w:b w:val="0"/>
          <w:bCs w:val="0"/>
          <w:i w:val="0"/>
          <w:iCs w:val="0"/>
        </w:rPr>
        <w:t xml:space="preserve">A </w:t>
      </w:r>
      <w:r>
        <w:rPr>
          <w:rStyle w:val="References"/>
        </w:rPr>
        <w:t xml:space="preserve">declared financial market </w:t>
      </w:r>
      <w:r>
        <w:rPr>
          <w:rStyle w:val="References"/>
          <w:b w:val="0"/>
          <w:bCs w:val="0"/>
          <w:i w:val="0"/>
          <w:iCs w:val="0"/>
        </w:rPr>
        <w:t xml:space="preserve">is a financial market </w:t>
      </w:r>
      <w:r w:rsidR="00DC20DA">
        <w:rPr>
          <w:rStyle w:val="References"/>
          <w:b w:val="0"/>
          <w:bCs w:val="0"/>
          <w:i w:val="0"/>
          <w:iCs w:val="0"/>
        </w:rPr>
        <w:t>that is specified in a declaration made by ASIC</w:t>
      </w:r>
      <w:r w:rsidR="00C4704F">
        <w:rPr>
          <w:rStyle w:val="References"/>
          <w:b w:val="0"/>
          <w:bCs w:val="0"/>
          <w:i w:val="0"/>
          <w:iCs w:val="0"/>
        </w:rPr>
        <w:t xml:space="preserve">. </w:t>
      </w:r>
      <w:r w:rsidR="00C4704F">
        <w:rPr>
          <w:rStyle w:val="References"/>
          <w:b w:val="0"/>
          <w:bCs w:val="0"/>
          <w:i w:val="0"/>
          <w:iCs w:val="0"/>
        </w:rPr>
        <w:br/>
      </w:r>
      <w:r w:rsidR="00C4704F" w:rsidRPr="00287229">
        <w:rPr>
          <w:rStyle w:val="References"/>
        </w:rPr>
        <w:t xml:space="preserve">[Schedule </w:t>
      </w:r>
      <w:r w:rsidR="00C4704F">
        <w:rPr>
          <w:rStyle w:val="References"/>
        </w:rPr>
        <w:t>2, item 2</w:t>
      </w:r>
      <w:r w:rsidR="00864ACA">
        <w:rPr>
          <w:rStyle w:val="References"/>
        </w:rPr>
        <w:t>2</w:t>
      </w:r>
      <w:r w:rsidR="00C4704F">
        <w:rPr>
          <w:rStyle w:val="References"/>
        </w:rPr>
        <w:t>, section 9D of the Act]</w:t>
      </w:r>
      <w:r w:rsidR="00C4704F" w:rsidRPr="00287229">
        <w:rPr>
          <w:rStyle w:val="References"/>
        </w:rPr>
        <w:t xml:space="preserve"> </w:t>
      </w:r>
    </w:p>
    <w:p w14:paraId="41BA86F0" w14:textId="322DE3E6" w:rsidR="00324865" w:rsidRPr="007021DC" w:rsidRDefault="00BE07BD" w:rsidP="00125C2C">
      <w:pPr>
        <w:pStyle w:val="Normalparatextwithnumbers"/>
      </w:pPr>
      <w:r>
        <w:rPr>
          <w:rStyle w:val="References"/>
          <w:b w:val="0"/>
          <w:bCs w:val="0"/>
          <w:i w:val="0"/>
          <w:iCs w:val="0"/>
        </w:rPr>
        <w:t>A declared financial market will attract the same statutory obligations as a f</w:t>
      </w:r>
      <w:r w:rsidR="00CB3D72">
        <w:rPr>
          <w:rStyle w:val="References"/>
          <w:b w:val="0"/>
          <w:bCs w:val="0"/>
          <w:i w:val="0"/>
          <w:iCs w:val="0"/>
        </w:rPr>
        <w:t>ormerly</w:t>
      </w:r>
      <w:r>
        <w:rPr>
          <w:rStyle w:val="References"/>
          <w:b w:val="0"/>
          <w:bCs w:val="0"/>
          <w:i w:val="0"/>
          <w:iCs w:val="0"/>
        </w:rPr>
        <w:t xml:space="preserve"> prescribed financial </w:t>
      </w:r>
      <w:r w:rsidR="0039762C">
        <w:rPr>
          <w:rStyle w:val="References"/>
          <w:b w:val="0"/>
          <w:bCs w:val="0"/>
          <w:i w:val="0"/>
          <w:iCs w:val="0"/>
        </w:rPr>
        <w:t>market. F</w:t>
      </w:r>
      <w:r w:rsidR="00CB3D72">
        <w:rPr>
          <w:rStyle w:val="References"/>
          <w:b w:val="0"/>
          <w:bCs w:val="0"/>
          <w:i w:val="0"/>
          <w:iCs w:val="0"/>
        </w:rPr>
        <w:t>ormerly</w:t>
      </w:r>
      <w:r w:rsidR="0039762C">
        <w:rPr>
          <w:rStyle w:val="References"/>
          <w:b w:val="0"/>
          <w:bCs w:val="0"/>
          <w:i w:val="0"/>
          <w:iCs w:val="0"/>
        </w:rPr>
        <w:t xml:space="preserve"> prescribed financial markets will be</w:t>
      </w:r>
      <w:r w:rsidR="00957218">
        <w:rPr>
          <w:rStyle w:val="References"/>
          <w:b w:val="0"/>
          <w:bCs w:val="0"/>
          <w:i w:val="0"/>
          <w:iCs w:val="0"/>
        </w:rPr>
        <w:t xml:space="preserve"> deemed to be</w:t>
      </w:r>
      <w:r w:rsidR="0039762C">
        <w:rPr>
          <w:rStyle w:val="References"/>
          <w:b w:val="0"/>
          <w:bCs w:val="0"/>
          <w:i w:val="0"/>
          <w:iCs w:val="0"/>
        </w:rPr>
        <w:t xml:space="preserve"> declared financial markets on commencement of Schedule 2.</w:t>
      </w:r>
      <w:r w:rsidR="00FF06BB">
        <w:rPr>
          <w:rStyle w:val="References"/>
          <w:b w:val="0"/>
          <w:bCs w:val="0"/>
          <w:i w:val="0"/>
          <w:iCs w:val="0"/>
        </w:rPr>
        <w:t xml:space="preserve"> </w:t>
      </w:r>
      <w:r w:rsidR="00FF06BB">
        <w:rPr>
          <w:rStyle w:val="References"/>
          <w:b w:val="0"/>
          <w:bCs w:val="0"/>
          <w:i w:val="0"/>
          <w:iCs w:val="0"/>
        </w:rPr>
        <w:br/>
      </w:r>
      <w:r w:rsidR="00FF06BB" w:rsidRPr="00287229">
        <w:rPr>
          <w:rStyle w:val="References"/>
        </w:rPr>
        <w:t xml:space="preserve">[Schedule </w:t>
      </w:r>
      <w:r w:rsidR="00FF06BB">
        <w:rPr>
          <w:rStyle w:val="References"/>
        </w:rPr>
        <w:t xml:space="preserve">2, item </w:t>
      </w:r>
      <w:r w:rsidR="00957218">
        <w:rPr>
          <w:rStyle w:val="References"/>
        </w:rPr>
        <w:t>14</w:t>
      </w:r>
      <w:r w:rsidR="00D1132D">
        <w:rPr>
          <w:rStyle w:val="References"/>
        </w:rPr>
        <w:t>3</w:t>
      </w:r>
      <w:r w:rsidR="00957218">
        <w:rPr>
          <w:rStyle w:val="References"/>
        </w:rPr>
        <w:t>, section 1706</w:t>
      </w:r>
      <w:r w:rsidR="00D1132D">
        <w:rPr>
          <w:rStyle w:val="References"/>
        </w:rPr>
        <w:t>AF</w:t>
      </w:r>
      <w:r w:rsidR="00957218">
        <w:rPr>
          <w:rStyle w:val="References"/>
        </w:rPr>
        <w:t xml:space="preserve"> of the Act]</w:t>
      </w:r>
      <w:r w:rsidR="0039762C">
        <w:rPr>
          <w:rStyle w:val="References"/>
          <w:b w:val="0"/>
          <w:bCs w:val="0"/>
          <w:i w:val="0"/>
          <w:iCs w:val="0"/>
        </w:rPr>
        <w:t xml:space="preserve"> </w:t>
      </w:r>
    </w:p>
    <w:p w14:paraId="7ADF98ED" w14:textId="5F63661B" w:rsidR="00CA7A76" w:rsidRPr="007021DC" w:rsidRDefault="00CA7A76" w:rsidP="00AD1047">
      <w:pPr>
        <w:pStyle w:val="Normalparatextwithnumbers"/>
      </w:pPr>
      <w:r w:rsidRPr="007021DC">
        <w:lastRenderedPageBreak/>
        <w:t xml:space="preserve">Empowering ASIC to declare that a market is a declared financial market, rather than having to prescribe through regulations, will </w:t>
      </w:r>
      <w:r w:rsidR="005A34DD">
        <w:t xml:space="preserve">enable ASIC to </w:t>
      </w:r>
      <w:r w:rsidRPr="007021DC">
        <w:t>more readily and efficiently</w:t>
      </w:r>
      <w:r w:rsidR="005A34DD">
        <w:t xml:space="preserve"> declare a financial market as a </w:t>
      </w:r>
      <w:r w:rsidR="009A1968">
        <w:t>declared financial market</w:t>
      </w:r>
      <w:r w:rsidRPr="007021DC">
        <w:t xml:space="preserve">, therefore reducing the potential for delay </w:t>
      </w:r>
      <w:r w:rsidR="009A1968">
        <w:t>of</w:t>
      </w:r>
      <w:r w:rsidRPr="007021DC">
        <w:t xml:space="preserve"> related licence application</w:t>
      </w:r>
      <w:r w:rsidR="009A1968">
        <w:t>s</w:t>
      </w:r>
      <w:r w:rsidRPr="007021DC">
        <w:t xml:space="preserve"> or variation</w:t>
      </w:r>
      <w:r w:rsidR="009A1968">
        <w:t>s</w:t>
      </w:r>
      <w:r w:rsidRPr="007021DC">
        <w:t>.</w:t>
      </w:r>
    </w:p>
    <w:p w14:paraId="6EFAAA3D" w14:textId="57B96553" w:rsidR="00CA7A76" w:rsidRPr="007021DC" w:rsidRDefault="00CA7A76" w:rsidP="00AD1047">
      <w:pPr>
        <w:pStyle w:val="Normalparatextwithnumbers"/>
      </w:pPr>
      <w:r w:rsidRPr="007021DC">
        <w:t xml:space="preserve">Minor amendments have also been made to change references from prescribed financial market to declared financial market in the Act, the </w:t>
      </w:r>
      <w:r w:rsidRPr="007021DC">
        <w:rPr>
          <w:i/>
          <w:iCs/>
        </w:rPr>
        <w:t>Bankruptcy Act 1966</w:t>
      </w:r>
      <w:r w:rsidRPr="007021DC">
        <w:t xml:space="preserve"> and the </w:t>
      </w:r>
      <w:r w:rsidR="00313DD1" w:rsidRPr="00A034BA">
        <w:t>PPSA</w:t>
      </w:r>
      <w:r w:rsidRPr="00313DD1">
        <w:t>.</w:t>
      </w:r>
      <w:r w:rsidRPr="007021DC">
        <w:br/>
      </w:r>
      <w:r w:rsidRPr="007021DC">
        <w:rPr>
          <w:rStyle w:val="References"/>
        </w:rPr>
        <w:t xml:space="preserve">[Schedule </w:t>
      </w:r>
      <w:r w:rsidR="0008769C">
        <w:rPr>
          <w:rStyle w:val="References"/>
        </w:rPr>
        <w:t>2</w:t>
      </w:r>
      <w:r w:rsidRPr="007021DC">
        <w:rPr>
          <w:rStyle w:val="References"/>
        </w:rPr>
        <w:t xml:space="preserve">, items </w:t>
      </w:r>
      <w:r w:rsidR="0008769C">
        <w:rPr>
          <w:rStyle w:val="References"/>
        </w:rPr>
        <w:t>2</w:t>
      </w:r>
      <w:r w:rsidR="0022709B">
        <w:rPr>
          <w:rStyle w:val="References"/>
        </w:rPr>
        <w:t>4</w:t>
      </w:r>
      <w:r w:rsidRPr="007021DC">
        <w:rPr>
          <w:rStyle w:val="References"/>
        </w:rPr>
        <w:t xml:space="preserve">, </w:t>
      </w:r>
      <w:r w:rsidR="00B45E23">
        <w:rPr>
          <w:rStyle w:val="References"/>
        </w:rPr>
        <w:t>2</w:t>
      </w:r>
      <w:r w:rsidR="008A039B">
        <w:rPr>
          <w:rStyle w:val="References"/>
        </w:rPr>
        <w:t>5</w:t>
      </w:r>
      <w:r w:rsidRPr="007021DC">
        <w:rPr>
          <w:rStyle w:val="References"/>
        </w:rPr>
        <w:t xml:space="preserve"> and </w:t>
      </w:r>
      <w:r w:rsidR="00B45E23">
        <w:rPr>
          <w:rStyle w:val="References"/>
        </w:rPr>
        <w:t>2</w:t>
      </w:r>
      <w:r w:rsidR="008A039B">
        <w:rPr>
          <w:rStyle w:val="References"/>
        </w:rPr>
        <w:t>6</w:t>
      </w:r>
      <w:r w:rsidRPr="007021DC">
        <w:rPr>
          <w:rStyle w:val="References"/>
        </w:rPr>
        <w:t xml:space="preserve">, subsection 5(1) of the Bankruptcy Act 1966 and section 49 of the </w:t>
      </w:r>
      <w:r w:rsidR="00A034BA">
        <w:rPr>
          <w:rStyle w:val="References"/>
        </w:rPr>
        <w:t>PPSA</w:t>
      </w:r>
      <w:r w:rsidRPr="007021DC">
        <w:rPr>
          <w:rStyle w:val="References"/>
        </w:rPr>
        <w:t xml:space="preserve">] </w:t>
      </w:r>
    </w:p>
    <w:p w14:paraId="2161E6F7" w14:textId="248C29DA" w:rsidR="00CA7A76" w:rsidRPr="00287229" w:rsidRDefault="00F44DD8" w:rsidP="00AD1047">
      <w:pPr>
        <w:pStyle w:val="Normalparatextwithnumbers"/>
        <w:rPr>
          <w:rStyle w:val="References"/>
          <w:b w:val="0"/>
          <w:bCs w:val="0"/>
          <w:i w:val="0"/>
          <w:iCs w:val="0"/>
        </w:rPr>
      </w:pPr>
      <w:r>
        <w:t>The amendments</w:t>
      </w:r>
      <w:r w:rsidR="00CA7A76" w:rsidRPr="007021DC">
        <w:t xml:space="preserve"> also </w:t>
      </w:r>
      <w:r w:rsidR="00C66286" w:rsidRPr="007021DC">
        <w:t>insert</w:t>
      </w:r>
      <w:r w:rsidR="00CA7A76" w:rsidRPr="007021DC">
        <w:t xml:space="preserve"> a definition for </w:t>
      </w:r>
      <w:r w:rsidR="00CA7A76" w:rsidRPr="007021DC">
        <w:rPr>
          <w:b/>
          <w:bCs/>
          <w:i/>
          <w:iCs/>
        </w:rPr>
        <w:t>widely held market body</w:t>
      </w:r>
      <w:r w:rsidR="00CA7A76" w:rsidRPr="007021DC">
        <w:t xml:space="preserve"> in the glossary in section 9 of the Act.</w:t>
      </w:r>
      <w:r w:rsidR="00CA7A76" w:rsidRPr="007021DC">
        <w:br/>
      </w:r>
      <w:r w:rsidR="00CA7A76" w:rsidRPr="007021DC">
        <w:rPr>
          <w:rStyle w:val="References"/>
        </w:rPr>
        <w:t xml:space="preserve">[Schedule </w:t>
      </w:r>
      <w:r w:rsidR="007634CB">
        <w:rPr>
          <w:rStyle w:val="References"/>
        </w:rPr>
        <w:t>2</w:t>
      </w:r>
      <w:r w:rsidR="00CA7A76" w:rsidRPr="007021DC">
        <w:rPr>
          <w:rStyle w:val="References"/>
        </w:rPr>
        <w:t xml:space="preserve">, item </w:t>
      </w:r>
      <w:r w:rsidR="009F0BA0">
        <w:rPr>
          <w:rStyle w:val="References"/>
        </w:rPr>
        <w:t>2</w:t>
      </w:r>
      <w:r w:rsidR="0022536D">
        <w:rPr>
          <w:rStyle w:val="References"/>
        </w:rPr>
        <w:t>7</w:t>
      </w:r>
      <w:r w:rsidR="00CA7A76" w:rsidRPr="007021DC">
        <w:rPr>
          <w:rStyle w:val="References"/>
        </w:rPr>
        <w:t>, section 9</w:t>
      </w:r>
      <w:r w:rsidR="00D8398F">
        <w:rPr>
          <w:rStyle w:val="References"/>
        </w:rPr>
        <w:t xml:space="preserve"> of the Act</w:t>
      </w:r>
      <w:r w:rsidR="00CA7A76" w:rsidRPr="007021DC">
        <w:rPr>
          <w:rStyle w:val="References"/>
        </w:rPr>
        <w:t xml:space="preserve">] </w:t>
      </w:r>
    </w:p>
    <w:p w14:paraId="13F346B1" w14:textId="491AB1B3" w:rsidR="005A4130" w:rsidRPr="007021DC" w:rsidRDefault="005A4130" w:rsidP="00AD1047">
      <w:pPr>
        <w:pStyle w:val="Normalparatextwithnumbers"/>
      </w:pPr>
      <w:r>
        <w:rPr>
          <w:rStyle w:val="References"/>
          <w:b w:val="0"/>
          <w:bCs w:val="0"/>
          <w:i w:val="0"/>
          <w:iCs w:val="0"/>
        </w:rPr>
        <w:t xml:space="preserve">A </w:t>
      </w:r>
      <w:r w:rsidR="00EC4A1C">
        <w:rPr>
          <w:rStyle w:val="References"/>
          <w:b w:val="0"/>
          <w:bCs w:val="0"/>
          <w:i w:val="0"/>
          <w:iCs w:val="0"/>
        </w:rPr>
        <w:t>widely held market bod</w:t>
      </w:r>
      <w:r w:rsidR="00B2324F">
        <w:rPr>
          <w:rStyle w:val="References"/>
          <w:b w:val="0"/>
          <w:bCs w:val="0"/>
          <w:i w:val="0"/>
          <w:iCs w:val="0"/>
        </w:rPr>
        <w:t xml:space="preserve">ies are subject to certain requirements </w:t>
      </w:r>
      <w:r w:rsidR="00DC3971">
        <w:rPr>
          <w:rStyle w:val="References"/>
          <w:b w:val="0"/>
          <w:bCs w:val="0"/>
          <w:i w:val="0"/>
          <w:iCs w:val="0"/>
        </w:rPr>
        <w:t xml:space="preserve">with respect to ownership and voting power, outlined further in paragraph </w:t>
      </w:r>
      <w:r w:rsidR="0028259D">
        <w:rPr>
          <w:rStyle w:val="References"/>
          <w:b w:val="0"/>
          <w:bCs w:val="0"/>
          <w:i w:val="0"/>
          <w:iCs w:val="0"/>
        </w:rPr>
        <w:t>3.76</w:t>
      </w:r>
      <w:r w:rsidR="00DC3971">
        <w:rPr>
          <w:rStyle w:val="References"/>
          <w:b w:val="0"/>
          <w:bCs w:val="0"/>
          <w:i w:val="0"/>
          <w:iCs w:val="0"/>
        </w:rPr>
        <w:t xml:space="preserve"> to </w:t>
      </w:r>
      <w:r w:rsidR="0028259D">
        <w:rPr>
          <w:rStyle w:val="References"/>
          <w:b w:val="0"/>
          <w:bCs w:val="0"/>
          <w:i w:val="0"/>
          <w:iCs w:val="0"/>
        </w:rPr>
        <w:t>3.77</w:t>
      </w:r>
      <w:r w:rsidR="00DC3971">
        <w:rPr>
          <w:rStyle w:val="References"/>
          <w:b w:val="0"/>
          <w:bCs w:val="0"/>
          <w:i w:val="0"/>
          <w:iCs w:val="0"/>
        </w:rPr>
        <w:t xml:space="preserve">. </w:t>
      </w:r>
    </w:p>
    <w:p w14:paraId="36A5EBAC" w14:textId="7AC33A9B" w:rsidR="00076C70" w:rsidRPr="00F5400B" w:rsidRDefault="00076C70" w:rsidP="00F5400B">
      <w:pPr>
        <w:pStyle w:val="Normalparatextwithnumbers"/>
        <w:rPr>
          <w:rStyle w:val="References"/>
          <w:b w:val="0"/>
          <w:i w:val="0"/>
        </w:rPr>
      </w:pPr>
      <w:r>
        <w:t xml:space="preserve">A body corporate is a widely held market body if the body is a market licensee or the holding company of such a licensee, or a CS facility licensee or the holding company of such a licensee and is specified in an ASIC declaration. </w:t>
      </w:r>
      <w:r w:rsidR="009D08D9">
        <w:br/>
      </w:r>
      <w:r>
        <w:rPr>
          <w:rStyle w:val="References"/>
        </w:rPr>
        <w:t xml:space="preserve">[Schedule </w:t>
      </w:r>
      <w:r w:rsidR="00234552">
        <w:rPr>
          <w:rStyle w:val="References"/>
        </w:rPr>
        <w:t>2</w:t>
      </w:r>
      <w:r>
        <w:rPr>
          <w:rStyle w:val="References"/>
        </w:rPr>
        <w:t>, item 3</w:t>
      </w:r>
      <w:r w:rsidR="00AE39F1">
        <w:rPr>
          <w:rStyle w:val="References"/>
        </w:rPr>
        <w:t>2</w:t>
      </w:r>
      <w:r>
        <w:rPr>
          <w:rStyle w:val="References"/>
        </w:rPr>
        <w:t>, subsection 850</w:t>
      </w:r>
      <w:proofErr w:type="gramStart"/>
      <w:r>
        <w:rPr>
          <w:rStyle w:val="References"/>
        </w:rPr>
        <w:t>A(</w:t>
      </w:r>
      <w:proofErr w:type="gramEnd"/>
      <w:r w:rsidR="00183137">
        <w:rPr>
          <w:rStyle w:val="References"/>
        </w:rPr>
        <w:t>2</w:t>
      </w:r>
      <w:r>
        <w:rPr>
          <w:rStyle w:val="References"/>
        </w:rPr>
        <w:t>) of the Act]</w:t>
      </w:r>
    </w:p>
    <w:p w14:paraId="708B7080" w14:textId="2EAC3BA7" w:rsidR="006731B3" w:rsidRDefault="006731B3" w:rsidP="00125C2C">
      <w:pPr>
        <w:pStyle w:val="Normalparatextwithnumbers"/>
      </w:pPr>
      <w:r>
        <w:t xml:space="preserve">ASIC may declare a </w:t>
      </w:r>
      <w:r w:rsidR="00EE63CA">
        <w:t xml:space="preserve">market licensee, CS facility licensee or a holding body corporate of such licensee to be a </w:t>
      </w:r>
      <w:r>
        <w:t xml:space="preserve">widely held market body provided there is consideration of the market or </w:t>
      </w:r>
      <w:r w:rsidR="00EE63CA">
        <w:t xml:space="preserve">CS </w:t>
      </w:r>
      <w:r>
        <w:t xml:space="preserve">facility </w:t>
      </w:r>
      <w:proofErr w:type="gramStart"/>
      <w:r>
        <w:t>with r</w:t>
      </w:r>
      <w:r w:rsidR="00F55549">
        <w:t>egard</w:t>
      </w:r>
      <w:r>
        <w:t xml:space="preserve"> to</w:t>
      </w:r>
      <w:proofErr w:type="gramEnd"/>
      <w:r>
        <w:t xml:space="preserve">: </w:t>
      </w:r>
    </w:p>
    <w:p w14:paraId="3067C993" w14:textId="20794C83" w:rsidR="006731B3" w:rsidRDefault="00254B32" w:rsidP="006731B3">
      <w:pPr>
        <w:pStyle w:val="Dotpoint1"/>
        <w:ind w:left="1418" w:hanging="709"/>
      </w:pPr>
      <w:r>
        <w:t xml:space="preserve">the significance to the national economy of the functions performed by the financial market or clearing and settlement </w:t>
      </w:r>
      <w:proofErr w:type="gramStart"/>
      <w:r>
        <w:t>facility</w:t>
      </w:r>
      <w:r w:rsidDel="00254B32">
        <w:t xml:space="preserve"> </w:t>
      </w:r>
      <w:r w:rsidR="006731B3">
        <w:t>;</w:t>
      </w:r>
      <w:proofErr w:type="gramEnd"/>
      <w:r w:rsidR="006731B3">
        <w:t xml:space="preserve"> </w:t>
      </w:r>
    </w:p>
    <w:p w14:paraId="5331C55C" w14:textId="4A79DF12" w:rsidR="00CA7A76" w:rsidRPr="007021DC" w:rsidRDefault="00CA7A76" w:rsidP="00CA7A76">
      <w:pPr>
        <w:pStyle w:val="Dotpoint1"/>
        <w:ind w:left="1418" w:hanging="709"/>
      </w:pPr>
      <w:r w:rsidRPr="007021DC">
        <w:t xml:space="preserve">the size and importance in the context of </w:t>
      </w:r>
      <w:r w:rsidR="007A05C2">
        <w:t>the</w:t>
      </w:r>
      <w:r w:rsidRPr="007021DC">
        <w:t xml:space="preserve"> Australian financial </w:t>
      </w:r>
      <w:r w:rsidR="00706E2C">
        <w:t xml:space="preserve">market or clearing and settlement facility within the Australian financial services industry and relative to other operations providing a similar service or </w:t>
      </w:r>
      <w:proofErr w:type="gramStart"/>
      <w:r w:rsidR="00706E2C">
        <w:t>function</w:t>
      </w:r>
      <w:r w:rsidRPr="007021DC">
        <w:t>;</w:t>
      </w:r>
      <w:proofErr w:type="gramEnd"/>
      <w:r w:rsidRPr="007021DC">
        <w:t xml:space="preserve"> </w:t>
      </w:r>
    </w:p>
    <w:p w14:paraId="376D3DC7" w14:textId="4BF9CC25" w:rsidR="00CA7A76" w:rsidRPr="007021DC" w:rsidRDefault="003B1FE3" w:rsidP="00CA7A76">
      <w:pPr>
        <w:pStyle w:val="Dotpoint1"/>
        <w:ind w:left="1418" w:hanging="709"/>
      </w:pPr>
      <w:r>
        <w:t>the degree of or potential for competition between the financial market or clearing and settlement facility and other already prescribed financial markets or clearing and settlement facilities</w:t>
      </w:r>
      <w:r w:rsidR="00CA7A76" w:rsidRPr="007021DC">
        <w:t xml:space="preserve">; and </w:t>
      </w:r>
    </w:p>
    <w:p w14:paraId="74E7CF96" w14:textId="744D6422" w:rsidR="00CA7A76" w:rsidRPr="007021DC" w:rsidRDefault="00CA7A76" w:rsidP="00CA7A76">
      <w:pPr>
        <w:pStyle w:val="Dotpoint1"/>
        <w:ind w:left="1418" w:hanging="709"/>
      </w:pPr>
      <w:r w:rsidRPr="007021DC">
        <w:t xml:space="preserve">any other relevant matters. </w:t>
      </w:r>
      <w:r w:rsidRPr="007021DC">
        <w:br/>
      </w:r>
      <w:r w:rsidRPr="007021DC">
        <w:rPr>
          <w:rStyle w:val="References"/>
        </w:rPr>
        <w:t xml:space="preserve">[Schedule </w:t>
      </w:r>
      <w:r w:rsidR="006B6A35">
        <w:rPr>
          <w:rStyle w:val="References"/>
        </w:rPr>
        <w:t>2</w:t>
      </w:r>
      <w:r w:rsidRPr="007021DC">
        <w:rPr>
          <w:rStyle w:val="References"/>
        </w:rPr>
        <w:t>, item 3</w:t>
      </w:r>
      <w:r w:rsidR="00F01038">
        <w:rPr>
          <w:rStyle w:val="References"/>
        </w:rPr>
        <w:t>2</w:t>
      </w:r>
      <w:r w:rsidRPr="007021DC">
        <w:rPr>
          <w:rStyle w:val="References"/>
        </w:rPr>
        <w:t>, subsection 850</w:t>
      </w:r>
      <w:proofErr w:type="gramStart"/>
      <w:r w:rsidRPr="007021DC">
        <w:rPr>
          <w:rStyle w:val="References"/>
        </w:rPr>
        <w:t>A(</w:t>
      </w:r>
      <w:proofErr w:type="gramEnd"/>
      <w:r w:rsidRPr="007021DC">
        <w:rPr>
          <w:rStyle w:val="References"/>
        </w:rPr>
        <w:t>4)</w:t>
      </w:r>
      <w:r w:rsidR="00ED1788">
        <w:rPr>
          <w:rStyle w:val="References"/>
        </w:rPr>
        <w:t xml:space="preserve"> of the Act</w:t>
      </w:r>
      <w:r w:rsidRPr="007021DC">
        <w:rPr>
          <w:rStyle w:val="References"/>
        </w:rPr>
        <w:t>]</w:t>
      </w:r>
    </w:p>
    <w:p w14:paraId="7C139497" w14:textId="1A09BF96" w:rsidR="00CA7A76" w:rsidRPr="007021DC" w:rsidRDefault="00CA7A76" w:rsidP="00125C2C">
      <w:pPr>
        <w:pStyle w:val="Normalparatextwithnumbers"/>
      </w:pPr>
      <w:r w:rsidRPr="007021DC">
        <w:t xml:space="preserve">These declarations by ASIC are legislative instruments </w:t>
      </w:r>
      <w:r w:rsidR="000C6F49">
        <w:t>and</w:t>
      </w:r>
      <w:r w:rsidRPr="007021DC">
        <w:t xml:space="preserve"> are subject to disallowance by Parliament. In addition, the declaration in relation to widely held market bodies </w:t>
      </w:r>
      <w:r w:rsidR="00141F3D">
        <w:t xml:space="preserve">and declared financial markets </w:t>
      </w:r>
      <w:r w:rsidRPr="007021DC">
        <w:t xml:space="preserve">may only be made if the Minister provides written approval. This ensures there is sufficient parliamentary oversight surrounding ASIC’s ability to declare ‘declared financial markets’ and ‘widely held market </w:t>
      </w:r>
      <w:proofErr w:type="gramStart"/>
      <w:r w:rsidRPr="007021DC">
        <w:t>bodies’</w:t>
      </w:r>
      <w:proofErr w:type="gramEnd"/>
      <w:r w:rsidRPr="007021DC">
        <w:t xml:space="preserve">. </w:t>
      </w:r>
      <w:r w:rsidRPr="007021DC">
        <w:br/>
      </w:r>
      <w:r w:rsidRPr="007021DC">
        <w:rPr>
          <w:rStyle w:val="References"/>
        </w:rPr>
        <w:t xml:space="preserve">[Schedule </w:t>
      </w:r>
      <w:r w:rsidR="00D11C99">
        <w:rPr>
          <w:rStyle w:val="References"/>
        </w:rPr>
        <w:t>2</w:t>
      </w:r>
      <w:r w:rsidRPr="007021DC">
        <w:rPr>
          <w:rStyle w:val="References"/>
        </w:rPr>
        <w:t xml:space="preserve">, items </w:t>
      </w:r>
      <w:r w:rsidR="004C3660">
        <w:rPr>
          <w:rStyle w:val="References"/>
        </w:rPr>
        <w:t>2</w:t>
      </w:r>
      <w:r w:rsidR="00A90B59">
        <w:rPr>
          <w:rStyle w:val="References"/>
        </w:rPr>
        <w:t>2</w:t>
      </w:r>
      <w:r w:rsidRPr="007021DC">
        <w:rPr>
          <w:rStyle w:val="References"/>
        </w:rPr>
        <w:t xml:space="preserve"> and </w:t>
      </w:r>
      <w:r w:rsidR="004C3660">
        <w:rPr>
          <w:rStyle w:val="References"/>
        </w:rPr>
        <w:t>3</w:t>
      </w:r>
      <w:r w:rsidR="00513613">
        <w:rPr>
          <w:rStyle w:val="References"/>
        </w:rPr>
        <w:t>2</w:t>
      </w:r>
      <w:r w:rsidRPr="007021DC">
        <w:rPr>
          <w:rStyle w:val="References"/>
        </w:rPr>
        <w:t>, section 9D, subsections 850</w:t>
      </w:r>
      <w:proofErr w:type="gramStart"/>
      <w:r w:rsidRPr="007021DC">
        <w:rPr>
          <w:rStyle w:val="References"/>
        </w:rPr>
        <w:t>A(</w:t>
      </w:r>
      <w:proofErr w:type="gramEnd"/>
      <w:r w:rsidRPr="007021DC">
        <w:rPr>
          <w:rStyle w:val="References"/>
        </w:rPr>
        <w:t>1)</w:t>
      </w:r>
      <w:r w:rsidRPr="007021DC" w:rsidDel="00183137">
        <w:rPr>
          <w:rStyle w:val="References"/>
        </w:rPr>
        <w:t xml:space="preserve">, </w:t>
      </w:r>
      <w:r w:rsidR="007A6B20" w:rsidRPr="007021DC">
        <w:rPr>
          <w:rStyle w:val="References"/>
        </w:rPr>
        <w:t>850A</w:t>
      </w:r>
      <w:r w:rsidRPr="007021DC" w:rsidDel="00183137">
        <w:rPr>
          <w:rStyle w:val="References"/>
        </w:rPr>
        <w:t>(</w:t>
      </w:r>
      <w:r w:rsidRPr="007021DC">
        <w:rPr>
          <w:rStyle w:val="References"/>
        </w:rPr>
        <w:t>3</w:t>
      </w:r>
      <w:r w:rsidRPr="007021DC" w:rsidDel="00183137">
        <w:rPr>
          <w:rStyle w:val="References"/>
        </w:rPr>
        <w:t>)</w:t>
      </w:r>
      <w:r w:rsidRPr="007021DC">
        <w:rPr>
          <w:rStyle w:val="References"/>
        </w:rPr>
        <w:t xml:space="preserve"> and </w:t>
      </w:r>
      <w:r w:rsidR="007A6B20" w:rsidRPr="007021DC">
        <w:rPr>
          <w:rStyle w:val="References"/>
        </w:rPr>
        <w:t>850A</w:t>
      </w:r>
      <w:r w:rsidRPr="007021DC">
        <w:rPr>
          <w:rStyle w:val="References"/>
        </w:rPr>
        <w:t>(5)</w:t>
      </w:r>
      <w:r w:rsidR="00ED1788">
        <w:rPr>
          <w:rStyle w:val="References"/>
        </w:rPr>
        <w:t xml:space="preserve"> of the Act</w:t>
      </w:r>
      <w:r w:rsidRPr="007021DC">
        <w:rPr>
          <w:rStyle w:val="References"/>
        </w:rPr>
        <w:t>]</w:t>
      </w:r>
    </w:p>
    <w:p w14:paraId="163862AA" w14:textId="74E1D80D" w:rsidR="00CA7A76" w:rsidRPr="007021DC" w:rsidRDefault="00CA7A76" w:rsidP="00AD1047">
      <w:pPr>
        <w:pStyle w:val="Normalparatextwithnumbers"/>
        <w:rPr>
          <w:rStyle w:val="References"/>
          <w:b w:val="0"/>
          <w:bCs w:val="0"/>
          <w:i w:val="0"/>
          <w:iCs w:val="0"/>
        </w:rPr>
      </w:pPr>
      <w:r w:rsidRPr="00206691">
        <w:lastRenderedPageBreak/>
        <w:t xml:space="preserve">ASIC </w:t>
      </w:r>
      <w:r w:rsidR="00AD23B9" w:rsidRPr="00206691">
        <w:t>m</w:t>
      </w:r>
      <w:r w:rsidR="00AD23B9">
        <w:t>ust</w:t>
      </w:r>
      <w:r w:rsidRPr="00206691">
        <w:t xml:space="preserve"> consult with the RBA on the matters relating to CS facilities, however a failure to consult does not invalidate the declaration.</w:t>
      </w:r>
      <w:r w:rsidRPr="007021DC">
        <w:t xml:space="preserve"> </w:t>
      </w:r>
      <w:r w:rsidRPr="007021DC">
        <w:br/>
      </w:r>
      <w:r w:rsidRPr="007021DC">
        <w:rPr>
          <w:rStyle w:val="References"/>
        </w:rPr>
        <w:t xml:space="preserve">[Schedule </w:t>
      </w:r>
      <w:r w:rsidR="004C3660">
        <w:rPr>
          <w:rStyle w:val="References"/>
        </w:rPr>
        <w:t>2</w:t>
      </w:r>
      <w:r w:rsidRPr="007021DC">
        <w:rPr>
          <w:rStyle w:val="References"/>
        </w:rPr>
        <w:t>, item 3</w:t>
      </w:r>
      <w:r w:rsidR="004C3660">
        <w:rPr>
          <w:rStyle w:val="References"/>
        </w:rPr>
        <w:t>0</w:t>
      </w:r>
      <w:r w:rsidRPr="007021DC">
        <w:rPr>
          <w:rStyle w:val="References"/>
        </w:rPr>
        <w:t xml:space="preserve">, </w:t>
      </w:r>
      <w:r w:rsidR="00EB19C1">
        <w:rPr>
          <w:rStyle w:val="References"/>
        </w:rPr>
        <w:t>subsections</w:t>
      </w:r>
      <w:r w:rsidRPr="007021DC">
        <w:rPr>
          <w:rStyle w:val="References"/>
        </w:rPr>
        <w:t xml:space="preserve"> 850</w:t>
      </w:r>
      <w:proofErr w:type="gramStart"/>
      <w:r w:rsidRPr="007021DC">
        <w:rPr>
          <w:rStyle w:val="References"/>
        </w:rPr>
        <w:t>A(</w:t>
      </w:r>
      <w:proofErr w:type="gramEnd"/>
      <w:r w:rsidRPr="007021DC">
        <w:rPr>
          <w:rStyle w:val="References"/>
        </w:rPr>
        <w:t>5)and (6)</w:t>
      </w:r>
      <w:r w:rsidR="00E76843">
        <w:rPr>
          <w:rStyle w:val="References"/>
        </w:rPr>
        <w:t xml:space="preserve"> of the Act</w:t>
      </w:r>
      <w:r w:rsidRPr="007021DC">
        <w:rPr>
          <w:rStyle w:val="References"/>
        </w:rPr>
        <w:t>]</w:t>
      </w:r>
    </w:p>
    <w:p w14:paraId="1C38A66D" w14:textId="455B6E57" w:rsidR="00FF1596" w:rsidRPr="00287229" w:rsidRDefault="00CA7A76" w:rsidP="00A034BA">
      <w:pPr>
        <w:pStyle w:val="Normalparatextwithnumbers"/>
        <w:rPr>
          <w:rStyle w:val="References"/>
          <w:b w:val="0"/>
          <w:bCs w:val="0"/>
          <w:i w:val="0"/>
          <w:iCs w:val="0"/>
        </w:rPr>
      </w:pPr>
      <w:r w:rsidRPr="007021DC">
        <w:rPr>
          <w:rStyle w:val="References"/>
          <w:b w:val="0"/>
          <w:bCs w:val="0"/>
          <w:i w:val="0"/>
          <w:iCs w:val="0"/>
        </w:rPr>
        <w:t xml:space="preserve">Further, Schedule </w:t>
      </w:r>
      <w:r w:rsidR="004C3660">
        <w:rPr>
          <w:rStyle w:val="References"/>
          <w:b w:val="0"/>
          <w:bCs w:val="0"/>
          <w:i w:val="0"/>
          <w:iCs w:val="0"/>
        </w:rPr>
        <w:t>2</w:t>
      </w:r>
      <w:r w:rsidRPr="007021DC">
        <w:rPr>
          <w:rStyle w:val="References"/>
          <w:b w:val="0"/>
          <w:bCs w:val="0"/>
          <w:i w:val="0"/>
          <w:iCs w:val="0"/>
        </w:rPr>
        <w:t xml:space="preserve"> removes references to bodies ‘specified in regulations’ and replaces it with ‘specified in a declaration’ in relation to widely held market bodies to reflect that widely held market bodies are only specified in declarations by ASIC and make clear to readers that they do not need to look to the regulations. The language ‘contravention of previous law’ is also removed as the term is no longer in use. The provision is reframed to reflect the changes.</w:t>
      </w:r>
      <w:r w:rsidR="00D056EC">
        <w:rPr>
          <w:rStyle w:val="References"/>
          <w:b w:val="0"/>
          <w:bCs w:val="0"/>
          <w:i w:val="0"/>
          <w:iCs w:val="0"/>
        </w:rPr>
        <w:t xml:space="preserve"> </w:t>
      </w:r>
      <w:r w:rsidRPr="00337A8A">
        <w:rPr>
          <w:rStyle w:val="References"/>
          <w:b w:val="0"/>
          <w:bCs w:val="0"/>
          <w:i w:val="0"/>
          <w:iCs w:val="0"/>
        </w:rPr>
        <w:br/>
      </w:r>
      <w:r w:rsidRPr="00054900">
        <w:rPr>
          <w:rStyle w:val="References"/>
        </w:rPr>
        <w:t xml:space="preserve">[Schedule </w:t>
      </w:r>
      <w:r w:rsidR="00D5716E">
        <w:rPr>
          <w:rStyle w:val="References"/>
        </w:rPr>
        <w:t>2</w:t>
      </w:r>
      <w:r w:rsidRPr="00054900">
        <w:rPr>
          <w:rStyle w:val="References"/>
        </w:rPr>
        <w:t xml:space="preserve">, items </w:t>
      </w:r>
      <w:r w:rsidR="00A61F91">
        <w:rPr>
          <w:rStyle w:val="References"/>
        </w:rPr>
        <w:t>3</w:t>
      </w:r>
      <w:r w:rsidR="00683EB0">
        <w:rPr>
          <w:rStyle w:val="References"/>
        </w:rPr>
        <w:t>3</w:t>
      </w:r>
      <w:r w:rsidR="00A61F91">
        <w:rPr>
          <w:rStyle w:val="References"/>
        </w:rPr>
        <w:t>, 3</w:t>
      </w:r>
      <w:r w:rsidR="00683EB0">
        <w:rPr>
          <w:rStyle w:val="References"/>
        </w:rPr>
        <w:t>4</w:t>
      </w:r>
      <w:r w:rsidR="00A61F91">
        <w:rPr>
          <w:rStyle w:val="References"/>
        </w:rPr>
        <w:t xml:space="preserve"> and 3</w:t>
      </w:r>
      <w:r w:rsidR="00683EB0">
        <w:rPr>
          <w:rStyle w:val="References"/>
        </w:rPr>
        <w:t>5</w:t>
      </w:r>
      <w:r w:rsidRPr="00054900">
        <w:rPr>
          <w:rStyle w:val="References"/>
        </w:rPr>
        <w:t xml:space="preserve">, section 851I </w:t>
      </w:r>
      <w:r w:rsidR="00E76843" w:rsidRPr="00054900">
        <w:rPr>
          <w:rStyle w:val="References"/>
        </w:rPr>
        <w:t>of the Act</w:t>
      </w:r>
      <w:r w:rsidRPr="00054900">
        <w:rPr>
          <w:rStyle w:val="References"/>
        </w:rPr>
        <w:t>]</w:t>
      </w:r>
    </w:p>
    <w:p w14:paraId="4ECD0DD4" w14:textId="372D4453" w:rsidR="00CD0B44" w:rsidRPr="007021DC" w:rsidRDefault="00CD0B44" w:rsidP="00CD0B44">
      <w:pPr>
        <w:pStyle w:val="Normalparatextwithnumbers"/>
      </w:pPr>
      <w:r w:rsidRPr="007021DC">
        <w:t xml:space="preserve">Schedule </w:t>
      </w:r>
      <w:r>
        <w:t>2</w:t>
      </w:r>
      <w:r w:rsidRPr="007021DC">
        <w:t xml:space="preserve"> removes references to the term ‘widely held market body’ being ‘within the meaning of Division 1 of Part 7.4’. These words are unnecessary as the terms defined in the glossary generally apply Act wide.</w:t>
      </w:r>
      <w:r w:rsidRPr="007021DC">
        <w:br/>
      </w:r>
      <w:r w:rsidRPr="007021DC">
        <w:rPr>
          <w:rStyle w:val="References"/>
        </w:rPr>
        <w:t xml:space="preserve">[Schedule </w:t>
      </w:r>
      <w:r>
        <w:rPr>
          <w:rStyle w:val="References"/>
        </w:rPr>
        <w:t>2</w:t>
      </w:r>
      <w:r w:rsidRPr="007021DC">
        <w:rPr>
          <w:rStyle w:val="References"/>
        </w:rPr>
        <w:t xml:space="preserve">, items </w:t>
      </w:r>
      <w:r w:rsidR="00BD4233">
        <w:rPr>
          <w:rStyle w:val="References"/>
        </w:rPr>
        <w:t>2</w:t>
      </w:r>
      <w:r w:rsidR="001044AF">
        <w:rPr>
          <w:rStyle w:val="References"/>
        </w:rPr>
        <w:t>8, 29</w:t>
      </w:r>
      <w:r>
        <w:rPr>
          <w:rStyle w:val="References"/>
        </w:rPr>
        <w:t xml:space="preserve"> and </w:t>
      </w:r>
      <w:r w:rsidR="00BD4233">
        <w:rPr>
          <w:rStyle w:val="References"/>
        </w:rPr>
        <w:t>3</w:t>
      </w:r>
      <w:r w:rsidR="00A02459">
        <w:rPr>
          <w:rStyle w:val="References"/>
        </w:rPr>
        <w:t>0</w:t>
      </w:r>
      <w:r w:rsidRPr="007021DC">
        <w:rPr>
          <w:rStyle w:val="References"/>
        </w:rPr>
        <w:t>, paragraphs 792A(1)(h) and 821A(1)(g)</w:t>
      </w:r>
      <w:r>
        <w:rPr>
          <w:rStyle w:val="References"/>
        </w:rPr>
        <w:t xml:space="preserve"> of the Act</w:t>
      </w:r>
      <w:r w:rsidRPr="007021DC">
        <w:rPr>
          <w:rStyle w:val="References"/>
        </w:rPr>
        <w:t xml:space="preserve">] </w:t>
      </w:r>
    </w:p>
    <w:p w14:paraId="2B985CF4" w14:textId="66F8689F" w:rsidR="00CD0B44" w:rsidRPr="00287229" w:rsidRDefault="00CD0B44" w:rsidP="00CD0B44">
      <w:pPr>
        <w:pStyle w:val="Normalparatextwithnumbers"/>
        <w:rPr>
          <w:rStyle w:val="References"/>
          <w:b w:val="0"/>
          <w:bCs w:val="0"/>
          <w:i w:val="0"/>
          <w:iCs w:val="0"/>
        </w:rPr>
      </w:pPr>
      <w:r>
        <w:t>Similarly, S</w:t>
      </w:r>
      <w:r w:rsidRPr="007021DC">
        <w:t xml:space="preserve">chedule </w:t>
      </w:r>
      <w:r>
        <w:t>2</w:t>
      </w:r>
      <w:r w:rsidRPr="007021DC">
        <w:t xml:space="preserve"> updates references that rely on terms defined in Division 1 of Part </w:t>
      </w:r>
      <w:proofErr w:type="gramStart"/>
      <w:r w:rsidRPr="007021DC">
        <w:t>7.4</w:t>
      </w:r>
      <w:proofErr w:type="gramEnd"/>
      <w:r w:rsidRPr="007021DC">
        <w:t xml:space="preserve"> so they use more specific labels. It removes the words ‘within the meaning of that Division’ and replaces it with ‘see section 850B’ where an ‘unacceptable control situation’ is referenced.</w:t>
      </w:r>
      <w:r w:rsidRPr="007021DC">
        <w:br/>
      </w:r>
      <w:r w:rsidRPr="007021DC">
        <w:rPr>
          <w:rStyle w:val="References"/>
        </w:rPr>
        <w:t xml:space="preserve">[Schedule </w:t>
      </w:r>
      <w:r>
        <w:rPr>
          <w:rStyle w:val="References"/>
        </w:rPr>
        <w:t>2</w:t>
      </w:r>
      <w:r w:rsidRPr="007021DC">
        <w:rPr>
          <w:rStyle w:val="References"/>
        </w:rPr>
        <w:t xml:space="preserve">, items </w:t>
      </w:r>
      <w:r>
        <w:rPr>
          <w:rStyle w:val="References"/>
        </w:rPr>
        <w:t>2</w:t>
      </w:r>
      <w:r w:rsidR="003260C5">
        <w:rPr>
          <w:rStyle w:val="References"/>
        </w:rPr>
        <w:t>9</w:t>
      </w:r>
      <w:r w:rsidRPr="007021DC">
        <w:rPr>
          <w:rStyle w:val="References"/>
        </w:rPr>
        <w:t xml:space="preserve"> and </w:t>
      </w:r>
      <w:r w:rsidR="00F30D0D">
        <w:rPr>
          <w:rStyle w:val="References"/>
        </w:rPr>
        <w:t>31</w:t>
      </w:r>
      <w:r w:rsidRPr="007021DC">
        <w:rPr>
          <w:rStyle w:val="References"/>
        </w:rPr>
        <w:t>, paragraphs 792A(1)(h) and 821A(1)(g)</w:t>
      </w:r>
      <w:r>
        <w:rPr>
          <w:rStyle w:val="References"/>
        </w:rPr>
        <w:t xml:space="preserve"> of the Act</w:t>
      </w:r>
      <w:r w:rsidRPr="007021DC">
        <w:rPr>
          <w:rStyle w:val="References"/>
        </w:rPr>
        <w:t xml:space="preserve">] </w:t>
      </w:r>
    </w:p>
    <w:p w14:paraId="4B09E232" w14:textId="456CB1B5" w:rsidR="00E80002" w:rsidRPr="007021DC" w:rsidRDefault="00E80002" w:rsidP="00CD0B44">
      <w:pPr>
        <w:pStyle w:val="Normalparatextwithnumbers"/>
      </w:pPr>
      <w:r>
        <w:rPr>
          <w:rStyle w:val="References"/>
          <w:b w:val="0"/>
          <w:bCs w:val="0"/>
          <w:i w:val="0"/>
          <w:iCs w:val="0"/>
        </w:rPr>
        <w:t xml:space="preserve">A decision by ASIC to declare a </w:t>
      </w:r>
      <w:r w:rsidR="00074A4A">
        <w:rPr>
          <w:rStyle w:val="References"/>
          <w:b w:val="0"/>
          <w:bCs w:val="0"/>
          <w:i w:val="0"/>
          <w:iCs w:val="0"/>
        </w:rPr>
        <w:t>body corporate as a widely held market body is not reviewable</w:t>
      </w:r>
      <w:r w:rsidR="00781A68">
        <w:rPr>
          <w:rStyle w:val="References"/>
          <w:b w:val="0"/>
          <w:bCs w:val="0"/>
          <w:i w:val="0"/>
          <w:iCs w:val="0"/>
        </w:rPr>
        <w:t xml:space="preserve"> by the AAT</w:t>
      </w:r>
      <w:r w:rsidR="00074A4A">
        <w:rPr>
          <w:rStyle w:val="References"/>
          <w:b w:val="0"/>
          <w:bCs w:val="0"/>
          <w:i w:val="0"/>
          <w:iCs w:val="0"/>
        </w:rPr>
        <w:t xml:space="preserve">. </w:t>
      </w:r>
      <w:r w:rsidR="00074A4A">
        <w:rPr>
          <w:rStyle w:val="References"/>
          <w:b w:val="0"/>
          <w:bCs w:val="0"/>
          <w:i w:val="0"/>
          <w:iCs w:val="0"/>
        </w:rPr>
        <w:br/>
      </w:r>
      <w:r w:rsidR="00074A4A" w:rsidRPr="00287229">
        <w:rPr>
          <w:rStyle w:val="References"/>
        </w:rPr>
        <w:t>[</w:t>
      </w:r>
      <w:r w:rsidR="00074A4A">
        <w:rPr>
          <w:rStyle w:val="References"/>
        </w:rPr>
        <w:t>Schedule 2, item 3</w:t>
      </w:r>
      <w:r w:rsidR="009E6EB8">
        <w:rPr>
          <w:rStyle w:val="References"/>
        </w:rPr>
        <w:t>6</w:t>
      </w:r>
      <w:r w:rsidR="00074A4A">
        <w:rPr>
          <w:rStyle w:val="References"/>
        </w:rPr>
        <w:t>, paragraph 1317C(</w:t>
      </w:r>
      <w:proofErr w:type="spellStart"/>
      <w:r w:rsidR="00074A4A">
        <w:rPr>
          <w:rStyle w:val="References"/>
        </w:rPr>
        <w:t>gd</w:t>
      </w:r>
      <w:proofErr w:type="spellEnd"/>
      <w:r w:rsidR="00074A4A">
        <w:rPr>
          <w:rStyle w:val="References"/>
        </w:rPr>
        <w:t>) of the Act]</w:t>
      </w:r>
      <w:r w:rsidR="00074A4A" w:rsidRPr="00287229">
        <w:rPr>
          <w:rStyle w:val="References"/>
        </w:rPr>
        <w:t xml:space="preserve"> </w:t>
      </w:r>
      <w:r w:rsidR="00074A4A">
        <w:rPr>
          <w:rStyle w:val="References"/>
          <w:b w:val="0"/>
          <w:bCs w:val="0"/>
          <w:i w:val="0"/>
          <w:iCs w:val="0"/>
        </w:rPr>
        <w:t xml:space="preserve"> </w:t>
      </w:r>
    </w:p>
    <w:p w14:paraId="3796552C" w14:textId="0A3FD4E4" w:rsidR="00F457E2" w:rsidRDefault="001C1817" w:rsidP="00D10880">
      <w:pPr>
        <w:pStyle w:val="Heading5"/>
      </w:pPr>
      <w:r>
        <w:t xml:space="preserve">New matters to be taken into account by ASIC </w:t>
      </w:r>
      <w:r w:rsidR="00ED00D5">
        <w:t xml:space="preserve">in respect of an overseas CS facility </w:t>
      </w:r>
      <w:proofErr w:type="gramStart"/>
      <w:r w:rsidR="00ED00D5">
        <w:t>licence</w:t>
      </w:r>
      <w:proofErr w:type="gramEnd"/>
    </w:p>
    <w:p w14:paraId="4C060907" w14:textId="27B9E26D" w:rsidR="00AB6D2D" w:rsidRPr="00AE1DEC" w:rsidRDefault="00E71B74" w:rsidP="00D10880">
      <w:pPr>
        <w:pStyle w:val="Normalparatextwithnumbers"/>
      </w:pPr>
      <w:r w:rsidRPr="00AE1DEC">
        <w:t>When deciding whether to grant, suspend or cancel a licence, or impose, vary or revoke conditions</w:t>
      </w:r>
      <w:r w:rsidR="00783E64" w:rsidRPr="00AE1DEC">
        <w:t xml:space="preserve"> on a</w:t>
      </w:r>
      <w:r w:rsidR="00792F95" w:rsidRPr="00AE1DEC">
        <w:t>n overseas</w:t>
      </w:r>
      <w:r w:rsidR="00783E64" w:rsidRPr="00AE1DEC">
        <w:t xml:space="preserve"> CS facility licence</w:t>
      </w:r>
      <w:r w:rsidRPr="00AE1DEC">
        <w:t>, ASIC must consider the adequacy of the arrangements in place relating to the governance and operation of</w:t>
      </w:r>
      <w:r w:rsidR="001A10CA" w:rsidRPr="00AE1DEC">
        <w:t xml:space="preserve"> the</w:t>
      </w:r>
      <w:r w:rsidRPr="00AE1DEC">
        <w:t xml:space="preserve"> CS facility</w:t>
      </w:r>
      <w:r w:rsidR="00D66E4C" w:rsidRPr="00AE1DEC">
        <w:t xml:space="preserve">. ASIC must </w:t>
      </w:r>
      <w:r w:rsidR="00C45B17" w:rsidRPr="00AE1DEC">
        <w:t>consider</w:t>
      </w:r>
      <w:r w:rsidRPr="00AE1DEC">
        <w:t xml:space="preserve"> </w:t>
      </w:r>
      <w:r w:rsidR="00273019" w:rsidRPr="00AE1DEC">
        <w:t xml:space="preserve">the adequacy of </w:t>
      </w:r>
      <w:r w:rsidRPr="00AE1DEC">
        <w:t xml:space="preserve">these arrangements </w:t>
      </w:r>
      <w:r w:rsidR="00273019" w:rsidRPr="00AE1DEC">
        <w:t xml:space="preserve">with respect to their impact </w:t>
      </w:r>
      <w:r w:rsidRPr="00AE1DEC">
        <w:t>on</w:t>
      </w:r>
      <w:r w:rsidR="00273019" w:rsidRPr="00AE1DEC">
        <w:t xml:space="preserve"> </w:t>
      </w:r>
      <w:r w:rsidRPr="00AE1DEC">
        <w:t xml:space="preserve">Australian financial </w:t>
      </w:r>
      <w:r w:rsidR="00805C26" w:rsidRPr="00AE1DEC">
        <w:t xml:space="preserve">system </w:t>
      </w:r>
      <w:r w:rsidRPr="00AE1DEC">
        <w:t>stability,</w:t>
      </w:r>
      <w:r w:rsidR="00273019" w:rsidRPr="00AE1DEC">
        <w:t xml:space="preserve"> the </w:t>
      </w:r>
      <w:r w:rsidRPr="00AE1DEC">
        <w:t>fair and effective provision of the CS facility licensee’s services and public confidence and integrity in Australia.</w:t>
      </w:r>
      <w:r w:rsidRPr="00AE1DEC">
        <w:br/>
      </w:r>
      <w:r w:rsidRPr="00AE1DEC">
        <w:rPr>
          <w:rStyle w:val="References"/>
        </w:rPr>
        <w:t xml:space="preserve">[Schedule </w:t>
      </w:r>
      <w:r w:rsidR="00027414" w:rsidRPr="00AE1DEC">
        <w:rPr>
          <w:rStyle w:val="References"/>
        </w:rPr>
        <w:t>2</w:t>
      </w:r>
      <w:r w:rsidRPr="00AE1DEC">
        <w:rPr>
          <w:rStyle w:val="References"/>
        </w:rPr>
        <w:t>, item</w:t>
      </w:r>
      <w:r w:rsidR="00FC1BF0">
        <w:rPr>
          <w:rStyle w:val="References"/>
        </w:rPr>
        <w:t xml:space="preserve"> 68</w:t>
      </w:r>
      <w:r w:rsidR="00CD695A" w:rsidRPr="00AE1DEC">
        <w:rPr>
          <w:rStyle w:val="References"/>
        </w:rPr>
        <w:t xml:space="preserve">, </w:t>
      </w:r>
      <w:r w:rsidRPr="00AE1DEC">
        <w:rPr>
          <w:rStyle w:val="References"/>
        </w:rPr>
        <w:t>subsection 827</w:t>
      </w:r>
      <w:proofErr w:type="gramStart"/>
      <w:r w:rsidRPr="00AE1DEC">
        <w:rPr>
          <w:rStyle w:val="References"/>
        </w:rPr>
        <w:t>A(</w:t>
      </w:r>
      <w:proofErr w:type="gramEnd"/>
      <w:r w:rsidRPr="00AE1DEC">
        <w:rPr>
          <w:rStyle w:val="References"/>
        </w:rPr>
        <w:t>3)]</w:t>
      </w:r>
    </w:p>
    <w:p w14:paraId="2690B7DF" w14:textId="18F49D06" w:rsidR="00B056E5" w:rsidRPr="00176B70" w:rsidRDefault="00B056E5" w:rsidP="00D10880">
      <w:pPr>
        <w:pStyle w:val="Heading5"/>
      </w:pPr>
      <w:r w:rsidRPr="00176B70">
        <w:t xml:space="preserve">Broadening the </w:t>
      </w:r>
      <w:r w:rsidR="004473B5">
        <w:t>existing</w:t>
      </w:r>
      <w:r w:rsidRPr="00176B70">
        <w:t xml:space="preserve"> exemptions power</w:t>
      </w:r>
    </w:p>
    <w:p w14:paraId="34CD75E5" w14:textId="6B51810A" w:rsidR="00C97857" w:rsidRPr="00176B70" w:rsidRDefault="00587563" w:rsidP="00AD1047">
      <w:pPr>
        <w:pStyle w:val="Normalparatextwithnumbers"/>
        <w:rPr>
          <w:rStyle w:val="References"/>
          <w:b w:val="0"/>
          <w:i w:val="0"/>
        </w:rPr>
      </w:pPr>
      <w:r w:rsidRPr="00176B70">
        <w:t xml:space="preserve">The exemptions power is broadened to provide certainty that an exemption could be provided to </w:t>
      </w:r>
      <w:proofErr w:type="gramStart"/>
      <w:r w:rsidRPr="00176B70">
        <w:t>particular operators</w:t>
      </w:r>
      <w:proofErr w:type="gramEnd"/>
      <w:r w:rsidRPr="00176B70">
        <w:t>.</w:t>
      </w:r>
      <w:r w:rsidR="00222111" w:rsidRPr="00176B70">
        <w:t xml:space="preserve"> ASIC may exempt a financial market or class of financial market</w:t>
      </w:r>
      <w:r w:rsidR="009C6AB4" w:rsidRPr="00176B70">
        <w:t xml:space="preserve">, a CS facility or class or CS facility, or a person or class of persons from all or specified provisions of Parts 7.2 and 7.3 </w:t>
      </w:r>
      <w:r w:rsidR="009C6AB4" w:rsidRPr="00176B70">
        <w:lastRenderedPageBreak/>
        <w:t>respectively.</w:t>
      </w:r>
      <w:r w:rsidR="009C6AB4" w:rsidRPr="00176B70">
        <w:br/>
      </w:r>
      <w:r w:rsidR="009C6AB4" w:rsidRPr="00D10880">
        <w:rPr>
          <w:rStyle w:val="References"/>
        </w:rPr>
        <w:t xml:space="preserve">[Schedule </w:t>
      </w:r>
      <w:r w:rsidR="00B561DD" w:rsidRPr="00176B70">
        <w:rPr>
          <w:rStyle w:val="References"/>
        </w:rPr>
        <w:t>2</w:t>
      </w:r>
      <w:r w:rsidR="009C6AB4" w:rsidRPr="00D10880">
        <w:rPr>
          <w:rStyle w:val="References"/>
        </w:rPr>
        <w:t xml:space="preserve">, items </w:t>
      </w:r>
      <w:r w:rsidR="00B561DD" w:rsidRPr="00176B70">
        <w:rPr>
          <w:rStyle w:val="References"/>
        </w:rPr>
        <w:t>4</w:t>
      </w:r>
      <w:r w:rsidR="00F835BA" w:rsidRPr="00176B70">
        <w:rPr>
          <w:rStyle w:val="References"/>
        </w:rPr>
        <w:t>7</w:t>
      </w:r>
      <w:r w:rsidR="00B561DD" w:rsidRPr="00176B70">
        <w:rPr>
          <w:rStyle w:val="References"/>
        </w:rPr>
        <w:t xml:space="preserve"> and 5</w:t>
      </w:r>
      <w:r w:rsidR="00F835BA" w:rsidRPr="00176B70">
        <w:rPr>
          <w:rStyle w:val="References"/>
        </w:rPr>
        <w:t>8</w:t>
      </w:r>
      <w:r w:rsidR="009C6AB4" w:rsidRPr="00D10880">
        <w:rPr>
          <w:rStyle w:val="References"/>
        </w:rPr>
        <w:t xml:space="preserve">, </w:t>
      </w:r>
      <w:r w:rsidR="00B561DD" w:rsidRPr="00176B70">
        <w:rPr>
          <w:rStyle w:val="References"/>
        </w:rPr>
        <w:t>subsections 791</w:t>
      </w:r>
      <w:proofErr w:type="gramStart"/>
      <w:r w:rsidR="00B561DD" w:rsidRPr="00176B70">
        <w:rPr>
          <w:rStyle w:val="References"/>
        </w:rPr>
        <w:t>C(</w:t>
      </w:r>
      <w:proofErr w:type="gramEnd"/>
      <w:r w:rsidR="00B561DD" w:rsidRPr="00176B70">
        <w:rPr>
          <w:rStyle w:val="References"/>
        </w:rPr>
        <w:t>1) and 820C(1)</w:t>
      </w:r>
      <w:r w:rsidR="009C6AB4" w:rsidRPr="00176B70">
        <w:rPr>
          <w:rStyle w:val="References"/>
        </w:rPr>
        <w:t xml:space="preserve"> of </w:t>
      </w:r>
      <w:r w:rsidR="00B561DD" w:rsidRPr="00176B70">
        <w:rPr>
          <w:rStyle w:val="References"/>
        </w:rPr>
        <w:t xml:space="preserve">the </w:t>
      </w:r>
      <w:r w:rsidR="009C6AB4" w:rsidRPr="00176B70">
        <w:rPr>
          <w:rStyle w:val="References"/>
        </w:rPr>
        <w:t>Act</w:t>
      </w:r>
      <w:r w:rsidR="009C6AB4" w:rsidRPr="00D10880">
        <w:rPr>
          <w:rStyle w:val="References"/>
        </w:rPr>
        <w:t xml:space="preserve">] </w:t>
      </w:r>
    </w:p>
    <w:p w14:paraId="6AEA22C3" w14:textId="1EE2DFEC" w:rsidR="0092526C" w:rsidRPr="00176B70" w:rsidRDefault="00E12D23" w:rsidP="00AD1047">
      <w:pPr>
        <w:pStyle w:val="Normalparatextwithnumbers"/>
      </w:pPr>
      <w:r w:rsidRPr="00176B70">
        <w:t xml:space="preserve">As </w:t>
      </w:r>
      <w:r w:rsidR="007E0EB3" w:rsidRPr="00176B70">
        <w:t>it does currently, a</w:t>
      </w:r>
      <w:r w:rsidRPr="00176B70">
        <w:t xml:space="preserve">n exemption may apply unconditionally </w:t>
      </w:r>
      <w:r w:rsidR="007E0EB3" w:rsidRPr="00176B70">
        <w:t>or subject to specified conditions</w:t>
      </w:r>
      <w:r w:rsidR="00F60FAC" w:rsidRPr="00176B70">
        <w:t xml:space="preserve">. </w:t>
      </w:r>
      <w:r w:rsidR="00065034" w:rsidRPr="00176B70">
        <w:t xml:space="preserve">Schedule </w:t>
      </w:r>
      <w:r w:rsidR="00B61400" w:rsidRPr="00176B70">
        <w:t>2</w:t>
      </w:r>
      <w:r w:rsidR="00065034" w:rsidRPr="00176B70">
        <w:t xml:space="preserve"> introduces the term </w:t>
      </w:r>
      <w:r w:rsidR="00065034" w:rsidRPr="00176B70">
        <w:rPr>
          <w:b/>
          <w:i/>
        </w:rPr>
        <w:t xml:space="preserve">exemption duration </w:t>
      </w:r>
      <w:r w:rsidR="00C87261" w:rsidRPr="00176B70">
        <w:t xml:space="preserve">to </w:t>
      </w:r>
      <w:r w:rsidR="00F60FAC" w:rsidRPr="00176B70">
        <w:t xml:space="preserve">clarify that an exemption may apply </w:t>
      </w:r>
      <w:r w:rsidR="007E0EB3" w:rsidRPr="00176B70">
        <w:t>for a specified period or indefinitely.</w:t>
      </w:r>
      <w:r w:rsidR="00002903" w:rsidRPr="00176B70">
        <w:br/>
      </w:r>
      <w:r w:rsidR="00002903" w:rsidRPr="00176B70">
        <w:rPr>
          <w:rStyle w:val="References"/>
        </w:rPr>
        <w:t xml:space="preserve">[Schedule </w:t>
      </w:r>
      <w:r w:rsidR="005254E4" w:rsidRPr="00176B70">
        <w:rPr>
          <w:rStyle w:val="References"/>
        </w:rPr>
        <w:t>2</w:t>
      </w:r>
      <w:r w:rsidR="00002903" w:rsidRPr="00176B70">
        <w:rPr>
          <w:rStyle w:val="References"/>
        </w:rPr>
        <w:t xml:space="preserve">, items </w:t>
      </w:r>
      <w:r w:rsidR="008D21C4" w:rsidRPr="00176B70">
        <w:rPr>
          <w:rStyle w:val="References"/>
        </w:rPr>
        <w:t>47</w:t>
      </w:r>
      <w:r w:rsidR="00002903" w:rsidRPr="00176B70">
        <w:rPr>
          <w:rStyle w:val="References"/>
        </w:rPr>
        <w:t xml:space="preserve"> and </w:t>
      </w:r>
      <w:r w:rsidR="005254E4" w:rsidRPr="00176B70">
        <w:rPr>
          <w:rStyle w:val="References"/>
        </w:rPr>
        <w:t>5</w:t>
      </w:r>
      <w:r w:rsidR="008D21C4" w:rsidRPr="00176B70">
        <w:rPr>
          <w:rStyle w:val="References"/>
        </w:rPr>
        <w:t>8</w:t>
      </w:r>
      <w:r w:rsidR="00002903" w:rsidRPr="00176B70">
        <w:rPr>
          <w:rStyle w:val="References"/>
        </w:rPr>
        <w:t>, subsections 791</w:t>
      </w:r>
      <w:proofErr w:type="gramStart"/>
      <w:r w:rsidR="00002903" w:rsidRPr="00176B70">
        <w:rPr>
          <w:rStyle w:val="References"/>
        </w:rPr>
        <w:t>C(</w:t>
      </w:r>
      <w:proofErr w:type="gramEnd"/>
      <w:r w:rsidR="00002903" w:rsidRPr="00176B70">
        <w:rPr>
          <w:rStyle w:val="References"/>
        </w:rPr>
        <w:t>1) and 820C(1)</w:t>
      </w:r>
      <w:r w:rsidR="006A0465" w:rsidRPr="00176B70">
        <w:rPr>
          <w:rStyle w:val="References"/>
        </w:rPr>
        <w:t xml:space="preserve"> of the Act</w:t>
      </w:r>
      <w:r w:rsidR="00002903" w:rsidRPr="00176B70">
        <w:rPr>
          <w:rStyle w:val="References"/>
        </w:rPr>
        <w:t xml:space="preserve">] </w:t>
      </w:r>
    </w:p>
    <w:p w14:paraId="1294BF41" w14:textId="4048990D" w:rsidR="0092526C" w:rsidRPr="00176B70" w:rsidRDefault="001C462B" w:rsidP="00BA6569">
      <w:pPr>
        <w:pStyle w:val="Normalparatextwithnumbers"/>
        <w:rPr>
          <w:rStyle w:val="References"/>
          <w:b w:val="0"/>
          <w:i w:val="0"/>
        </w:rPr>
      </w:pPr>
      <w:r w:rsidRPr="00176B70">
        <w:t xml:space="preserve">ASIC may extend or shorten the </w:t>
      </w:r>
      <w:r w:rsidR="00474369" w:rsidRPr="00176B70">
        <w:t>exemption duration</w:t>
      </w:r>
      <w:r w:rsidR="000E11B0" w:rsidRPr="00176B70">
        <w:t>.</w:t>
      </w:r>
      <w:r w:rsidR="00810A90" w:rsidRPr="00176B70">
        <w:br/>
      </w:r>
      <w:r w:rsidR="00810A90" w:rsidRPr="00176B70">
        <w:rPr>
          <w:rStyle w:val="References"/>
        </w:rPr>
        <w:t xml:space="preserve">[Schedule </w:t>
      </w:r>
      <w:r w:rsidR="005254E4" w:rsidRPr="00176B70">
        <w:rPr>
          <w:rStyle w:val="References"/>
        </w:rPr>
        <w:t>2</w:t>
      </w:r>
      <w:r w:rsidR="00810A90" w:rsidRPr="00176B70">
        <w:rPr>
          <w:rStyle w:val="References"/>
        </w:rPr>
        <w:t xml:space="preserve">, items </w:t>
      </w:r>
      <w:r w:rsidR="00F2020B" w:rsidRPr="00176B70">
        <w:rPr>
          <w:rStyle w:val="References"/>
        </w:rPr>
        <w:t>4</w:t>
      </w:r>
      <w:r w:rsidR="00094E18" w:rsidRPr="00176B70">
        <w:rPr>
          <w:rStyle w:val="References"/>
        </w:rPr>
        <w:t>8</w:t>
      </w:r>
      <w:r w:rsidR="00810A90" w:rsidRPr="00176B70">
        <w:rPr>
          <w:rStyle w:val="References"/>
        </w:rPr>
        <w:t xml:space="preserve"> and</w:t>
      </w:r>
      <w:r w:rsidR="00A659DB" w:rsidRPr="00176B70">
        <w:rPr>
          <w:rStyle w:val="References"/>
        </w:rPr>
        <w:t xml:space="preserve"> </w:t>
      </w:r>
      <w:r w:rsidR="00F2020B" w:rsidRPr="00176B70">
        <w:rPr>
          <w:rStyle w:val="References"/>
        </w:rPr>
        <w:t>5</w:t>
      </w:r>
      <w:r w:rsidR="00094E18" w:rsidRPr="00176B70">
        <w:rPr>
          <w:rStyle w:val="References"/>
        </w:rPr>
        <w:t>9</w:t>
      </w:r>
      <w:r w:rsidR="00810A90" w:rsidRPr="00176B70">
        <w:rPr>
          <w:rStyle w:val="References"/>
        </w:rPr>
        <w:t xml:space="preserve">, </w:t>
      </w:r>
      <w:r w:rsidR="00762619" w:rsidRPr="00176B70">
        <w:rPr>
          <w:rStyle w:val="References"/>
        </w:rPr>
        <w:t xml:space="preserve">subparagraphs </w:t>
      </w:r>
      <w:r w:rsidR="00B364C5" w:rsidRPr="00176B70">
        <w:rPr>
          <w:rStyle w:val="References"/>
        </w:rPr>
        <w:t>791C(2)(a)(iii)</w:t>
      </w:r>
      <w:r w:rsidR="00C54E5C" w:rsidRPr="00176B70">
        <w:rPr>
          <w:rStyle w:val="References"/>
        </w:rPr>
        <w:t xml:space="preserve"> and 820C(2)(a)(iii)</w:t>
      </w:r>
      <w:r w:rsidR="006A0465" w:rsidRPr="00176B70">
        <w:rPr>
          <w:rStyle w:val="References"/>
        </w:rPr>
        <w:t xml:space="preserve"> of the Act</w:t>
      </w:r>
      <w:r w:rsidR="00810A90" w:rsidRPr="00176B70">
        <w:rPr>
          <w:rStyle w:val="References"/>
        </w:rPr>
        <w:t xml:space="preserve">] </w:t>
      </w:r>
    </w:p>
    <w:p w14:paraId="126E77A3" w14:textId="1DEBFFA8" w:rsidR="0092526C" w:rsidRPr="00176B70" w:rsidRDefault="008F6F74" w:rsidP="0092526C">
      <w:pPr>
        <w:pStyle w:val="Normalparatextwithnumbers"/>
        <w:rPr>
          <w:rStyle w:val="References"/>
          <w:b w:val="0"/>
          <w:i w:val="0"/>
        </w:rPr>
      </w:pPr>
      <w:r w:rsidRPr="00176B70">
        <w:rPr>
          <w:rStyle w:val="References"/>
          <w:b w:val="0"/>
          <w:i w:val="0"/>
        </w:rPr>
        <w:t xml:space="preserve">Consequently, </w:t>
      </w:r>
      <w:r w:rsidR="00250EF4" w:rsidRPr="00176B70">
        <w:rPr>
          <w:rStyle w:val="References"/>
          <w:b w:val="0"/>
          <w:i w:val="0"/>
        </w:rPr>
        <w:t xml:space="preserve">the amendments update other references to the exemption to </w:t>
      </w:r>
      <w:r w:rsidR="007A2A60" w:rsidRPr="00176B70">
        <w:rPr>
          <w:rStyle w:val="References"/>
          <w:b w:val="0"/>
          <w:i w:val="0"/>
        </w:rPr>
        <w:t>clarify that a person can be exempt from operation of Parts 7.2 and 7.3</w:t>
      </w:r>
      <w:r w:rsidR="00E74B21" w:rsidRPr="00176B70">
        <w:rPr>
          <w:rStyle w:val="References"/>
          <w:b w:val="0"/>
          <w:i w:val="0"/>
        </w:rPr>
        <w:t>.</w:t>
      </w:r>
      <w:r w:rsidR="000827DE" w:rsidRPr="00176B70">
        <w:rPr>
          <w:rStyle w:val="References"/>
          <w:b w:val="0"/>
          <w:i w:val="0"/>
        </w:rPr>
        <w:br/>
      </w:r>
      <w:r w:rsidR="000827DE" w:rsidRPr="00176B70">
        <w:rPr>
          <w:rStyle w:val="References"/>
        </w:rPr>
        <w:t xml:space="preserve">[Schedule </w:t>
      </w:r>
      <w:r w:rsidR="006C635A" w:rsidRPr="00176B70">
        <w:rPr>
          <w:rStyle w:val="References"/>
        </w:rPr>
        <w:t>2</w:t>
      </w:r>
      <w:r w:rsidR="000827DE" w:rsidRPr="00176B70">
        <w:rPr>
          <w:rStyle w:val="References"/>
        </w:rPr>
        <w:t xml:space="preserve">, items </w:t>
      </w:r>
      <w:r w:rsidR="006C635A" w:rsidRPr="00176B70">
        <w:rPr>
          <w:rStyle w:val="References"/>
        </w:rPr>
        <w:t>4</w:t>
      </w:r>
      <w:r w:rsidR="00776CA6" w:rsidRPr="00176B70">
        <w:rPr>
          <w:rStyle w:val="References"/>
        </w:rPr>
        <w:t>4</w:t>
      </w:r>
      <w:r w:rsidR="000827DE" w:rsidRPr="00176B70">
        <w:rPr>
          <w:rStyle w:val="References"/>
        </w:rPr>
        <w:t xml:space="preserve">, </w:t>
      </w:r>
      <w:r w:rsidR="00AE6E0B" w:rsidRPr="00176B70">
        <w:rPr>
          <w:rStyle w:val="References"/>
        </w:rPr>
        <w:t>4</w:t>
      </w:r>
      <w:r w:rsidR="00B569EB" w:rsidRPr="00176B70">
        <w:rPr>
          <w:rStyle w:val="References"/>
        </w:rPr>
        <w:t>5</w:t>
      </w:r>
      <w:r w:rsidR="00835FAD" w:rsidRPr="00176B70">
        <w:rPr>
          <w:rStyle w:val="References"/>
        </w:rPr>
        <w:t xml:space="preserve">, </w:t>
      </w:r>
      <w:r w:rsidR="00974208" w:rsidRPr="00176B70">
        <w:rPr>
          <w:rStyle w:val="References"/>
        </w:rPr>
        <w:t>4</w:t>
      </w:r>
      <w:r w:rsidR="00B569EB" w:rsidRPr="00176B70">
        <w:rPr>
          <w:rStyle w:val="References"/>
        </w:rPr>
        <w:t>9</w:t>
      </w:r>
      <w:r w:rsidR="00B45519" w:rsidRPr="00176B70">
        <w:rPr>
          <w:rStyle w:val="References"/>
        </w:rPr>
        <w:t xml:space="preserve">, </w:t>
      </w:r>
      <w:r w:rsidR="00B569EB" w:rsidRPr="00176B70">
        <w:rPr>
          <w:rStyle w:val="References"/>
        </w:rPr>
        <w:t>50</w:t>
      </w:r>
      <w:r w:rsidR="00B05B83" w:rsidRPr="00176B70">
        <w:rPr>
          <w:rStyle w:val="References"/>
        </w:rPr>
        <w:t xml:space="preserve">, </w:t>
      </w:r>
      <w:r w:rsidR="00B569EB" w:rsidRPr="00176B70">
        <w:rPr>
          <w:rStyle w:val="References"/>
        </w:rPr>
        <w:t>51</w:t>
      </w:r>
      <w:r w:rsidR="00B05B83" w:rsidRPr="00176B70">
        <w:rPr>
          <w:rStyle w:val="References"/>
        </w:rPr>
        <w:t xml:space="preserve">, </w:t>
      </w:r>
      <w:r w:rsidR="00AB5313" w:rsidRPr="00176B70">
        <w:rPr>
          <w:rStyle w:val="References"/>
        </w:rPr>
        <w:t>5</w:t>
      </w:r>
      <w:r w:rsidR="00B569EB" w:rsidRPr="00176B70">
        <w:rPr>
          <w:rStyle w:val="References"/>
        </w:rPr>
        <w:t>2</w:t>
      </w:r>
      <w:r w:rsidR="00B05B83" w:rsidRPr="00176B70">
        <w:rPr>
          <w:rStyle w:val="References"/>
        </w:rPr>
        <w:t xml:space="preserve">, </w:t>
      </w:r>
      <w:r w:rsidR="00AB5313" w:rsidRPr="00176B70">
        <w:rPr>
          <w:rStyle w:val="References"/>
        </w:rPr>
        <w:t>5</w:t>
      </w:r>
      <w:r w:rsidR="00B569EB" w:rsidRPr="00176B70">
        <w:rPr>
          <w:rStyle w:val="References"/>
        </w:rPr>
        <w:t>3</w:t>
      </w:r>
      <w:r w:rsidR="00B05B83" w:rsidRPr="00176B70">
        <w:rPr>
          <w:rStyle w:val="References"/>
        </w:rPr>
        <w:t xml:space="preserve">, </w:t>
      </w:r>
      <w:r w:rsidR="002278EF" w:rsidRPr="00176B70">
        <w:rPr>
          <w:rStyle w:val="References"/>
        </w:rPr>
        <w:t>5</w:t>
      </w:r>
      <w:r w:rsidR="00B569EB" w:rsidRPr="00176B70">
        <w:rPr>
          <w:rStyle w:val="References"/>
        </w:rPr>
        <w:t>5</w:t>
      </w:r>
      <w:r w:rsidR="00B05B83" w:rsidRPr="00176B70">
        <w:rPr>
          <w:rStyle w:val="References"/>
        </w:rPr>
        <w:t>,</w:t>
      </w:r>
      <w:r w:rsidR="002278EF" w:rsidRPr="00176B70">
        <w:rPr>
          <w:rStyle w:val="References"/>
        </w:rPr>
        <w:t xml:space="preserve"> </w:t>
      </w:r>
      <w:r w:rsidR="00E20A6A" w:rsidRPr="00176B70">
        <w:rPr>
          <w:rStyle w:val="References"/>
        </w:rPr>
        <w:t>5</w:t>
      </w:r>
      <w:r w:rsidR="00B569EB" w:rsidRPr="00176B70">
        <w:rPr>
          <w:rStyle w:val="References"/>
        </w:rPr>
        <w:t>6</w:t>
      </w:r>
      <w:r w:rsidR="008D35BB" w:rsidRPr="00176B70">
        <w:rPr>
          <w:rStyle w:val="References"/>
        </w:rPr>
        <w:t>,</w:t>
      </w:r>
      <w:r w:rsidR="00C92B69" w:rsidRPr="00176B70">
        <w:rPr>
          <w:rStyle w:val="References"/>
        </w:rPr>
        <w:t xml:space="preserve"> </w:t>
      </w:r>
      <w:r w:rsidR="007942DD" w:rsidRPr="00176B70">
        <w:rPr>
          <w:rStyle w:val="References"/>
        </w:rPr>
        <w:t>60</w:t>
      </w:r>
      <w:r w:rsidR="00C92B69" w:rsidRPr="00176B70">
        <w:rPr>
          <w:rStyle w:val="References"/>
        </w:rPr>
        <w:t xml:space="preserve">, </w:t>
      </w:r>
      <w:r w:rsidR="007942DD" w:rsidRPr="00176B70">
        <w:rPr>
          <w:rStyle w:val="References"/>
        </w:rPr>
        <w:t>61</w:t>
      </w:r>
      <w:r w:rsidR="00C92B69" w:rsidRPr="00176B70">
        <w:rPr>
          <w:rStyle w:val="References"/>
        </w:rPr>
        <w:t xml:space="preserve">, </w:t>
      </w:r>
      <w:r w:rsidR="00A23C67" w:rsidRPr="00176B70">
        <w:rPr>
          <w:rStyle w:val="References"/>
        </w:rPr>
        <w:t>62</w:t>
      </w:r>
      <w:r w:rsidR="00B61A52" w:rsidRPr="00176B70">
        <w:rPr>
          <w:rStyle w:val="References"/>
        </w:rPr>
        <w:t xml:space="preserve"> and 6</w:t>
      </w:r>
      <w:r w:rsidR="00A23C67" w:rsidRPr="00176B70">
        <w:rPr>
          <w:rStyle w:val="References"/>
        </w:rPr>
        <w:t>4</w:t>
      </w:r>
      <w:r w:rsidR="00B61A52" w:rsidRPr="00176B70">
        <w:rPr>
          <w:rStyle w:val="References"/>
        </w:rPr>
        <w:t xml:space="preserve">, </w:t>
      </w:r>
      <w:r w:rsidR="001353DE" w:rsidRPr="00176B70">
        <w:rPr>
          <w:rStyle w:val="References"/>
        </w:rPr>
        <w:t>paragraph</w:t>
      </w:r>
      <w:r w:rsidR="00601CF2" w:rsidRPr="00176B70">
        <w:rPr>
          <w:rStyle w:val="References"/>
        </w:rPr>
        <w:t>s</w:t>
      </w:r>
      <w:r w:rsidR="004C4F39" w:rsidRPr="00176B70">
        <w:rPr>
          <w:rStyle w:val="References"/>
        </w:rPr>
        <w:t xml:space="preserve"> 791A(1)(c)</w:t>
      </w:r>
      <w:r w:rsidR="0048540B" w:rsidRPr="00176B70">
        <w:rPr>
          <w:rStyle w:val="References"/>
        </w:rPr>
        <w:t>, 791C(3)(a), 791C(3)(b),</w:t>
      </w:r>
      <w:r w:rsidR="00601CF2" w:rsidRPr="00176B70">
        <w:rPr>
          <w:rStyle w:val="References"/>
        </w:rPr>
        <w:t xml:space="preserve"> 820A(1)(c)</w:t>
      </w:r>
      <w:r w:rsidR="00301641" w:rsidRPr="00176B70">
        <w:rPr>
          <w:rStyle w:val="References"/>
        </w:rPr>
        <w:t>, 820C(3)(a)</w:t>
      </w:r>
      <w:r w:rsidR="000061CE" w:rsidRPr="00176B70">
        <w:rPr>
          <w:rStyle w:val="References"/>
        </w:rPr>
        <w:t xml:space="preserve"> and 820C(3)(b)</w:t>
      </w:r>
      <w:r w:rsidR="004C4F39" w:rsidRPr="00176B70">
        <w:rPr>
          <w:rStyle w:val="References"/>
        </w:rPr>
        <w:t>,</w:t>
      </w:r>
      <w:r w:rsidR="00601CF2" w:rsidRPr="00176B70">
        <w:rPr>
          <w:rStyle w:val="References"/>
        </w:rPr>
        <w:t xml:space="preserve"> and </w:t>
      </w:r>
      <w:r w:rsidR="0076496A" w:rsidRPr="00176B70">
        <w:rPr>
          <w:rStyle w:val="References"/>
        </w:rPr>
        <w:t xml:space="preserve">subsections </w:t>
      </w:r>
      <w:r w:rsidR="004C4F39" w:rsidRPr="00176B70">
        <w:rPr>
          <w:rStyle w:val="References"/>
        </w:rPr>
        <w:t>791B(ca)</w:t>
      </w:r>
      <w:r w:rsidR="00DF293F" w:rsidRPr="00176B70">
        <w:rPr>
          <w:rStyle w:val="References"/>
        </w:rPr>
        <w:t>, 791C(4),</w:t>
      </w:r>
      <w:r w:rsidR="0076197F" w:rsidRPr="00176B70">
        <w:rPr>
          <w:rStyle w:val="References"/>
        </w:rPr>
        <w:t xml:space="preserve"> </w:t>
      </w:r>
      <w:r w:rsidR="0076496A" w:rsidRPr="00176B70">
        <w:rPr>
          <w:rStyle w:val="References"/>
        </w:rPr>
        <w:t>820B(d)</w:t>
      </w:r>
      <w:r w:rsidR="000061CE" w:rsidRPr="00176B70">
        <w:rPr>
          <w:rStyle w:val="References"/>
        </w:rPr>
        <w:t xml:space="preserve"> and 820C(4)</w:t>
      </w:r>
      <w:r w:rsidR="006A0465" w:rsidRPr="00176B70">
        <w:rPr>
          <w:rStyle w:val="References"/>
        </w:rPr>
        <w:t xml:space="preserve"> of the Act</w:t>
      </w:r>
      <w:r w:rsidR="000827DE" w:rsidRPr="00176B70">
        <w:rPr>
          <w:rStyle w:val="References"/>
        </w:rPr>
        <w:t xml:space="preserve">] </w:t>
      </w:r>
    </w:p>
    <w:p w14:paraId="4AAB908F" w14:textId="705F1370" w:rsidR="00CE0C6D" w:rsidRDefault="00495EAD" w:rsidP="00EF344F">
      <w:pPr>
        <w:pStyle w:val="Heading3"/>
        <w:rPr>
          <w:rFonts w:hint="eastAsia"/>
        </w:rPr>
      </w:pPr>
      <w:bookmarkStart w:id="111" w:name="_Toc152860470"/>
      <w:r>
        <w:t>Amendments relating to f</w:t>
      </w:r>
      <w:r w:rsidR="00FB339B">
        <w:t>inancial markets, CS facilities, d</w:t>
      </w:r>
      <w:r w:rsidR="00FB339B" w:rsidRPr="00AF1CD6">
        <w:t>erivative trade repositories</w:t>
      </w:r>
      <w:r w:rsidR="00FB339B">
        <w:t xml:space="preserve"> and financial benchmark</w:t>
      </w:r>
      <w:r w:rsidR="00D1163C">
        <w:t xml:space="preserve"> </w:t>
      </w:r>
      <w:proofErr w:type="gramStart"/>
      <w:r w:rsidR="00D1163C">
        <w:t>administrator</w:t>
      </w:r>
      <w:r w:rsidR="00FB339B">
        <w:t>s</w:t>
      </w:r>
      <w:bookmarkEnd w:id="111"/>
      <w:proofErr w:type="gramEnd"/>
    </w:p>
    <w:p w14:paraId="0A698F2C" w14:textId="77777777" w:rsidR="001C0C5F" w:rsidRDefault="001C0C5F" w:rsidP="001C0C5F">
      <w:pPr>
        <w:pStyle w:val="Heading5"/>
        <w:numPr>
          <w:ilvl w:val="4"/>
          <w:numId w:val="2"/>
        </w:numPr>
      </w:pPr>
      <w:r>
        <w:t xml:space="preserve">Increases in voting </w:t>
      </w:r>
      <w:proofErr w:type="gramStart"/>
      <w:r>
        <w:t>power</w:t>
      </w:r>
      <w:proofErr w:type="gramEnd"/>
      <w:r>
        <w:t xml:space="preserve">  </w:t>
      </w:r>
    </w:p>
    <w:p w14:paraId="0EA64F19" w14:textId="77777777" w:rsidR="001C0C5F" w:rsidRDefault="001C0C5F" w:rsidP="00A034BA">
      <w:pPr>
        <w:pStyle w:val="Heading6"/>
        <w:rPr>
          <w:rFonts w:hint="eastAsia"/>
        </w:rPr>
      </w:pPr>
      <w:r>
        <w:t xml:space="preserve">Ministerial approval – widely held market </w:t>
      </w:r>
      <w:proofErr w:type="gramStart"/>
      <w:r>
        <w:t>bodies</w:t>
      </w:r>
      <w:proofErr w:type="gramEnd"/>
      <w:r>
        <w:t xml:space="preserve"> </w:t>
      </w:r>
    </w:p>
    <w:p w14:paraId="1D3529D5" w14:textId="0A79A999" w:rsidR="001C0C5F" w:rsidRPr="00734665" w:rsidRDefault="001C0C5F" w:rsidP="00125C2C">
      <w:pPr>
        <w:pStyle w:val="Normalparatextwithnumbers"/>
      </w:pPr>
      <w:bookmarkStart w:id="112" w:name="_Ref152177925"/>
      <w:r w:rsidRPr="00734665">
        <w:t>Currently, a bespoke provision applies in relation to voting power in ASX</w:t>
      </w:r>
      <w:r w:rsidR="00D1163C">
        <w:t xml:space="preserve"> Limited</w:t>
      </w:r>
      <w:r w:rsidRPr="00734665">
        <w:t xml:space="preserve">. </w:t>
      </w:r>
      <w:r w:rsidR="00073EBE">
        <w:t>For a person to exceed 15 per cent voting power:</w:t>
      </w:r>
      <w:bookmarkEnd w:id="112"/>
      <w:r w:rsidR="00073EBE">
        <w:t xml:space="preserve"> </w:t>
      </w:r>
    </w:p>
    <w:p w14:paraId="63A1EEB6" w14:textId="663F1BF1" w:rsidR="00742CF7" w:rsidRPr="00734665" w:rsidRDefault="00742CF7" w:rsidP="00742CF7">
      <w:pPr>
        <w:pStyle w:val="Dotpoint1"/>
      </w:pPr>
      <w:r w:rsidRPr="00734665">
        <w:t>in ASX</w:t>
      </w:r>
      <w:r w:rsidR="00D1163C">
        <w:t xml:space="preserve"> Limited</w:t>
      </w:r>
      <w:r w:rsidR="00073EBE">
        <w:t xml:space="preserve"> - </w:t>
      </w:r>
      <w:r>
        <w:t>does</w:t>
      </w:r>
      <w:r w:rsidRPr="00734665">
        <w:t xml:space="preserve"> not need to apply for approval</w:t>
      </w:r>
      <w:r w:rsidR="00073EBE">
        <w:t>, rather</w:t>
      </w:r>
      <w:r w:rsidRPr="00734665">
        <w:t xml:space="preserve"> the regulations may prescribe</w:t>
      </w:r>
      <w:r w:rsidR="001C0C5F" w:rsidRPr="00734665">
        <w:t xml:space="preserve"> a </w:t>
      </w:r>
      <w:r w:rsidRPr="00734665">
        <w:t xml:space="preserve">higher percentage than the </w:t>
      </w:r>
      <w:r w:rsidR="001C0C5F" w:rsidRPr="00734665">
        <w:t xml:space="preserve">15 per cent voting power limit in </w:t>
      </w:r>
      <w:r w:rsidRPr="00734665">
        <w:t xml:space="preserve">ASX </w:t>
      </w:r>
      <w:r w:rsidR="00D1163C">
        <w:t xml:space="preserve">Limited </w:t>
      </w:r>
      <w:r w:rsidRPr="00734665">
        <w:t>that a person can have</w:t>
      </w:r>
      <w:r w:rsidR="00073EBE">
        <w:t>; or</w:t>
      </w:r>
    </w:p>
    <w:p w14:paraId="1B928941" w14:textId="5470E6AE" w:rsidR="001C0C5F" w:rsidRPr="00734665" w:rsidRDefault="00073EBE" w:rsidP="001C0C5F">
      <w:pPr>
        <w:pStyle w:val="Dotpoint1"/>
      </w:pPr>
      <w:r w:rsidRPr="00073EBE">
        <w:t xml:space="preserve">in </w:t>
      </w:r>
      <w:r w:rsidR="001C0C5F" w:rsidRPr="00734665">
        <w:t xml:space="preserve">a widely held market body other than the ASX </w:t>
      </w:r>
      <w:r w:rsidR="00D1163C">
        <w:t xml:space="preserve">Limited </w:t>
      </w:r>
      <w:r w:rsidR="001C0C5F" w:rsidRPr="00734665">
        <w:t xml:space="preserve">– </w:t>
      </w:r>
      <w:r>
        <w:t xml:space="preserve">must </w:t>
      </w:r>
      <w:r w:rsidR="001C0C5F" w:rsidRPr="00734665">
        <w:t xml:space="preserve">lodge an application </w:t>
      </w:r>
      <w:r>
        <w:t xml:space="preserve">with ASIC </w:t>
      </w:r>
      <w:r w:rsidR="00742CF7">
        <w:t>where</w:t>
      </w:r>
      <w:r w:rsidR="001C0C5F" w:rsidRPr="00734665">
        <w:t xml:space="preserve"> the Minister may approv</w:t>
      </w:r>
      <w:r w:rsidR="00742CF7">
        <w:t>e</w:t>
      </w:r>
      <w:r w:rsidR="001C0C5F" w:rsidRPr="00734665">
        <w:t xml:space="preserve"> that application if the Minister is satisfied that it is in the national interest.</w:t>
      </w:r>
    </w:p>
    <w:p w14:paraId="52698AF3" w14:textId="17F3BF35" w:rsidR="001C0C5F" w:rsidRPr="00734665" w:rsidRDefault="001C0C5F" w:rsidP="00125C2C">
      <w:pPr>
        <w:pStyle w:val="Normalparatextwithnumbers"/>
      </w:pPr>
      <w:bookmarkStart w:id="113" w:name="_Ref152177943"/>
      <w:r w:rsidRPr="00734665">
        <w:t xml:space="preserve">The bespoke ASX </w:t>
      </w:r>
      <w:r w:rsidR="00D1163C">
        <w:t xml:space="preserve">Limited </w:t>
      </w:r>
      <w:r w:rsidRPr="00734665">
        <w:t xml:space="preserve">provision has been repealed to ensure regulatory consistency </w:t>
      </w:r>
      <w:r w:rsidR="0088642E">
        <w:t>aligned with</w:t>
      </w:r>
      <w:r w:rsidRPr="00734665">
        <w:t xml:space="preserve"> </w:t>
      </w:r>
      <w:r w:rsidR="0088642E">
        <w:t xml:space="preserve">the process </w:t>
      </w:r>
      <w:r w:rsidRPr="00734665">
        <w:t>for widely held market bodies. This means if a person seeks to exceed the 15 per cent voting power limit in any widely held market bod</w:t>
      </w:r>
      <w:r w:rsidR="00D1163C">
        <w:t>y</w:t>
      </w:r>
      <w:r w:rsidRPr="00734665">
        <w:t xml:space="preserve"> including the ASX</w:t>
      </w:r>
      <w:r w:rsidR="00D1163C">
        <w:t xml:space="preserve"> Limited</w:t>
      </w:r>
      <w:r w:rsidR="0088642E">
        <w:t xml:space="preserve">, </w:t>
      </w:r>
      <w:r w:rsidRPr="00734665">
        <w:t xml:space="preserve">an application </w:t>
      </w:r>
      <w:r w:rsidR="0088642E">
        <w:t xml:space="preserve">must be </w:t>
      </w:r>
      <w:r w:rsidRPr="00734665">
        <w:t>lodge</w:t>
      </w:r>
      <w:r w:rsidR="0088642E">
        <w:t>d</w:t>
      </w:r>
      <w:r w:rsidRPr="00734665">
        <w:t xml:space="preserve"> with ASIC </w:t>
      </w:r>
      <w:r w:rsidR="0088642E">
        <w:t xml:space="preserve">to </w:t>
      </w:r>
      <w:r w:rsidRPr="00734665">
        <w:t xml:space="preserve">increase </w:t>
      </w:r>
      <w:r w:rsidR="0088642E">
        <w:t>the</w:t>
      </w:r>
      <w:r w:rsidRPr="00734665">
        <w:t xml:space="preserve"> voting power and that application is subject to </w:t>
      </w:r>
      <w:r w:rsidR="00FF6088">
        <w:t>m</w:t>
      </w:r>
      <w:r w:rsidRPr="00734665">
        <w:t>inisterial approval. Regulations may not prescribe a higher percentage in relation to the ASX.</w:t>
      </w:r>
      <w:r w:rsidRPr="00734665">
        <w:rPr>
          <w:rStyle w:val="References"/>
        </w:rPr>
        <w:br/>
        <w:t xml:space="preserve">[Schedule </w:t>
      </w:r>
      <w:r w:rsidR="003C6FD7">
        <w:rPr>
          <w:rStyle w:val="References"/>
        </w:rPr>
        <w:t xml:space="preserve">2, items </w:t>
      </w:r>
      <w:r w:rsidR="00E53A8B">
        <w:rPr>
          <w:rStyle w:val="References"/>
        </w:rPr>
        <w:t>37</w:t>
      </w:r>
      <w:r w:rsidR="003C6FD7">
        <w:rPr>
          <w:rStyle w:val="References"/>
        </w:rPr>
        <w:t>, 3</w:t>
      </w:r>
      <w:r w:rsidR="00E53A8B">
        <w:rPr>
          <w:rStyle w:val="References"/>
        </w:rPr>
        <w:t>8</w:t>
      </w:r>
      <w:r w:rsidR="003C6FD7">
        <w:rPr>
          <w:rStyle w:val="References"/>
        </w:rPr>
        <w:t>, 3</w:t>
      </w:r>
      <w:r w:rsidR="00E53A8B">
        <w:rPr>
          <w:rStyle w:val="References"/>
        </w:rPr>
        <w:t>9</w:t>
      </w:r>
      <w:r w:rsidR="003C6FD7">
        <w:rPr>
          <w:rStyle w:val="References"/>
        </w:rPr>
        <w:t xml:space="preserve"> and </w:t>
      </w:r>
      <w:r w:rsidR="00E53A8B">
        <w:rPr>
          <w:rStyle w:val="References"/>
        </w:rPr>
        <w:t>40</w:t>
      </w:r>
      <w:r w:rsidRPr="00734665">
        <w:rPr>
          <w:rStyle w:val="References"/>
        </w:rPr>
        <w:t>, subsections 850</w:t>
      </w:r>
      <w:proofErr w:type="gramStart"/>
      <w:r w:rsidRPr="00734665">
        <w:rPr>
          <w:rStyle w:val="References"/>
        </w:rPr>
        <w:t>B(</w:t>
      </w:r>
      <w:proofErr w:type="gramEnd"/>
      <w:r w:rsidRPr="00734665">
        <w:rPr>
          <w:rStyle w:val="References"/>
        </w:rPr>
        <w:t>1)</w:t>
      </w:r>
      <w:r w:rsidR="00783814">
        <w:rPr>
          <w:rStyle w:val="References"/>
        </w:rPr>
        <w:t xml:space="preserve"> and </w:t>
      </w:r>
      <w:r w:rsidRPr="00734665">
        <w:rPr>
          <w:rStyle w:val="References"/>
        </w:rPr>
        <w:t>(2)</w:t>
      </w:r>
      <w:r w:rsidR="000352F4">
        <w:rPr>
          <w:rStyle w:val="References"/>
        </w:rPr>
        <w:t xml:space="preserve"> and</w:t>
      </w:r>
      <w:r w:rsidRPr="00734665">
        <w:rPr>
          <w:rStyle w:val="References"/>
        </w:rPr>
        <w:t xml:space="preserve"> 851A(1)</w:t>
      </w:r>
      <w:r w:rsidR="00675066">
        <w:rPr>
          <w:rStyle w:val="References"/>
        </w:rPr>
        <w:t xml:space="preserve"> of the Act</w:t>
      </w:r>
      <w:r w:rsidRPr="00734665">
        <w:rPr>
          <w:rStyle w:val="References"/>
        </w:rPr>
        <w:t>]</w:t>
      </w:r>
      <w:bookmarkEnd w:id="113"/>
      <w:r w:rsidRPr="00734665">
        <w:rPr>
          <w:rStyle w:val="References"/>
        </w:rPr>
        <w:t xml:space="preserve">  </w:t>
      </w:r>
    </w:p>
    <w:p w14:paraId="3604757A" w14:textId="75A3C622" w:rsidR="001C0C5F" w:rsidRDefault="001C0C5F" w:rsidP="001C0C5F">
      <w:pPr>
        <w:pStyle w:val="Heading6"/>
        <w:rPr>
          <w:rFonts w:hint="eastAsia"/>
        </w:rPr>
      </w:pPr>
      <w:r>
        <w:lastRenderedPageBreak/>
        <w:t xml:space="preserve">ASIC approval – all other </w:t>
      </w:r>
      <w:r w:rsidR="00ED613A">
        <w:t xml:space="preserve">FMI </w:t>
      </w:r>
      <w:r w:rsidR="00D1163C">
        <w:t xml:space="preserve">domestic </w:t>
      </w:r>
      <w:r>
        <w:t>bodies corporate</w:t>
      </w:r>
    </w:p>
    <w:p w14:paraId="641BA40E" w14:textId="45D19DB1" w:rsidR="001C0C5F" w:rsidRPr="00471495" w:rsidRDefault="001C0C5F" w:rsidP="00125C2C">
      <w:pPr>
        <w:pStyle w:val="Normalparatextwithnumbers"/>
        <w:rPr>
          <w:rStyle w:val="References"/>
          <w:b w:val="0"/>
          <w:bCs w:val="0"/>
          <w:i w:val="0"/>
          <w:iCs w:val="0"/>
        </w:rPr>
      </w:pPr>
      <w:r w:rsidRPr="00EE092F">
        <w:t xml:space="preserve">ASIC approval is required prior to a person holding more than </w:t>
      </w:r>
      <w:r w:rsidR="007408A5">
        <w:t>15 per cent</w:t>
      </w:r>
      <w:r w:rsidRPr="00EE092F">
        <w:t xml:space="preserve"> voting power in a </w:t>
      </w:r>
      <w:r>
        <w:t xml:space="preserve">body corporate </w:t>
      </w:r>
      <w:r w:rsidRPr="00B96628">
        <w:t>registered under Chapter 2A that is a market licensee, a CS facility licensee, a derivative trade repository licensee or a benchmark administrator licensee (other than a widely held market body).</w:t>
      </w:r>
    </w:p>
    <w:p w14:paraId="1E91363B" w14:textId="0D34C90B" w:rsidR="009237D0" w:rsidRPr="009E78D1" w:rsidRDefault="009E78D1" w:rsidP="009237D0">
      <w:pPr>
        <w:pStyle w:val="Normalparatextwithnumbers"/>
      </w:pPr>
      <w:bookmarkStart w:id="114" w:name="_Ref142056197"/>
      <w:proofErr w:type="gramStart"/>
      <w:r>
        <w:t>A number of</w:t>
      </w:r>
      <w:proofErr w:type="gramEnd"/>
      <w:r>
        <w:t xml:space="preserve"> </w:t>
      </w:r>
      <w:r w:rsidR="009237D0" w:rsidRPr="009E78D1">
        <w:t xml:space="preserve">terms </w:t>
      </w:r>
      <w:r>
        <w:t xml:space="preserve">are introduced to assist in approving an application to hold more than 15 per cent voting power, including a </w:t>
      </w:r>
      <w:r w:rsidR="009237D0" w:rsidRPr="009E78D1">
        <w:t>controlled Australian financial body, unacceptable control situation, and passes the legitimate control test</w:t>
      </w:r>
      <w:bookmarkEnd w:id="114"/>
      <w:r w:rsidR="009237D0" w:rsidRPr="009E78D1">
        <w:t>:</w:t>
      </w:r>
    </w:p>
    <w:p w14:paraId="43DA3BCB" w14:textId="77777777" w:rsidR="00F21054" w:rsidRDefault="001D725C" w:rsidP="001D725C">
      <w:pPr>
        <w:pStyle w:val="Dotpoint1"/>
      </w:pPr>
      <w:r>
        <w:t>‘</w:t>
      </w:r>
      <w:proofErr w:type="gramStart"/>
      <w:r>
        <w:rPr>
          <w:b/>
          <w:bCs/>
          <w:i/>
          <w:iCs/>
        </w:rPr>
        <w:t>controlled</w:t>
      </w:r>
      <w:proofErr w:type="gramEnd"/>
      <w:r>
        <w:rPr>
          <w:b/>
          <w:bCs/>
          <w:i/>
          <w:iCs/>
        </w:rPr>
        <w:t xml:space="preserve"> Australian financial body</w:t>
      </w:r>
      <w:r>
        <w:t xml:space="preserve">’ </w:t>
      </w:r>
      <w:r w:rsidR="00C70595">
        <w:t>is a body that is registered under Chapter 2A</w:t>
      </w:r>
      <w:r w:rsidR="00E5706E">
        <w:t>, is not a widely held market body, and is</w:t>
      </w:r>
      <w:r w:rsidR="00446882">
        <w:t xml:space="preserve"> any of the following:</w:t>
      </w:r>
    </w:p>
    <w:p w14:paraId="2634A3BA" w14:textId="77777777" w:rsidR="009237D0" w:rsidRPr="009E78D1" w:rsidRDefault="009237D0" w:rsidP="009237D0">
      <w:pPr>
        <w:pStyle w:val="dotpoint2"/>
      </w:pPr>
      <w:r w:rsidRPr="009E78D1">
        <w:t xml:space="preserve">a market </w:t>
      </w:r>
      <w:proofErr w:type="gramStart"/>
      <w:r w:rsidRPr="009E78D1">
        <w:t>licensee;</w:t>
      </w:r>
      <w:proofErr w:type="gramEnd"/>
    </w:p>
    <w:p w14:paraId="4C79ED43" w14:textId="77777777" w:rsidR="009237D0" w:rsidRPr="009E78D1" w:rsidRDefault="009237D0" w:rsidP="009237D0">
      <w:pPr>
        <w:pStyle w:val="dotpoint2"/>
      </w:pPr>
      <w:r w:rsidRPr="009E78D1">
        <w:t xml:space="preserve">a CS facility </w:t>
      </w:r>
      <w:proofErr w:type="gramStart"/>
      <w:r w:rsidRPr="009E78D1">
        <w:t>licensee;</w:t>
      </w:r>
      <w:proofErr w:type="gramEnd"/>
    </w:p>
    <w:p w14:paraId="7C90033F" w14:textId="77777777" w:rsidR="009237D0" w:rsidRPr="009E78D1" w:rsidRDefault="009237D0" w:rsidP="009237D0">
      <w:pPr>
        <w:pStyle w:val="dotpoint2"/>
      </w:pPr>
      <w:r w:rsidRPr="009E78D1">
        <w:t xml:space="preserve">a derivative trade repository </w:t>
      </w:r>
      <w:proofErr w:type="gramStart"/>
      <w:r w:rsidRPr="009E78D1">
        <w:t>licensee;</w:t>
      </w:r>
      <w:proofErr w:type="gramEnd"/>
    </w:p>
    <w:p w14:paraId="3BD974E8" w14:textId="77777777" w:rsidR="009237D0" w:rsidRPr="009E78D1" w:rsidRDefault="009237D0" w:rsidP="009237D0">
      <w:pPr>
        <w:pStyle w:val="dotpoint2"/>
      </w:pPr>
      <w:r w:rsidRPr="009E78D1">
        <w:t>a benchmark administrator licensee; or</w:t>
      </w:r>
    </w:p>
    <w:p w14:paraId="2066CD36" w14:textId="77777777" w:rsidR="00822EE9" w:rsidRDefault="009237D0" w:rsidP="00822EE9">
      <w:pPr>
        <w:pStyle w:val="dotpoint2"/>
      </w:pPr>
      <w:r w:rsidRPr="009E78D1">
        <w:t>a</w:t>
      </w:r>
      <w:r w:rsidR="00822EE9">
        <w:t xml:space="preserve"> holding company of the any of the above licensees.</w:t>
      </w:r>
    </w:p>
    <w:p w14:paraId="54AA1208" w14:textId="1A7C164E" w:rsidR="00BF28F4" w:rsidRDefault="00BF28F4" w:rsidP="00935A21">
      <w:pPr>
        <w:pStyle w:val="Dotpoint1"/>
      </w:pPr>
      <w:r>
        <w:t>‘</w:t>
      </w:r>
      <w:proofErr w:type="gramStart"/>
      <w:r>
        <w:rPr>
          <w:b/>
          <w:bCs/>
          <w:i/>
          <w:iCs/>
        </w:rPr>
        <w:t>passes</w:t>
      </w:r>
      <w:proofErr w:type="gramEnd"/>
      <w:r>
        <w:rPr>
          <w:b/>
          <w:bCs/>
          <w:i/>
          <w:iCs/>
        </w:rPr>
        <w:t xml:space="preserve"> the legitimate control test</w:t>
      </w:r>
      <w:r w:rsidR="00000AAE">
        <w:t xml:space="preserve">’ </w:t>
      </w:r>
      <w:r w:rsidR="00330A0F">
        <w:t>is where a person</w:t>
      </w:r>
      <w:r w:rsidR="00F575FF">
        <w:t xml:space="preserve">’s </w:t>
      </w:r>
      <w:r w:rsidR="00484A05">
        <w:t>possession</w:t>
      </w:r>
      <w:r w:rsidR="00F575FF">
        <w:t xml:space="preserve"> of</w:t>
      </w:r>
      <w:r w:rsidR="000351F9">
        <w:t xml:space="preserve"> a particular percentage of voting power </w:t>
      </w:r>
      <w:r w:rsidR="00A90095">
        <w:t xml:space="preserve">in a controlled Australian financial body </w:t>
      </w:r>
      <w:r w:rsidR="003546E2">
        <w:t xml:space="preserve">is unlikely to adversely affect </w:t>
      </w:r>
      <w:r w:rsidR="009665C8">
        <w:t xml:space="preserve">the </w:t>
      </w:r>
      <w:r w:rsidR="00D1163C">
        <w:t>relevant licensee</w:t>
      </w:r>
      <w:r w:rsidR="006B7024">
        <w:t>’s ability to meet one or more of its obligations.</w:t>
      </w:r>
      <w:r w:rsidR="00935A21">
        <w:br/>
      </w:r>
      <w:r w:rsidR="00783AC3" w:rsidRPr="00935A21">
        <w:rPr>
          <w:rStyle w:val="References"/>
        </w:rPr>
        <w:t xml:space="preserve">[Schedule </w:t>
      </w:r>
      <w:r w:rsidR="00BF4849">
        <w:rPr>
          <w:rStyle w:val="References"/>
        </w:rPr>
        <w:t>2</w:t>
      </w:r>
      <w:r w:rsidR="00783AC3" w:rsidRPr="00935A21">
        <w:rPr>
          <w:rStyle w:val="References"/>
        </w:rPr>
        <w:t>, item</w:t>
      </w:r>
      <w:r w:rsidR="00C27517" w:rsidRPr="00935A21">
        <w:rPr>
          <w:rStyle w:val="References"/>
        </w:rPr>
        <w:t xml:space="preserve">s </w:t>
      </w:r>
      <w:r w:rsidR="007B0491">
        <w:rPr>
          <w:rStyle w:val="References"/>
        </w:rPr>
        <w:t>41</w:t>
      </w:r>
      <w:r w:rsidR="00BF4849">
        <w:rPr>
          <w:rStyle w:val="References"/>
        </w:rPr>
        <w:t xml:space="preserve"> and </w:t>
      </w:r>
      <w:r w:rsidR="007B0491">
        <w:rPr>
          <w:rStyle w:val="References"/>
        </w:rPr>
        <w:t>42</w:t>
      </w:r>
      <w:r w:rsidR="00783AC3" w:rsidRPr="00935A21">
        <w:rPr>
          <w:rStyle w:val="References"/>
        </w:rPr>
        <w:t xml:space="preserve">, </w:t>
      </w:r>
      <w:r w:rsidR="00D251DF" w:rsidRPr="00935A21">
        <w:rPr>
          <w:rStyle w:val="References"/>
        </w:rPr>
        <w:t>section</w:t>
      </w:r>
      <w:r w:rsidR="00342698" w:rsidRPr="00935A21">
        <w:rPr>
          <w:rStyle w:val="References"/>
        </w:rPr>
        <w:t>s</w:t>
      </w:r>
      <w:r w:rsidR="00D251DF" w:rsidRPr="00935A21">
        <w:rPr>
          <w:rStyle w:val="References"/>
        </w:rPr>
        <w:t xml:space="preserve"> 9</w:t>
      </w:r>
      <w:r w:rsidR="00342698" w:rsidRPr="00935A21">
        <w:rPr>
          <w:rStyle w:val="References"/>
        </w:rPr>
        <w:t>, 852</w:t>
      </w:r>
      <w:r w:rsidR="00A36547" w:rsidRPr="00935A21">
        <w:rPr>
          <w:rStyle w:val="References"/>
        </w:rPr>
        <w:t>D</w:t>
      </w:r>
      <w:r w:rsidR="0067755B" w:rsidRPr="00935A21">
        <w:rPr>
          <w:rStyle w:val="References"/>
        </w:rPr>
        <w:t>A, 852DB and 852DC</w:t>
      </w:r>
      <w:r w:rsidR="00675066" w:rsidRPr="00935A21">
        <w:rPr>
          <w:rStyle w:val="References"/>
        </w:rPr>
        <w:t xml:space="preserve"> of the Act</w:t>
      </w:r>
      <w:r w:rsidR="00783AC3" w:rsidRPr="00935A21">
        <w:rPr>
          <w:rStyle w:val="References"/>
        </w:rPr>
        <w:t>]</w:t>
      </w:r>
      <w:r w:rsidR="00783AC3">
        <w:t xml:space="preserve"> </w:t>
      </w:r>
    </w:p>
    <w:p w14:paraId="2C8D90C1" w14:textId="08704DAE" w:rsidR="00776592" w:rsidRDefault="00A738C3" w:rsidP="00AD1047">
      <w:pPr>
        <w:pStyle w:val="Normalparatextwithnumbers"/>
      </w:pPr>
      <w:r w:rsidRPr="00A738C3">
        <w:t xml:space="preserve">A person may apply for approval to have voting power of more than </w:t>
      </w:r>
      <w:r>
        <w:t>15 per cent</w:t>
      </w:r>
      <w:r w:rsidRPr="00A738C3">
        <w:t xml:space="preserve"> by lodging </w:t>
      </w:r>
      <w:r w:rsidR="00776592">
        <w:t xml:space="preserve">an application </w:t>
      </w:r>
      <w:r w:rsidRPr="00A738C3">
        <w:t xml:space="preserve">with ASIC </w:t>
      </w:r>
      <w:r w:rsidR="00776592">
        <w:t xml:space="preserve">that sets out: </w:t>
      </w:r>
    </w:p>
    <w:p w14:paraId="3ED023B6" w14:textId="77777777" w:rsidR="00776592" w:rsidRDefault="00685D96" w:rsidP="00776592">
      <w:pPr>
        <w:pStyle w:val="Dotpoint1"/>
      </w:pPr>
      <w:r>
        <w:t xml:space="preserve">the percentage of voting power (if any) the person currently has in the </w:t>
      </w:r>
      <w:proofErr w:type="gramStart"/>
      <w:r>
        <w:t>body</w:t>
      </w:r>
      <w:r w:rsidR="00776592">
        <w:t>;</w:t>
      </w:r>
      <w:proofErr w:type="gramEnd"/>
      <w:r w:rsidR="00776592">
        <w:t xml:space="preserve"> </w:t>
      </w:r>
    </w:p>
    <w:p w14:paraId="09E73B51" w14:textId="3B0EC04F" w:rsidR="00776592" w:rsidRDefault="00685D96" w:rsidP="00776592">
      <w:pPr>
        <w:pStyle w:val="Dotpoint1"/>
      </w:pPr>
      <w:r>
        <w:t xml:space="preserve">the percentage of voting power the person </w:t>
      </w:r>
      <w:r w:rsidR="00776592">
        <w:t xml:space="preserve">intends to have </w:t>
      </w:r>
      <w:r>
        <w:t xml:space="preserve">in the </w:t>
      </w:r>
      <w:proofErr w:type="gramStart"/>
      <w:r>
        <w:t>body</w:t>
      </w:r>
      <w:r w:rsidR="00776592">
        <w:t>;</w:t>
      </w:r>
      <w:proofErr w:type="gramEnd"/>
      <w:r w:rsidR="00776592">
        <w:t xml:space="preserve"> </w:t>
      </w:r>
    </w:p>
    <w:p w14:paraId="78A4568D" w14:textId="40BE9158" w:rsidR="00776592" w:rsidRDefault="00685D96" w:rsidP="00776592">
      <w:pPr>
        <w:pStyle w:val="Dotpoint1"/>
      </w:pPr>
      <w:r>
        <w:t>the period the person is seeking the approval fo</w:t>
      </w:r>
      <w:r w:rsidR="00776592">
        <w:t>r (including whether indefinite or not);</w:t>
      </w:r>
      <w:r w:rsidR="0095303E">
        <w:t xml:space="preserve"> and </w:t>
      </w:r>
    </w:p>
    <w:p w14:paraId="1976AD3A" w14:textId="77777777" w:rsidR="00A5288F" w:rsidRDefault="00685D96" w:rsidP="00776592">
      <w:pPr>
        <w:pStyle w:val="Dotpoint1"/>
      </w:pPr>
      <w:r>
        <w:t>the person’s reasons for making the application.</w:t>
      </w:r>
      <w:r w:rsidR="006B6256">
        <w:t xml:space="preserve"> </w:t>
      </w:r>
    </w:p>
    <w:p w14:paraId="1E0E8CC0" w14:textId="64FA87FF" w:rsidR="00776592" w:rsidRDefault="00A5288F" w:rsidP="00287229">
      <w:pPr>
        <w:pStyle w:val="Normalparatextwithnumbers"/>
        <w:numPr>
          <w:ilvl w:val="0"/>
          <w:numId w:val="0"/>
        </w:numPr>
        <w:ind w:left="709"/>
      </w:pPr>
      <w:r>
        <w:t xml:space="preserve">This application must be in the prescribed form. </w:t>
      </w:r>
      <w:r w:rsidR="00776592">
        <w:br/>
      </w:r>
      <w:r w:rsidR="00776592" w:rsidRPr="00E33BD6">
        <w:rPr>
          <w:rStyle w:val="References"/>
        </w:rPr>
        <w:t xml:space="preserve">[Schedule </w:t>
      </w:r>
      <w:r w:rsidR="005C668B">
        <w:rPr>
          <w:rStyle w:val="References"/>
        </w:rPr>
        <w:t>2</w:t>
      </w:r>
      <w:r w:rsidR="00776592" w:rsidRPr="00E33BD6">
        <w:rPr>
          <w:rStyle w:val="References"/>
        </w:rPr>
        <w:t>, item</w:t>
      </w:r>
      <w:r w:rsidR="00776592">
        <w:rPr>
          <w:rStyle w:val="References"/>
        </w:rPr>
        <w:t xml:space="preserve"> </w:t>
      </w:r>
      <w:r w:rsidR="00F303D1">
        <w:rPr>
          <w:rStyle w:val="References"/>
        </w:rPr>
        <w:t>4</w:t>
      </w:r>
      <w:r w:rsidR="00B265D7">
        <w:rPr>
          <w:rStyle w:val="References"/>
        </w:rPr>
        <w:t>2</w:t>
      </w:r>
      <w:r w:rsidR="00776592" w:rsidRPr="00E33BD6">
        <w:rPr>
          <w:rStyle w:val="References"/>
        </w:rPr>
        <w:t xml:space="preserve">, </w:t>
      </w:r>
      <w:r w:rsidR="00776592">
        <w:rPr>
          <w:rStyle w:val="References"/>
        </w:rPr>
        <w:t>section 852D</w:t>
      </w:r>
      <w:r w:rsidR="00D35123">
        <w:rPr>
          <w:rStyle w:val="References"/>
        </w:rPr>
        <w:t>G</w:t>
      </w:r>
      <w:r w:rsidR="00776592">
        <w:rPr>
          <w:rStyle w:val="References"/>
        </w:rPr>
        <w:t xml:space="preserve"> of the Act</w:t>
      </w:r>
      <w:r w:rsidR="00776592" w:rsidRPr="00E33BD6">
        <w:rPr>
          <w:rStyle w:val="References"/>
        </w:rPr>
        <w:t>]</w:t>
      </w:r>
    </w:p>
    <w:p w14:paraId="0F998C4B" w14:textId="0D41D142" w:rsidR="00722659" w:rsidRDefault="00722659" w:rsidP="00AD1047">
      <w:pPr>
        <w:pStyle w:val="Normalparatextwithnumbers"/>
      </w:pPr>
      <w:r>
        <w:t>If information contained in an application is incorrect or ceases to be correct after the application is made, the applicant must, as soon as practicable after the applicant becomes aware of that fact, give ASIC the correct information in writing.</w:t>
      </w:r>
      <w:r>
        <w:br/>
      </w:r>
      <w:r w:rsidRPr="00722659">
        <w:rPr>
          <w:rStyle w:val="References"/>
        </w:rPr>
        <w:t xml:space="preserve">[Schedule </w:t>
      </w:r>
      <w:r w:rsidR="00F303D1">
        <w:rPr>
          <w:rStyle w:val="References"/>
        </w:rPr>
        <w:t>2</w:t>
      </w:r>
      <w:r w:rsidR="00FC4637" w:rsidRPr="00B432BE">
        <w:rPr>
          <w:rStyle w:val="References"/>
        </w:rPr>
        <w:t>, item</w:t>
      </w:r>
      <w:r w:rsidR="00FC4637">
        <w:rPr>
          <w:rStyle w:val="References"/>
        </w:rPr>
        <w:t xml:space="preserve"> </w:t>
      </w:r>
      <w:r w:rsidR="00F303D1">
        <w:rPr>
          <w:rStyle w:val="References"/>
        </w:rPr>
        <w:t>4</w:t>
      </w:r>
      <w:r w:rsidR="00B265D7">
        <w:rPr>
          <w:rStyle w:val="References"/>
        </w:rPr>
        <w:t>2</w:t>
      </w:r>
      <w:r w:rsidR="00FC4637" w:rsidRPr="00B432BE">
        <w:rPr>
          <w:rStyle w:val="References"/>
        </w:rPr>
        <w:t xml:space="preserve">, </w:t>
      </w:r>
      <w:r w:rsidR="00FC4637">
        <w:rPr>
          <w:rStyle w:val="References"/>
        </w:rPr>
        <w:t>section 852DQ</w:t>
      </w:r>
      <w:r w:rsidR="00675066">
        <w:rPr>
          <w:rStyle w:val="References"/>
        </w:rPr>
        <w:t xml:space="preserve"> of the Act</w:t>
      </w:r>
      <w:r w:rsidRPr="00722659">
        <w:rPr>
          <w:rStyle w:val="References"/>
        </w:rPr>
        <w:t xml:space="preserve">] </w:t>
      </w:r>
    </w:p>
    <w:p w14:paraId="7B5CA03C" w14:textId="187D38EC" w:rsidR="00B559A6" w:rsidRDefault="00D35123" w:rsidP="00F26B0D">
      <w:pPr>
        <w:pStyle w:val="Normalparatextwithnumbers"/>
      </w:pPr>
      <w:r w:rsidRPr="00471495">
        <w:t>ASIC must give approval to an applicant if it has no reason to consider that the revised ownership structure will impede the ability of the licensee to meet its obligations under the Act</w:t>
      </w:r>
      <w:r w:rsidR="00951DCA">
        <w:t xml:space="preserve">. </w:t>
      </w:r>
      <w:r w:rsidRPr="00B5468B">
        <w:t>ASIC</w:t>
      </w:r>
      <w:r w:rsidR="00951DCA">
        <w:t xml:space="preserve"> must also</w:t>
      </w:r>
      <w:r w:rsidRPr="00B5468B">
        <w:t xml:space="preserve"> believe relevant information in the </w:t>
      </w:r>
      <w:r w:rsidRPr="00B5468B">
        <w:lastRenderedPageBreak/>
        <w:t>application, or later provided by the applicant, to be correct</w:t>
      </w:r>
      <w:r w:rsidRPr="00471495">
        <w:t>.</w:t>
      </w:r>
      <w:r>
        <w:t xml:space="preserve"> Written notice must be provided to both the applicant and the body corporate </w:t>
      </w:r>
      <w:r w:rsidRPr="00B96628">
        <w:t>registered under Chapter 2A</w:t>
      </w:r>
      <w:r>
        <w:t xml:space="preserve">, notwithstanding whether ASIC approves or refuses to approve an application. </w:t>
      </w:r>
      <w:r w:rsidR="00B559A6">
        <w:br/>
      </w:r>
      <w:r w:rsidR="00B559A6" w:rsidRPr="00B559A6">
        <w:rPr>
          <w:rStyle w:val="References"/>
        </w:rPr>
        <w:t xml:space="preserve">[Schedule </w:t>
      </w:r>
      <w:r w:rsidR="00512D57">
        <w:rPr>
          <w:rStyle w:val="References"/>
        </w:rPr>
        <w:t>2</w:t>
      </w:r>
      <w:r w:rsidR="00B559A6" w:rsidRPr="00B559A6">
        <w:rPr>
          <w:rStyle w:val="References"/>
        </w:rPr>
        <w:t xml:space="preserve">, item </w:t>
      </w:r>
      <w:r w:rsidR="00512D57">
        <w:rPr>
          <w:rStyle w:val="References"/>
        </w:rPr>
        <w:t>4</w:t>
      </w:r>
      <w:r w:rsidR="00B265D7">
        <w:rPr>
          <w:rStyle w:val="References"/>
        </w:rPr>
        <w:t>2</w:t>
      </w:r>
      <w:r w:rsidR="00B559A6" w:rsidRPr="00B559A6">
        <w:rPr>
          <w:rStyle w:val="References"/>
        </w:rPr>
        <w:t>, section 852D</w:t>
      </w:r>
      <w:r w:rsidR="00B559A6">
        <w:rPr>
          <w:rStyle w:val="References"/>
        </w:rPr>
        <w:t>H</w:t>
      </w:r>
      <w:r w:rsidR="00B559A6" w:rsidRPr="00B559A6">
        <w:rPr>
          <w:rStyle w:val="References"/>
        </w:rPr>
        <w:t xml:space="preserve"> of the Act]</w:t>
      </w:r>
    </w:p>
    <w:p w14:paraId="3847B0BB" w14:textId="63119FD7" w:rsidR="00916DC2" w:rsidRPr="00F479D0" w:rsidRDefault="00916DC2" w:rsidP="00916DC2">
      <w:pPr>
        <w:pStyle w:val="Normalparatextwithnumbers"/>
        <w:rPr>
          <w:rStyle w:val="References"/>
          <w:b w:val="0"/>
          <w:i w:val="0"/>
        </w:rPr>
      </w:pPr>
      <w:r>
        <w:t xml:space="preserve">A notice of approval is in force for the duration of the approval as specified in the notice, which may be indefinite. A person may apply to extend that approval by lodging an application with ASIC in the same manner as the initial application (or ASIC can extend on its own initiative). </w:t>
      </w:r>
      <w:r>
        <w:br/>
      </w:r>
      <w:r w:rsidRPr="00ED5655">
        <w:rPr>
          <w:rStyle w:val="References"/>
        </w:rPr>
        <w:t xml:space="preserve">[Schedule </w:t>
      </w:r>
      <w:r w:rsidR="00512D57">
        <w:rPr>
          <w:rStyle w:val="References"/>
        </w:rPr>
        <w:t>2</w:t>
      </w:r>
      <w:r w:rsidRPr="00ED5655">
        <w:rPr>
          <w:rStyle w:val="References"/>
        </w:rPr>
        <w:t>, item</w:t>
      </w:r>
      <w:r>
        <w:rPr>
          <w:rStyle w:val="References"/>
        </w:rPr>
        <w:t xml:space="preserve"> </w:t>
      </w:r>
      <w:r w:rsidR="00512D57">
        <w:rPr>
          <w:rStyle w:val="References"/>
        </w:rPr>
        <w:t>4</w:t>
      </w:r>
      <w:r w:rsidR="00A236B4">
        <w:rPr>
          <w:rStyle w:val="References"/>
        </w:rPr>
        <w:t>2</w:t>
      </w:r>
      <w:r w:rsidRPr="00ED5655">
        <w:rPr>
          <w:rStyle w:val="References"/>
        </w:rPr>
        <w:t xml:space="preserve">, </w:t>
      </w:r>
      <w:r>
        <w:rPr>
          <w:rStyle w:val="References"/>
        </w:rPr>
        <w:t>sections 852DJ and 852DJA of the Act</w:t>
      </w:r>
      <w:r w:rsidRPr="00ED5655">
        <w:rPr>
          <w:rStyle w:val="References"/>
        </w:rPr>
        <w:t xml:space="preserve">] </w:t>
      </w:r>
    </w:p>
    <w:p w14:paraId="1FDD5B05" w14:textId="173AFA7E" w:rsidR="00A51C43" w:rsidRDefault="00A51C43" w:rsidP="00AD1047">
      <w:pPr>
        <w:pStyle w:val="Normalparatextwithnumbers"/>
      </w:pPr>
      <w:r>
        <w:t xml:space="preserve">ASIC has 90 days to </w:t>
      </w:r>
      <w:proofErr w:type="gramStart"/>
      <w:r>
        <w:t>make a decision</w:t>
      </w:r>
      <w:proofErr w:type="gramEnd"/>
      <w:r>
        <w:t xml:space="preserve"> on an application</w:t>
      </w:r>
      <w:r w:rsidR="004F2D66">
        <w:t xml:space="preserve"> and </w:t>
      </w:r>
      <w:r w:rsidR="004F2D66" w:rsidRPr="004F2D66">
        <w:t>may, by written notice given to the applicant, extend th</w:t>
      </w:r>
      <w:r w:rsidR="004F2D66">
        <w:t>is</w:t>
      </w:r>
      <w:r w:rsidR="004F2D66" w:rsidRPr="004F2D66">
        <w:t xml:space="preserve"> period by up to 30 days</w:t>
      </w:r>
      <w:r w:rsidR="004F2D66">
        <w:t>.</w:t>
      </w:r>
      <w:r w:rsidR="001B49BA">
        <w:t xml:space="preserve"> </w:t>
      </w:r>
      <w:r w:rsidR="002215D4">
        <w:t xml:space="preserve">Approval is deemed to have been granted </w:t>
      </w:r>
      <w:r w:rsidR="00201A71">
        <w:t>outside of that period.</w:t>
      </w:r>
      <w:r w:rsidR="006716D1">
        <w:br/>
      </w:r>
      <w:r w:rsidR="006716D1" w:rsidRPr="006716D1">
        <w:rPr>
          <w:rStyle w:val="References"/>
        </w:rPr>
        <w:t>[</w:t>
      </w:r>
      <w:r w:rsidR="006716D1" w:rsidRPr="00B432BE">
        <w:rPr>
          <w:rStyle w:val="References"/>
        </w:rPr>
        <w:t xml:space="preserve">Schedule </w:t>
      </w:r>
      <w:r w:rsidR="00512D57">
        <w:rPr>
          <w:rStyle w:val="References"/>
        </w:rPr>
        <w:t>2</w:t>
      </w:r>
      <w:r w:rsidR="006716D1" w:rsidRPr="00B432BE">
        <w:rPr>
          <w:rStyle w:val="References"/>
        </w:rPr>
        <w:t>, item</w:t>
      </w:r>
      <w:r w:rsidR="006716D1">
        <w:rPr>
          <w:rStyle w:val="References"/>
        </w:rPr>
        <w:t xml:space="preserve"> </w:t>
      </w:r>
      <w:r w:rsidR="00512D57">
        <w:rPr>
          <w:rStyle w:val="References"/>
        </w:rPr>
        <w:t>4</w:t>
      </w:r>
      <w:r w:rsidR="00A236B4">
        <w:rPr>
          <w:rStyle w:val="References"/>
        </w:rPr>
        <w:t>2</w:t>
      </w:r>
      <w:r w:rsidR="006716D1" w:rsidRPr="00B432BE">
        <w:rPr>
          <w:rStyle w:val="References"/>
        </w:rPr>
        <w:t xml:space="preserve">, </w:t>
      </w:r>
      <w:r w:rsidR="00DD486F">
        <w:rPr>
          <w:rStyle w:val="References"/>
        </w:rPr>
        <w:t>sub</w:t>
      </w:r>
      <w:r w:rsidR="006716D1">
        <w:rPr>
          <w:rStyle w:val="References"/>
        </w:rPr>
        <w:t>section 852</w:t>
      </w:r>
      <w:proofErr w:type="gramStart"/>
      <w:r w:rsidR="006716D1">
        <w:rPr>
          <w:rStyle w:val="References"/>
        </w:rPr>
        <w:t>D</w:t>
      </w:r>
      <w:r w:rsidR="0063321A">
        <w:rPr>
          <w:rStyle w:val="References"/>
        </w:rPr>
        <w:t>R</w:t>
      </w:r>
      <w:r w:rsidR="00DD486F">
        <w:rPr>
          <w:rStyle w:val="References"/>
        </w:rPr>
        <w:t>(</w:t>
      </w:r>
      <w:proofErr w:type="gramEnd"/>
      <w:r w:rsidR="00DD486F">
        <w:rPr>
          <w:rStyle w:val="References"/>
        </w:rPr>
        <w:t>4)</w:t>
      </w:r>
      <w:r w:rsidR="00B776BA">
        <w:rPr>
          <w:rStyle w:val="References"/>
        </w:rPr>
        <w:t xml:space="preserve"> of the Act</w:t>
      </w:r>
      <w:r w:rsidR="006716D1" w:rsidRPr="006716D1">
        <w:rPr>
          <w:rStyle w:val="References"/>
        </w:rPr>
        <w:t xml:space="preserve">] </w:t>
      </w:r>
    </w:p>
    <w:p w14:paraId="50FE6CA1" w14:textId="6546A2AF" w:rsidR="009237D0" w:rsidRPr="0021624F" w:rsidRDefault="009237D0" w:rsidP="009237D0">
      <w:pPr>
        <w:pStyle w:val="Normalparatextwithnumbers"/>
        <w:rPr>
          <w:rStyle w:val="References"/>
          <w:b w:val="0"/>
          <w:bCs w:val="0"/>
          <w:i w:val="0"/>
          <w:iCs w:val="0"/>
        </w:rPr>
      </w:pPr>
      <w:r>
        <w:t>ASIC may request further information about an application and may</w:t>
      </w:r>
      <w:r>
        <w:tab/>
        <w:t>refuse to consider an application until the applicant gives ASIC the information. The time limit for ASIC’s decision does not apply whilst this occurs.</w:t>
      </w:r>
      <w:r>
        <w:br/>
      </w:r>
      <w:r w:rsidRPr="007E014D">
        <w:rPr>
          <w:rStyle w:val="References"/>
        </w:rPr>
        <w:t>[</w:t>
      </w:r>
      <w:r w:rsidRPr="00B432BE">
        <w:rPr>
          <w:rStyle w:val="References"/>
        </w:rPr>
        <w:t xml:space="preserve">Schedule </w:t>
      </w:r>
      <w:r w:rsidR="00C04147">
        <w:rPr>
          <w:rStyle w:val="References"/>
        </w:rPr>
        <w:t>2</w:t>
      </w:r>
      <w:r w:rsidRPr="00B432BE">
        <w:rPr>
          <w:rStyle w:val="References"/>
        </w:rPr>
        <w:t>, item</w:t>
      </w:r>
      <w:r>
        <w:rPr>
          <w:rStyle w:val="References"/>
        </w:rPr>
        <w:t xml:space="preserve"> </w:t>
      </w:r>
      <w:r w:rsidR="00C04147">
        <w:rPr>
          <w:rStyle w:val="References"/>
        </w:rPr>
        <w:t>4</w:t>
      </w:r>
      <w:r w:rsidR="00F3238C">
        <w:rPr>
          <w:rStyle w:val="References"/>
        </w:rPr>
        <w:t>2</w:t>
      </w:r>
      <w:r w:rsidRPr="00B432BE">
        <w:rPr>
          <w:rStyle w:val="References"/>
        </w:rPr>
        <w:t xml:space="preserve">, </w:t>
      </w:r>
      <w:r>
        <w:rPr>
          <w:rStyle w:val="References"/>
        </w:rPr>
        <w:t>section 852DP and subsection 852</w:t>
      </w:r>
      <w:proofErr w:type="gramStart"/>
      <w:r>
        <w:rPr>
          <w:rStyle w:val="References"/>
        </w:rPr>
        <w:t>DR(</w:t>
      </w:r>
      <w:proofErr w:type="gramEnd"/>
      <w:r>
        <w:rPr>
          <w:rStyle w:val="References"/>
        </w:rPr>
        <w:t>3) the Act</w:t>
      </w:r>
      <w:r w:rsidRPr="007E014D">
        <w:rPr>
          <w:rStyle w:val="References"/>
        </w:rPr>
        <w:t xml:space="preserve">] </w:t>
      </w:r>
    </w:p>
    <w:p w14:paraId="5865D157" w14:textId="4F7A32CC" w:rsidR="008A77B8" w:rsidRDefault="008A77B8" w:rsidP="008A77B8">
      <w:pPr>
        <w:pStyle w:val="Normalparatextwithnumbers"/>
      </w:pPr>
      <w:r>
        <w:t>ASIC may vary or revoke the notice of approval. In the case of a variation, ASIC may increase or decrease</w:t>
      </w:r>
      <w:r w:rsidRPr="008A77B8">
        <w:t xml:space="preserve"> </w:t>
      </w:r>
      <w:r>
        <w:t>the percentage or duration. The variation or revocation is in force at the time specified in the notice, which must be at least 90 days after the notice is given.</w:t>
      </w:r>
      <w:r>
        <w:br/>
      </w:r>
      <w:r w:rsidRPr="00395CB7">
        <w:rPr>
          <w:rStyle w:val="References"/>
        </w:rPr>
        <w:t xml:space="preserve">[Schedule </w:t>
      </w:r>
      <w:r w:rsidR="00C04147">
        <w:rPr>
          <w:rStyle w:val="References"/>
        </w:rPr>
        <w:t>2</w:t>
      </w:r>
      <w:r w:rsidRPr="00395CB7">
        <w:rPr>
          <w:rStyle w:val="References"/>
        </w:rPr>
        <w:t>, item</w:t>
      </w:r>
      <w:r>
        <w:rPr>
          <w:rStyle w:val="References"/>
        </w:rPr>
        <w:t xml:space="preserve"> </w:t>
      </w:r>
      <w:r w:rsidR="00C04147">
        <w:rPr>
          <w:rStyle w:val="References"/>
        </w:rPr>
        <w:t>4</w:t>
      </w:r>
      <w:r w:rsidR="0097482F">
        <w:rPr>
          <w:rStyle w:val="References"/>
        </w:rPr>
        <w:t>2</w:t>
      </w:r>
      <w:r w:rsidRPr="00395CB7">
        <w:rPr>
          <w:rStyle w:val="References"/>
        </w:rPr>
        <w:t>,</w:t>
      </w:r>
      <w:r>
        <w:rPr>
          <w:rStyle w:val="References"/>
        </w:rPr>
        <w:t xml:space="preserve"> section 852DL and 852DM of the Act</w:t>
      </w:r>
      <w:r w:rsidRPr="00395CB7">
        <w:rPr>
          <w:rStyle w:val="References"/>
        </w:rPr>
        <w:t xml:space="preserve">] </w:t>
      </w:r>
    </w:p>
    <w:p w14:paraId="6C01478E" w14:textId="58219809" w:rsidR="009237D0" w:rsidRPr="0088744B" w:rsidRDefault="009237D0" w:rsidP="009237D0">
      <w:pPr>
        <w:pStyle w:val="Normalparatextwithnumbers"/>
        <w:rPr>
          <w:rStyle w:val="References"/>
          <w:b w:val="0"/>
          <w:i w:val="0"/>
        </w:rPr>
      </w:pPr>
      <w:r w:rsidRPr="00F479D0">
        <w:t>The notice may also specify that the approval is subject to conditions</w:t>
      </w:r>
      <w:r>
        <w:t>. ASIC may impose, vary or revoke</w:t>
      </w:r>
      <w:r w:rsidRPr="005E2365">
        <w:t xml:space="preserve"> conditions after approval</w:t>
      </w:r>
      <w:r>
        <w:t xml:space="preserve"> by written notice. The power is</w:t>
      </w:r>
      <w:r w:rsidRPr="001A48A1">
        <w:t xml:space="preserve"> exercisable on </w:t>
      </w:r>
      <w:r>
        <w:t xml:space="preserve">ASIC’s </w:t>
      </w:r>
      <w:r w:rsidRPr="001A48A1">
        <w:t>own initiative or by application</w:t>
      </w:r>
      <w:r>
        <w:t>.</w:t>
      </w:r>
      <w:r>
        <w:br/>
      </w:r>
      <w:r w:rsidRPr="00FB1A59">
        <w:rPr>
          <w:rStyle w:val="References"/>
        </w:rPr>
        <w:t>[</w:t>
      </w:r>
      <w:r w:rsidRPr="00EC5084">
        <w:rPr>
          <w:rStyle w:val="References"/>
        </w:rPr>
        <w:t xml:space="preserve">Schedule </w:t>
      </w:r>
      <w:r w:rsidR="00C04147">
        <w:rPr>
          <w:rStyle w:val="References"/>
        </w:rPr>
        <w:t>2</w:t>
      </w:r>
      <w:r w:rsidRPr="00EC5084">
        <w:rPr>
          <w:rStyle w:val="References"/>
        </w:rPr>
        <w:t>, item</w:t>
      </w:r>
      <w:r w:rsidR="00C04147">
        <w:rPr>
          <w:rStyle w:val="References"/>
        </w:rPr>
        <w:t xml:space="preserve"> 4</w:t>
      </w:r>
      <w:r w:rsidR="00B32F61">
        <w:rPr>
          <w:rStyle w:val="References"/>
        </w:rPr>
        <w:t>2</w:t>
      </w:r>
      <w:r w:rsidRPr="00EC5084">
        <w:rPr>
          <w:rStyle w:val="References"/>
        </w:rPr>
        <w:t xml:space="preserve">, </w:t>
      </w:r>
      <w:r>
        <w:rPr>
          <w:rStyle w:val="References"/>
        </w:rPr>
        <w:t>section</w:t>
      </w:r>
      <w:r w:rsidR="008A77B8">
        <w:rPr>
          <w:rStyle w:val="References"/>
        </w:rPr>
        <w:t xml:space="preserve"> </w:t>
      </w:r>
      <w:r>
        <w:rPr>
          <w:rStyle w:val="References"/>
        </w:rPr>
        <w:t>852DK of the Act</w:t>
      </w:r>
      <w:r w:rsidRPr="00FB1A59">
        <w:rPr>
          <w:rStyle w:val="References"/>
        </w:rPr>
        <w:t xml:space="preserve">] </w:t>
      </w:r>
    </w:p>
    <w:p w14:paraId="18DE6650" w14:textId="06D72EEA" w:rsidR="009E78D1" w:rsidRPr="009E78D1" w:rsidRDefault="008873AA" w:rsidP="009E78D1">
      <w:pPr>
        <w:pStyle w:val="Heading6"/>
        <w:rPr>
          <w:rFonts w:hint="eastAsia"/>
          <w:iCs/>
        </w:rPr>
      </w:pPr>
      <w:r w:rsidRPr="009E78D1">
        <w:t>Contravention</w:t>
      </w:r>
      <w:r w:rsidR="009E78D1">
        <w:t xml:space="preserve"> provisions </w:t>
      </w:r>
    </w:p>
    <w:p w14:paraId="7787ECEB" w14:textId="7E5897B3" w:rsidR="009E78D1" w:rsidRPr="009E78D1" w:rsidRDefault="009E78D1" w:rsidP="009E78D1">
      <w:pPr>
        <w:pStyle w:val="Normalparatextwithnumbers"/>
      </w:pPr>
      <w:r w:rsidRPr="009E78D1">
        <w:t>It is an offence for a person to acquire shares in a body corporate where acquisition would result in an unacceptable control situation. The penalty for the office provision is 400 penalty units</w:t>
      </w:r>
      <w:r w:rsidR="001E2E72">
        <w:t>.</w:t>
      </w:r>
      <w:r w:rsidR="007E014D">
        <w:br/>
      </w:r>
      <w:r w:rsidR="007E014D" w:rsidRPr="007E014D">
        <w:rPr>
          <w:rStyle w:val="References"/>
        </w:rPr>
        <w:t>[</w:t>
      </w:r>
      <w:r w:rsidR="007E014D" w:rsidRPr="00B432BE">
        <w:rPr>
          <w:rStyle w:val="References"/>
        </w:rPr>
        <w:t xml:space="preserve">Schedule </w:t>
      </w:r>
      <w:r w:rsidR="00C04147">
        <w:rPr>
          <w:rStyle w:val="References"/>
        </w:rPr>
        <w:t>2</w:t>
      </w:r>
      <w:r w:rsidR="007E014D" w:rsidRPr="00B432BE">
        <w:rPr>
          <w:rStyle w:val="References"/>
        </w:rPr>
        <w:t xml:space="preserve">, </w:t>
      </w:r>
      <w:r w:rsidRPr="009E78D1">
        <w:rPr>
          <w:rStyle w:val="References"/>
        </w:rPr>
        <w:t xml:space="preserve">items </w:t>
      </w:r>
      <w:r w:rsidR="00CB03A9">
        <w:rPr>
          <w:rStyle w:val="References"/>
        </w:rPr>
        <w:t>4</w:t>
      </w:r>
      <w:r w:rsidR="006D64A5">
        <w:rPr>
          <w:rStyle w:val="References"/>
        </w:rPr>
        <w:t>2</w:t>
      </w:r>
      <w:r w:rsidRPr="009E78D1">
        <w:rPr>
          <w:rStyle w:val="References"/>
        </w:rPr>
        <w:t xml:space="preserve"> and </w:t>
      </w:r>
      <w:r w:rsidR="00CB03A9">
        <w:rPr>
          <w:rStyle w:val="References"/>
        </w:rPr>
        <w:t>4</w:t>
      </w:r>
      <w:r w:rsidR="006D64A5">
        <w:rPr>
          <w:rStyle w:val="References"/>
        </w:rPr>
        <w:t>3</w:t>
      </w:r>
      <w:r w:rsidR="007E014D" w:rsidRPr="00B432BE">
        <w:rPr>
          <w:rStyle w:val="References"/>
        </w:rPr>
        <w:t xml:space="preserve">, </w:t>
      </w:r>
      <w:r w:rsidR="007E014D">
        <w:rPr>
          <w:rStyle w:val="References"/>
        </w:rPr>
        <w:t xml:space="preserve">section </w:t>
      </w:r>
      <w:r w:rsidRPr="009E78D1">
        <w:rPr>
          <w:rStyle w:val="References"/>
        </w:rPr>
        <w:t>852DD</w:t>
      </w:r>
      <w:r w:rsidR="008C4174">
        <w:rPr>
          <w:rStyle w:val="References"/>
        </w:rPr>
        <w:t xml:space="preserve"> and </w:t>
      </w:r>
      <w:r w:rsidRPr="009E78D1">
        <w:rPr>
          <w:rStyle w:val="References"/>
        </w:rPr>
        <w:t xml:space="preserve">Schedule 3 of the Act] </w:t>
      </w:r>
    </w:p>
    <w:p w14:paraId="2C8BCA8C" w14:textId="54687F3B" w:rsidR="003906C1" w:rsidRPr="0021624F" w:rsidRDefault="009237D0" w:rsidP="00AD1047">
      <w:pPr>
        <w:pStyle w:val="Normalparatextwithnumbers"/>
        <w:rPr>
          <w:rStyle w:val="References"/>
          <w:b w:val="0"/>
          <w:bCs w:val="0"/>
          <w:i w:val="0"/>
          <w:iCs w:val="0"/>
        </w:rPr>
      </w:pPr>
      <w:r w:rsidRPr="0088744B">
        <w:t xml:space="preserve">A person who holds an approval </w:t>
      </w:r>
      <w:r w:rsidR="009E78D1">
        <w:t xml:space="preserve">to increase voting power </w:t>
      </w:r>
      <w:r w:rsidRPr="0088744B">
        <w:t>must give written notice to ASIC if they become aware that they have breached a condition to which the approval is subject.</w:t>
      </w:r>
      <w:r>
        <w:t xml:space="preserve"> Failure to do so is an offence of 200 penalty units.</w:t>
      </w:r>
      <w:r>
        <w:br/>
      </w:r>
      <w:r w:rsidRPr="009E78D1">
        <w:rPr>
          <w:rStyle w:val="References"/>
        </w:rPr>
        <w:t xml:space="preserve">[Schedule </w:t>
      </w:r>
      <w:r w:rsidR="00784F86">
        <w:rPr>
          <w:rStyle w:val="References"/>
        </w:rPr>
        <w:t>2</w:t>
      </w:r>
      <w:r w:rsidRPr="009E78D1">
        <w:rPr>
          <w:rStyle w:val="References"/>
        </w:rPr>
        <w:t xml:space="preserve">, items </w:t>
      </w:r>
      <w:r w:rsidR="002462F3">
        <w:rPr>
          <w:rStyle w:val="References"/>
        </w:rPr>
        <w:t>4</w:t>
      </w:r>
      <w:r w:rsidR="008B30CC">
        <w:rPr>
          <w:rStyle w:val="References"/>
        </w:rPr>
        <w:t>2</w:t>
      </w:r>
      <w:r w:rsidRPr="009E78D1">
        <w:rPr>
          <w:rStyle w:val="References"/>
        </w:rPr>
        <w:t xml:space="preserve"> and </w:t>
      </w:r>
      <w:r w:rsidR="00431774">
        <w:rPr>
          <w:rStyle w:val="References"/>
        </w:rPr>
        <w:t>4</w:t>
      </w:r>
      <w:r w:rsidR="008B30CC">
        <w:rPr>
          <w:rStyle w:val="References"/>
        </w:rPr>
        <w:t>3</w:t>
      </w:r>
      <w:r w:rsidRPr="009E78D1">
        <w:rPr>
          <w:rStyle w:val="References"/>
        </w:rPr>
        <w:t xml:space="preserve">, </w:t>
      </w:r>
      <w:r w:rsidR="008C4174">
        <w:rPr>
          <w:rStyle w:val="References"/>
        </w:rPr>
        <w:t xml:space="preserve">subsection </w:t>
      </w:r>
      <w:r w:rsidRPr="009E78D1">
        <w:rPr>
          <w:rStyle w:val="References"/>
        </w:rPr>
        <w:t>852</w:t>
      </w:r>
      <w:proofErr w:type="gramStart"/>
      <w:r w:rsidRPr="009E78D1">
        <w:rPr>
          <w:rStyle w:val="References"/>
        </w:rPr>
        <w:t>DK(</w:t>
      </w:r>
      <w:proofErr w:type="gramEnd"/>
      <w:r w:rsidRPr="009E78D1">
        <w:rPr>
          <w:rStyle w:val="References"/>
        </w:rPr>
        <w:t>6)</w:t>
      </w:r>
      <w:r w:rsidR="00431774">
        <w:rPr>
          <w:rStyle w:val="References"/>
        </w:rPr>
        <w:t xml:space="preserve"> and Schedule 3</w:t>
      </w:r>
      <w:r w:rsidRPr="009E78D1">
        <w:rPr>
          <w:rStyle w:val="References"/>
        </w:rPr>
        <w:t xml:space="preserve"> of the Act]</w:t>
      </w:r>
      <w:r w:rsidR="007E014D" w:rsidRPr="007E014D">
        <w:rPr>
          <w:rStyle w:val="References"/>
        </w:rPr>
        <w:t xml:space="preserve"> </w:t>
      </w:r>
    </w:p>
    <w:p w14:paraId="17F9BC47" w14:textId="5ACD67E8" w:rsidR="0021624F" w:rsidRPr="00BB3159" w:rsidRDefault="0021624F" w:rsidP="00AD1047">
      <w:pPr>
        <w:pStyle w:val="Normalparatextwithnumbers"/>
        <w:rPr>
          <w:rStyle w:val="References"/>
          <w:b w:val="0"/>
          <w:bCs w:val="0"/>
          <w:i w:val="0"/>
          <w:iCs w:val="0"/>
        </w:rPr>
      </w:pPr>
      <w:r>
        <w:t xml:space="preserve">The Court </w:t>
      </w:r>
      <w:r w:rsidR="00C01041">
        <w:t>has the power to make</w:t>
      </w:r>
      <w:r>
        <w:t xml:space="preserve"> remedial orders</w:t>
      </w:r>
      <w:r w:rsidR="00995AD5">
        <w:t xml:space="preserve"> or </w:t>
      </w:r>
      <w:r w:rsidR="009E5BEC">
        <w:t xml:space="preserve">grant </w:t>
      </w:r>
      <w:r w:rsidR="00995AD5">
        <w:t>injunctions</w:t>
      </w:r>
      <w:r>
        <w:t xml:space="preserve"> </w:t>
      </w:r>
      <w:r w:rsidR="005B130C">
        <w:t>where an unacceptable control situation exists</w:t>
      </w:r>
      <w:r w:rsidR="00BB204B">
        <w:t xml:space="preserve">. This power is </w:t>
      </w:r>
      <w:r w:rsidR="005B130C">
        <w:t xml:space="preserve">intended to enforce the </w:t>
      </w:r>
      <w:r w:rsidR="005B130C">
        <w:lastRenderedPageBreak/>
        <w:t xml:space="preserve">voting control limits for </w:t>
      </w:r>
      <w:r w:rsidR="00BB204B">
        <w:t>licensed bodies.</w:t>
      </w:r>
      <w:r w:rsidR="00BB204B">
        <w:br/>
      </w:r>
      <w:r w:rsidR="00BB204B" w:rsidRPr="00BB204B">
        <w:rPr>
          <w:rStyle w:val="References"/>
        </w:rPr>
        <w:t xml:space="preserve">[Schedule </w:t>
      </w:r>
      <w:r w:rsidR="00431774">
        <w:rPr>
          <w:rStyle w:val="References"/>
        </w:rPr>
        <w:t>2</w:t>
      </w:r>
      <w:r w:rsidR="00BB204B" w:rsidRPr="00BB204B">
        <w:rPr>
          <w:rStyle w:val="References"/>
        </w:rPr>
        <w:t>, item</w:t>
      </w:r>
      <w:r w:rsidR="00BB204B">
        <w:rPr>
          <w:rStyle w:val="References"/>
        </w:rPr>
        <w:t xml:space="preserve"> </w:t>
      </w:r>
      <w:r w:rsidR="00431774">
        <w:rPr>
          <w:rStyle w:val="References"/>
        </w:rPr>
        <w:t>4</w:t>
      </w:r>
      <w:r w:rsidR="006E2BD8">
        <w:rPr>
          <w:rStyle w:val="References"/>
        </w:rPr>
        <w:t>2</w:t>
      </w:r>
      <w:r w:rsidR="00BB204B" w:rsidRPr="00BB204B">
        <w:rPr>
          <w:rStyle w:val="References"/>
        </w:rPr>
        <w:t xml:space="preserve">, </w:t>
      </w:r>
      <w:r w:rsidR="001E6AA9">
        <w:rPr>
          <w:rStyle w:val="References"/>
        </w:rPr>
        <w:t>section</w:t>
      </w:r>
      <w:r w:rsidR="009E5BEC">
        <w:rPr>
          <w:rStyle w:val="References"/>
        </w:rPr>
        <w:t>s</w:t>
      </w:r>
      <w:r w:rsidR="001E6AA9">
        <w:rPr>
          <w:rStyle w:val="References"/>
        </w:rPr>
        <w:t xml:space="preserve"> 852DE</w:t>
      </w:r>
      <w:r w:rsidR="009E5BEC">
        <w:rPr>
          <w:rStyle w:val="References"/>
        </w:rPr>
        <w:t xml:space="preserve"> and 852DF</w:t>
      </w:r>
      <w:r w:rsidR="008C1F14">
        <w:rPr>
          <w:rStyle w:val="References"/>
        </w:rPr>
        <w:t xml:space="preserve"> the Act</w:t>
      </w:r>
      <w:r w:rsidR="00BB204B" w:rsidRPr="00BB204B">
        <w:rPr>
          <w:rStyle w:val="References"/>
        </w:rPr>
        <w:t xml:space="preserve">] </w:t>
      </w:r>
    </w:p>
    <w:p w14:paraId="33FA4373" w14:textId="56C3B4B1" w:rsidR="00BB3159" w:rsidRPr="00BD21AD" w:rsidRDefault="00916DC2" w:rsidP="00AD1047">
      <w:pPr>
        <w:pStyle w:val="Normalparatextwithnumbers"/>
        <w:rPr>
          <w:rStyle w:val="References"/>
          <w:b w:val="0"/>
          <w:bCs w:val="0"/>
          <w:i w:val="0"/>
          <w:iCs w:val="0"/>
        </w:rPr>
      </w:pPr>
      <w:r>
        <w:t xml:space="preserve">To </w:t>
      </w:r>
      <w:r w:rsidR="00BB3159">
        <w:t xml:space="preserve">the </w:t>
      </w:r>
      <w:r>
        <w:t xml:space="preserve">extent that the </w:t>
      </w:r>
      <w:r w:rsidR="009E78D1">
        <w:t>Court order under</w:t>
      </w:r>
      <w:r w:rsidR="00F26CED">
        <w:t xml:space="preserve"> 852DE </w:t>
      </w:r>
      <w:r w:rsidR="00BB3159">
        <w:t>would result in an acquisition of property from a person otherwise than on just terms within the meaning of section 51(xxxi) of the Constitution, the relevant provision will not have any effect.</w:t>
      </w:r>
      <w:r w:rsidR="00643D51">
        <w:br/>
      </w:r>
      <w:r w:rsidR="00643D51" w:rsidRPr="00643D51">
        <w:rPr>
          <w:rStyle w:val="References"/>
        </w:rPr>
        <w:t xml:space="preserve">[Schedule </w:t>
      </w:r>
      <w:r w:rsidR="00431774">
        <w:rPr>
          <w:rStyle w:val="References"/>
        </w:rPr>
        <w:t>2</w:t>
      </w:r>
      <w:r w:rsidR="00643D51" w:rsidRPr="00643D51">
        <w:rPr>
          <w:rStyle w:val="References"/>
        </w:rPr>
        <w:t>, item</w:t>
      </w:r>
      <w:r w:rsidR="00643D51">
        <w:rPr>
          <w:rStyle w:val="References"/>
        </w:rPr>
        <w:t xml:space="preserve"> </w:t>
      </w:r>
      <w:r w:rsidR="00431774">
        <w:rPr>
          <w:rStyle w:val="References"/>
        </w:rPr>
        <w:t>4</w:t>
      </w:r>
      <w:r w:rsidR="006E2BD8">
        <w:rPr>
          <w:rStyle w:val="References"/>
        </w:rPr>
        <w:t>2</w:t>
      </w:r>
      <w:r w:rsidR="00643D51" w:rsidRPr="00643D51">
        <w:rPr>
          <w:rStyle w:val="References"/>
        </w:rPr>
        <w:t xml:space="preserve">, </w:t>
      </w:r>
      <w:r w:rsidR="005F2FAD">
        <w:rPr>
          <w:rStyle w:val="References"/>
        </w:rPr>
        <w:t>section 852DS</w:t>
      </w:r>
      <w:r w:rsidR="008C1F14">
        <w:rPr>
          <w:rStyle w:val="References"/>
        </w:rPr>
        <w:t xml:space="preserve"> the Act</w:t>
      </w:r>
      <w:r w:rsidR="00643D51" w:rsidRPr="00643D51">
        <w:rPr>
          <w:rStyle w:val="References"/>
        </w:rPr>
        <w:t xml:space="preserve">] </w:t>
      </w:r>
    </w:p>
    <w:p w14:paraId="08314C8C" w14:textId="132E56AC" w:rsidR="00904B0C" w:rsidRDefault="00904B0C" w:rsidP="00AD1047">
      <w:pPr>
        <w:pStyle w:val="Normalparatextwithnumbers"/>
      </w:pPr>
      <w:r>
        <w:t>ASIC</w:t>
      </w:r>
      <w:r w:rsidR="00B17308">
        <w:t xml:space="preserve">’s ability to give </w:t>
      </w:r>
      <w:r>
        <w:t xml:space="preserve">anti-avoidance directions </w:t>
      </w:r>
      <w:r w:rsidR="00B17308">
        <w:t>mirrors the Minister’s abil</w:t>
      </w:r>
      <w:r w:rsidR="004E7A36">
        <w:t>ity to give anti-avoidance directions in section 852</w:t>
      </w:r>
      <w:r w:rsidR="003C18D7">
        <w:t>B</w:t>
      </w:r>
      <w:r w:rsidR="004E7A36">
        <w:t>.</w:t>
      </w:r>
      <w:r w:rsidR="003A44A5">
        <w:t xml:space="preserve"> Failure to comply with such a direction is an offence of 400 penalty units.</w:t>
      </w:r>
      <w:r w:rsidR="00D0111D">
        <w:br/>
      </w:r>
      <w:r w:rsidR="00D0111D" w:rsidRPr="00D0111D">
        <w:rPr>
          <w:rStyle w:val="References"/>
        </w:rPr>
        <w:t xml:space="preserve">[Schedule </w:t>
      </w:r>
      <w:r w:rsidR="00784F86">
        <w:rPr>
          <w:rStyle w:val="References"/>
        </w:rPr>
        <w:t>2</w:t>
      </w:r>
      <w:r w:rsidR="00D0111D" w:rsidRPr="00D0111D">
        <w:rPr>
          <w:rStyle w:val="References"/>
        </w:rPr>
        <w:t>, item</w:t>
      </w:r>
      <w:r w:rsidR="00BF74F6">
        <w:rPr>
          <w:rStyle w:val="References"/>
        </w:rPr>
        <w:t>s</w:t>
      </w:r>
      <w:r w:rsidR="00D0111D">
        <w:rPr>
          <w:rStyle w:val="References"/>
        </w:rPr>
        <w:t xml:space="preserve"> </w:t>
      </w:r>
      <w:r w:rsidR="00166464">
        <w:rPr>
          <w:rStyle w:val="References"/>
        </w:rPr>
        <w:t>4</w:t>
      </w:r>
      <w:r w:rsidR="007547EF">
        <w:rPr>
          <w:rStyle w:val="References"/>
        </w:rPr>
        <w:t>2</w:t>
      </w:r>
      <w:r w:rsidR="00BF74F6">
        <w:rPr>
          <w:rStyle w:val="References"/>
        </w:rPr>
        <w:t xml:space="preserve"> and </w:t>
      </w:r>
      <w:r w:rsidR="00166464">
        <w:rPr>
          <w:rStyle w:val="References"/>
        </w:rPr>
        <w:t>4</w:t>
      </w:r>
      <w:r w:rsidR="007547EF">
        <w:rPr>
          <w:rStyle w:val="References"/>
        </w:rPr>
        <w:t>3</w:t>
      </w:r>
      <w:r w:rsidR="00D0111D">
        <w:rPr>
          <w:rStyle w:val="References"/>
        </w:rPr>
        <w:t xml:space="preserve">, section </w:t>
      </w:r>
      <w:r w:rsidR="00287615">
        <w:rPr>
          <w:rStyle w:val="References"/>
        </w:rPr>
        <w:t>852DT</w:t>
      </w:r>
      <w:r w:rsidR="00BF74F6">
        <w:rPr>
          <w:rStyle w:val="References"/>
        </w:rPr>
        <w:t xml:space="preserve"> </w:t>
      </w:r>
      <w:r w:rsidR="00166464">
        <w:rPr>
          <w:rStyle w:val="References"/>
        </w:rPr>
        <w:t xml:space="preserve">and Schedule 3 </w:t>
      </w:r>
      <w:r w:rsidR="00C57855">
        <w:rPr>
          <w:rStyle w:val="References"/>
        </w:rPr>
        <w:t xml:space="preserve">of </w:t>
      </w:r>
      <w:r w:rsidR="008C1F14">
        <w:rPr>
          <w:rStyle w:val="References"/>
        </w:rPr>
        <w:t>the Act</w:t>
      </w:r>
      <w:r w:rsidR="00D0111D" w:rsidRPr="00D0111D">
        <w:rPr>
          <w:rStyle w:val="References"/>
        </w:rPr>
        <w:t xml:space="preserve">] </w:t>
      </w:r>
    </w:p>
    <w:p w14:paraId="48AEE4C2" w14:textId="45D17547" w:rsidR="00B62A13" w:rsidRDefault="002209B0" w:rsidP="00B62A13">
      <w:pPr>
        <w:pStyle w:val="Heading5"/>
      </w:pPr>
      <w:r>
        <w:t>FMI b</w:t>
      </w:r>
      <w:r w:rsidR="00C04845">
        <w:t xml:space="preserve">anning </w:t>
      </w:r>
      <w:proofErr w:type="gramStart"/>
      <w:r w:rsidR="00C04845">
        <w:t>orders</w:t>
      </w:r>
      <w:proofErr w:type="gramEnd"/>
    </w:p>
    <w:p w14:paraId="3AA0708F" w14:textId="118B234C" w:rsidR="00A40F13" w:rsidRDefault="00A40F13" w:rsidP="00A40F13">
      <w:pPr>
        <w:pStyle w:val="Heading6"/>
        <w:rPr>
          <w:rFonts w:hint="eastAsia"/>
        </w:rPr>
      </w:pPr>
      <w:r>
        <w:t xml:space="preserve">Considerations in making a banning </w:t>
      </w:r>
      <w:proofErr w:type="gramStart"/>
      <w:r>
        <w:t>order</w:t>
      </w:r>
      <w:proofErr w:type="gramEnd"/>
    </w:p>
    <w:p w14:paraId="35C5DDEA" w14:textId="04162385" w:rsidR="00652349" w:rsidRDefault="007930B8" w:rsidP="00AD1047">
      <w:pPr>
        <w:pStyle w:val="Normalparatextwithnumbers"/>
      </w:pPr>
      <w:r>
        <w:t xml:space="preserve">The defined terms of </w:t>
      </w:r>
      <w:r>
        <w:rPr>
          <w:b/>
          <w:bCs/>
          <w:i/>
          <w:iCs/>
        </w:rPr>
        <w:t xml:space="preserve">FMI banning order </w:t>
      </w:r>
      <w:r>
        <w:t xml:space="preserve">and </w:t>
      </w:r>
      <w:r>
        <w:rPr>
          <w:b/>
          <w:bCs/>
          <w:i/>
          <w:iCs/>
        </w:rPr>
        <w:t xml:space="preserve">FMI licensee </w:t>
      </w:r>
      <w:r>
        <w:t xml:space="preserve">are inserted into the </w:t>
      </w:r>
      <w:r w:rsidR="00BD1492">
        <w:t>dictionary for the purposes of the banning order provisions. An FMI Banning order is an order made under subsection 853</w:t>
      </w:r>
      <w:proofErr w:type="gramStart"/>
      <w:r w:rsidR="00BD1492">
        <w:t>H(</w:t>
      </w:r>
      <w:proofErr w:type="gramEnd"/>
      <w:r w:rsidR="00BD1492">
        <w:t>1)</w:t>
      </w:r>
      <w:r w:rsidR="007934DF">
        <w:t>. An FMI licensee is a market licensee, CS facility licensee, derivative trade repository licensee, or a benchmark administrator licensee</w:t>
      </w:r>
      <w:r w:rsidR="00A4174B">
        <w:t xml:space="preserve"> as defined in the Act. </w:t>
      </w:r>
    </w:p>
    <w:p w14:paraId="386270A2" w14:textId="5ACA738B" w:rsidR="00A4174B" w:rsidRDefault="00A4174B" w:rsidP="00AD1047">
      <w:pPr>
        <w:pStyle w:val="Normalparatextwithnumbers"/>
      </w:pPr>
      <w:r>
        <w:t xml:space="preserve">A </w:t>
      </w:r>
      <w:r>
        <w:rPr>
          <w:b/>
          <w:bCs/>
          <w:i/>
          <w:iCs/>
        </w:rPr>
        <w:t xml:space="preserve">core officer </w:t>
      </w:r>
      <w:r w:rsidR="005903F2">
        <w:t xml:space="preserve">is a person </w:t>
      </w:r>
      <w:r w:rsidR="00D1386D">
        <w:t xml:space="preserve">covered by paragraphs (a) and (b) of the definition of officer, </w:t>
      </w:r>
      <w:r w:rsidR="00BF2843">
        <w:t xml:space="preserve">that is </w:t>
      </w:r>
      <w:r w:rsidR="00523C23">
        <w:t xml:space="preserve">a director or alternate director of a </w:t>
      </w:r>
      <w:proofErr w:type="gramStart"/>
      <w:r w:rsidR="00523C23">
        <w:t>corporation</w:t>
      </w:r>
      <w:proofErr w:type="gramEnd"/>
      <w:r w:rsidR="00195AA7">
        <w:t xml:space="preserve"> or a person commonly known as a shadow director of a corporation. </w:t>
      </w:r>
      <w:r w:rsidR="00961270">
        <w:br/>
      </w:r>
      <w:r w:rsidR="00961270" w:rsidRPr="00287229">
        <w:rPr>
          <w:rStyle w:val="References"/>
        </w:rPr>
        <w:t xml:space="preserve">[Schedule </w:t>
      </w:r>
      <w:r w:rsidR="00961270">
        <w:rPr>
          <w:rStyle w:val="References"/>
        </w:rPr>
        <w:t>2</w:t>
      </w:r>
      <w:r w:rsidR="00961270" w:rsidRPr="00287229">
        <w:rPr>
          <w:rStyle w:val="References"/>
        </w:rPr>
        <w:t>, ite</w:t>
      </w:r>
      <w:r w:rsidR="00961270">
        <w:rPr>
          <w:rStyle w:val="References"/>
        </w:rPr>
        <w:t>ms 12</w:t>
      </w:r>
      <w:r w:rsidR="00ED20DC">
        <w:rPr>
          <w:rStyle w:val="References"/>
        </w:rPr>
        <w:t>2</w:t>
      </w:r>
      <w:r w:rsidR="008C4293">
        <w:rPr>
          <w:rStyle w:val="References"/>
        </w:rPr>
        <w:t xml:space="preserve"> and </w:t>
      </w:r>
      <w:r w:rsidR="001545F5">
        <w:rPr>
          <w:rStyle w:val="References"/>
        </w:rPr>
        <w:t>13</w:t>
      </w:r>
      <w:r w:rsidR="00ED20DC">
        <w:rPr>
          <w:rStyle w:val="References"/>
        </w:rPr>
        <w:t>5</w:t>
      </w:r>
      <w:r w:rsidR="00961270" w:rsidRPr="00287229">
        <w:rPr>
          <w:rStyle w:val="References"/>
        </w:rPr>
        <w:t xml:space="preserve">, </w:t>
      </w:r>
      <w:r w:rsidR="001545F5">
        <w:rPr>
          <w:rStyle w:val="References"/>
        </w:rPr>
        <w:t>section 9 of the Act</w:t>
      </w:r>
      <w:r w:rsidR="00961270" w:rsidRPr="00287229">
        <w:rPr>
          <w:rStyle w:val="References"/>
        </w:rPr>
        <w:t xml:space="preserve">] </w:t>
      </w:r>
    </w:p>
    <w:p w14:paraId="1ACCBDEB" w14:textId="6E57B4F4" w:rsidR="00012B30" w:rsidRDefault="00AE67DE" w:rsidP="00AD1047">
      <w:pPr>
        <w:pStyle w:val="Normalparatextwithnumbers"/>
      </w:pPr>
      <w:r>
        <w:t xml:space="preserve">The amendments authorise ASIC to making a banning order against an individual </w:t>
      </w:r>
      <w:r w:rsidR="002470C9">
        <w:t xml:space="preserve">if: </w:t>
      </w:r>
    </w:p>
    <w:p w14:paraId="3B4602DD" w14:textId="6CAB7B6B" w:rsidR="00012B30" w:rsidRDefault="00012B30" w:rsidP="00012B30">
      <w:pPr>
        <w:pStyle w:val="Dotpoint1"/>
      </w:pPr>
      <w:r>
        <w:t xml:space="preserve">the individual becomes an insolvent under </w:t>
      </w:r>
      <w:proofErr w:type="gramStart"/>
      <w:r>
        <w:t>administration</w:t>
      </w:r>
      <w:r w:rsidR="00785350">
        <w:t>;</w:t>
      </w:r>
      <w:proofErr w:type="gramEnd"/>
      <w:r w:rsidR="00785350">
        <w:t xml:space="preserve"> </w:t>
      </w:r>
    </w:p>
    <w:p w14:paraId="33F4C27B" w14:textId="2287BACE" w:rsidR="00785350" w:rsidRDefault="00785350" w:rsidP="00287229">
      <w:pPr>
        <w:pStyle w:val="Dotpoint1"/>
      </w:pPr>
      <w:r>
        <w:t xml:space="preserve">the individual is convicted of </w:t>
      </w:r>
      <w:proofErr w:type="gramStart"/>
      <w:r>
        <w:t>fraud</w:t>
      </w:r>
      <w:proofErr w:type="gramEnd"/>
    </w:p>
    <w:p w14:paraId="667906C3" w14:textId="7BB7974C" w:rsidR="00E97045" w:rsidRDefault="00AE67DE" w:rsidP="00785350">
      <w:pPr>
        <w:pStyle w:val="Dotpoint1"/>
      </w:pPr>
      <w:r>
        <w:t xml:space="preserve">ASIC has reason to believe that the individual is not </w:t>
      </w:r>
      <w:r w:rsidR="003169B4" w:rsidRPr="003169B4">
        <w:t>a fit and proper perso</w:t>
      </w:r>
      <w:r w:rsidR="003169B4">
        <w:t>n</w:t>
      </w:r>
      <w:r>
        <w:t xml:space="preserve">, </w:t>
      </w:r>
      <w:r w:rsidR="003169B4">
        <w:t xml:space="preserve">or that the individual </w:t>
      </w:r>
      <w:r>
        <w:t>is not adequately trained or is not competent to</w:t>
      </w:r>
      <w:r w:rsidR="00D05EA8">
        <w:t xml:space="preserve"> perform a function </w:t>
      </w:r>
      <w:r w:rsidR="00D05EA8" w:rsidRPr="00A0217A">
        <w:t>o</w:t>
      </w:r>
      <w:r w:rsidR="00D05EA8" w:rsidRPr="00F03D43">
        <w:t>f</w:t>
      </w:r>
      <w:r w:rsidR="00D05EA8" w:rsidRPr="008354E7">
        <w:t xml:space="preserve"> a</w:t>
      </w:r>
      <w:r w:rsidR="00D05EA8" w:rsidRPr="00706A71">
        <w:t xml:space="preserve"> </w:t>
      </w:r>
      <w:r w:rsidR="00D05EA8" w:rsidRPr="00287229">
        <w:t xml:space="preserve">core officer </w:t>
      </w:r>
      <w:r w:rsidR="00D05EA8" w:rsidRPr="00A0217A">
        <w:t>o</w:t>
      </w:r>
      <w:r w:rsidR="00D05EA8" w:rsidRPr="00F03D43">
        <w:t>f</w:t>
      </w:r>
      <w:r w:rsidR="009C1B82" w:rsidRPr="008354E7">
        <w:t xml:space="preserve"> o</w:t>
      </w:r>
      <w:r w:rsidR="009C1B82" w:rsidRPr="00706A71">
        <w:t>r</w:t>
      </w:r>
      <w:r w:rsidR="009C1B82">
        <w:t xml:space="preserve"> control</w:t>
      </w:r>
      <w:r w:rsidR="00D05EA8">
        <w:t xml:space="preserve"> a </w:t>
      </w:r>
      <w:proofErr w:type="gramStart"/>
      <w:r w:rsidR="00A4174B">
        <w:t>licensee</w:t>
      </w:r>
      <w:r w:rsidR="00E97045">
        <w:t>;</w:t>
      </w:r>
      <w:proofErr w:type="gramEnd"/>
      <w:r w:rsidR="00E97045">
        <w:t xml:space="preserve"> </w:t>
      </w:r>
    </w:p>
    <w:p w14:paraId="4C9AD292" w14:textId="4D343479" w:rsidR="00AE67DE" w:rsidRDefault="00E97045" w:rsidP="00785350">
      <w:pPr>
        <w:pStyle w:val="Dotpoint1"/>
      </w:pPr>
      <w:r>
        <w:t>ASIC has reason to believe the individual is not adequately trained or not competent to perform as a core officer or control a licensee.</w:t>
      </w:r>
    </w:p>
    <w:p w14:paraId="010FDEA4" w14:textId="77777777" w:rsidR="00C74CB2" w:rsidRDefault="00C74CB2" w:rsidP="00C74CB2">
      <w:pPr>
        <w:pStyle w:val="Dotpoint1"/>
      </w:pPr>
      <w:r>
        <w:t xml:space="preserve">has not complied with financial services law or ASIC has reason to believe that they are likely to contravene financial services </w:t>
      </w:r>
      <w:proofErr w:type="gramStart"/>
      <w:r>
        <w:t>law;</w:t>
      </w:r>
      <w:proofErr w:type="gramEnd"/>
    </w:p>
    <w:p w14:paraId="75C4996A" w14:textId="3294AF7E" w:rsidR="00C74CB2" w:rsidRDefault="00C74CB2" w:rsidP="00785350">
      <w:pPr>
        <w:pStyle w:val="Dotpoint1"/>
      </w:pPr>
      <w:r>
        <w:t>has been involved in the contravention of a financial services law by another individual or ASIC has reason to believe that they are likely to become involved in such a contravention;</w:t>
      </w:r>
      <w:r w:rsidR="008F596F">
        <w:t xml:space="preserve"> or</w:t>
      </w:r>
    </w:p>
    <w:p w14:paraId="7205E0DA" w14:textId="66CDD527" w:rsidR="008F596F" w:rsidRDefault="008F596F" w:rsidP="00287229">
      <w:pPr>
        <w:pStyle w:val="Dotpoint1"/>
      </w:pPr>
      <w:r w:rsidRPr="00A724A7">
        <w:t xml:space="preserve">has been a </w:t>
      </w:r>
      <w:r w:rsidRPr="00293A69">
        <w:t>director, secretary or senior manager</w:t>
      </w:r>
      <w:r w:rsidRPr="00A724A7">
        <w:t xml:space="preserve"> of </w:t>
      </w:r>
      <w:r w:rsidR="00C20C63">
        <w:t>1</w:t>
      </w:r>
      <w:r>
        <w:t xml:space="preserve"> or more corporations</w:t>
      </w:r>
      <w:r w:rsidRPr="00A724A7">
        <w:t xml:space="preserve"> unable to pay its debts </w:t>
      </w:r>
      <w:r>
        <w:t>within the last 7 years.</w:t>
      </w:r>
    </w:p>
    <w:p w14:paraId="3E2A175F" w14:textId="03276C4E" w:rsidR="0096640D" w:rsidRDefault="005038D8" w:rsidP="00287229">
      <w:pPr>
        <w:pStyle w:val="Dotpoint1"/>
        <w:numPr>
          <w:ilvl w:val="0"/>
          <w:numId w:val="0"/>
        </w:numPr>
        <w:ind w:left="720" w:hanging="360"/>
      </w:pPr>
      <w:r w:rsidRPr="00BD58ED">
        <w:rPr>
          <w:rStyle w:val="References"/>
        </w:rPr>
        <w:lastRenderedPageBreak/>
        <w:t xml:space="preserve">[Schedule </w:t>
      </w:r>
      <w:r w:rsidR="00242241">
        <w:rPr>
          <w:rStyle w:val="References"/>
        </w:rPr>
        <w:t>2</w:t>
      </w:r>
      <w:r w:rsidRPr="00BD58ED">
        <w:rPr>
          <w:rStyle w:val="References"/>
        </w:rPr>
        <w:t>, item</w:t>
      </w:r>
      <w:r w:rsidR="00654C6A">
        <w:rPr>
          <w:rStyle w:val="References"/>
        </w:rPr>
        <w:t xml:space="preserve"> 1</w:t>
      </w:r>
      <w:r w:rsidR="00242241">
        <w:rPr>
          <w:rStyle w:val="References"/>
        </w:rPr>
        <w:t>3</w:t>
      </w:r>
      <w:r w:rsidR="0015268D">
        <w:rPr>
          <w:rStyle w:val="References"/>
        </w:rPr>
        <w:t>6</w:t>
      </w:r>
      <w:r w:rsidRPr="00BD58ED">
        <w:rPr>
          <w:rStyle w:val="References"/>
        </w:rPr>
        <w:t xml:space="preserve">, </w:t>
      </w:r>
      <w:r w:rsidR="00654C6A">
        <w:rPr>
          <w:rStyle w:val="References"/>
        </w:rPr>
        <w:t xml:space="preserve">sections </w:t>
      </w:r>
      <w:r w:rsidR="00675BF6">
        <w:rPr>
          <w:rStyle w:val="References"/>
        </w:rPr>
        <w:t xml:space="preserve">853H, </w:t>
      </w:r>
      <w:r w:rsidR="00654C6A">
        <w:rPr>
          <w:rStyle w:val="References"/>
        </w:rPr>
        <w:t>853L</w:t>
      </w:r>
      <w:r w:rsidR="00CE47DB">
        <w:rPr>
          <w:rStyle w:val="References"/>
        </w:rPr>
        <w:t xml:space="preserve"> and</w:t>
      </w:r>
      <w:r w:rsidR="00654C6A">
        <w:rPr>
          <w:rStyle w:val="References"/>
        </w:rPr>
        <w:t xml:space="preserve"> 853M of the Act</w:t>
      </w:r>
      <w:r w:rsidRPr="00BD58ED">
        <w:rPr>
          <w:rStyle w:val="References"/>
        </w:rPr>
        <w:t>]</w:t>
      </w:r>
      <w:r>
        <w:t xml:space="preserve"> </w:t>
      </w:r>
    </w:p>
    <w:p w14:paraId="0FEB663E" w14:textId="77777777" w:rsidR="00675BF6" w:rsidRDefault="00675BF6" w:rsidP="00675BF6">
      <w:pPr>
        <w:pStyle w:val="Normalparatextwithnumbers"/>
      </w:pPr>
      <w:r>
        <w:t xml:space="preserve">In determining whether an individual is fit and proper, ASIC must have regard to certain matters including (but not limited to) whether the individual: </w:t>
      </w:r>
    </w:p>
    <w:p w14:paraId="50B8C5E9" w14:textId="4BC32B6D" w:rsidR="00675BF6" w:rsidRDefault="00675BF6" w:rsidP="00675BF6">
      <w:pPr>
        <w:pStyle w:val="Dotpoint1"/>
      </w:pPr>
      <w:r>
        <w:t xml:space="preserve">has ever </w:t>
      </w:r>
      <w:r w:rsidR="005B6A34">
        <w:t>been a core officer of an</w:t>
      </w:r>
      <w:r>
        <w:t xml:space="preserve"> </w:t>
      </w:r>
      <w:r w:rsidRPr="003708BE">
        <w:t xml:space="preserve">Australian market </w:t>
      </w:r>
      <w:r w:rsidR="00FD29E4" w:rsidRPr="003708BE">
        <w:t>license</w:t>
      </w:r>
      <w:r w:rsidR="00FD29E4">
        <w:t>e</w:t>
      </w:r>
      <w:r w:rsidRPr="003708BE">
        <w:t xml:space="preserve">, Australian CS facility </w:t>
      </w:r>
      <w:r w:rsidR="00FD29E4" w:rsidRPr="003708BE">
        <w:t>license</w:t>
      </w:r>
      <w:r w:rsidR="00FD29E4">
        <w:t>e</w:t>
      </w:r>
      <w:r w:rsidRPr="003708BE">
        <w:t xml:space="preserve">, Australian derivative trade repository </w:t>
      </w:r>
      <w:r w:rsidR="00FD29E4" w:rsidRPr="003708BE">
        <w:t>license</w:t>
      </w:r>
      <w:r w:rsidR="00FD29E4">
        <w:t>e</w:t>
      </w:r>
      <w:r w:rsidRPr="003708BE">
        <w:t xml:space="preserve"> or benchmark administrator </w:t>
      </w:r>
      <w:r w:rsidR="00FD29E4" w:rsidRPr="003708BE">
        <w:t>license</w:t>
      </w:r>
      <w:r w:rsidR="00FD29E4">
        <w:t>e</w:t>
      </w:r>
      <w:r w:rsidR="005B6A34">
        <w:t xml:space="preserve"> that has had its licence</w:t>
      </w:r>
      <w:r w:rsidRPr="003708BE">
        <w:t xml:space="preserve"> </w:t>
      </w:r>
      <w:r>
        <w:t xml:space="preserve">suspended or </w:t>
      </w:r>
      <w:proofErr w:type="gramStart"/>
      <w:r>
        <w:t>cancelled;</w:t>
      </w:r>
      <w:proofErr w:type="gramEnd"/>
      <w:r>
        <w:t xml:space="preserve"> </w:t>
      </w:r>
    </w:p>
    <w:p w14:paraId="548527B2" w14:textId="19A68E58" w:rsidR="00675BF6" w:rsidRDefault="00675BF6" w:rsidP="00675BF6">
      <w:pPr>
        <w:pStyle w:val="Dotpoint1"/>
      </w:pPr>
      <w:r>
        <w:t xml:space="preserve">has ever had a banning order or a disqualification order been made against the </w:t>
      </w:r>
      <w:proofErr w:type="gramStart"/>
      <w:r>
        <w:t>person;</w:t>
      </w:r>
      <w:proofErr w:type="gramEnd"/>
      <w:r>
        <w:t xml:space="preserve"> </w:t>
      </w:r>
    </w:p>
    <w:p w14:paraId="7735C7CD" w14:textId="228C530F" w:rsidR="00675BF6" w:rsidRDefault="00675BF6" w:rsidP="00675BF6">
      <w:pPr>
        <w:pStyle w:val="Dotpoint1"/>
      </w:pPr>
      <w:r>
        <w:t xml:space="preserve">is disqualified from managing </w:t>
      </w:r>
      <w:proofErr w:type="gramStart"/>
      <w:r>
        <w:t>corporations;</w:t>
      </w:r>
      <w:proofErr w:type="gramEnd"/>
    </w:p>
    <w:p w14:paraId="14B6A57B" w14:textId="77777777" w:rsidR="00D46A28" w:rsidRDefault="00675BF6" w:rsidP="00675BF6">
      <w:pPr>
        <w:pStyle w:val="Dotpoint1"/>
      </w:pPr>
      <w:r>
        <w:t xml:space="preserve">has ever been a Chapter 5 body corporate or an insolvent under </w:t>
      </w:r>
      <w:proofErr w:type="gramStart"/>
      <w:r>
        <w:t>administration;</w:t>
      </w:r>
      <w:proofErr w:type="gramEnd"/>
    </w:p>
    <w:p w14:paraId="4150D962" w14:textId="77777777" w:rsidR="00B31CB2" w:rsidRDefault="00B31CB2" w:rsidP="00675BF6">
      <w:pPr>
        <w:pStyle w:val="Dotpoint1"/>
      </w:pPr>
      <w:r>
        <w:t xml:space="preserve">if the individual has been banned from engaging with a credit activity under a State or Territory </w:t>
      </w:r>
      <w:proofErr w:type="gramStart"/>
      <w:r>
        <w:t>law;</w:t>
      </w:r>
      <w:proofErr w:type="gramEnd"/>
    </w:p>
    <w:p w14:paraId="6B153C78" w14:textId="1965DC3A" w:rsidR="00675BF6" w:rsidRDefault="00730DDB" w:rsidP="00675BF6">
      <w:pPr>
        <w:pStyle w:val="Dotpoint1"/>
      </w:pPr>
      <w:r>
        <w:t>whether the individual has ever been linked to a refusal or failure to give effect to a determination made by AFCA</w:t>
      </w:r>
    </w:p>
    <w:p w14:paraId="4E10A4BC" w14:textId="0E29EEA9" w:rsidR="00415679" w:rsidRDefault="00675BF6" w:rsidP="00675BF6">
      <w:pPr>
        <w:pStyle w:val="Dotpoint1"/>
      </w:pPr>
      <w:r>
        <w:t>has been convicted of an offence within the last ten years</w:t>
      </w:r>
      <w:r w:rsidR="00DD550D">
        <w:t xml:space="preserve"> (Part VIIC of the </w:t>
      </w:r>
      <w:r w:rsidR="00DD550D">
        <w:rPr>
          <w:i/>
          <w:iCs/>
        </w:rPr>
        <w:t>Crimes Act 1914</w:t>
      </w:r>
      <w:r w:rsidR="00DD550D">
        <w:t xml:space="preserve"> applies so ASIC cannot consider</w:t>
      </w:r>
      <w:r w:rsidR="000E19A8">
        <w:t xml:space="preserve"> spent convictions)</w:t>
      </w:r>
      <w:r w:rsidR="00415679">
        <w:t>; or</w:t>
      </w:r>
    </w:p>
    <w:p w14:paraId="752B9A73" w14:textId="239B692C" w:rsidR="00675BF6" w:rsidRPr="00FB4EEA" w:rsidRDefault="00415679" w:rsidP="00675BF6">
      <w:pPr>
        <w:pStyle w:val="Dotpoint1"/>
        <w:rPr>
          <w:rStyle w:val="References"/>
          <w:b w:val="0"/>
          <w:bCs w:val="0"/>
          <w:i w:val="0"/>
          <w:iCs w:val="0"/>
        </w:rPr>
      </w:pPr>
      <w:r>
        <w:t>Any other matters prescribed by regulation.</w:t>
      </w:r>
      <w:r w:rsidR="00675BF6">
        <w:br/>
      </w:r>
      <w:r w:rsidR="00675BF6">
        <w:rPr>
          <w:rStyle w:val="References"/>
        </w:rPr>
        <w:t xml:space="preserve">[Schedule </w:t>
      </w:r>
      <w:r w:rsidR="00CF5372">
        <w:rPr>
          <w:rStyle w:val="References"/>
        </w:rPr>
        <w:t>2</w:t>
      </w:r>
      <w:r w:rsidR="00675BF6">
        <w:rPr>
          <w:rStyle w:val="References"/>
        </w:rPr>
        <w:t xml:space="preserve">, item </w:t>
      </w:r>
      <w:r w:rsidR="00CF5372">
        <w:rPr>
          <w:rStyle w:val="References"/>
        </w:rPr>
        <w:t>13</w:t>
      </w:r>
      <w:r w:rsidR="0029210C">
        <w:rPr>
          <w:rStyle w:val="References"/>
        </w:rPr>
        <w:t>6</w:t>
      </w:r>
      <w:r w:rsidR="00675BF6">
        <w:rPr>
          <w:rStyle w:val="References"/>
        </w:rPr>
        <w:t>, section 853K of the Act]</w:t>
      </w:r>
    </w:p>
    <w:p w14:paraId="1E6DE6F9" w14:textId="7BE3CDCF" w:rsidR="00890DAA" w:rsidRDefault="00631DBD" w:rsidP="00D10880">
      <w:pPr>
        <w:pStyle w:val="Normalparatextwithnumbers"/>
      </w:pPr>
      <w:r>
        <w:t xml:space="preserve">An individual contravenes </w:t>
      </w:r>
      <w:r w:rsidR="00F521BE">
        <w:t xml:space="preserve">financial services law </w:t>
      </w:r>
      <w:r w:rsidR="00C372EF">
        <w:t xml:space="preserve">if they fail to comply </w:t>
      </w:r>
      <w:r w:rsidR="004F5CBB">
        <w:t>with a duty impose under the law.</w:t>
      </w:r>
      <w:r w:rsidR="00FB4EEA">
        <w:t xml:space="preserve"> </w:t>
      </w:r>
      <w:r w:rsidR="00890DAA">
        <w:t xml:space="preserve">It does not matter if the provision imposing a duty that has not been complied with is neither an offence nor a civil penalty provision. </w:t>
      </w:r>
      <w:r w:rsidR="00890DAA">
        <w:br/>
      </w:r>
      <w:r w:rsidR="00890DAA" w:rsidRPr="00410C3F">
        <w:rPr>
          <w:rStyle w:val="References"/>
        </w:rPr>
        <w:t>[Schedule 2, item 13</w:t>
      </w:r>
      <w:r w:rsidR="00890DAA">
        <w:rPr>
          <w:rStyle w:val="References"/>
        </w:rPr>
        <w:t>6</w:t>
      </w:r>
      <w:r w:rsidR="00890DAA" w:rsidRPr="00410C3F">
        <w:rPr>
          <w:rStyle w:val="References"/>
        </w:rPr>
        <w:t>, section 853L of the Act]</w:t>
      </w:r>
      <w:r w:rsidR="00890DAA">
        <w:t xml:space="preserve"> </w:t>
      </w:r>
    </w:p>
    <w:p w14:paraId="63B4A5B6" w14:textId="623F1632" w:rsidR="00A40F13" w:rsidRPr="00A40F13" w:rsidRDefault="00FB4EEA" w:rsidP="001C22BA">
      <w:pPr>
        <w:pStyle w:val="Heading6"/>
        <w:rPr>
          <w:rStyle w:val="References"/>
          <w:rFonts w:ascii="Helvetica" w:hAnsi="Helvetica"/>
          <w:b w:val="0"/>
          <w:bCs w:val="0"/>
          <w:i/>
          <w:iCs w:val="0"/>
        </w:rPr>
      </w:pPr>
      <w:r>
        <w:rPr>
          <w:rStyle w:val="References"/>
          <w:rFonts w:ascii="Helvetica" w:hAnsi="Helvetica"/>
          <w:b w:val="0"/>
          <w:bCs w:val="0"/>
          <w:i/>
          <w:iCs w:val="0"/>
        </w:rPr>
        <w:t>Making a b</w:t>
      </w:r>
      <w:r w:rsidR="00A40F13" w:rsidRPr="00A40F13">
        <w:rPr>
          <w:rStyle w:val="References"/>
          <w:rFonts w:ascii="Helvetica" w:hAnsi="Helvetica"/>
          <w:b w:val="0"/>
          <w:bCs w:val="0"/>
          <w:i/>
          <w:iCs w:val="0"/>
        </w:rPr>
        <w:t>anning order</w:t>
      </w:r>
    </w:p>
    <w:p w14:paraId="0899CAE9" w14:textId="49B54536" w:rsidR="00CC3D4D" w:rsidRPr="00594D3A" w:rsidRDefault="00CC3D4D" w:rsidP="00CC3D4D">
      <w:pPr>
        <w:pStyle w:val="Normalparatextwithnumbers"/>
      </w:pPr>
      <w:r>
        <w:rPr>
          <w:bCs/>
          <w:iCs/>
        </w:rPr>
        <w:t xml:space="preserve">ASIC may make an FMI banning order that </w:t>
      </w:r>
      <w:r w:rsidR="003B183E">
        <w:rPr>
          <w:bCs/>
          <w:iCs/>
        </w:rPr>
        <w:t xml:space="preserve">applies for a specified period or indefinitely. ASIC may </w:t>
      </w:r>
      <w:r>
        <w:t>specif</w:t>
      </w:r>
      <w:r w:rsidR="003B183E">
        <w:t>y</w:t>
      </w:r>
      <w:r>
        <w:t xml:space="preserve"> the individual is prohibited from:</w:t>
      </w:r>
    </w:p>
    <w:p w14:paraId="0F0A1301" w14:textId="514C7651" w:rsidR="00CC3D4D" w:rsidRDefault="00975FB8" w:rsidP="00CC3D4D">
      <w:pPr>
        <w:pStyle w:val="Dotpoint1"/>
      </w:pPr>
      <w:r>
        <w:t>c</w:t>
      </w:r>
      <w:r w:rsidR="00CC3D4D">
        <w:t>ontrolling</w:t>
      </w:r>
      <w:r w:rsidR="00087D29">
        <w:t xml:space="preserve"> a lic</w:t>
      </w:r>
      <w:r>
        <w:t>ensee</w:t>
      </w:r>
      <w:r w:rsidR="00CE37E5">
        <w:t>, either</w:t>
      </w:r>
      <w:r w:rsidR="00087D29">
        <w:t xml:space="preserve"> </w:t>
      </w:r>
      <w:r w:rsidR="00CC3D4D">
        <w:t xml:space="preserve">alone or in </w:t>
      </w:r>
      <w:proofErr w:type="gramStart"/>
      <w:r w:rsidR="00CC3D4D">
        <w:t>concert;</w:t>
      </w:r>
      <w:proofErr w:type="gramEnd"/>
      <w:r w:rsidR="00CC3D4D">
        <w:t xml:space="preserve"> </w:t>
      </w:r>
    </w:p>
    <w:p w14:paraId="1087D659" w14:textId="7D77937F" w:rsidR="00CC3D4D" w:rsidRDefault="00CC3D4D" w:rsidP="00CC3D4D">
      <w:pPr>
        <w:pStyle w:val="Dotpoint1"/>
      </w:pPr>
      <w:r>
        <w:t xml:space="preserve">performing any function involved in a </w:t>
      </w:r>
      <w:r w:rsidR="00C14A42">
        <w:t>licensee</w:t>
      </w:r>
      <w:r>
        <w:t xml:space="preserve"> including as a manager, employee, contractor or in some other capacity; or</w:t>
      </w:r>
    </w:p>
    <w:p w14:paraId="4636C4A9" w14:textId="7FFE4D49" w:rsidR="00CC3D4D" w:rsidRDefault="00CC3D4D" w:rsidP="00CC3D4D">
      <w:pPr>
        <w:pStyle w:val="Dotpoint1"/>
      </w:pPr>
      <w:r>
        <w:t>performing specified functions involved in a</w:t>
      </w:r>
      <w:r w:rsidR="00C14A42">
        <w:t xml:space="preserve"> licensee</w:t>
      </w:r>
      <w:r w:rsidR="00975FB8">
        <w:t xml:space="preserve"> </w:t>
      </w:r>
      <w:r>
        <w:t>including as</w:t>
      </w:r>
      <w:r w:rsidR="008D2654">
        <w:t xml:space="preserve"> </w:t>
      </w:r>
      <w:proofErr w:type="gramStart"/>
      <w:r w:rsidR="008D2654">
        <w:t>a</w:t>
      </w:r>
      <w:r>
        <w:t>,</w:t>
      </w:r>
      <w:proofErr w:type="gramEnd"/>
      <w:r>
        <w:t xml:space="preserve"> manager, employee, contractor or in some other capacity. </w:t>
      </w:r>
      <w:r w:rsidR="003B183E">
        <w:br/>
      </w:r>
      <w:r w:rsidR="003B183E" w:rsidRPr="003B183E">
        <w:rPr>
          <w:rStyle w:val="References"/>
        </w:rPr>
        <w:t xml:space="preserve">[Schedule </w:t>
      </w:r>
      <w:r w:rsidR="00C14A42">
        <w:rPr>
          <w:rStyle w:val="References"/>
        </w:rPr>
        <w:t>2</w:t>
      </w:r>
      <w:r w:rsidR="003B183E" w:rsidRPr="003B183E">
        <w:rPr>
          <w:rStyle w:val="References"/>
        </w:rPr>
        <w:t>, item</w:t>
      </w:r>
      <w:r w:rsidR="00C14A42">
        <w:rPr>
          <w:rStyle w:val="References"/>
        </w:rPr>
        <w:t xml:space="preserve"> 13</w:t>
      </w:r>
      <w:r w:rsidR="00E816E0">
        <w:rPr>
          <w:rStyle w:val="References"/>
        </w:rPr>
        <w:t>6</w:t>
      </w:r>
      <w:r w:rsidR="003B183E" w:rsidRPr="003B183E">
        <w:rPr>
          <w:rStyle w:val="References"/>
        </w:rPr>
        <w:t>, subsection</w:t>
      </w:r>
      <w:r w:rsidR="00C14A42">
        <w:rPr>
          <w:rStyle w:val="References"/>
        </w:rPr>
        <w:t>s</w:t>
      </w:r>
      <w:r w:rsidR="003B183E" w:rsidRPr="003B183E">
        <w:rPr>
          <w:rStyle w:val="References"/>
        </w:rPr>
        <w:t xml:space="preserve"> 853</w:t>
      </w:r>
      <w:proofErr w:type="gramStart"/>
      <w:r w:rsidR="003B183E" w:rsidRPr="003B183E">
        <w:rPr>
          <w:rStyle w:val="References"/>
        </w:rPr>
        <w:t>N(</w:t>
      </w:r>
      <w:proofErr w:type="gramEnd"/>
      <w:r w:rsidR="003B183E" w:rsidRPr="003B183E">
        <w:rPr>
          <w:rStyle w:val="References"/>
        </w:rPr>
        <w:t>1)</w:t>
      </w:r>
      <w:r w:rsidR="00C14A42">
        <w:rPr>
          <w:rStyle w:val="References"/>
        </w:rPr>
        <w:t xml:space="preserve"> and</w:t>
      </w:r>
      <w:r w:rsidR="001D3729">
        <w:rPr>
          <w:rStyle w:val="References"/>
        </w:rPr>
        <w:t xml:space="preserve"> </w:t>
      </w:r>
      <w:r w:rsidR="003B183E" w:rsidRPr="003B183E">
        <w:rPr>
          <w:rStyle w:val="References"/>
        </w:rPr>
        <w:t>(2) of the Act]</w:t>
      </w:r>
    </w:p>
    <w:p w14:paraId="3E23674E" w14:textId="2EFBA708" w:rsidR="00CC3D4D" w:rsidRPr="00F10A7D" w:rsidRDefault="003B183E" w:rsidP="00CC3D4D">
      <w:pPr>
        <w:pStyle w:val="Normalparatextwithnumbers"/>
      </w:pPr>
      <w:r>
        <w:t>However, ASIC may expressly allow individuals to do certain actions in certain circumstances by including this in</w:t>
      </w:r>
      <w:r w:rsidR="008563D6">
        <w:t xml:space="preserve"> the terms of</w:t>
      </w:r>
      <w:r>
        <w:t xml:space="preserve"> t</w:t>
      </w:r>
      <w:r w:rsidR="00CC3D4D">
        <w:t xml:space="preserve">he banning order. </w:t>
      </w:r>
      <w:r w:rsidR="00CC3D4D">
        <w:br/>
      </w:r>
      <w:r w:rsidR="00CC3D4D">
        <w:rPr>
          <w:rStyle w:val="References"/>
        </w:rPr>
        <w:t xml:space="preserve">[Schedule </w:t>
      </w:r>
      <w:r w:rsidR="005E2D8F">
        <w:rPr>
          <w:rStyle w:val="References"/>
        </w:rPr>
        <w:t>2</w:t>
      </w:r>
      <w:r w:rsidR="00CC3D4D">
        <w:rPr>
          <w:rStyle w:val="References"/>
        </w:rPr>
        <w:t>, item, 1</w:t>
      </w:r>
      <w:r w:rsidR="00975FB8">
        <w:rPr>
          <w:rStyle w:val="References"/>
        </w:rPr>
        <w:t>3</w:t>
      </w:r>
      <w:r w:rsidR="00F93BF6">
        <w:rPr>
          <w:rStyle w:val="References"/>
        </w:rPr>
        <w:t>6</w:t>
      </w:r>
      <w:r w:rsidR="00CC3D4D">
        <w:rPr>
          <w:rStyle w:val="References"/>
        </w:rPr>
        <w:t>, subsection 853</w:t>
      </w:r>
      <w:proofErr w:type="gramStart"/>
      <w:r w:rsidR="00CC3D4D">
        <w:rPr>
          <w:rStyle w:val="References"/>
        </w:rPr>
        <w:t>N</w:t>
      </w:r>
      <w:r>
        <w:rPr>
          <w:rStyle w:val="References"/>
        </w:rPr>
        <w:t>(</w:t>
      </w:r>
      <w:proofErr w:type="gramEnd"/>
      <w:r>
        <w:rPr>
          <w:rStyle w:val="References"/>
        </w:rPr>
        <w:t>3)</w:t>
      </w:r>
      <w:r w:rsidR="00CC3D4D">
        <w:rPr>
          <w:rStyle w:val="References"/>
        </w:rPr>
        <w:t xml:space="preserve"> of the Act]</w:t>
      </w:r>
    </w:p>
    <w:p w14:paraId="5CCA295A" w14:textId="074399B4" w:rsidR="00A40F13" w:rsidRPr="001B4B5D" w:rsidRDefault="00A40F13" w:rsidP="00A40F13">
      <w:pPr>
        <w:pStyle w:val="Normalparatextwithnumbers"/>
        <w:rPr>
          <w:rStyle w:val="References"/>
          <w:b w:val="0"/>
          <w:bCs w:val="0"/>
          <w:i w:val="0"/>
          <w:iCs w:val="0"/>
        </w:rPr>
      </w:pPr>
      <w:r>
        <w:rPr>
          <w:rStyle w:val="References"/>
          <w:b w:val="0"/>
          <w:bCs w:val="0"/>
          <w:i w:val="0"/>
          <w:iCs w:val="0"/>
        </w:rPr>
        <w:t xml:space="preserve">ASIC may only make a banning order against an individual after giving the individual an opportunity to appear at a hearing before ASIC that takes place in </w:t>
      </w:r>
      <w:r>
        <w:rPr>
          <w:rStyle w:val="References"/>
          <w:b w:val="0"/>
          <w:bCs w:val="0"/>
          <w:i w:val="0"/>
          <w:iCs w:val="0"/>
        </w:rPr>
        <w:lastRenderedPageBreak/>
        <w:t>private and to make submissions to ASIC on the matter. If AS</w:t>
      </w:r>
      <w:r w:rsidRPr="00F028B2">
        <w:rPr>
          <w:rStyle w:val="References"/>
          <w:b w:val="0"/>
          <w:bCs w:val="0"/>
          <w:i w:val="0"/>
          <w:iCs w:val="0"/>
        </w:rPr>
        <w:t xml:space="preserve">IC makes a banning order without giving the individual these opportunities, ASIC must </w:t>
      </w:r>
      <w:r w:rsidR="00A17FA4">
        <w:rPr>
          <w:rStyle w:val="References"/>
          <w:b w:val="0"/>
          <w:bCs w:val="0"/>
          <w:i w:val="0"/>
          <w:iCs w:val="0"/>
        </w:rPr>
        <w:t>rely on</w:t>
      </w:r>
      <w:r w:rsidRPr="00F028B2">
        <w:rPr>
          <w:rStyle w:val="References"/>
          <w:b w:val="0"/>
          <w:bCs w:val="0"/>
          <w:i w:val="0"/>
          <w:iCs w:val="0"/>
        </w:rPr>
        <w:t xml:space="preserve"> the following grounds: </w:t>
      </w:r>
    </w:p>
    <w:p w14:paraId="52A1408E" w14:textId="77777777" w:rsidR="00A40F13" w:rsidRPr="008154CD" w:rsidRDefault="00A40F13" w:rsidP="00A40F13">
      <w:pPr>
        <w:pStyle w:val="Dotpoint1"/>
        <w:rPr>
          <w:rStyle w:val="References"/>
        </w:rPr>
      </w:pPr>
      <w:r>
        <w:rPr>
          <w:rStyle w:val="References"/>
          <w:b w:val="0"/>
          <w:bCs w:val="0"/>
          <w:i w:val="0"/>
          <w:iCs w:val="0"/>
        </w:rPr>
        <w:t>the person is not a fit and proper person because the person has been a core officer of the entity that has had a licence suspended or cancelled; or</w:t>
      </w:r>
    </w:p>
    <w:p w14:paraId="0F365FC8" w14:textId="1EDCF6AF" w:rsidR="00A40F13" w:rsidRDefault="00A40F13" w:rsidP="00A40F13">
      <w:pPr>
        <w:pStyle w:val="Dotpoint1"/>
        <w:rPr>
          <w:rStyle w:val="References"/>
        </w:rPr>
      </w:pPr>
      <w:r>
        <w:rPr>
          <w:rStyle w:val="References"/>
          <w:b w:val="0"/>
          <w:bCs w:val="0"/>
          <w:i w:val="0"/>
          <w:iCs w:val="0"/>
        </w:rPr>
        <w:t xml:space="preserve">the individual has been convicted of serious fraud. </w:t>
      </w:r>
      <w:r>
        <w:rPr>
          <w:rStyle w:val="References"/>
          <w:b w:val="0"/>
          <w:bCs w:val="0"/>
          <w:i w:val="0"/>
          <w:iCs w:val="0"/>
        </w:rPr>
        <w:br/>
      </w:r>
      <w:r>
        <w:rPr>
          <w:rStyle w:val="References"/>
        </w:rPr>
        <w:t xml:space="preserve">[Schedule </w:t>
      </w:r>
      <w:r w:rsidR="005E2D8F">
        <w:rPr>
          <w:rStyle w:val="References"/>
        </w:rPr>
        <w:t>2</w:t>
      </w:r>
      <w:r>
        <w:rPr>
          <w:rStyle w:val="References"/>
        </w:rPr>
        <w:t>, item 1</w:t>
      </w:r>
      <w:r w:rsidR="005E2D8F">
        <w:rPr>
          <w:rStyle w:val="References"/>
        </w:rPr>
        <w:t>3</w:t>
      </w:r>
      <w:r w:rsidR="00FE01DC">
        <w:rPr>
          <w:rStyle w:val="References"/>
        </w:rPr>
        <w:t>6</w:t>
      </w:r>
      <w:r>
        <w:rPr>
          <w:rStyle w:val="References"/>
        </w:rPr>
        <w:t>, section 853J of the Act]</w:t>
      </w:r>
    </w:p>
    <w:p w14:paraId="0AF20C9C" w14:textId="4CA08758" w:rsidR="003E2C54" w:rsidRPr="00F10A7D" w:rsidRDefault="003E2C54">
      <w:pPr>
        <w:pStyle w:val="Normalparatextwithnumbers"/>
      </w:pPr>
      <w:r>
        <w:t xml:space="preserve">ASIC </w:t>
      </w:r>
      <w:r w:rsidR="00CC3D4D">
        <w:t xml:space="preserve">may vary or cancel a banning order on its own initiative or on application. A variation or cancellation may occur if ASIC </w:t>
      </w:r>
      <w:r>
        <w:t xml:space="preserve">is satisfied </w:t>
      </w:r>
      <w:r w:rsidR="00CC3D4D">
        <w:t xml:space="preserve">there </w:t>
      </w:r>
      <w:r w:rsidR="006B62F0">
        <w:t>has been</w:t>
      </w:r>
      <w:r w:rsidR="00CC3D4D">
        <w:t xml:space="preserve"> </w:t>
      </w:r>
      <w:r>
        <w:t xml:space="preserve">a change in the circumstances </w:t>
      </w:r>
      <w:r w:rsidR="00CC3D4D">
        <w:t>since the original banning order.</w:t>
      </w:r>
      <w:r>
        <w:br/>
      </w:r>
      <w:r>
        <w:rPr>
          <w:rStyle w:val="References"/>
        </w:rPr>
        <w:t xml:space="preserve">[Schedule </w:t>
      </w:r>
      <w:r w:rsidR="00B435DD">
        <w:rPr>
          <w:rStyle w:val="References"/>
        </w:rPr>
        <w:t>2</w:t>
      </w:r>
      <w:r>
        <w:rPr>
          <w:rStyle w:val="References"/>
        </w:rPr>
        <w:t xml:space="preserve">, item </w:t>
      </w:r>
      <w:r w:rsidR="00B435DD">
        <w:rPr>
          <w:rStyle w:val="References"/>
        </w:rPr>
        <w:t>13</w:t>
      </w:r>
      <w:r w:rsidR="006B62F0">
        <w:rPr>
          <w:rStyle w:val="References"/>
        </w:rPr>
        <w:t>6</w:t>
      </w:r>
      <w:r>
        <w:rPr>
          <w:rStyle w:val="References"/>
        </w:rPr>
        <w:t>, section 853Q of the Act]</w:t>
      </w:r>
    </w:p>
    <w:p w14:paraId="64CF2772" w14:textId="7B8D869D" w:rsidR="00CC3D4D" w:rsidRPr="001F123A" w:rsidRDefault="00B01956" w:rsidP="00CC3D4D">
      <w:pPr>
        <w:pStyle w:val="Normalparatextwithnumbers"/>
        <w:rPr>
          <w:rStyle w:val="References"/>
          <w:b w:val="0"/>
          <w:i w:val="0"/>
        </w:rPr>
      </w:pPr>
      <w:r>
        <w:t xml:space="preserve">An FMI banning order, variation or cancellation </w:t>
      </w:r>
      <w:r w:rsidR="00FD029F">
        <w:t xml:space="preserve">takes effect when it is given to in individual. </w:t>
      </w:r>
      <w:r w:rsidR="00CC3D4D">
        <w:t xml:space="preserve">ASIC must give the individual written notice of the banning order being made, </w:t>
      </w:r>
      <w:r w:rsidR="00062736">
        <w:t>varied,</w:t>
      </w:r>
      <w:r w:rsidR="00CC3D4D">
        <w:t xml:space="preserve"> or cancelled, </w:t>
      </w:r>
      <w:r w:rsidR="00CC3D4D">
        <w:rPr>
          <w:bCs/>
          <w:iCs/>
        </w:rPr>
        <w:t xml:space="preserve">accompanied with a statement of reasons. The notice takes effect from when it is provided to the individual. </w:t>
      </w:r>
      <w:r w:rsidR="00CC3D4D">
        <w:br/>
      </w:r>
      <w:r w:rsidR="00CC3D4D" w:rsidRPr="005038D8">
        <w:rPr>
          <w:rStyle w:val="References"/>
        </w:rPr>
        <w:t xml:space="preserve">[Schedule </w:t>
      </w:r>
      <w:r w:rsidR="00B435DD">
        <w:rPr>
          <w:rStyle w:val="References"/>
        </w:rPr>
        <w:t>2</w:t>
      </w:r>
      <w:r w:rsidR="00CC3D4D" w:rsidRPr="005038D8">
        <w:rPr>
          <w:rStyle w:val="References"/>
        </w:rPr>
        <w:t>, item</w:t>
      </w:r>
      <w:r w:rsidR="00CC3D4D">
        <w:rPr>
          <w:rStyle w:val="References"/>
        </w:rPr>
        <w:t xml:space="preserve"> 1</w:t>
      </w:r>
      <w:r w:rsidR="00B435DD">
        <w:rPr>
          <w:rStyle w:val="References"/>
        </w:rPr>
        <w:t>3</w:t>
      </w:r>
      <w:r w:rsidR="00C30F60">
        <w:rPr>
          <w:rStyle w:val="References"/>
        </w:rPr>
        <w:t>6</w:t>
      </w:r>
      <w:r w:rsidR="00CC3D4D" w:rsidRPr="005038D8">
        <w:rPr>
          <w:rStyle w:val="References"/>
        </w:rPr>
        <w:t xml:space="preserve">, </w:t>
      </w:r>
      <w:r w:rsidR="00CC3D4D">
        <w:rPr>
          <w:rStyle w:val="References"/>
        </w:rPr>
        <w:t>subsection</w:t>
      </w:r>
      <w:r w:rsidR="00FD029F">
        <w:rPr>
          <w:rStyle w:val="References"/>
        </w:rPr>
        <w:t>s</w:t>
      </w:r>
      <w:r w:rsidR="00CC3D4D" w:rsidRPr="005038D8">
        <w:rPr>
          <w:rStyle w:val="References"/>
        </w:rPr>
        <w:t xml:space="preserve"> 853</w:t>
      </w:r>
      <w:proofErr w:type="gramStart"/>
      <w:r w:rsidR="00CC3D4D" w:rsidRPr="005038D8">
        <w:rPr>
          <w:rStyle w:val="References"/>
        </w:rPr>
        <w:t>H(</w:t>
      </w:r>
      <w:proofErr w:type="gramEnd"/>
      <w:r w:rsidR="00CC3D4D">
        <w:rPr>
          <w:rStyle w:val="References"/>
        </w:rPr>
        <w:t>2</w:t>
      </w:r>
      <w:r w:rsidR="00CC3D4D" w:rsidRPr="005038D8">
        <w:rPr>
          <w:rStyle w:val="References"/>
        </w:rPr>
        <w:t>)</w:t>
      </w:r>
      <w:r w:rsidR="00FD029F">
        <w:rPr>
          <w:rStyle w:val="References"/>
        </w:rPr>
        <w:t>, 853R(1)</w:t>
      </w:r>
      <w:r w:rsidR="00CC3D4D">
        <w:rPr>
          <w:rStyle w:val="References"/>
        </w:rPr>
        <w:t xml:space="preserve"> and section</w:t>
      </w:r>
      <w:r w:rsidR="00695BFF">
        <w:rPr>
          <w:rStyle w:val="References"/>
        </w:rPr>
        <w:t>s 853Q and</w:t>
      </w:r>
      <w:r w:rsidR="00CC3D4D">
        <w:rPr>
          <w:rStyle w:val="References"/>
        </w:rPr>
        <w:t xml:space="preserve"> 853S of the Act</w:t>
      </w:r>
      <w:r w:rsidR="00CC3D4D" w:rsidRPr="005038D8">
        <w:rPr>
          <w:rStyle w:val="References"/>
        </w:rPr>
        <w:t>]</w:t>
      </w:r>
    </w:p>
    <w:p w14:paraId="221EF432" w14:textId="59CD89CA" w:rsidR="00755BD9" w:rsidRPr="00F10A7D" w:rsidRDefault="00E81CD2" w:rsidP="00F10A7D">
      <w:pPr>
        <w:pStyle w:val="Normalparatextwithnumbers"/>
        <w:rPr>
          <w:rStyle w:val="References"/>
          <w:b w:val="0"/>
          <w:i w:val="0"/>
        </w:rPr>
      </w:pPr>
      <w:r>
        <w:rPr>
          <w:bCs/>
          <w:iCs/>
        </w:rPr>
        <w:t xml:space="preserve">ASIC must publish a notice on its website as soon as practicable after making </w:t>
      </w:r>
      <w:r w:rsidR="00CC3D4D">
        <w:rPr>
          <w:bCs/>
          <w:iCs/>
        </w:rPr>
        <w:t xml:space="preserve">or varying </w:t>
      </w:r>
      <w:r>
        <w:rPr>
          <w:bCs/>
          <w:iCs/>
        </w:rPr>
        <w:t xml:space="preserve">the order, stating when the </w:t>
      </w:r>
      <w:r w:rsidR="00CC3D4D">
        <w:rPr>
          <w:bCs/>
          <w:iCs/>
        </w:rPr>
        <w:t xml:space="preserve">notice </w:t>
      </w:r>
      <w:r>
        <w:rPr>
          <w:bCs/>
          <w:iCs/>
        </w:rPr>
        <w:t xml:space="preserve">takes effect and </w:t>
      </w:r>
      <w:r w:rsidR="00CC3D4D">
        <w:rPr>
          <w:bCs/>
          <w:iCs/>
        </w:rPr>
        <w:t>attaching</w:t>
      </w:r>
      <w:r>
        <w:rPr>
          <w:bCs/>
          <w:iCs/>
        </w:rPr>
        <w:t xml:space="preserve"> a copy of the FMI banning order. </w:t>
      </w:r>
      <w:r w:rsidR="003A0CC5">
        <w:rPr>
          <w:bCs/>
          <w:iCs/>
        </w:rPr>
        <w:t xml:space="preserve">However, ASIC </w:t>
      </w:r>
      <w:r w:rsidR="006E38F2">
        <w:rPr>
          <w:bCs/>
          <w:iCs/>
        </w:rPr>
        <w:t>considers it appropriate, a summary of permissible specified acts may be published instead</w:t>
      </w:r>
      <w:r w:rsidR="00755BD9">
        <w:rPr>
          <w:bCs/>
          <w:iCs/>
        </w:rPr>
        <w:t>.</w:t>
      </w:r>
      <w:r w:rsidR="00F10A7D">
        <w:rPr>
          <w:bCs/>
          <w:iCs/>
        </w:rPr>
        <w:br/>
      </w:r>
      <w:r w:rsidR="00755BD9">
        <w:rPr>
          <w:rStyle w:val="References"/>
        </w:rPr>
        <w:t xml:space="preserve">[Schedule </w:t>
      </w:r>
      <w:r w:rsidR="00B21BAE">
        <w:rPr>
          <w:rStyle w:val="References"/>
        </w:rPr>
        <w:t>2</w:t>
      </w:r>
      <w:r w:rsidR="00755BD9">
        <w:rPr>
          <w:rStyle w:val="References"/>
        </w:rPr>
        <w:t>, ite</w:t>
      </w:r>
      <w:r w:rsidR="006E38F2">
        <w:rPr>
          <w:rStyle w:val="References"/>
        </w:rPr>
        <w:t>m</w:t>
      </w:r>
      <w:r w:rsidR="00B21BAE">
        <w:rPr>
          <w:rStyle w:val="References"/>
        </w:rPr>
        <w:t xml:space="preserve"> 13</w:t>
      </w:r>
      <w:r w:rsidR="00695BFF">
        <w:rPr>
          <w:rStyle w:val="References"/>
        </w:rPr>
        <w:t>6</w:t>
      </w:r>
      <w:r w:rsidR="00755BD9">
        <w:rPr>
          <w:rStyle w:val="References"/>
        </w:rPr>
        <w:t xml:space="preserve">, </w:t>
      </w:r>
      <w:r w:rsidR="00B21BAE">
        <w:rPr>
          <w:rStyle w:val="References"/>
        </w:rPr>
        <w:t>sub</w:t>
      </w:r>
      <w:r w:rsidR="00755BD9">
        <w:rPr>
          <w:rStyle w:val="References"/>
        </w:rPr>
        <w:t>section</w:t>
      </w:r>
      <w:r w:rsidR="00B21BAE">
        <w:rPr>
          <w:rStyle w:val="References"/>
        </w:rPr>
        <w:t>s</w:t>
      </w:r>
      <w:r w:rsidR="00755BD9">
        <w:rPr>
          <w:rStyle w:val="References"/>
        </w:rPr>
        <w:t xml:space="preserve"> 853</w:t>
      </w:r>
      <w:proofErr w:type="gramStart"/>
      <w:r w:rsidR="00755BD9">
        <w:rPr>
          <w:rStyle w:val="References"/>
        </w:rPr>
        <w:t>R</w:t>
      </w:r>
      <w:r w:rsidR="00B21BAE">
        <w:rPr>
          <w:rStyle w:val="References"/>
        </w:rPr>
        <w:t>(</w:t>
      </w:r>
      <w:proofErr w:type="gramEnd"/>
      <w:r w:rsidR="00B21BAE">
        <w:rPr>
          <w:rStyle w:val="References"/>
        </w:rPr>
        <w:t>2) and (3)</w:t>
      </w:r>
      <w:r w:rsidR="00755BD9">
        <w:rPr>
          <w:rStyle w:val="References"/>
        </w:rPr>
        <w:t xml:space="preserve"> of the Act]</w:t>
      </w:r>
    </w:p>
    <w:p w14:paraId="0C1DFE87" w14:textId="1C41B571" w:rsidR="0093011D" w:rsidRPr="0093011D" w:rsidRDefault="0093011D" w:rsidP="0093011D">
      <w:pPr>
        <w:pStyle w:val="Heading6"/>
        <w:rPr>
          <w:rFonts w:hint="eastAsia"/>
        </w:rPr>
      </w:pPr>
      <w:r w:rsidRPr="0093011D">
        <w:t>Contravention of banning order</w:t>
      </w:r>
    </w:p>
    <w:p w14:paraId="4E02BC7B" w14:textId="3B0A34FF" w:rsidR="00DB62E7" w:rsidRDefault="00897839" w:rsidP="31E6CC8C">
      <w:pPr>
        <w:pStyle w:val="Normalparatextwithnumbers"/>
      </w:pPr>
      <w:r>
        <w:t xml:space="preserve">An individual who is subject to a banning order </w:t>
      </w:r>
      <w:r w:rsidR="0037672B">
        <w:t xml:space="preserve">must not engage in conduct that would breach the banning order. </w:t>
      </w:r>
    </w:p>
    <w:p w14:paraId="71A49FF4" w14:textId="254109B6" w:rsidR="003F05FA" w:rsidRPr="003F05FA" w:rsidRDefault="006D0C50" w:rsidP="31E6CC8C">
      <w:pPr>
        <w:pStyle w:val="Normalparatextwithnumbers"/>
        <w:rPr>
          <w:rStyle w:val="References"/>
          <w:b w:val="0"/>
          <w:bCs w:val="0"/>
          <w:i w:val="0"/>
          <w:iCs w:val="0"/>
        </w:rPr>
      </w:pPr>
      <w:r>
        <w:t xml:space="preserve">A person who breaches a banning order </w:t>
      </w:r>
      <w:r w:rsidR="00FC765A">
        <w:t>commit</w:t>
      </w:r>
      <w:r w:rsidR="003F05FA" w:rsidRPr="31E6CC8C">
        <w:t>s</w:t>
      </w:r>
      <w:r w:rsidR="00FC765A">
        <w:t xml:space="preserve"> a fault</w:t>
      </w:r>
      <w:r w:rsidR="00C608FD">
        <w:rPr>
          <w:bCs/>
          <w:iCs/>
        </w:rPr>
        <w:noBreakHyphen/>
      </w:r>
      <w:r w:rsidR="00FC765A">
        <w:t xml:space="preserve">based offence </w:t>
      </w:r>
      <w:r w:rsidR="003F05FA" w:rsidRPr="31E6CC8C">
        <w:t xml:space="preserve">of up to 5 years imprisonment. </w:t>
      </w:r>
      <w:r w:rsidR="00E27466" w:rsidRPr="31E6CC8C">
        <w:rPr>
          <w:rStyle w:val="References"/>
        </w:rPr>
        <w:t xml:space="preserve">[Schedule </w:t>
      </w:r>
      <w:r w:rsidR="00A52ED3">
        <w:rPr>
          <w:rStyle w:val="References"/>
        </w:rPr>
        <w:t>2</w:t>
      </w:r>
      <w:r w:rsidR="00E27466" w:rsidRPr="31E6CC8C">
        <w:rPr>
          <w:rStyle w:val="References"/>
        </w:rPr>
        <w:t>,</w:t>
      </w:r>
      <w:r w:rsidR="0027591E" w:rsidRPr="31E6CC8C">
        <w:rPr>
          <w:rStyle w:val="References"/>
        </w:rPr>
        <w:t xml:space="preserve"> item</w:t>
      </w:r>
      <w:r w:rsidR="0093011D">
        <w:rPr>
          <w:rStyle w:val="References"/>
        </w:rPr>
        <w:t>s</w:t>
      </w:r>
      <w:r w:rsidR="0027591E" w:rsidRPr="31E6CC8C">
        <w:rPr>
          <w:rStyle w:val="References"/>
        </w:rPr>
        <w:t xml:space="preserve"> </w:t>
      </w:r>
      <w:r w:rsidR="00A52ED3">
        <w:rPr>
          <w:rStyle w:val="References"/>
        </w:rPr>
        <w:t>13</w:t>
      </w:r>
      <w:r w:rsidR="00990A84">
        <w:rPr>
          <w:rStyle w:val="References"/>
        </w:rPr>
        <w:t>6</w:t>
      </w:r>
      <w:r w:rsidR="00A52ED3">
        <w:rPr>
          <w:rStyle w:val="References"/>
        </w:rPr>
        <w:t xml:space="preserve"> and 13</w:t>
      </w:r>
      <w:r w:rsidR="00990A84">
        <w:rPr>
          <w:rStyle w:val="References"/>
        </w:rPr>
        <w:t>7</w:t>
      </w:r>
      <w:r w:rsidR="0027591E" w:rsidRPr="31E6CC8C">
        <w:rPr>
          <w:rStyle w:val="References"/>
        </w:rPr>
        <w:t>, section 853P</w:t>
      </w:r>
      <w:r w:rsidR="0093011D">
        <w:rPr>
          <w:rStyle w:val="References"/>
        </w:rPr>
        <w:t xml:space="preserve"> and Schedule 3</w:t>
      </w:r>
      <w:r w:rsidR="0027591E" w:rsidRPr="31E6CC8C">
        <w:rPr>
          <w:rStyle w:val="References"/>
        </w:rPr>
        <w:t xml:space="preserve"> of the Act]</w:t>
      </w:r>
    </w:p>
    <w:p w14:paraId="2EB1F406" w14:textId="64C6C2B2" w:rsidR="00041B3A" w:rsidRPr="001B4B5D" w:rsidRDefault="003F05FA" w:rsidP="00F10A7D">
      <w:pPr>
        <w:pStyle w:val="Normalparatextwithnumbers"/>
        <w:rPr>
          <w:rStyle w:val="References"/>
          <w:b w:val="0"/>
          <w:bCs w:val="0"/>
          <w:i w:val="0"/>
          <w:iCs w:val="0"/>
        </w:rPr>
      </w:pPr>
      <w:r>
        <w:rPr>
          <w:bCs/>
          <w:iCs/>
        </w:rPr>
        <w:t xml:space="preserve">This is justified on the basis that involving </w:t>
      </w:r>
      <w:r w:rsidR="0071481B">
        <w:rPr>
          <w:bCs/>
          <w:iCs/>
        </w:rPr>
        <w:t>disqualified</w:t>
      </w:r>
      <w:r>
        <w:rPr>
          <w:bCs/>
          <w:iCs/>
        </w:rPr>
        <w:t xml:space="preserve"> individuals in market </w:t>
      </w:r>
      <w:r w:rsidR="0071481B">
        <w:rPr>
          <w:bCs/>
          <w:iCs/>
        </w:rPr>
        <w:t>licensees</w:t>
      </w:r>
      <w:r>
        <w:rPr>
          <w:bCs/>
          <w:iCs/>
        </w:rPr>
        <w:t xml:space="preserve"> </w:t>
      </w:r>
      <w:r w:rsidR="0024140E">
        <w:rPr>
          <w:bCs/>
          <w:iCs/>
        </w:rPr>
        <w:t>may</w:t>
      </w:r>
      <w:r>
        <w:rPr>
          <w:bCs/>
          <w:iCs/>
        </w:rPr>
        <w:t xml:space="preserve"> have detrimental </w:t>
      </w:r>
      <w:r w:rsidR="004E0BDE">
        <w:rPr>
          <w:bCs/>
          <w:iCs/>
        </w:rPr>
        <w:t>effects</w:t>
      </w:r>
      <w:r>
        <w:rPr>
          <w:bCs/>
          <w:iCs/>
        </w:rPr>
        <w:t xml:space="preserve"> on the stability of the financial system. </w:t>
      </w:r>
    </w:p>
    <w:p w14:paraId="32C0E9A6" w14:textId="0F8E9CA7" w:rsidR="00A40F13" w:rsidRDefault="0093011D" w:rsidP="00A40F13">
      <w:pPr>
        <w:pStyle w:val="Heading6"/>
        <w:rPr>
          <w:rFonts w:hint="eastAsia"/>
        </w:rPr>
      </w:pPr>
      <w:r>
        <w:t>Relation to general licence o</w:t>
      </w:r>
      <w:r w:rsidR="003F05FA">
        <w:t>b</w:t>
      </w:r>
      <w:r>
        <w:t>ligations</w:t>
      </w:r>
    </w:p>
    <w:p w14:paraId="7073BCD5" w14:textId="44255EF0" w:rsidR="0093011D" w:rsidRPr="00EB19C1" w:rsidRDefault="00067A69">
      <w:pPr>
        <w:pStyle w:val="Normalparatextwithnumbers"/>
        <w:rPr>
          <w:rStyle w:val="References"/>
          <w:b w:val="0"/>
          <w:i w:val="0"/>
        </w:rPr>
      </w:pPr>
      <w:r w:rsidRPr="00EB19C1">
        <w:rPr>
          <w:bCs/>
          <w:iCs/>
        </w:rPr>
        <w:t xml:space="preserve">It is a general licence obligation for </w:t>
      </w:r>
      <w:r w:rsidR="00EB19C1" w:rsidRPr="00EB19C1">
        <w:rPr>
          <w:bCs/>
          <w:iCs/>
        </w:rPr>
        <w:t>a</w:t>
      </w:r>
      <w:r w:rsidRPr="00EB19C1">
        <w:rPr>
          <w:bCs/>
          <w:iCs/>
        </w:rPr>
        <w:t xml:space="preserve"> licensee to take all reasonable steps to ensure that no individual against whom an FMI banning order is made becomes or remains involved in a licence</w:t>
      </w:r>
      <w:r w:rsidR="00EB19C1">
        <w:rPr>
          <w:bCs/>
          <w:iCs/>
        </w:rPr>
        <w:t xml:space="preserve">. </w:t>
      </w:r>
      <w:r w:rsidR="000871F4">
        <w:rPr>
          <w:bCs/>
          <w:iCs/>
        </w:rPr>
        <w:t>Regulations may prescribe the steps</w:t>
      </w:r>
      <w:r w:rsidR="00031F03">
        <w:rPr>
          <w:bCs/>
          <w:iCs/>
        </w:rPr>
        <w:t xml:space="preserve"> domestic</w:t>
      </w:r>
      <w:r w:rsidR="000871F4">
        <w:rPr>
          <w:bCs/>
          <w:iCs/>
        </w:rPr>
        <w:t xml:space="preserve"> </w:t>
      </w:r>
      <w:r w:rsidR="0093011D" w:rsidRPr="00EB19C1">
        <w:rPr>
          <w:rStyle w:val="References"/>
          <w:b w:val="0"/>
          <w:bCs w:val="0"/>
          <w:i w:val="0"/>
          <w:iCs w:val="0"/>
        </w:rPr>
        <w:t>CS facility licensee</w:t>
      </w:r>
      <w:r w:rsidR="000871F4">
        <w:rPr>
          <w:rStyle w:val="References"/>
          <w:b w:val="0"/>
          <w:bCs w:val="0"/>
          <w:i w:val="0"/>
          <w:iCs w:val="0"/>
        </w:rPr>
        <w:t>s</w:t>
      </w:r>
      <w:r w:rsidR="0093011D" w:rsidRPr="00EB19C1">
        <w:rPr>
          <w:rStyle w:val="References"/>
          <w:b w:val="0"/>
          <w:bCs w:val="0"/>
          <w:i w:val="0"/>
          <w:iCs w:val="0"/>
        </w:rPr>
        <w:t xml:space="preserve">, </w:t>
      </w:r>
      <w:r w:rsidR="001C2DA8">
        <w:rPr>
          <w:rStyle w:val="References"/>
          <w:b w:val="0"/>
          <w:bCs w:val="0"/>
          <w:i w:val="0"/>
          <w:iCs w:val="0"/>
        </w:rPr>
        <w:t>market licensees</w:t>
      </w:r>
      <w:r w:rsidR="0093011D" w:rsidRPr="00EB19C1">
        <w:rPr>
          <w:rStyle w:val="References"/>
          <w:b w:val="0"/>
          <w:bCs w:val="0"/>
          <w:i w:val="0"/>
          <w:iCs w:val="0"/>
        </w:rPr>
        <w:t xml:space="preserve">, </w:t>
      </w:r>
      <w:r w:rsidRPr="00EB19C1">
        <w:rPr>
          <w:rStyle w:val="References"/>
          <w:b w:val="0"/>
          <w:bCs w:val="0"/>
          <w:i w:val="0"/>
          <w:iCs w:val="0"/>
        </w:rPr>
        <w:t>derivative trade repository licensee</w:t>
      </w:r>
      <w:r w:rsidR="000871F4">
        <w:rPr>
          <w:rStyle w:val="References"/>
          <w:b w:val="0"/>
          <w:bCs w:val="0"/>
          <w:i w:val="0"/>
          <w:iCs w:val="0"/>
        </w:rPr>
        <w:t>s</w:t>
      </w:r>
      <w:r w:rsidR="0093011D" w:rsidRPr="00EB19C1">
        <w:rPr>
          <w:rStyle w:val="References"/>
          <w:b w:val="0"/>
          <w:bCs w:val="0"/>
          <w:i w:val="0"/>
          <w:iCs w:val="0"/>
        </w:rPr>
        <w:t>, or benchmark administrator licensee</w:t>
      </w:r>
      <w:r w:rsidR="000871F4">
        <w:rPr>
          <w:rStyle w:val="References"/>
          <w:b w:val="0"/>
          <w:bCs w:val="0"/>
          <w:i w:val="0"/>
          <w:iCs w:val="0"/>
        </w:rPr>
        <w:t>s</w:t>
      </w:r>
      <w:r w:rsidR="0093011D" w:rsidRPr="00EB19C1">
        <w:rPr>
          <w:rStyle w:val="References"/>
          <w:b w:val="0"/>
          <w:bCs w:val="0"/>
          <w:i w:val="0"/>
          <w:iCs w:val="0"/>
        </w:rPr>
        <w:t xml:space="preserve"> must take for the purposes of ensuring that </w:t>
      </w:r>
      <w:proofErr w:type="gramStart"/>
      <w:r w:rsidR="0093011D" w:rsidRPr="00EB19C1">
        <w:rPr>
          <w:rStyle w:val="References"/>
          <w:b w:val="0"/>
          <w:bCs w:val="0"/>
          <w:i w:val="0"/>
          <w:iCs w:val="0"/>
        </w:rPr>
        <w:t>each individual</w:t>
      </w:r>
      <w:proofErr w:type="gramEnd"/>
      <w:r w:rsidR="0093011D" w:rsidRPr="00EB19C1">
        <w:rPr>
          <w:rStyle w:val="References"/>
          <w:b w:val="0"/>
          <w:bCs w:val="0"/>
          <w:i w:val="0"/>
          <w:iCs w:val="0"/>
        </w:rPr>
        <w:t xml:space="preserve"> performing the role of a core officer of the licensee is fit, proper, capable and competent for the role. </w:t>
      </w:r>
      <w:r w:rsidR="0093011D" w:rsidRPr="00EB19C1">
        <w:rPr>
          <w:rStyle w:val="References"/>
          <w:b w:val="0"/>
          <w:bCs w:val="0"/>
          <w:i w:val="0"/>
          <w:iCs w:val="0"/>
        </w:rPr>
        <w:br/>
      </w:r>
      <w:r w:rsidR="0093011D">
        <w:rPr>
          <w:rStyle w:val="References"/>
        </w:rPr>
        <w:t xml:space="preserve">[Schedule </w:t>
      </w:r>
      <w:r w:rsidR="00B2425F">
        <w:rPr>
          <w:rStyle w:val="References"/>
        </w:rPr>
        <w:t>2</w:t>
      </w:r>
      <w:r w:rsidR="0093011D">
        <w:rPr>
          <w:rStyle w:val="References"/>
        </w:rPr>
        <w:t xml:space="preserve">, items </w:t>
      </w:r>
      <w:r w:rsidR="00112A83">
        <w:rPr>
          <w:rStyle w:val="References"/>
        </w:rPr>
        <w:t>12</w:t>
      </w:r>
      <w:r w:rsidR="007620CB">
        <w:rPr>
          <w:rStyle w:val="References"/>
        </w:rPr>
        <w:t>3</w:t>
      </w:r>
      <w:r w:rsidR="00112A83">
        <w:rPr>
          <w:rStyle w:val="References"/>
        </w:rPr>
        <w:t>, 12</w:t>
      </w:r>
      <w:r w:rsidR="00D60AFB">
        <w:rPr>
          <w:rStyle w:val="References"/>
        </w:rPr>
        <w:t>4</w:t>
      </w:r>
      <w:r w:rsidR="00522913">
        <w:rPr>
          <w:rStyle w:val="References"/>
        </w:rPr>
        <w:t>, 12</w:t>
      </w:r>
      <w:r w:rsidR="00D60AFB">
        <w:rPr>
          <w:rStyle w:val="References"/>
        </w:rPr>
        <w:t>5</w:t>
      </w:r>
      <w:r w:rsidR="00522913">
        <w:rPr>
          <w:rStyle w:val="References"/>
        </w:rPr>
        <w:t>, 12</w:t>
      </w:r>
      <w:r w:rsidR="00D60AFB">
        <w:rPr>
          <w:rStyle w:val="References"/>
        </w:rPr>
        <w:t>6</w:t>
      </w:r>
      <w:r w:rsidR="00522913">
        <w:rPr>
          <w:rStyle w:val="References"/>
        </w:rPr>
        <w:t>, 12</w:t>
      </w:r>
      <w:r w:rsidR="00B028F9">
        <w:rPr>
          <w:rStyle w:val="References"/>
        </w:rPr>
        <w:t>7</w:t>
      </w:r>
      <w:r w:rsidR="00266037">
        <w:rPr>
          <w:rStyle w:val="References"/>
        </w:rPr>
        <w:t>, 12</w:t>
      </w:r>
      <w:r w:rsidR="00B028F9">
        <w:rPr>
          <w:rStyle w:val="References"/>
        </w:rPr>
        <w:t>8</w:t>
      </w:r>
      <w:r w:rsidR="00266037">
        <w:rPr>
          <w:rStyle w:val="References"/>
        </w:rPr>
        <w:t xml:space="preserve">, </w:t>
      </w:r>
      <w:r w:rsidR="00ED6B52">
        <w:rPr>
          <w:rStyle w:val="References"/>
        </w:rPr>
        <w:t>1</w:t>
      </w:r>
      <w:r w:rsidR="00B028F9">
        <w:rPr>
          <w:rStyle w:val="References"/>
        </w:rPr>
        <w:t>30</w:t>
      </w:r>
      <w:r w:rsidR="00ED6B52">
        <w:rPr>
          <w:rStyle w:val="References"/>
        </w:rPr>
        <w:t>, 1</w:t>
      </w:r>
      <w:r w:rsidR="00F04827">
        <w:rPr>
          <w:rStyle w:val="References"/>
        </w:rPr>
        <w:t>31</w:t>
      </w:r>
      <w:r w:rsidR="00ED6B52">
        <w:rPr>
          <w:rStyle w:val="References"/>
        </w:rPr>
        <w:t>, 1</w:t>
      </w:r>
      <w:r w:rsidR="00F04827">
        <w:rPr>
          <w:rStyle w:val="References"/>
        </w:rPr>
        <w:t>32</w:t>
      </w:r>
      <w:r w:rsidR="00ED6B52">
        <w:rPr>
          <w:rStyle w:val="References"/>
        </w:rPr>
        <w:t>, 1</w:t>
      </w:r>
      <w:r w:rsidR="00F04827">
        <w:rPr>
          <w:rStyle w:val="References"/>
        </w:rPr>
        <w:t>33</w:t>
      </w:r>
      <w:r w:rsidR="00ED6B52">
        <w:rPr>
          <w:rStyle w:val="References"/>
        </w:rPr>
        <w:t xml:space="preserve"> and </w:t>
      </w:r>
      <w:proofErr w:type="gramStart"/>
      <w:r w:rsidR="00ED6B52">
        <w:rPr>
          <w:rStyle w:val="References"/>
        </w:rPr>
        <w:t>13</w:t>
      </w:r>
      <w:r w:rsidR="005E3432">
        <w:rPr>
          <w:rStyle w:val="References"/>
        </w:rPr>
        <w:t>4</w:t>
      </w:r>
      <w:r w:rsidR="00ED6B52">
        <w:rPr>
          <w:rStyle w:val="References"/>
        </w:rPr>
        <w:t>,</w:t>
      </w:r>
      <w:r w:rsidR="0093011D">
        <w:rPr>
          <w:rStyle w:val="References"/>
        </w:rPr>
        <w:t xml:space="preserve">  </w:t>
      </w:r>
      <w:r w:rsidR="0093011D">
        <w:rPr>
          <w:rStyle w:val="References"/>
        </w:rPr>
        <w:lastRenderedPageBreak/>
        <w:t>paragraphs</w:t>
      </w:r>
      <w:proofErr w:type="gramEnd"/>
      <w:r w:rsidR="0093011D">
        <w:rPr>
          <w:rStyle w:val="References"/>
        </w:rPr>
        <w:t xml:space="preserve"> 792(1)(ha)</w:t>
      </w:r>
      <w:r w:rsidR="00222F32">
        <w:rPr>
          <w:rStyle w:val="References"/>
        </w:rPr>
        <w:t xml:space="preserve"> to </w:t>
      </w:r>
      <w:r w:rsidR="0093011D">
        <w:rPr>
          <w:rStyle w:val="References"/>
        </w:rPr>
        <w:t>(</w:t>
      </w:r>
      <w:proofErr w:type="spellStart"/>
      <w:r w:rsidR="0093011D">
        <w:rPr>
          <w:rStyle w:val="References"/>
        </w:rPr>
        <w:t>i</w:t>
      </w:r>
      <w:proofErr w:type="spellEnd"/>
      <w:r w:rsidR="0093011D">
        <w:rPr>
          <w:rStyle w:val="References"/>
        </w:rPr>
        <w:t>), 821A(1)(ga)</w:t>
      </w:r>
      <w:r w:rsidR="00217AD7">
        <w:rPr>
          <w:rStyle w:val="References"/>
        </w:rPr>
        <w:t xml:space="preserve"> to </w:t>
      </w:r>
      <w:r w:rsidR="0093011D">
        <w:rPr>
          <w:rStyle w:val="References"/>
        </w:rPr>
        <w:t>(h), 904A(1)(</w:t>
      </w:r>
      <w:proofErr w:type="spellStart"/>
      <w:r w:rsidR="0093011D">
        <w:rPr>
          <w:rStyle w:val="References"/>
        </w:rPr>
        <w:t>ba</w:t>
      </w:r>
      <w:proofErr w:type="spellEnd"/>
      <w:r w:rsidR="0093011D">
        <w:rPr>
          <w:rStyle w:val="References"/>
        </w:rPr>
        <w:t>)</w:t>
      </w:r>
      <w:r w:rsidR="00217AD7">
        <w:rPr>
          <w:rStyle w:val="References"/>
        </w:rPr>
        <w:t xml:space="preserve"> to </w:t>
      </w:r>
      <w:r w:rsidR="0093011D">
        <w:rPr>
          <w:rStyle w:val="References"/>
        </w:rPr>
        <w:t>(c) and 908BP(b)</w:t>
      </w:r>
      <w:r w:rsidR="00217AD7">
        <w:rPr>
          <w:rStyle w:val="References"/>
        </w:rPr>
        <w:t xml:space="preserve"> to </w:t>
      </w:r>
      <w:r w:rsidR="0093011D">
        <w:rPr>
          <w:rStyle w:val="References"/>
        </w:rPr>
        <w:t>(c) of the Act]</w:t>
      </w:r>
    </w:p>
    <w:p w14:paraId="576887BF" w14:textId="749DD870" w:rsidR="00A40F13" w:rsidRPr="00F10A7D" w:rsidRDefault="00A40F13" w:rsidP="00A40F13">
      <w:pPr>
        <w:pStyle w:val="Normalparatextwithnumbers"/>
        <w:rPr>
          <w:rStyle w:val="References"/>
          <w:b w:val="0"/>
          <w:i w:val="0"/>
        </w:rPr>
      </w:pPr>
      <w:r>
        <w:rPr>
          <w:bCs/>
          <w:iCs/>
        </w:rPr>
        <w:t>ASIC may make a declaration disqualifying individuals involved in a market</w:t>
      </w:r>
      <w:r w:rsidR="00EB19C1">
        <w:rPr>
          <w:bCs/>
          <w:iCs/>
        </w:rPr>
        <w:t xml:space="preserve"> licensee, </w:t>
      </w:r>
      <w:r>
        <w:rPr>
          <w:bCs/>
          <w:iCs/>
        </w:rPr>
        <w:t>CS facility licensee</w:t>
      </w:r>
      <w:r w:rsidR="00EB19C1">
        <w:rPr>
          <w:bCs/>
          <w:iCs/>
        </w:rPr>
        <w:t xml:space="preserve">, </w:t>
      </w:r>
      <w:r>
        <w:rPr>
          <w:bCs/>
          <w:iCs/>
        </w:rPr>
        <w:t>derivative trade repository licensee or benchmark administrator licensee</w:t>
      </w:r>
      <w:r w:rsidR="00EB19C1">
        <w:rPr>
          <w:bCs/>
          <w:iCs/>
        </w:rPr>
        <w:t xml:space="preserve"> if ASIC</w:t>
      </w:r>
      <w:r>
        <w:rPr>
          <w:bCs/>
          <w:iCs/>
        </w:rPr>
        <w:t xml:space="preserve"> is satisfied the individual is unfit to be involved in the licensee. ASIC must </w:t>
      </w:r>
      <w:r w:rsidR="002840E5">
        <w:rPr>
          <w:bCs/>
          <w:iCs/>
        </w:rPr>
        <w:t xml:space="preserve">consider </w:t>
      </w:r>
      <w:r>
        <w:rPr>
          <w:bCs/>
          <w:iCs/>
        </w:rPr>
        <w:t>matters such as the individual’s’ fame, character and integrity</w:t>
      </w:r>
      <w:r w:rsidR="002840E5" w:rsidRPr="002840E5">
        <w:rPr>
          <w:bCs/>
          <w:iCs/>
        </w:rPr>
        <w:t xml:space="preserve"> </w:t>
      </w:r>
      <w:r w:rsidR="002840E5">
        <w:rPr>
          <w:bCs/>
          <w:iCs/>
        </w:rPr>
        <w:t>in deciding whether the individual is unfit</w:t>
      </w:r>
      <w:r>
        <w:rPr>
          <w:bCs/>
          <w:iCs/>
        </w:rPr>
        <w:t xml:space="preserve">. </w:t>
      </w:r>
      <w:r>
        <w:rPr>
          <w:bCs/>
          <w:iCs/>
        </w:rPr>
        <w:br/>
      </w:r>
      <w:r>
        <w:rPr>
          <w:rStyle w:val="References"/>
        </w:rPr>
        <w:t xml:space="preserve">[Schedule </w:t>
      </w:r>
      <w:r w:rsidR="00956A7A">
        <w:rPr>
          <w:rStyle w:val="References"/>
        </w:rPr>
        <w:t>2</w:t>
      </w:r>
      <w:r>
        <w:rPr>
          <w:rStyle w:val="References"/>
        </w:rPr>
        <w:t>, item 1</w:t>
      </w:r>
      <w:r w:rsidR="00EC4B50">
        <w:rPr>
          <w:rStyle w:val="References"/>
        </w:rPr>
        <w:t>2</w:t>
      </w:r>
      <w:r w:rsidR="009705C3">
        <w:rPr>
          <w:rStyle w:val="References"/>
        </w:rPr>
        <w:t>9</w:t>
      </w:r>
      <w:r>
        <w:rPr>
          <w:rStyle w:val="References"/>
        </w:rPr>
        <w:t>, subsections 853</w:t>
      </w:r>
      <w:proofErr w:type="gramStart"/>
      <w:r>
        <w:rPr>
          <w:rStyle w:val="References"/>
        </w:rPr>
        <w:t>C(</w:t>
      </w:r>
      <w:proofErr w:type="gramEnd"/>
      <w:r>
        <w:rPr>
          <w:rStyle w:val="References"/>
        </w:rPr>
        <w:t>2) and (3) of the Act]</w:t>
      </w:r>
    </w:p>
    <w:p w14:paraId="5A93DC8D" w14:textId="77777777" w:rsidR="00365DF1" w:rsidRPr="00A40E05" w:rsidRDefault="00365DF1" w:rsidP="00365DF1">
      <w:pPr>
        <w:pStyle w:val="Heading5"/>
        <w:numPr>
          <w:ilvl w:val="4"/>
          <w:numId w:val="2"/>
        </w:numPr>
      </w:pPr>
      <w:r w:rsidRPr="00A40E05">
        <w:t xml:space="preserve">Dealing with licences that are not being </w:t>
      </w:r>
      <w:proofErr w:type="gramStart"/>
      <w:r w:rsidRPr="00A40E05">
        <w:t>used</w:t>
      </w:r>
      <w:proofErr w:type="gramEnd"/>
      <w:r w:rsidRPr="00A40E05">
        <w:t xml:space="preserve"> </w:t>
      </w:r>
    </w:p>
    <w:p w14:paraId="3D7D971C" w14:textId="42720698" w:rsidR="00F80C86" w:rsidRDefault="00F80C86" w:rsidP="00287229">
      <w:pPr>
        <w:pStyle w:val="Heading6"/>
        <w:rPr>
          <w:rFonts w:hint="eastAsia"/>
        </w:rPr>
      </w:pPr>
      <w:r>
        <w:t xml:space="preserve">Suspending or cancelling a licence </w:t>
      </w:r>
    </w:p>
    <w:p w14:paraId="7AAA0DF4" w14:textId="13B9DB4B" w:rsidR="003E2B21" w:rsidRPr="003E2B21" w:rsidRDefault="00365DF1" w:rsidP="00AD1047">
      <w:pPr>
        <w:pStyle w:val="Normalparatextwithnumbers"/>
        <w:rPr>
          <w:bCs/>
          <w:iCs/>
        </w:rPr>
      </w:pPr>
      <w:r w:rsidRPr="00A40E05">
        <w:t>ASIC may suspend</w:t>
      </w:r>
      <w:r w:rsidR="00846EAA">
        <w:t xml:space="preserve"> an</w:t>
      </w:r>
      <w:r w:rsidRPr="00A40E05">
        <w:t xml:space="preserve"> Australian market licence, CS facility licence, derivative trade repository licence or a benchmark administrator licence for a specified period, </w:t>
      </w:r>
      <w:r w:rsidR="00A1649D" w:rsidRPr="008F332A">
        <w:t xml:space="preserve">or </w:t>
      </w:r>
      <w:r w:rsidRPr="00A40E05">
        <w:t xml:space="preserve">cancel </w:t>
      </w:r>
      <w:r w:rsidRPr="008F332A">
        <w:t>it</w:t>
      </w:r>
      <w:r w:rsidR="00E12311">
        <w:t xml:space="preserve">, </w:t>
      </w:r>
      <w:r w:rsidR="003E2B21">
        <w:t>if</w:t>
      </w:r>
      <w:r w:rsidR="006A6EB9">
        <w:t>:</w:t>
      </w:r>
    </w:p>
    <w:p w14:paraId="32BFEC61" w14:textId="1AED8051" w:rsidR="004B3042" w:rsidRPr="004B3042" w:rsidRDefault="004B3042" w:rsidP="003E2B21">
      <w:pPr>
        <w:pStyle w:val="Dotpoint1"/>
        <w:rPr>
          <w:bCs/>
          <w:iCs/>
        </w:rPr>
      </w:pPr>
      <w:r>
        <w:rPr>
          <w:bCs/>
          <w:iCs/>
        </w:rPr>
        <w:t>the licensee has ceased carrying on the business to which the licence relates; or</w:t>
      </w:r>
    </w:p>
    <w:p w14:paraId="4A6F2E3D" w14:textId="1C162B5A" w:rsidR="003E2B21" w:rsidRPr="003E2B21" w:rsidRDefault="00705D3E" w:rsidP="003E2B21">
      <w:pPr>
        <w:pStyle w:val="Dotpoint1"/>
        <w:rPr>
          <w:bCs/>
          <w:iCs/>
        </w:rPr>
      </w:pPr>
      <w:r>
        <w:t>t</w:t>
      </w:r>
      <w:r w:rsidR="003E2B21">
        <w:t>he licensee ceases</w:t>
      </w:r>
      <w:r w:rsidR="00FB0ABA">
        <w:t>, for a period of at least 12 months, accepting bids or offers for the acquisition or disposal of financial products to which the licence relates</w:t>
      </w:r>
      <w:r w:rsidR="009910A7">
        <w:t xml:space="preserve">, </w:t>
      </w:r>
      <w:r w:rsidR="00116BCF">
        <w:t xml:space="preserve">providing CS facility services to which the </w:t>
      </w:r>
      <w:r w:rsidR="00506CBD">
        <w:t xml:space="preserve">licence </w:t>
      </w:r>
      <w:r w:rsidR="00116BCF">
        <w:t>relates, or ceased providing benchmark or repository services to which the licence relates</w:t>
      </w:r>
      <w:r w:rsidR="00FB0ABA">
        <w:t xml:space="preserve">; </w:t>
      </w:r>
      <w:r w:rsidR="00472697">
        <w:t>or</w:t>
      </w:r>
    </w:p>
    <w:p w14:paraId="29B24828" w14:textId="18553A8E" w:rsidR="003E2B21" w:rsidRPr="003E2B21" w:rsidRDefault="00705D3E" w:rsidP="003E2B21">
      <w:pPr>
        <w:pStyle w:val="Dotpoint1"/>
        <w:rPr>
          <w:bCs/>
          <w:iCs/>
        </w:rPr>
      </w:pPr>
      <w:r>
        <w:t>t</w:t>
      </w:r>
      <w:r w:rsidR="003E2B21">
        <w:t xml:space="preserve">he licensee has not </w:t>
      </w:r>
      <w:r w:rsidR="00D42B02">
        <w:t>engaged</w:t>
      </w:r>
      <w:r w:rsidR="003E2B21">
        <w:t xml:space="preserve"> in any conduct or activity constituting operating that market</w:t>
      </w:r>
      <w:r w:rsidR="00116BCF">
        <w:t xml:space="preserve">, facility, benchmark or repository </w:t>
      </w:r>
      <w:r w:rsidR="001D770C">
        <w:t xml:space="preserve">for a </w:t>
      </w:r>
      <w:r w:rsidR="003E2B21">
        <w:t xml:space="preserve">period of </w:t>
      </w:r>
      <w:r w:rsidR="00BE78EE">
        <w:t>12 months</w:t>
      </w:r>
      <w:r w:rsidR="003E2B21">
        <w:t xml:space="preserve">; </w:t>
      </w:r>
      <w:r w:rsidR="00361AF6">
        <w:t>or</w:t>
      </w:r>
    </w:p>
    <w:p w14:paraId="3813B468" w14:textId="450020FB" w:rsidR="00365DF1" w:rsidRPr="00DA6366" w:rsidRDefault="004721E5" w:rsidP="00BD58ED">
      <w:pPr>
        <w:pStyle w:val="Dotpoint1"/>
        <w:rPr>
          <w:rStyle w:val="References"/>
          <w:b w:val="0"/>
          <w:i w:val="0"/>
        </w:rPr>
      </w:pPr>
      <w:r>
        <w:t>the licensee is subject to a condition specifying that the licensee is authorised to engage in specified conduct</w:t>
      </w:r>
      <w:r w:rsidR="00A56629">
        <w:t xml:space="preserve"> or activity constituting operating a market,</w:t>
      </w:r>
      <w:r w:rsidR="00116BCF">
        <w:t xml:space="preserve"> CS facility, </w:t>
      </w:r>
      <w:r w:rsidR="00B60E46">
        <w:t>benchmark or repository</w:t>
      </w:r>
      <w:r w:rsidR="00A56629">
        <w:t xml:space="preserve"> and the licensee has for at least 12 months ceased engaging in all such specified conduct</w:t>
      </w:r>
      <w:r w:rsidR="00705D3E">
        <w:t>.</w:t>
      </w:r>
      <w:r w:rsidR="00365DF1" w:rsidRPr="00A40E05">
        <w:br/>
      </w:r>
      <w:r w:rsidR="00365DF1" w:rsidRPr="00A40E05">
        <w:rPr>
          <w:rStyle w:val="References"/>
        </w:rPr>
        <w:t xml:space="preserve">[Schedule </w:t>
      </w:r>
      <w:r w:rsidR="00A56629">
        <w:rPr>
          <w:rStyle w:val="References"/>
        </w:rPr>
        <w:t>2</w:t>
      </w:r>
      <w:r w:rsidR="00365DF1" w:rsidRPr="00A40E05">
        <w:rPr>
          <w:rStyle w:val="References"/>
        </w:rPr>
        <w:t>, item</w:t>
      </w:r>
      <w:r w:rsidR="001120E2">
        <w:rPr>
          <w:rStyle w:val="References"/>
        </w:rPr>
        <w:t>s</w:t>
      </w:r>
      <w:r w:rsidR="00DB6551">
        <w:rPr>
          <w:rStyle w:val="References"/>
        </w:rPr>
        <w:t xml:space="preserve"> 10</w:t>
      </w:r>
      <w:r w:rsidR="001120E2">
        <w:rPr>
          <w:rStyle w:val="References"/>
        </w:rPr>
        <w:t>, 1</w:t>
      </w:r>
      <w:r w:rsidR="00530902">
        <w:rPr>
          <w:rStyle w:val="References"/>
        </w:rPr>
        <w:t>3</w:t>
      </w:r>
      <w:r w:rsidR="001120E2">
        <w:rPr>
          <w:rStyle w:val="References"/>
        </w:rPr>
        <w:t xml:space="preserve">, </w:t>
      </w:r>
      <w:r w:rsidR="007A0762">
        <w:rPr>
          <w:rStyle w:val="References"/>
        </w:rPr>
        <w:t>1</w:t>
      </w:r>
      <w:r w:rsidR="00530902">
        <w:rPr>
          <w:rStyle w:val="References"/>
        </w:rPr>
        <w:t>6</w:t>
      </w:r>
      <w:r w:rsidR="007A0762">
        <w:rPr>
          <w:rStyle w:val="References"/>
        </w:rPr>
        <w:t xml:space="preserve"> and 1</w:t>
      </w:r>
      <w:r w:rsidR="004010ED">
        <w:rPr>
          <w:rStyle w:val="References"/>
        </w:rPr>
        <w:t>8</w:t>
      </w:r>
      <w:r w:rsidR="00DB6551">
        <w:rPr>
          <w:rStyle w:val="References"/>
        </w:rPr>
        <w:t>, section</w:t>
      </w:r>
      <w:r w:rsidR="00B60E46">
        <w:rPr>
          <w:rStyle w:val="References"/>
        </w:rPr>
        <w:t>s</w:t>
      </w:r>
      <w:r w:rsidR="00DB6551">
        <w:rPr>
          <w:rStyle w:val="References"/>
        </w:rPr>
        <w:t xml:space="preserve"> 797B</w:t>
      </w:r>
      <w:r w:rsidR="00B60E46">
        <w:rPr>
          <w:rStyle w:val="References"/>
        </w:rPr>
        <w:t>, 826B, 905H and 908BI</w:t>
      </w:r>
      <w:r w:rsidR="00DB6551">
        <w:rPr>
          <w:rStyle w:val="References"/>
        </w:rPr>
        <w:t xml:space="preserve"> of the Act]</w:t>
      </w:r>
    </w:p>
    <w:p w14:paraId="50532024" w14:textId="61AFEF0B" w:rsidR="00D656A1" w:rsidRPr="00A40E05" w:rsidRDefault="006E14A6" w:rsidP="00D656A1">
      <w:pPr>
        <w:pStyle w:val="Normalparatextwithnumbers"/>
      </w:pPr>
      <w:r>
        <w:t>ASIC is transferred t</w:t>
      </w:r>
      <w:r w:rsidR="00DA6366" w:rsidRPr="00A40E05">
        <w:t xml:space="preserve">he Minister’s power to immediately suspend or cancel an Australian market licence or CS facility licence, currently delegated to ASIC under the </w:t>
      </w:r>
      <w:r w:rsidR="00DA6366" w:rsidRPr="00A40E05">
        <w:rPr>
          <w:i/>
          <w:iCs/>
        </w:rPr>
        <w:t>Ministerial Powers (ASIC) Delegations 2021</w:t>
      </w:r>
      <w:r w:rsidR="00DA6366" w:rsidRPr="00A40E05">
        <w:t>.</w:t>
      </w:r>
      <w:r w:rsidR="00DB5BCB">
        <w:t xml:space="preserve"> This includes </w:t>
      </w:r>
      <w:r w:rsidR="00D47229">
        <w:t>an overseas market licensee or CS facility operating in a jurisdiction where ASIC consider</w:t>
      </w:r>
      <w:r w:rsidR="00144E4C">
        <w:t>s</w:t>
      </w:r>
      <w:r w:rsidR="00D47229">
        <w:t xml:space="preserve"> a </w:t>
      </w:r>
      <w:r w:rsidR="00DB5BCB">
        <w:t>change in regulatory regime</w:t>
      </w:r>
      <w:r w:rsidR="00D47229">
        <w:t xml:space="preserve"> is no longer</w:t>
      </w:r>
      <w:r w:rsidR="00DB5BCB">
        <w:t xml:space="preserve"> </w:t>
      </w:r>
      <w:r w:rsidR="00D47229">
        <w:t xml:space="preserve">equivalent. </w:t>
      </w:r>
      <w:r w:rsidR="00DA6366" w:rsidRPr="00A40E05">
        <w:br/>
      </w:r>
      <w:r w:rsidR="00DA6366" w:rsidRPr="00A40E05">
        <w:rPr>
          <w:rStyle w:val="References"/>
        </w:rPr>
        <w:t xml:space="preserve">[Schedule </w:t>
      </w:r>
      <w:r w:rsidR="000D1573">
        <w:rPr>
          <w:rStyle w:val="References"/>
        </w:rPr>
        <w:t xml:space="preserve">2, </w:t>
      </w:r>
      <w:r w:rsidR="00D47229" w:rsidRPr="00D47229">
        <w:rPr>
          <w:rStyle w:val="References"/>
        </w:rPr>
        <w:t>1</w:t>
      </w:r>
      <w:r w:rsidR="00A81FFB">
        <w:rPr>
          <w:rStyle w:val="References"/>
        </w:rPr>
        <w:t>2</w:t>
      </w:r>
      <w:r w:rsidR="00FC305D">
        <w:rPr>
          <w:rStyle w:val="References"/>
        </w:rPr>
        <w:t xml:space="preserve"> and</w:t>
      </w:r>
      <w:r w:rsidR="00FC55D3">
        <w:rPr>
          <w:rStyle w:val="References"/>
        </w:rPr>
        <w:t xml:space="preserve"> 1</w:t>
      </w:r>
      <w:r w:rsidR="00A81FFB">
        <w:rPr>
          <w:rStyle w:val="References"/>
        </w:rPr>
        <w:t>5</w:t>
      </w:r>
      <w:r w:rsidR="00D47229" w:rsidRPr="00D47229">
        <w:rPr>
          <w:rStyle w:val="References"/>
        </w:rPr>
        <w:t>, paragraphs 797B(d)(ii) and 826B(d)(ii)</w:t>
      </w:r>
      <w:r w:rsidR="00094592">
        <w:rPr>
          <w:rStyle w:val="References"/>
        </w:rPr>
        <w:t xml:space="preserve"> of the Act</w:t>
      </w:r>
      <w:r w:rsidR="00D656A1">
        <w:rPr>
          <w:rStyle w:val="References"/>
        </w:rPr>
        <w:t xml:space="preserve">; Schedule 3, items </w:t>
      </w:r>
      <w:r w:rsidR="0040024B">
        <w:rPr>
          <w:rStyle w:val="References"/>
        </w:rPr>
        <w:t xml:space="preserve">52, 53, </w:t>
      </w:r>
      <w:r w:rsidR="00AA1D37">
        <w:rPr>
          <w:rStyle w:val="References"/>
        </w:rPr>
        <w:t xml:space="preserve">119 and 120, sections 797B and </w:t>
      </w:r>
      <w:r w:rsidR="004755A2">
        <w:rPr>
          <w:rStyle w:val="References"/>
        </w:rPr>
        <w:t>826B of the Act]</w:t>
      </w:r>
    </w:p>
    <w:p w14:paraId="4694217B" w14:textId="52B89C76" w:rsidR="00144E4C" w:rsidRPr="00144E4C" w:rsidRDefault="00144E4C" w:rsidP="00BD58ED">
      <w:pPr>
        <w:pStyle w:val="Normalparatextwithnumbers"/>
        <w:rPr>
          <w:rStyle w:val="References"/>
          <w:b w:val="0"/>
          <w:i w:val="0"/>
        </w:rPr>
      </w:pPr>
      <w:r>
        <w:rPr>
          <w:rStyle w:val="References"/>
          <w:b w:val="0"/>
          <w:i w:val="0"/>
        </w:rPr>
        <w:t xml:space="preserve">A further condition is added </w:t>
      </w:r>
      <w:r w:rsidR="00F80C86">
        <w:rPr>
          <w:rStyle w:val="References"/>
          <w:b w:val="0"/>
          <w:i w:val="0"/>
        </w:rPr>
        <w:t xml:space="preserve">for </w:t>
      </w:r>
      <w:r w:rsidR="00F80C86" w:rsidRPr="00A40E05">
        <w:rPr>
          <w:rStyle w:val="References"/>
          <w:b w:val="0"/>
          <w:bCs w:val="0"/>
          <w:i w:val="0"/>
          <w:iCs w:val="0"/>
        </w:rPr>
        <w:t xml:space="preserve">overseas financial markets and CS facilities, </w:t>
      </w:r>
      <w:r w:rsidR="00F80C86">
        <w:rPr>
          <w:rStyle w:val="References"/>
          <w:b w:val="0"/>
          <w:bCs w:val="0"/>
          <w:i w:val="0"/>
          <w:iCs w:val="0"/>
        </w:rPr>
        <w:t xml:space="preserve">where </w:t>
      </w:r>
      <w:r w:rsidR="00F80C86" w:rsidRPr="00A40E05">
        <w:t xml:space="preserve">ASIC may suspend the licence for a specified period or cancel it if the cooperation (including information sharing) between ASIC, the </w:t>
      </w:r>
      <w:r w:rsidR="00F80C86">
        <w:t xml:space="preserve">RBA </w:t>
      </w:r>
      <w:r w:rsidR="00F80C86" w:rsidRPr="00A40E05">
        <w:t xml:space="preserve">and the authority or authorities responsible for supervising the operation of that facility in that country has materially deteriorated or is otherwise </w:t>
      </w:r>
      <w:r w:rsidR="00F80C86" w:rsidRPr="00A40E05">
        <w:rPr>
          <w:rStyle w:val="References"/>
          <w:b w:val="0"/>
          <w:bCs w:val="0"/>
          <w:i w:val="0"/>
          <w:iCs w:val="0"/>
        </w:rPr>
        <w:t>inadequate.</w:t>
      </w:r>
      <w:r w:rsidR="000C57E9">
        <w:rPr>
          <w:rStyle w:val="References"/>
          <w:b w:val="0"/>
          <w:bCs w:val="0"/>
          <w:i w:val="0"/>
          <w:iCs w:val="0"/>
        </w:rPr>
        <w:t xml:space="preserve"> ASIC must consult with the RBA prior to suspending or cancelling a CS facility licence, however a failure to consult does not affect the validity of the </w:t>
      </w:r>
      <w:r w:rsidR="000C57E9">
        <w:rPr>
          <w:rStyle w:val="References"/>
          <w:b w:val="0"/>
          <w:bCs w:val="0"/>
          <w:i w:val="0"/>
          <w:iCs w:val="0"/>
        </w:rPr>
        <w:lastRenderedPageBreak/>
        <w:t xml:space="preserve">decisions to suspend or cancel a licence. </w:t>
      </w:r>
      <w:r w:rsidR="00F80C86" w:rsidRPr="00A40E05">
        <w:rPr>
          <w:rStyle w:val="References"/>
          <w:b w:val="0"/>
          <w:bCs w:val="0"/>
          <w:i w:val="0"/>
          <w:iCs w:val="0"/>
        </w:rPr>
        <w:br/>
      </w:r>
      <w:r w:rsidR="00F80C86" w:rsidRPr="00A40E05">
        <w:rPr>
          <w:rStyle w:val="References"/>
        </w:rPr>
        <w:t xml:space="preserve">[Schedule </w:t>
      </w:r>
      <w:r w:rsidR="00FC55D3">
        <w:rPr>
          <w:rStyle w:val="References"/>
        </w:rPr>
        <w:t>2</w:t>
      </w:r>
      <w:r w:rsidR="00F80C86" w:rsidRPr="00A40E05">
        <w:rPr>
          <w:rStyle w:val="References"/>
        </w:rPr>
        <w:t>, items 1</w:t>
      </w:r>
      <w:r w:rsidR="00976C2F">
        <w:rPr>
          <w:rStyle w:val="References"/>
        </w:rPr>
        <w:t>2</w:t>
      </w:r>
      <w:r w:rsidR="00FC55D3">
        <w:rPr>
          <w:rStyle w:val="References"/>
        </w:rPr>
        <w:t xml:space="preserve"> and 1</w:t>
      </w:r>
      <w:r w:rsidR="00976C2F">
        <w:rPr>
          <w:rStyle w:val="References"/>
        </w:rPr>
        <w:t>5</w:t>
      </w:r>
      <w:r w:rsidR="00F80C86" w:rsidRPr="00A40E05">
        <w:rPr>
          <w:rStyle w:val="References"/>
        </w:rPr>
        <w:t>, paragraphs 797B(d)(iii)</w:t>
      </w:r>
      <w:r w:rsidR="000C57E9">
        <w:rPr>
          <w:rStyle w:val="References"/>
        </w:rPr>
        <w:t xml:space="preserve"> and </w:t>
      </w:r>
      <w:r w:rsidR="00F80C86" w:rsidRPr="00A40E05">
        <w:rPr>
          <w:rStyle w:val="References"/>
        </w:rPr>
        <w:t>826B(d)(iii)</w:t>
      </w:r>
      <w:r w:rsidR="00F80C86">
        <w:rPr>
          <w:rStyle w:val="References"/>
        </w:rPr>
        <w:t xml:space="preserve"> of the Act</w:t>
      </w:r>
      <w:r w:rsidR="00F80C86" w:rsidRPr="00A40E05">
        <w:rPr>
          <w:rStyle w:val="References"/>
        </w:rPr>
        <w:t>]</w:t>
      </w:r>
    </w:p>
    <w:p w14:paraId="09051254" w14:textId="06F065E2" w:rsidR="00365DF1" w:rsidRPr="00A40E05" w:rsidRDefault="00365DF1" w:rsidP="00AD1047">
      <w:pPr>
        <w:pStyle w:val="Normalparatextwithnumbers"/>
        <w:rPr>
          <w:rStyle w:val="References"/>
          <w:b w:val="0"/>
          <w:bCs w:val="0"/>
          <w:i w:val="0"/>
          <w:iCs w:val="0"/>
        </w:rPr>
      </w:pPr>
      <w:r w:rsidRPr="00A40E05">
        <w:rPr>
          <w:rStyle w:val="References"/>
          <w:b w:val="0"/>
          <w:bCs w:val="0"/>
          <w:i w:val="0"/>
          <w:iCs w:val="0"/>
        </w:rPr>
        <w:t xml:space="preserve">Including this new ground for immediate suspension or cancellation is intended to ensure appropriate oversight over licensed entities. Adequate information sharing between domestic and overseas regulators is essential to the effective functioning of Australia’s licensing regime for overseas financial markets and CS facilities. Cooperation </w:t>
      </w:r>
      <w:r w:rsidRPr="00A40E05">
        <w:t xml:space="preserve">between ASIC, the </w:t>
      </w:r>
      <w:r w:rsidR="00613F1B">
        <w:t xml:space="preserve">RBA </w:t>
      </w:r>
      <w:r w:rsidRPr="00A40E05">
        <w:t xml:space="preserve">and the authority or authorities responsible for supervising the operation of that facility overseas </w:t>
      </w:r>
      <w:r w:rsidRPr="00A40E05">
        <w:rPr>
          <w:rStyle w:val="References"/>
          <w:b w:val="0"/>
          <w:bCs w:val="0"/>
          <w:i w:val="0"/>
          <w:iCs w:val="0"/>
        </w:rPr>
        <w:t xml:space="preserve">minimises the potential for regulatory gaps and duplication and allows ASIC and the RBA to monitor the regulatory equivalence of an entity’s home regime. </w:t>
      </w:r>
    </w:p>
    <w:p w14:paraId="225425A4" w14:textId="6CBFE7FF" w:rsidR="0011135F" w:rsidRDefault="00911D26" w:rsidP="00713CA1">
      <w:pPr>
        <w:pStyle w:val="Heading5"/>
      </w:pPr>
      <w:r w:rsidRPr="00911D26">
        <w:t>Streamlin</w:t>
      </w:r>
      <w:r w:rsidR="00E857DE">
        <w:t>ing</w:t>
      </w:r>
      <w:r w:rsidRPr="00911D26">
        <w:t xml:space="preserve"> ASIC’s direction powers</w:t>
      </w:r>
    </w:p>
    <w:p w14:paraId="3EABC4CA" w14:textId="5947118C" w:rsidR="00B17F86" w:rsidRDefault="00E85D4D" w:rsidP="00125C2C">
      <w:pPr>
        <w:pStyle w:val="Normalparatextwithnumbers"/>
      </w:pPr>
      <w:r>
        <w:t>The amendments</w:t>
      </w:r>
      <w:r w:rsidR="00B17F86">
        <w:t xml:space="preserve"> </w:t>
      </w:r>
      <w:r w:rsidR="00B02891">
        <w:t xml:space="preserve">streamline </w:t>
      </w:r>
      <w:r w:rsidR="00B17F86">
        <w:t>ASIC’s power to issue directions for Australian market licensees</w:t>
      </w:r>
      <w:r w:rsidR="00B17F86" w:rsidRPr="00F213F8">
        <w:t xml:space="preserve">, CS facility licensees, and </w:t>
      </w:r>
      <w:r w:rsidR="00B17F86" w:rsidRPr="002143E5">
        <w:t>derivative trade repository licensee</w:t>
      </w:r>
      <w:r w:rsidR="00FE148B">
        <w:t>s</w:t>
      </w:r>
      <w:r w:rsidR="00B17F86">
        <w:t>, so that a direction can be issued without advising the relevant licensee of</w:t>
      </w:r>
      <w:r w:rsidR="0085390E">
        <w:t xml:space="preserve"> an</w:t>
      </w:r>
      <w:r w:rsidR="00B17F86">
        <w:t xml:space="preserve"> intention to issue a direction. </w:t>
      </w:r>
      <w:r w:rsidR="00B17F86">
        <w:br/>
      </w:r>
      <w:r w:rsidR="00B17F86" w:rsidRPr="009E6985">
        <w:rPr>
          <w:rStyle w:val="References"/>
        </w:rPr>
        <w:t xml:space="preserve">[Schedule </w:t>
      </w:r>
      <w:r w:rsidR="00850143">
        <w:rPr>
          <w:rStyle w:val="References"/>
        </w:rPr>
        <w:t>2</w:t>
      </w:r>
      <w:r w:rsidR="00B17F86" w:rsidRPr="009E6985">
        <w:rPr>
          <w:rStyle w:val="References"/>
        </w:rPr>
        <w:t>, item</w:t>
      </w:r>
      <w:r w:rsidR="00B17F86">
        <w:rPr>
          <w:rStyle w:val="References"/>
        </w:rPr>
        <w:t xml:space="preserve">s </w:t>
      </w:r>
      <w:r w:rsidR="00C77491">
        <w:rPr>
          <w:rStyle w:val="References"/>
        </w:rPr>
        <w:t>7</w:t>
      </w:r>
      <w:r w:rsidR="00931FE1">
        <w:rPr>
          <w:rStyle w:val="References"/>
        </w:rPr>
        <w:t>6</w:t>
      </w:r>
      <w:r w:rsidR="00C77491">
        <w:rPr>
          <w:rStyle w:val="References"/>
        </w:rPr>
        <w:t>, 7</w:t>
      </w:r>
      <w:r w:rsidR="00F3393F">
        <w:rPr>
          <w:rStyle w:val="References"/>
        </w:rPr>
        <w:t>7</w:t>
      </w:r>
      <w:r w:rsidR="00C77491">
        <w:rPr>
          <w:rStyle w:val="References"/>
        </w:rPr>
        <w:t xml:space="preserve">, </w:t>
      </w:r>
      <w:r w:rsidR="00CF4D81">
        <w:rPr>
          <w:rStyle w:val="References"/>
        </w:rPr>
        <w:t xml:space="preserve">and </w:t>
      </w:r>
      <w:r w:rsidR="00C77491">
        <w:rPr>
          <w:rStyle w:val="References"/>
        </w:rPr>
        <w:t>7</w:t>
      </w:r>
      <w:r w:rsidR="00F3393F">
        <w:rPr>
          <w:rStyle w:val="References"/>
        </w:rPr>
        <w:t>8</w:t>
      </w:r>
      <w:r w:rsidR="00B17F86" w:rsidRPr="009E6985">
        <w:rPr>
          <w:rStyle w:val="References"/>
        </w:rPr>
        <w:t xml:space="preserve">, </w:t>
      </w:r>
      <w:r w:rsidR="00B17F86">
        <w:rPr>
          <w:rStyle w:val="References"/>
        </w:rPr>
        <w:t>subsections 794</w:t>
      </w:r>
      <w:proofErr w:type="gramStart"/>
      <w:r w:rsidR="00B17F86">
        <w:rPr>
          <w:rStyle w:val="References"/>
        </w:rPr>
        <w:t>D(</w:t>
      </w:r>
      <w:proofErr w:type="gramEnd"/>
      <w:r w:rsidR="00B17F86">
        <w:rPr>
          <w:rStyle w:val="References"/>
        </w:rPr>
        <w:t>1),</w:t>
      </w:r>
      <w:r w:rsidR="00B17F86" w:rsidRPr="009E6985">
        <w:rPr>
          <w:rStyle w:val="References"/>
        </w:rPr>
        <w:t xml:space="preserve"> </w:t>
      </w:r>
      <w:r w:rsidR="00B17F86">
        <w:rPr>
          <w:rStyle w:val="References"/>
        </w:rPr>
        <w:t>823D</w:t>
      </w:r>
      <w:r w:rsidR="007B0621">
        <w:rPr>
          <w:rStyle w:val="References"/>
        </w:rPr>
        <w:t>(</w:t>
      </w:r>
      <w:r w:rsidR="00B17F86" w:rsidRPr="00B17F86">
        <w:rPr>
          <w:rStyle w:val="References"/>
        </w:rPr>
        <w:t>1)</w:t>
      </w:r>
      <w:r w:rsidR="00B17F86">
        <w:rPr>
          <w:rStyle w:val="References"/>
        </w:rPr>
        <w:t xml:space="preserve"> and 904G</w:t>
      </w:r>
      <w:r w:rsidR="00B17F86" w:rsidRPr="00B17F86">
        <w:rPr>
          <w:rStyle w:val="References"/>
        </w:rPr>
        <w:t>(1)</w:t>
      </w:r>
      <w:r w:rsidR="00B17F86">
        <w:rPr>
          <w:rStyle w:val="References"/>
        </w:rPr>
        <w:t xml:space="preserve"> </w:t>
      </w:r>
      <w:r w:rsidR="00B17F86" w:rsidRPr="009E6985">
        <w:rPr>
          <w:rStyle w:val="References"/>
        </w:rPr>
        <w:t>of the Act]</w:t>
      </w:r>
    </w:p>
    <w:p w14:paraId="042CDD71" w14:textId="77777777" w:rsidR="007B0621" w:rsidRDefault="007B0621" w:rsidP="007B0621">
      <w:pPr>
        <w:pStyle w:val="Normalparatextwithnumbers"/>
      </w:pPr>
      <w:r>
        <w:t xml:space="preserve">The streamlined process for issuing directions enables ASIC to address issues in </w:t>
      </w:r>
      <w:r w:rsidR="00B713C3">
        <w:t xml:space="preserve">an </w:t>
      </w:r>
      <w:r>
        <w:t>efficient and timely manner. The direction may specify the licensee to undertake a particular action</w:t>
      </w:r>
      <w:r w:rsidR="00B713C3" w:rsidDel="009A6614">
        <w:t xml:space="preserve"> or</w:t>
      </w:r>
      <w:r w:rsidR="00B713C3">
        <w:t xml:space="preserve"> </w:t>
      </w:r>
      <w:r>
        <w:t xml:space="preserve">direct them to refrain from undertaking a particular action. </w:t>
      </w:r>
    </w:p>
    <w:p w14:paraId="2680BFB1" w14:textId="20D2C942" w:rsidR="00B17F86" w:rsidRPr="007003F8" w:rsidRDefault="00B17F86" w:rsidP="00B17F86">
      <w:pPr>
        <w:pStyle w:val="Normalparatextwithnumbers"/>
        <w:rPr>
          <w:rStyle w:val="References"/>
          <w:b w:val="0"/>
          <w:bCs w:val="0"/>
          <w:i w:val="0"/>
          <w:iCs w:val="0"/>
        </w:rPr>
      </w:pPr>
      <w:r>
        <w:t xml:space="preserve">The </w:t>
      </w:r>
      <w:r w:rsidR="00CF1E6E">
        <w:t>purpose</w:t>
      </w:r>
      <w:r>
        <w:t xml:space="preserve">s for issuing a direction remain the same, however, the time limit to comply has been removed. This is justified </w:t>
      </w:r>
      <w:r w:rsidRPr="007003F8">
        <w:t xml:space="preserve">on the basis that </w:t>
      </w:r>
      <w:r w:rsidR="00CF1E6E">
        <w:t xml:space="preserve">impedes ASIC’s ability to use its directions power in circumstances that may take longer than </w:t>
      </w:r>
      <w:r w:rsidRPr="007003F8">
        <w:t xml:space="preserve">21 days </w:t>
      </w:r>
      <w:r w:rsidR="00CF1E6E">
        <w:t>to resolve</w:t>
      </w:r>
      <w:r w:rsidRPr="007003F8">
        <w:t>. Instead, ASIC</w:t>
      </w:r>
      <w:r w:rsidR="00000321">
        <w:t xml:space="preserve"> must </w:t>
      </w:r>
      <w:r w:rsidR="00CF1E6E">
        <w:t>specify</w:t>
      </w:r>
      <w:r w:rsidRPr="007003F8">
        <w:t xml:space="preserve"> a</w:t>
      </w:r>
      <w:r>
        <w:t xml:space="preserve"> reasonable</w:t>
      </w:r>
      <w:r w:rsidRPr="007003F8">
        <w:t xml:space="preserve"> time </w:t>
      </w:r>
      <w:r w:rsidR="00000321">
        <w:t xml:space="preserve">period </w:t>
      </w:r>
      <w:r w:rsidRPr="007003F8">
        <w:t xml:space="preserve">on the direction </w:t>
      </w:r>
      <w:r w:rsidR="00000321">
        <w:t xml:space="preserve">that the licensee must comply with </w:t>
      </w:r>
      <w:r w:rsidRPr="007003F8">
        <w:t>the direction</w:t>
      </w:r>
      <w:r w:rsidR="00000321">
        <w:t>.</w:t>
      </w:r>
      <w:r w:rsidRPr="007003F8">
        <w:t xml:space="preserve"> </w:t>
      </w:r>
      <w:r w:rsidR="00000321">
        <w:t xml:space="preserve">The direction will </w:t>
      </w:r>
      <w:r w:rsidRPr="007003F8">
        <w:t>either cease at th</w:t>
      </w:r>
      <w:r w:rsidR="00000321">
        <w:t xml:space="preserve">e </w:t>
      </w:r>
      <w:r w:rsidRPr="007003F8">
        <w:t>time</w:t>
      </w:r>
      <w:r w:rsidR="00000321">
        <w:t xml:space="preserve"> specified on the direction</w:t>
      </w:r>
      <w:r w:rsidRPr="007003F8">
        <w:t xml:space="preserve">, or when ASIC revokes the direction, whichever is earlier.  </w:t>
      </w:r>
      <w:r w:rsidRPr="007003F8">
        <w:br/>
      </w:r>
      <w:r w:rsidRPr="007003F8">
        <w:rPr>
          <w:rStyle w:val="References"/>
        </w:rPr>
        <w:t xml:space="preserve">[Schedule </w:t>
      </w:r>
      <w:r w:rsidR="00CF4D81">
        <w:rPr>
          <w:rStyle w:val="References"/>
        </w:rPr>
        <w:t>2</w:t>
      </w:r>
      <w:r w:rsidRPr="007003F8">
        <w:rPr>
          <w:rStyle w:val="References"/>
        </w:rPr>
        <w:t>, items</w:t>
      </w:r>
      <w:r w:rsidR="00CF4D81">
        <w:rPr>
          <w:rStyle w:val="References"/>
        </w:rPr>
        <w:t xml:space="preserve"> 7</w:t>
      </w:r>
      <w:r w:rsidR="00C416E9">
        <w:rPr>
          <w:rStyle w:val="References"/>
        </w:rPr>
        <w:t>6</w:t>
      </w:r>
      <w:r w:rsidR="00CF4D81">
        <w:rPr>
          <w:rStyle w:val="References"/>
        </w:rPr>
        <w:t>, 7</w:t>
      </w:r>
      <w:r w:rsidR="00C416E9">
        <w:rPr>
          <w:rStyle w:val="References"/>
        </w:rPr>
        <w:t>7</w:t>
      </w:r>
      <w:r w:rsidR="00CF4D81">
        <w:rPr>
          <w:rStyle w:val="References"/>
        </w:rPr>
        <w:t xml:space="preserve"> and 7</w:t>
      </w:r>
      <w:r w:rsidR="00C416E9">
        <w:rPr>
          <w:rStyle w:val="References"/>
        </w:rPr>
        <w:t>8</w:t>
      </w:r>
      <w:r w:rsidRPr="007003F8">
        <w:rPr>
          <w:rStyle w:val="References"/>
        </w:rPr>
        <w:t>, subsections 794</w:t>
      </w:r>
      <w:proofErr w:type="gramStart"/>
      <w:r w:rsidRPr="007003F8">
        <w:rPr>
          <w:rStyle w:val="References"/>
        </w:rPr>
        <w:t>D(</w:t>
      </w:r>
      <w:proofErr w:type="gramEnd"/>
      <w:r w:rsidR="007B0621">
        <w:rPr>
          <w:rStyle w:val="References"/>
        </w:rPr>
        <w:t>2</w:t>
      </w:r>
      <w:r w:rsidRPr="007003F8">
        <w:rPr>
          <w:rStyle w:val="References"/>
        </w:rPr>
        <w:t>), 823D(</w:t>
      </w:r>
      <w:r w:rsidR="007F1870">
        <w:rPr>
          <w:rStyle w:val="References"/>
        </w:rPr>
        <w:t>3</w:t>
      </w:r>
      <w:r w:rsidRPr="007003F8">
        <w:rPr>
          <w:rStyle w:val="References"/>
        </w:rPr>
        <w:t>)</w:t>
      </w:r>
      <w:r>
        <w:rPr>
          <w:rStyle w:val="References"/>
        </w:rPr>
        <w:t xml:space="preserve"> and 904G(2)</w:t>
      </w:r>
      <w:r w:rsidRPr="007003F8">
        <w:rPr>
          <w:rStyle w:val="References"/>
        </w:rPr>
        <w:t xml:space="preserve"> of the Act]</w:t>
      </w:r>
    </w:p>
    <w:p w14:paraId="70895A05" w14:textId="35C24173" w:rsidR="00B713C3" w:rsidRPr="00513D32" w:rsidRDefault="007B0621" w:rsidP="00AD1047">
      <w:pPr>
        <w:pStyle w:val="Normalparatextwithnumbers"/>
        <w:rPr>
          <w:rStyle w:val="References"/>
          <w:b w:val="0"/>
          <w:bCs w:val="0"/>
          <w:i w:val="0"/>
          <w:iCs w:val="0"/>
        </w:rPr>
      </w:pPr>
      <w:r>
        <w:t>Consistent with the current directions power, Australian market licensees</w:t>
      </w:r>
      <w:r w:rsidR="009A6614">
        <w:t>,</w:t>
      </w:r>
      <w:r w:rsidR="00B713C3">
        <w:t xml:space="preserve"> </w:t>
      </w:r>
      <w:r w:rsidR="00725A9C">
        <w:t>CS</w:t>
      </w:r>
      <w:r w:rsidR="00B713C3">
        <w:t xml:space="preserve"> facility licensee</w:t>
      </w:r>
      <w:r>
        <w:t>s</w:t>
      </w:r>
      <w:r w:rsidR="00B713C3">
        <w:t xml:space="preserve"> </w:t>
      </w:r>
      <w:r>
        <w:t xml:space="preserve">and </w:t>
      </w:r>
      <w:r w:rsidR="002143E5" w:rsidRPr="002143E5">
        <w:t>derivative trade repository licensee</w:t>
      </w:r>
      <w:r>
        <w:t>s must comply with a direction issued by ASIC. The penalty for failing to comply is the same as currently listed in Schedule 3, being 100 penalty units for each day of non</w:t>
      </w:r>
      <w:r>
        <w:noBreakHyphen/>
        <w:t>compliance for an individual and ten times this amount for a body corporate. Where a licensee</w:t>
      </w:r>
      <w:r w:rsidR="00B713C3">
        <w:t xml:space="preserve"> fails to comply with the direction, ASIC may apply to the Court for a Court order</w:t>
      </w:r>
      <w:r w:rsidR="009022C2">
        <w:t xml:space="preserve"> to compel</w:t>
      </w:r>
      <w:r w:rsidR="00B713C3">
        <w:t xml:space="preserve"> the licensee</w:t>
      </w:r>
      <w:r w:rsidR="0088593D">
        <w:t xml:space="preserve"> to</w:t>
      </w:r>
      <w:r w:rsidR="00B713C3">
        <w:t xml:space="preserve"> compl</w:t>
      </w:r>
      <w:r w:rsidR="0088593D">
        <w:t>y</w:t>
      </w:r>
      <w:r w:rsidR="00B713C3">
        <w:t>.</w:t>
      </w:r>
      <w:r>
        <w:br/>
      </w:r>
      <w:r w:rsidRPr="007B0621">
        <w:rPr>
          <w:rStyle w:val="References"/>
        </w:rPr>
        <w:t xml:space="preserve">[Schedule </w:t>
      </w:r>
      <w:r w:rsidR="00636EE4">
        <w:rPr>
          <w:rStyle w:val="References"/>
        </w:rPr>
        <w:t>2</w:t>
      </w:r>
      <w:r w:rsidRPr="007B0621">
        <w:rPr>
          <w:rStyle w:val="References"/>
        </w:rPr>
        <w:t xml:space="preserve">, items </w:t>
      </w:r>
      <w:r w:rsidR="00F24571">
        <w:rPr>
          <w:rStyle w:val="References"/>
        </w:rPr>
        <w:t>7</w:t>
      </w:r>
      <w:r w:rsidR="00D70BEC">
        <w:rPr>
          <w:rStyle w:val="References"/>
        </w:rPr>
        <w:t>6</w:t>
      </w:r>
      <w:r w:rsidR="00F24571">
        <w:rPr>
          <w:rStyle w:val="References"/>
        </w:rPr>
        <w:t>, 7</w:t>
      </w:r>
      <w:r w:rsidR="00D70BEC">
        <w:rPr>
          <w:rStyle w:val="References"/>
        </w:rPr>
        <w:t>7</w:t>
      </w:r>
      <w:r w:rsidR="00F24571">
        <w:rPr>
          <w:rStyle w:val="References"/>
        </w:rPr>
        <w:t>, 7</w:t>
      </w:r>
      <w:r w:rsidR="00D70BEC">
        <w:rPr>
          <w:rStyle w:val="References"/>
        </w:rPr>
        <w:t>8</w:t>
      </w:r>
      <w:r w:rsidR="00F24571">
        <w:rPr>
          <w:rStyle w:val="References"/>
        </w:rPr>
        <w:t>, 8</w:t>
      </w:r>
      <w:r w:rsidR="0058480D">
        <w:rPr>
          <w:rStyle w:val="References"/>
        </w:rPr>
        <w:t>3</w:t>
      </w:r>
      <w:r w:rsidR="00F24571">
        <w:rPr>
          <w:rStyle w:val="References"/>
        </w:rPr>
        <w:t xml:space="preserve"> and 8</w:t>
      </w:r>
      <w:r w:rsidR="0058480D">
        <w:rPr>
          <w:rStyle w:val="References"/>
        </w:rPr>
        <w:t>4</w:t>
      </w:r>
      <w:r w:rsidR="00F24571">
        <w:rPr>
          <w:rStyle w:val="References"/>
        </w:rPr>
        <w:t xml:space="preserve">, </w:t>
      </w:r>
      <w:r w:rsidRPr="007B0621">
        <w:rPr>
          <w:rStyle w:val="References"/>
        </w:rPr>
        <w:t>subsections 794</w:t>
      </w:r>
      <w:proofErr w:type="gramStart"/>
      <w:r w:rsidRPr="007B0621">
        <w:rPr>
          <w:rStyle w:val="References"/>
        </w:rPr>
        <w:t>D(</w:t>
      </w:r>
      <w:proofErr w:type="gramEnd"/>
      <w:r w:rsidRPr="007B0621">
        <w:rPr>
          <w:rStyle w:val="References"/>
        </w:rPr>
        <w:t>3)</w:t>
      </w:r>
      <w:r w:rsidR="00F24571">
        <w:rPr>
          <w:rStyle w:val="References"/>
        </w:rPr>
        <w:t xml:space="preserve"> and </w:t>
      </w:r>
      <w:r>
        <w:rPr>
          <w:rStyle w:val="References"/>
        </w:rPr>
        <w:t>(4)</w:t>
      </w:r>
      <w:r w:rsidRPr="007B0621">
        <w:rPr>
          <w:rStyle w:val="References"/>
        </w:rPr>
        <w:t>, 823D(</w:t>
      </w:r>
      <w:r w:rsidR="008B1152">
        <w:rPr>
          <w:rStyle w:val="References"/>
        </w:rPr>
        <w:t>4</w:t>
      </w:r>
      <w:r w:rsidRPr="007B0621">
        <w:rPr>
          <w:rStyle w:val="References"/>
        </w:rPr>
        <w:t>)</w:t>
      </w:r>
      <w:r w:rsidR="00F24571">
        <w:rPr>
          <w:rStyle w:val="References"/>
        </w:rPr>
        <w:t xml:space="preserve"> and </w:t>
      </w:r>
      <w:r>
        <w:rPr>
          <w:rStyle w:val="References"/>
        </w:rPr>
        <w:t>(</w:t>
      </w:r>
      <w:r w:rsidR="008B1152">
        <w:rPr>
          <w:rStyle w:val="References"/>
        </w:rPr>
        <w:t>5</w:t>
      </w:r>
      <w:r>
        <w:rPr>
          <w:rStyle w:val="References"/>
        </w:rPr>
        <w:t>)</w:t>
      </w:r>
      <w:r w:rsidRPr="007B0621">
        <w:rPr>
          <w:rStyle w:val="References"/>
        </w:rPr>
        <w:t xml:space="preserve"> and 904G(</w:t>
      </w:r>
      <w:r>
        <w:rPr>
          <w:rStyle w:val="References"/>
        </w:rPr>
        <w:t>3</w:t>
      </w:r>
      <w:r w:rsidRPr="007B0621">
        <w:rPr>
          <w:rStyle w:val="References"/>
        </w:rPr>
        <w:t>)</w:t>
      </w:r>
      <w:r w:rsidR="00F24571">
        <w:rPr>
          <w:rStyle w:val="References"/>
        </w:rPr>
        <w:t xml:space="preserve"> and </w:t>
      </w:r>
      <w:r>
        <w:rPr>
          <w:rStyle w:val="References"/>
        </w:rPr>
        <w:t>(4)</w:t>
      </w:r>
      <w:r w:rsidRPr="007B0621">
        <w:rPr>
          <w:rStyle w:val="References"/>
        </w:rPr>
        <w:t xml:space="preserve"> </w:t>
      </w:r>
      <w:r>
        <w:rPr>
          <w:rStyle w:val="References"/>
        </w:rPr>
        <w:t>and Schedule 3</w:t>
      </w:r>
      <w:r w:rsidRPr="007B0621">
        <w:rPr>
          <w:rStyle w:val="References"/>
        </w:rPr>
        <w:t xml:space="preserve"> of the Act]</w:t>
      </w:r>
    </w:p>
    <w:p w14:paraId="6C8E7E5C" w14:textId="169E5C5C" w:rsidR="007B0621" w:rsidRDefault="007B0621" w:rsidP="007B0621">
      <w:pPr>
        <w:pStyle w:val="Heading6"/>
        <w:rPr>
          <w:rFonts w:hint="eastAsia"/>
        </w:rPr>
      </w:pPr>
      <w:r>
        <w:lastRenderedPageBreak/>
        <w:t xml:space="preserve">Referrals to the Minister </w:t>
      </w:r>
    </w:p>
    <w:p w14:paraId="787B6747" w14:textId="09713F71" w:rsidR="007B0621" w:rsidRDefault="007B0621" w:rsidP="007B0621">
      <w:pPr>
        <w:pStyle w:val="Normalparatextwithnumbers"/>
      </w:pPr>
      <w:r>
        <w:t xml:space="preserve">Australian market licensee, CS facility licensee </w:t>
      </w:r>
      <w:r w:rsidR="007B2835">
        <w:t xml:space="preserve">and </w:t>
      </w:r>
      <w:r w:rsidRPr="002143E5">
        <w:t>derivative trade repository licensee</w:t>
      </w:r>
      <w:r w:rsidR="007B2835">
        <w:t>s</w:t>
      </w:r>
      <w:r w:rsidRPr="002143E5">
        <w:t xml:space="preserve"> </w:t>
      </w:r>
      <w:r>
        <w:t>retain the ability to refer a direction to the Minister after ASIC issues the direction. The Minister will continue to hold the power to require ASIC to revoke or vary a direction</w:t>
      </w:r>
      <w:r w:rsidR="007B2835">
        <w:t xml:space="preserve"> which ASIC must comply with</w:t>
      </w:r>
      <w:r>
        <w:t xml:space="preserve">. </w:t>
      </w:r>
      <w:r w:rsidRPr="007B0621">
        <w:rPr>
          <w:rStyle w:val="References"/>
        </w:rPr>
        <w:t xml:space="preserve">[Schedule </w:t>
      </w:r>
      <w:r w:rsidR="00704083">
        <w:rPr>
          <w:rStyle w:val="References"/>
        </w:rPr>
        <w:t>2</w:t>
      </w:r>
      <w:r w:rsidRPr="007B0621">
        <w:rPr>
          <w:rStyle w:val="References"/>
        </w:rPr>
        <w:t>, items</w:t>
      </w:r>
      <w:r w:rsidR="00704083">
        <w:rPr>
          <w:rStyle w:val="References"/>
        </w:rPr>
        <w:t xml:space="preserve"> </w:t>
      </w:r>
      <w:r w:rsidR="00650CEB">
        <w:rPr>
          <w:rStyle w:val="References"/>
        </w:rPr>
        <w:t>7</w:t>
      </w:r>
      <w:r w:rsidR="00AC68C5">
        <w:rPr>
          <w:rStyle w:val="References"/>
        </w:rPr>
        <w:t>6</w:t>
      </w:r>
      <w:r w:rsidR="00650CEB">
        <w:rPr>
          <w:rStyle w:val="References"/>
        </w:rPr>
        <w:t>, 7</w:t>
      </w:r>
      <w:r w:rsidR="00AC68C5">
        <w:rPr>
          <w:rStyle w:val="References"/>
        </w:rPr>
        <w:t>7</w:t>
      </w:r>
      <w:r w:rsidR="00650CEB">
        <w:rPr>
          <w:rStyle w:val="References"/>
        </w:rPr>
        <w:t xml:space="preserve"> and 7</w:t>
      </w:r>
      <w:r w:rsidR="00AC68C5">
        <w:rPr>
          <w:rStyle w:val="References"/>
        </w:rPr>
        <w:t>8</w:t>
      </w:r>
      <w:r w:rsidRPr="007B0621">
        <w:rPr>
          <w:rStyle w:val="References"/>
        </w:rPr>
        <w:t>, sections 794D</w:t>
      </w:r>
      <w:r>
        <w:rPr>
          <w:rStyle w:val="References"/>
        </w:rPr>
        <w:t>A</w:t>
      </w:r>
      <w:r w:rsidRPr="007B0621">
        <w:rPr>
          <w:rStyle w:val="References"/>
        </w:rPr>
        <w:t>, 823D</w:t>
      </w:r>
      <w:r>
        <w:rPr>
          <w:rStyle w:val="References"/>
        </w:rPr>
        <w:t>A</w:t>
      </w:r>
      <w:r w:rsidRPr="007B0621">
        <w:rPr>
          <w:rStyle w:val="References"/>
        </w:rPr>
        <w:t xml:space="preserve"> and 904G</w:t>
      </w:r>
      <w:r>
        <w:rPr>
          <w:rStyle w:val="References"/>
        </w:rPr>
        <w:t>A</w:t>
      </w:r>
      <w:r w:rsidRPr="007B0621">
        <w:rPr>
          <w:rStyle w:val="References"/>
        </w:rPr>
        <w:t xml:space="preserve"> of the Act]</w:t>
      </w:r>
    </w:p>
    <w:p w14:paraId="71EE3807" w14:textId="7D898B19" w:rsidR="007B0621" w:rsidRDefault="007B0621" w:rsidP="00AD1047">
      <w:pPr>
        <w:pStyle w:val="Normalparatextwithnumbers"/>
      </w:pPr>
      <w:r>
        <w:t>The Minister’s request is</w:t>
      </w:r>
      <w:r w:rsidRPr="007B0621">
        <w:t xml:space="preserve"> not a legislative instrument within the meaning of subsection 8(1) of the Legislation Act</w:t>
      </w:r>
      <w:r>
        <w:t xml:space="preserve">. The subsection is merely included to provide clarity and </w:t>
      </w:r>
      <w:r w:rsidRPr="007B0621">
        <w:t>assist readers.</w:t>
      </w:r>
    </w:p>
    <w:p w14:paraId="451D454D" w14:textId="2834C409" w:rsidR="007B0621" w:rsidRDefault="007B0621" w:rsidP="00AD1047">
      <w:pPr>
        <w:pStyle w:val="Normalparatextwithnumbers"/>
      </w:pPr>
      <w:r>
        <w:t xml:space="preserve">As soon as possible after a direction has been issued, varied or revoked as a result of the Minister’s request, ASIC must give notice to: </w:t>
      </w:r>
    </w:p>
    <w:p w14:paraId="0F8A4DCE" w14:textId="484C5AA7" w:rsidR="007B0621" w:rsidRDefault="007B0621" w:rsidP="007B0621">
      <w:pPr>
        <w:pStyle w:val="Dotpoint1"/>
      </w:pPr>
      <w:r>
        <w:t>in the case of a market licensee: the operator of each CS facility with which the market licensee has clearing and settlement arrangements for transactions; or</w:t>
      </w:r>
    </w:p>
    <w:p w14:paraId="6E25D25E" w14:textId="589B8C1E" w:rsidR="007B0621" w:rsidRDefault="007B0621" w:rsidP="007B0621">
      <w:pPr>
        <w:pStyle w:val="Dotpoint1"/>
      </w:pPr>
      <w:r>
        <w:t xml:space="preserve">in the case of a CS facility licensee: to the operator of each financial market with which the facility has arrangements to provide services, each issuer of financial products (if </w:t>
      </w:r>
      <w:r w:rsidR="004A1BAC">
        <w:t>the direction relates to specified financial products</w:t>
      </w:r>
      <w:r>
        <w:t xml:space="preserve">) and the </w:t>
      </w:r>
      <w:proofErr w:type="gramStart"/>
      <w:r>
        <w:t>RBA;</w:t>
      </w:r>
      <w:proofErr w:type="gramEnd"/>
      <w:r>
        <w:t xml:space="preserve"> </w:t>
      </w:r>
    </w:p>
    <w:p w14:paraId="6796A2FB" w14:textId="71C5D02B" w:rsidR="00393D5B" w:rsidRPr="00F10A7D" w:rsidRDefault="007B0621" w:rsidP="007B0621">
      <w:pPr>
        <w:pStyle w:val="Dotpoint1"/>
        <w:rPr>
          <w:rStyle w:val="References"/>
          <w:b w:val="0"/>
          <w:i w:val="0"/>
        </w:rPr>
      </w:pPr>
      <w:r>
        <w:t xml:space="preserve">in the case of a </w:t>
      </w:r>
      <w:r w:rsidRPr="007B0621">
        <w:t>derivative trade repository licensee</w:t>
      </w:r>
      <w:r>
        <w:t xml:space="preserve">: </w:t>
      </w:r>
      <w:r w:rsidR="00727517">
        <w:t>the operator of each financial market</w:t>
      </w:r>
      <w:r>
        <w:t xml:space="preserve"> and CS facility</w:t>
      </w:r>
      <w:r w:rsidR="00727517">
        <w:t xml:space="preserve"> with which the licensed </w:t>
      </w:r>
      <w:r w:rsidRPr="007B0621">
        <w:t xml:space="preserve">derivative trade repository licensee </w:t>
      </w:r>
      <w:r w:rsidR="00727517">
        <w:t>has arrangements to provide services relating to derivative trade data</w:t>
      </w:r>
      <w:r w:rsidR="00530056">
        <w:t>.</w:t>
      </w:r>
      <w:r w:rsidR="00BD58ED">
        <w:br/>
      </w:r>
      <w:r w:rsidR="00393D5B">
        <w:rPr>
          <w:rStyle w:val="References"/>
        </w:rPr>
        <w:t xml:space="preserve">[Schedule </w:t>
      </w:r>
      <w:r w:rsidR="00FA46C2">
        <w:rPr>
          <w:rStyle w:val="References"/>
        </w:rPr>
        <w:t>2</w:t>
      </w:r>
      <w:r w:rsidR="00393D5B">
        <w:rPr>
          <w:rStyle w:val="References"/>
        </w:rPr>
        <w:t>, item</w:t>
      </w:r>
      <w:r w:rsidR="00994A43">
        <w:rPr>
          <w:rStyle w:val="References"/>
        </w:rPr>
        <w:t>s</w:t>
      </w:r>
      <w:r w:rsidR="00393D5B">
        <w:rPr>
          <w:rStyle w:val="References"/>
        </w:rPr>
        <w:t xml:space="preserve"> </w:t>
      </w:r>
      <w:r w:rsidR="00FA46C2">
        <w:rPr>
          <w:rStyle w:val="References"/>
        </w:rPr>
        <w:t>7</w:t>
      </w:r>
      <w:r w:rsidR="004C470A">
        <w:rPr>
          <w:rStyle w:val="References"/>
        </w:rPr>
        <w:t>6</w:t>
      </w:r>
      <w:r w:rsidR="00FA46C2">
        <w:rPr>
          <w:rStyle w:val="References"/>
        </w:rPr>
        <w:t>, 7</w:t>
      </w:r>
      <w:r w:rsidR="004C470A">
        <w:rPr>
          <w:rStyle w:val="References"/>
        </w:rPr>
        <w:t>7</w:t>
      </w:r>
      <w:r w:rsidR="00FA46C2">
        <w:rPr>
          <w:rStyle w:val="References"/>
        </w:rPr>
        <w:t xml:space="preserve"> and 7</w:t>
      </w:r>
      <w:r w:rsidR="004C470A">
        <w:rPr>
          <w:rStyle w:val="References"/>
        </w:rPr>
        <w:t>8</w:t>
      </w:r>
      <w:r w:rsidR="00393D5B">
        <w:rPr>
          <w:rStyle w:val="References"/>
        </w:rPr>
        <w:t xml:space="preserve">, </w:t>
      </w:r>
      <w:r>
        <w:rPr>
          <w:rStyle w:val="References"/>
        </w:rPr>
        <w:t>sub</w:t>
      </w:r>
      <w:r w:rsidR="00393D5B">
        <w:rPr>
          <w:rStyle w:val="References"/>
        </w:rPr>
        <w:t>section</w:t>
      </w:r>
      <w:r w:rsidR="00994A43">
        <w:rPr>
          <w:rStyle w:val="References"/>
        </w:rPr>
        <w:t>s</w:t>
      </w:r>
      <w:r w:rsidR="00393D5B">
        <w:rPr>
          <w:rStyle w:val="References"/>
        </w:rPr>
        <w:t xml:space="preserve"> 794</w:t>
      </w:r>
      <w:proofErr w:type="gramStart"/>
      <w:r w:rsidR="00393D5B">
        <w:rPr>
          <w:rStyle w:val="References"/>
        </w:rPr>
        <w:t>DA</w:t>
      </w:r>
      <w:r>
        <w:rPr>
          <w:rStyle w:val="References"/>
        </w:rPr>
        <w:t>(</w:t>
      </w:r>
      <w:proofErr w:type="gramEnd"/>
      <w:r>
        <w:rPr>
          <w:rStyle w:val="References"/>
        </w:rPr>
        <w:t>6)</w:t>
      </w:r>
      <w:r w:rsidR="00182DF3">
        <w:rPr>
          <w:rStyle w:val="References"/>
        </w:rPr>
        <w:t xml:space="preserve">, </w:t>
      </w:r>
      <w:r w:rsidR="00994A43">
        <w:rPr>
          <w:rStyle w:val="References"/>
        </w:rPr>
        <w:t xml:space="preserve"> 823DA</w:t>
      </w:r>
      <w:r>
        <w:rPr>
          <w:rStyle w:val="References"/>
        </w:rPr>
        <w:t>(6)</w:t>
      </w:r>
      <w:r w:rsidR="003602A4">
        <w:rPr>
          <w:rStyle w:val="References"/>
        </w:rPr>
        <w:t xml:space="preserve"> </w:t>
      </w:r>
      <w:r w:rsidR="00182DF3">
        <w:rPr>
          <w:rStyle w:val="References"/>
        </w:rPr>
        <w:t xml:space="preserve"> and 904GA</w:t>
      </w:r>
      <w:r>
        <w:rPr>
          <w:rStyle w:val="References"/>
        </w:rPr>
        <w:t>(6)</w:t>
      </w:r>
      <w:r w:rsidR="00994A43">
        <w:rPr>
          <w:rStyle w:val="References"/>
        </w:rPr>
        <w:t xml:space="preserve"> </w:t>
      </w:r>
      <w:r w:rsidR="00393D5B">
        <w:rPr>
          <w:rStyle w:val="References"/>
        </w:rPr>
        <w:t>of the Act]</w:t>
      </w:r>
    </w:p>
    <w:p w14:paraId="7009DCEC" w14:textId="14905994" w:rsidR="004C470A" w:rsidRPr="00D10880" w:rsidRDefault="00BB56FD" w:rsidP="004C470A">
      <w:pPr>
        <w:pStyle w:val="Normalparatextwithnumbers"/>
      </w:pPr>
      <w:r w:rsidRPr="00FE0535">
        <w:rPr>
          <w:rStyle w:val="References"/>
          <w:rFonts w:cs="Times New Roman"/>
          <w:b w:val="0"/>
          <w:bCs w:val="0"/>
          <w:i w:val="0"/>
          <w:iCs w:val="0"/>
        </w:rPr>
        <w:t xml:space="preserve">The ability for a licensee to refer a direction to the Minister does not </w:t>
      </w:r>
      <w:r w:rsidR="007B2835">
        <w:rPr>
          <w:rStyle w:val="References"/>
          <w:rFonts w:cs="Times New Roman"/>
          <w:b w:val="0"/>
          <w:bCs w:val="0"/>
          <w:i w:val="0"/>
          <w:iCs w:val="0"/>
        </w:rPr>
        <w:t xml:space="preserve">affect a licensee’s obligation </w:t>
      </w:r>
      <w:r w:rsidRPr="00FE0535">
        <w:rPr>
          <w:rStyle w:val="References"/>
          <w:rFonts w:cs="Times New Roman"/>
          <w:b w:val="0"/>
          <w:bCs w:val="0"/>
          <w:i w:val="0"/>
          <w:iCs w:val="0"/>
        </w:rPr>
        <w:t xml:space="preserve">to comply with the direction. The licensee must continue to comply with the direction whilst the matter is </w:t>
      </w:r>
      <w:proofErr w:type="gramStart"/>
      <w:r w:rsidRPr="00FE0535">
        <w:rPr>
          <w:rStyle w:val="References"/>
          <w:rFonts w:cs="Times New Roman"/>
          <w:b w:val="0"/>
          <w:bCs w:val="0"/>
          <w:i w:val="0"/>
          <w:iCs w:val="0"/>
        </w:rPr>
        <w:t>referred</w:t>
      </w:r>
      <w:proofErr w:type="gramEnd"/>
      <w:r w:rsidRPr="00FE0535">
        <w:rPr>
          <w:rStyle w:val="References"/>
          <w:rFonts w:cs="Times New Roman"/>
          <w:b w:val="0"/>
          <w:bCs w:val="0"/>
          <w:i w:val="0"/>
          <w:iCs w:val="0"/>
        </w:rPr>
        <w:t xml:space="preserve"> and the Minister is considering the request. </w:t>
      </w:r>
    </w:p>
    <w:p w14:paraId="6E37D6CF" w14:textId="012D8C46" w:rsidR="007B0621" w:rsidRPr="007B0621" w:rsidRDefault="007B0621" w:rsidP="007B0621">
      <w:pPr>
        <w:pStyle w:val="Heading6"/>
        <w:rPr>
          <w:rStyle w:val="References"/>
          <w:rFonts w:ascii="Helvetica" w:hAnsi="Helvetica" w:cs="Helvetica"/>
          <w:b w:val="0"/>
          <w:bCs w:val="0"/>
          <w:i/>
          <w:iCs w:val="0"/>
        </w:rPr>
      </w:pPr>
      <w:r w:rsidRPr="007B0621">
        <w:rPr>
          <w:rStyle w:val="References"/>
          <w:rFonts w:ascii="Helvetica" w:hAnsi="Helvetica" w:cs="Helvetica"/>
          <w:b w:val="0"/>
          <w:bCs w:val="0"/>
          <w:i/>
          <w:iCs w:val="0"/>
        </w:rPr>
        <w:t xml:space="preserve">Merits review </w:t>
      </w:r>
    </w:p>
    <w:p w14:paraId="3E85287F" w14:textId="0EFC110A" w:rsidR="007B0621" w:rsidRPr="007B0621" w:rsidRDefault="007B0621" w:rsidP="007B0621">
      <w:pPr>
        <w:pStyle w:val="Normalparatextwithnumbers"/>
        <w:rPr>
          <w:rStyle w:val="References"/>
          <w:b w:val="0"/>
          <w:bCs w:val="0"/>
          <w:i w:val="0"/>
          <w:iCs w:val="0"/>
        </w:rPr>
      </w:pPr>
      <w:r>
        <w:rPr>
          <w:rStyle w:val="References"/>
          <w:b w:val="0"/>
          <w:bCs w:val="0"/>
          <w:i w:val="0"/>
          <w:iCs w:val="0"/>
        </w:rPr>
        <w:t xml:space="preserve">A request from the Minister for ASIC to vary or revoke a direction is not a reviewable decision. </w:t>
      </w:r>
      <w:r>
        <w:rPr>
          <w:rStyle w:val="References"/>
          <w:b w:val="0"/>
          <w:bCs w:val="0"/>
          <w:i w:val="0"/>
          <w:iCs w:val="0"/>
        </w:rPr>
        <w:br/>
      </w:r>
      <w:r w:rsidRPr="007B0621">
        <w:rPr>
          <w:rStyle w:val="References"/>
        </w:rPr>
        <w:t xml:space="preserve">[Schedule </w:t>
      </w:r>
      <w:r w:rsidR="00FA46C2">
        <w:rPr>
          <w:rStyle w:val="References"/>
        </w:rPr>
        <w:t>2</w:t>
      </w:r>
      <w:r w:rsidRPr="007B0621">
        <w:rPr>
          <w:rStyle w:val="References"/>
        </w:rPr>
        <w:t xml:space="preserve">, items </w:t>
      </w:r>
      <w:r w:rsidR="00EE7BE6">
        <w:rPr>
          <w:rStyle w:val="References"/>
        </w:rPr>
        <w:t>80</w:t>
      </w:r>
      <w:r w:rsidR="00014F67">
        <w:rPr>
          <w:rStyle w:val="References"/>
        </w:rPr>
        <w:t xml:space="preserve">, </w:t>
      </w:r>
      <w:r w:rsidR="00EE7BE6">
        <w:rPr>
          <w:rStyle w:val="References"/>
        </w:rPr>
        <w:t>81</w:t>
      </w:r>
      <w:r w:rsidR="00871250">
        <w:rPr>
          <w:rStyle w:val="References"/>
        </w:rPr>
        <w:t xml:space="preserve"> and 8</w:t>
      </w:r>
      <w:r w:rsidR="00EE7BE6">
        <w:rPr>
          <w:rStyle w:val="References"/>
        </w:rPr>
        <w:t>2</w:t>
      </w:r>
      <w:r w:rsidRPr="007B0621">
        <w:rPr>
          <w:rStyle w:val="References"/>
        </w:rPr>
        <w:t xml:space="preserve">, </w:t>
      </w:r>
      <w:r w:rsidR="00131D02" w:rsidRPr="007B0621">
        <w:rPr>
          <w:rStyle w:val="References"/>
        </w:rPr>
        <w:t>paragraphs</w:t>
      </w:r>
      <w:r w:rsidRPr="007B0621">
        <w:rPr>
          <w:rStyle w:val="References"/>
        </w:rPr>
        <w:t xml:space="preserve"> 1317C(</w:t>
      </w:r>
      <w:proofErr w:type="spellStart"/>
      <w:r w:rsidRPr="007B0621">
        <w:rPr>
          <w:rStyle w:val="References"/>
        </w:rPr>
        <w:t>gc</w:t>
      </w:r>
      <w:r w:rsidR="00014F67">
        <w:rPr>
          <w:rStyle w:val="References"/>
        </w:rPr>
        <w:t>aaa</w:t>
      </w:r>
      <w:proofErr w:type="spellEnd"/>
      <w:r w:rsidRPr="007B0621">
        <w:rPr>
          <w:rStyle w:val="References"/>
        </w:rPr>
        <w:t>), (</w:t>
      </w:r>
      <w:proofErr w:type="spellStart"/>
      <w:r w:rsidRPr="007B0621">
        <w:rPr>
          <w:rStyle w:val="References"/>
        </w:rPr>
        <w:t>gc</w:t>
      </w:r>
      <w:r w:rsidR="00014F67">
        <w:rPr>
          <w:rStyle w:val="References"/>
        </w:rPr>
        <w:t>cb</w:t>
      </w:r>
      <w:proofErr w:type="spellEnd"/>
      <w:r w:rsidRPr="007B0621">
        <w:rPr>
          <w:rStyle w:val="References"/>
        </w:rPr>
        <w:t>) and (</w:t>
      </w:r>
      <w:proofErr w:type="spellStart"/>
      <w:r w:rsidRPr="007B0621">
        <w:rPr>
          <w:rStyle w:val="References"/>
        </w:rPr>
        <w:t>gdc</w:t>
      </w:r>
      <w:r w:rsidR="00014F67">
        <w:rPr>
          <w:rStyle w:val="References"/>
        </w:rPr>
        <w:t>a</w:t>
      </w:r>
      <w:proofErr w:type="spellEnd"/>
      <w:r w:rsidRPr="007B0621">
        <w:rPr>
          <w:rStyle w:val="References"/>
        </w:rPr>
        <w:t>) of the Act]</w:t>
      </w:r>
    </w:p>
    <w:p w14:paraId="3F859B5E" w14:textId="0AA6D181" w:rsidR="00113929" w:rsidRDefault="00131D02" w:rsidP="00113929">
      <w:pPr>
        <w:pStyle w:val="Heading6"/>
        <w:rPr>
          <w:rFonts w:hint="eastAsia"/>
        </w:rPr>
      </w:pPr>
      <w:r>
        <w:t>Tran</w:t>
      </w:r>
      <w:r w:rsidR="00BB56FD">
        <w:t>s</w:t>
      </w:r>
      <w:r>
        <w:t>ferred d</w:t>
      </w:r>
      <w:r w:rsidR="00113929">
        <w:t xml:space="preserve">irections </w:t>
      </w:r>
      <w:proofErr w:type="gramStart"/>
      <w:r w:rsidR="00113929">
        <w:t>power</w:t>
      </w:r>
      <w:proofErr w:type="gramEnd"/>
    </w:p>
    <w:p w14:paraId="03A6456F" w14:textId="551D4893" w:rsidR="00113929" w:rsidRPr="00CD0C6A" w:rsidRDefault="00113929" w:rsidP="00F10A7D">
      <w:pPr>
        <w:pStyle w:val="Normalparatextwithnumbers"/>
      </w:pPr>
      <w:r>
        <w:t>T</w:t>
      </w:r>
      <w:r w:rsidRPr="008B2643">
        <w:t>he Minister</w:t>
      </w:r>
      <w:r>
        <w:t xml:space="preserve">’s power to issue </w:t>
      </w:r>
      <w:r w:rsidRPr="008B2643">
        <w:t>direction</w:t>
      </w:r>
      <w:r>
        <w:t xml:space="preserve">s to </w:t>
      </w:r>
      <w:r w:rsidRPr="008B2643">
        <w:t>licensee</w:t>
      </w:r>
      <w:r>
        <w:t>s</w:t>
      </w:r>
      <w:r w:rsidRPr="008B2643">
        <w:t xml:space="preserve"> </w:t>
      </w:r>
      <w:r w:rsidR="007B2835">
        <w:t xml:space="preserve">not </w:t>
      </w:r>
      <w:r w:rsidRPr="008B2643">
        <w:t>comply</w:t>
      </w:r>
      <w:r w:rsidR="007B2835">
        <w:t>ing</w:t>
      </w:r>
      <w:r w:rsidRPr="008B2643">
        <w:t xml:space="preserve"> with </w:t>
      </w:r>
      <w:r>
        <w:t xml:space="preserve">the licensee </w:t>
      </w:r>
      <w:r w:rsidRPr="008B2643">
        <w:t>obligations</w:t>
      </w:r>
      <w:r>
        <w:t xml:space="preserve"> is transferred to </w:t>
      </w:r>
      <w:r w:rsidRPr="008B2643">
        <w:t>ASIC</w:t>
      </w:r>
      <w:r>
        <w:t>. This is to equip ASIC with the necessary enforcement powers to ensure compliance with licen</w:t>
      </w:r>
      <w:r w:rsidR="008971C8">
        <w:t>c</w:t>
      </w:r>
      <w:r>
        <w:t>e obligations.</w:t>
      </w:r>
      <w:r w:rsidRPr="008B2643">
        <w:t xml:space="preserve"> </w:t>
      </w:r>
      <w:r>
        <w:t xml:space="preserve">ASIC may issue directions to </w:t>
      </w:r>
      <w:r w:rsidRPr="008B2643">
        <w:t xml:space="preserve">a market licensee or </w:t>
      </w:r>
      <w:r>
        <w:t xml:space="preserve">a CS </w:t>
      </w:r>
      <w:r w:rsidRPr="008B2643">
        <w:t xml:space="preserve">facility licensee </w:t>
      </w:r>
      <w:r>
        <w:t xml:space="preserve">where ASIC considers the licensee </w:t>
      </w:r>
      <w:r w:rsidRPr="008B2643">
        <w:t xml:space="preserve">is </w:t>
      </w:r>
      <w:r>
        <w:t>either un</w:t>
      </w:r>
      <w:r w:rsidRPr="008B2643">
        <w:t>likely</w:t>
      </w:r>
      <w:r>
        <w:t xml:space="preserve"> to,</w:t>
      </w:r>
      <w:r w:rsidRPr="008B2643">
        <w:t xml:space="preserve"> </w:t>
      </w:r>
      <w:r>
        <w:t xml:space="preserve">or is not, </w:t>
      </w:r>
      <w:r w:rsidRPr="008B2643">
        <w:t>compl</w:t>
      </w:r>
      <w:r>
        <w:t>ying</w:t>
      </w:r>
      <w:r w:rsidRPr="008B2643">
        <w:t xml:space="preserve"> with </w:t>
      </w:r>
      <w:r>
        <w:t xml:space="preserve">the </w:t>
      </w:r>
      <w:r w:rsidRPr="008B2643">
        <w:t>licen</w:t>
      </w:r>
      <w:r>
        <w:t>s</w:t>
      </w:r>
      <w:r w:rsidRPr="008B2643">
        <w:t>e</w:t>
      </w:r>
      <w:r>
        <w:t>e</w:t>
      </w:r>
      <w:r w:rsidRPr="008B2643">
        <w:t xml:space="preserve"> obligations. </w:t>
      </w:r>
    </w:p>
    <w:p w14:paraId="1CC27676" w14:textId="77777777" w:rsidR="00113929" w:rsidRDefault="00113929" w:rsidP="00F10A7D">
      <w:pPr>
        <w:pStyle w:val="Normalparatextwithnumbers"/>
      </w:pPr>
      <w:r w:rsidRPr="00534F63">
        <w:lastRenderedPageBreak/>
        <w:t xml:space="preserve">ASIC </w:t>
      </w:r>
      <w:r>
        <w:t xml:space="preserve">is directly </w:t>
      </w:r>
      <w:r w:rsidRPr="00534F63">
        <w:t>responsib</w:t>
      </w:r>
      <w:r>
        <w:t>le</w:t>
      </w:r>
      <w:r w:rsidRPr="00534F63">
        <w:t xml:space="preserve"> </w:t>
      </w:r>
      <w:r>
        <w:t>for</w:t>
      </w:r>
      <w:r w:rsidRPr="00534F63">
        <w:t xml:space="preserve"> issu</w:t>
      </w:r>
      <w:r>
        <w:t>ing</w:t>
      </w:r>
      <w:r w:rsidRPr="00534F63">
        <w:t xml:space="preserve"> </w:t>
      </w:r>
      <w:r>
        <w:t xml:space="preserve">the following </w:t>
      </w:r>
      <w:r w:rsidRPr="00534F63">
        <w:t xml:space="preserve">directions to licensees to promote compliance with </w:t>
      </w:r>
      <w:r>
        <w:t xml:space="preserve">the </w:t>
      </w:r>
      <w:r w:rsidRPr="00534F63">
        <w:t>license</w:t>
      </w:r>
      <w:r>
        <w:t xml:space="preserve">e </w:t>
      </w:r>
      <w:r w:rsidRPr="00534F63">
        <w:t>obligations under Chapter 7 of the Act</w:t>
      </w:r>
      <w:r>
        <w:t>, including:</w:t>
      </w:r>
    </w:p>
    <w:p w14:paraId="6B475D1D" w14:textId="24D29EFC" w:rsidR="00113929" w:rsidRPr="009A6FE3" w:rsidRDefault="00113929" w:rsidP="00113929">
      <w:pPr>
        <w:pStyle w:val="Dotpoint1"/>
      </w:pPr>
      <w:r w:rsidRPr="009A6FE3">
        <w:t xml:space="preserve">the power to issue, vary, or revoke directions with respect to financial markets </w:t>
      </w:r>
      <w:r w:rsidR="00B23B7F">
        <w:t>under Part 7.2;</w:t>
      </w:r>
      <w:r>
        <w:br/>
      </w:r>
      <w:r w:rsidRPr="009257E9">
        <w:rPr>
          <w:rStyle w:val="References"/>
        </w:rPr>
        <w:t>[</w:t>
      </w:r>
      <w:r>
        <w:rPr>
          <w:rStyle w:val="References"/>
        </w:rPr>
        <w:t xml:space="preserve">Schedule </w:t>
      </w:r>
      <w:r w:rsidR="00F03D43">
        <w:rPr>
          <w:rStyle w:val="References"/>
        </w:rPr>
        <w:t>3</w:t>
      </w:r>
      <w:r w:rsidRPr="009257E9">
        <w:rPr>
          <w:rStyle w:val="References"/>
        </w:rPr>
        <w:t>, items</w:t>
      </w:r>
      <w:r>
        <w:rPr>
          <w:rStyle w:val="References"/>
        </w:rPr>
        <w:t xml:space="preserve"> </w:t>
      </w:r>
      <w:r w:rsidRPr="009257E9">
        <w:rPr>
          <w:rStyle w:val="References"/>
        </w:rPr>
        <w:t>14</w:t>
      </w:r>
      <w:r w:rsidR="004E3E13">
        <w:rPr>
          <w:rStyle w:val="References"/>
        </w:rPr>
        <w:t xml:space="preserve"> to </w:t>
      </w:r>
      <w:r w:rsidRPr="009257E9">
        <w:rPr>
          <w:rStyle w:val="References"/>
        </w:rPr>
        <w:t>18, section 794A of the Act]</w:t>
      </w:r>
      <w:r w:rsidRPr="009A6FE3">
        <w:t xml:space="preserve"> </w:t>
      </w:r>
    </w:p>
    <w:p w14:paraId="2BCC0FFB" w14:textId="2A94AAF3" w:rsidR="00113929" w:rsidRPr="00276EB8" w:rsidRDefault="00113929" w:rsidP="00113929">
      <w:pPr>
        <w:pStyle w:val="Dotpoint1"/>
        <w:rPr>
          <w:rStyle w:val="References"/>
        </w:rPr>
      </w:pPr>
      <w:r w:rsidRPr="009A6FE3">
        <w:t>the power to issue, vary, or revoke directions based on CS facility licensees’ obligations under Part 7.3; and</w:t>
      </w:r>
      <w:r>
        <w:br/>
      </w:r>
      <w:r w:rsidRPr="00276EB8">
        <w:rPr>
          <w:rStyle w:val="References"/>
        </w:rPr>
        <w:t>[Schedule</w:t>
      </w:r>
      <w:r w:rsidR="00F03D43">
        <w:rPr>
          <w:rStyle w:val="References"/>
        </w:rPr>
        <w:t xml:space="preserve"> 3</w:t>
      </w:r>
      <w:r w:rsidRPr="00276EB8">
        <w:rPr>
          <w:rStyle w:val="References"/>
        </w:rPr>
        <w:t>, item</w:t>
      </w:r>
      <w:r>
        <w:rPr>
          <w:rStyle w:val="References"/>
        </w:rPr>
        <w:t>s 8</w:t>
      </w:r>
      <w:r w:rsidR="00C6003E">
        <w:rPr>
          <w:rStyle w:val="References"/>
        </w:rPr>
        <w:t>7 to 9</w:t>
      </w:r>
      <w:r w:rsidR="003C6447">
        <w:rPr>
          <w:rStyle w:val="References"/>
        </w:rPr>
        <w:t>0</w:t>
      </w:r>
      <w:r w:rsidRPr="00276EB8">
        <w:rPr>
          <w:rStyle w:val="References"/>
        </w:rPr>
        <w:t xml:space="preserve">, </w:t>
      </w:r>
      <w:r>
        <w:rPr>
          <w:rStyle w:val="References"/>
        </w:rPr>
        <w:t xml:space="preserve">section 823A </w:t>
      </w:r>
      <w:r w:rsidRPr="00276EB8">
        <w:rPr>
          <w:rStyle w:val="References"/>
        </w:rPr>
        <w:t xml:space="preserve">of </w:t>
      </w:r>
      <w:r>
        <w:rPr>
          <w:rStyle w:val="References"/>
        </w:rPr>
        <w:t xml:space="preserve">the </w:t>
      </w:r>
      <w:r w:rsidRPr="00276EB8">
        <w:rPr>
          <w:rStyle w:val="References"/>
        </w:rPr>
        <w:t xml:space="preserve">Act] </w:t>
      </w:r>
    </w:p>
    <w:p w14:paraId="7DE06083" w14:textId="3DAE7F1A" w:rsidR="003C4A87" w:rsidRDefault="00113929" w:rsidP="004E7946">
      <w:pPr>
        <w:pStyle w:val="Dotpoint1"/>
      </w:pPr>
      <w:r w:rsidRPr="009A6FE3">
        <w:t>the power to issue directions with respect to compensation arrangements</w:t>
      </w:r>
      <w:r w:rsidR="00373430">
        <w:t xml:space="preserve"> of licensed financial markets</w:t>
      </w:r>
      <w:r w:rsidR="00B23B7F">
        <w:t>.</w:t>
      </w:r>
      <w:r w:rsidRPr="009A6FE3">
        <w:t xml:space="preserve"> </w:t>
      </w:r>
      <w:r>
        <w:br/>
      </w:r>
      <w:r w:rsidRPr="00137DB6">
        <w:rPr>
          <w:rStyle w:val="References"/>
        </w:rPr>
        <w:t>[</w:t>
      </w:r>
      <w:r>
        <w:rPr>
          <w:rStyle w:val="References"/>
        </w:rPr>
        <w:t xml:space="preserve">Schedule </w:t>
      </w:r>
      <w:r w:rsidR="00F03D43">
        <w:rPr>
          <w:rStyle w:val="References"/>
        </w:rPr>
        <w:t>3</w:t>
      </w:r>
      <w:r w:rsidRPr="00137DB6">
        <w:rPr>
          <w:rStyle w:val="References"/>
        </w:rPr>
        <w:t>, item 1</w:t>
      </w:r>
      <w:r w:rsidR="0049541D">
        <w:rPr>
          <w:rStyle w:val="References"/>
        </w:rPr>
        <w:t xml:space="preserve">52 to </w:t>
      </w:r>
      <w:r>
        <w:rPr>
          <w:rStyle w:val="References"/>
        </w:rPr>
        <w:t>1</w:t>
      </w:r>
      <w:r w:rsidR="00181747">
        <w:rPr>
          <w:rStyle w:val="References"/>
        </w:rPr>
        <w:t>5</w:t>
      </w:r>
      <w:r w:rsidR="00AC4B36">
        <w:rPr>
          <w:rStyle w:val="References"/>
        </w:rPr>
        <w:t>4</w:t>
      </w:r>
      <w:r w:rsidRPr="00137DB6">
        <w:rPr>
          <w:rStyle w:val="References"/>
        </w:rPr>
        <w:t>, section 882D of the Act]</w:t>
      </w:r>
    </w:p>
    <w:p w14:paraId="3D12FB88" w14:textId="70E6E9B2" w:rsidR="00C60F02" w:rsidRDefault="00BB56FD" w:rsidP="0050003F">
      <w:pPr>
        <w:pStyle w:val="Normalparatextwithnumbers"/>
      </w:pPr>
      <w:r>
        <w:t>Consistent</w:t>
      </w:r>
      <w:r w:rsidR="00113929">
        <w:t xml:space="preserve"> with the </w:t>
      </w:r>
      <w:r>
        <w:t>ability</w:t>
      </w:r>
      <w:r w:rsidR="00113929">
        <w:t xml:space="preserve"> for </w:t>
      </w:r>
      <w:r>
        <w:t xml:space="preserve">licensees to refer </w:t>
      </w:r>
      <w:r w:rsidR="00113929">
        <w:t xml:space="preserve">directions </w:t>
      </w:r>
      <w:r>
        <w:t>to</w:t>
      </w:r>
      <w:r w:rsidR="00113929">
        <w:t xml:space="preserve"> the </w:t>
      </w:r>
      <w:r>
        <w:t>Minister, a</w:t>
      </w:r>
      <w:r w:rsidR="00113929">
        <w:t xml:space="preserve"> market licensee that </w:t>
      </w:r>
      <w:r>
        <w:t>has received</w:t>
      </w:r>
      <w:r w:rsidR="00113929">
        <w:t xml:space="preserve"> a direction from ASIC may request ASIC to refer the matter to the Minister. ASIC must comply with this request and comply with any requirements the Minister may make, including not making, varying or revoking the direction. </w:t>
      </w:r>
      <w:r w:rsidR="00113929">
        <w:br/>
      </w:r>
      <w:r w:rsidR="00113929" w:rsidRPr="006F62BA">
        <w:rPr>
          <w:rStyle w:val="References"/>
        </w:rPr>
        <w:t>[</w:t>
      </w:r>
      <w:r w:rsidR="00113929">
        <w:rPr>
          <w:rStyle w:val="References"/>
        </w:rPr>
        <w:t xml:space="preserve">Schedule </w:t>
      </w:r>
      <w:r w:rsidR="00F03D43">
        <w:rPr>
          <w:rStyle w:val="References"/>
        </w:rPr>
        <w:t>3</w:t>
      </w:r>
      <w:r w:rsidR="00113929" w:rsidRPr="006F62BA">
        <w:rPr>
          <w:rStyle w:val="References"/>
        </w:rPr>
        <w:t>, item</w:t>
      </w:r>
      <w:r w:rsidR="003C6447">
        <w:rPr>
          <w:rStyle w:val="References"/>
        </w:rPr>
        <w:t>s 91 and</w:t>
      </w:r>
      <w:r w:rsidR="00113929" w:rsidRPr="006F62BA">
        <w:rPr>
          <w:rStyle w:val="References"/>
        </w:rPr>
        <w:t xml:space="preserve"> </w:t>
      </w:r>
      <w:r w:rsidR="00113929">
        <w:rPr>
          <w:rStyle w:val="References"/>
        </w:rPr>
        <w:t>1</w:t>
      </w:r>
      <w:r w:rsidR="00AC4B36">
        <w:rPr>
          <w:rStyle w:val="References"/>
        </w:rPr>
        <w:t>55</w:t>
      </w:r>
      <w:r w:rsidR="00113929" w:rsidRPr="006F62BA">
        <w:rPr>
          <w:rStyle w:val="References"/>
        </w:rPr>
        <w:t xml:space="preserve">, </w:t>
      </w:r>
      <w:r w:rsidR="00113929">
        <w:rPr>
          <w:rStyle w:val="References"/>
        </w:rPr>
        <w:t>sub</w:t>
      </w:r>
      <w:r w:rsidR="00113929" w:rsidRPr="006F62BA">
        <w:rPr>
          <w:rStyle w:val="References"/>
        </w:rPr>
        <w:t>section</w:t>
      </w:r>
      <w:r w:rsidR="003C6447">
        <w:rPr>
          <w:rStyle w:val="References"/>
        </w:rPr>
        <w:t>s 823</w:t>
      </w:r>
      <w:proofErr w:type="gramStart"/>
      <w:r w:rsidR="003C6447">
        <w:rPr>
          <w:rStyle w:val="References"/>
        </w:rPr>
        <w:t>A(</w:t>
      </w:r>
      <w:proofErr w:type="gramEnd"/>
      <w:r w:rsidR="003C6447">
        <w:rPr>
          <w:rStyle w:val="References"/>
        </w:rPr>
        <w:t>5) and</w:t>
      </w:r>
      <w:r w:rsidR="00113929" w:rsidRPr="006F62BA">
        <w:rPr>
          <w:rStyle w:val="References"/>
        </w:rPr>
        <w:t xml:space="preserve"> </w:t>
      </w:r>
      <w:r w:rsidR="00113929">
        <w:rPr>
          <w:rStyle w:val="References"/>
        </w:rPr>
        <w:t xml:space="preserve">882D(5) </w:t>
      </w:r>
      <w:r w:rsidR="00113929" w:rsidRPr="006F62BA">
        <w:rPr>
          <w:rStyle w:val="References"/>
        </w:rPr>
        <w:t xml:space="preserve">of the </w:t>
      </w:r>
      <w:r w:rsidR="00113929">
        <w:rPr>
          <w:rStyle w:val="References"/>
        </w:rPr>
        <w:t>Act</w:t>
      </w:r>
      <w:r w:rsidR="00113929" w:rsidRPr="006F62BA">
        <w:rPr>
          <w:rStyle w:val="References"/>
        </w:rPr>
        <w:t>]</w:t>
      </w:r>
      <w:r w:rsidR="00113929">
        <w:t xml:space="preserve"> </w:t>
      </w:r>
    </w:p>
    <w:p w14:paraId="7F3C0163" w14:textId="5E40EF74" w:rsidR="00DC6674" w:rsidRDefault="00DC6674" w:rsidP="00DC6674">
      <w:pPr>
        <w:pStyle w:val="Heading6"/>
        <w:rPr>
          <w:rFonts w:hint="eastAsia"/>
        </w:rPr>
      </w:pPr>
      <w:r>
        <w:t>Matters relating to ASIC and RBA directions</w:t>
      </w:r>
      <w:r w:rsidR="004E7946">
        <w:t xml:space="preserve"> issued to CS facility </w:t>
      </w:r>
      <w:proofErr w:type="gramStart"/>
      <w:r w:rsidR="004E7946">
        <w:t>licensees</w:t>
      </w:r>
      <w:proofErr w:type="gramEnd"/>
    </w:p>
    <w:p w14:paraId="3C0E2C33" w14:textId="65A0438E" w:rsidR="00DC6674" w:rsidRDefault="00DC6674" w:rsidP="00DC6674">
      <w:pPr>
        <w:pStyle w:val="Normalparatextwithnumbers"/>
      </w:pPr>
      <w:r>
        <w:t xml:space="preserve">If a body corporate is subject to the exercise of a power under Part 7.3 by ASIC or the RBA or if the body corporate is a member of a group of bodies corporate subject to that exercise of power, a party to an agreement with this body corporate cannot: </w:t>
      </w:r>
    </w:p>
    <w:p w14:paraId="06C27679" w14:textId="77777777" w:rsidR="00DC6674" w:rsidRDefault="00DC6674" w:rsidP="00DC6674">
      <w:pPr>
        <w:pStyle w:val="Dotpoint1"/>
      </w:pPr>
      <w:r>
        <w:t xml:space="preserve"> deny an obligation or accelerate any debt under the </w:t>
      </w:r>
      <w:proofErr w:type="gramStart"/>
      <w:r>
        <w:t>agreement;</w:t>
      </w:r>
      <w:proofErr w:type="gramEnd"/>
      <w:r>
        <w:t xml:space="preserve"> </w:t>
      </w:r>
    </w:p>
    <w:p w14:paraId="6D47C08B" w14:textId="77777777" w:rsidR="00DC6674" w:rsidRDefault="00DC6674" w:rsidP="00DC6674">
      <w:pPr>
        <w:pStyle w:val="Dotpoint1"/>
      </w:pPr>
      <w:r>
        <w:t>terminate or close out the agreement or any transaction relating to the agreement; or</w:t>
      </w:r>
    </w:p>
    <w:p w14:paraId="74B2845C" w14:textId="77777777" w:rsidR="00DC6674" w:rsidRDefault="00DC6674" w:rsidP="00DC6674">
      <w:pPr>
        <w:pStyle w:val="Dotpoint1"/>
      </w:pPr>
      <w:r>
        <w:t xml:space="preserve">enforce any security under the agreement. </w:t>
      </w:r>
    </w:p>
    <w:p w14:paraId="7F8CC4F7" w14:textId="7E4E6E34" w:rsidR="00DC6674" w:rsidRPr="001C4A87" w:rsidRDefault="00DC6674" w:rsidP="00DC6674">
      <w:pPr>
        <w:pStyle w:val="Normalparatextwithnumbers"/>
      </w:pPr>
      <w:r>
        <w:t xml:space="preserve">This applies whether the law under which the agreement was made is Australian law or foreign law, including the law of a part of a foreign country. </w:t>
      </w:r>
      <w:r>
        <w:br/>
      </w:r>
      <w:r>
        <w:rPr>
          <w:rStyle w:val="References"/>
        </w:rPr>
        <w:t>[Schedule</w:t>
      </w:r>
      <w:r w:rsidR="008354E7">
        <w:rPr>
          <w:rStyle w:val="References"/>
        </w:rPr>
        <w:t xml:space="preserve"> 2</w:t>
      </w:r>
      <w:r>
        <w:rPr>
          <w:rStyle w:val="References"/>
        </w:rPr>
        <w:t xml:space="preserve"> item</w:t>
      </w:r>
      <w:r w:rsidR="008354E7">
        <w:rPr>
          <w:rStyle w:val="References"/>
        </w:rPr>
        <w:t xml:space="preserve"> 9</w:t>
      </w:r>
      <w:r w:rsidR="008425A2">
        <w:rPr>
          <w:rStyle w:val="References"/>
        </w:rPr>
        <w:t>5</w:t>
      </w:r>
      <w:r>
        <w:rPr>
          <w:rStyle w:val="References"/>
        </w:rPr>
        <w:t xml:space="preserve"> section 823V of the Act]</w:t>
      </w:r>
    </w:p>
    <w:p w14:paraId="566D2832" w14:textId="21E6C777" w:rsidR="00DC6674" w:rsidRDefault="00DC6674" w:rsidP="00DC6674">
      <w:pPr>
        <w:pStyle w:val="Normalparatextwithnumbers"/>
      </w:pPr>
      <w:r>
        <w:t>An action or proceeding does not lie against an officer, senior manager, employee, agent, body corporate or person engaged to provide services to the body corporate or related body corporate in relation to anything the person did in good faith if it was reasonable for the person to do the thing or to omit to do the thing for the purpose of:</w:t>
      </w:r>
    </w:p>
    <w:p w14:paraId="34ABF8BB" w14:textId="20FA1D28" w:rsidR="00DC6674" w:rsidRDefault="00DC6674" w:rsidP="00DC6674">
      <w:pPr>
        <w:pStyle w:val="Dotpoint1"/>
      </w:pPr>
      <w:r>
        <w:t xml:space="preserve">complying with a direction ASIC or the RBA gave under Part </w:t>
      </w:r>
      <w:proofErr w:type="gramStart"/>
      <w:r>
        <w:t>7.3;</w:t>
      </w:r>
      <w:proofErr w:type="gramEnd"/>
      <w:r>
        <w:t xml:space="preserve"> </w:t>
      </w:r>
    </w:p>
    <w:p w14:paraId="4471ED5C" w14:textId="6FDA39EA" w:rsidR="00DC6674" w:rsidRDefault="00DC6674" w:rsidP="00DC6674">
      <w:pPr>
        <w:pStyle w:val="Dotpoint1"/>
      </w:pPr>
      <w:r>
        <w:t>taking a measure or action specified in a direction from ASIC or the RBA under Part 7.3; or</w:t>
      </w:r>
    </w:p>
    <w:p w14:paraId="61ABAA93" w14:textId="76DA096C" w:rsidR="00DC6674" w:rsidRDefault="00DC6674" w:rsidP="00DC6674">
      <w:pPr>
        <w:pStyle w:val="Dotpoint1"/>
      </w:pPr>
      <w:r>
        <w:lastRenderedPageBreak/>
        <w:t xml:space="preserve">doing or refrain from doing anything in accordance with such a direction. </w:t>
      </w:r>
      <w:r>
        <w:br/>
      </w:r>
      <w:r>
        <w:rPr>
          <w:rStyle w:val="References"/>
        </w:rPr>
        <w:t xml:space="preserve">[Schedule </w:t>
      </w:r>
      <w:r w:rsidR="008354E7">
        <w:rPr>
          <w:rStyle w:val="References"/>
        </w:rPr>
        <w:t>2</w:t>
      </w:r>
      <w:r>
        <w:rPr>
          <w:rStyle w:val="References"/>
        </w:rPr>
        <w:t>, item</w:t>
      </w:r>
      <w:r w:rsidR="008354E7">
        <w:rPr>
          <w:rStyle w:val="References"/>
        </w:rPr>
        <w:t xml:space="preserve"> 9</w:t>
      </w:r>
      <w:r w:rsidR="001561A1">
        <w:rPr>
          <w:rStyle w:val="References"/>
        </w:rPr>
        <w:t>5</w:t>
      </w:r>
      <w:r>
        <w:rPr>
          <w:rStyle w:val="References"/>
        </w:rPr>
        <w:t>, section 823X of the Act]</w:t>
      </w:r>
      <w:r>
        <w:t xml:space="preserve"> </w:t>
      </w:r>
    </w:p>
    <w:p w14:paraId="1A4E6A0E" w14:textId="47D01DBB" w:rsidR="00DC6674" w:rsidRDefault="00DC6674">
      <w:pPr>
        <w:pStyle w:val="Normalparatextwithnumbers"/>
      </w:pPr>
      <w:r w:rsidRPr="00DC6674">
        <w:rPr>
          <w:rStyle w:val="References"/>
          <w:b w:val="0"/>
          <w:bCs w:val="0"/>
          <w:i w:val="0"/>
          <w:iCs w:val="0"/>
        </w:rPr>
        <w:t xml:space="preserve">The Court may make orders as it sees fit if on application of ASIC or the RBA or both, it appears to the Court that a person has contravened a provision of the operating rules of a licensed CS facility. </w:t>
      </w:r>
      <w:r>
        <w:rPr>
          <w:rStyle w:val="References"/>
        </w:rPr>
        <w:br/>
        <w:t xml:space="preserve">[Schedule </w:t>
      </w:r>
      <w:r w:rsidR="008354E7">
        <w:rPr>
          <w:rStyle w:val="References"/>
        </w:rPr>
        <w:t>2</w:t>
      </w:r>
      <w:r>
        <w:rPr>
          <w:rStyle w:val="References"/>
        </w:rPr>
        <w:t xml:space="preserve">, item </w:t>
      </w:r>
      <w:r w:rsidR="008354E7">
        <w:rPr>
          <w:rStyle w:val="References"/>
        </w:rPr>
        <w:t>9</w:t>
      </w:r>
      <w:r w:rsidR="00177BDE">
        <w:rPr>
          <w:rStyle w:val="References"/>
        </w:rPr>
        <w:t>7</w:t>
      </w:r>
      <w:r>
        <w:rPr>
          <w:rStyle w:val="References"/>
        </w:rPr>
        <w:t>, paragraph 1101B(</w:t>
      </w:r>
      <w:proofErr w:type="gramStart"/>
      <w:r>
        <w:rPr>
          <w:rStyle w:val="References"/>
        </w:rPr>
        <w:t>1)(</w:t>
      </w:r>
      <w:proofErr w:type="gramEnd"/>
      <w:r>
        <w:rPr>
          <w:rStyle w:val="References"/>
        </w:rPr>
        <w:t>aa) of the Act]</w:t>
      </w:r>
    </w:p>
    <w:p w14:paraId="21C0F36C" w14:textId="0D6175F4" w:rsidR="00800991" w:rsidRDefault="00800991" w:rsidP="00800991">
      <w:pPr>
        <w:pStyle w:val="Heading4"/>
        <w:numPr>
          <w:ilvl w:val="3"/>
          <w:numId w:val="2"/>
        </w:numPr>
      </w:pPr>
      <w:r>
        <w:t xml:space="preserve">Power to obtain </w:t>
      </w:r>
      <w:proofErr w:type="gramStart"/>
      <w:r>
        <w:t>reports</w:t>
      </w:r>
      <w:proofErr w:type="gramEnd"/>
    </w:p>
    <w:p w14:paraId="610BD54F" w14:textId="285DE5CD" w:rsidR="00B57449" w:rsidRPr="00D078FF" w:rsidRDefault="00800991" w:rsidP="00117063">
      <w:pPr>
        <w:pStyle w:val="Normalparatextwithnumbers"/>
      </w:pPr>
      <w:r w:rsidRPr="00D078FF">
        <w:t xml:space="preserve">ASIC </w:t>
      </w:r>
      <w:r>
        <w:t>is em</w:t>
      </w:r>
      <w:r w:rsidRPr="00D078FF">
        <w:t>power</w:t>
      </w:r>
      <w:r>
        <w:t>ed</w:t>
      </w:r>
      <w:r w:rsidRPr="00D078FF">
        <w:t xml:space="preserve"> to obtain </w:t>
      </w:r>
      <w:r w:rsidR="00930211">
        <w:t xml:space="preserve">an </w:t>
      </w:r>
      <w:r w:rsidRPr="00D078FF">
        <w:t>expert report</w:t>
      </w:r>
      <w:r w:rsidR="00930211">
        <w:t xml:space="preserve"> on specified matter</w:t>
      </w:r>
      <w:r>
        <w:t>s</w:t>
      </w:r>
      <w:r w:rsidRPr="00D078FF">
        <w:t xml:space="preserve"> </w:t>
      </w:r>
      <w:r w:rsidR="00930211">
        <w:t xml:space="preserve">in relation to FMI licensees. The RBA has a corresponding power in relation to CS facility licensees. This is </w:t>
      </w:r>
      <w:r w:rsidRPr="00D078FF">
        <w:t xml:space="preserve">to ensure </w:t>
      </w:r>
      <w:r w:rsidR="00930211">
        <w:t xml:space="preserve">that </w:t>
      </w:r>
      <w:r>
        <w:t xml:space="preserve">there is </w:t>
      </w:r>
      <w:r w:rsidR="00930211">
        <w:t xml:space="preserve">mechanism </w:t>
      </w:r>
      <w:proofErr w:type="gramStart"/>
      <w:r w:rsidR="00930211">
        <w:t xml:space="preserve">for </w:t>
      </w:r>
      <w:r w:rsidR="00B250A0">
        <w:t xml:space="preserve"> the</w:t>
      </w:r>
      <w:proofErr w:type="gramEnd"/>
      <w:r w:rsidR="00B250A0">
        <w:t xml:space="preserve"> regulators to </w:t>
      </w:r>
      <w:r w:rsidR="0053662E">
        <w:t xml:space="preserve">obtain </w:t>
      </w:r>
      <w:r w:rsidR="00930211">
        <w:t>appropriate</w:t>
      </w:r>
      <w:r w:rsidRPr="00D078FF">
        <w:t xml:space="preserve"> </w:t>
      </w:r>
      <w:r>
        <w:t xml:space="preserve">expert </w:t>
      </w:r>
      <w:r w:rsidRPr="00D078FF">
        <w:t xml:space="preserve">information </w:t>
      </w:r>
      <w:r w:rsidR="00C83F0E">
        <w:t>from an independent source</w:t>
      </w:r>
      <w:r w:rsidRPr="00D078FF">
        <w:t>.</w:t>
      </w:r>
      <w:r w:rsidRPr="002F6372">
        <w:t xml:space="preserve"> </w:t>
      </w:r>
      <w:r>
        <w:t xml:space="preserve">ASIC’s power to require an expert report </w:t>
      </w:r>
      <w:r w:rsidR="00D52D79">
        <w:t>follows</w:t>
      </w:r>
      <w:r w:rsidR="00B93A65">
        <w:t xml:space="preserve"> the same process</w:t>
      </w:r>
      <w:r>
        <w:t xml:space="preserve"> regardless of the type of financial licen</w:t>
      </w:r>
      <w:r w:rsidR="00411986">
        <w:t>c</w:t>
      </w:r>
      <w:r>
        <w:t>e.</w:t>
      </w:r>
      <w:r w:rsidR="00A815F6">
        <w:t xml:space="preserve"> </w:t>
      </w:r>
      <w:r>
        <w:t>With respect to market licensees and CS facility licen</w:t>
      </w:r>
      <w:r w:rsidR="00A6025C">
        <w:t>se</w:t>
      </w:r>
      <w:r>
        <w:t xml:space="preserve">es, ASIC’s power </w:t>
      </w:r>
      <w:r w:rsidRPr="00C918C0">
        <w:t xml:space="preserve">to obtain an expert report </w:t>
      </w:r>
      <w:r>
        <w:t xml:space="preserve">replaces </w:t>
      </w:r>
      <w:r w:rsidRPr="00C918C0">
        <w:t xml:space="preserve">the </w:t>
      </w:r>
      <w:r>
        <w:t>M</w:t>
      </w:r>
      <w:r w:rsidRPr="00C918C0">
        <w:t xml:space="preserve">inisterial power to require a market licensee or CS facility licensee to provide an audit </w:t>
      </w:r>
      <w:r w:rsidR="00B21B02">
        <w:t xml:space="preserve">report </w:t>
      </w:r>
      <w:r w:rsidRPr="00C918C0">
        <w:t xml:space="preserve">on a special report. </w:t>
      </w:r>
      <w:r w:rsidR="00117063">
        <w:t xml:space="preserve">This is because </w:t>
      </w:r>
      <w:r w:rsidR="00FC538B">
        <w:t xml:space="preserve">the new power to obtain an expert report will replace the power to obtain an </w:t>
      </w:r>
      <w:r w:rsidR="00B3610B">
        <w:t xml:space="preserve">audit report on a special report. </w:t>
      </w:r>
      <w:r w:rsidR="003E6388">
        <w:br/>
      </w:r>
      <w:r w:rsidR="003E6388" w:rsidRPr="00207CB4">
        <w:rPr>
          <w:rStyle w:val="References"/>
        </w:rPr>
        <w:t>[</w:t>
      </w:r>
      <w:r w:rsidR="00F821C8" w:rsidRPr="00207CB4">
        <w:rPr>
          <w:rStyle w:val="References"/>
        </w:rPr>
        <w:t xml:space="preserve">Schedule </w:t>
      </w:r>
      <w:r w:rsidR="008C2773" w:rsidRPr="00D10880">
        <w:rPr>
          <w:rStyle w:val="References"/>
        </w:rPr>
        <w:t>2</w:t>
      </w:r>
      <w:r w:rsidR="00F821C8" w:rsidRPr="00207CB4">
        <w:rPr>
          <w:rStyle w:val="References"/>
        </w:rPr>
        <w:t xml:space="preserve">, items </w:t>
      </w:r>
      <w:r w:rsidR="00A57080" w:rsidRPr="00207CB4">
        <w:rPr>
          <w:rStyle w:val="References"/>
        </w:rPr>
        <w:t>9</w:t>
      </w:r>
      <w:r w:rsidR="00686147" w:rsidRPr="00207CB4">
        <w:rPr>
          <w:rStyle w:val="References"/>
        </w:rPr>
        <w:t>4</w:t>
      </w:r>
      <w:r w:rsidR="00A57080" w:rsidRPr="00207CB4">
        <w:rPr>
          <w:rStyle w:val="References"/>
        </w:rPr>
        <w:t xml:space="preserve">, </w:t>
      </w:r>
      <w:r w:rsidR="00F821C8" w:rsidRPr="00207CB4">
        <w:rPr>
          <w:rStyle w:val="References"/>
        </w:rPr>
        <w:t>11</w:t>
      </w:r>
      <w:r w:rsidR="00686147" w:rsidRPr="00207CB4">
        <w:rPr>
          <w:rStyle w:val="References"/>
        </w:rPr>
        <w:t>6</w:t>
      </w:r>
      <w:r w:rsidR="00F821C8" w:rsidRPr="00207CB4">
        <w:rPr>
          <w:rStyle w:val="References"/>
        </w:rPr>
        <w:t>, 11</w:t>
      </w:r>
      <w:r w:rsidR="00502D0F" w:rsidRPr="00207CB4">
        <w:rPr>
          <w:rStyle w:val="References"/>
        </w:rPr>
        <w:t>7</w:t>
      </w:r>
      <w:r w:rsidR="00583D3B" w:rsidRPr="00207CB4">
        <w:rPr>
          <w:rStyle w:val="References"/>
        </w:rPr>
        <w:t xml:space="preserve">, sections </w:t>
      </w:r>
      <w:r w:rsidR="00502D0F" w:rsidRPr="00207CB4">
        <w:rPr>
          <w:rStyle w:val="References"/>
        </w:rPr>
        <w:t xml:space="preserve">794BA, </w:t>
      </w:r>
      <w:r w:rsidR="0027553A" w:rsidRPr="00207CB4">
        <w:rPr>
          <w:rStyle w:val="References"/>
        </w:rPr>
        <w:t>823BAA</w:t>
      </w:r>
      <w:r w:rsidR="00E46F62" w:rsidRPr="00207CB4">
        <w:rPr>
          <w:rStyle w:val="References"/>
        </w:rPr>
        <w:t xml:space="preserve"> and </w:t>
      </w:r>
      <w:r w:rsidR="00AF708D" w:rsidRPr="00207CB4">
        <w:rPr>
          <w:rStyle w:val="References"/>
        </w:rPr>
        <w:t>904L</w:t>
      </w:r>
      <w:r w:rsidR="00787500" w:rsidRPr="00207CB4">
        <w:rPr>
          <w:rStyle w:val="References"/>
        </w:rPr>
        <w:t xml:space="preserve"> of the Act</w:t>
      </w:r>
      <w:r w:rsidR="00B24A41" w:rsidRPr="00207CB4">
        <w:rPr>
          <w:rStyle w:val="References"/>
        </w:rPr>
        <w:t>;</w:t>
      </w:r>
      <w:r w:rsidR="00F821C8" w:rsidRPr="00207CB4">
        <w:rPr>
          <w:rStyle w:val="References"/>
        </w:rPr>
        <w:t xml:space="preserve"> </w:t>
      </w:r>
      <w:r w:rsidR="003E6388" w:rsidRPr="00207CB4">
        <w:rPr>
          <w:rStyle w:val="References"/>
        </w:rPr>
        <w:t xml:space="preserve">Schedule </w:t>
      </w:r>
      <w:r w:rsidR="00706A71" w:rsidRPr="00207CB4">
        <w:rPr>
          <w:rStyle w:val="References"/>
        </w:rPr>
        <w:t>3</w:t>
      </w:r>
      <w:r w:rsidR="00B57449" w:rsidRPr="00207CB4">
        <w:rPr>
          <w:rStyle w:val="References"/>
        </w:rPr>
        <w:t>, item</w:t>
      </w:r>
      <w:r w:rsidR="00B24A41" w:rsidRPr="00207CB4">
        <w:rPr>
          <w:rStyle w:val="References"/>
        </w:rPr>
        <w:t>s</w:t>
      </w:r>
      <w:r w:rsidR="00B57449" w:rsidRPr="00207CB4">
        <w:rPr>
          <w:rStyle w:val="References"/>
        </w:rPr>
        <w:t xml:space="preserve"> 19</w:t>
      </w:r>
      <w:r w:rsidR="00E043A4">
        <w:rPr>
          <w:rStyle w:val="References"/>
        </w:rPr>
        <w:t xml:space="preserve">, </w:t>
      </w:r>
      <w:r w:rsidR="00502777" w:rsidRPr="00207CB4">
        <w:rPr>
          <w:rStyle w:val="References"/>
        </w:rPr>
        <w:t>92</w:t>
      </w:r>
      <w:r w:rsidR="00220DD6">
        <w:rPr>
          <w:rStyle w:val="References"/>
        </w:rPr>
        <w:t xml:space="preserve">, </w:t>
      </w:r>
      <w:r w:rsidR="00E043A4">
        <w:rPr>
          <w:rStyle w:val="References"/>
        </w:rPr>
        <w:t>17</w:t>
      </w:r>
      <w:r w:rsidR="00220DD6">
        <w:rPr>
          <w:rStyle w:val="References"/>
        </w:rPr>
        <w:t>7 and 178</w:t>
      </w:r>
      <w:r w:rsidR="002B5CE6" w:rsidRPr="00207CB4">
        <w:rPr>
          <w:rStyle w:val="References"/>
        </w:rPr>
        <w:t>,</w:t>
      </w:r>
      <w:r w:rsidR="00FE39AE" w:rsidRPr="00207CB4">
        <w:rPr>
          <w:rStyle w:val="References"/>
        </w:rPr>
        <w:t xml:space="preserve"> </w:t>
      </w:r>
      <w:r w:rsidR="00B57449" w:rsidRPr="00207CB4">
        <w:rPr>
          <w:rStyle w:val="References"/>
        </w:rPr>
        <w:t>section</w:t>
      </w:r>
      <w:r w:rsidR="007A4972" w:rsidRPr="00207CB4">
        <w:rPr>
          <w:rStyle w:val="References"/>
        </w:rPr>
        <w:t xml:space="preserve">s </w:t>
      </w:r>
      <w:r w:rsidR="00B57449" w:rsidRPr="00207CB4">
        <w:rPr>
          <w:rStyle w:val="References"/>
        </w:rPr>
        <w:t>794B</w:t>
      </w:r>
      <w:r w:rsidR="00E043A4">
        <w:rPr>
          <w:rStyle w:val="References"/>
        </w:rPr>
        <w:t xml:space="preserve">, </w:t>
      </w:r>
      <w:r w:rsidR="00B57449" w:rsidRPr="00207CB4">
        <w:rPr>
          <w:rStyle w:val="References"/>
        </w:rPr>
        <w:t>823B</w:t>
      </w:r>
      <w:r w:rsidR="00E043A4">
        <w:rPr>
          <w:rStyle w:val="References"/>
        </w:rPr>
        <w:t xml:space="preserve"> and Schedule 3</w:t>
      </w:r>
      <w:r w:rsidR="00B57449" w:rsidRPr="00207CB4">
        <w:rPr>
          <w:rStyle w:val="References"/>
          <w:caps/>
        </w:rPr>
        <w:t xml:space="preserve"> </w:t>
      </w:r>
      <w:r w:rsidR="007A4972" w:rsidRPr="00207CB4">
        <w:rPr>
          <w:rStyle w:val="References"/>
        </w:rPr>
        <w:t>of the Act</w:t>
      </w:r>
      <w:r w:rsidR="003E6388" w:rsidRPr="00207CB4">
        <w:rPr>
          <w:rStyle w:val="References"/>
        </w:rPr>
        <w:t>]</w:t>
      </w:r>
      <w:r w:rsidR="003E6388" w:rsidRPr="00207CB4">
        <w:t xml:space="preserve"> </w:t>
      </w:r>
    </w:p>
    <w:p w14:paraId="186355A5" w14:textId="733D614C" w:rsidR="00800991" w:rsidRDefault="00800991" w:rsidP="00800991">
      <w:pPr>
        <w:pStyle w:val="Heading6"/>
        <w:rPr>
          <w:rFonts w:hint="eastAsia"/>
        </w:rPr>
      </w:pPr>
      <w:r>
        <w:t xml:space="preserve">Derivative trade repository </w:t>
      </w:r>
      <w:r w:rsidR="001D2CFC">
        <w:t xml:space="preserve">licensee and benchmark administrator </w:t>
      </w:r>
      <w:r>
        <w:t xml:space="preserve">report </w:t>
      </w:r>
    </w:p>
    <w:p w14:paraId="349AB151" w14:textId="2ED48350" w:rsidR="00800991" w:rsidRPr="00B70166" w:rsidRDefault="00800991" w:rsidP="002840E5">
      <w:pPr>
        <w:pStyle w:val="Normalparatextwithnumbers"/>
      </w:pPr>
      <w:r>
        <w:t xml:space="preserve">Where </w:t>
      </w:r>
      <w:r w:rsidRPr="005143D0">
        <w:t xml:space="preserve">ASIC </w:t>
      </w:r>
      <w:r>
        <w:t xml:space="preserve">directs a </w:t>
      </w:r>
      <w:r w:rsidRPr="005143D0">
        <w:t xml:space="preserve">derivative trade repository licensee </w:t>
      </w:r>
      <w:r w:rsidR="001D2CFC">
        <w:t xml:space="preserve">or a </w:t>
      </w:r>
      <w:r w:rsidR="001D2CFC" w:rsidRPr="005D3892">
        <w:t xml:space="preserve">benchmark administrator licensee </w:t>
      </w:r>
      <w:r>
        <w:t xml:space="preserve">to provide a special report, </w:t>
      </w:r>
      <w:r w:rsidRPr="005143D0">
        <w:t>ASIC</w:t>
      </w:r>
      <w:r>
        <w:t xml:space="preserve"> is not required to provide a copy of </w:t>
      </w:r>
      <w:r w:rsidRPr="00B70166">
        <w:t xml:space="preserve">the report to the Minister. </w:t>
      </w:r>
      <w:r w:rsidRPr="00B70166">
        <w:br/>
      </w:r>
      <w:r w:rsidRPr="00B70166">
        <w:rPr>
          <w:rStyle w:val="References"/>
        </w:rPr>
        <w:t xml:space="preserve">[Schedule </w:t>
      </w:r>
      <w:r w:rsidR="008B3177" w:rsidRPr="00D10880">
        <w:rPr>
          <w:rStyle w:val="References"/>
        </w:rPr>
        <w:t>2</w:t>
      </w:r>
      <w:r w:rsidRPr="00B70166">
        <w:rPr>
          <w:rStyle w:val="References"/>
        </w:rPr>
        <w:t xml:space="preserve">, </w:t>
      </w:r>
      <w:proofErr w:type="gramStart"/>
      <w:r w:rsidRPr="00B70166">
        <w:rPr>
          <w:rStyle w:val="References"/>
        </w:rPr>
        <w:t>item</w:t>
      </w:r>
      <w:r w:rsidR="00D02623" w:rsidRPr="001A4BCF">
        <w:rPr>
          <w:rStyle w:val="References"/>
        </w:rPr>
        <w:t xml:space="preserve"> </w:t>
      </w:r>
      <w:r w:rsidR="00D02623" w:rsidRPr="00D10880">
        <w:rPr>
          <w:rStyle w:val="References"/>
        </w:rPr>
        <w:t xml:space="preserve"> 118</w:t>
      </w:r>
      <w:proofErr w:type="gramEnd"/>
      <w:r w:rsidRPr="00B70166">
        <w:rPr>
          <w:rStyle w:val="References"/>
        </w:rPr>
        <w:t xml:space="preserve">, </w:t>
      </w:r>
      <w:r w:rsidR="0000770A" w:rsidRPr="00D10880">
        <w:rPr>
          <w:rStyle w:val="References"/>
        </w:rPr>
        <w:t xml:space="preserve"> </w:t>
      </w:r>
      <w:r w:rsidR="003271F3" w:rsidRPr="00D10880">
        <w:rPr>
          <w:rStyle w:val="References"/>
        </w:rPr>
        <w:t>section 908BWA</w:t>
      </w:r>
      <w:r w:rsidR="008B3177" w:rsidRPr="00D10880">
        <w:rPr>
          <w:rStyle w:val="References"/>
        </w:rPr>
        <w:t>; Schedule 3,</w:t>
      </w:r>
      <w:r w:rsidRPr="00B70166">
        <w:rPr>
          <w:rStyle w:val="References"/>
        </w:rPr>
        <w:t xml:space="preserve"> </w:t>
      </w:r>
      <w:r w:rsidR="005A7686" w:rsidRPr="00D10880">
        <w:rPr>
          <w:rStyle w:val="References"/>
        </w:rPr>
        <w:t>item</w:t>
      </w:r>
      <w:r w:rsidR="007C5221" w:rsidRPr="00D10880">
        <w:rPr>
          <w:rStyle w:val="References"/>
        </w:rPr>
        <w:t>s 172</w:t>
      </w:r>
      <w:r w:rsidR="007C5221" w:rsidRPr="001A4BCF">
        <w:rPr>
          <w:rStyle w:val="References"/>
        </w:rPr>
        <w:t xml:space="preserve"> and</w:t>
      </w:r>
      <w:r w:rsidR="005A7686" w:rsidRPr="001A4BCF">
        <w:rPr>
          <w:rStyle w:val="References"/>
        </w:rPr>
        <w:t xml:space="preserve"> </w:t>
      </w:r>
      <w:r w:rsidR="005A7686" w:rsidRPr="00D10880">
        <w:rPr>
          <w:rStyle w:val="References"/>
        </w:rPr>
        <w:t>174,</w:t>
      </w:r>
      <w:r w:rsidR="001D2CFC" w:rsidRPr="00B70166">
        <w:rPr>
          <w:rStyle w:val="References"/>
        </w:rPr>
        <w:t xml:space="preserve"> </w:t>
      </w:r>
      <w:r w:rsidR="00C16158" w:rsidRPr="00B70166">
        <w:rPr>
          <w:rStyle w:val="References"/>
        </w:rPr>
        <w:t>subsection</w:t>
      </w:r>
      <w:r w:rsidR="007C5221" w:rsidRPr="00D10880">
        <w:rPr>
          <w:rStyle w:val="References"/>
        </w:rPr>
        <w:t>s 904H(1) and</w:t>
      </w:r>
      <w:r w:rsidR="00C16158" w:rsidRPr="00B70166">
        <w:rPr>
          <w:rStyle w:val="References"/>
        </w:rPr>
        <w:t xml:space="preserve"> </w:t>
      </w:r>
      <w:r w:rsidR="001D2CFC" w:rsidRPr="00B70166">
        <w:rPr>
          <w:rStyle w:val="References"/>
        </w:rPr>
        <w:t xml:space="preserve">908BV(3) </w:t>
      </w:r>
      <w:r w:rsidRPr="00B70166">
        <w:rPr>
          <w:rStyle w:val="References"/>
        </w:rPr>
        <w:t>of the Act]</w:t>
      </w:r>
    </w:p>
    <w:p w14:paraId="2D913B21" w14:textId="449BF37D" w:rsidR="00800991" w:rsidRDefault="00C84B9F" w:rsidP="00800991">
      <w:pPr>
        <w:pStyle w:val="Heading6"/>
        <w:rPr>
          <w:rFonts w:hint="eastAsia"/>
        </w:rPr>
      </w:pPr>
      <w:r w:rsidRPr="00B70166">
        <w:t>E</w:t>
      </w:r>
      <w:r w:rsidR="00800991" w:rsidRPr="00B70166">
        <w:t>xpert report</w:t>
      </w:r>
      <w:r w:rsidRPr="00B70166">
        <w:t>s</w:t>
      </w:r>
      <w:r w:rsidR="00800991">
        <w:t xml:space="preserve"> </w:t>
      </w:r>
    </w:p>
    <w:p w14:paraId="19E8825A" w14:textId="2643CB89" w:rsidR="00800991" w:rsidRPr="00D078FF" w:rsidRDefault="00800991" w:rsidP="00AD1047">
      <w:pPr>
        <w:pStyle w:val="Normalparatextwithnumbers"/>
      </w:pPr>
      <w:r w:rsidRPr="00D078FF">
        <w:t>ASIC may appoint</w:t>
      </w:r>
      <w:r>
        <w:t>,</w:t>
      </w:r>
      <w:r w:rsidRPr="00D078FF">
        <w:t xml:space="preserve"> or </w:t>
      </w:r>
      <w:r>
        <w:t xml:space="preserve">direct </w:t>
      </w:r>
      <w:r w:rsidRPr="00D078FF">
        <w:t>a licensee to appoint</w:t>
      </w:r>
      <w:r>
        <w:t>,</w:t>
      </w:r>
      <w:r w:rsidRPr="00D078FF">
        <w:t xml:space="preserve"> a</w:t>
      </w:r>
      <w:r>
        <w:t>n expert</w:t>
      </w:r>
      <w:r w:rsidRPr="00D078FF">
        <w:t xml:space="preserve"> to provide </w:t>
      </w:r>
      <w:r w:rsidR="00995455">
        <w:t>a</w:t>
      </w:r>
      <w:r w:rsidRPr="00D078FF">
        <w:t xml:space="preserve"> report</w:t>
      </w:r>
      <w:r>
        <w:t xml:space="preserve"> </w:t>
      </w:r>
      <w:r w:rsidRPr="002F38E2">
        <w:t xml:space="preserve">on specified matters relating to the licensee and relevant </w:t>
      </w:r>
      <w:r>
        <w:t xml:space="preserve">matters in </w:t>
      </w:r>
      <w:r w:rsidRPr="002F38E2">
        <w:t xml:space="preserve">fulfilling </w:t>
      </w:r>
      <w:r w:rsidR="00DA5FD1">
        <w:t>the licensee’s obligations</w:t>
      </w:r>
      <w:r w:rsidRPr="00D078FF">
        <w:t xml:space="preserve">. </w:t>
      </w:r>
      <w:r>
        <w:br/>
      </w:r>
      <w:r w:rsidRPr="005E31DA">
        <w:rPr>
          <w:rStyle w:val="References"/>
        </w:rPr>
        <w:t xml:space="preserve">[Schedule </w:t>
      </w:r>
      <w:r w:rsidR="00D41081" w:rsidRPr="005E31DA">
        <w:rPr>
          <w:rStyle w:val="References"/>
        </w:rPr>
        <w:t>2</w:t>
      </w:r>
      <w:r w:rsidRPr="005E31DA">
        <w:rPr>
          <w:rStyle w:val="References"/>
        </w:rPr>
        <w:t>, item</w:t>
      </w:r>
      <w:r w:rsidR="005E31DA">
        <w:rPr>
          <w:rStyle w:val="References"/>
        </w:rPr>
        <w:t>s</w:t>
      </w:r>
      <w:r w:rsidRPr="005E31DA">
        <w:rPr>
          <w:rStyle w:val="References"/>
        </w:rPr>
        <w:t xml:space="preserve"> </w:t>
      </w:r>
      <w:r w:rsidR="00E24C69" w:rsidRPr="00D10880">
        <w:rPr>
          <w:rStyle w:val="References"/>
        </w:rPr>
        <w:t>94</w:t>
      </w:r>
      <w:r w:rsidR="004F6F7D" w:rsidRPr="00D10880">
        <w:rPr>
          <w:rStyle w:val="References"/>
        </w:rPr>
        <w:t>,</w:t>
      </w:r>
      <w:r w:rsidR="00896041" w:rsidRPr="00D10880">
        <w:rPr>
          <w:rStyle w:val="References"/>
        </w:rPr>
        <w:t xml:space="preserve"> 116</w:t>
      </w:r>
      <w:r w:rsidR="00E24C69" w:rsidRPr="00D10880">
        <w:rPr>
          <w:rStyle w:val="References"/>
        </w:rPr>
        <w:t>,</w:t>
      </w:r>
      <w:r w:rsidR="005B29B8" w:rsidRPr="00D10880">
        <w:rPr>
          <w:rStyle w:val="References"/>
        </w:rPr>
        <w:t xml:space="preserve"> 117</w:t>
      </w:r>
      <w:r w:rsidR="00E24C69" w:rsidRPr="00D10880">
        <w:rPr>
          <w:rStyle w:val="References"/>
        </w:rPr>
        <w:t xml:space="preserve"> </w:t>
      </w:r>
      <w:r w:rsidR="00B97558" w:rsidRPr="005E31DA">
        <w:rPr>
          <w:rStyle w:val="References"/>
        </w:rPr>
        <w:t>118,</w:t>
      </w:r>
      <w:r w:rsidR="0065316F" w:rsidRPr="005E31DA">
        <w:rPr>
          <w:rStyle w:val="References"/>
        </w:rPr>
        <w:t xml:space="preserve"> section</w:t>
      </w:r>
      <w:r w:rsidR="009C7F6B" w:rsidRPr="00D10880">
        <w:rPr>
          <w:rStyle w:val="References"/>
        </w:rPr>
        <w:t xml:space="preserve">s </w:t>
      </w:r>
      <w:r w:rsidR="00E24C69" w:rsidRPr="00D10880">
        <w:rPr>
          <w:rStyle w:val="References"/>
        </w:rPr>
        <w:t>823BA</w:t>
      </w:r>
      <w:r w:rsidR="009C7F6B" w:rsidRPr="00D10880">
        <w:rPr>
          <w:rStyle w:val="References"/>
        </w:rPr>
        <w:t>,</w:t>
      </w:r>
      <w:r w:rsidR="0065316F" w:rsidRPr="005E31DA">
        <w:rPr>
          <w:rStyle w:val="References"/>
        </w:rPr>
        <w:t xml:space="preserve"> </w:t>
      </w:r>
      <w:r w:rsidR="00896041" w:rsidRPr="00D10880">
        <w:rPr>
          <w:rStyle w:val="References"/>
        </w:rPr>
        <w:t xml:space="preserve">794BA, </w:t>
      </w:r>
      <w:r w:rsidR="005B29B8" w:rsidRPr="00D10880">
        <w:rPr>
          <w:rStyle w:val="References"/>
        </w:rPr>
        <w:t xml:space="preserve">904L and </w:t>
      </w:r>
      <w:r w:rsidR="0065316F" w:rsidRPr="005E31DA">
        <w:rPr>
          <w:rStyle w:val="References"/>
        </w:rPr>
        <w:t>908BWA</w:t>
      </w:r>
      <w:r w:rsidR="009E7EF0" w:rsidRPr="00D10880">
        <w:rPr>
          <w:rStyle w:val="References"/>
        </w:rPr>
        <w:t xml:space="preserve"> </w:t>
      </w:r>
      <w:r w:rsidR="00C16C4D" w:rsidRPr="005E31DA">
        <w:rPr>
          <w:rStyle w:val="References"/>
        </w:rPr>
        <w:t>of the Act</w:t>
      </w:r>
      <w:r w:rsidR="005B29B8" w:rsidRPr="00D10880">
        <w:rPr>
          <w:rStyle w:val="References"/>
        </w:rPr>
        <w:t>]</w:t>
      </w:r>
    </w:p>
    <w:p w14:paraId="07DD85F9" w14:textId="231AB794" w:rsidR="00800991" w:rsidRDefault="00800991" w:rsidP="00AD1047">
      <w:pPr>
        <w:pStyle w:val="Normalparatextwithnumbers"/>
      </w:pPr>
      <w:r>
        <w:t xml:space="preserve">Where an expert is appointed, </w:t>
      </w:r>
      <w:r w:rsidRPr="00D078FF">
        <w:t xml:space="preserve">ASIC must give </w:t>
      </w:r>
      <w:r>
        <w:t xml:space="preserve">the licensee notice that an expert is appointed and </w:t>
      </w:r>
      <w:r w:rsidR="00730738">
        <w:t>determine a fee equal to ASIC’s expenses in appointing and paying the expert to provide the report</w:t>
      </w:r>
      <w:r w:rsidRPr="00D078FF">
        <w:t>.</w:t>
      </w:r>
      <w:r>
        <w:t xml:space="preserve"> The licensee is liable to pay the costs associated in producing the report which must be </w:t>
      </w:r>
      <w:r w:rsidRPr="00016DB0">
        <w:t>pa</w:t>
      </w:r>
      <w:r>
        <w:t>id to</w:t>
      </w:r>
      <w:r w:rsidRPr="00016DB0">
        <w:t xml:space="preserve"> </w:t>
      </w:r>
      <w:r>
        <w:t>ASIC</w:t>
      </w:r>
      <w:r w:rsidRPr="00016DB0">
        <w:t>.</w:t>
      </w:r>
      <w:r>
        <w:t xml:space="preserve"> Where ASIC directs a licensee to appoint an expert to produce a report</w:t>
      </w:r>
      <w:r w:rsidR="00212D40">
        <w:t>,</w:t>
      </w:r>
      <w:r>
        <w:t xml:space="preserve"> the </w:t>
      </w:r>
      <w:proofErr w:type="spellStart"/>
      <w:r>
        <w:t>licensee</w:t>
      </w:r>
      <w:proofErr w:type="spellEnd"/>
      <w:r>
        <w:t xml:space="preserve"> is required to pay the expert directly. </w:t>
      </w:r>
      <w:r>
        <w:br/>
      </w:r>
    </w:p>
    <w:p w14:paraId="58695BAD" w14:textId="65498E5B" w:rsidR="00800991" w:rsidRPr="00A36F1D" w:rsidRDefault="00800991" w:rsidP="00AD1047">
      <w:pPr>
        <w:pStyle w:val="Normalparatextwithnumbers"/>
        <w:rPr>
          <w:rStyle w:val="References"/>
          <w:b w:val="0"/>
          <w:bCs w:val="0"/>
          <w:i w:val="0"/>
          <w:iCs w:val="0"/>
        </w:rPr>
      </w:pPr>
      <w:r w:rsidRPr="00D078FF">
        <w:lastRenderedPageBreak/>
        <w:t>A</w:t>
      </w:r>
      <w:r>
        <w:t xml:space="preserve">n expert must have the </w:t>
      </w:r>
      <w:r w:rsidRPr="00D078FF">
        <w:t xml:space="preserve">necessary </w:t>
      </w:r>
      <w:r>
        <w:t xml:space="preserve">skills and qualifications </w:t>
      </w:r>
      <w:r w:rsidRPr="00D078FF">
        <w:t xml:space="preserve">to make a report on the specified matter and must be a person nominated </w:t>
      </w:r>
      <w:r>
        <w:t xml:space="preserve">or approved by </w:t>
      </w:r>
      <w:r w:rsidRPr="00D078FF">
        <w:t>ASIC</w:t>
      </w:r>
      <w:r>
        <w:t xml:space="preserve">, in the case that a </w:t>
      </w:r>
      <w:r w:rsidRPr="00D078FF">
        <w:t>licensee</w:t>
      </w:r>
      <w:r>
        <w:t xml:space="preserve"> is directed to appoint an expert</w:t>
      </w:r>
      <w:r w:rsidRPr="00D078FF">
        <w:t>.</w:t>
      </w:r>
      <w:r>
        <w:br/>
      </w:r>
    </w:p>
    <w:p w14:paraId="158D3B78" w14:textId="61EFEDDF" w:rsidR="00D52D79" w:rsidRDefault="00800991" w:rsidP="00D10880">
      <w:pPr>
        <w:pStyle w:val="Normalparatextwithnumbers"/>
      </w:pPr>
      <w:r w:rsidRPr="00D078FF">
        <w:t xml:space="preserve">The licensee </w:t>
      </w:r>
      <w:r w:rsidR="009C5A2A">
        <w:t>required to provide the report</w:t>
      </w:r>
      <w:r w:rsidRPr="00D078FF">
        <w:t xml:space="preserve"> must give assistance to the appointed person preparing an expert report as reasonably required.</w:t>
      </w:r>
      <w:r w:rsidR="00685267">
        <w:t xml:space="preserve"> </w:t>
      </w:r>
      <w:r w:rsidR="004A0D67">
        <w:t>The obligation to comply includes providing all information, explanation and assistance reasonably necessary for the preparation and provision of the report.</w:t>
      </w:r>
      <w:r w:rsidR="004A0D67">
        <w:br/>
      </w:r>
      <w:proofErr w:type="gramStart"/>
      <w:r w:rsidR="00D52D79">
        <w:t>Contravention</w:t>
      </w:r>
      <w:proofErr w:type="gramEnd"/>
      <w:r w:rsidR="00D52D79">
        <w:t xml:space="preserve"> </w:t>
      </w:r>
    </w:p>
    <w:p w14:paraId="13BDEB5D" w14:textId="49845E4D" w:rsidR="00D52D79" w:rsidRPr="001C4A87" w:rsidRDefault="00D52D79" w:rsidP="00D52D79">
      <w:pPr>
        <w:pStyle w:val="Normalparatextwithnumbers"/>
        <w:rPr>
          <w:rStyle w:val="References"/>
          <w:b w:val="0"/>
          <w:bCs w:val="0"/>
          <w:i w:val="0"/>
          <w:iCs w:val="0"/>
        </w:rPr>
      </w:pPr>
      <w:r>
        <w:t xml:space="preserve">Failure to </w:t>
      </w:r>
      <w:r w:rsidRPr="002840E5">
        <w:t>take reasonable steps to comply</w:t>
      </w:r>
      <w:r>
        <w:t xml:space="preserve"> is a</w:t>
      </w:r>
      <w:r w:rsidR="004A0D67">
        <w:t xml:space="preserve"> </w:t>
      </w:r>
      <w:r w:rsidR="00FF3A06">
        <w:t xml:space="preserve">criminal offence of </w:t>
      </w:r>
      <w:r w:rsidR="004A0D67">
        <w:t xml:space="preserve">up to </w:t>
      </w:r>
      <w:r w:rsidR="00FF3A06">
        <w:t>two years imprisonment</w:t>
      </w:r>
      <w:r w:rsidR="004A0D67">
        <w:t xml:space="preserve">. </w:t>
      </w:r>
      <w:r>
        <w:br/>
      </w:r>
      <w:r>
        <w:rPr>
          <w:rStyle w:val="References"/>
        </w:rPr>
        <w:t xml:space="preserve">[Schedule </w:t>
      </w:r>
      <w:r w:rsidR="00F90432">
        <w:rPr>
          <w:rStyle w:val="References"/>
        </w:rPr>
        <w:t>2</w:t>
      </w:r>
      <w:r>
        <w:rPr>
          <w:rStyle w:val="References"/>
        </w:rPr>
        <w:t>, item</w:t>
      </w:r>
      <w:r w:rsidR="002178C5">
        <w:rPr>
          <w:rStyle w:val="References"/>
        </w:rPr>
        <w:t>s</w:t>
      </w:r>
      <w:r>
        <w:rPr>
          <w:rStyle w:val="References"/>
        </w:rPr>
        <w:t xml:space="preserve"> </w:t>
      </w:r>
      <w:r w:rsidR="00B63B05">
        <w:rPr>
          <w:rStyle w:val="References"/>
        </w:rPr>
        <w:t>9</w:t>
      </w:r>
      <w:r w:rsidR="00F90432">
        <w:rPr>
          <w:rStyle w:val="References"/>
        </w:rPr>
        <w:t>9</w:t>
      </w:r>
      <w:r w:rsidR="00A76E7F">
        <w:rPr>
          <w:rStyle w:val="References"/>
        </w:rPr>
        <w:t>, 119</w:t>
      </w:r>
      <w:r w:rsidR="004F45FC">
        <w:rPr>
          <w:rStyle w:val="References"/>
        </w:rPr>
        <w:t>, 120</w:t>
      </w:r>
      <w:r w:rsidR="002178C5">
        <w:rPr>
          <w:rStyle w:val="References"/>
        </w:rPr>
        <w:t xml:space="preserve"> and 1</w:t>
      </w:r>
      <w:r w:rsidR="004F45FC">
        <w:rPr>
          <w:rStyle w:val="References"/>
        </w:rPr>
        <w:t>21</w:t>
      </w:r>
      <w:r w:rsidR="00B63B05">
        <w:rPr>
          <w:rStyle w:val="References"/>
        </w:rPr>
        <w:t>,</w:t>
      </w:r>
      <w:r>
        <w:rPr>
          <w:rStyle w:val="References"/>
        </w:rPr>
        <w:t xml:space="preserve"> </w:t>
      </w:r>
      <w:r w:rsidR="008C56D4">
        <w:rPr>
          <w:rStyle w:val="References"/>
        </w:rPr>
        <w:t>subsections 823</w:t>
      </w:r>
      <w:proofErr w:type="gramStart"/>
      <w:r w:rsidR="008C56D4">
        <w:rPr>
          <w:rStyle w:val="References"/>
        </w:rPr>
        <w:t>BA(</w:t>
      </w:r>
      <w:proofErr w:type="gramEnd"/>
      <w:r w:rsidR="008C56D4">
        <w:rPr>
          <w:rStyle w:val="References"/>
        </w:rPr>
        <w:t>4)</w:t>
      </w:r>
      <w:r w:rsidR="006E436C">
        <w:rPr>
          <w:rStyle w:val="References"/>
        </w:rPr>
        <w:t xml:space="preserve">, </w:t>
      </w:r>
      <w:r w:rsidR="00327BDD">
        <w:rPr>
          <w:rStyle w:val="References"/>
        </w:rPr>
        <w:t>794BA(4)</w:t>
      </w:r>
      <w:r w:rsidR="00C725AB">
        <w:rPr>
          <w:rStyle w:val="References"/>
        </w:rPr>
        <w:t xml:space="preserve">, 904L(4) and </w:t>
      </w:r>
      <w:r w:rsidR="006B0FF9">
        <w:rPr>
          <w:rStyle w:val="References"/>
        </w:rPr>
        <w:t>908BW</w:t>
      </w:r>
      <w:r w:rsidR="00F870CE">
        <w:rPr>
          <w:rStyle w:val="References"/>
        </w:rPr>
        <w:t xml:space="preserve">(4) and Schedule 3 </w:t>
      </w:r>
      <w:r>
        <w:rPr>
          <w:rStyle w:val="References"/>
        </w:rPr>
        <w:t>of the Act]</w:t>
      </w:r>
    </w:p>
    <w:p w14:paraId="22B60B0E" w14:textId="002973A8" w:rsidR="00D8030D" w:rsidRDefault="00FD56EB" w:rsidP="00096B28">
      <w:pPr>
        <w:pStyle w:val="Heading3"/>
        <w:rPr>
          <w:rFonts w:hint="eastAsia"/>
        </w:rPr>
      </w:pPr>
      <w:bookmarkStart w:id="115" w:name="_Toc152860471"/>
      <w:r>
        <w:t>Additional t</w:t>
      </w:r>
      <w:r w:rsidR="00205B80">
        <w:t>ransferred powers</w:t>
      </w:r>
      <w:bookmarkEnd w:id="115"/>
    </w:p>
    <w:p w14:paraId="08B0B84E" w14:textId="28126436" w:rsidR="00272FD4" w:rsidRPr="00272FD4" w:rsidRDefault="00272FD4" w:rsidP="002B06E9">
      <w:pPr>
        <w:pStyle w:val="Heading4"/>
      </w:pPr>
      <w:bookmarkStart w:id="116" w:name="_Ref137106916"/>
      <w:r>
        <w:t>Licensing of financial markets</w:t>
      </w:r>
      <w:bookmarkEnd w:id="116"/>
    </w:p>
    <w:p w14:paraId="772586E7" w14:textId="67DE698E" w:rsidR="003B7958" w:rsidRDefault="00E06233" w:rsidP="00125C2C">
      <w:pPr>
        <w:pStyle w:val="Normalparatextwithnumbers"/>
      </w:pPr>
      <w:bookmarkStart w:id="117" w:name="_Ref137106920"/>
      <w:r>
        <w:t xml:space="preserve">ASIC has direct </w:t>
      </w:r>
      <w:r w:rsidR="003B7958">
        <w:t>licensing powers relating to financial markets</w:t>
      </w:r>
      <w:r>
        <w:t>, including</w:t>
      </w:r>
      <w:r w:rsidR="003B7958">
        <w:t>:</w:t>
      </w:r>
      <w:bookmarkEnd w:id="117"/>
    </w:p>
    <w:p w14:paraId="418CBE2D" w14:textId="2BA09AA5" w:rsidR="003B5A93" w:rsidRPr="000F310C" w:rsidRDefault="003B5A93" w:rsidP="00BD58ED">
      <w:pPr>
        <w:pStyle w:val="Dotpoint1"/>
      </w:pPr>
      <w:r w:rsidRPr="000F310C">
        <w:t>grant</w:t>
      </w:r>
      <w:r w:rsidR="00130E56">
        <w:t>ing</w:t>
      </w:r>
      <w:r w:rsidRPr="000F310C">
        <w:t xml:space="preserve"> a</w:t>
      </w:r>
      <w:r w:rsidR="00044523">
        <w:t xml:space="preserve"> domestic or overseas market</w:t>
      </w:r>
      <w:r w:rsidRPr="000F310C">
        <w:t xml:space="preserve"> licence</w:t>
      </w:r>
      <w:r w:rsidR="00E06233">
        <w:t>;</w:t>
      </w:r>
      <w:r w:rsidRPr="000F310C">
        <w:t xml:space="preserve"> </w:t>
      </w:r>
      <w:r w:rsidR="00E06233">
        <w:br/>
      </w:r>
      <w:r w:rsidR="00E06233" w:rsidRPr="00E06233">
        <w:rPr>
          <w:rStyle w:val="References"/>
        </w:rPr>
        <w:t>[</w:t>
      </w:r>
      <w:r w:rsidR="00A93424">
        <w:rPr>
          <w:rStyle w:val="References"/>
        </w:rPr>
        <w:t xml:space="preserve">Schedule </w:t>
      </w:r>
      <w:r w:rsidR="005654EA">
        <w:rPr>
          <w:rStyle w:val="References"/>
        </w:rPr>
        <w:t>3</w:t>
      </w:r>
      <w:r w:rsidR="00E06233" w:rsidRPr="00E06233">
        <w:rPr>
          <w:rStyle w:val="References"/>
        </w:rPr>
        <w:t>, item</w:t>
      </w:r>
      <w:r w:rsidR="00E06233">
        <w:rPr>
          <w:rStyle w:val="References"/>
        </w:rPr>
        <w:t>s</w:t>
      </w:r>
      <w:r w:rsidR="00E06233" w:rsidRPr="00E06233">
        <w:rPr>
          <w:rStyle w:val="References"/>
        </w:rPr>
        <w:t xml:space="preserve"> </w:t>
      </w:r>
      <w:r w:rsidR="00E06233">
        <w:rPr>
          <w:rStyle w:val="References"/>
        </w:rPr>
        <w:t>2</w:t>
      </w:r>
      <w:r w:rsidR="00C77E82">
        <w:rPr>
          <w:rStyle w:val="References"/>
        </w:rPr>
        <w:t>5</w:t>
      </w:r>
      <w:r w:rsidR="00E06233">
        <w:rPr>
          <w:rStyle w:val="References"/>
        </w:rPr>
        <w:t xml:space="preserve"> to 3</w:t>
      </w:r>
      <w:r w:rsidR="00DA24C5">
        <w:rPr>
          <w:rStyle w:val="References"/>
        </w:rPr>
        <w:t>2</w:t>
      </w:r>
      <w:r w:rsidR="00E06233" w:rsidRPr="00E06233">
        <w:rPr>
          <w:rStyle w:val="References"/>
        </w:rPr>
        <w:t xml:space="preserve">, </w:t>
      </w:r>
      <w:r w:rsidRPr="00E06233">
        <w:rPr>
          <w:rStyle w:val="References"/>
        </w:rPr>
        <w:t>section 795B of the Act</w:t>
      </w:r>
      <w:r w:rsidR="00E06233">
        <w:rPr>
          <w:rStyle w:val="References"/>
        </w:rPr>
        <w:t>]</w:t>
      </w:r>
    </w:p>
    <w:p w14:paraId="4F6890C6" w14:textId="4C35A53F" w:rsidR="003B5A93" w:rsidRPr="00FA141E" w:rsidRDefault="003B5A93" w:rsidP="00BD58ED">
      <w:pPr>
        <w:pStyle w:val="Dotpoint1"/>
        <w:rPr>
          <w:rStyle w:val="References"/>
        </w:rPr>
      </w:pPr>
      <w:r w:rsidRPr="000F310C">
        <w:t>impos</w:t>
      </w:r>
      <w:r w:rsidR="00130E56">
        <w:t>ing</w:t>
      </w:r>
      <w:r w:rsidRPr="000F310C">
        <w:t>, vary</w:t>
      </w:r>
      <w:r w:rsidR="00130E56">
        <w:t>ing</w:t>
      </w:r>
      <w:r w:rsidRPr="000F310C">
        <w:t>, and revok</w:t>
      </w:r>
      <w:r w:rsidR="00130E56">
        <w:t>ing</w:t>
      </w:r>
      <w:r w:rsidRPr="000F310C">
        <w:t xml:space="preserve"> licence conditions</w:t>
      </w:r>
      <w:r w:rsidR="00E06233">
        <w:t>;</w:t>
      </w:r>
      <w:r w:rsidRPr="000F310C">
        <w:t xml:space="preserve"> </w:t>
      </w:r>
      <w:r w:rsidR="00E06233">
        <w:br/>
      </w:r>
      <w:r w:rsidR="00E06233" w:rsidRPr="00FA141E">
        <w:rPr>
          <w:rStyle w:val="References"/>
        </w:rPr>
        <w:t>[</w:t>
      </w:r>
      <w:r w:rsidR="00A93424">
        <w:rPr>
          <w:rStyle w:val="References"/>
        </w:rPr>
        <w:t xml:space="preserve">Schedule </w:t>
      </w:r>
      <w:r w:rsidR="009E5BFF">
        <w:rPr>
          <w:rStyle w:val="References"/>
        </w:rPr>
        <w:t>3</w:t>
      </w:r>
      <w:r w:rsidR="00E06233" w:rsidRPr="00FA141E">
        <w:rPr>
          <w:rStyle w:val="References"/>
        </w:rPr>
        <w:t>, item</w:t>
      </w:r>
      <w:r w:rsidR="00245242">
        <w:rPr>
          <w:rStyle w:val="References"/>
        </w:rPr>
        <w:t>s 3</w:t>
      </w:r>
      <w:r w:rsidR="00F00B3F">
        <w:rPr>
          <w:rStyle w:val="References"/>
        </w:rPr>
        <w:t>6</w:t>
      </w:r>
      <w:r w:rsidR="00245242">
        <w:rPr>
          <w:rStyle w:val="References"/>
        </w:rPr>
        <w:t>, 3</w:t>
      </w:r>
      <w:r w:rsidR="00595901">
        <w:rPr>
          <w:rStyle w:val="References"/>
        </w:rPr>
        <w:t xml:space="preserve">8 to </w:t>
      </w:r>
      <w:r w:rsidR="00D1122C">
        <w:rPr>
          <w:rStyle w:val="References"/>
        </w:rPr>
        <w:t>49</w:t>
      </w:r>
      <w:r w:rsidR="00E06233" w:rsidRPr="00FA141E">
        <w:rPr>
          <w:rStyle w:val="References"/>
        </w:rPr>
        <w:t xml:space="preserve">, </w:t>
      </w:r>
      <w:r w:rsidR="00D839C7">
        <w:rPr>
          <w:rStyle w:val="References"/>
        </w:rPr>
        <w:t xml:space="preserve">section </w:t>
      </w:r>
      <w:r w:rsidRPr="00FA141E">
        <w:rPr>
          <w:rStyle w:val="References"/>
        </w:rPr>
        <w:t>796A of the Act</w:t>
      </w:r>
      <w:r w:rsidR="00E06233" w:rsidRPr="00FA141E">
        <w:rPr>
          <w:rStyle w:val="References"/>
        </w:rPr>
        <w:t>]</w:t>
      </w:r>
    </w:p>
    <w:p w14:paraId="7986E041" w14:textId="3204B673" w:rsidR="003B5A93" w:rsidRPr="00AB5EC8" w:rsidRDefault="003B5A93" w:rsidP="00BD58ED">
      <w:pPr>
        <w:pStyle w:val="Dotpoint1"/>
      </w:pPr>
      <w:r w:rsidRPr="00AB5EC8">
        <w:t>issu</w:t>
      </w:r>
      <w:r w:rsidR="00E642E1">
        <w:t>ing</w:t>
      </w:r>
      <w:r w:rsidRPr="00AB5EC8">
        <w:t>, revok</w:t>
      </w:r>
      <w:r w:rsidR="00E642E1">
        <w:t>ing</w:t>
      </w:r>
      <w:r w:rsidRPr="00AB5EC8">
        <w:t xml:space="preserve"> or vary</w:t>
      </w:r>
      <w:r w:rsidR="00E642E1">
        <w:t>ing</w:t>
      </w:r>
      <w:r w:rsidRPr="00AB5EC8">
        <w:t xml:space="preserve"> an exemption from all or specified provisions of Part 7.2 and/or Part 7.2A of the Act</w:t>
      </w:r>
      <w:r w:rsidR="00FA141E">
        <w:t>;</w:t>
      </w:r>
      <w:r w:rsidRPr="00AB5EC8">
        <w:t xml:space="preserve"> </w:t>
      </w:r>
      <w:r w:rsidR="00E06233">
        <w:br/>
      </w:r>
      <w:r w:rsidR="00E06233" w:rsidRPr="00FA141E">
        <w:rPr>
          <w:rStyle w:val="References"/>
        </w:rPr>
        <w:t>[</w:t>
      </w:r>
      <w:r w:rsidR="00A93424">
        <w:rPr>
          <w:rStyle w:val="References"/>
        </w:rPr>
        <w:t xml:space="preserve">Schedule </w:t>
      </w:r>
      <w:r w:rsidR="009E5BFF">
        <w:rPr>
          <w:rStyle w:val="References"/>
        </w:rPr>
        <w:t>3</w:t>
      </w:r>
      <w:r w:rsidR="00E06233" w:rsidRPr="00FA141E">
        <w:rPr>
          <w:rStyle w:val="References"/>
        </w:rPr>
        <w:t>, items 1</w:t>
      </w:r>
      <w:r w:rsidR="009E5BFF">
        <w:rPr>
          <w:rStyle w:val="References"/>
        </w:rPr>
        <w:t xml:space="preserve"> to </w:t>
      </w:r>
      <w:r w:rsidR="00D839C7">
        <w:rPr>
          <w:rStyle w:val="References"/>
        </w:rPr>
        <w:t>3</w:t>
      </w:r>
      <w:r w:rsidR="004102E6">
        <w:rPr>
          <w:rStyle w:val="References"/>
        </w:rPr>
        <w:t xml:space="preserve"> and 6</w:t>
      </w:r>
      <w:r w:rsidR="00D06A6B">
        <w:rPr>
          <w:rStyle w:val="References"/>
        </w:rPr>
        <w:t>9 to 7</w:t>
      </w:r>
      <w:r w:rsidR="001808B5">
        <w:rPr>
          <w:rStyle w:val="References"/>
        </w:rPr>
        <w:t>2</w:t>
      </w:r>
      <w:r w:rsidR="00E06233" w:rsidRPr="00FA141E">
        <w:rPr>
          <w:rStyle w:val="References"/>
        </w:rPr>
        <w:t xml:space="preserve">, </w:t>
      </w:r>
      <w:r w:rsidRPr="00FA141E">
        <w:rPr>
          <w:rStyle w:val="References"/>
        </w:rPr>
        <w:t>section</w:t>
      </w:r>
      <w:r w:rsidR="00117C4F">
        <w:rPr>
          <w:rStyle w:val="References"/>
        </w:rPr>
        <w:t>s</w:t>
      </w:r>
      <w:r w:rsidR="00E06233" w:rsidRPr="00FA141E">
        <w:rPr>
          <w:rStyle w:val="References"/>
        </w:rPr>
        <w:t xml:space="preserve"> </w:t>
      </w:r>
      <w:r w:rsidRPr="00FA141E">
        <w:rPr>
          <w:rStyle w:val="References"/>
        </w:rPr>
        <w:t>791C and 798M of the Act</w:t>
      </w:r>
      <w:r w:rsidR="00E06233" w:rsidRPr="00FA141E">
        <w:rPr>
          <w:rStyle w:val="References"/>
        </w:rPr>
        <w:t>]</w:t>
      </w:r>
    </w:p>
    <w:p w14:paraId="46562622" w14:textId="2674B581" w:rsidR="003B5A93" w:rsidRPr="00FA141E" w:rsidRDefault="003B5A93" w:rsidP="00BD58ED">
      <w:pPr>
        <w:pStyle w:val="Dotpoint1"/>
        <w:rPr>
          <w:rStyle w:val="References"/>
        </w:rPr>
      </w:pPr>
      <w:r w:rsidRPr="00AB5EC8">
        <w:t>vary</w:t>
      </w:r>
      <w:r w:rsidR="00E642E1">
        <w:t>ing a</w:t>
      </w:r>
      <w:r w:rsidRPr="00AB5EC8">
        <w:t xml:space="preserve"> licence to change</w:t>
      </w:r>
      <w:r w:rsidR="00D839C7">
        <w:t xml:space="preserve"> the </w:t>
      </w:r>
      <w:r w:rsidR="008333FB">
        <w:t xml:space="preserve">name of the </w:t>
      </w:r>
      <w:r w:rsidR="00D839C7">
        <w:t>licensee</w:t>
      </w:r>
      <w:r w:rsidR="00FA141E">
        <w:t>;</w:t>
      </w:r>
      <w:r w:rsidRPr="00AB5EC8">
        <w:t xml:space="preserve"> </w:t>
      </w:r>
      <w:r w:rsidR="00FA141E">
        <w:br/>
      </w:r>
      <w:r w:rsidR="00FA141E" w:rsidRPr="00FA141E">
        <w:rPr>
          <w:rStyle w:val="References"/>
        </w:rPr>
        <w:t>[</w:t>
      </w:r>
      <w:r w:rsidR="00A93424">
        <w:rPr>
          <w:rStyle w:val="References"/>
        </w:rPr>
        <w:t xml:space="preserve">Schedule </w:t>
      </w:r>
      <w:r w:rsidR="007B0900">
        <w:rPr>
          <w:rStyle w:val="References"/>
        </w:rPr>
        <w:t>3</w:t>
      </w:r>
      <w:r w:rsidR="00FA141E" w:rsidRPr="00FA141E">
        <w:rPr>
          <w:rStyle w:val="References"/>
        </w:rPr>
        <w:t>, item</w:t>
      </w:r>
      <w:r w:rsidR="00D839C7">
        <w:rPr>
          <w:rStyle w:val="References"/>
        </w:rPr>
        <w:t xml:space="preserve">s </w:t>
      </w:r>
      <w:r w:rsidR="008107E7">
        <w:rPr>
          <w:rStyle w:val="References"/>
        </w:rPr>
        <w:t>50</w:t>
      </w:r>
      <w:r w:rsidR="00D839C7">
        <w:rPr>
          <w:rStyle w:val="References"/>
        </w:rPr>
        <w:t xml:space="preserve"> and </w:t>
      </w:r>
      <w:r w:rsidR="008107E7">
        <w:rPr>
          <w:rStyle w:val="References"/>
        </w:rPr>
        <w:t>51</w:t>
      </w:r>
      <w:r w:rsidR="00FA141E" w:rsidRPr="00FA141E">
        <w:rPr>
          <w:rStyle w:val="References"/>
        </w:rPr>
        <w:t xml:space="preserve">, </w:t>
      </w:r>
      <w:r w:rsidRPr="00FA141E">
        <w:rPr>
          <w:rStyle w:val="References"/>
        </w:rPr>
        <w:t>section 797A of the Act</w:t>
      </w:r>
      <w:r w:rsidR="00FA141E">
        <w:rPr>
          <w:rStyle w:val="References"/>
        </w:rPr>
        <w:t>]</w:t>
      </w:r>
    </w:p>
    <w:p w14:paraId="7201BE64" w14:textId="3F413F93" w:rsidR="003B5A93" w:rsidRPr="00FA141E" w:rsidRDefault="003B5A93" w:rsidP="00BD58ED">
      <w:pPr>
        <w:pStyle w:val="Dotpoint1"/>
        <w:rPr>
          <w:rStyle w:val="References"/>
        </w:rPr>
      </w:pPr>
      <w:r w:rsidRPr="00AB5EC8">
        <w:t>suspend</w:t>
      </w:r>
      <w:r w:rsidR="00E642E1">
        <w:t>ing</w:t>
      </w:r>
      <w:r w:rsidRPr="00AB5EC8">
        <w:t xml:space="preserve"> or cancel</w:t>
      </w:r>
      <w:r w:rsidR="00E642E1">
        <w:t>ling</w:t>
      </w:r>
      <w:r w:rsidRPr="00AB5EC8">
        <w:t xml:space="preserve"> a licence</w:t>
      </w:r>
      <w:r w:rsidR="00FA141E">
        <w:t>;</w:t>
      </w:r>
      <w:r w:rsidRPr="00AB5EC8">
        <w:t xml:space="preserve"> </w:t>
      </w:r>
      <w:r w:rsidR="00FA141E">
        <w:br/>
      </w:r>
      <w:r w:rsidR="00FA141E" w:rsidRPr="00FA141E">
        <w:rPr>
          <w:rStyle w:val="References"/>
        </w:rPr>
        <w:t>[</w:t>
      </w:r>
      <w:r w:rsidR="00A93424">
        <w:rPr>
          <w:rStyle w:val="References"/>
        </w:rPr>
        <w:t xml:space="preserve">Schedule </w:t>
      </w:r>
      <w:r w:rsidR="00CF7E36">
        <w:rPr>
          <w:rStyle w:val="References"/>
        </w:rPr>
        <w:t>3</w:t>
      </w:r>
      <w:r w:rsidR="00FA141E" w:rsidRPr="00FA141E">
        <w:rPr>
          <w:rStyle w:val="References"/>
        </w:rPr>
        <w:t>, item</w:t>
      </w:r>
      <w:r w:rsidR="003B5E89">
        <w:rPr>
          <w:rStyle w:val="References"/>
        </w:rPr>
        <w:t>s</w:t>
      </w:r>
      <w:r w:rsidR="00FA141E" w:rsidRPr="00FA141E">
        <w:rPr>
          <w:rStyle w:val="References"/>
        </w:rPr>
        <w:t xml:space="preserve"> </w:t>
      </w:r>
      <w:r w:rsidR="00A16B4E">
        <w:rPr>
          <w:rStyle w:val="References"/>
        </w:rPr>
        <w:t xml:space="preserve">52 to </w:t>
      </w:r>
      <w:r w:rsidR="00FF13B2">
        <w:rPr>
          <w:rStyle w:val="References"/>
        </w:rPr>
        <w:t>57</w:t>
      </w:r>
      <w:r w:rsidR="00FA141E" w:rsidRPr="00FA141E">
        <w:rPr>
          <w:rStyle w:val="References"/>
        </w:rPr>
        <w:t xml:space="preserve">, </w:t>
      </w:r>
      <w:r w:rsidRPr="00FA141E">
        <w:rPr>
          <w:rStyle w:val="References"/>
        </w:rPr>
        <w:t xml:space="preserve">sections 797B </w:t>
      </w:r>
      <w:r w:rsidR="003B5E89">
        <w:rPr>
          <w:rStyle w:val="References"/>
        </w:rPr>
        <w:t>and</w:t>
      </w:r>
      <w:r w:rsidRPr="00FA141E">
        <w:rPr>
          <w:rStyle w:val="References"/>
        </w:rPr>
        <w:t xml:space="preserve"> 797C of the Act</w:t>
      </w:r>
      <w:r w:rsidR="00FA141E">
        <w:rPr>
          <w:rStyle w:val="References"/>
        </w:rPr>
        <w:t>]</w:t>
      </w:r>
    </w:p>
    <w:p w14:paraId="47F1EC94" w14:textId="56A4A8CA" w:rsidR="003B5A93" w:rsidRPr="00AB5EC8" w:rsidRDefault="003B5A93" w:rsidP="00BD58ED">
      <w:pPr>
        <w:pStyle w:val="Dotpoint1"/>
      </w:pPr>
      <w:r w:rsidRPr="00AB5EC8">
        <w:t>vary</w:t>
      </w:r>
      <w:r w:rsidR="00E642E1">
        <w:t>ing</w:t>
      </w:r>
      <w:r w:rsidRPr="00AB5EC8">
        <w:t>, revok</w:t>
      </w:r>
      <w:r w:rsidR="00E642E1">
        <w:t>ing</w:t>
      </w:r>
      <w:r w:rsidRPr="00AB5EC8">
        <w:t xml:space="preserve"> or detail</w:t>
      </w:r>
      <w:r w:rsidR="00E642E1">
        <w:t>ing the</w:t>
      </w:r>
      <w:r w:rsidRPr="00AB5EC8">
        <w:t xml:space="preserve"> effect of a suspension</w:t>
      </w:r>
      <w:r w:rsidR="00FA141E">
        <w:t>;</w:t>
      </w:r>
      <w:r w:rsidRPr="00AB5EC8">
        <w:t xml:space="preserve"> </w:t>
      </w:r>
      <w:r w:rsidR="00FA141E">
        <w:br/>
      </w:r>
      <w:r w:rsidR="00FA141E" w:rsidRPr="00FA141E">
        <w:rPr>
          <w:rStyle w:val="References"/>
        </w:rPr>
        <w:t>[</w:t>
      </w:r>
      <w:r w:rsidR="00A93424">
        <w:rPr>
          <w:rStyle w:val="References"/>
        </w:rPr>
        <w:t xml:space="preserve">Schedule </w:t>
      </w:r>
      <w:r w:rsidR="009A5B89">
        <w:rPr>
          <w:rStyle w:val="References"/>
        </w:rPr>
        <w:t>3</w:t>
      </w:r>
      <w:r w:rsidR="00FA141E" w:rsidRPr="00FA141E">
        <w:rPr>
          <w:rStyle w:val="References"/>
        </w:rPr>
        <w:t>, item</w:t>
      </w:r>
      <w:r w:rsidR="00DE211C">
        <w:rPr>
          <w:rStyle w:val="References"/>
        </w:rPr>
        <w:t>s 5</w:t>
      </w:r>
      <w:r w:rsidR="00286788">
        <w:rPr>
          <w:rStyle w:val="References"/>
        </w:rPr>
        <w:t>8</w:t>
      </w:r>
      <w:r w:rsidR="00DE211C">
        <w:rPr>
          <w:rStyle w:val="References"/>
        </w:rPr>
        <w:t xml:space="preserve"> and 5</w:t>
      </w:r>
      <w:r w:rsidR="00286788">
        <w:rPr>
          <w:rStyle w:val="References"/>
        </w:rPr>
        <w:t>9</w:t>
      </w:r>
      <w:r w:rsidR="00FA141E" w:rsidRPr="00FA141E">
        <w:rPr>
          <w:rStyle w:val="References"/>
        </w:rPr>
        <w:t xml:space="preserve">, </w:t>
      </w:r>
      <w:r w:rsidRPr="00FA141E">
        <w:rPr>
          <w:rStyle w:val="References"/>
        </w:rPr>
        <w:t xml:space="preserve">sections </w:t>
      </w:r>
      <w:r w:rsidR="00DE211C" w:rsidRPr="00FA141E">
        <w:rPr>
          <w:rStyle w:val="References"/>
        </w:rPr>
        <w:t xml:space="preserve">797D </w:t>
      </w:r>
      <w:r w:rsidR="00DE211C">
        <w:rPr>
          <w:rStyle w:val="References"/>
        </w:rPr>
        <w:t xml:space="preserve">and </w:t>
      </w:r>
      <w:r w:rsidRPr="00FA141E">
        <w:rPr>
          <w:rStyle w:val="References"/>
        </w:rPr>
        <w:t>797E of the Act</w:t>
      </w:r>
      <w:r w:rsidR="00FA141E">
        <w:rPr>
          <w:rStyle w:val="References"/>
        </w:rPr>
        <w:t>]</w:t>
      </w:r>
    </w:p>
    <w:p w14:paraId="3E5E036A" w14:textId="05EC4340" w:rsidR="003F5447" w:rsidRDefault="008333FB" w:rsidP="003F5447">
      <w:pPr>
        <w:pStyle w:val="Dotpoint1"/>
      </w:pPr>
      <w:r>
        <w:t xml:space="preserve">approving an overseas market licensee’s request to change a country of </w:t>
      </w:r>
      <w:r w:rsidR="00B25312">
        <w:t xml:space="preserve">principal </w:t>
      </w:r>
      <w:r>
        <w:t>place</w:t>
      </w:r>
      <w:r w:rsidR="00B25312">
        <w:t xml:space="preserve"> of business</w:t>
      </w:r>
      <w:r>
        <w:t>;</w:t>
      </w:r>
      <w:r w:rsidRPr="00AB5EC8">
        <w:t xml:space="preserve"> </w:t>
      </w:r>
      <w:r w:rsidR="003F5447">
        <w:br/>
      </w:r>
      <w:r w:rsidR="003F5447" w:rsidRPr="00585601">
        <w:rPr>
          <w:rStyle w:val="References"/>
        </w:rPr>
        <w:t>[</w:t>
      </w:r>
      <w:r w:rsidR="00A93424">
        <w:rPr>
          <w:rStyle w:val="References"/>
        </w:rPr>
        <w:t xml:space="preserve">Schedule </w:t>
      </w:r>
      <w:r w:rsidR="004C52ED">
        <w:rPr>
          <w:rStyle w:val="References"/>
        </w:rPr>
        <w:t>3</w:t>
      </w:r>
      <w:r w:rsidR="003F5447" w:rsidRPr="00585601">
        <w:rPr>
          <w:rStyle w:val="References"/>
        </w:rPr>
        <w:t xml:space="preserve">, item </w:t>
      </w:r>
      <w:r w:rsidR="003F5447">
        <w:rPr>
          <w:rStyle w:val="References"/>
        </w:rPr>
        <w:t>5</w:t>
      </w:r>
      <w:r w:rsidR="003F5447" w:rsidRPr="00585601">
        <w:rPr>
          <w:rStyle w:val="References"/>
        </w:rPr>
        <w:t>, paragraph 792A(1)(g)</w:t>
      </w:r>
      <w:r w:rsidR="003F5447">
        <w:rPr>
          <w:rStyle w:val="References"/>
        </w:rPr>
        <w:t>(ii)</w:t>
      </w:r>
      <w:r w:rsidR="003F5447" w:rsidRPr="00585601">
        <w:rPr>
          <w:rStyle w:val="References"/>
        </w:rPr>
        <w:t xml:space="preserve"> of the Act</w:t>
      </w:r>
      <w:r w:rsidR="003F5447">
        <w:rPr>
          <w:rStyle w:val="References"/>
        </w:rPr>
        <w:t>]</w:t>
      </w:r>
    </w:p>
    <w:p w14:paraId="3C229054" w14:textId="509A20BC" w:rsidR="00044523" w:rsidRDefault="008333FB" w:rsidP="00044523">
      <w:pPr>
        <w:pStyle w:val="Dotpoint1"/>
      </w:pPr>
      <w:r w:rsidRPr="00AB5EC8">
        <w:t>approv</w:t>
      </w:r>
      <w:r>
        <w:t>ing a</w:t>
      </w:r>
      <w:r w:rsidRPr="00AB5EC8">
        <w:t xml:space="preserve"> change of country </w:t>
      </w:r>
      <w:r w:rsidR="00D22928">
        <w:t>of</w:t>
      </w:r>
      <w:r w:rsidRPr="00AB5EC8">
        <w:t xml:space="preserve"> </w:t>
      </w:r>
      <w:r>
        <w:t xml:space="preserve">an overseas </w:t>
      </w:r>
      <w:r w:rsidRPr="00AB5EC8">
        <w:t>licensee</w:t>
      </w:r>
      <w:r w:rsidR="003F5447">
        <w:t xml:space="preserve">; </w:t>
      </w:r>
      <w:r w:rsidR="00934D0B">
        <w:t>and</w:t>
      </w:r>
      <w:r w:rsidR="00FA141E">
        <w:br/>
      </w:r>
      <w:r w:rsidR="00FA141E" w:rsidRPr="00FA141E">
        <w:rPr>
          <w:rStyle w:val="References"/>
        </w:rPr>
        <w:t>[</w:t>
      </w:r>
      <w:r w:rsidR="00A93424">
        <w:rPr>
          <w:rStyle w:val="References"/>
        </w:rPr>
        <w:t xml:space="preserve">Schedule </w:t>
      </w:r>
      <w:r w:rsidR="00834402">
        <w:rPr>
          <w:rStyle w:val="References"/>
        </w:rPr>
        <w:t>3</w:t>
      </w:r>
      <w:r w:rsidR="00FA141E" w:rsidRPr="00FA141E">
        <w:rPr>
          <w:rStyle w:val="References"/>
        </w:rPr>
        <w:t xml:space="preserve">, item </w:t>
      </w:r>
      <w:r w:rsidR="009567BB">
        <w:rPr>
          <w:rStyle w:val="References"/>
        </w:rPr>
        <w:t>9</w:t>
      </w:r>
      <w:r w:rsidR="00FA141E" w:rsidRPr="00FA141E">
        <w:rPr>
          <w:rStyle w:val="References"/>
        </w:rPr>
        <w:t xml:space="preserve">, </w:t>
      </w:r>
      <w:r w:rsidR="003B5A93" w:rsidRPr="00FA141E">
        <w:rPr>
          <w:rStyle w:val="References"/>
        </w:rPr>
        <w:t>section 792H of the Act</w:t>
      </w:r>
      <w:r w:rsidR="00FA141E" w:rsidRPr="00FA141E">
        <w:rPr>
          <w:rStyle w:val="References"/>
        </w:rPr>
        <w:t>]</w:t>
      </w:r>
      <w:r w:rsidR="00044523" w:rsidRPr="00044523">
        <w:t xml:space="preserve"> </w:t>
      </w:r>
    </w:p>
    <w:p w14:paraId="20368186" w14:textId="77777777" w:rsidR="004A09D1" w:rsidRDefault="004A09D1" w:rsidP="00044523">
      <w:pPr>
        <w:pStyle w:val="Dotpoint1"/>
      </w:pPr>
      <w:r>
        <w:t>requiring an audit report on the annual report of a market licensee</w:t>
      </w:r>
    </w:p>
    <w:p w14:paraId="286CB58C" w14:textId="3B1436F8" w:rsidR="004A09D1" w:rsidRDefault="004A09D1" w:rsidP="00D10880">
      <w:pPr>
        <w:pStyle w:val="Referenceafterdotpoint"/>
      </w:pPr>
      <w:r>
        <w:t>[Schedule 3, item</w:t>
      </w:r>
      <w:r w:rsidR="00C9431E">
        <w:t>s</w:t>
      </w:r>
      <w:r>
        <w:t xml:space="preserve"> </w:t>
      </w:r>
      <w:r w:rsidR="00EC3FE8">
        <w:t>7</w:t>
      </w:r>
      <w:r w:rsidR="00C9431E">
        <w:t xml:space="preserve"> and 8</w:t>
      </w:r>
      <w:r>
        <w:t>,</w:t>
      </w:r>
      <w:r w:rsidR="00EC3FE8">
        <w:t xml:space="preserve"> section 792F</w:t>
      </w:r>
      <w:r>
        <w:t xml:space="preserve"> of Act] </w:t>
      </w:r>
    </w:p>
    <w:p w14:paraId="79992518" w14:textId="3CAEE694" w:rsidR="00044523" w:rsidRDefault="00C751CC" w:rsidP="00044523">
      <w:pPr>
        <w:pStyle w:val="Dotpoint1"/>
      </w:pPr>
      <w:r>
        <w:lastRenderedPageBreak/>
        <w:t xml:space="preserve">the requirement to consider </w:t>
      </w:r>
      <w:r w:rsidR="00044523" w:rsidRPr="00534819">
        <w:t>the list of matters</w:t>
      </w:r>
      <w:r>
        <w:t xml:space="preserve"> when deciding to grant, suspend or cancel an Australian market licen</w:t>
      </w:r>
      <w:r w:rsidR="002D7D68">
        <w:t>c</w:t>
      </w:r>
      <w:r>
        <w:t>e, impose, vary or revoke conditions on that licence, or disallow changes to market operating rules</w:t>
      </w:r>
      <w:r w:rsidR="00173C28">
        <w:t>.</w:t>
      </w:r>
      <w:r w:rsidR="00044523">
        <w:br/>
      </w:r>
      <w:r w:rsidRPr="00C751CC">
        <w:rPr>
          <w:rStyle w:val="References"/>
        </w:rPr>
        <w:t>[</w:t>
      </w:r>
      <w:r w:rsidR="00A93424">
        <w:rPr>
          <w:rStyle w:val="References"/>
        </w:rPr>
        <w:t xml:space="preserve">Schedule </w:t>
      </w:r>
      <w:r w:rsidR="00933257">
        <w:rPr>
          <w:rStyle w:val="References"/>
        </w:rPr>
        <w:t>3</w:t>
      </w:r>
      <w:r w:rsidRPr="00C751CC">
        <w:rPr>
          <w:rStyle w:val="References"/>
        </w:rPr>
        <w:t>, item</w:t>
      </w:r>
      <w:r>
        <w:rPr>
          <w:rStyle w:val="References"/>
        </w:rPr>
        <w:t>s</w:t>
      </w:r>
      <w:r w:rsidRPr="00C751CC">
        <w:rPr>
          <w:rStyle w:val="References"/>
        </w:rPr>
        <w:t xml:space="preserve"> </w:t>
      </w:r>
      <w:r w:rsidR="00736723">
        <w:rPr>
          <w:rStyle w:val="References"/>
        </w:rPr>
        <w:t>62</w:t>
      </w:r>
      <w:r>
        <w:rPr>
          <w:rStyle w:val="References"/>
        </w:rPr>
        <w:t xml:space="preserve"> to </w:t>
      </w:r>
      <w:r w:rsidR="00C11D34">
        <w:rPr>
          <w:rStyle w:val="References"/>
        </w:rPr>
        <w:t>67</w:t>
      </w:r>
      <w:r w:rsidRPr="00C751CC">
        <w:rPr>
          <w:rStyle w:val="References"/>
        </w:rPr>
        <w:t>,</w:t>
      </w:r>
      <w:r>
        <w:rPr>
          <w:rStyle w:val="References"/>
        </w:rPr>
        <w:t xml:space="preserve"> </w:t>
      </w:r>
      <w:r w:rsidR="00044523" w:rsidRPr="00C751CC">
        <w:rPr>
          <w:rStyle w:val="References"/>
        </w:rPr>
        <w:t>section 798A of the Act</w:t>
      </w:r>
      <w:r>
        <w:rPr>
          <w:rStyle w:val="References"/>
        </w:rPr>
        <w:t>]</w:t>
      </w:r>
      <w:r w:rsidR="00044523" w:rsidRPr="00534819">
        <w:t xml:space="preserve"> </w:t>
      </w:r>
    </w:p>
    <w:p w14:paraId="29AF09B2" w14:textId="77777777" w:rsidR="00141D51" w:rsidRPr="00117C4F" w:rsidRDefault="00141D51" w:rsidP="00141D51">
      <w:pPr>
        <w:pStyle w:val="Heading6"/>
        <w:rPr>
          <w:rStyle w:val="References"/>
          <w:rFonts w:ascii="Helvitica" w:hAnsi="Helvitica" w:hint="eastAsia"/>
          <w:b w:val="0"/>
          <w:bCs w:val="0"/>
          <w:i/>
          <w:iCs w:val="0"/>
        </w:rPr>
      </w:pPr>
      <w:r w:rsidRPr="00117C4F">
        <w:rPr>
          <w:rStyle w:val="References"/>
          <w:rFonts w:ascii="Helvitica" w:hAnsi="Helvitica"/>
          <w:b w:val="0"/>
          <w:bCs w:val="0"/>
          <w:i/>
          <w:iCs w:val="0"/>
        </w:rPr>
        <w:t xml:space="preserve">Exemptions </w:t>
      </w:r>
    </w:p>
    <w:p w14:paraId="3B13C61C" w14:textId="1B927258" w:rsidR="00141D51" w:rsidRPr="00117C4F" w:rsidRDefault="00141D51" w:rsidP="00141D51">
      <w:pPr>
        <w:pStyle w:val="Normalparatextwithnumbers"/>
      </w:pPr>
      <w:r w:rsidRPr="00117C4F">
        <w:t xml:space="preserve">The amendment also expands the application of the provision to classes of persons alongside classes of </w:t>
      </w:r>
      <w:r w:rsidRPr="00B70166">
        <w:t xml:space="preserve">financial markets. </w:t>
      </w:r>
      <w:r w:rsidRPr="00B70166">
        <w:br/>
      </w:r>
      <w:r w:rsidRPr="00B70166">
        <w:rPr>
          <w:rStyle w:val="References"/>
        </w:rPr>
        <w:t xml:space="preserve">[Schedule </w:t>
      </w:r>
      <w:r w:rsidR="00EE3B53" w:rsidRPr="00D10880">
        <w:rPr>
          <w:rStyle w:val="References"/>
        </w:rPr>
        <w:t>2,</w:t>
      </w:r>
      <w:r w:rsidRPr="001A4BCF">
        <w:rPr>
          <w:rStyle w:val="References"/>
        </w:rPr>
        <w:t xml:space="preserve"> items</w:t>
      </w:r>
      <w:r w:rsidR="00EE3B53" w:rsidRPr="00D10880">
        <w:rPr>
          <w:rStyle w:val="References"/>
        </w:rPr>
        <w:t>, 47</w:t>
      </w:r>
      <w:r w:rsidRPr="001A4BCF">
        <w:rPr>
          <w:rStyle w:val="References"/>
        </w:rPr>
        <w:t xml:space="preserve"> and </w:t>
      </w:r>
      <w:r w:rsidR="00EE3B53" w:rsidRPr="00D10880">
        <w:rPr>
          <w:rStyle w:val="References"/>
        </w:rPr>
        <w:t>49-51,</w:t>
      </w:r>
      <w:r w:rsidRPr="001A4BCF">
        <w:rPr>
          <w:rStyle w:val="References"/>
        </w:rPr>
        <w:t xml:space="preserve"> </w:t>
      </w:r>
      <w:r w:rsidRPr="00B70166">
        <w:rPr>
          <w:rStyle w:val="References"/>
        </w:rPr>
        <w:t>subsection 791</w:t>
      </w:r>
      <w:proofErr w:type="gramStart"/>
      <w:r w:rsidRPr="00B70166">
        <w:rPr>
          <w:rStyle w:val="References"/>
        </w:rPr>
        <w:t>C(</w:t>
      </w:r>
      <w:proofErr w:type="gramEnd"/>
      <w:r w:rsidRPr="00B70166">
        <w:rPr>
          <w:rStyle w:val="References"/>
        </w:rPr>
        <w:t>1) and paragraphs 791C(3)(a)-(b) and subsection 791C(4) of the Act]</w:t>
      </w:r>
    </w:p>
    <w:p w14:paraId="676770E0" w14:textId="11A50444" w:rsidR="00AF791A" w:rsidRDefault="00AF791A" w:rsidP="002B06E9">
      <w:pPr>
        <w:pStyle w:val="Heading4"/>
      </w:pPr>
      <w:r>
        <w:t xml:space="preserve">Licensing of </w:t>
      </w:r>
      <w:r w:rsidR="002B06E9">
        <w:t>CS</w:t>
      </w:r>
      <w:r>
        <w:t xml:space="preserve"> facilities</w:t>
      </w:r>
    </w:p>
    <w:p w14:paraId="4D1E7B77" w14:textId="01B92643" w:rsidR="006D2878" w:rsidRPr="006D2878" w:rsidRDefault="006D2878" w:rsidP="00125C2C">
      <w:pPr>
        <w:pStyle w:val="Normalparatextwithnumbers"/>
      </w:pPr>
      <w:r>
        <w:t xml:space="preserve">ASIC and the RBA </w:t>
      </w:r>
      <w:r w:rsidR="00205B80">
        <w:t>co-</w:t>
      </w:r>
      <w:r>
        <w:t>regulat</w:t>
      </w:r>
      <w:r w:rsidR="00205B80">
        <w:t xml:space="preserve">e </w:t>
      </w:r>
      <w:r>
        <w:t xml:space="preserve">CS facilities. The respective </w:t>
      </w:r>
      <w:r w:rsidR="00205B80">
        <w:t>power</w:t>
      </w:r>
      <w:r>
        <w:t xml:space="preserve"> of each regulator corresponds to their overall </w:t>
      </w:r>
      <w:r w:rsidR="00205B80">
        <w:t>objectives</w:t>
      </w:r>
      <w:r w:rsidR="00173C28">
        <w:t xml:space="preserve"> and mandate</w:t>
      </w:r>
      <w:r>
        <w:t xml:space="preserve">. ASIC has </w:t>
      </w:r>
      <w:r w:rsidR="00205B80">
        <w:t xml:space="preserve">licensing and enforcement powers to align with their objective to </w:t>
      </w:r>
      <w:r w:rsidR="00205B80" w:rsidRPr="00205B80">
        <w:t>maintain, facilitate and improve the performance of the financial system</w:t>
      </w:r>
      <w:r>
        <w:t xml:space="preserve">. The RBA </w:t>
      </w:r>
      <w:r w:rsidR="00CD6A04">
        <w:t xml:space="preserve">has </w:t>
      </w:r>
      <w:r>
        <w:t xml:space="preserve">powers </w:t>
      </w:r>
      <w:r w:rsidR="00CD6A04">
        <w:t xml:space="preserve">aligning </w:t>
      </w:r>
      <w:r>
        <w:t xml:space="preserve">with the objective to maintain </w:t>
      </w:r>
      <w:r w:rsidRPr="006D2878">
        <w:t xml:space="preserve">overall stability of the </w:t>
      </w:r>
      <w:r w:rsidR="002369DC">
        <w:t xml:space="preserve">Australian </w:t>
      </w:r>
      <w:r w:rsidRPr="006D2878">
        <w:t>financial system</w:t>
      </w:r>
      <w:r>
        <w:t xml:space="preserve">. </w:t>
      </w:r>
    </w:p>
    <w:p w14:paraId="7830615E" w14:textId="6584D023" w:rsidR="004D2002" w:rsidRPr="00A91131" w:rsidRDefault="00C57855" w:rsidP="00B116A7">
      <w:pPr>
        <w:pStyle w:val="Normalparatextwithnumbers"/>
      </w:pPr>
      <w:r>
        <w:t xml:space="preserve">The following Ministerial powers with respect to CS facilities are transferred to </w:t>
      </w:r>
      <w:r w:rsidR="008333FB">
        <w:t>ASIC</w:t>
      </w:r>
      <w:r w:rsidR="00103738">
        <w:t>:</w:t>
      </w:r>
    </w:p>
    <w:p w14:paraId="6739375B" w14:textId="77777777" w:rsidR="00E671CE" w:rsidRDefault="00E671CE" w:rsidP="002B06E9">
      <w:pPr>
        <w:pStyle w:val="Dotpoint1"/>
      </w:pPr>
      <w:r w:rsidRPr="00E671CE">
        <w:t>granting a domestic or over</w:t>
      </w:r>
      <w:r>
        <w:t xml:space="preserve">seas CS facility </w:t>
      </w:r>
      <w:proofErr w:type="gramStart"/>
      <w:r>
        <w:t>licence;</w:t>
      </w:r>
      <w:proofErr w:type="gramEnd"/>
    </w:p>
    <w:p w14:paraId="2A15D752" w14:textId="0EE76F31" w:rsidR="00E671CE" w:rsidRPr="00E671CE" w:rsidRDefault="00E671CE" w:rsidP="009C6948">
      <w:pPr>
        <w:pStyle w:val="Referenceafterdotpoint"/>
      </w:pPr>
      <w:r>
        <w:t xml:space="preserve">[Schedule </w:t>
      </w:r>
      <w:r w:rsidR="00B53D7F">
        <w:t>2</w:t>
      </w:r>
      <w:r>
        <w:t xml:space="preserve">, </w:t>
      </w:r>
      <w:r w:rsidR="00B53D7F">
        <w:t xml:space="preserve">items </w:t>
      </w:r>
      <w:r w:rsidR="00B02655">
        <w:t>3</w:t>
      </w:r>
      <w:r w:rsidR="0053405F">
        <w:t xml:space="preserve"> to 9</w:t>
      </w:r>
      <w:r>
        <w:t xml:space="preserve">, </w:t>
      </w:r>
      <w:r w:rsidR="00920851">
        <w:t>section 824B</w:t>
      </w:r>
      <w:r>
        <w:t xml:space="preserve"> of </w:t>
      </w:r>
      <w:r w:rsidR="00920851">
        <w:t xml:space="preserve">the </w:t>
      </w:r>
      <w:r>
        <w:t xml:space="preserve">Act] </w:t>
      </w:r>
    </w:p>
    <w:p w14:paraId="40446ACB" w14:textId="463FE0C6" w:rsidR="002B06E9" w:rsidRPr="00585601" w:rsidRDefault="002B06E9" w:rsidP="002B06E9">
      <w:pPr>
        <w:pStyle w:val="Dotpoint1"/>
        <w:rPr>
          <w:rStyle w:val="References"/>
        </w:rPr>
      </w:pPr>
      <w:r w:rsidRPr="009E24C2">
        <w:t>issu</w:t>
      </w:r>
      <w:r>
        <w:t>ing</w:t>
      </w:r>
      <w:r w:rsidRPr="009E24C2">
        <w:t>, revok</w:t>
      </w:r>
      <w:r>
        <w:t>ing</w:t>
      </w:r>
      <w:r w:rsidRPr="009E24C2">
        <w:t xml:space="preserve"> or vary</w:t>
      </w:r>
      <w:r>
        <w:t>ing</w:t>
      </w:r>
      <w:r w:rsidRPr="009E24C2">
        <w:t xml:space="preserve"> an exemption from all provisions of Part 7.3 of the Act (</w:t>
      </w:r>
      <w:r>
        <w:t xml:space="preserve">noting the exception for </w:t>
      </w:r>
      <w:r w:rsidRPr="009E24C2">
        <w:t xml:space="preserve">those that the RBA </w:t>
      </w:r>
      <w:r>
        <w:t>h</w:t>
      </w:r>
      <w:r w:rsidRPr="009E24C2">
        <w:t>as the power to exempt);</w:t>
      </w:r>
      <w:r w:rsidRPr="00585601">
        <w:t xml:space="preserve"> </w:t>
      </w:r>
      <w:r>
        <w:br/>
      </w:r>
      <w:r w:rsidRPr="00585601">
        <w:rPr>
          <w:rStyle w:val="References"/>
        </w:rPr>
        <w:t>[</w:t>
      </w:r>
      <w:r w:rsidR="00A93424">
        <w:rPr>
          <w:rStyle w:val="References"/>
        </w:rPr>
        <w:t xml:space="preserve">Schedule </w:t>
      </w:r>
      <w:r w:rsidR="006B534D">
        <w:rPr>
          <w:rStyle w:val="References"/>
        </w:rPr>
        <w:t>3</w:t>
      </w:r>
      <w:r w:rsidRPr="00585601">
        <w:rPr>
          <w:rStyle w:val="References"/>
        </w:rPr>
        <w:t>, item</w:t>
      </w:r>
      <w:r w:rsidR="00AC1F84">
        <w:rPr>
          <w:rStyle w:val="References"/>
        </w:rPr>
        <w:t>s</w:t>
      </w:r>
      <w:r w:rsidR="00E451BB">
        <w:rPr>
          <w:rStyle w:val="References"/>
        </w:rPr>
        <w:t xml:space="preserve">, </w:t>
      </w:r>
      <w:r w:rsidR="00425F6D">
        <w:rPr>
          <w:rStyle w:val="References"/>
        </w:rPr>
        <w:t xml:space="preserve">73 to </w:t>
      </w:r>
      <w:r w:rsidR="00835BA3">
        <w:rPr>
          <w:rStyle w:val="References"/>
        </w:rPr>
        <w:t>77</w:t>
      </w:r>
      <w:r w:rsidR="00767FD1" w:rsidRPr="00585601">
        <w:rPr>
          <w:rStyle w:val="References"/>
        </w:rPr>
        <w:t xml:space="preserve"> </w:t>
      </w:r>
      <w:r w:rsidRPr="00585601">
        <w:rPr>
          <w:rStyle w:val="References"/>
        </w:rPr>
        <w:t>section 820C of the Act]</w:t>
      </w:r>
    </w:p>
    <w:p w14:paraId="0BAF8F2D" w14:textId="301319F0" w:rsidR="009257E9" w:rsidRPr="00F90905" w:rsidRDefault="009257E9" w:rsidP="009257E9">
      <w:pPr>
        <w:pStyle w:val="Dotpoint1"/>
        <w:rPr>
          <w:rStyle w:val="References"/>
        </w:rPr>
      </w:pPr>
      <w:r w:rsidRPr="002B06E9">
        <w:t xml:space="preserve">approving an overseas </w:t>
      </w:r>
      <w:r>
        <w:t xml:space="preserve">CS facility </w:t>
      </w:r>
      <w:r w:rsidRPr="002B06E9">
        <w:t xml:space="preserve">licensee’s request to change a country of </w:t>
      </w:r>
      <w:r w:rsidR="00CD5372">
        <w:t xml:space="preserve">principal </w:t>
      </w:r>
      <w:r w:rsidRPr="002B06E9">
        <w:t>place</w:t>
      </w:r>
      <w:r>
        <w:t>;</w:t>
      </w:r>
      <w:r w:rsidRPr="00C85F32">
        <w:t xml:space="preserve"> </w:t>
      </w:r>
      <w:r>
        <w:br/>
      </w:r>
      <w:r w:rsidRPr="00F90905">
        <w:rPr>
          <w:rStyle w:val="References"/>
        </w:rPr>
        <w:t>[</w:t>
      </w:r>
      <w:r w:rsidR="00A93424">
        <w:rPr>
          <w:rStyle w:val="References"/>
        </w:rPr>
        <w:t xml:space="preserve">Schedule </w:t>
      </w:r>
      <w:r w:rsidR="006B534D">
        <w:rPr>
          <w:rStyle w:val="References"/>
        </w:rPr>
        <w:t>3</w:t>
      </w:r>
      <w:r w:rsidRPr="00F90905">
        <w:rPr>
          <w:rStyle w:val="References"/>
        </w:rPr>
        <w:t xml:space="preserve">, item </w:t>
      </w:r>
      <w:r>
        <w:rPr>
          <w:rStyle w:val="References"/>
        </w:rPr>
        <w:t>7</w:t>
      </w:r>
      <w:r w:rsidR="006B534D">
        <w:rPr>
          <w:rStyle w:val="References"/>
        </w:rPr>
        <w:t>9</w:t>
      </w:r>
      <w:r w:rsidRPr="00F90905">
        <w:rPr>
          <w:rStyle w:val="References"/>
        </w:rPr>
        <w:t>, paragraph 821A(1)(f)</w:t>
      </w:r>
      <w:r>
        <w:rPr>
          <w:rStyle w:val="References"/>
        </w:rPr>
        <w:t xml:space="preserve"> of the Act]</w:t>
      </w:r>
    </w:p>
    <w:p w14:paraId="69146053" w14:textId="10E0F645" w:rsidR="009257E9" w:rsidRPr="009B3139" w:rsidRDefault="009257E9" w:rsidP="009257E9">
      <w:pPr>
        <w:pStyle w:val="Dotpoint1"/>
        <w:rPr>
          <w:rStyle w:val="References"/>
        </w:rPr>
      </w:pPr>
      <w:r w:rsidRPr="009E24C2">
        <w:t>approv</w:t>
      </w:r>
      <w:r>
        <w:t xml:space="preserve">ing a </w:t>
      </w:r>
      <w:r w:rsidRPr="009E24C2">
        <w:t>change of country by foreign licensee</w:t>
      </w:r>
      <w:r>
        <w:t xml:space="preserve">. </w:t>
      </w:r>
      <w:r w:rsidRPr="009E24C2">
        <w:t xml:space="preserve"> </w:t>
      </w:r>
      <w:r>
        <w:br/>
      </w:r>
      <w:r w:rsidRPr="002B06E9">
        <w:rPr>
          <w:rStyle w:val="References"/>
        </w:rPr>
        <w:t>[</w:t>
      </w:r>
      <w:r w:rsidR="00A93424">
        <w:rPr>
          <w:rStyle w:val="References"/>
        </w:rPr>
        <w:t xml:space="preserve">Schedule </w:t>
      </w:r>
      <w:r w:rsidR="0052573F">
        <w:rPr>
          <w:rStyle w:val="References"/>
        </w:rPr>
        <w:t>3</w:t>
      </w:r>
      <w:r w:rsidRPr="002B06E9">
        <w:rPr>
          <w:rStyle w:val="References"/>
        </w:rPr>
        <w:t xml:space="preserve">, item </w:t>
      </w:r>
      <w:r w:rsidR="0052573F">
        <w:rPr>
          <w:rStyle w:val="References"/>
        </w:rPr>
        <w:t>83</w:t>
      </w:r>
      <w:r>
        <w:rPr>
          <w:rStyle w:val="References"/>
        </w:rPr>
        <w:t xml:space="preserve">, </w:t>
      </w:r>
      <w:r w:rsidRPr="009B3139">
        <w:rPr>
          <w:rStyle w:val="References"/>
        </w:rPr>
        <w:t>section 821</w:t>
      </w:r>
      <w:proofErr w:type="gramStart"/>
      <w:r w:rsidRPr="009B3139">
        <w:rPr>
          <w:rStyle w:val="References"/>
        </w:rPr>
        <w:t>F</w:t>
      </w:r>
      <w:r w:rsidR="00A34F82">
        <w:rPr>
          <w:rStyle w:val="References"/>
        </w:rPr>
        <w:t>(</w:t>
      </w:r>
      <w:proofErr w:type="gramEnd"/>
      <w:r w:rsidR="00A02888">
        <w:rPr>
          <w:rStyle w:val="References"/>
        </w:rPr>
        <w:t>1</w:t>
      </w:r>
      <w:r w:rsidR="00A34F82">
        <w:rPr>
          <w:rStyle w:val="References"/>
        </w:rPr>
        <w:t>)</w:t>
      </w:r>
      <w:r w:rsidRPr="009B3139">
        <w:rPr>
          <w:rStyle w:val="References"/>
        </w:rPr>
        <w:t xml:space="preserve"> of the Act</w:t>
      </w:r>
      <w:r>
        <w:rPr>
          <w:rStyle w:val="References"/>
        </w:rPr>
        <w:t>]</w:t>
      </w:r>
      <w:r w:rsidRPr="009B3139">
        <w:rPr>
          <w:rStyle w:val="References"/>
        </w:rPr>
        <w:t xml:space="preserve"> </w:t>
      </w:r>
    </w:p>
    <w:p w14:paraId="54A3D51E" w14:textId="0CD39E11" w:rsidR="00103738" w:rsidRPr="00585601" w:rsidRDefault="00103738" w:rsidP="00BD7195">
      <w:pPr>
        <w:pStyle w:val="Dotpoint1"/>
        <w:rPr>
          <w:rStyle w:val="References"/>
        </w:rPr>
      </w:pPr>
      <w:r w:rsidRPr="009E24C2">
        <w:t>impos</w:t>
      </w:r>
      <w:r w:rsidR="00FB5145">
        <w:t>ing</w:t>
      </w:r>
      <w:r w:rsidRPr="009E24C2">
        <w:t>, vary</w:t>
      </w:r>
      <w:r w:rsidR="00FB5145">
        <w:t>ing</w:t>
      </w:r>
      <w:r w:rsidRPr="009E24C2">
        <w:t>, and revok</w:t>
      </w:r>
      <w:r w:rsidR="00FB5145">
        <w:t>ing</w:t>
      </w:r>
      <w:r w:rsidRPr="009E24C2">
        <w:t xml:space="preserve"> licence conditions</w:t>
      </w:r>
      <w:r w:rsidR="00585601">
        <w:t xml:space="preserve">; </w:t>
      </w:r>
      <w:r w:rsidR="00585601">
        <w:br/>
      </w:r>
      <w:r w:rsidR="00585601" w:rsidRPr="00585601">
        <w:rPr>
          <w:rStyle w:val="References"/>
        </w:rPr>
        <w:t>[</w:t>
      </w:r>
      <w:r w:rsidR="00A93424">
        <w:rPr>
          <w:rStyle w:val="References"/>
        </w:rPr>
        <w:t xml:space="preserve">Schedule </w:t>
      </w:r>
      <w:r w:rsidR="00796E7D">
        <w:rPr>
          <w:rStyle w:val="References"/>
        </w:rPr>
        <w:t>3</w:t>
      </w:r>
      <w:r w:rsidR="00585601" w:rsidRPr="00585601">
        <w:rPr>
          <w:rStyle w:val="References"/>
        </w:rPr>
        <w:t>, item</w:t>
      </w:r>
      <w:r w:rsidR="008A489D">
        <w:rPr>
          <w:rStyle w:val="References"/>
        </w:rPr>
        <w:t xml:space="preserve">s </w:t>
      </w:r>
      <w:r w:rsidR="00F73B5C">
        <w:rPr>
          <w:rStyle w:val="References"/>
        </w:rPr>
        <w:t>104</w:t>
      </w:r>
      <w:r w:rsidR="008A489D">
        <w:rPr>
          <w:rStyle w:val="References"/>
        </w:rPr>
        <w:t xml:space="preserve">, </w:t>
      </w:r>
      <w:r w:rsidR="000954C5">
        <w:rPr>
          <w:rStyle w:val="References"/>
        </w:rPr>
        <w:t>106 to</w:t>
      </w:r>
      <w:r w:rsidR="003C0D8E">
        <w:rPr>
          <w:rStyle w:val="References"/>
        </w:rPr>
        <w:t xml:space="preserve"> </w:t>
      </w:r>
      <w:r w:rsidR="005F1B90">
        <w:rPr>
          <w:rStyle w:val="References"/>
        </w:rPr>
        <w:t>116</w:t>
      </w:r>
      <w:r w:rsidR="00585601" w:rsidRPr="00585601">
        <w:rPr>
          <w:rStyle w:val="References"/>
        </w:rPr>
        <w:t xml:space="preserve">, </w:t>
      </w:r>
      <w:r w:rsidRPr="00585601">
        <w:rPr>
          <w:rStyle w:val="References"/>
        </w:rPr>
        <w:t>section 825A</w:t>
      </w:r>
      <w:r w:rsidR="005F1B90">
        <w:rPr>
          <w:rStyle w:val="References"/>
        </w:rPr>
        <w:t xml:space="preserve"> </w:t>
      </w:r>
      <w:r w:rsidRPr="00585601">
        <w:rPr>
          <w:rStyle w:val="References"/>
        </w:rPr>
        <w:t>of the Act</w:t>
      </w:r>
      <w:r w:rsidR="00585601" w:rsidRPr="00585601">
        <w:rPr>
          <w:rStyle w:val="References"/>
        </w:rPr>
        <w:t>]</w:t>
      </w:r>
    </w:p>
    <w:p w14:paraId="5B37CD7D" w14:textId="4F607C3A" w:rsidR="00103738" w:rsidRPr="00585601" w:rsidRDefault="00103738" w:rsidP="00BD7195">
      <w:pPr>
        <w:pStyle w:val="Dotpoint1"/>
        <w:rPr>
          <w:rStyle w:val="References"/>
        </w:rPr>
      </w:pPr>
      <w:r w:rsidRPr="009E24C2">
        <w:t>vary</w:t>
      </w:r>
      <w:r w:rsidR="00F56DB5">
        <w:t>ing</w:t>
      </w:r>
      <w:r w:rsidRPr="009E24C2">
        <w:t xml:space="preserve"> </w:t>
      </w:r>
      <w:r w:rsidR="00F56DB5">
        <w:t xml:space="preserve">a </w:t>
      </w:r>
      <w:r w:rsidRPr="009E24C2">
        <w:t xml:space="preserve">licence </w:t>
      </w:r>
      <w:r w:rsidR="00FB5145">
        <w:t xml:space="preserve">to </w:t>
      </w:r>
      <w:r w:rsidR="003937C8">
        <w:t xml:space="preserve">change the </w:t>
      </w:r>
      <w:r w:rsidRPr="009E24C2">
        <w:t>name</w:t>
      </w:r>
      <w:r w:rsidR="003937C8">
        <w:t xml:space="preserve"> of a licensee</w:t>
      </w:r>
      <w:r w:rsidR="00585601">
        <w:t>;</w:t>
      </w:r>
      <w:r w:rsidRPr="009E24C2">
        <w:t xml:space="preserve"> </w:t>
      </w:r>
      <w:r w:rsidR="00585601">
        <w:br/>
      </w:r>
      <w:r w:rsidR="00585601" w:rsidRPr="00585601">
        <w:rPr>
          <w:rStyle w:val="References"/>
        </w:rPr>
        <w:t>[</w:t>
      </w:r>
      <w:r w:rsidR="00A93424">
        <w:rPr>
          <w:rStyle w:val="References"/>
        </w:rPr>
        <w:t xml:space="preserve">Schedule </w:t>
      </w:r>
      <w:r w:rsidR="00D359D5">
        <w:rPr>
          <w:rStyle w:val="References"/>
        </w:rPr>
        <w:t>3</w:t>
      </w:r>
      <w:r w:rsidR="00585601" w:rsidRPr="00585601">
        <w:rPr>
          <w:rStyle w:val="References"/>
        </w:rPr>
        <w:t>, item</w:t>
      </w:r>
      <w:r w:rsidR="003937C8">
        <w:rPr>
          <w:rStyle w:val="References"/>
        </w:rPr>
        <w:t>s</w:t>
      </w:r>
      <w:r w:rsidR="00585601" w:rsidRPr="00585601">
        <w:rPr>
          <w:rStyle w:val="References"/>
        </w:rPr>
        <w:t xml:space="preserve"> </w:t>
      </w:r>
      <w:r w:rsidR="00B242C9">
        <w:rPr>
          <w:rStyle w:val="References"/>
        </w:rPr>
        <w:t xml:space="preserve">117 </w:t>
      </w:r>
      <w:r w:rsidR="008003A7">
        <w:rPr>
          <w:rStyle w:val="References"/>
        </w:rPr>
        <w:t>and 118</w:t>
      </w:r>
      <w:r w:rsidR="00585601" w:rsidRPr="00585601">
        <w:rPr>
          <w:rStyle w:val="References"/>
        </w:rPr>
        <w:t xml:space="preserve">, </w:t>
      </w:r>
      <w:r w:rsidRPr="00585601">
        <w:rPr>
          <w:rStyle w:val="References"/>
        </w:rPr>
        <w:t>section 826A of the Ac</w:t>
      </w:r>
      <w:r w:rsidR="00585601" w:rsidRPr="00585601">
        <w:rPr>
          <w:rStyle w:val="References"/>
        </w:rPr>
        <w:t>t]</w:t>
      </w:r>
    </w:p>
    <w:p w14:paraId="06D32435" w14:textId="506887F0" w:rsidR="00103738" w:rsidRPr="009E24C2" w:rsidRDefault="00103738" w:rsidP="00BD7195">
      <w:pPr>
        <w:pStyle w:val="Dotpoint1"/>
      </w:pPr>
      <w:r w:rsidRPr="009E24C2">
        <w:t>suspend</w:t>
      </w:r>
      <w:r w:rsidR="00F56DB5">
        <w:t>ing</w:t>
      </w:r>
      <w:r w:rsidRPr="009E24C2">
        <w:t xml:space="preserve"> or cancel</w:t>
      </w:r>
      <w:r w:rsidR="00F56DB5">
        <w:t>ling</w:t>
      </w:r>
      <w:r w:rsidRPr="009E24C2">
        <w:t xml:space="preserve"> a licence</w:t>
      </w:r>
      <w:r w:rsidR="00585601">
        <w:t>;</w:t>
      </w:r>
      <w:r w:rsidRPr="009E24C2">
        <w:t xml:space="preserve"> </w:t>
      </w:r>
      <w:r w:rsidR="00585601">
        <w:t>and</w:t>
      </w:r>
      <w:r w:rsidR="00585601">
        <w:br/>
      </w:r>
      <w:r w:rsidR="00585601" w:rsidRPr="00585601">
        <w:rPr>
          <w:rStyle w:val="References"/>
        </w:rPr>
        <w:t>[</w:t>
      </w:r>
      <w:r w:rsidR="00A93424">
        <w:rPr>
          <w:rStyle w:val="References"/>
        </w:rPr>
        <w:t xml:space="preserve">Schedule </w:t>
      </w:r>
      <w:r w:rsidR="00E516A7">
        <w:rPr>
          <w:rStyle w:val="References"/>
        </w:rPr>
        <w:t>3</w:t>
      </w:r>
      <w:r w:rsidR="00585601" w:rsidRPr="00585601">
        <w:rPr>
          <w:rStyle w:val="References"/>
        </w:rPr>
        <w:t>, item</w:t>
      </w:r>
      <w:r w:rsidR="005C434D">
        <w:rPr>
          <w:rStyle w:val="References"/>
        </w:rPr>
        <w:t>s</w:t>
      </w:r>
      <w:r w:rsidR="00585601" w:rsidRPr="00585601">
        <w:rPr>
          <w:rStyle w:val="References"/>
        </w:rPr>
        <w:t xml:space="preserve"> </w:t>
      </w:r>
      <w:r w:rsidR="005C434D">
        <w:rPr>
          <w:rStyle w:val="References"/>
        </w:rPr>
        <w:t>1</w:t>
      </w:r>
      <w:r w:rsidR="00F666BE">
        <w:rPr>
          <w:rStyle w:val="References"/>
        </w:rPr>
        <w:t>20 to 124</w:t>
      </w:r>
      <w:r w:rsidR="00585601" w:rsidRPr="00585601">
        <w:rPr>
          <w:rStyle w:val="References"/>
        </w:rPr>
        <w:t>,</w:t>
      </w:r>
      <w:r w:rsidR="00585601">
        <w:rPr>
          <w:rStyle w:val="References"/>
        </w:rPr>
        <w:t xml:space="preserve"> </w:t>
      </w:r>
      <w:r w:rsidRPr="00585601">
        <w:rPr>
          <w:rStyle w:val="References"/>
        </w:rPr>
        <w:t xml:space="preserve">sections 826B </w:t>
      </w:r>
      <w:r w:rsidR="005C434D">
        <w:rPr>
          <w:rStyle w:val="References"/>
        </w:rPr>
        <w:t xml:space="preserve">and </w:t>
      </w:r>
      <w:r w:rsidRPr="00585601">
        <w:rPr>
          <w:rStyle w:val="References"/>
        </w:rPr>
        <w:t>826C of the Act</w:t>
      </w:r>
      <w:r w:rsidR="00585601">
        <w:rPr>
          <w:rStyle w:val="References"/>
        </w:rPr>
        <w:t>]</w:t>
      </w:r>
    </w:p>
    <w:p w14:paraId="6D20B907" w14:textId="3E40CFFA" w:rsidR="00103738" w:rsidRPr="009E24C2" w:rsidRDefault="00103738" w:rsidP="00BD7195">
      <w:pPr>
        <w:pStyle w:val="Dotpoint1"/>
      </w:pPr>
      <w:r w:rsidRPr="009E24C2">
        <w:t>vary</w:t>
      </w:r>
      <w:r w:rsidR="00F56DB5">
        <w:t>ing</w:t>
      </w:r>
      <w:r w:rsidRPr="009E24C2">
        <w:t>, revok</w:t>
      </w:r>
      <w:r w:rsidR="00F56DB5">
        <w:t>ing</w:t>
      </w:r>
      <w:r w:rsidRPr="009E24C2">
        <w:t xml:space="preserve"> or detail</w:t>
      </w:r>
      <w:r w:rsidR="00F56DB5">
        <w:t>ing</w:t>
      </w:r>
      <w:r w:rsidR="00CD1A07">
        <w:t xml:space="preserve"> the</w:t>
      </w:r>
      <w:r w:rsidRPr="009E24C2">
        <w:t xml:space="preserve"> effect of a suspension</w:t>
      </w:r>
      <w:r w:rsidR="00585601">
        <w:t xml:space="preserve">. </w:t>
      </w:r>
      <w:r w:rsidR="00585601">
        <w:br/>
      </w:r>
      <w:r w:rsidR="00585601" w:rsidRPr="00585601">
        <w:rPr>
          <w:rStyle w:val="References"/>
        </w:rPr>
        <w:t>[</w:t>
      </w:r>
      <w:r w:rsidR="00A93424">
        <w:rPr>
          <w:rStyle w:val="References"/>
        </w:rPr>
        <w:t xml:space="preserve">Schedule </w:t>
      </w:r>
      <w:r w:rsidR="00514E58">
        <w:rPr>
          <w:rStyle w:val="References"/>
        </w:rPr>
        <w:t>3</w:t>
      </w:r>
      <w:r w:rsidR="00585601" w:rsidRPr="00585601">
        <w:rPr>
          <w:rStyle w:val="References"/>
        </w:rPr>
        <w:t>, item</w:t>
      </w:r>
      <w:r w:rsidR="005C434D">
        <w:rPr>
          <w:rStyle w:val="References"/>
        </w:rPr>
        <w:t>s 1</w:t>
      </w:r>
      <w:r w:rsidR="00BC00C8">
        <w:rPr>
          <w:rStyle w:val="References"/>
        </w:rPr>
        <w:t>25 and 126</w:t>
      </w:r>
      <w:r w:rsidR="00585601" w:rsidRPr="00585601">
        <w:rPr>
          <w:rStyle w:val="References"/>
        </w:rPr>
        <w:t xml:space="preserve">, </w:t>
      </w:r>
      <w:r w:rsidRPr="00585601">
        <w:rPr>
          <w:rStyle w:val="References"/>
        </w:rPr>
        <w:t xml:space="preserve">sections 826E </w:t>
      </w:r>
      <w:r w:rsidR="005C434D">
        <w:rPr>
          <w:rStyle w:val="References"/>
        </w:rPr>
        <w:t xml:space="preserve">and </w:t>
      </w:r>
      <w:r w:rsidRPr="00585601">
        <w:rPr>
          <w:rStyle w:val="References"/>
        </w:rPr>
        <w:t>826D of the Act</w:t>
      </w:r>
      <w:r w:rsidR="00585601" w:rsidRPr="00585601">
        <w:rPr>
          <w:rStyle w:val="References"/>
        </w:rPr>
        <w:t>]</w:t>
      </w:r>
    </w:p>
    <w:p w14:paraId="283AC576" w14:textId="6128CB8E" w:rsidR="009257E9" w:rsidRPr="0095050F" w:rsidRDefault="009257E9" w:rsidP="00BD58ED">
      <w:pPr>
        <w:pStyle w:val="Dotpoint1"/>
        <w:rPr>
          <w:rStyle w:val="References"/>
        </w:rPr>
      </w:pPr>
      <w:r w:rsidRPr="008333FB">
        <w:lastRenderedPageBreak/>
        <w:t xml:space="preserve">the requirement to consider the list of matters when deciding to grant, suspend or cancel </w:t>
      </w:r>
      <w:r w:rsidRPr="0095050F">
        <w:t xml:space="preserve">a CS facility </w:t>
      </w:r>
      <w:proofErr w:type="gramStart"/>
      <w:r w:rsidR="00506CBD" w:rsidRPr="0095050F">
        <w:t xml:space="preserve">licence,  </w:t>
      </w:r>
      <w:r w:rsidRPr="0095050F">
        <w:t xml:space="preserve"> </w:t>
      </w:r>
      <w:proofErr w:type="gramEnd"/>
      <w:r w:rsidRPr="0095050F">
        <w:t>impose, vary or revoke conditions on that licence, or disallow changes to the CS operating rules</w:t>
      </w:r>
      <w:r w:rsidR="001508E9" w:rsidRPr="0095050F">
        <w:t xml:space="preserve">. </w:t>
      </w:r>
      <w:r w:rsidRPr="0095050F">
        <w:br/>
      </w:r>
      <w:r w:rsidRPr="0095050F">
        <w:rPr>
          <w:rStyle w:val="References"/>
        </w:rPr>
        <w:t>[</w:t>
      </w:r>
      <w:r w:rsidR="00A93424" w:rsidRPr="0095050F">
        <w:rPr>
          <w:rStyle w:val="References"/>
        </w:rPr>
        <w:t xml:space="preserve">Schedule </w:t>
      </w:r>
      <w:r w:rsidR="00514E58" w:rsidRPr="0095050F">
        <w:rPr>
          <w:rStyle w:val="References"/>
        </w:rPr>
        <w:t>3</w:t>
      </w:r>
      <w:r w:rsidRPr="0095050F">
        <w:rPr>
          <w:rStyle w:val="References"/>
        </w:rPr>
        <w:t>, items 1</w:t>
      </w:r>
      <w:r w:rsidR="0050725B" w:rsidRPr="0095050F">
        <w:rPr>
          <w:rStyle w:val="References"/>
        </w:rPr>
        <w:t>29</w:t>
      </w:r>
      <w:r w:rsidRPr="0095050F">
        <w:rPr>
          <w:rStyle w:val="References"/>
        </w:rPr>
        <w:t xml:space="preserve"> to 1</w:t>
      </w:r>
      <w:r w:rsidR="0015321C" w:rsidRPr="0095050F">
        <w:rPr>
          <w:rStyle w:val="References"/>
        </w:rPr>
        <w:t>34</w:t>
      </w:r>
      <w:r w:rsidRPr="0095050F">
        <w:rPr>
          <w:rStyle w:val="References"/>
        </w:rPr>
        <w:t xml:space="preserve">, section 827A of the Act]  </w:t>
      </w:r>
    </w:p>
    <w:p w14:paraId="7C352A79" w14:textId="060BC292" w:rsidR="007D6294" w:rsidRPr="00905782" w:rsidRDefault="000B477E" w:rsidP="00BD58ED">
      <w:pPr>
        <w:pStyle w:val="Dotpoint1"/>
        <w:rPr>
          <w:rStyle w:val="References"/>
        </w:rPr>
      </w:pPr>
      <w:r w:rsidRPr="0095050F">
        <w:rPr>
          <w:rStyle w:val="References"/>
          <w:b w:val="0"/>
          <w:bCs w:val="0"/>
          <w:i w:val="0"/>
          <w:iCs w:val="0"/>
        </w:rPr>
        <w:t>requiring an audit report on the annual report of a CS facility licensee</w:t>
      </w:r>
      <w:r w:rsidR="00754F89" w:rsidRPr="0095050F">
        <w:rPr>
          <w:rStyle w:val="References"/>
          <w:b w:val="0"/>
          <w:bCs w:val="0"/>
          <w:i w:val="0"/>
          <w:iCs w:val="0"/>
        </w:rPr>
        <w:br/>
      </w:r>
      <w:r w:rsidR="00754F89" w:rsidRPr="0095050F">
        <w:rPr>
          <w:rStyle w:val="References"/>
        </w:rPr>
        <w:t>[</w:t>
      </w:r>
      <w:r w:rsidR="00754F89" w:rsidRPr="00905782">
        <w:rPr>
          <w:rStyle w:val="References"/>
        </w:rPr>
        <w:t xml:space="preserve">Schedule 3, items 81 and 82, section 821E of the Act] </w:t>
      </w:r>
    </w:p>
    <w:p w14:paraId="1D966B42" w14:textId="6FC7AC91" w:rsidR="00211B30" w:rsidRPr="00905782" w:rsidRDefault="005B3E7F" w:rsidP="00F10A7D">
      <w:pPr>
        <w:pStyle w:val="Normalparatextwithnumbers"/>
        <w:rPr>
          <w:rStyle w:val="References"/>
          <w:b w:val="0"/>
          <w:i w:val="0"/>
        </w:rPr>
      </w:pPr>
      <w:r w:rsidRPr="00905782">
        <w:rPr>
          <w:rStyle w:val="References"/>
          <w:b w:val="0"/>
          <w:bCs w:val="0"/>
          <w:i w:val="0"/>
          <w:iCs w:val="0"/>
        </w:rPr>
        <w:t>ASIC may extend or shorten the duration of an exemption. Amendments are made to</w:t>
      </w:r>
      <w:r w:rsidR="00C20883" w:rsidRPr="00905782">
        <w:rPr>
          <w:rStyle w:val="References"/>
          <w:b w:val="0"/>
          <w:bCs w:val="0"/>
          <w:i w:val="0"/>
          <w:iCs w:val="0"/>
        </w:rPr>
        <w:t xml:space="preserve"> the criteria for when ASIC may make an exemption by extending it to persons or classes of persons. </w:t>
      </w:r>
      <w:r w:rsidR="00BD58ED" w:rsidRPr="00905782">
        <w:rPr>
          <w:rStyle w:val="References"/>
          <w:b w:val="0"/>
          <w:i w:val="0"/>
        </w:rPr>
        <w:br/>
      </w:r>
      <w:r w:rsidR="00211B30" w:rsidRPr="00905782">
        <w:rPr>
          <w:rStyle w:val="References"/>
        </w:rPr>
        <w:t xml:space="preserve">[Schedule </w:t>
      </w:r>
      <w:r w:rsidR="00102CAC" w:rsidRPr="00D10880">
        <w:rPr>
          <w:rStyle w:val="References"/>
        </w:rPr>
        <w:t>2</w:t>
      </w:r>
      <w:r w:rsidR="00211B30" w:rsidRPr="00905782">
        <w:rPr>
          <w:rStyle w:val="References"/>
        </w:rPr>
        <w:t xml:space="preserve">, items </w:t>
      </w:r>
      <w:r w:rsidR="008A4870" w:rsidRPr="00D10880">
        <w:rPr>
          <w:rStyle w:val="References"/>
        </w:rPr>
        <w:t>59</w:t>
      </w:r>
      <w:r w:rsidR="00692E3E" w:rsidRPr="00D10880">
        <w:rPr>
          <w:rStyle w:val="References"/>
        </w:rPr>
        <w:t xml:space="preserve"> to </w:t>
      </w:r>
      <w:r w:rsidR="00266240" w:rsidRPr="00D10880">
        <w:rPr>
          <w:rStyle w:val="References"/>
        </w:rPr>
        <w:t>64</w:t>
      </w:r>
      <w:proofErr w:type="gramStart"/>
      <w:r w:rsidR="00266240" w:rsidRPr="00D10880">
        <w:rPr>
          <w:rStyle w:val="References"/>
        </w:rPr>
        <w:t xml:space="preserve">, </w:t>
      </w:r>
      <w:r w:rsidR="007856FA" w:rsidRPr="00905782">
        <w:rPr>
          <w:rStyle w:val="References"/>
        </w:rPr>
        <w:t>,</w:t>
      </w:r>
      <w:proofErr w:type="gramEnd"/>
      <w:r w:rsidR="007856FA" w:rsidRPr="00905782">
        <w:rPr>
          <w:rStyle w:val="References"/>
        </w:rPr>
        <w:t xml:space="preserve"> subparagraph 820C(2)(a)(ii)</w:t>
      </w:r>
      <w:r w:rsidR="00E32374" w:rsidRPr="00905782">
        <w:rPr>
          <w:rStyle w:val="References"/>
        </w:rPr>
        <w:t xml:space="preserve">, </w:t>
      </w:r>
      <w:r w:rsidR="007856FA" w:rsidRPr="00905782">
        <w:rPr>
          <w:rStyle w:val="References"/>
        </w:rPr>
        <w:t>paragraph</w:t>
      </w:r>
      <w:r w:rsidR="00E32374" w:rsidRPr="00905782">
        <w:rPr>
          <w:rStyle w:val="References"/>
        </w:rPr>
        <w:t>s</w:t>
      </w:r>
      <w:r w:rsidR="007856FA" w:rsidRPr="00905782">
        <w:rPr>
          <w:rStyle w:val="References"/>
        </w:rPr>
        <w:t xml:space="preserve"> 820C(3)(a)-(b)</w:t>
      </w:r>
      <w:r w:rsidR="00E32374" w:rsidRPr="00905782">
        <w:rPr>
          <w:rStyle w:val="References"/>
        </w:rPr>
        <w:t xml:space="preserve"> and subsection 820C(4)</w:t>
      </w:r>
      <w:r w:rsidR="007856FA" w:rsidRPr="00905782">
        <w:rPr>
          <w:rStyle w:val="References"/>
        </w:rPr>
        <w:t xml:space="preserve"> of the Act]</w:t>
      </w:r>
    </w:p>
    <w:p w14:paraId="046F65E1" w14:textId="3CDA446B" w:rsidR="002E563D" w:rsidRPr="004D2002" w:rsidRDefault="002E563D" w:rsidP="002E563D">
      <w:pPr>
        <w:pStyle w:val="Heading6"/>
        <w:rPr>
          <w:rFonts w:hint="eastAsia"/>
        </w:rPr>
      </w:pPr>
      <w:r>
        <w:t>Exemptions</w:t>
      </w:r>
    </w:p>
    <w:p w14:paraId="52EAE759" w14:textId="61751833" w:rsidR="00212571" w:rsidRDefault="00204E93" w:rsidP="00D85BF1">
      <w:pPr>
        <w:pStyle w:val="Normalparatextwithnumbers"/>
      </w:pPr>
      <w:r>
        <w:t xml:space="preserve">In line with the RBA’s </w:t>
      </w:r>
      <w:r w:rsidR="00D56F6B">
        <w:t xml:space="preserve">additional supervisory powers </w:t>
      </w:r>
      <w:r w:rsidR="00EA1B9D">
        <w:t xml:space="preserve">for </w:t>
      </w:r>
      <w:r>
        <w:t xml:space="preserve">oversight of </w:t>
      </w:r>
      <w:r w:rsidR="00D40EBC">
        <w:t xml:space="preserve">CS </w:t>
      </w:r>
      <w:r>
        <w:t xml:space="preserve">facilities, the RBA </w:t>
      </w:r>
      <w:r w:rsidR="00D40EBC">
        <w:t xml:space="preserve">are empowered </w:t>
      </w:r>
      <w:r>
        <w:t xml:space="preserve">to exempt </w:t>
      </w:r>
      <w:r w:rsidR="004E707C">
        <w:t xml:space="preserve">an </w:t>
      </w:r>
      <w:r>
        <w:t xml:space="preserve">individual or classes of </w:t>
      </w:r>
      <w:r w:rsidR="00D40EBC">
        <w:t xml:space="preserve">CS </w:t>
      </w:r>
      <w:r>
        <w:t>facility licensees from</w:t>
      </w:r>
      <w:r w:rsidR="00212571">
        <w:t>:</w:t>
      </w:r>
    </w:p>
    <w:p w14:paraId="69A1FDE9" w14:textId="0828E5CB" w:rsidR="0012120F" w:rsidRPr="00905782" w:rsidRDefault="00A073A3" w:rsidP="00BD58ED">
      <w:pPr>
        <w:pStyle w:val="Dotpoint1"/>
      </w:pPr>
      <w:r>
        <w:t>complying</w:t>
      </w:r>
      <w:r w:rsidR="0020478B">
        <w:t xml:space="preserve"> with the Financial Stability Standards </w:t>
      </w:r>
      <w:r>
        <w:t xml:space="preserve">(refer to section 827D of the Act) </w:t>
      </w:r>
      <w:r w:rsidR="0020478B" w:rsidRPr="00905782">
        <w:t>and</w:t>
      </w:r>
      <w:r w:rsidRPr="00905782">
        <w:t>/or reducing systemic risk under section 821A(</w:t>
      </w:r>
      <w:proofErr w:type="gramStart"/>
      <w:r w:rsidRPr="00905782">
        <w:t>1)(</w:t>
      </w:r>
      <w:proofErr w:type="gramEnd"/>
      <w:r w:rsidRPr="00905782">
        <w:t>aa) of the Act;</w:t>
      </w:r>
    </w:p>
    <w:p w14:paraId="16AF0864" w14:textId="77777777" w:rsidR="008817AB" w:rsidRPr="00905782" w:rsidRDefault="00A073A3">
      <w:pPr>
        <w:pStyle w:val="Dotpoint1"/>
      </w:pPr>
      <w:r w:rsidRPr="00905782">
        <w:t>notifying the RBA of c</w:t>
      </w:r>
      <w:r w:rsidR="00682749" w:rsidRPr="00905782">
        <w:t>ertain matters</w:t>
      </w:r>
      <w:r w:rsidR="00FA141E" w:rsidRPr="00905782">
        <w:t xml:space="preserve">; and </w:t>
      </w:r>
      <w:r w:rsidR="00682749" w:rsidRPr="00905782">
        <w:t xml:space="preserve"> </w:t>
      </w:r>
    </w:p>
    <w:p w14:paraId="74ADE1D9" w14:textId="4F13F680" w:rsidR="00212571" w:rsidRPr="00905782" w:rsidRDefault="00682749" w:rsidP="00BD58ED">
      <w:pPr>
        <w:pStyle w:val="Dotpoint1"/>
      </w:pPr>
      <w:proofErr w:type="gramStart"/>
      <w:r w:rsidRPr="00905782">
        <w:t>providing assistance to</w:t>
      </w:r>
      <w:proofErr w:type="gramEnd"/>
      <w:r w:rsidRPr="00905782">
        <w:t xml:space="preserve"> the RBA</w:t>
      </w:r>
      <w:r w:rsidR="00FA141E" w:rsidRPr="00905782">
        <w:t>.</w:t>
      </w:r>
      <w:r w:rsidRPr="00905782">
        <w:t xml:space="preserve"> </w:t>
      </w:r>
      <w:r w:rsidR="00FA141E" w:rsidRPr="00905782">
        <w:br/>
      </w:r>
      <w:r w:rsidR="00FA141E" w:rsidRPr="00905782">
        <w:rPr>
          <w:rStyle w:val="References"/>
        </w:rPr>
        <w:t>[</w:t>
      </w:r>
      <w:r w:rsidR="00A93424" w:rsidRPr="00905782">
        <w:rPr>
          <w:rStyle w:val="References"/>
        </w:rPr>
        <w:t xml:space="preserve">Schedule </w:t>
      </w:r>
      <w:r w:rsidR="007D7048" w:rsidRPr="00905782">
        <w:rPr>
          <w:rStyle w:val="References"/>
        </w:rPr>
        <w:t>3</w:t>
      </w:r>
      <w:r w:rsidR="003255FD" w:rsidRPr="00D10880">
        <w:rPr>
          <w:rStyle w:val="References"/>
        </w:rPr>
        <w:t>,</w:t>
      </w:r>
      <w:r w:rsidR="00692E3E" w:rsidRPr="00D10880">
        <w:rPr>
          <w:rStyle w:val="References"/>
        </w:rPr>
        <w:t xml:space="preserve"> </w:t>
      </w:r>
      <w:r w:rsidR="00FA141E" w:rsidRPr="00905782">
        <w:rPr>
          <w:rStyle w:val="References"/>
        </w:rPr>
        <w:t xml:space="preserve">item </w:t>
      </w:r>
      <w:r w:rsidR="008817AB" w:rsidRPr="00905782">
        <w:rPr>
          <w:rStyle w:val="References"/>
        </w:rPr>
        <w:t>7</w:t>
      </w:r>
      <w:r w:rsidR="009D6223" w:rsidRPr="00D10880">
        <w:rPr>
          <w:rStyle w:val="References"/>
        </w:rPr>
        <w:t>8</w:t>
      </w:r>
      <w:r w:rsidR="00FA141E" w:rsidRPr="00905782">
        <w:rPr>
          <w:rStyle w:val="References"/>
        </w:rPr>
        <w:t xml:space="preserve">, </w:t>
      </w:r>
      <w:r w:rsidRPr="00905782">
        <w:rPr>
          <w:rStyle w:val="References"/>
        </w:rPr>
        <w:t>section 82</w:t>
      </w:r>
      <w:r w:rsidR="008817AB" w:rsidRPr="00905782">
        <w:rPr>
          <w:rStyle w:val="References"/>
        </w:rPr>
        <w:t>0</w:t>
      </w:r>
      <w:r w:rsidRPr="00905782">
        <w:rPr>
          <w:rStyle w:val="References"/>
        </w:rPr>
        <w:t>C</w:t>
      </w:r>
      <w:r w:rsidR="008817AB" w:rsidRPr="00905782">
        <w:rPr>
          <w:rStyle w:val="References"/>
        </w:rPr>
        <w:t>A</w:t>
      </w:r>
      <w:r w:rsidRPr="00905782">
        <w:rPr>
          <w:rStyle w:val="References"/>
        </w:rPr>
        <w:t xml:space="preserve"> of the Act</w:t>
      </w:r>
      <w:r w:rsidR="00FA141E" w:rsidRPr="00905782">
        <w:rPr>
          <w:rStyle w:val="References"/>
        </w:rPr>
        <w:t>]</w:t>
      </w:r>
      <w:r w:rsidR="00212571" w:rsidRPr="00905782">
        <w:t xml:space="preserve"> </w:t>
      </w:r>
    </w:p>
    <w:p w14:paraId="117BF436" w14:textId="77777777" w:rsidR="00550F01" w:rsidRDefault="00550F01" w:rsidP="00550F01">
      <w:pPr>
        <w:pStyle w:val="Heading4"/>
        <w:numPr>
          <w:ilvl w:val="3"/>
          <w:numId w:val="2"/>
        </w:numPr>
      </w:pPr>
      <w:r>
        <w:t>Compensation arrangements and security exchanges</w:t>
      </w:r>
    </w:p>
    <w:p w14:paraId="5B546C18" w14:textId="14E36185" w:rsidR="00550F01" w:rsidRPr="00EF523F" w:rsidRDefault="00550F01" w:rsidP="00D85BF1">
      <w:pPr>
        <w:pStyle w:val="Normalparatextwithnumbers"/>
      </w:pPr>
      <w:r>
        <w:t>Ope</w:t>
      </w:r>
      <w:r w:rsidRPr="00EF523F">
        <w:t>rational decisions in relation to the approval of compensation arrangements and changes to the Securities Exchange Guarantee Corporatio</w:t>
      </w:r>
      <w:r w:rsidR="00EF523F" w:rsidRPr="00D10880">
        <w:t>n</w:t>
      </w:r>
      <w:r w:rsidRPr="00EF523F">
        <w:t xml:space="preserve">, have been transferred to ASIC. This transfer of power increases certainty for market operators, the </w:t>
      </w:r>
      <w:r w:rsidR="00EF523F" w:rsidRPr="00D10880">
        <w:t>Securities Exchange Guarantee Corporation</w:t>
      </w:r>
      <w:r w:rsidRPr="00EF523F">
        <w:t>, and other stakeholders, whilst ensuring the timeliness and efficiency of the operation of compensation arrangements</w:t>
      </w:r>
    </w:p>
    <w:p w14:paraId="010BF318" w14:textId="270B56DE" w:rsidR="00550F01" w:rsidRPr="00EF523F" w:rsidRDefault="00550F01" w:rsidP="00D85BF1">
      <w:pPr>
        <w:pStyle w:val="Normalparatextwithnumbers"/>
      </w:pPr>
      <w:r w:rsidRPr="00EF523F">
        <w:t xml:space="preserve">Compensation arrangements are provided by the National Guarantee Fund for members of the </w:t>
      </w:r>
      <w:r w:rsidR="00EF523F" w:rsidRPr="00D10880">
        <w:t>Securities Exchange Guarantee Corporation</w:t>
      </w:r>
      <w:r w:rsidRPr="00EF523F">
        <w:t xml:space="preserve">, or through other compensation schemes approved by the Minister for market operators that are not members of the </w:t>
      </w:r>
      <w:r w:rsidR="00EF523F" w:rsidRPr="00D10880">
        <w:t xml:space="preserve">Securities Exchange Guarantee </w:t>
      </w:r>
      <w:proofErr w:type="gramStart"/>
      <w:r w:rsidR="00EF523F" w:rsidRPr="00D10880">
        <w:t>Corporation</w:t>
      </w:r>
      <w:proofErr w:type="gramEnd"/>
      <w:r w:rsidR="00EF523F" w:rsidRPr="00D10880">
        <w:t xml:space="preserve"> </w:t>
      </w:r>
      <w:r w:rsidRPr="00EF523F">
        <w:t xml:space="preserve">and which are required to have compensation arrangements. ASIC will be permanently transferred any Ministerial powers that were delegated under the Ministerial delegation, </w:t>
      </w:r>
      <w:r w:rsidR="00E50942" w:rsidRPr="00EF523F">
        <w:t xml:space="preserve">and </w:t>
      </w:r>
      <w:r w:rsidRPr="00EF523F">
        <w:t xml:space="preserve">the Minister will retain power </w:t>
      </w:r>
      <w:proofErr w:type="gramStart"/>
      <w:r w:rsidRPr="00EF523F">
        <w:t>over compensation</w:t>
      </w:r>
      <w:proofErr w:type="gramEnd"/>
      <w:r w:rsidRPr="00EF523F">
        <w:t xml:space="preserve"> regimes that were not delegated to ASIC.</w:t>
      </w:r>
    </w:p>
    <w:p w14:paraId="42799EF5" w14:textId="77777777" w:rsidR="00550F01" w:rsidRDefault="00550F01" w:rsidP="00D85BF1">
      <w:pPr>
        <w:pStyle w:val="Normalparatextwithnumbers"/>
      </w:pPr>
      <w:r w:rsidRPr="00EF523F">
        <w:t>ASIC has the following direct powers in relation</w:t>
      </w:r>
      <w:r>
        <w:t xml:space="preserve"> to </w:t>
      </w:r>
      <w:r w:rsidRPr="00534F63">
        <w:t>compensation arrangements</w:t>
      </w:r>
      <w:r>
        <w:t>:</w:t>
      </w:r>
    </w:p>
    <w:p w14:paraId="33B8477A" w14:textId="005A9FE2" w:rsidR="00C75099" w:rsidRPr="000A3BF4" w:rsidRDefault="00C75099" w:rsidP="00BD58ED">
      <w:pPr>
        <w:pStyle w:val="Dotpoint1"/>
        <w:rPr>
          <w:rStyle w:val="References"/>
        </w:rPr>
      </w:pPr>
      <w:r w:rsidRPr="00E6440F">
        <w:lastRenderedPageBreak/>
        <w:t>consider</w:t>
      </w:r>
      <w:r w:rsidR="00E50942">
        <w:t>ing</w:t>
      </w:r>
      <w:r w:rsidRPr="00E6440F">
        <w:t xml:space="preserve"> whether a market </w:t>
      </w:r>
      <w:r>
        <w:t xml:space="preserve">is </w:t>
      </w:r>
      <w:r w:rsidRPr="00E6440F">
        <w:t>covered by Division 4 of Part 7.5 of the Act</w:t>
      </w:r>
      <w:r>
        <w:t xml:space="preserve">; </w:t>
      </w:r>
      <w:r>
        <w:br/>
      </w:r>
      <w:r w:rsidRPr="000A3BF4">
        <w:rPr>
          <w:rStyle w:val="References"/>
        </w:rPr>
        <w:t>[</w:t>
      </w:r>
      <w:r w:rsidR="00A93424">
        <w:rPr>
          <w:rStyle w:val="References"/>
        </w:rPr>
        <w:t xml:space="preserve">Schedule </w:t>
      </w:r>
      <w:r w:rsidR="007445DD">
        <w:rPr>
          <w:rStyle w:val="References"/>
        </w:rPr>
        <w:t>2</w:t>
      </w:r>
      <w:r w:rsidRPr="000A3BF4">
        <w:rPr>
          <w:rStyle w:val="References"/>
        </w:rPr>
        <w:t>, item</w:t>
      </w:r>
      <w:r w:rsidR="00C24AA9">
        <w:rPr>
          <w:rStyle w:val="References"/>
        </w:rPr>
        <w:t xml:space="preserve">s </w:t>
      </w:r>
      <w:r w:rsidR="007445DD">
        <w:rPr>
          <w:rStyle w:val="References"/>
        </w:rPr>
        <w:t>145 to 14</w:t>
      </w:r>
      <w:r w:rsidR="00FF00F1">
        <w:rPr>
          <w:rStyle w:val="References"/>
        </w:rPr>
        <w:t>6</w:t>
      </w:r>
      <w:r w:rsidRPr="000A3BF4">
        <w:rPr>
          <w:rStyle w:val="References"/>
        </w:rPr>
        <w:t>, section 881D of the Act]</w:t>
      </w:r>
    </w:p>
    <w:p w14:paraId="4ED40288" w14:textId="404D805F" w:rsidR="00550F01" w:rsidRPr="00E6440F" w:rsidRDefault="00550F01" w:rsidP="00BD58ED">
      <w:pPr>
        <w:pStyle w:val="Dotpoint1"/>
      </w:pPr>
      <w:r w:rsidRPr="00E6440F">
        <w:t>approv</w:t>
      </w:r>
      <w:r>
        <w:t>ing</w:t>
      </w:r>
      <w:r w:rsidRPr="00E6440F">
        <w:t xml:space="preserve"> compensation </w:t>
      </w:r>
      <w:r w:rsidR="00E462A5">
        <w:t xml:space="preserve">arrangements </w:t>
      </w:r>
      <w:r w:rsidRPr="00E6440F">
        <w:t>with or after a grant of a licence</w:t>
      </w:r>
      <w:r>
        <w:t xml:space="preserve">; </w:t>
      </w:r>
      <w:r w:rsidRPr="00E6440F">
        <w:t xml:space="preserve"> </w:t>
      </w:r>
      <w:r>
        <w:br/>
      </w:r>
      <w:r w:rsidRPr="00F51D84">
        <w:rPr>
          <w:rStyle w:val="References"/>
        </w:rPr>
        <w:t>[</w:t>
      </w:r>
      <w:r w:rsidR="00A93424">
        <w:rPr>
          <w:rStyle w:val="References"/>
        </w:rPr>
        <w:t xml:space="preserve">Schedule </w:t>
      </w:r>
      <w:r w:rsidR="00C46566">
        <w:rPr>
          <w:rStyle w:val="References"/>
        </w:rPr>
        <w:t>3</w:t>
      </w:r>
      <w:r w:rsidRPr="00F51D84">
        <w:rPr>
          <w:rStyle w:val="References"/>
        </w:rPr>
        <w:t>, items 1</w:t>
      </w:r>
      <w:r w:rsidR="00930A66">
        <w:rPr>
          <w:rStyle w:val="References"/>
        </w:rPr>
        <w:t>47</w:t>
      </w:r>
      <w:r w:rsidRPr="00F51D84">
        <w:rPr>
          <w:rStyle w:val="References"/>
        </w:rPr>
        <w:t xml:space="preserve"> to 1</w:t>
      </w:r>
      <w:r w:rsidR="00C01C56">
        <w:rPr>
          <w:rStyle w:val="References"/>
        </w:rPr>
        <w:t>50</w:t>
      </w:r>
      <w:r w:rsidRPr="00F51D84">
        <w:rPr>
          <w:rStyle w:val="References"/>
        </w:rPr>
        <w:t xml:space="preserve">, section 882A </w:t>
      </w:r>
      <w:r w:rsidR="00325952">
        <w:rPr>
          <w:rStyle w:val="References"/>
        </w:rPr>
        <w:t>and</w:t>
      </w:r>
      <w:r w:rsidRPr="00F51D84">
        <w:rPr>
          <w:rStyle w:val="References"/>
        </w:rPr>
        <w:t xml:space="preserve"> 882B of the Act]</w:t>
      </w:r>
    </w:p>
    <w:p w14:paraId="2F679946" w14:textId="2BFC5E79" w:rsidR="00C608FD" w:rsidRDefault="00550F01" w:rsidP="00C608FD">
      <w:pPr>
        <w:pStyle w:val="Dotpoint1"/>
      </w:pPr>
      <w:r w:rsidRPr="00E6440F">
        <w:t>revok</w:t>
      </w:r>
      <w:r>
        <w:t>ing</w:t>
      </w:r>
      <w:r w:rsidRPr="00E6440F">
        <w:t xml:space="preserve"> an approval of compensation arrangements</w:t>
      </w:r>
      <w:r>
        <w:t>;</w:t>
      </w:r>
      <w:r w:rsidRPr="00E6440F">
        <w:t xml:space="preserve"> </w:t>
      </w:r>
      <w:r>
        <w:br/>
      </w:r>
      <w:r>
        <w:rPr>
          <w:rStyle w:val="References"/>
        </w:rPr>
        <w:t>[</w:t>
      </w:r>
      <w:r w:rsidR="00A93424">
        <w:rPr>
          <w:rStyle w:val="References"/>
        </w:rPr>
        <w:t xml:space="preserve">Schedule </w:t>
      </w:r>
      <w:r w:rsidR="00DF28C3">
        <w:rPr>
          <w:rStyle w:val="References"/>
        </w:rPr>
        <w:t>3</w:t>
      </w:r>
      <w:r>
        <w:rPr>
          <w:rStyle w:val="References"/>
        </w:rPr>
        <w:t>, item 1</w:t>
      </w:r>
      <w:r w:rsidR="00DF28C3">
        <w:rPr>
          <w:rStyle w:val="References"/>
        </w:rPr>
        <w:t>51</w:t>
      </w:r>
      <w:r>
        <w:rPr>
          <w:rStyle w:val="References"/>
        </w:rPr>
        <w:t xml:space="preserve">, </w:t>
      </w:r>
      <w:r w:rsidRPr="000A3BF4">
        <w:rPr>
          <w:rStyle w:val="References"/>
        </w:rPr>
        <w:t>section 882C of the Act</w:t>
      </w:r>
      <w:r>
        <w:rPr>
          <w:rStyle w:val="References"/>
        </w:rPr>
        <w:t>]</w:t>
      </w:r>
      <w:r w:rsidR="00C608FD" w:rsidRPr="00C608FD">
        <w:t xml:space="preserve"> </w:t>
      </w:r>
    </w:p>
    <w:p w14:paraId="3769CE87" w14:textId="134347D5" w:rsidR="00C608FD" w:rsidRDefault="00C608FD" w:rsidP="00C608FD">
      <w:pPr>
        <w:pStyle w:val="Dotpoint1"/>
      </w:pPr>
      <w:r>
        <w:t xml:space="preserve">treat the application as approval of the compensation arrangements and </w:t>
      </w:r>
      <w:r w:rsidR="008F5772">
        <w:t xml:space="preserve">consider </w:t>
      </w:r>
      <w:r>
        <w:t xml:space="preserve">whether the arrangements are adequate if an application contains details about the proposed compensation arrangements; </w:t>
      </w:r>
      <w:r>
        <w:br/>
      </w:r>
      <w:r w:rsidRPr="00325952">
        <w:rPr>
          <w:rStyle w:val="References"/>
        </w:rPr>
        <w:t>[</w:t>
      </w:r>
      <w:r>
        <w:rPr>
          <w:rStyle w:val="References"/>
        </w:rPr>
        <w:t xml:space="preserve">Schedule </w:t>
      </w:r>
      <w:r w:rsidR="005E5147">
        <w:rPr>
          <w:rStyle w:val="References"/>
        </w:rPr>
        <w:t>3</w:t>
      </w:r>
      <w:r w:rsidRPr="00325952">
        <w:rPr>
          <w:rStyle w:val="References"/>
        </w:rPr>
        <w:t>, item 1</w:t>
      </w:r>
      <w:r w:rsidR="007E4440">
        <w:rPr>
          <w:rStyle w:val="References"/>
        </w:rPr>
        <w:t>44</w:t>
      </w:r>
      <w:r w:rsidRPr="00325952">
        <w:rPr>
          <w:rStyle w:val="References"/>
        </w:rPr>
        <w:t>, section 88</w:t>
      </w:r>
      <w:r>
        <w:rPr>
          <w:rStyle w:val="References"/>
        </w:rPr>
        <w:t>1C</w:t>
      </w:r>
      <w:r w:rsidRPr="00325952">
        <w:rPr>
          <w:rStyle w:val="References"/>
        </w:rPr>
        <w:t xml:space="preserve"> of the Act]</w:t>
      </w:r>
    </w:p>
    <w:p w14:paraId="4F4727A0" w14:textId="0DFDBCE5" w:rsidR="00550F01" w:rsidRPr="00E6440F" w:rsidRDefault="00550F01" w:rsidP="00BD58ED">
      <w:pPr>
        <w:pStyle w:val="Dotpoint1"/>
      </w:pPr>
      <w:r w:rsidRPr="00E6440F">
        <w:t>approv</w:t>
      </w:r>
      <w:r>
        <w:t>ing</w:t>
      </w:r>
      <w:r w:rsidRPr="00E6440F">
        <w:t xml:space="preserve"> changes to compensation arrangements</w:t>
      </w:r>
      <w:r>
        <w:t>;</w:t>
      </w:r>
      <w:r w:rsidRPr="00E6440F">
        <w:t xml:space="preserve"> </w:t>
      </w:r>
      <w:r>
        <w:br/>
      </w:r>
      <w:r w:rsidRPr="000A3BF4">
        <w:rPr>
          <w:rStyle w:val="References"/>
        </w:rPr>
        <w:t>[</w:t>
      </w:r>
      <w:r w:rsidR="00A93424">
        <w:rPr>
          <w:rStyle w:val="References"/>
        </w:rPr>
        <w:t xml:space="preserve">Schedule </w:t>
      </w:r>
      <w:r w:rsidR="005E5147">
        <w:rPr>
          <w:rStyle w:val="References"/>
        </w:rPr>
        <w:t>3</w:t>
      </w:r>
      <w:r w:rsidRPr="000A3BF4">
        <w:rPr>
          <w:rStyle w:val="References"/>
        </w:rPr>
        <w:t>, item</w:t>
      </w:r>
      <w:r w:rsidR="005E5147">
        <w:rPr>
          <w:rStyle w:val="References"/>
        </w:rPr>
        <w:t>s</w:t>
      </w:r>
      <w:r w:rsidRPr="000A3BF4">
        <w:rPr>
          <w:rStyle w:val="References"/>
        </w:rPr>
        <w:t xml:space="preserve"> 15</w:t>
      </w:r>
      <w:r w:rsidR="00B87DB7">
        <w:rPr>
          <w:rStyle w:val="References"/>
        </w:rPr>
        <w:t>9</w:t>
      </w:r>
      <w:r w:rsidR="005E5147">
        <w:rPr>
          <w:rStyle w:val="References"/>
        </w:rPr>
        <w:t xml:space="preserve"> to</w:t>
      </w:r>
      <w:r w:rsidR="00B87DB7">
        <w:rPr>
          <w:rStyle w:val="References"/>
        </w:rPr>
        <w:t xml:space="preserve"> 161</w:t>
      </w:r>
      <w:r w:rsidRPr="000A3BF4">
        <w:rPr>
          <w:rStyle w:val="References"/>
        </w:rPr>
        <w:t>, subsections 884C of the Act]</w:t>
      </w:r>
    </w:p>
    <w:p w14:paraId="77C7F6B8" w14:textId="0FC3862D" w:rsidR="00550F01" w:rsidRPr="00E6440F" w:rsidRDefault="00550F01" w:rsidP="00BD58ED">
      <w:pPr>
        <w:pStyle w:val="Dotpoint1"/>
      </w:pPr>
      <w:r w:rsidRPr="00E6440F">
        <w:t>requir</w:t>
      </w:r>
      <w:r>
        <w:t>ing</w:t>
      </w:r>
      <w:r w:rsidRPr="00E6440F">
        <w:t xml:space="preserve"> compensation arrangements to be adequate</w:t>
      </w:r>
      <w:r>
        <w:t xml:space="preserve">; </w:t>
      </w:r>
      <w:r w:rsidRPr="00E6440F">
        <w:t xml:space="preserve"> </w:t>
      </w:r>
      <w:r>
        <w:br/>
      </w:r>
      <w:r w:rsidRPr="000A3BF4">
        <w:rPr>
          <w:rStyle w:val="References"/>
        </w:rPr>
        <w:t>[</w:t>
      </w:r>
      <w:r w:rsidR="00A93424">
        <w:rPr>
          <w:rStyle w:val="References"/>
        </w:rPr>
        <w:t xml:space="preserve">Schedule </w:t>
      </w:r>
      <w:r w:rsidR="0067662B">
        <w:rPr>
          <w:rStyle w:val="References"/>
        </w:rPr>
        <w:t>3</w:t>
      </w:r>
      <w:r w:rsidRPr="000A3BF4">
        <w:rPr>
          <w:rStyle w:val="References"/>
        </w:rPr>
        <w:t>, item 1</w:t>
      </w:r>
      <w:r w:rsidR="00A52C41">
        <w:rPr>
          <w:rStyle w:val="References"/>
        </w:rPr>
        <w:t>62</w:t>
      </w:r>
      <w:r w:rsidRPr="000A3BF4">
        <w:rPr>
          <w:rStyle w:val="References"/>
        </w:rPr>
        <w:t>, subsection 885</w:t>
      </w:r>
      <w:proofErr w:type="gramStart"/>
      <w:r w:rsidRPr="000A3BF4">
        <w:rPr>
          <w:rStyle w:val="References"/>
        </w:rPr>
        <w:t>B(</w:t>
      </w:r>
      <w:proofErr w:type="gramEnd"/>
      <w:r w:rsidRPr="000A3BF4">
        <w:rPr>
          <w:rStyle w:val="References"/>
        </w:rPr>
        <w:t>1)</w:t>
      </w:r>
      <w:r w:rsidR="00A52C41">
        <w:rPr>
          <w:rStyle w:val="References"/>
        </w:rPr>
        <w:t xml:space="preserve"> and </w:t>
      </w:r>
      <w:r w:rsidRPr="000A3BF4">
        <w:rPr>
          <w:rStyle w:val="References"/>
        </w:rPr>
        <w:t>(2) of the Act]</w:t>
      </w:r>
    </w:p>
    <w:p w14:paraId="7C5B09F9" w14:textId="5CB66F7E" w:rsidR="00C75099" w:rsidRDefault="00BA5F92" w:rsidP="00BD58ED">
      <w:pPr>
        <w:pStyle w:val="Dotpoint1"/>
      </w:pPr>
      <w:r>
        <w:t xml:space="preserve">determining the </w:t>
      </w:r>
      <w:r w:rsidR="00550F01" w:rsidRPr="00E6440F">
        <w:t>adequacy of compensation arrangements</w:t>
      </w:r>
      <w:r w:rsidR="00550F01">
        <w:t xml:space="preserve">; </w:t>
      </w:r>
      <w:r w:rsidR="00497C45">
        <w:t>and</w:t>
      </w:r>
      <w:r w:rsidR="00550F01">
        <w:br/>
      </w:r>
      <w:r w:rsidR="00550F01" w:rsidRPr="000A3BF4">
        <w:rPr>
          <w:rStyle w:val="References"/>
        </w:rPr>
        <w:t>[</w:t>
      </w:r>
      <w:r w:rsidR="00A93424">
        <w:rPr>
          <w:rStyle w:val="References"/>
        </w:rPr>
        <w:t xml:space="preserve">Schedule </w:t>
      </w:r>
      <w:r w:rsidR="0067662B">
        <w:rPr>
          <w:rStyle w:val="References"/>
        </w:rPr>
        <w:t>3</w:t>
      </w:r>
      <w:r w:rsidR="00550F01" w:rsidRPr="000A3BF4">
        <w:rPr>
          <w:rStyle w:val="References"/>
        </w:rPr>
        <w:t>, item 1</w:t>
      </w:r>
      <w:r w:rsidR="0067662B">
        <w:rPr>
          <w:rStyle w:val="References"/>
        </w:rPr>
        <w:t xml:space="preserve">63 to </w:t>
      </w:r>
      <w:r w:rsidR="00550F01" w:rsidRPr="000A3BF4">
        <w:rPr>
          <w:rStyle w:val="References"/>
        </w:rPr>
        <w:t>1</w:t>
      </w:r>
      <w:r w:rsidR="0067662B">
        <w:rPr>
          <w:rStyle w:val="References"/>
        </w:rPr>
        <w:t>65</w:t>
      </w:r>
      <w:r w:rsidR="00550F01" w:rsidRPr="000A3BF4">
        <w:rPr>
          <w:rStyle w:val="References"/>
        </w:rPr>
        <w:t>, subsections 885</w:t>
      </w:r>
      <w:proofErr w:type="gramStart"/>
      <w:r w:rsidR="00550F01" w:rsidRPr="000A3BF4">
        <w:rPr>
          <w:rStyle w:val="References"/>
        </w:rPr>
        <w:t>C(</w:t>
      </w:r>
      <w:proofErr w:type="gramEnd"/>
      <w:r w:rsidR="00550F01" w:rsidRPr="000A3BF4">
        <w:rPr>
          <w:rStyle w:val="References"/>
        </w:rPr>
        <w:t>3) and 885J(1)</w:t>
      </w:r>
      <w:r w:rsidR="00325952">
        <w:rPr>
          <w:rStyle w:val="References"/>
        </w:rPr>
        <w:t>-</w:t>
      </w:r>
      <w:r w:rsidR="00550F01" w:rsidRPr="000A3BF4">
        <w:rPr>
          <w:rStyle w:val="References"/>
        </w:rPr>
        <w:t>(2) of the Act]</w:t>
      </w:r>
      <w:r w:rsidR="00C75099">
        <w:t xml:space="preserve"> </w:t>
      </w:r>
    </w:p>
    <w:p w14:paraId="3B10B81F" w14:textId="078F5D64" w:rsidR="00550F01" w:rsidRPr="00622B45" w:rsidRDefault="00550F01" w:rsidP="00BD58ED">
      <w:pPr>
        <w:pStyle w:val="Dotpoint1"/>
        <w:rPr>
          <w:rStyle w:val="References"/>
          <w:b w:val="0"/>
          <w:bCs w:val="0"/>
          <w:i w:val="0"/>
          <w:iCs w:val="0"/>
        </w:rPr>
      </w:pPr>
      <w:r w:rsidRPr="00E6440F">
        <w:t>issu</w:t>
      </w:r>
      <w:r>
        <w:t>ing</w:t>
      </w:r>
      <w:r w:rsidRPr="00E6440F">
        <w:t>, vary</w:t>
      </w:r>
      <w:r>
        <w:t>ing</w:t>
      </w:r>
      <w:r w:rsidRPr="00E6440F">
        <w:t xml:space="preserve"> or revok</w:t>
      </w:r>
      <w:r>
        <w:t>ing an</w:t>
      </w:r>
      <w:r w:rsidRPr="00E6440F">
        <w:t xml:space="preserve"> exemption from all or part of Part 7.5 </w:t>
      </w:r>
      <w:r>
        <w:br/>
      </w:r>
      <w:r w:rsidRPr="00E309DE">
        <w:rPr>
          <w:rStyle w:val="References"/>
        </w:rPr>
        <w:t>[</w:t>
      </w:r>
      <w:r w:rsidR="00A93424">
        <w:rPr>
          <w:rStyle w:val="References"/>
        </w:rPr>
        <w:t xml:space="preserve">Schedule </w:t>
      </w:r>
      <w:r w:rsidR="00DB4837">
        <w:rPr>
          <w:rStyle w:val="References"/>
        </w:rPr>
        <w:t>3</w:t>
      </w:r>
      <w:r w:rsidRPr="00E309DE">
        <w:rPr>
          <w:rStyle w:val="References"/>
        </w:rPr>
        <w:t>, item</w:t>
      </w:r>
      <w:r w:rsidR="008B74BF">
        <w:rPr>
          <w:rStyle w:val="References"/>
        </w:rPr>
        <w:t>s</w:t>
      </w:r>
      <w:r w:rsidRPr="00E309DE">
        <w:rPr>
          <w:rStyle w:val="References"/>
        </w:rPr>
        <w:t xml:space="preserve"> 1</w:t>
      </w:r>
      <w:r>
        <w:rPr>
          <w:rStyle w:val="References"/>
        </w:rPr>
        <w:t>6</w:t>
      </w:r>
      <w:r w:rsidR="00D709EB">
        <w:rPr>
          <w:rStyle w:val="References"/>
        </w:rPr>
        <w:t xml:space="preserve">8 to </w:t>
      </w:r>
      <w:r>
        <w:rPr>
          <w:rStyle w:val="References"/>
        </w:rPr>
        <w:t>1</w:t>
      </w:r>
      <w:r w:rsidR="00D709EB">
        <w:rPr>
          <w:rStyle w:val="References"/>
        </w:rPr>
        <w:t>70</w:t>
      </w:r>
      <w:r w:rsidRPr="00E309DE">
        <w:rPr>
          <w:rStyle w:val="References"/>
        </w:rPr>
        <w:t>, section 893B of the Act]</w:t>
      </w:r>
    </w:p>
    <w:p w14:paraId="0B744CC4" w14:textId="30F6A8D6" w:rsidR="00550F01" w:rsidRPr="00703EBF" w:rsidRDefault="00550F01" w:rsidP="00125C2C">
      <w:pPr>
        <w:pStyle w:val="Normalparatextwithnumbers"/>
        <w:rPr>
          <w:rStyle w:val="References"/>
          <w:b w:val="0"/>
          <w:bCs w:val="0"/>
          <w:i w:val="0"/>
          <w:iCs w:val="0"/>
        </w:rPr>
      </w:pPr>
      <w:r w:rsidRPr="00703EBF">
        <w:rPr>
          <w:rStyle w:val="References"/>
          <w:b w:val="0"/>
          <w:bCs w:val="0"/>
          <w:i w:val="0"/>
          <w:iCs w:val="0"/>
        </w:rPr>
        <w:t xml:space="preserve">ASIC may request a risk assessment report from the operator of a financial market. </w:t>
      </w:r>
      <w:r w:rsidRPr="00703EBF">
        <w:rPr>
          <w:rStyle w:val="References"/>
          <w:b w:val="0"/>
          <w:bCs w:val="0"/>
          <w:i w:val="0"/>
          <w:iCs w:val="0"/>
        </w:rPr>
        <w:br/>
      </w:r>
      <w:r w:rsidRPr="005474D9">
        <w:rPr>
          <w:rStyle w:val="References"/>
        </w:rPr>
        <w:t>[</w:t>
      </w:r>
      <w:r w:rsidR="00A93424">
        <w:rPr>
          <w:rStyle w:val="References"/>
        </w:rPr>
        <w:t xml:space="preserve">Schedule </w:t>
      </w:r>
      <w:r w:rsidR="004E485C">
        <w:rPr>
          <w:rStyle w:val="References"/>
        </w:rPr>
        <w:t>3</w:t>
      </w:r>
      <w:r w:rsidRPr="005474D9">
        <w:rPr>
          <w:rStyle w:val="References"/>
        </w:rPr>
        <w:t xml:space="preserve">, item </w:t>
      </w:r>
      <w:r>
        <w:rPr>
          <w:rStyle w:val="References"/>
        </w:rPr>
        <w:t>16</w:t>
      </w:r>
      <w:r w:rsidR="00FA2D47">
        <w:rPr>
          <w:rStyle w:val="References"/>
        </w:rPr>
        <w:t>7</w:t>
      </w:r>
      <w:r w:rsidRPr="005474D9">
        <w:rPr>
          <w:rStyle w:val="References"/>
        </w:rPr>
        <w:t>, section 892K of the Act]</w:t>
      </w:r>
    </w:p>
    <w:p w14:paraId="32E4F220" w14:textId="538EEA8A" w:rsidR="00FA141E" w:rsidRDefault="00D839C7" w:rsidP="00550F01">
      <w:pPr>
        <w:pStyle w:val="Heading4"/>
      </w:pPr>
      <w:r>
        <w:t xml:space="preserve">Publication of </w:t>
      </w:r>
      <w:r w:rsidR="00FA141E">
        <w:t>licen</w:t>
      </w:r>
      <w:r w:rsidR="00F74102">
        <w:t>c</w:t>
      </w:r>
      <w:r w:rsidR="00FA141E">
        <w:t>e</w:t>
      </w:r>
      <w:r w:rsidR="00FD02DF">
        <w:t>s</w:t>
      </w:r>
      <w:r w:rsidR="00550F01">
        <w:t xml:space="preserve"> </w:t>
      </w:r>
    </w:p>
    <w:p w14:paraId="0722A9B5" w14:textId="77777777" w:rsidR="00141D51" w:rsidRDefault="00764597" w:rsidP="00125C2C">
      <w:pPr>
        <w:pStyle w:val="Normalparatextwithnumbers"/>
      </w:pPr>
      <w:r>
        <w:t>The former requirement to publish notifications of a licen</w:t>
      </w:r>
      <w:r w:rsidR="00F74102">
        <w:t>c</w:t>
      </w:r>
      <w:r>
        <w:t xml:space="preserve">e on the Gazette </w:t>
      </w:r>
      <w:r w:rsidR="00D839C7">
        <w:t>is</w:t>
      </w:r>
      <w:r>
        <w:t xml:space="preserve"> updated </w:t>
      </w:r>
      <w:r w:rsidR="00D839C7">
        <w:t xml:space="preserve">to </w:t>
      </w:r>
      <w:r w:rsidR="00141D51">
        <w:t xml:space="preserve">ASIC’s website to </w:t>
      </w:r>
      <w:r w:rsidR="00D839C7">
        <w:t>reflect ASIC’s licensing powers in respect of financial markets</w:t>
      </w:r>
      <w:r w:rsidR="00141D51">
        <w:t xml:space="preserve"> and CS facilities</w:t>
      </w:r>
      <w:r w:rsidR="00D839C7">
        <w:t xml:space="preserve">. </w:t>
      </w:r>
    </w:p>
    <w:p w14:paraId="159D24F1" w14:textId="5E631302" w:rsidR="00FA141E" w:rsidRPr="00FA141E" w:rsidRDefault="00141D51" w:rsidP="00125C2C">
      <w:pPr>
        <w:pStyle w:val="Normalparatextwithnumbers"/>
      </w:pPr>
      <w:r>
        <w:t>T</w:t>
      </w:r>
      <w:r w:rsidR="00D839C7">
        <w:t>he</w:t>
      </w:r>
      <w:r w:rsidR="00764597">
        <w:t xml:space="preserve"> following licensing notifications </w:t>
      </w:r>
      <w:r>
        <w:t xml:space="preserve">must be published </w:t>
      </w:r>
      <w:r w:rsidR="00764597">
        <w:t>on ASIC’s website:</w:t>
      </w:r>
    </w:p>
    <w:p w14:paraId="7052AB0A" w14:textId="0FE08DE9" w:rsidR="00FA141E" w:rsidRDefault="007A27B8" w:rsidP="00BD58ED">
      <w:pPr>
        <w:pStyle w:val="Dotpoint1"/>
      </w:pPr>
      <w:r>
        <w:t>varying or revoking</w:t>
      </w:r>
      <w:r w:rsidR="00FA141E">
        <w:t xml:space="preserve"> a</w:t>
      </w:r>
      <w:r w:rsidR="00764597">
        <w:t>n exemption of a</w:t>
      </w:r>
      <w:r w:rsidR="00FA141E">
        <w:t xml:space="preserve"> financial market</w:t>
      </w:r>
      <w:r w:rsidR="008B74BF">
        <w:t xml:space="preserve"> (including exemptions to compensation regimes under Part 7.5)</w:t>
      </w:r>
      <w:r w:rsidR="00764597">
        <w:t xml:space="preserve">; </w:t>
      </w:r>
      <w:r w:rsidR="00FA141E">
        <w:br/>
      </w:r>
      <w:r w:rsidR="00FA141E" w:rsidRPr="00CC251C">
        <w:rPr>
          <w:rStyle w:val="References"/>
        </w:rPr>
        <w:t xml:space="preserve">[Schedule </w:t>
      </w:r>
      <w:r w:rsidR="008E3D89">
        <w:rPr>
          <w:rStyle w:val="References"/>
        </w:rPr>
        <w:t>3</w:t>
      </w:r>
      <w:r w:rsidR="00FA141E" w:rsidRPr="00CC251C">
        <w:rPr>
          <w:rStyle w:val="References"/>
        </w:rPr>
        <w:t xml:space="preserve">, </w:t>
      </w:r>
      <w:r w:rsidR="00AA61F9">
        <w:rPr>
          <w:rStyle w:val="References"/>
        </w:rPr>
        <w:t>item</w:t>
      </w:r>
      <w:r w:rsidR="00E43861">
        <w:rPr>
          <w:rStyle w:val="References"/>
        </w:rPr>
        <w:t>s</w:t>
      </w:r>
      <w:r w:rsidR="00AA61F9">
        <w:rPr>
          <w:rStyle w:val="References"/>
        </w:rPr>
        <w:t xml:space="preserve"> 4</w:t>
      </w:r>
      <w:r w:rsidR="008B74BF">
        <w:rPr>
          <w:rStyle w:val="References"/>
        </w:rPr>
        <w:t xml:space="preserve">, </w:t>
      </w:r>
      <w:r w:rsidR="00ED1E11">
        <w:rPr>
          <w:rStyle w:val="References"/>
        </w:rPr>
        <w:t>72</w:t>
      </w:r>
      <w:r w:rsidR="008B74BF">
        <w:rPr>
          <w:rStyle w:val="References"/>
        </w:rPr>
        <w:t xml:space="preserve"> and </w:t>
      </w:r>
      <w:r w:rsidR="008348DF">
        <w:rPr>
          <w:rStyle w:val="References"/>
        </w:rPr>
        <w:t>171</w:t>
      </w:r>
      <w:r w:rsidR="00AA61F9">
        <w:rPr>
          <w:rStyle w:val="References"/>
        </w:rPr>
        <w:t>, sub</w:t>
      </w:r>
      <w:r w:rsidR="00FA141E" w:rsidRPr="00CC251C">
        <w:rPr>
          <w:rStyle w:val="References"/>
        </w:rPr>
        <w:t>section</w:t>
      </w:r>
      <w:r w:rsidR="00117C4F">
        <w:rPr>
          <w:rStyle w:val="References"/>
        </w:rPr>
        <w:t>s</w:t>
      </w:r>
      <w:r w:rsidR="00FA141E" w:rsidRPr="00CC251C">
        <w:rPr>
          <w:rStyle w:val="References"/>
        </w:rPr>
        <w:t xml:space="preserve"> </w:t>
      </w:r>
      <w:r w:rsidR="00FA141E">
        <w:rPr>
          <w:rStyle w:val="References"/>
        </w:rPr>
        <w:t>791</w:t>
      </w:r>
      <w:proofErr w:type="gramStart"/>
      <w:r w:rsidR="00FA141E">
        <w:rPr>
          <w:rStyle w:val="References"/>
        </w:rPr>
        <w:t>C</w:t>
      </w:r>
      <w:r w:rsidR="00AA61F9">
        <w:rPr>
          <w:rStyle w:val="References"/>
        </w:rPr>
        <w:t>(</w:t>
      </w:r>
      <w:proofErr w:type="gramEnd"/>
      <w:r w:rsidR="00AA61F9">
        <w:rPr>
          <w:rStyle w:val="References"/>
        </w:rPr>
        <w:t>5)</w:t>
      </w:r>
      <w:r w:rsidR="008B74BF">
        <w:rPr>
          <w:rStyle w:val="References"/>
        </w:rPr>
        <w:t>,</w:t>
      </w:r>
      <w:r w:rsidR="009567BB">
        <w:rPr>
          <w:rStyle w:val="References"/>
        </w:rPr>
        <w:t xml:space="preserve"> 798M(5) </w:t>
      </w:r>
      <w:r w:rsidR="008B74BF">
        <w:rPr>
          <w:rStyle w:val="References"/>
        </w:rPr>
        <w:t>and 893B(5)</w:t>
      </w:r>
      <w:r w:rsidR="009567BB">
        <w:rPr>
          <w:rStyle w:val="References"/>
        </w:rPr>
        <w:t xml:space="preserve"> </w:t>
      </w:r>
      <w:r w:rsidR="00FA141E" w:rsidRPr="00CC251C">
        <w:rPr>
          <w:rStyle w:val="References"/>
        </w:rPr>
        <w:t>of the Act]</w:t>
      </w:r>
      <w:bookmarkStart w:id="118" w:name="_Hlk126250281"/>
      <w:r w:rsidR="00FA141E" w:rsidRPr="00FA141E">
        <w:t xml:space="preserve"> </w:t>
      </w:r>
    </w:p>
    <w:p w14:paraId="49C5E06C" w14:textId="768F4D90" w:rsidR="00B06E6A" w:rsidRPr="00AB5EC8" w:rsidRDefault="00AA61F9" w:rsidP="00BD58ED">
      <w:pPr>
        <w:pStyle w:val="Dotpoint1"/>
      </w:pPr>
      <w:r>
        <w:t>granting</w:t>
      </w:r>
      <w:r w:rsidR="00764597">
        <w:t xml:space="preserve"> </w:t>
      </w:r>
      <w:r w:rsidR="00B06E6A" w:rsidRPr="00AB5EC8">
        <w:t>a</w:t>
      </w:r>
      <w:r w:rsidR="00B06E6A">
        <w:t xml:space="preserve">n Australian </w:t>
      </w:r>
      <w:r w:rsidR="00141D51">
        <w:t>m</w:t>
      </w:r>
      <w:r w:rsidR="00B06E6A">
        <w:t>arket</w:t>
      </w:r>
      <w:r w:rsidR="00B06E6A" w:rsidRPr="00AB5EC8">
        <w:t xml:space="preserve"> </w:t>
      </w:r>
      <w:r w:rsidR="00141D51">
        <w:t>l</w:t>
      </w:r>
      <w:r w:rsidR="00B06E6A" w:rsidRPr="00AB5EC8">
        <w:t>icence</w:t>
      </w:r>
      <w:r w:rsidR="00B06E6A">
        <w:t xml:space="preserve">; </w:t>
      </w:r>
      <w:r w:rsidR="00B06E6A">
        <w:br/>
      </w:r>
      <w:r w:rsidRPr="00AA61F9">
        <w:rPr>
          <w:rStyle w:val="References"/>
        </w:rPr>
        <w:t>[</w:t>
      </w:r>
      <w:r w:rsidR="00A93424">
        <w:rPr>
          <w:rStyle w:val="References"/>
        </w:rPr>
        <w:t xml:space="preserve">Schedule </w:t>
      </w:r>
      <w:r w:rsidR="005E2CF1">
        <w:rPr>
          <w:rStyle w:val="References"/>
        </w:rPr>
        <w:t>3</w:t>
      </w:r>
      <w:r w:rsidRPr="00AA61F9">
        <w:rPr>
          <w:rStyle w:val="References"/>
        </w:rPr>
        <w:t xml:space="preserve">, item </w:t>
      </w:r>
      <w:r>
        <w:rPr>
          <w:rStyle w:val="References"/>
        </w:rPr>
        <w:t>3</w:t>
      </w:r>
      <w:r w:rsidR="007211CF">
        <w:rPr>
          <w:rStyle w:val="References"/>
        </w:rPr>
        <w:t>3</w:t>
      </w:r>
      <w:r w:rsidRPr="00AA61F9">
        <w:rPr>
          <w:rStyle w:val="References"/>
        </w:rPr>
        <w:t>,</w:t>
      </w:r>
      <w:r>
        <w:rPr>
          <w:rStyle w:val="References"/>
        </w:rPr>
        <w:t xml:space="preserve"> </w:t>
      </w:r>
      <w:r w:rsidR="00B06E6A" w:rsidRPr="00FA141E">
        <w:rPr>
          <w:rStyle w:val="References"/>
        </w:rPr>
        <w:t>section 795C of the Act</w:t>
      </w:r>
      <w:r w:rsidR="00245242">
        <w:rPr>
          <w:rStyle w:val="References"/>
        </w:rPr>
        <w:t>]</w:t>
      </w:r>
    </w:p>
    <w:p w14:paraId="1BE2ADA7" w14:textId="6B13B495" w:rsidR="00245242" w:rsidRDefault="007A27B8" w:rsidP="00BD58ED">
      <w:pPr>
        <w:pStyle w:val="Dotpoint1"/>
      </w:pPr>
      <w:r>
        <w:t>imposing, varying or revoking</w:t>
      </w:r>
      <w:r w:rsidR="00245242">
        <w:t xml:space="preserve"> conditions of an Australian </w:t>
      </w:r>
      <w:r w:rsidR="00A633D7">
        <w:t>m</w:t>
      </w:r>
      <w:r w:rsidR="00245242">
        <w:t xml:space="preserve">arket </w:t>
      </w:r>
      <w:r w:rsidR="00A633D7">
        <w:t>l</w:t>
      </w:r>
      <w:r w:rsidR="00245242">
        <w:t>icense</w:t>
      </w:r>
      <w:r w:rsidR="00A633D7">
        <w:t>;</w:t>
      </w:r>
      <w:r w:rsidR="00245242">
        <w:br/>
      </w:r>
      <w:r w:rsidR="00245242" w:rsidRPr="00245242">
        <w:rPr>
          <w:rStyle w:val="References"/>
        </w:rPr>
        <w:t>[</w:t>
      </w:r>
      <w:r w:rsidR="00A93424">
        <w:rPr>
          <w:rStyle w:val="References"/>
        </w:rPr>
        <w:t xml:space="preserve">Schedule </w:t>
      </w:r>
      <w:r w:rsidR="00A338A5">
        <w:rPr>
          <w:rStyle w:val="References"/>
        </w:rPr>
        <w:t>3</w:t>
      </w:r>
      <w:r w:rsidR="00245242" w:rsidRPr="00245242">
        <w:rPr>
          <w:rStyle w:val="References"/>
        </w:rPr>
        <w:t xml:space="preserve">, item </w:t>
      </w:r>
      <w:r w:rsidR="00245242">
        <w:rPr>
          <w:rStyle w:val="References"/>
        </w:rPr>
        <w:t>3</w:t>
      </w:r>
      <w:r w:rsidR="00A338A5">
        <w:rPr>
          <w:rStyle w:val="References"/>
        </w:rPr>
        <w:t>7</w:t>
      </w:r>
      <w:r w:rsidR="00245242" w:rsidRPr="00245242">
        <w:rPr>
          <w:rStyle w:val="References"/>
        </w:rPr>
        <w:t xml:space="preserve">, </w:t>
      </w:r>
      <w:r w:rsidR="00245242">
        <w:rPr>
          <w:rStyle w:val="References"/>
        </w:rPr>
        <w:t>sub</w:t>
      </w:r>
      <w:r w:rsidR="00245242" w:rsidRPr="00245242">
        <w:rPr>
          <w:rStyle w:val="References"/>
        </w:rPr>
        <w:t>section 796</w:t>
      </w:r>
      <w:proofErr w:type="gramStart"/>
      <w:r w:rsidR="00245242" w:rsidRPr="00245242">
        <w:rPr>
          <w:rStyle w:val="References"/>
        </w:rPr>
        <w:t>A</w:t>
      </w:r>
      <w:r w:rsidR="00245242">
        <w:rPr>
          <w:rStyle w:val="References"/>
        </w:rPr>
        <w:t>(</w:t>
      </w:r>
      <w:proofErr w:type="gramEnd"/>
      <w:r w:rsidR="00245242">
        <w:rPr>
          <w:rStyle w:val="References"/>
        </w:rPr>
        <w:t>1)</w:t>
      </w:r>
      <w:r w:rsidR="00245242" w:rsidRPr="00245242">
        <w:rPr>
          <w:rStyle w:val="References"/>
        </w:rPr>
        <w:t xml:space="preserve"> of the Act]</w:t>
      </w:r>
    </w:p>
    <w:p w14:paraId="6A3C9B0B" w14:textId="1BD553E4" w:rsidR="00DE211C" w:rsidRPr="00617BC7" w:rsidRDefault="00DD1732" w:rsidP="00BD58ED">
      <w:pPr>
        <w:pStyle w:val="Dotpoint1"/>
        <w:rPr>
          <w:rStyle w:val="References"/>
          <w:b w:val="0"/>
          <w:i w:val="0"/>
        </w:rPr>
      </w:pPr>
      <w:r>
        <w:t xml:space="preserve">publishing </w:t>
      </w:r>
      <w:r w:rsidR="00DE211C" w:rsidRPr="00AB5EC8">
        <w:t>a notice of suspension or cancellation</w:t>
      </w:r>
      <w:r w:rsidR="00DE211C">
        <w:t>;</w:t>
      </w:r>
      <w:r w:rsidR="00DE211C" w:rsidRPr="00AB5EC8">
        <w:t xml:space="preserve"> </w:t>
      </w:r>
      <w:r w:rsidR="00DE211C">
        <w:br/>
      </w:r>
      <w:r w:rsidR="00DE211C" w:rsidRPr="00DE211C">
        <w:rPr>
          <w:rStyle w:val="References"/>
        </w:rPr>
        <w:t>[</w:t>
      </w:r>
      <w:r w:rsidR="00A93424">
        <w:rPr>
          <w:rStyle w:val="References"/>
        </w:rPr>
        <w:t xml:space="preserve">Schedule </w:t>
      </w:r>
      <w:r w:rsidR="00B0704D">
        <w:rPr>
          <w:rStyle w:val="References"/>
        </w:rPr>
        <w:t>3</w:t>
      </w:r>
      <w:r w:rsidR="00DE211C" w:rsidRPr="00DE211C">
        <w:rPr>
          <w:rStyle w:val="References"/>
        </w:rPr>
        <w:t>, item</w:t>
      </w:r>
      <w:r w:rsidR="00A642AE">
        <w:rPr>
          <w:rStyle w:val="References"/>
        </w:rPr>
        <w:t>s 60 and</w:t>
      </w:r>
      <w:r w:rsidR="00DE211C">
        <w:rPr>
          <w:rStyle w:val="References"/>
        </w:rPr>
        <w:t xml:space="preserve"> </w:t>
      </w:r>
      <w:r w:rsidR="00620766">
        <w:rPr>
          <w:rStyle w:val="References"/>
        </w:rPr>
        <w:t>61</w:t>
      </w:r>
      <w:r w:rsidR="00DE211C" w:rsidRPr="00DE211C">
        <w:rPr>
          <w:rStyle w:val="References"/>
        </w:rPr>
        <w:t xml:space="preserve">, </w:t>
      </w:r>
      <w:r w:rsidR="00617BC7">
        <w:rPr>
          <w:rStyle w:val="References"/>
        </w:rPr>
        <w:t>sub</w:t>
      </w:r>
      <w:r w:rsidR="00DE211C" w:rsidRPr="00DE211C">
        <w:rPr>
          <w:rStyle w:val="References"/>
        </w:rPr>
        <w:t>section 797</w:t>
      </w:r>
      <w:proofErr w:type="gramStart"/>
      <w:r w:rsidR="00DE211C" w:rsidRPr="00DE211C">
        <w:rPr>
          <w:rStyle w:val="References"/>
        </w:rPr>
        <w:t>F</w:t>
      </w:r>
      <w:r w:rsidR="00617BC7">
        <w:rPr>
          <w:rStyle w:val="References"/>
        </w:rPr>
        <w:t>(</w:t>
      </w:r>
      <w:proofErr w:type="gramEnd"/>
      <w:r w:rsidR="00617BC7">
        <w:rPr>
          <w:rStyle w:val="References"/>
        </w:rPr>
        <w:t>1)</w:t>
      </w:r>
      <w:r w:rsidR="00DE211C" w:rsidRPr="00DE211C">
        <w:rPr>
          <w:rStyle w:val="References"/>
        </w:rPr>
        <w:t xml:space="preserve"> of the Act]</w:t>
      </w:r>
    </w:p>
    <w:p w14:paraId="669F9291" w14:textId="3A44E00E" w:rsidR="00A633D7" w:rsidRPr="00A633D7" w:rsidRDefault="008E365C">
      <w:pPr>
        <w:pStyle w:val="Dotpoint1"/>
      </w:pPr>
      <w:r>
        <w:lastRenderedPageBreak/>
        <w:t>varying or revoking</w:t>
      </w:r>
      <w:r w:rsidR="00A633D7" w:rsidRPr="00A633D7">
        <w:t xml:space="preserve"> of an exemption of a </w:t>
      </w:r>
      <w:r w:rsidR="00A633D7">
        <w:t>CS facility</w:t>
      </w:r>
      <w:r w:rsidR="00A633D7" w:rsidRPr="00A633D7">
        <w:t xml:space="preserve">; </w:t>
      </w:r>
      <w:r w:rsidR="00A633D7">
        <w:br/>
      </w:r>
      <w:r w:rsidR="00A633D7" w:rsidRPr="00117C4F">
        <w:rPr>
          <w:rStyle w:val="References"/>
        </w:rPr>
        <w:t xml:space="preserve">[Schedule </w:t>
      </w:r>
      <w:r w:rsidR="00AF236B">
        <w:rPr>
          <w:rStyle w:val="References"/>
        </w:rPr>
        <w:t>3</w:t>
      </w:r>
      <w:r w:rsidR="00A633D7" w:rsidRPr="00117C4F">
        <w:rPr>
          <w:rStyle w:val="References"/>
        </w:rPr>
        <w:t>, item 7</w:t>
      </w:r>
      <w:r w:rsidR="00AF236B">
        <w:rPr>
          <w:rStyle w:val="References"/>
        </w:rPr>
        <w:t>7</w:t>
      </w:r>
      <w:r w:rsidR="00A633D7" w:rsidRPr="00117C4F">
        <w:rPr>
          <w:rStyle w:val="References"/>
        </w:rPr>
        <w:t>, subsection 820</w:t>
      </w:r>
      <w:proofErr w:type="gramStart"/>
      <w:r w:rsidR="00A633D7" w:rsidRPr="00117C4F">
        <w:rPr>
          <w:rStyle w:val="References"/>
        </w:rPr>
        <w:t>C(</w:t>
      </w:r>
      <w:proofErr w:type="gramEnd"/>
      <w:r w:rsidR="00A633D7" w:rsidRPr="00117C4F">
        <w:rPr>
          <w:rStyle w:val="References"/>
        </w:rPr>
        <w:t>5) of the Act]</w:t>
      </w:r>
      <w:r w:rsidR="00A633D7" w:rsidRPr="00A633D7">
        <w:t xml:space="preserve"> </w:t>
      </w:r>
    </w:p>
    <w:p w14:paraId="4F4216A3" w14:textId="5F0FB603" w:rsidR="00AA61F9" w:rsidRPr="00FA141E" w:rsidRDefault="00AA61F9" w:rsidP="00BD58ED">
      <w:pPr>
        <w:pStyle w:val="Dotpoint1"/>
        <w:rPr>
          <w:rStyle w:val="References"/>
        </w:rPr>
      </w:pPr>
      <w:r>
        <w:t>granting a CS facility licence</w:t>
      </w:r>
      <w:r w:rsidRPr="009E24C2">
        <w:t xml:space="preserve">; </w:t>
      </w:r>
      <w:r>
        <w:br/>
      </w:r>
      <w:r w:rsidRPr="00FA141E">
        <w:rPr>
          <w:rStyle w:val="References"/>
        </w:rPr>
        <w:t>[</w:t>
      </w:r>
      <w:r w:rsidR="00A93424">
        <w:rPr>
          <w:rStyle w:val="References"/>
        </w:rPr>
        <w:t xml:space="preserve">Schedule </w:t>
      </w:r>
      <w:r w:rsidR="007A4C6E">
        <w:rPr>
          <w:rStyle w:val="References"/>
        </w:rPr>
        <w:t>3</w:t>
      </w:r>
      <w:r w:rsidRPr="00FA141E">
        <w:rPr>
          <w:rStyle w:val="References"/>
        </w:rPr>
        <w:t xml:space="preserve">, item </w:t>
      </w:r>
      <w:r w:rsidR="007C2BB4">
        <w:rPr>
          <w:rStyle w:val="References"/>
        </w:rPr>
        <w:t>101</w:t>
      </w:r>
      <w:r w:rsidRPr="00FA141E">
        <w:rPr>
          <w:rStyle w:val="References"/>
        </w:rPr>
        <w:t>, section 824C of the Act]</w:t>
      </w:r>
    </w:p>
    <w:p w14:paraId="04F09352" w14:textId="71B2DF18" w:rsidR="00182D13" w:rsidRPr="009C6E22" w:rsidRDefault="00182D13" w:rsidP="00BD58ED">
      <w:pPr>
        <w:pStyle w:val="Dotpoint1"/>
        <w:rPr>
          <w:rStyle w:val="References"/>
          <w:b w:val="0"/>
          <w:i w:val="0"/>
        </w:rPr>
      </w:pPr>
      <w:r>
        <w:t>i</w:t>
      </w:r>
      <w:r w:rsidRPr="00182D13">
        <w:t>mpos</w:t>
      </w:r>
      <w:r w:rsidR="008E365C">
        <w:t>ing</w:t>
      </w:r>
      <w:r w:rsidRPr="00182D13">
        <w:t>, vary</w:t>
      </w:r>
      <w:r w:rsidR="008E365C">
        <w:t>ing</w:t>
      </w:r>
      <w:r w:rsidRPr="00182D13">
        <w:t xml:space="preserve"> or revok</w:t>
      </w:r>
      <w:r w:rsidR="008E365C">
        <w:t>ing</w:t>
      </w:r>
      <w:r w:rsidRPr="00182D13">
        <w:t xml:space="preserve"> conditions of a</w:t>
      </w:r>
      <w:r>
        <w:t xml:space="preserve"> CS facility</w:t>
      </w:r>
      <w:r w:rsidRPr="00182D13">
        <w:t xml:space="preserve"> license;</w:t>
      </w:r>
      <w:r w:rsidR="00497C45">
        <w:t xml:space="preserve"> and</w:t>
      </w:r>
      <w:r>
        <w:br/>
      </w:r>
      <w:r w:rsidRPr="00C57855">
        <w:rPr>
          <w:rStyle w:val="References"/>
        </w:rPr>
        <w:t>[</w:t>
      </w:r>
      <w:r w:rsidR="00A93424" w:rsidRPr="00C57855">
        <w:rPr>
          <w:rStyle w:val="References"/>
        </w:rPr>
        <w:t xml:space="preserve">Schedule </w:t>
      </w:r>
      <w:r w:rsidR="007B6C35">
        <w:rPr>
          <w:rStyle w:val="References"/>
        </w:rPr>
        <w:t>3</w:t>
      </w:r>
      <w:r w:rsidRPr="00C57855">
        <w:rPr>
          <w:rStyle w:val="References"/>
        </w:rPr>
        <w:t xml:space="preserve">, item </w:t>
      </w:r>
      <w:r w:rsidR="00E35B58">
        <w:rPr>
          <w:rStyle w:val="References"/>
        </w:rPr>
        <w:t>105</w:t>
      </w:r>
      <w:r w:rsidRPr="00C57855">
        <w:rPr>
          <w:rStyle w:val="References"/>
        </w:rPr>
        <w:t>, subsection 825</w:t>
      </w:r>
      <w:proofErr w:type="gramStart"/>
      <w:r w:rsidRPr="00C57855">
        <w:rPr>
          <w:rStyle w:val="References"/>
        </w:rPr>
        <w:t>A(</w:t>
      </w:r>
      <w:proofErr w:type="gramEnd"/>
      <w:r w:rsidRPr="00C57855">
        <w:rPr>
          <w:rStyle w:val="References"/>
        </w:rPr>
        <w:t>1) of the Act]</w:t>
      </w:r>
    </w:p>
    <w:p w14:paraId="7244D6B0" w14:textId="175232BB" w:rsidR="009C6E22" w:rsidRPr="009C6E22" w:rsidRDefault="00FA141E" w:rsidP="009C6E22">
      <w:pPr>
        <w:pStyle w:val="Dotpoint1"/>
        <w:rPr>
          <w:rStyle w:val="References"/>
          <w:b w:val="0"/>
          <w:bCs w:val="0"/>
          <w:i w:val="0"/>
          <w:iCs w:val="0"/>
        </w:rPr>
      </w:pPr>
      <w:r w:rsidRPr="009E24C2">
        <w:t xml:space="preserve">suspension or cancellation </w:t>
      </w:r>
      <w:r w:rsidR="00AA61F9">
        <w:t>of a CS facility licence</w:t>
      </w:r>
      <w:r w:rsidR="009C6E22">
        <w:t>.</w:t>
      </w:r>
      <w:r>
        <w:br/>
      </w:r>
      <w:r w:rsidRPr="00FA141E">
        <w:rPr>
          <w:rStyle w:val="References"/>
        </w:rPr>
        <w:t>[</w:t>
      </w:r>
      <w:r w:rsidR="00A93424">
        <w:rPr>
          <w:rStyle w:val="References"/>
        </w:rPr>
        <w:t xml:space="preserve">Schedule </w:t>
      </w:r>
      <w:r w:rsidR="00785956">
        <w:rPr>
          <w:rStyle w:val="References"/>
        </w:rPr>
        <w:t>3</w:t>
      </w:r>
      <w:r w:rsidRPr="00FA141E">
        <w:rPr>
          <w:rStyle w:val="References"/>
        </w:rPr>
        <w:t>, item</w:t>
      </w:r>
      <w:r w:rsidR="005C434D">
        <w:rPr>
          <w:rStyle w:val="References"/>
        </w:rPr>
        <w:t xml:space="preserve"> </w:t>
      </w:r>
      <w:r w:rsidR="00AA61F9">
        <w:rPr>
          <w:rStyle w:val="References"/>
        </w:rPr>
        <w:t>1</w:t>
      </w:r>
      <w:r w:rsidR="00F217DF">
        <w:rPr>
          <w:rStyle w:val="References"/>
        </w:rPr>
        <w:t>28</w:t>
      </w:r>
      <w:r w:rsidRPr="00FA141E">
        <w:rPr>
          <w:rStyle w:val="References"/>
        </w:rPr>
        <w:t xml:space="preserve">, </w:t>
      </w:r>
      <w:r w:rsidR="00AA61F9">
        <w:rPr>
          <w:rStyle w:val="References"/>
        </w:rPr>
        <w:t>sub</w:t>
      </w:r>
      <w:r w:rsidRPr="00FA141E">
        <w:rPr>
          <w:rStyle w:val="References"/>
        </w:rPr>
        <w:t>section 826</w:t>
      </w:r>
      <w:proofErr w:type="gramStart"/>
      <w:r w:rsidRPr="00FA141E">
        <w:rPr>
          <w:rStyle w:val="References"/>
        </w:rPr>
        <w:t>F</w:t>
      </w:r>
      <w:r w:rsidR="00AA61F9">
        <w:rPr>
          <w:rStyle w:val="References"/>
        </w:rPr>
        <w:t>(</w:t>
      </w:r>
      <w:proofErr w:type="gramEnd"/>
      <w:r w:rsidR="00AA61F9">
        <w:rPr>
          <w:rStyle w:val="References"/>
        </w:rPr>
        <w:t>1)</w:t>
      </w:r>
      <w:r w:rsidRPr="00FA141E">
        <w:rPr>
          <w:rStyle w:val="References"/>
        </w:rPr>
        <w:t xml:space="preserve"> of the Act]</w:t>
      </w:r>
      <w:r w:rsidR="009C6E22" w:rsidRPr="009C6E22">
        <w:rPr>
          <w:rStyle w:val="References"/>
          <w:b w:val="0"/>
          <w:bCs w:val="0"/>
          <w:i w:val="0"/>
          <w:iCs w:val="0"/>
        </w:rPr>
        <w:t xml:space="preserve"> </w:t>
      </w:r>
    </w:p>
    <w:bookmarkEnd w:id="118"/>
    <w:p w14:paraId="013BF640" w14:textId="333BF1C4" w:rsidR="008B74BF" w:rsidRPr="00905782" w:rsidRDefault="00144CED" w:rsidP="003A7733">
      <w:pPr>
        <w:pStyle w:val="Normalparatextwithnumbers"/>
        <w:rPr>
          <w:rStyle w:val="References"/>
          <w:b w:val="0"/>
          <w:i w:val="0"/>
        </w:rPr>
      </w:pPr>
      <w:r w:rsidRPr="00905782">
        <w:rPr>
          <w:rStyle w:val="References"/>
          <w:b w:val="0"/>
          <w:bCs w:val="0"/>
          <w:i w:val="0"/>
          <w:iCs w:val="0"/>
        </w:rPr>
        <w:t xml:space="preserve">The amendments provide further clarity by updating the language to provide certainty that </w:t>
      </w:r>
      <w:r w:rsidR="003A7733" w:rsidRPr="00905782">
        <w:rPr>
          <w:rStyle w:val="References"/>
          <w:b w:val="0"/>
          <w:bCs w:val="0"/>
          <w:i w:val="0"/>
          <w:iCs w:val="0"/>
        </w:rPr>
        <w:t xml:space="preserve">of what is included in the publication, which may include when the </w:t>
      </w:r>
      <w:r w:rsidR="009C6E22" w:rsidRPr="00905782">
        <w:rPr>
          <w:rStyle w:val="References"/>
          <w:b w:val="0"/>
          <w:bCs w:val="0"/>
          <w:i w:val="0"/>
          <w:iCs w:val="0"/>
        </w:rPr>
        <w:t>licence take</w:t>
      </w:r>
      <w:r w:rsidR="003A7733" w:rsidRPr="00905782">
        <w:rPr>
          <w:rStyle w:val="References"/>
          <w:b w:val="0"/>
          <w:bCs w:val="0"/>
          <w:i w:val="0"/>
          <w:iCs w:val="0"/>
        </w:rPr>
        <w:t>s</w:t>
      </w:r>
      <w:r w:rsidR="009C6E22" w:rsidRPr="00905782">
        <w:rPr>
          <w:rStyle w:val="References"/>
          <w:b w:val="0"/>
          <w:bCs w:val="0"/>
          <w:i w:val="0"/>
          <w:iCs w:val="0"/>
        </w:rPr>
        <w:t xml:space="preserve"> effect</w:t>
      </w:r>
      <w:r w:rsidR="003A7733" w:rsidRPr="00905782">
        <w:rPr>
          <w:rStyle w:val="References"/>
          <w:b w:val="0"/>
          <w:bCs w:val="0"/>
          <w:i w:val="0"/>
          <w:iCs w:val="0"/>
        </w:rPr>
        <w:t>.</w:t>
      </w:r>
      <w:r w:rsidR="009C6E22" w:rsidRPr="00905782">
        <w:rPr>
          <w:rStyle w:val="References"/>
          <w:b w:val="0"/>
          <w:bCs w:val="0"/>
          <w:i w:val="0"/>
          <w:iCs w:val="0"/>
        </w:rPr>
        <w:br/>
      </w:r>
      <w:r w:rsidR="009C6E22" w:rsidRPr="00905782">
        <w:rPr>
          <w:rStyle w:val="References"/>
        </w:rPr>
        <w:t xml:space="preserve">[Schedule </w:t>
      </w:r>
      <w:r w:rsidR="00E86FFB" w:rsidRPr="00D10880">
        <w:rPr>
          <w:rStyle w:val="References"/>
        </w:rPr>
        <w:t>2</w:t>
      </w:r>
      <w:r w:rsidR="000A152D" w:rsidRPr="00D10880">
        <w:rPr>
          <w:rStyle w:val="References"/>
        </w:rPr>
        <w:t xml:space="preserve">, </w:t>
      </w:r>
      <w:r w:rsidR="00E86FFB" w:rsidRPr="00D10880">
        <w:rPr>
          <w:rStyle w:val="References"/>
        </w:rPr>
        <w:t>item</w:t>
      </w:r>
      <w:r w:rsidR="00EF1BB7" w:rsidRPr="00D10880">
        <w:rPr>
          <w:rStyle w:val="References"/>
        </w:rPr>
        <w:t>s</w:t>
      </w:r>
      <w:r w:rsidR="00E86FFB" w:rsidRPr="00D10880">
        <w:rPr>
          <w:rStyle w:val="References"/>
        </w:rPr>
        <w:t xml:space="preserve"> 54, </w:t>
      </w:r>
      <w:r w:rsidR="00EF1BB7" w:rsidRPr="00D10880">
        <w:rPr>
          <w:rStyle w:val="References"/>
        </w:rPr>
        <w:t xml:space="preserve">65 and 66, </w:t>
      </w:r>
      <w:r w:rsidR="00E86FFB" w:rsidRPr="00D10880">
        <w:rPr>
          <w:rStyle w:val="References"/>
        </w:rPr>
        <w:t>section</w:t>
      </w:r>
      <w:r w:rsidR="00EF1BB7" w:rsidRPr="00D10880">
        <w:rPr>
          <w:rStyle w:val="References"/>
        </w:rPr>
        <w:t>s</w:t>
      </w:r>
      <w:r w:rsidR="00E86FFB" w:rsidRPr="00D10880">
        <w:rPr>
          <w:rStyle w:val="References"/>
        </w:rPr>
        <w:t xml:space="preserve"> 795C</w:t>
      </w:r>
      <w:r w:rsidR="00167BAA" w:rsidRPr="00D10880">
        <w:rPr>
          <w:rStyle w:val="References"/>
        </w:rPr>
        <w:t xml:space="preserve"> </w:t>
      </w:r>
      <w:r w:rsidR="00EF1BB7" w:rsidRPr="00D10880">
        <w:rPr>
          <w:rStyle w:val="References"/>
        </w:rPr>
        <w:t xml:space="preserve">and </w:t>
      </w:r>
      <w:r w:rsidR="00BC6100" w:rsidRPr="00D10880">
        <w:rPr>
          <w:rStyle w:val="References"/>
        </w:rPr>
        <w:t xml:space="preserve">824C, and paragraph </w:t>
      </w:r>
      <w:r w:rsidR="006E6F97" w:rsidRPr="00D10880">
        <w:rPr>
          <w:rStyle w:val="References"/>
        </w:rPr>
        <w:t>824C(b)</w:t>
      </w:r>
      <w:r w:rsidR="00E86FFB" w:rsidRPr="00D10880">
        <w:rPr>
          <w:rStyle w:val="References"/>
        </w:rPr>
        <w:t>; Schedule 3, item</w:t>
      </w:r>
      <w:r w:rsidR="00167BAA" w:rsidRPr="00D10880">
        <w:rPr>
          <w:rStyle w:val="References"/>
        </w:rPr>
        <w:t>s</w:t>
      </w:r>
      <w:r w:rsidR="00E86FFB" w:rsidRPr="00D10880">
        <w:rPr>
          <w:rStyle w:val="References"/>
        </w:rPr>
        <w:t xml:space="preserve"> </w:t>
      </w:r>
      <w:r w:rsidR="00EA1DD0" w:rsidRPr="00D10880">
        <w:rPr>
          <w:rStyle w:val="References"/>
        </w:rPr>
        <w:t>33</w:t>
      </w:r>
      <w:r w:rsidR="00167BAA" w:rsidRPr="00D10880">
        <w:rPr>
          <w:rStyle w:val="References"/>
        </w:rPr>
        <w:t xml:space="preserve"> and 101,</w:t>
      </w:r>
      <w:r w:rsidR="00EA1DD0" w:rsidRPr="00D10880">
        <w:rPr>
          <w:rStyle w:val="References"/>
        </w:rPr>
        <w:t xml:space="preserve"> section</w:t>
      </w:r>
      <w:r w:rsidR="00167BAA" w:rsidRPr="00D10880">
        <w:rPr>
          <w:rStyle w:val="References"/>
        </w:rPr>
        <w:t>s</w:t>
      </w:r>
      <w:r w:rsidR="00EA1DD0" w:rsidRPr="00D10880">
        <w:rPr>
          <w:rStyle w:val="References"/>
        </w:rPr>
        <w:t xml:space="preserve"> 795C </w:t>
      </w:r>
      <w:r w:rsidR="00167BAA" w:rsidRPr="00D10880">
        <w:rPr>
          <w:rStyle w:val="References"/>
        </w:rPr>
        <w:t xml:space="preserve">and </w:t>
      </w:r>
      <w:r w:rsidR="009C6E22" w:rsidRPr="00D10880">
        <w:rPr>
          <w:rStyle w:val="References"/>
        </w:rPr>
        <w:t xml:space="preserve">824C </w:t>
      </w:r>
      <w:proofErr w:type="gramStart"/>
      <w:r w:rsidR="009C6E22" w:rsidRPr="00D10880">
        <w:rPr>
          <w:rStyle w:val="References"/>
        </w:rPr>
        <w:t xml:space="preserve">of </w:t>
      </w:r>
      <w:r w:rsidR="009C6E22" w:rsidRPr="00905782">
        <w:rPr>
          <w:rStyle w:val="References"/>
        </w:rPr>
        <w:t xml:space="preserve"> the</w:t>
      </w:r>
      <w:proofErr w:type="gramEnd"/>
      <w:r w:rsidR="009C6E22" w:rsidRPr="00905782">
        <w:rPr>
          <w:rStyle w:val="References"/>
        </w:rPr>
        <w:t xml:space="preserve"> Act]</w:t>
      </w:r>
    </w:p>
    <w:p w14:paraId="036A0BB0" w14:textId="5F0FC0B7" w:rsidR="00564836" w:rsidRDefault="00564836" w:rsidP="00564836">
      <w:pPr>
        <w:pStyle w:val="Heading4"/>
      </w:pPr>
      <w:r>
        <w:t>Provision of multiple licen</w:t>
      </w:r>
      <w:r w:rsidR="003303EC">
        <w:t>c</w:t>
      </w:r>
      <w:r>
        <w:t xml:space="preserve">es </w:t>
      </w:r>
    </w:p>
    <w:p w14:paraId="08B2E2D3" w14:textId="77777777" w:rsidR="00BE1616" w:rsidRDefault="00383AA3" w:rsidP="00BE1616">
      <w:pPr>
        <w:pStyle w:val="Normalparatextwithnumbers"/>
      </w:pPr>
      <w:r>
        <w:t>ASIC may grant two or more licen</w:t>
      </w:r>
      <w:r w:rsidR="00007FA2">
        <w:t>c</w:t>
      </w:r>
      <w:r>
        <w:t xml:space="preserve">es in the same document </w:t>
      </w:r>
      <w:proofErr w:type="gramStart"/>
      <w:r>
        <w:t>provided that</w:t>
      </w:r>
      <w:proofErr w:type="gramEnd"/>
      <w:r>
        <w:t xml:space="preserve"> ASIC is satisfied the relevant licence conditions are met</w:t>
      </w:r>
      <w:r w:rsidR="00BE1616">
        <w:t xml:space="preserve">: </w:t>
      </w:r>
    </w:p>
    <w:p w14:paraId="644D11DB" w14:textId="449A6002" w:rsidR="00BE1616" w:rsidRDefault="00235A3E" w:rsidP="00BE1616">
      <w:pPr>
        <w:pStyle w:val="Dotpoint1"/>
      </w:pPr>
      <w:r>
        <w:t xml:space="preserve">for a market </w:t>
      </w:r>
      <w:proofErr w:type="gramStart"/>
      <w:r w:rsidR="00506CBD">
        <w:t xml:space="preserve">licence,  </w:t>
      </w:r>
      <w:r w:rsidR="00550F01" w:rsidRPr="00534819">
        <w:t xml:space="preserve"> </w:t>
      </w:r>
      <w:proofErr w:type="gramEnd"/>
      <w:r w:rsidR="00550F01" w:rsidRPr="00534819">
        <w:t xml:space="preserve">the </w:t>
      </w:r>
      <w:r>
        <w:t>conditions u</w:t>
      </w:r>
      <w:r w:rsidR="00BE1616">
        <w:t xml:space="preserve">nder </w:t>
      </w:r>
      <w:r w:rsidR="00BE1616" w:rsidRPr="00EE33EC">
        <w:t>subsection 795B(1) or (2)</w:t>
      </w:r>
      <w:r w:rsidR="00BE1616">
        <w:t xml:space="preserve">; or </w:t>
      </w:r>
    </w:p>
    <w:p w14:paraId="3B2284CB" w14:textId="5898C65C" w:rsidR="00550F01" w:rsidRPr="00EE33EC" w:rsidRDefault="00235A3E" w:rsidP="00550F01">
      <w:pPr>
        <w:pStyle w:val="Dotpoint1"/>
        <w:rPr>
          <w:rStyle w:val="References"/>
          <w:b w:val="0"/>
          <w:bCs w:val="0"/>
          <w:i w:val="0"/>
          <w:iCs w:val="0"/>
        </w:rPr>
      </w:pPr>
      <w:r>
        <w:t xml:space="preserve">for a CS facility, the conditions under </w:t>
      </w:r>
      <w:r w:rsidR="00BE1616" w:rsidRPr="00182D13">
        <w:t>subsection</w:t>
      </w:r>
      <w:r w:rsidR="00356814">
        <w:t>s</w:t>
      </w:r>
      <w:r w:rsidR="00BE1616" w:rsidRPr="00182D13">
        <w:t xml:space="preserve"> </w:t>
      </w:r>
      <w:r w:rsidR="00BE1616">
        <w:t>824</w:t>
      </w:r>
      <w:proofErr w:type="gramStart"/>
      <w:r w:rsidR="00BE1616" w:rsidRPr="00182D13">
        <w:t>B(</w:t>
      </w:r>
      <w:proofErr w:type="gramEnd"/>
      <w:r w:rsidR="00BE1616" w:rsidRPr="00182D13">
        <w:t>1)</w:t>
      </w:r>
      <w:r w:rsidR="00BE1616">
        <w:t>, (1A)</w:t>
      </w:r>
      <w:r w:rsidR="00BE1616" w:rsidRPr="00182D13">
        <w:t xml:space="preserve"> or (2).</w:t>
      </w:r>
      <w:r w:rsidR="00550F01" w:rsidRPr="00534819">
        <w:t xml:space="preserve"> </w:t>
      </w:r>
      <w:r w:rsidR="00550F01">
        <w:br/>
      </w:r>
      <w:r w:rsidR="00550F01" w:rsidRPr="007A55B6">
        <w:rPr>
          <w:rStyle w:val="References"/>
        </w:rPr>
        <w:t>[</w:t>
      </w:r>
      <w:r w:rsidR="00A93424">
        <w:rPr>
          <w:rStyle w:val="References"/>
        </w:rPr>
        <w:t xml:space="preserve">Schedule </w:t>
      </w:r>
      <w:r w:rsidR="006F1C76">
        <w:rPr>
          <w:rStyle w:val="References"/>
        </w:rPr>
        <w:t>3</w:t>
      </w:r>
      <w:r w:rsidR="00550F01" w:rsidRPr="007A55B6">
        <w:rPr>
          <w:rStyle w:val="References"/>
        </w:rPr>
        <w:t>, item</w:t>
      </w:r>
      <w:r w:rsidR="00570D18">
        <w:rPr>
          <w:rStyle w:val="References"/>
        </w:rPr>
        <w:t>s</w:t>
      </w:r>
      <w:r w:rsidR="00550F01" w:rsidRPr="007A55B6">
        <w:rPr>
          <w:rStyle w:val="References"/>
        </w:rPr>
        <w:t xml:space="preserve"> </w:t>
      </w:r>
      <w:r w:rsidR="00550F01">
        <w:rPr>
          <w:rStyle w:val="References"/>
        </w:rPr>
        <w:t>3</w:t>
      </w:r>
      <w:r w:rsidR="00FF01FF">
        <w:rPr>
          <w:rStyle w:val="References"/>
        </w:rPr>
        <w:t>4</w:t>
      </w:r>
      <w:r w:rsidR="00DE1AE8">
        <w:rPr>
          <w:rStyle w:val="References"/>
        </w:rPr>
        <w:t xml:space="preserve">, </w:t>
      </w:r>
      <w:r>
        <w:rPr>
          <w:rStyle w:val="References"/>
        </w:rPr>
        <w:t>3</w:t>
      </w:r>
      <w:r w:rsidR="00DE1AE8">
        <w:rPr>
          <w:rStyle w:val="References"/>
        </w:rPr>
        <w:t>5</w:t>
      </w:r>
      <w:r w:rsidR="0064645B">
        <w:rPr>
          <w:rStyle w:val="References"/>
        </w:rPr>
        <w:t>, 102 and 103</w:t>
      </w:r>
      <w:r w:rsidR="00550F01" w:rsidRPr="007A55B6">
        <w:rPr>
          <w:rStyle w:val="References"/>
        </w:rPr>
        <w:t>,</w:t>
      </w:r>
      <w:r w:rsidR="00550F01">
        <w:rPr>
          <w:rStyle w:val="References"/>
        </w:rPr>
        <w:t xml:space="preserve"> </w:t>
      </w:r>
      <w:r w:rsidR="00550F01" w:rsidRPr="007A55B6">
        <w:rPr>
          <w:rStyle w:val="References"/>
        </w:rPr>
        <w:t>section</w:t>
      </w:r>
      <w:r w:rsidR="00570D18">
        <w:rPr>
          <w:rStyle w:val="References"/>
        </w:rPr>
        <w:t>s</w:t>
      </w:r>
      <w:r w:rsidR="00550F01" w:rsidRPr="007A55B6">
        <w:rPr>
          <w:rStyle w:val="References"/>
        </w:rPr>
        <w:t xml:space="preserve"> 795D</w:t>
      </w:r>
      <w:r>
        <w:rPr>
          <w:rStyle w:val="References"/>
        </w:rPr>
        <w:t xml:space="preserve">, </w:t>
      </w:r>
      <w:r w:rsidRPr="00EE33EC">
        <w:rPr>
          <w:rStyle w:val="References"/>
        </w:rPr>
        <w:t>795</w:t>
      </w:r>
      <w:r>
        <w:rPr>
          <w:rStyle w:val="References"/>
        </w:rPr>
        <w:t xml:space="preserve">E, </w:t>
      </w:r>
      <w:r w:rsidR="00570D18">
        <w:rPr>
          <w:rStyle w:val="References"/>
        </w:rPr>
        <w:t xml:space="preserve">824D </w:t>
      </w:r>
      <w:r>
        <w:rPr>
          <w:rStyle w:val="References"/>
        </w:rPr>
        <w:t xml:space="preserve">and </w:t>
      </w:r>
      <w:r w:rsidRPr="00F90905">
        <w:rPr>
          <w:rStyle w:val="References"/>
        </w:rPr>
        <w:t xml:space="preserve">824E </w:t>
      </w:r>
      <w:r w:rsidR="00550F01" w:rsidRPr="007A55B6">
        <w:rPr>
          <w:rStyle w:val="References"/>
        </w:rPr>
        <w:t>of the Act</w:t>
      </w:r>
      <w:r w:rsidR="00550F01">
        <w:rPr>
          <w:rStyle w:val="References"/>
        </w:rPr>
        <w:t>]</w:t>
      </w:r>
    </w:p>
    <w:p w14:paraId="0DDF3B4C" w14:textId="34EAE877" w:rsidR="00682749" w:rsidRDefault="00682749" w:rsidP="00550F01">
      <w:pPr>
        <w:pStyle w:val="Heading4"/>
      </w:pPr>
      <w:r>
        <w:t>Consultation</w:t>
      </w:r>
    </w:p>
    <w:p w14:paraId="07943BD1" w14:textId="12BE9C5E" w:rsidR="00D3653E" w:rsidRDefault="008471C2" w:rsidP="00F10A7D">
      <w:pPr>
        <w:pStyle w:val="Normalparatextwithnumbers"/>
      </w:pPr>
      <w:r>
        <w:t>As a result of th</w:t>
      </w:r>
      <w:r w:rsidR="00F338B6">
        <w:t>e</w:t>
      </w:r>
      <w:r>
        <w:t xml:space="preserve"> </w:t>
      </w:r>
      <w:r w:rsidR="00200760">
        <w:t xml:space="preserve">co-regulatory environment, consultation between ASIC and the RBA </w:t>
      </w:r>
      <w:r w:rsidR="00EF2FF9">
        <w:t>is necessary to ensure effective regulation of CS facilities</w:t>
      </w:r>
      <w:r w:rsidR="00D3653E">
        <w:t>.</w:t>
      </w:r>
      <w:r w:rsidR="00CF6FFF">
        <w:t xml:space="preserve"> </w:t>
      </w:r>
    </w:p>
    <w:p w14:paraId="7BF53CBE" w14:textId="3C207FC8" w:rsidR="00C24535" w:rsidRDefault="00DA3770" w:rsidP="00F10A7D">
      <w:pPr>
        <w:pStyle w:val="Normalparatextwithnumbers"/>
      </w:pPr>
      <w:r w:rsidDel="003C717E">
        <w:t xml:space="preserve">ASIC </w:t>
      </w:r>
      <w:r w:rsidR="00373BDB" w:rsidDel="003C717E">
        <w:t>must</w:t>
      </w:r>
      <w:r w:rsidR="00112CC8" w:rsidDel="003C717E">
        <w:t xml:space="preserve"> </w:t>
      </w:r>
      <w:r w:rsidR="00062A1F" w:rsidDel="003C717E">
        <w:t>consult with the RBA</w:t>
      </w:r>
      <w:r w:rsidR="00062A1F">
        <w:t xml:space="preserve"> prior to exercising powers relating to </w:t>
      </w:r>
      <w:r w:rsidR="00D63363">
        <w:t>CS facilities</w:t>
      </w:r>
      <w:r w:rsidR="00C24535">
        <w:t xml:space="preserve"> including:</w:t>
      </w:r>
      <w:r w:rsidR="00D63363">
        <w:t xml:space="preserve"> </w:t>
      </w:r>
    </w:p>
    <w:p w14:paraId="006E9A3A" w14:textId="584CB755" w:rsidR="00C24535" w:rsidRDefault="00062A1F" w:rsidP="00C24535">
      <w:pPr>
        <w:pStyle w:val="Dotpoint1"/>
      </w:pPr>
      <w:r w:rsidRPr="00534F63">
        <w:t>grant</w:t>
      </w:r>
      <w:r>
        <w:t>ing</w:t>
      </w:r>
      <w:r w:rsidRPr="00534F63">
        <w:t>, revok</w:t>
      </w:r>
      <w:r>
        <w:t>ing</w:t>
      </w:r>
      <w:r w:rsidRPr="00534F63">
        <w:t>, suspend</w:t>
      </w:r>
      <w:r>
        <w:t>ing,</w:t>
      </w:r>
      <w:r w:rsidRPr="00534F63">
        <w:t xml:space="preserve"> or cancel</w:t>
      </w:r>
      <w:r>
        <w:t xml:space="preserve">ling </w:t>
      </w:r>
      <w:r w:rsidRPr="00534F63">
        <w:t>a</w:t>
      </w:r>
      <w:r>
        <w:t xml:space="preserve"> </w:t>
      </w:r>
      <w:r w:rsidR="0070280F">
        <w:t>CS</w:t>
      </w:r>
      <w:r>
        <w:t xml:space="preserve"> facility</w:t>
      </w:r>
      <w:r w:rsidRPr="00534F63">
        <w:t xml:space="preserve"> </w:t>
      </w:r>
      <w:proofErr w:type="gramStart"/>
      <w:r w:rsidRPr="00534F63">
        <w:t>licen</w:t>
      </w:r>
      <w:r>
        <w:t>c</w:t>
      </w:r>
      <w:r w:rsidRPr="00534F63">
        <w:t>e</w:t>
      </w:r>
      <w:r>
        <w:t>;</w:t>
      </w:r>
      <w:proofErr w:type="gramEnd"/>
      <w:r>
        <w:t xml:space="preserve"> </w:t>
      </w:r>
    </w:p>
    <w:p w14:paraId="4C0D6F0F" w14:textId="0D9981AF" w:rsidR="00C24535" w:rsidRDefault="00C24535" w:rsidP="00C24535">
      <w:pPr>
        <w:pStyle w:val="Dotpoint1"/>
      </w:pPr>
      <w:r>
        <w:t>i</w:t>
      </w:r>
      <w:r w:rsidR="00062A1F">
        <w:t xml:space="preserve">mposing, varying or revoking conditions on a </w:t>
      </w:r>
      <w:r w:rsidR="0070280F">
        <w:t>CS</w:t>
      </w:r>
      <w:r w:rsidR="00062A1F">
        <w:t xml:space="preserve"> facility licence; </w:t>
      </w:r>
      <w:r w:rsidR="009A5E38">
        <w:t>and</w:t>
      </w:r>
    </w:p>
    <w:p w14:paraId="56CE6846" w14:textId="77777777" w:rsidR="00954AA6" w:rsidRDefault="00062A1F" w:rsidP="00C24535">
      <w:pPr>
        <w:pStyle w:val="Dotpoint1"/>
      </w:pPr>
      <w:r>
        <w:t xml:space="preserve">disallowing a rule </w:t>
      </w:r>
      <w:proofErr w:type="gramStart"/>
      <w:r>
        <w:t>change, or</w:t>
      </w:r>
      <w:proofErr w:type="gramEnd"/>
      <w:r>
        <w:t xml:space="preserve"> exercising its exemptions or directions powers</w:t>
      </w:r>
      <w:r w:rsidRPr="00534F63">
        <w:t xml:space="preserve">. </w:t>
      </w:r>
    </w:p>
    <w:p w14:paraId="3B5BCD3F" w14:textId="36F71DE6" w:rsidR="00C24535" w:rsidRDefault="00954AA6" w:rsidP="00D10880">
      <w:pPr>
        <w:pStyle w:val="Referenceafterdotpoint"/>
      </w:pPr>
      <w:r>
        <w:t xml:space="preserve">[Schedule 3, item 138, </w:t>
      </w:r>
      <w:r w:rsidR="00C10BBB">
        <w:t>sub</w:t>
      </w:r>
      <w:r w:rsidR="00C90300">
        <w:t>section 827E</w:t>
      </w:r>
      <w:r w:rsidR="00C10BBB">
        <w:t>(1)</w:t>
      </w:r>
      <w:r w:rsidR="00C90300">
        <w:t xml:space="preserve"> of the Act] </w:t>
      </w:r>
    </w:p>
    <w:p w14:paraId="5917930B" w14:textId="2B37A5A9" w:rsidR="009F1883" w:rsidRDefault="00625A1A" w:rsidP="00625A1A">
      <w:pPr>
        <w:pStyle w:val="Normalparatextwithnumbers"/>
      </w:pPr>
      <w:r>
        <w:t xml:space="preserve">Where it </w:t>
      </w:r>
      <w:r w:rsidRPr="00D22A14">
        <w:t xml:space="preserve">relates to financial or systemic risk in the provision of the services of the </w:t>
      </w:r>
      <w:r>
        <w:t xml:space="preserve">CS facility, </w:t>
      </w:r>
      <w:r w:rsidRPr="00A570EA">
        <w:t xml:space="preserve">ASIC may only impose, vary or revoke </w:t>
      </w:r>
      <w:r>
        <w:t xml:space="preserve">a condition </w:t>
      </w:r>
      <w:r w:rsidRPr="00A570EA">
        <w:t>on th</w:t>
      </w:r>
      <w:r>
        <w:t>at CS facility licence</w:t>
      </w:r>
      <w:r w:rsidRPr="00A570EA">
        <w:t xml:space="preserve"> after obtaining consent from the RBA. However, a failure to obtain consent does not invalidate the action. </w:t>
      </w:r>
      <w:r w:rsidRPr="00A570EA">
        <w:br/>
      </w:r>
      <w:r w:rsidRPr="00A570EA">
        <w:rPr>
          <w:rStyle w:val="References"/>
        </w:rPr>
        <w:t>[Schedule 2, item 67, subsections 825</w:t>
      </w:r>
      <w:proofErr w:type="gramStart"/>
      <w:r w:rsidRPr="00A570EA">
        <w:rPr>
          <w:rStyle w:val="References"/>
        </w:rPr>
        <w:t>A(</w:t>
      </w:r>
      <w:proofErr w:type="gramEnd"/>
      <w:r w:rsidRPr="00A570EA">
        <w:rPr>
          <w:rStyle w:val="References"/>
        </w:rPr>
        <w:t xml:space="preserve">5) and (6)] </w:t>
      </w:r>
    </w:p>
    <w:p w14:paraId="6407165A" w14:textId="1CE2434A" w:rsidR="00062A1F" w:rsidRDefault="00E26D55" w:rsidP="00F10A7D">
      <w:pPr>
        <w:pStyle w:val="Normalparatextwithnumbers"/>
      </w:pPr>
      <w:r>
        <w:lastRenderedPageBreak/>
        <w:t>Similarly, the RBA is required to consult or provide advice to ASIC prior to the exercise of any of their exemption or directions powers.</w:t>
      </w:r>
      <w:r w:rsidR="00F67AA7">
        <w:br/>
      </w:r>
      <w:r w:rsidR="00F67AA7" w:rsidRPr="00C10BBB">
        <w:rPr>
          <w:rStyle w:val="References"/>
        </w:rPr>
        <w:t>[Schedule</w:t>
      </w:r>
      <w:r w:rsidR="00C10BBB" w:rsidRPr="00C10BBB">
        <w:rPr>
          <w:rStyle w:val="References"/>
        </w:rPr>
        <w:t xml:space="preserve"> </w:t>
      </w:r>
      <w:r w:rsidR="00C10BBB" w:rsidRPr="00D10880">
        <w:rPr>
          <w:rStyle w:val="References"/>
        </w:rPr>
        <w:t>3</w:t>
      </w:r>
      <w:r w:rsidR="00F67AA7" w:rsidRPr="00C10BBB">
        <w:rPr>
          <w:rStyle w:val="References"/>
        </w:rPr>
        <w:t>, item</w:t>
      </w:r>
      <w:r w:rsidR="00324BD4" w:rsidRPr="00C10BBB">
        <w:rPr>
          <w:rStyle w:val="References"/>
        </w:rPr>
        <w:t xml:space="preserve"> </w:t>
      </w:r>
      <w:r w:rsidR="00C10BBB" w:rsidRPr="00D10880">
        <w:rPr>
          <w:rStyle w:val="References"/>
        </w:rPr>
        <w:t>138</w:t>
      </w:r>
      <w:r w:rsidR="00D82E5C" w:rsidRPr="00C10BBB">
        <w:rPr>
          <w:rStyle w:val="References"/>
        </w:rPr>
        <w:t xml:space="preserve">, </w:t>
      </w:r>
      <w:r w:rsidR="00F67AA7" w:rsidRPr="00C10BBB">
        <w:rPr>
          <w:rStyle w:val="References"/>
        </w:rPr>
        <w:t>subsection</w:t>
      </w:r>
      <w:r w:rsidR="001D0A9A" w:rsidRPr="00C10BBB">
        <w:rPr>
          <w:rStyle w:val="References"/>
        </w:rPr>
        <w:t xml:space="preserve"> 82</w:t>
      </w:r>
      <w:r w:rsidR="00C10BBB" w:rsidRPr="00D10880">
        <w:rPr>
          <w:rStyle w:val="References"/>
        </w:rPr>
        <w:t>7</w:t>
      </w:r>
      <w:proofErr w:type="gramStart"/>
      <w:r w:rsidR="00C10BBB" w:rsidRPr="00D10880">
        <w:rPr>
          <w:rStyle w:val="References"/>
        </w:rPr>
        <w:t>E</w:t>
      </w:r>
      <w:r w:rsidR="001D0A9A" w:rsidRPr="00C10BBB">
        <w:rPr>
          <w:rStyle w:val="References"/>
        </w:rPr>
        <w:t>(</w:t>
      </w:r>
      <w:proofErr w:type="gramEnd"/>
      <w:r w:rsidR="00C10BBB" w:rsidRPr="00D10880">
        <w:rPr>
          <w:rStyle w:val="References"/>
        </w:rPr>
        <w:t>2)</w:t>
      </w:r>
      <w:r w:rsidR="00324BD4" w:rsidRPr="00C10BBB">
        <w:rPr>
          <w:rStyle w:val="References"/>
        </w:rPr>
        <w:t xml:space="preserve"> of the Act</w:t>
      </w:r>
      <w:r w:rsidR="001D0A9A" w:rsidRPr="00C10BBB">
        <w:rPr>
          <w:rStyle w:val="References"/>
        </w:rPr>
        <w:t>]</w:t>
      </w:r>
    </w:p>
    <w:p w14:paraId="3A9B9B50" w14:textId="2684A0AD" w:rsidR="00E26D55" w:rsidRDefault="00460102" w:rsidP="00F10A7D">
      <w:pPr>
        <w:pStyle w:val="Normalparatextwithnumbers"/>
      </w:pPr>
      <w:r w:rsidRPr="00F338B6">
        <w:t xml:space="preserve">For any requirement for the </w:t>
      </w:r>
      <w:r w:rsidR="005166FF" w:rsidRPr="00F338B6">
        <w:t>r</w:t>
      </w:r>
      <w:r w:rsidRPr="00F338B6">
        <w:t>egulators to consult each other prior to acting, the action will continue to be valid and have effect in the event a regulator fails to engage in consultation prior to exercising their powers.</w:t>
      </w:r>
      <w:r>
        <w:t xml:space="preserve"> This aims to provide certainty among the affected entities as </w:t>
      </w:r>
      <w:r w:rsidR="001D0A9A">
        <w:t>the decision will continue to have effect regardless of whether consultation has occurred</w:t>
      </w:r>
      <w:r>
        <w:t>.</w:t>
      </w:r>
    </w:p>
    <w:p w14:paraId="281CC5B4" w14:textId="5EBA5762" w:rsidR="00460102" w:rsidRDefault="00460102" w:rsidP="00D343F5">
      <w:pPr>
        <w:pStyle w:val="Heading4"/>
      </w:pPr>
      <w:r>
        <w:t>Providing advice to the Minister</w:t>
      </w:r>
    </w:p>
    <w:p w14:paraId="1CC36E5A" w14:textId="11849580" w:rsidR="00051F28" w:rsidRDefault="00051F28" w:rsidP="00125C2C">
      <w:pPr>
        <w:pStyle w:val="Normalparatextwithnumbers"/>
      </w:pPr>
      <w:r>
        <w:t xml:space="preserve">Given the Minister’s limited involvement in licensing </w:t>
      </w:r>
      <w:r w:rsidR="00D02F55">
        <w:t xml:space="preserve">and supervision </w:t>
      </w:r>
      <w:r>
        <w:t>of financial markets</w:t>
      </w:r>
      <w:r w:rsidR="005143D0">
        <w:t xml:space="preserve"> and CS facilities</w:t>
      </w:r>
      <w:r>
        <w:t xml:space="preserve">, there is no requirement for </w:t>
      </w:r>
      <w:r w:rsidR="003F5447" w:rsidRPr="00534F63">
        <w:t xml:space="preserve">ASIC to </w:t>
      </w:r>
      <w:r>
        <w:t xml:space="preserve">continue to </w:t>
      </w:r>
      <w:r w:rsidR="003F5447" w:rsidRPr="00534F63">
        <w:t>provide advice to the Minister</w:t>
      </w:r>
      <w:r>
        <w:t xml:space="preserve"> with respect to: </w:t>
      </w:r>
      <w:r w:rsidR="003F5447" w:rsidRPr="00534F63">
        <w:t xml:space="preserve"> </w:t>
      </w:r>
    </w:p>
    <w:p w14:paraId="2C85E350" w14:textId="5E51CF5F" w:rsidR="003F5447" w:rsidRDefault="005143D0" w:rsidP="00051F28">
      <w:pPr>
        <w:pStyle w:val="Dotpoint1"/>
      </w:pPr>
      <w:r>
        <w:t xml:space="preserve">lodgement of an </w:t>
      </w:r>
      <w:r w:rsidR="003F5447" w:rsidRPr="00534F63">
        <w:t xml:space="preserve">application </w:t>
      </w:r>
      <w:r w:rsidR="00051F28">
        <w:t xml:space="preserve">for an Australian market licence; </w:t>
      </w:r>
      <w:r w:rsidR="00136632">
        <w:br/>
      </w:r>
      <w:r w:rsidR="00022D75" w:rsidRPr="00022D75">
        <w:rPr>
          <w:rStyle w:val="References"/>
        </w:rPr>
        <w:t>[</w:t>
      </w:r>
      <w:r w:rsidR="00A93424">
        <w:rPr>
          <w:rStyle w:val="References"/>
        </w:rPr>
        <w:t xml:space="preserve">Schedule </w:t>
      </w:r>
      <w:r w:rsidR="00522311">
        <w:rPr>
          <w:rStyle w:val="References"/>
        </w:rPr>
        <w:t>3</w:t>
      </w:r>
      <w:r w:rsidR="00022D75" w:rsidRPr="00022D75">
        <w:rPr>
          <w:rStyle w:val="References"/>
        </w:rPr>
        <w:t xml:space="preserve">, </w:t>
      </w:r>
      <w:r w:rsidR="00022D75" w:rsidRPr="003F5447">
        <w:rPr>
          <w:rStyle w:val="References"/>
        </w:rPr>
        <w:t>item</w:t>
      </w:r>
      <w:r w:rsidR="00022D75">
        <w:rPr>
          <w:rStyle w:val="References"/>
        </w:rPr>
        <w:t>s</w:t>
      </w:r>
      <w:r w:rsidR="00022D75" w:rsidRPr="003F5447">
        <w:rPr>
          <w:rStyle w:val="References"/>
        </w:rPr>
        <w:t xml:space="preserve"> </w:t>
      </w:r>
      <w:r w:rsidR="00022D75">
        <w:rPr>
          <w:rStyle w:val="References"/>
        </w:rPr>
        <w:t>2</w:t>
      </w:r>
      <w:r w:rsidR="00724D60">
        <w:rPr>
          <w:rStyle w:val="References"/>
        </w:rPr>
        <w:t xml:space="preserve">3 and </w:t>
      </w:r>
      <w:r w:rsidR="00022D75" w:rsidRPr="003F5447">
        <w:rPr>
          <w:rStyle w:val="References"/>
        </w:rPr>
        <w:t>2</w:t>
      </w:r>
      <w:r w:rsidR="00724D60">
        <w:rPr>
          <w:rStyle w:val="References"/>
        </w:rPr>
        <w:t>4</w:t>
      </w:r>
      <w:r w:rsidR="006A0221">
        <w:rPr>
          <w:rStyle w:val="References"/>
        </w:rPr>
        <w:t>,</w:t>
      </w:r>
      <w:r w:rsidR="00022D75" w:rsidRPr="003F5447">
        <w:rPr>
          <w:rStyle w:val="References"/>
        </w:rPr>
        <w:t xml:space="preserve"> subsection 795</w:t>
      </w:r>
      <w:proofErr w:type="gramStart"/>
      <w:r w:rsidR="00022D75" w:rsidRPr="003F5447">
        <w:rPr>
          <w:rStyle w:val="References"/>
        </w:rPr>
        <w:t>A(</w:t>
      </w:r>
      <w:proofErr w:type="gramEnd"/>
      <w:r w:rsidR="00E32605">
        <w:rPr>
          <w:rStyle w:val="References"/>
        </w:rPr>
        <w:t>1)-(</w:t>
      </w:r>
      <w:r w:rsidR="00022D75" w:rsidRPr="003F5447">
        <w:rPr>
          <w:rStyle w:val="References"/>
        </w:rPr>
        <w:t xml:space="preserve">2) </w:t>
      </w:r>
      <w:r w:rsidR="00022D75" w:rsidRPr="00022D75">
        <w:rPr>
          <w:rStyle w:val="References"/>
        </w:rPr>
        <w:t>of the Act]</w:t>
      </w:r>
      <w:r w:rsidR="00136632">
        <w:t xml:space="preserve"> </w:t>
      </w:r>
    </w:p>
    <w:p w14:paraId="64477822" w14:textId="0DC9141E" w:rsidR="005143D0" w:rsidRPr="005143D0" w:rsidRDefault="005143D0">
      <w:pPr>
        <w:pStyle w:val="Dotpoint1"/>
        <w:rPr>
          <w:b/>
          <w:bCs/>
          <w:i/>
          <w:iCs/>
        </w:rPr>
      </w:pPr>
      <w:r>
        <w:t>lodgement of an application for a CS facility licen</w:t>
      </w:r>
      <w:r w:rsidR="007B0EEE">
        <w:t>c</w:t>
      </w:r>
      <w:r>
        <w:t xml:space="preserve">e; </w:t>
      </w:r>
      <w:r>
        <w:br/>
      </w:r>
      <w:r w:rsidRPr="005143D0">
        <w:rPr>
          <w:b/>
          <w:bCs/>
          <w:i/>
          <w:iCs/>
        </w:rPr>
        <w:t>[</w:t>
      </w:r>
      <w:r w:rsidR="00A93424">
        <w:rPr>
          <w:b/>
          <w:bCs/>
          <w:i/>
          <w:iCs/>
        </w:rPr>
        <w:t xml:space="preserve">Schedule </w:t>
      </w:r>
      <w:r w:rsidR="00D5272B">
        <w:rPr>
          <w:b/>
          <w:bCs/>
          <w:i/>
          <w:iCs/>
        </w:rPr>
        <w:t>3</w:t>
      </w:r>
      <w:r w:rsidRPr="005143D0">
        <w:rPr>
          <w:b/>
          <w:bCs/>
          <w:i/>
          <w:iCs/>
        </w:rPr>
        <w:t xml:space="preserve">, items </w:t>
      </w:r>
      <w:r w:rsidR="00E32605">
        <w:rPr>
          <w:b/>
          <w:bCs/>
          <w:i/>
          <w:iCs/>
        </w:rPr>
        <w:t>9</w:t>
      </w:r>
      <w:r w:rsidR="00E95910">
        <w:rPr>
          <w:b/>
          <w:bCs/>
          <w:i/>
          <w:iCs/>
        </w:rPr>
        <w:t>9 and 100</w:t>
      </w:r>
      <w:r w:rsidRPr="005143D0">
        <w:rPr>
          <w:b/>
          <w:bCs/>
          <w:i/>
          <w:iCs/>
        </w:rPr>
        <w:t xml:space="preserve">, subsection </w:t>
      </w:r>
      <w:r w:rsidR="00E32605">
        <w:rPr>
          <w:b/>
          <w:bCs/>
          <w:i/>
          <w:iCs/>
        </w:rPr>
        <w:t>824</w:t>
      </w:r>
      <w:proofErr w:type="gramStart"/>
      <w:r w:rsidR="00E32605">
        <w:rPr>
          <w:b/>
          <w:bCs/>
          <w:i/>
          <w:iCs/>
        </w:rPr>
        <w:t>A</w:t>
      </w:r>
      <w:r w:rsidRPr="005143D0">
        <w:rPr>
          <w:b/>
          <w:bCs/>
          <w:i/>
          <w:iCs/>
        </w:rPr>
        <w:t>(</w:t>
      </w:r>
      <w:proofErr w:type="gramEnd"/>
      <w:r w:rsidR="00E32605">
        <w:rPr>
          <w:b/>
          <w:bCs/>
          <w:i/>
          <w:iCs/>
        </w:rPr>
        <w:t>1</w:t>
      </w:r>
      <w:r w:rsidRPr="005143D0">
        <w:rPr>
          <w:b/>
          <w:bCs/>
          <w:i/>
          <w:iCs/>
        </w:rPr>
        <w:t>)</w:t>
      </w:r>
      <w:r w:rsidR="00E32605">
        <w:rPr>
          <w:b/>
          <w:bCs/>
          <w:i/>
          <w:iCs/>
        </w:rPr>
        <w:t>-(2)</w:t>
      </w:r>
      <w:r w:rsidRPr="005143D0">
        <w:rPr>
          <w:b/>
          <w:bCs/>
          <w:i/>
          <w:iCs/>
        </w:rPr>
        <w:t xml:space="preserve"> of the Act]</w:t>
      </w:r>
    </w:p>
    <w:p w14:paraId="2160294E" w14:textId="76158907" w:rsidR="003F5447" w:rsidRDefault="003F5447">
      <w:pPr>
        <w:pStyle w:val="Dotpoint1"/>
        <w:rPr>
          <w:rStyle w:val="References"/>
        </w:rPr>
      </w:pPr>
      <w:r>
        <w:t xml:space="preserve">a market licensee </w:t>
      </w:r>
      <w:r w:rsidR="00051F28">
        <w:t xml:space="preserve">advising it has breached a general licence obligation or is </w:t>
      </w:r>
      <w:r>
        <w:t>unable to meet its obligations</w:t>
      </w:r>
      <w:r w:rsidR="00E32605">
        <w:t xml:space="preserve">; and </w:t>
      </w:r>
      <w:r>
        <w:br/>
      </w:r>
      <w:r w:rsidRPr="003F5447">
        <w:rPr>
          <w:rStyle w:val="References"/>
        </w:rPr>
        <w:t>[</w:t>
      </w:r>
      <w:r w:rsidR="00A93424">
        <w:rPr>
          <w:rStyle w:val="References"/>
        </w:rPr>
        <w:t xml:space="preserve">Schedule </w:t>
      </w:r>
      <w:r w:rsidR="00991BA5">
        <w:rPr>
          <w:rStyle w:val="References"/>
        </w:rPr>
        <w:t>3</w:t>
      </w:r>
      <w:r w:rsidRPr="003F5447">
        <w:rPr>
          <w:rStyle w:val="References"/>
        </w:rPr>
        <w:t xml:space="preserve">, item </w:t>
      </w:r>
      <w:r>
        <w:rPr>
          <w:rStyle w:val="References"/>
        </w:rPr>
        <w:t>6</w:t>
      </w:r>
      <w:r w:rsidRPr="003F5447">
        <w:rPr>
          <w:rStyle w:val="References"/>
        </w:rPr>
        <w:t xml:space="preserve">, </w:t>
      </w:r>
      <w:r w:rsidR="00022D75">
        <w:rPr>
          <w:rStyle w:val="References"/>
        </w:rPr>
        <w:t>sub</w:t>
      </w:r>
      <w:r w:rsidRPr="003F5447">
        <w:rPr>
          <w:rStyle w:val="References"/>
        </w:rPr>
        <w:t>section 792</w:t>
      </w:r>
      <w:proofErr w:type="gramStart"/>
      <w:r w:rsidRPr="003F5447">
        <w:rPr>
          <w:rStyle w:val="References"/>
        </w:rPr>
        <w:t>B</w:t>
      </w:r>
      <w:r w:rsidR="00022D75">
        <w:rPr>
          <w:rStyle w:val="References"/>
        </w:rPr>
        <w:t>(</w:t>
      </w:r>
      <w:proofErr w:type="gramEnd"/>
      <w:r w:rsidR="00022D75">
        <w:rPr>
          <w:rStyle w:val="References"/>
        </w:rPr>
        <w:t>1) of the Act</w:t>
      </w:r>
      <w:r w:rsidRPr="003F5447">
        <w:rPr>
          <w:rStyle w:val="References"/>
        </w:rPr>
        <w:t>]</w:t>
      </w:r>
      <w:r w:rsidR="006A0221" w:rsidRPr="006A0221">
        <w:rPr>
          <w:rStyle w:val="References"/>
        </w:rPr>
        <w:t xml:space="preserve"> </w:t>
      </w:r>
    </w:p>
    <w:p w14:paraId="51FC9065" w14:textId="59305D19" w:rsidR="00E32605" w:rsidRPr="00E32605" w:rsidRDefault="00E32605" w:rsidP="00E32605">
      <w:pPr>
        <w:pStyle w:val="Dotpoint1"/>
        <w:rPr>
          <w:rStyle w:val="References"/>
          <w:b w:val="0"/>
          <w:bCs w:val="0"/>
          <w:i w:val="0"/>
          <w:iCs w:val="0"/>
        </w:rPr>
      </w:pPr>
      <w:r w:rsidRPr="00E32605">
        <w:rPr>
          <w:rStyle w:val="References"/>
          <w:b w:val="0"/>
          <w:bCs w:val="0"/>
          <w:i w:val="0"/>
          <w:iCs w:val="0"/>
        </w:rPr>
        <w:t xml:space="preserve">a </w:t>
      </w:r>
      <w:r>
        <w:rPr>
          <w:rStyle w:val="References"/>
          <w:b w:val="0"/>
          <w:bCs w:val="0"/>
          <w:i w:val="0"/>
          <w:iCs w:val="0"/>
        </w:rPr>
        <w:t xml:space="preserve">CS facility </w:t>
      </w:r>
      <w:r w:rsidRPr="00E32605">
        <w:rPr>
          <w:rStyle w:val="References"/>
          <w:b w:val="0"/>
          <w:bCs w:val="0"/>
          <w:i w:val="0"/>
          <w:iCs w:val="0"/>
        </w:rPr>
        <w:t>licensee advis</w:t>
      </w:r>
      <w:r>
        <w:rPr>
          <w:rStyle w:val="References"/>
          <w:b w:val="0"/>
          <w:bCs w:val="0"/>
          <w:i w:val="0"/>
          <w:iCs w:val="0"/>
        </w:rPr>
        <w:t xml:space="preserve">ing </w:t>
      </w:r>
      <w:r w:rsidRPr="00E32605">
        <w:rPr>
          <w:rStyle w:val="References"/>
          <w:b w:val="0"/>
          <w:bCs w:val="0"/>
          <w:i w:val="0"/>
          <w:iCs w:val="0"/>
        </w:rPr>
        <w:t xml:space="preserve">ASIC it has breached a general licence obligation </w:t>
      </w:r>
      <w:r>
        <w:rPr>
          <w:rStyle w:val="References"/>
          <w:b w:val="0"/>
          <w:bCs w:val="0"/>
          <w:i w:val="0"/>
          <w:iCs w:val="0"/>
        </w:rPr>
        <w:t>or is unable to meet its obligations</w:t>
      </w:r>
      <w:r w:rsidRPr="00E32605">
        <w:rPr>
          <w:rStyle w:val="References"/>
          <w:b w:val="0"/>
          <w:bCs w:val="0"/>
          <w:i w:val="0"/>
          <w:iCs w:val="0"/>
        </w:rPr>
        <w:t>.</w:t>
      </w:r>
      <w:r>
        <w:rPr>
          <w:rStyle w:val="References"/>
          <w:b w:val="0"/>
          <w:bCs w:val="0"/>
          <w:i w:val="0"/>
          <w:iCs w:val="0"/>
        </w:rPr>
        <w:br/>
      </w:r>
      <w:r w:rsidRPr="00E32605">
        <w:rPr>
          <w:rStyle w:val="References"/>
        </w:rPr>
        <w:t>[</w:t>
      </w:r>
      <w:r w:rsidR="00A93424">
        <w:rPr>
          <w:rStyle w:val="References"/>
        </w:rPr>
        <w:t xml:space="preserve">Schedule </w:t>
      </w:r>
      <w:r w:rsidR="007738FF">
        <w:rPr>
          <w:rStyle w:val="References"/>
        </w:rPr>
        <w:t>3</w:t>
      </w:r>
      <w:r w:rsidRPr="00E32605">
        <w:rPr>
          <w:rStyle w:val="References"/>
        </w:rPr>
        <w:t xml:space="preserve">, item </w:t>
      </w:r>
      <w:r w:rsidR="00AD78CC">
        <w:rPr>
          <w:rStyle w:val="References"/>
        </w:rPr>
        <w:t>80</w:t>
      </w:r>
      <w:r w:rsidRPr="00E32605">
        <w:rPr>
          <w:rStyle w:val="References"/>
        </w:rPr>
        <w:t xml:space="preserve">, section </w:t>
      </w:r>
      <w:r>
        <w:rPr>
          <w:rStyle w:val="References"/>
        </w:rPr>
        <w:t>821</w:t>
      </w:r>
      <w:proofErr w:type="gramStart"/>
      <w:r>
        <w:rPr>
          <w:rStyle w:val="References"/>
        </w:rPr>
        <w:t>B(</w:t>
      </w:r>
      <w:proofErr w:type="gramEnd"/>
      <w:r>
        <w:rPr>
          <w:rStyle w:val="References"/>
        </w:rPr>
        <w:t xml:space="preserve">1) </w:t>
      </w:r>
      <w:r w:rsidRPr="00E32605">
        <w:rPr>
          <w:rStyle w:val="References"/>
        </w:rPr>
        <w:t>of the Act]</w:t>
      </w:r>
    </w:p>
    <w:p w14:paraId="6950D81D" w14:textId="362C6FC9" w:rsidR="00051F28" w:rsidRPr="00564836" w:rsidRDefault="00051F28" w:rsidP="00125C2C">
      <w:pPr>
        <w:pStyle w:val="Normalparatextwithnumbers"/>
        <w:rPr>
          <w:rStyle w:val="References"/>
          <w:b w:val="0"/>
          <w:bCs w:val="0"/>
          <w:i w:val="0"/>
          <w:iCs w:val="0"/>
        </w:rPr>
      </w:pPr>
      <w:r>
        <w:t>ASIC</w:t>
      </w:r>
      <w:r w:rsidR="006A0221">
        <w:t>’s ability to provide advice, information or documents to the Minister on any matter the Minister retains power over is</w:t>
      </w:r>
      <w:r>
        <w:t xml:space="preserve"> </w:t>
      </w:r>
      <w:r w:rsidR="006A0221">
        <w:t>unchanged</w:t>
      </w:r>
      <w:r>
        <w:t>.</w:t>
      </w:r>
      <w:r w:rsidR="006A0221">
        <w:t xml:space="preserve"> ASIC may continue to provide advice to the Minister </w:t>
      </w:r>
      <w:r w:rsidR="006A32ED">
        <w:t>on Australian market licences and CS facilities</w:t>
      </w:r>
      <w:r w:rsidR="006A0221">
        <w:t>.</w:t>
      </w:r>
      <w:r w:rsidR="006A0221" w:rsidRPr="006A0221">
        <w:rPr>
          <w:rStyle w:val="References"/>
        </w:rPr>
        <w:t xml:space="preserve"> </w:t>
      </w:r>
      <w:r w:rsidR="006A0221">
        <w:rPr>
          <w:rStyle w:val="References"/>
        </w:rPr>
        <w:br/>
        <w:t>[</w:t>
      </w:r>
      <w:r w:rsidR="00A93424">
        <w:rPr>
          <w:rStyle w:val="References"/>
        </w:rPr>
        <w:t xml:space="preserve">Schedule </w:t>
      </w:r>
      <w:r w:rsidR="00447C12">
        <w:rPr>
          <w:rStyle w:val="References"/>
        </w:rPr>
        <w:t>3</w:t>
      </w:r>
      <w:r w:rsidR="006A0221">
        <w:rPr>
          <w:rStyle w:val="References"/>
        </w:rPr>
        <w:t xml:space="preserve">, </w:t>
      </w:r>
      <w:r w:rsidR="006A0221" w:rsidRPr="00022D75">
        <w:rPr>
          <w:rStyle w:val="References"/>
        </w:rPr>
        <w:t>item</w:t>
      </w:r>
      <w:r w:rsidR="006A32ED">
        <w:rPr>
          <w:rStyle w:val="References"/>
        </w:rPr>
        <w:t>s</w:t>
      </w:r>
      <w:r w:rsidR="006A0221" w:rsidRPr="00022D75">
        <w:rPr>
          <w:rStyle w:val="References"/>
        </w:rPr>
        <w:t xml:space="preserve"> 6</w:t>
      </w:r>
      <w:r w:rsidR="00B25E1F">
        <w:rPr>
          <w:rStyle w:val="References"/>
        </w:rPr>
        <w:t>8</w:t>
      </w:r>
      <w:r w:rsidR="006A32ED">
        <w:rPr>
          <w:rStyle w:val="References"/>
        </w:rPr>
        <w:t xml:space="preserve"> and 1</w:t>
      </w:r>
      <w:r w:rsidR="00987507">
        <w:rPr>
          <w:rStyle w:val="References"/>
        </w:rPr>
        <w:t>35</w:t>
      </w:r>
      <w:r w:rsidR="006A0221" w:rsidRPr="00022D75">
        <w:rPr>
          <w:rStyle w:val="References"/>
        </w:rPr>
        <w:t>, section</w:t>
      </w:r>
      <w:r w:rsidR="006A32ED">
        <w:rPr>
          <w:rStyle w:val="References"/>
        </w:rPr>
        <w:t>s</w:t>
      </w:r>
      <w:r w:rsidR="006A0221" w:rsidRPr="00022D75">
        <w:rPr>
          <w:rStyle w:val="References"/>
        </w:rPr>
        <w:t xml:space="preserve"> 798B </w:t>
      </w:r>
      <w:r w:rsidR="006A32ED">
        <w:rPr>
          <w:rStyle w:val="References"/>
        </w:rPr>
        <w:t xml:space="preserve">and 827B </w:t>
      </w:r>
      <w:r w:rsidR="006A0221">
        <w:rPr>
          <w:rStyle w:val="References"/>
        </w:rPr>
        <w:t>of the Act]</w:t>
      </w:r>
    </w:p>
    <w:p w14:paraId="52E8C1BD" w14:textId="7EDBB0D9" w:rsidR="00564836" w:rsidRPr="00051F28" w:rsidRDefault="00564836" w:rsidP="00AD1047">
      <w:pPr>
        <w:pStyle w:val="Normalparatextwithnumbers"/>
        <w:rPr>
          <w:rStyle w:val="References"/>
          <w:b w:val="0"/>
          <w:bCs w:val="0"/>
          <w:i w:val="0"/>
          <w:iCs w:val="0"/>
        </w:rPr>
      </w:pPr>
      <w:r>
        <w:t xml:space="preserve">The RBA may continue to provide advice to the Minister in relation to any matter concerning CS facilities. </w:t>
      </w:r>
      <w:r>
        <w:br/>
      </w:r>
      <w:r w:rsidRPr="00564836">
        <w:rPr>
          <w:rStyle w:val="References"/>
        </w:rPr>
        <w:t>[</w:t>
      </w:r>
      <w:r w:rsidR="00A93424">
        <w:rPr>
          <w:rStyle w:val="References"/>
        </w:rPr>
        <w:t xml:space="preserve">Schedule </w:t>
      </w:r>
      <w:r w:rsidR="001525A5">
        <w:rPr>
          <w:rStyle w:val="References"/>
        </w:rPr>
        <w:t>3</w:t>
      </w:r>
      <w:r w:rsidRPr="00564836">
        <w:rPr>
          <w:rStyle w:val="References"/>
        </w:rPr>
        <w:t>, item</w:t>
      </w:r>
      <w:r w:rsidR="008141BE">
        <w:rPr>
          <w:rStyle w:val="References"/>
        </w:rPr>
        <w:t xml:space="preserve"> 135</w:t>
      </w:r>
      <w:r w:rsidRPr="00564836">
        <w:rPr>
          <w:rStyle w:val="References"/>
        </w:rPr>
        <w:t>, section 827</w:t>
      </w:r>
      <w:r>
        <w:rPr>
          <w:rStyle w:val="References"/>
        </w:rPr>
        <w:t>C</w:t>
      </w:r>
      <w:r w:rsidRPr="00564836">
        <w:rPr>
          <w:rStyle w:val="References"/>
        </w:rPr>
        <w:t xml:space="preserve"> of the Act]</w:t>
      </w:r>
    </w:p>
    <w:p w14:paraId="24AAABCF" w14:textId="77777777" w:rsidR="00B23F0C" w:rsidRPr="009A6FE3" w:rsidRDefault="00B23F0C" w:rsidP="00B23F0C">
      <w:pPr>
        <w:pStyle w:val="Heading4"/>
        <w:numPr>
          <w:ilvl w:val="3"/>
          <w:numId w:val="2"/>
        </w:numPr>
      </w:pPr>
      <w:r>
        <w:t>Licensee compliance</w:t>
      </w:r>
    </w:p>
    <w:p w14:paraId="428DD919" w14:textId="3A78BE8D" w:rsidR="00B23F0C" w:rsidRPr="00BC0453" w:rsidRDefault="00B23F0C" w:rsidP="00F10A7D">
      <w:pPr>
        <w:pStyle w:val="Normalparatextwithnumbers"/>
      </w:pPr>
      <w:r w:rsidRPr="003F42D9">
        <w:t>ASIC may assess a licensee’s compliance with their obligations under Chapter 7 of the Act. ASIC</w:t>
      </w:r>
      <w:r>
        <w:t xml:space="preserve"> does not need </w:t>
      </w:r>
      <w:r w:rsidRPr="003F42D9">
        <w:t>to provide a copy of the assessment to the Minister for a</w:t>
      </w:r>
      <w:r w:rsidR="00D36EEA">
        <w:t>n</w:t>
      </w:r>
      <w:r w:rsidRPr="003F42D9">
        <w:t>:</w:t>
      </w:r>
    </w:p>
    <w:p w14:paraId="56CE7710" w14:textId="69A9875C" w:rsidR="00B23F0C" w:rsidRPr="00A8553A" w:rsidRDefault="00B23F0C" w:rsidP="00B23F0C">
      <w:pPr>
        <w:pStyle w:val="Dotpoint1"/>
        <w:ind w:left="1418" w:hanging="709"/>
        <w:rPr>
          <w:rStyle w:val="References"/>
        </w:rPr>
      </w:pPr>
      <w:r w:rsidRPr="003F42D9">
        <w:t>A</w:t>
      </w:r>
      <w:r>
        <w:t>ustralian market licensee;</w:t>
      </w:r>
      <w:r>
        <w:br/>
      </w:r>
      <w:r w:rsidRPr="00A8553A">
        <w:rPr>
          <w:rStyle w:val="References"/>
        </w:rPr>
        <w:t>[</w:t>
      </w:r>
      <w:r w:rsidR="00A93424">
        <w:rPr>
          <w:rStyle w:val="References"/>
        </w:rPr>
        <w:t xml:space="preserve">Schedule </w:t>
      </w:r>
      <w:r w:rsidR="00ED6865">
        <w:rPr>
          <w:rStyle w:val="References"/>
        </w:rPr>
        <w:t>3</w:t>
      </w:r>
      <w:r w:rsidRPr="00A8553A">
        <w:rPr>
          <w:rStyle w:val="References"/>
        </w:rPr>
        <w:t>, items 20</w:t>
      </w:r>
      <w:r w:rsidR="00E31815">
        <w:rPr>
          <w:rStyle w:val="References"/>
        </w:rPr>
        <w:t xml:space="preserve">, </w:t>
      </w:r>
      <w:r w:rsidRPr="00A8553A">
        <w:rPr>
          <w:rStyle w:val="References"/>
        </w:rPr>
        <w:t>21</w:t>
      </w:r>
      <w:r w:rsidR="00E31815">
        <w:rPr>
          <w:rStyle w:val="References"/>
        </w:rPr>
        <w:t xml:space="preserve"> and 22</w:t>
      </w:r>
      <w:r w:rsidRPr="00A8553A">
        <w:rPr>
          <w:rStyle w:val="References"/>
        </w:rPr>
        <w:t xml:space="preserve"> subsections 794</w:t>
      </w:r>
      <w:proofErr w:type="gramStart"/>
      <w:r w:rsidRPr="00A8553A">
        <w:rPr>
          <w:rStyle w:val="References"/>
        </w:rPr>
        <w:t>C(</w:t>
      </w:r>
      <w:proofErr w:type="gramEnd"/>
      <w:r w:rsidRPr="00A8553A">
        <w:rPr>
          <w:rStyle w:val="References"/>
        </w:rPr>
        <w:t xml:space="preserve">3) </w:t>
      </w:r>
      <w:r>
        <w:rPr>
          <w:rStyle w:val="References"/>
        </w:rPr>
        <w:t>and</w:t>
      </w:r>
      <w:r w:rsidRPr="00A8553A">
        <w:rPr>
          <w:rStyle w:val="References"/>
        </w:rPr>
        <w:t xml:space="preserve"> (6) of the Act</w:t>
      </w:r>
      <w:r>
        <w:rPr>
          <w:rStyle w:val="References"/>
        </w:rPr>
        <w:t>]</w:t>
      </w:r>
      <w:r w:rsidRPr="00A8553A">
        <w:rPr>
          <w:rStyle w:val="References"/>
        </w:rPr>
        <w:t xml:space="preserve"> </w:t>
      </w:r>
    </w:p>
    <w:p w14:paraId="49BA78A1" w14:textId="390E1903" w:rsidR="00B23F0C" w:rsidRPr="00A8553A" w:rsidRDefault="00B23F0C" w:rsidP="00B23F0C">
      <w:pPr>
        <w:pStyle w:val="Dotpoint1"/>
        <w:ind w:left="1418" w:hanging="709"/>
        <w:rPr>
          <w:rStyle w:val="References"/>
        </w:rPr>
      </w:pPr>
      <w:r w:rsidRPr="003F42D9">
        <w:lastRenderedPageBreak/>
        <w:t xml:space="preserve">CS facility licensee </w:t>
      </w:r>
      <w:r>
        <w:t>(</w:t>
      </w:r>
      <w:r w:rsidRPr="003F42D9">
        <w:t>ASIC will still need to provide a copy of the assessment to the RBA</w:t>
      </w:r>
      <w:r>
        <w:t>)</w:t>
      </w:r>
      <w:r w:rsidRPr="003F42D9">
        <w:t>;</w:t>
      </w:r>
      <w:r>
        <w:br/>
      </w:r>
      <w:r w:rsidRPr="00A8553A">
        <w:rPr>
          <w:rStyle w:val="References"/>
        </w:rPr>
        <w:t>[</w:t>
      </w:r>
      <w:r w:rsidR="00A93424">
        <w:rPr>
          <w:rStyle w:val="References"/>
        </w:rPr>
        <w:t xml:space="preserve">Schedule </w:t>
      </w:r>
      <w:r w:rsidR="00901890">
        <w:rPr>
          <w:rStyle w:val="References"/>
        </w:rPr>
        <w:t>3</w:t>
      </w:r>
      <w:r w:rsidRPr="00A8553A">
        <w:rPr>
          <w:rStyle w:val="References"/>
        </w:rPr>
        <w:t xml:space="preserve">, items </w:t>
      </w:r>
      <w:r w:rsidR="00D17B81">
        <w:rPr>
          <w:rStyle w:val="References"/>
        </w:rPr>
        <w:t>93</w:t>
      </w:r>
      <w:r w:rsidRPr="00A8553A">
        <w:rPr>
          <w:rStyle w:val="References"/>
        </w:rPr>
        <w:t xml:space="preserve"> and 9</w:t>
      </w:r>
      <w:r w:rsidR="00D17B81">
        <w:rPr>
          <w:rStyle w:val="References"/>
        </w:rPr>
        <w:t>4</w:t>
      </w:r>
      <w:r w:rsidRPr="00A8553A">
        <w:rPr>
          <w:rStyle w:val="References"/>
        </w:rPr>
        <w:t>, subsections 823</w:t>
      </w:r>
      <w:proofErr w:type="gramStart"/>
      <w:r w:rsidRPr="00A8553A">
        <w:rPr>
          <w:rStyle w:val="References"/>
        </w:rPr>
        <w:t>C(</w:t>
      </w:r>
      <w:proofErr w:type="gramEnd"/>
      <w:r w:rsidRPr="00A8553A">
        <w:rPr>
          <w:rStyle w:val="References"/>
        </w:rPr>
        <w:t>3) and (6) of the Act]</w:t>
      </w:r>
    </w:p>
    <w:p w14:paraId="11B28DD6" w14:textId="429A673B" w:rsidR="00B23F0C" w:rsidRPr="003F42D9" w:rsidRDefault="00E325D5" w:rsidP="00B23F0C">
      <w:pPr>
        <w:pStyle w:val="Dotpoint1"/>
        <w:ind w:left="1418" w:hanging="709"/>
      </w:pPr>
      <w:r>
        <w:t>d</w:t>
      </w:r>
      <w:r w:rsidR="00B23F0C">
        <w:t xml:space="preserve">erivative trade repository licensee; </w:t>
      </w:r>
      <w:r w:rsidR="008D275F">
        <w:t>or</w:t>
      </w:r>
      <w:r w:rsidR="00B23F0C">
        <w:br/>
      </w:r>
      <w:r w:rsidR="00B23F0C" w:rsidRPr="00B23F0C">
        <w:rPr>
          <w:rStyle w:val="References"/>
        </w:rPr>
        <w:t>[</w:t>
      </w:r>
      <w:r w:rsidR="00A93424">
        <w:rPr>
          <w:rStyle w:val="References"/>
        </w:rPr>
        <w:t xml:space="preserve">Schedule </w:t>
      </w:r>
      <w:r w:rsidR="00072258">
        <w:rPr>
          <w:rStyle w:val="References"/>
        </w:rPr>
        <w:t>3</w:t>
      </w:r>
      <w:r w:rsidR="00B23F0C" w:rsidRPr="00B23F0C">
        <w:rPr>
          <w:rStyle w:val="References"/>
        </w:rPr>
        <w:t>, item 1</w:t>
      </w:r>
      <w:r w:rsidR="001B14C2">
        <w:rPr>
          <w:rStyle w:val="References"/>
        </w:rPr>
        <w:t>73</w:t>
      </w:r>
      <w:r w:rsidR="00B23F0C" w:rsidRPr="00B23F0C">
        <w:rPr>
          <w:rStyle w:val="References"/>
        </w:rPr>
        <w:t xml:space="preserve"> subsection 904</w:t>
      </w:r>
      <w:proofErr w:type="gramStart"/>
      <w:r w:rsidR="00B23F0C" w:rsidRPr="00B23F0C">
        <w:rPr>
          <w:rStyle w:val="References"/>
        </w:rPr>
        <w:t>J(</w:t>
      </w:r>
      <w:proofErr w:type="gramEnd"/>
      <w:r w:rsidR="00B23F0C" w:rsidRPr="00B23F0C">
        <w:rPr>
          <w:rStyle w:val="References"/>
        </w:rPr>
        <w:t>2) of the Act]</w:t>
      </w:r>
    </w:p>
    <w:p w14:paraId="09F7F9F3" w14:textId="3B17BAAC" w:rsidR="00B23F0C" w:rsidRDefault="00B23F0C" w:rsidP="00B23F0C">
      <w:pPr>
        <w:pStyle w:val="Dotpoint1"/>
        <w:ind w:left="1418" w:hanging="709"/>
      </w:pPr>
      <w:r>
        <w:t>benchmark administrator licensee;</w:t>
      </w:r>
      <w:r>
        <w:br/>
      </w:r>
      <w:r w:rsidRPr="00B23F0C">
        <w:rPr>
          <w:rStyle w:val="References"/>
        </w:rPr>
        <w:t>[</w:t>
      </w:r>
      <w:r w:rsidR="00A93424">
        <w:rPr>
          <w:rStyle w:val="References"/>
        </w:rPr>
        <w:t xml:space="preserve">Schedule </w:t>
      </w:r>
      <w:r w:rsidR="00341017">
        <w:rPr>
          <w:rStyle w:val="References"/>
        </w:rPr>
        <w:t>3</w:t>
      </w:r>
      <w:r w:rsidRPr="00B23F0C">
        <w:rPr>
          <w:rStyle w:val="References"/>
        </w:rPr>
        <w:t>, item 1</w:t>
      </w:r>
      <w:r w:rsidR="00F26CA5">
        <w:rPr>
          <w:rStyle w:val="References"/>
        </w:rPr>
        <w:t>75</w:t>
      </w:r>
      <w:r w:rsidRPr="00B23F0C">
        <w:rPr>
          <w:rStyle w:val="References"/>
        </w:rPr>
        <w:t>, subsection 908</w:t>
      </w:r>
      <w:proofErr w:type="gramStart"/>
      <w:r w:rsidRPr="00B23F0C">
        <w:rPr>
          <w:rStyle w:val="References"/>
        </w:rPr>
        <w:t>BW(</w:t>
      </w:r>
      <w:proofErr w:type="gramEnd"/>
      <w:r w:rsidRPr="00B23F0C">
        <w:rPr>
          <w:rStyle w:val="References"/>
        </w:rPr>
        <w:t>2) of the Act]</w:t>
      </w:r>
      <w:r w:rsidRPr="003F42D9">
        <w:t xml:space="preserve">  </w:t>
      </w:r>
    </w:p>
    <w:p w14:paraId="7BFBCCD9" w14:textId="6F0112FD" w:rsidR="008C20B5" w:rsidRDefault="00E325D5" w:rsidP="00BD58ED">
      <w:pPr>
        <w:pStyle w:val="Normalparatextwithnumbers"/>
        <w:rPr>
          <w:rStyle w:val="References"/>
          <w:rFonts w:eastAsiaTheme="majorEastAsia" w:cstheme="majorBidi"/>
          <w:b w:val="0"/>
          <w:i w:val="0"/>
          <w:szCs w:val="32"/>
        </w:rPr>
      </w:pPr>
      <w:r>
        <w:t>The RBA has similar powers to assess a CS facility licensee</w:t>
      </w:r>
      <w:r w:rsidR="002E1824">
        <w:t>’s</w:t>
      </w:r>
      <w:r>
        <w:t xml:space="preserve"> </w:t>
      </w:r>
      <w:r w:rsidR="00487D0A">
        <w:t xml:space="preserve">compliance with </w:t>
      </w:r>
      <w:r w:rsidR="00A13298">
        <w:t>the</w:t>
      </w:r>
      <w:r w:rsidR="00487D0A">
        <w:t xml:space="preserve"> financial stability standards. </w:t>
      </w:r>
      <w:r>
        <w:t>T</w:t>
      </w:r>
      <w:r w:rsidRPr="00E325D5">
        <w:t>he RBA is not required to provide a copy of their assessment to the Minister</w:t>
      </w:r>
      <w:r w:rsidR="00487D0A">
        <w:t xml:space="preserve">, however, must </w:t>
      </w:r>
      <w:r w:rsidR="00487D0A" w:rsidRPr="00E325D5">
        <w:t>provide a copy of the assessment to ASIC</w:t>
      </w:r>
      <w:r w:rsidR="00487D0A">
        <w:t xml:space="preserve">. </w:t>
      </w:r>
      <w:r w:rsidR="00487D0A" w:rsidRPr="00E325D5">
        <w:t xml:space="preserve"> </w:t>
      </w:r>
      <w:r w:rsidR="00487D0A">
        <w:br/>
      </w:r>
      <w:r w:rsidR="00487D0A" w:rsidRPr="00487D0A">
        <w:rPr>
          <w:rStyle w:val="References"/>
        </w:rPr>
        <w:t>[</w:t>
      </w:r>
      <w:r w:rsidR="00A93424">
        <w:rPr>
          <w:rStyle w:val="References"/>
        </w:rPr>
        <w:t xml:space="preserve">Schedule </w:t>
      </w:r>
      <w:r w:rsidR="001155DC">
        <w:rPr>
          <w:rStyle w:val="References"/>
        </w:rPr>
        <w:t>3</w:t>
      </w:r>
      <w:r w:rsidR="00487D0A" w:rsidRPr="00487D0A">
        <w:rPr>
          <w:rStyle w:val="References"/>
        </w:rPr>
        <w:t>, items 9</w:t>
      </w:r>
      <w:r w:rsidR="00B7125C">
        <w:rPr>
          <w:rStyle w:val="References"/>
        </w:rPr>
        <w:t>6</w:t>
      </w:r>
      <w:r w:rsidR="00B578D2">
        <w:rPr>
          <w:rStyle w:val="References"/>
        </w:rPr>
        <w:t xml:space="preserve">, </w:t>
      </w:r>
      <w:r w:rsidR="00487D0A" w:rsidRPr="00487D0A">
        <w:rPr>
          <w:rStyle w:val="References"/>
        </w:rPr>
        <w:t>9</w:t>
      </w:r>
      <w:r w:rsidR="00B7125C">
        <w:rPr>
          <w:rStyle w:val="References"/>
        </w:rPr>
        <w:t>7</w:t>
      </w:r>
      <w:r w:rsidR="00B578D2">
        <w:rPr>
          <w:rStyle w:val="References"/>
        </w:rPr>
        <w:t xml:space="preserve"> and 98</w:t>
      </w:r>
      <w:r w:rsidR="00487D0A" w:rsidRPr="00487D0A">
        <w:rPr>
          <w:rStyle w:val="References"/>
        </w:rPr>
        <w:t xml:space="preserve">, </w:t>
      </w:r>
      <w:r w:rsidRPr="00487D0A">
        <w:rPr>
          <w:rStyle w:val="References"/>
        </w:rPr>
        <w:t>subsection</w:t>
      </w:r>
      <w:r w:rsidR="00B578D2">
        <w:rPr>
          <w:rStyle w:val="References"/>
        </w:rPr>
        <w:t>s</w:t>
      </w:r>
      <w:r w:rsidRPr="00487D0A">
        <w:rPr>
          <w:rStyle w:val="References"/>
        </w:rPr>
        <w:t xml:space="preserve"> 823</w:t>
      </w:r>
      <w:proofErr w:type="gramStart"/>
      <w:r w:rsidRPr="00487D0A">
        <w:rPr>
          <w:rStyle w:val="References"/>
        </w:rPr>
        <w:t>CA(</w:t>
      </w:r>
      <w:proofErr w:type="gramEnd"/>
      <w:r w:rsidRPr="00487D0A">
        <w:rPr>
          <w:rStyle w:val="References"/>
        </w:rPr>
        <w:t>3)</w:t>
      </w:r>
      <w:r w:rsidR="00B578D2">
        <w:rPr>
          <w:rStyle w:val="References"/>
        </w:rPr>
        <w:t xml:space="preserve"> and (5)</w:t>
      </w:r>
      <w:r w:rsidRPr="00487D0A">
        <w:rPr>
          <w:rStyle w:val="References"/>
        </w:rPr>
        <w:t xml:space="preserve"> of the Act</w:t>
      </w:r>
      <w:r w:rsidR="00487D0A" w:rsidRPr="00487D0A">
        <w:rPr>
          <w:rStyle w:val="References"/>
        </w:rPr>
        <w:t>]</w:t>
      </w:r>
    </w:p>
    <w:p w14:paraId="138ADBB6" w14:textId="77777777" w:rsidR="00FF5371" w:rsidRPr="00815E75" w:rsidRDefault="00FF5371" w:rsidP="00FF5371">
      <w:pPr>
        <w:pStyle w:val="Heading4"/>
        <w:numPr>
          <w:ilvl w:val="3"/>
          <w:numId w:val="2"/>
        </w:numPr>
        <w:rPr>
          <w:rFonts w:cstheme="minorBidi"/>
        </w:rPr>
      </w:pPr>
      <w:r>
        <w:t>Disqualification</w:t>
      </w:r>
    </w:p>
    <w:p w14:paraId="511B9F4C" w14:textId="69C085B1" w:rsidR="00FF5371" w:rsidRPr="002215E6" w:rsidRDefault="00FF5371" w:rsidP="00BD58ED">
      <w:pPr>
        <w:pStyle w:val="Normalparatextwithnumbers"/>
      </w:pPr>
      <w:r w:rsidRPr="002830B3">
        <w:t>The procedure for ASIC to declare that</w:t>
      </w:r>
      <w:r>
        <w:t xml:space="preserve"> an</w:t>
      </w:r>
      <w:r w:rsidRPr="002830B3">
        <w:t xml:space="preserve"> individual is disqualified from being involved in an A</w:t>
      </w:r>
      <w:r>
        <w:t>ustralian market licensee</w:t>
      </w:r>
      <w:r w:rsidRPr="002830B3">
        <w:t>,</w:t>
      </w:r>
      <w:r>
        <w:t xml:space="preserve"> CS </w:t>
      </w:r>
      <w:r w:rsidRPr="002830B3">
        <w:t xml:space="preserve">facility licensee, </w:t>
      </w:r>
      <w:r>
        <w:t>derivative trade repository licensee</w:t>
      </w:r>
      <w:r w:rsidRPr="002830B3">
        <w:t xml:space="preserve"> or a </w:t>
      </w:r>
      <w:r>
        <w:t>benchmark administrator licensee</w:t>
      </w:r>
      <w:r w:rsidRPr="002830B3">
        <w:t xml:space="preserve"> no longer involve</w:t>
      </w:r>
      <w:r>
        <w:t>s</w:t>
      </w:r>
      <w:r w:rsidRPr="002830B3">
        <w:t xml:space="preserve"> the Minister. </w:t>
      </w:r>
      <w:r>
        <w:t xml:space="preserve">Therefore, amendments are made to remove the Minister’s involvement </w:t>
      </w:r>
      <w:r w:rsidRPr="002830B3">
        <w:t xml:space="preserve">where ASIC </w:t>
      </w:r>
      <w:r>
        <w:t>is not required to</w:t>
      </w:r>
      <w:r w:rsidR="00A36DA4">
        <w:t xml:space="preserve"> provide </w:t>
      </w:r>
      <w:r w:rsidR="00763E0F">
        <w:t xml:space="preserve">the following to the </w:t>
      </w:r>
      <w:proofErr w:type="gramStart"/>
      <w:r w:rsidR="00763E0F">
        <w:t>Minister:</w:t>
      </w:r>
      <w:r>
        <w:t>:</w:t>
      </w:r>
      <w:proofErr w:type="gramEnd"/>
    </w:p>
    <w:p w14:paraId="2BBAF9B5" w14:textId="1B37F204" w:rsidR="00FF5371" w:rsidRPr="002830B3" w:rsidRDefault="00763E0F" w:rsidP="00FF5371">
      <w:pPr>
        <w:pStyle w:val="Dotpoint1"/>
      </w:pPr>
      <w:r>
        <w:t xml:space="preserve">a </w:t>
      </w:r>
      <w:r w:rsidR="00FF5371" w:rsidRPr="002830B3">
        <w:t>declaration notice</w:t>
      </w:r>
      <w:r>
        <w:t>;</w:t>
      </w:r>
      <w:r w:rsidR="00FF5371">
        <w:br/>
      </w:r>
      <w:r w:rsidR="00FF5371" w:rsidRPr="00FF5371">
        <w:rPr>
          <w:rStyle w:val="References"/>
        </w:rPr>
        <w:t>[</w:t>
      </w:r>
      <w:r w:rsidR="00A93424">
        <w:rPr>
          <w:rStyle w:val="References"/>
        </w:rPr>
        <w:t xml:space="preserve">Schedule </w:t>
      </w:r>
      <w:r w:rsidR="00120EC5">
        <w:rPr>
          <w:rStyle w:val="References"/>
        </w:rPr>
        <w:t>3</w:t>
      </w:r>
      <w:r w:rsidR="00FF5371" w:rsidRPr="00FF5371">
        <w:rPr>
          <w:rStyle w:val="References"/>
        </w:rPr>
        <w:t>, items 1</w:t>
      </w:r>
      <w:r w:rsidR="00E21D58">
        <w:rPr>
          <w:rStyle w:val="References"/>
        </w:rPr>
        <w:t>3</w:t>
      </w:r>
      <w:r w:rsidR="00FF5371" w:rsidRPr="00FF5371">
        <w:rPr>
          <w:rStyle w:val="References"/>
        </w:rPr>
        <w:t>9</w:t>
      </w:r>
      <w:r w:rsidR="00E21D58">
        <w:rPr>
          <w:rStyle w:val="References"/>
        </w:rPr>
        <w:t xml:space="preserve"> to </w:t>
      </w:r>
      <w:r w:rsidR="00FF5371" w:rsidRPr="00FF5371">
        <w:rPr>
          <w:rStyle w:val="References"/>
        </w:rPr>
        <w:t>1</w:t>
      </w:r>
      <w:r w:rsidR="00E21D58">
        <w:rPr>
          <w:rStyle w:val="References"/>
        </w:rPr>
        <w:t>4</w:t>
      </w:r>
      <w:r w:rsidR="00FF5371" w:rsidRPr="00FF5371">
        <w:rPr>
          <w:rStyle w:val="References"/>
        </w:rPr>
        <w:t>1, subsection 853</w:t>
      </w:r>
      <w:proofErr w:type="gramStart"/>
      <w:r w:rsidR="00FF5371" w:rsidRPr="00FF5371">
        <w:rPr>
          <w:rStyle w:val="References"/>
        </w:rPr>
        <w:t>D(</w:t>
      </w:r>
      <w:proofErr w:type="gramEnd"/>
      <w:r w:rsidR="00FF5371" w:rsidRPr="00FF5371">
        <w:rPr>
          <w:rStyle w:val="References"/>
        </w:rPr>
        <w:t>3) and subparagraph 853D(6)(b)(iii) of the Act]</w:t>
      </w:r>
      <w:r w:rsidR="00FF5371" w:rsidRPr="002830B3">
        <w:t xml:space="preserve"> </w:t>
      </w:r>
    </w:p>
    <w:p w14:paraId="6322E398" w14:textId="69016798" w:rsidR="00FF5371" w:rsidRPr="002830B3" w:rsidRDefault="00763E0F" w:rsidP="00FF5371">
      <w:pPr>
        <w:pStyle w:val="Dotpoint1"/>
      </w:pPr>
      <w:r>
        <w:t xml:space="preserve">a </w:t>
      </w:r>
      <w:r w:rsidR="00FF5371" w:rsidRPr="002830B3">
        <w:t>revo</w:t>
      </w:r>
      <w:r w:rsidR="00A36DA4">
        <w:t>cation</w:t>
      </w:r>
      <w:r w:rsidR="00FF5371" w:rsidRPr="002830B3">
        <w:t xml:space="preserve"> </w:t>
      </w:r>
      <w:r w:rsidR="00A36DA4">
        <w:t xml:space="preserve">of a </w:t>
      </w:r>
      <w:r w:rsidR="00FF5371" w:rsidRPr="002830B3">
        <w:t>declaration</w:t>
      </w:r>
      <w:r w:rsidR="00A36DA4">
        <w:t xml:space="preserve">; and </w:t>
      </w:r>
      <w:r w:rsidR="00FF5371" w:rsidRPr="002830B3">
        <w:t xml:space="preserve"> </w:t>
      </w:r>
      <w:r w:rsidR="00A36DA4">
        <w:br/>
      </w:r>
      <w:r w:rsidR="00A36DA4" w:rsidRPr="00A36DA4">
        <w:rPr>
          <w:rStyle w:val="References"/>
        </w:rPr>
        <w:t>[</w:t>
      </w:r>
      <w:r w:rsidR="00A93424">
        <w:rPr>
          <w:rStyle w:val="References"/>
        </w:rPr>
        <w:t xml:space="preserve">Schedule </w:t>
      </w:r>
      <w:r w:rsidR="00EC0A4B">
        <w:rPr>
          <w:rStyle w:val="References"/>
        </w:rPr>
        <w:t>3</w:t>
      </w:r>
      <w:r w:rsidR="00A36DA4" w:rsidRPr="00A36DA4">
        <w:rPr>
          <w:rStyle w:val="References"/>
        </w:rPr>
        <w:t>, item</w:t>
      </w:r>
      <w:r w:rsidR="00E22101">
        <w:rPr>
          <w:rStyle w:val="References"/>
        </w:rPr>
        <w:t xml:space="preserve"> 142</w:t>
      </w:r>
      <w:r w:rsidR="00A36DA4" w:rsidRPr="00A36DA4">
        <w:rPr>
          <w:rStyle w:val="References"/>
        </w:rPr>
        <w:t xml:space="preserve">, </w:t>
      </w:r>
      <w:r w:rsidR="00FF5371" w:rsidRPr="00A36DA4">
        <w:rPr>
          <w:rStyle w:val="References"/>
        </w:rPr>
        <w:t>subsection 853</w:t>
      </w:r>
      <w:proofErr w:type="gramStart"/>
      <w:r w:rsidR="00FF5371" w:rsidRPr="00A36DA4">
        <w:rPr>
          <w:rStyle w:val="References"/>
        </w:rPr>
        <w:t>E(</w:t>
      </w:r>
      <w:proofErr w:type="gramEnd"/>
      <w:r w:rsidR="00FF5371" w:rsidRPr="00A36DA4">
        <w:rPr>
          <w:rStyle w:val="References"/>
        </w:rPr>
        <w:t>2) of the Act</w:t>
      </w:r>
      <w:r w:rsidR="00A36DA4">
        <w:rPr>
          <w:rStyle w:val="References"/>
        </w:rPr>
        <w:t>]</w:t>
      </w:r>
    </w:p>
    <w:p w14:paraId="48BD5188" w14:textId="44F402B0" w:rsidR="00A36DA4" w:rsidRDefault="00763E0F" w:rsidP="00A36DA4">
      <w:pPr>
        <w:pStyle w:val="Dotpoint1"/>
      </w:pPr>
      <w:r>
        <w:t xml:space="preserve">a </w:t>
      </w:r>
      <w:r w:rsidR="00A36DA4">
        <w:t xml:space="preserve">notification </w:t>
      </w:r>
      <w:r w:rsidR="00FF5371" w:rsidRPr="002830B3">
        <w:t>of a disqualified individual being involved in a licen</w:t>
      </w:r>
      <w:r w:rsidR="00A36DA4">
        <w:t xml:space="preserve">see. </w:t>
      </w:r>
      <w:r w:rsidR="00A36DA4">
        <w:br/>
      </w:r>
      <w:r w:rsidR="00A36DA4" w:rsidRPr="00A36DA4">
        <w:rPr>
          <w:rStyle w:val="References"/>
        </w:rPr>
        <w:t>[</w:t>
      </w:r>
      <w:r w:rsidR="00A93424">
        <w:rPr>
          <w:rStyle w:val="References"/>
        </w:rPr>
        <w:t xml:space="preserve">Schedule </w:t>
      </w:r>
      <w:r w:rsidR="00681FE0">
        <w:rPr>
          <w:rStyle w:val="References"/>
        </w:rPr>
        <w:t>3</w:t>
      </w:r>
      <w:r w:rsidR="00A36DA4" w:rsidRPr="00A36DA4">
        <w:rPr>
          <w:rStyle w:val="References"/>
        </w:rPr>
        <w:t>, item 1</w:t>
      </w:r>
      <w:r w:rsidR="00681FE0">
        <w:rPr>
          <w:rStyle w:val="References"/>
        </w:rPr>
        <w:t>4</w:t>
      </w:r>
      <w:r w:rsidR="00A36DA4" w:rsidRPr="00A36DA4">
        <w:rPr>
          <w:rStyle w:val="References"/>
        </w:rPr>
        <w:t xml:space="preserve">3, </w:t>
      </w:r>
      <w:r w:rsidR="00FF5371" w:rsidRPr="00A36DA4">
        <w:rPr>
          <w:rStyle w:val="References"/>
        </w:rPr>
        <w:t>section 853G of the Act</w:t>
      </w:r>
      <w:r w:rsidR="00A36DA4" w:rsidRPr="00A36DA4">
        <w:rPr>
          <w:rStyle w:val="References"/>
        </w:rPr>
        <w:t>]</w:t>
      </w:r>
    </w:p>
    <w:p w14:paraId="3246D612" w14:textId="415A856C" w:rsidR="002B06E9" w:rsidRDefault="002B06E9" w:rsidP="00FF5371">
      <w:pPr>
        <w:pStyle w:val="Heading4"/>
        <w:numPr>
          <w:ilvl w:val="3"/>
          <w:numId w:val="2"/>
        </w:numPr>
      </w:pPr>
      <w:r>
        <w:t>Operating rules disallowance</w:t>
      </w:r>
    </w:p>
    <w:p w14:paraId="628F505F" w14:textId="77777777" w:rsidR="002B06E9" w:rsidRDefault="002B06E9" w:rsidP="00BD58ED">
      <w:pPr>
        <w:pStyle w:val="Normalparatextwithnumbers"/>
      </w:pPr>
      <w:r>
        <w:t>ASIC is directly empowered to disallow changes to operating rules for:</w:t>
      </w:r>
    </w:p>
    <w:p w14:paraId="2F0B3291" w14:textId="6017E085" w:rsidR="002B06E9" w:rsidRPr="00632D9F" w:rsidRDefault="002B06E9" w:rsidP="00BD58ED">
      <w:pPr>
        <w:pStyle w:val="Dotpoint1"/>
        <w:rPr>
          <w:rStyle w:val="References"/>
        </w:rPr>
      </w:pPr>
      <w:r>
        <w:t>financial markets;</w:t>
      </w:r>
      <w:r>
        <w:br/>
      </w:r>
      <w:r w:rsidRPr="00632D9F">
        <w:rPr>
          <w:rStyle w:val="References"/>
        </w:rPr>
        <w:t>[</w:t>
      </w:r>
      <w:r w:rsidR="00A93424">
        <w:rPr>
          <w:rStyle w:val="References"/>
        </w:rPr>
        <w:t xml:space="preserve">Schedule </w:t>
      </w:r>
      <w:r w:rsidR="00754C3F">
        <w:rPr>
          <w:rStyle w:val="References"/>
        </w:rPr>
        <w:t>3</w:t>
      </w:r>
      <w:r w:rsidRPr="00632D9F">
        <w:rPr>
          <w:rStyle w:val="References"/>
        </w:rPr>
        <w:t>, ite</w:t>
      </w:r>
      <w:r>
        <w:rPr>
          <w:rStyle w:val="References"/>
        </w:rPr>
        <w:t>ms 10 to 13</w:t>
      </w:r>
      <w:r w:rsidRPr="00632D9F">
        <w:rPr>
          <w:rStyle w:val="References"/>
        </w:rPr>
        <w:t xml:space="preserve">, </w:t>
      </w:r>
      <w:r>
        <w:rPr>
          <w:rStyle w:val="References"/>
        </w:rPr>
        <w:t>sub</w:t>
      </w:r>
      <w:r w:rsidRPr="00632D9F">
        <w:rPr>
          <w:rStyle w:val="References"/>
        </w:rPr>
        <w:t>section 793</w:t>
      </w:r>
      <w:proofErr w:type="gramStart"/>
      <w:r w:rsidRPr="00632D9F">
        <w:rPr>
          <w:rStyle w:val="References"/>
        </w:rPr>
        <w:t>E</w:t>
      </w:r>
      <w:r>
        <w:rPr>
          <w:rStyle w:val="References"/>
        </w:rPr>
        <w:t>(</w:t>
      </w:r>
      <w:proofErr w:type="gramEnd"/>
      <w:r>
        <w:rPr>
          <w:rStyle w:val="References"/>
        </w:rPr>
        <w:t>2) to (4)</w:t>
      </w:r>
      <w:r w:rsidRPr="00632D9F">
        <w:rPr>
          <w:rStyle w:val="References"/>
        </w:rPr>
        <w:t xml:space="preserve"> of the Act</w:t>
      </w:r>
      <w:r>
        <w:rPr>
          <w:rStyle w:val="References"/>
        </w:rPr>
        <w:t>]</w:t>
      </w:r>
    </w:p>
    <w:p w14:paraId="5B9FA749" w14:textId="5E80F260" w:rsidR="002B06E9" w:rsidRPr="00632D9F" w:rsidRDefault="002B06E9" w:rsidP="00BD58ED">
      <w:pPr>
        <w:pStyle w:val="Dotpoint1"/>
        <w:rPr>
          <w:rStyle w:val="References"/>
        </w:rPr>
      </w:pPr>
      <w:r>
        <w:t>CS facilities, provided that ASIC consults with the RBA;</w:t>
      </w:r>
      <w:r>
        <w:br/>
      </w:r>
      <w:r w:rsidRPr="00632D9F">
        <w:rPr>
          <w:rStyle w:val="References"/>
        </w:rPr>
        <w:t>[</w:t>
      </w:r>
      <w:r w:rsidR="00A93424">
        <w:rPr>
          <w:rStyle w:val="References"/>
        </w:rPr>
        <w:t xml:space="preserve">Schedule </w:t>
      </w:r>
      <w:r w:rsidR="002A1DA2">
        <w:rPr>
          <w:rStyle w:val="References"/>
        </w:rPr>
        <w:t>3</w:t>
      </w:r>
      <w:r w:rsidRPr="00632D9F">
        <w:rPr>
          <w:rStyle w:val="References"/>
        </w:rPr>
        <w:t>, ite</w:t>
      </w:r>
      <w:r>
        <w:rPr>
          <w:rStyle w:val="References"/>
        </w:rPr>
        <w:t>ms 8</w:t>
      </w:r>
      <w:r w:rsidR="004C512C">
        <w:rPr>
          <w:rStyle w:val="References"/>
        </w:rPr>
        <w:t>4</w:t>
      </w:r>
      <w:r>
        <w:rPr>
          <w:rStyle w:val="References"/>
        </w:rPr>
        <w:t xml:space="preserve"> to 8</w:t>
      </w:r>
      <w:r w:rsidR="004C512C">
        <w:rPr>
          <w:rStyle w:val="References"/>
        </w:rPr>
        <w:t>7</w:t>
      </w:r>
      <w:r w:rsidRPr="00632D9F">
        <w:rPr>
          <w:rStyle w:val="References"/>
        </w:rPr>
        <w:t xml:space="preserve">, </w:t>
      </w:r>
      <w:r>
        <w:rPr>
          <w:rStyle w:val="References"/>
        </w:rPr>
        <w:t>sub</w:t>
      </w:r>
      <w:r w:rsidRPr="00632D9F">
        <w:rPr>
          <w:rStyle w:val="References"/>
        </w:rPr>
        <w:t>section 822</w:t>
      </w:r>
      <w:proofErr w:type="gramStart"/>
      <w:r w:rsidRPr="00632D9F">
        <w:rPr>
          <w:rStyle w:val="References"/>
        </w:rPr>
        <w:t>E</w:t>
      </w:r>
      <w:r>
        <w:rPr>
          <w:rStyle w:val="References"/>
        </w:rPr>
        <w:t>(</w:t>
      </w:r>
      <w:proofErr w:type="gramEnd"/>
      <w:r>
        <w:rPr>
          <w:rStyle w:val="References"/>
        </w:rPr>
        <w:t>2) to (4)</w:t>
      </w:r>
      <w:r w:rsidRPr="00632D9F">
        <w:rPr>
          <w:rStyle w:val="References"/>
        </w:rPr>
        <w:t xml:space="preserve"> of the Act</w:t>
      </w:r>
      <w:r>
        <w:rPr>
          <w:rStyle w:val="References"/>
        </w:rPr>
        <w:t>]</w:t>
      </w:r>
      <w:r w:rsidRPr="00632D9F">
        <w:rPr>
          <w:rStyle w:val="References"/>
        </w:rPr>
        <w:t xml:space="preserve"> </w:t>
      </w:r>
    </w:p>
    <w:p w14:paraId="16E187B8" w14:textId="2EC99EFC" w:rsidR="002B06E9" w:rsidRDefault="002B06E9" w:rsidP="00BD58ED">
      <w:pPr>
        <w:pStyle w:val="Dotpoint1"/>
      </w:pPr>
      <w:r>
        <w:t xml:space="preserve">compensation rules; and </w:t>
      </w:r>
      <w:r>
        <w:br/>
      </w:r>
      <w:r w:rsidRPr="00632D9F">
        <w:rPr>
          <w:rStyle w:val="References"/>
        </w:rPr>
        <w:t>[</w:t>
      </w:r>
      <w:r w:rsidR="00A93424">
        <w:rPr>
          <w:rStyle w:val="References"/>
        </w:rPr>
        <w:t xml:space="preserve">Schedule </w:t>
      </w:r>
      <w:r w:rsidR="007F504F">
        <w:rPr>
          <w:rStyle w:val="References"/>
        </w:rPr>
        <w:t>3</w:t>
      </w:r>
      <w:r w:rsidRPr="00632D9F">
        <w:rPr>
          <w:rStyle w:val="References"/>
        </w:rPr>
        <w:t>, item 15</w:t>
      </w:r>
      <w:r w:rsidR="0088158C">
        <w:rPr>
          <w:rStyle w:val="References"/>
        </w:rPr>
        <w:t>6</w:t>
      </w:r>
      <w:r>
        <w:rPr>
          <w:rStyle w:val="References"/>
        </w:rPr>
        <w:t xml:space="preserve"> to 15</w:t>
      </w:r>
      <w:r w:rsidR="0088158C">
        <w:rPr>
          <w:rStyle w:val="References"/>
        </w:rPr>
        <w:t>8</w:t>
      </w:r>
      <w:r w:rsidRPr="00632D9F">
        <w:rPr>
          <w:rStyle w:val="References"/>
        </w:rPr>
        <w:t xml:space="preserve">, </w:t>
      </w:r>
      <w:r>
        <w:rPr>
          <w:rStyle w:val="References"/>
        </w:rPr>
        <w:t>sub</w:t>
      </w:r>
      <w:r w:rsidRPr="00632D9F">
        <w:rPr>
          <w:rStyle w:val="References"/>
        </w:rPr>
        <w:t>section</w:t>
      </w:r>
      <w:r>
        <w:rPr>
          <w:rStyle w:val="References"/>
        </w:rPr>
        <w:t>s</w:t>
      </w:r>
      <w:r w:rsidRPr="00632D9F">
        <w:rPr>
          <w:rStyle w:val="References"/>
        </w:rPr>
        <w:t xml:space="preserve"> 884</w:t>
      </w:r>
      <w:proofErr w:type="gramStart"/>
      <w:r w:rsidRPr="00632D9F">
        <w:rPr>
          <w:rStyle w:val="References"/>
        </w:rPr>
        <w:t>B</w:t>
      </w:r>
      <w:r>
        <w:rPr>
          <w:rStyle w:val="References"/>
        </w:rPr>
        <w:t>(</w:t>
      </w:r>
      <w:proofErr w:type="gramEnd"/>
      <w:r>
        <w:rPr>
          <w:rStyle w:val="References"/>
        </w:rPr>
        <w:t>5) to (7)</w:t>
      </w:r>
      <w:r w:rsidRPr="00632D9F">
        <w:rPr>
          <w:rStyle w:val="References"/>
        </w:rPr>
        <w:t xml:space="preserve"> of the Act]</w:t>
      </w:r>
      <w:r>
        <w:t xml:space="preserve"> </w:t>
      </w:r>
    </w:p>
    <w:p w14:paraId="65205C68" w14:textId="70B33EA9" w:rsidR="002B06E9" w:rsidRPr="00737028" w:rsidRDefault="002B06E9" w:rsidP="00BD58ED">
      <w:pPr>
        <w:pStyle w:val="Dotpoint1"/>
        <w:rPr>
          <w:rStyle w:val="References"/>
          <w:b w:val="0"/>
          <w:bCs w:val="0"/>
          <w:i w:val="0"/>
          <w:iCs w:val="0"/>
        </w:rPr>
      </w:pPr>
      <w:r>
        <w:t xml:space="preserve">SEGC rules.  </w:t>
      </w:r>
      <w:r>
        <w:br/>
      </w:r>
      <w:r w:rsidRPr="005474D9">
        <w:rPr>
          <w:rStyle w:val="References"/>
        </w:rPr>
        <w:t>[</w:t>
      </w:r>
      <w:r w:rsidR="00A93424">
        <w:rPr>
          <w:rStyle w:val="References"/>
        </w:rPr>
        <w:t xml:space="preserve">Schedule </w:t>
      </w:r>
      <w:r w:rsidR="002B5575">
        <w:rPr>
          <w:rStyle w:val="References"/>
        </w:rPr>
        <w:t>3</w:t>
      </w:r>
      <w:r w:rsidRPr="005474D9">
        <w:rPr>
          <w:rStyle w:val="References"/>
        </w:rPr>
        <w:t>, item 1</w:t>
      </w:r>
      <w:r w:rsidR="00CB07E5">
        <w:rPr>
          <w:rStyle w:val="References"/>
        </w:rPr>
        <w:t>66</w:t>
      </w:r>
      <w:r w:rsidRPr="005474D9">
        <w:rPr>
          <w:rStyle w:val="References"/>
        </w:rPr>
        <w:t>, subsections 890</w:t>
      </w:r>
      <w:proofErr w:type="gramStart"/>
      <w:r w:rsidRPr="005474D9">
        <w:rPr>
          <w:rStyle w:val="References"/>
        </w:rPr>
        <w:t>H(</w:t>
      </w:r>
      <w:proofErr w:type="gramEnd"/>
      <w:r w:rsidRPr="005474D9">
        <w:rPr>
          <w:rStyle w:val="References"/>
        </w:rPr>
        <w:t>1) and (2) of the Act]</w:t>
      </w:r>
    </w:p>
    <w:p w14:paraId="2585F553" w14:textId="77777777" w:rsidR="002B06E9" w:rsidRDefault="002B06E9" w:rsidP="00125C2C">
      <w:pPr>
        <w:pStyle w:val="Normalparatextwithnumbers"/>
        <w:rPr>
          <w:rStyle w:val="References"/>
          <w:b w:val="0"/>
          <w:bCs w:val="0"/>
          <w:i w:val="0"/>
          <w:iCs w:val="0"/>
        </w:rPr>
      </w:pPr>
      <w:r>
        <w:rPr>
          <w:rStyle w:val="References"/>
          <w:b w:val="0"/>
          <w:bCs w:val="0"/>
          <w:i w:val="0"/>
          <w:iCs w:val="0"/>
        </w:rPr>
        <w:lastRenderedPageBreak/>
        <w:t xml:space="preserve">All other aspects of disallowing operating rules remain the same including the timeframe, notification and affected entities. </w:t>
      </w:r>
    </w:p>
    <w:p w14:paraId="1F212814" w14:textId="607D78CC" w:rsidR="002B06E9" w:rsidRPr="00737028" w:rsidRDefault="002B06E9" w:rsidP="00AD1047">
      <w:pPr>
        <w:pStyle w:val="Normalparatextwithnumbers"/>
        <w:rPr>
          <w:rStyle w:val="References"/>
          <w:b w:val="0"/>
          <w:bCs w:val="0"/>
          <w:i w:val="0"/>
          <w:iCs w:val="0"/>
        </w:rPr>
      </w:pPr>
      <w:r>
        <w:rPr>
          <w:rStyle w:val="References"/>
          <w:b w:val="0"/>
          <w:bCs w:val="0"/>
          <w:i w:val="0"/>
          <w:iCs w:val="0"/>
        </w:rPr>
        <w:t>ASIC has the power to approve</w:t>
      </w:r>
      <w:r w:rsidRPr="00737028">
        <w:rPr>
          <w:rStyle w:val="References"/>
          <w:b w:val="0"/>
          <w:bCs w:val="0"/>
          <w:i w:val="0"/>
          <w:iCs w:val="0"/>
        </w:rPr>
        <w:t xml:space="preserve"> proposed change</w:t>
      </w:r>
      <w:r>
        <w:rPr>
          <w:rStyle w:val="References"/>
          <w:b w:val="0"/>
          <w:bCs w:val="0"/>
          <w:i w:val="0"/>
          <w:iCs w:val="0"/>
        </w:rPr>
        <w:t>s</w:t>
      </w:r>
      <w:r w:rsidRPr="00737028">
        <w:rPr>
          <w:rStyle w:val="References"/>
          <w:b w:val="0"/>
          <w:bCs w:val="0"/>
          <w:i w:val="0"/>
          <w:iCs w:val="0"/>
        </w:rPr>
        <w:t xml:space="preserve"> to compensation arrangements as set out by Division 3 of Part 7.5 of the Act, </w:t>
      </w:r>
      <w:r>
        <w:rPr>
          <w:rStyle w:val="References"/>
          <w:b w:val="0"/>
          <w:bCs w:val="0"/>
          <w:i w:val="0"/>
          <w:iCs w:val="0"/>
        </w:rPr>
        <w:t xml:space="preserve">that are not </w:t>
      </w:r>
      <w:r w:rsidRPr="00737028">
        <w:rPr>
          <w:rStyle w:val="References"/>
          <w:b w:val="0"/>
          <w:bCs w:val="0"/>
          <w:i w:val="0"/>
          <w:iCs w:val="0"/>
        </w:rPr>
        <w:t>required to be dealt with in the compensation rules</w:t>
      </w:r>
      <w:r>
        <w:rPr>
          <w:rStyle w:val="References"/>
          <w:b w:val="0"/>
          <w:bCs w:val="0"/>
          <w:i w:val="0"/>
          <w:iCs w:val="0"/>
        </w:rPr>
        <w:t xml:space="preserve">. </w:t>
      </w:r>
      <w:r>
        <w:rPr>
          <w:rStyle w:val="References"/>
          <w:b w:val="0"/>
          <w:bCs w:val="0"/>
          <w:i w:val="0"/>
          <w:iCs w:val="0"/>
        </w:rPr>
        <w:br/>
      </w:r>
      <w:r w:rsidRPr="00014FFC">
        <w:rPr>
          <w:rStyle w:val="References"/>
        </w:rPr>
        <w:t>[</w:t>
      </w:r>
      <w:r w:rsidR="00A93424">
        <w:rPr>
          <w:rStyle w:val="References"/>
        </w:rPr>
        <w:t xml:space="preserve">Schedule </w:t>
      </w:r>
      <w:r w:rsidR="00D10900">
        <w:rPr>
          <w:rStyle w:val="References"/>
        </w:rPr>
        <w:t>3</w:t>
      </w:r>
      <w:r w:rsidRPr="00014FFC">
        <w:rPr>
          <w:rStyle w:val="References"/>
        </w:rPr>
        <w:t>, item</w:t>
      </w:r>
      <w:r>
        <w:rPr>
          <w:rStyle w:val="References"/>
        </w:rPr>
        <w:t>s</w:t>
      </w:r>
      <w:r w:rsidRPr="00014FFC">
        <w:rPr>
          <w:rStyle w:val="References"/>
        </w:rPr>
        <w:t xml:space="preserve"> </w:t>
      </w:r>
      <w:r>
        <w:rPr>
          <w:rStyle w:val="References"/>
        </w:rPr>
        <w:t>15</w:t>
      </w:r>
      <w:r w:rsidR="00D01F37">
        <w:rPr>
          <w:rStyle w:val="References"/>
        </w:rPr>
        <w:t>9</w:t>
      </w:r>
      <w:r>
        <w:rPr>
          <w:rStyle w:val="References"/>
        </w:rPr>
        <w:t xml:space="preserve"> and 1</w:t>
      </w:r>
      <w:r w:rsidR="004410F6">
        <w:rPr>
          <w:rStyle w:val="References"/>
        </w:rPr>
        <w:t>61</w:t>
      </w:r>
      <w:r w:rsidRPr="00014FFC">
        <w:rPr>
          <w:rStyle w:val="References"/>
        </w:rPr>
        <w:t xml:space="preserve">, section </w:t>
      </w:r>
      <w:r>
        <w:rPr>
          <w:rStyle w:val="References"/>
        </w:rPr>
        <w:t xml:space="preserve">884C </w:t>
      </w:r>
      <w:r w:rsidRPr="00014FFC">
        <w:rPr>
          <w:rStyle w:val="References"/>
        </w:rPr>
        <w:t>of the Act]</w:t>
      </w:r>
    </w:p>
    <w:p w14:paraId="4F36E169" w14:textId="4514FB1A" w:rsidR="00F34EB7" w:rsidRPr="00F34EB7" w:rsidRDefault="00F00380" w:rsidP="00603F8C">
      <w:pPr>
        <w:pStyle w:val="Heading2"/>
        <w:rPr>
          <w:rFonts w:hint="eastAsia"/>
        </w:rPr>
      </w:pPr>
      <w:bookmarkStart w:id="119" w:name="_Toc152860472"/>
      <w:r w:rsidRPr="005D0844">
        <w:t>Consequential</w:t>
      </w:r>
      <w:r w:rsidRPr="00020288">
        <w:t xml:space="preserve"> </w:t>
      </w:r>
      <w:r w:rsidR="009D0B41">
        <w:t xml:space="preserve">and minor </w:t>
      </w:r>
      <w:r w:rsidRPr="00020288">
        <w:t>amendments</w:t>
      </w:r>
      <w:bookmarkEnd w:id="119"/>
    </w:p>
    <w:p w14:paraId="6C88744D" w14:textId="37F6896D" w:rsidR="00B679ED" w:rsidRDefault="00C9517D" w:rsidP="00603F8C">
      <w:pPr>
        <w:pStyle w:val="Normalparatextwithnumbers"/>
      </w:pPr>
      <w:r>
        <w:t>The Minister’s general power of delegation</w:t>
      </w:r>
      <w:r w:rsidR="00A828ED">
        <w:t xml:space="preserve"> to ASIC</w:t>
      </w:r>
      <w:r>
        <w:t xml:space="preserve"> under Chapter 7 is amended to </w:t>
      </w:r>
      <w:r w:rsidR="00A828ED">
        <w:t>exclude</w:t>
      </w:r>
      <w:r w:rsidR="003C76B9">
        <w:t xml:space="preserve"> powers in Parts 7.2, </w:t>
      </w:r>
      <w:r w:rsidR="00FE7F06">
        <w:t>7.2A, 7.3, 7.3A, 7.3B, 7.4, 7.5</w:t>
      </w:r>
      <w:r w:rsidR="002C0B67">
        <w:t xml:space="preserve"> and 7.5A</w:t>
      </w:r>
      <w:r w:rsidR="00A828ED">
        <w:t xml:space="preserve">. </w:t>
      </w:r>
      <w:r w:rsidR="00A828ED">
        <w:br/>
      </w:r>
      <w:r w:rsidR="00A828ED" w:rsidRPr="00D10880">
        <w:rPr>
          <w:rStyle w:val="References"/>
        </w:rPr>
        <w:t xml:space="preserve">[Schedule </w:t>
      </w:r>
      <w:r w:rsidR="00A828ED">
        <w:rPr>
          <w:rStyle w:val="References"/>
        </w:rPr>
        <w:t>3</w:t>
      </w:r>
      <w:r w:rsidR="00A828ED" w:rsidRPr="00D10880">
        <w:rPr>
          <w:rStyle w:val="References"/>
        </w:rPr>
        <w:t>, item</w:t>
      </w:r>
      <w:r w:rsidR="00A828ED">
        <w:rPr>
          <w:rStyle w:val="References"/>
        </w:rPr>
        <w:t xml:space="preserve"> 176</w:t>
      </w:r>
      <w:r w:rsidR="00A828ED" w:rsidRPr="00D10880">
        <w:rPr>
          <w:rStyle w:val="References"/>
        </w:rPr>
        <w:t>,</w:t>
      </w:r>
      <w:r w:rsidR="00202493">
        <w:rPr>
          <w:rStyle w:val="References"/>
        </w:rPr>
        <w:t xml:space="preserve"> subsection 1101</w:t>
      </w:r>
      <w:proofErr w:type="gramStart"/>
      <w:r w:rsidR="00202493">
        <w:rPr>
          <w:rStyle w:val="References"/>
        </w:rPr>
        <w:t>J(</w:t>
      </w:r>
      <w:proofErr w:type="gramEnd"/>
      <w:r w:rsidR="00202493">
        <w:rPr>
          <w:rStyle w:val="References"/>
        </w:rPr>
        <w:t>1) of the Act</w:t>
      </w:r>
      <w:r w:rsidR="00A828ED" w:rsidRPr="00D10880">
        <w:rPr>
          <w:rStyle w:val="References"/>
        </w:rPr>
        <w:t xml:space="preserve">] </w:t>
      </w:r>
    </w:p>
    <w:p w14:paraId="57827400" w14:textId="57FCF28F" w:rsidR="007E34BD" w:rsidRPr="009236C7" w:rsidRDefault="00131D02" w:rsidP="00603F8C">
      <w:pPr>
        <w:pStyle w:val="Normalparatextwithnumbers"/>
      </w:pPr>
      <w:r w:rsidRPr="00131D02">
        <w:t xml:space="preserve">As a result of updating the directions power to be given to a market licensee, a consequential amendment is made to update section 1042E that relates to Division 3 financial products. </w:t>
      </w:r>
      <w:r w:rsidR="007E34BD">
        <w:br/>
      </w:r>
      <w:r w:rsidR="007E34BD" w:rsidRPr="007E34BD">
        <w:rPr>
          <w:rFonts w:cs="Arial"/>
          <w:b/>
          <w:i/>
        </w:rPr>
        <w:t xml:space="preserve">[Schedule </w:t>
      </w:r>
      <w:r w:rsidR="00811CA9">
        <w:rPr>
          <w:rFonts w:cs="Arial"/>
          <w:b/>
          <w:i/>
        </w:rPr>
        <w:t>2</w:t>
      </w:r>
      <w:r w:rsidR="007E34BD" w:rsidRPr="007E34BD">
        <w:rPr>
          <w:rFonts w:cs="Arial"/>
          <w:b/>
          <w:i/>
        </w:rPr>
        <w:t xml:space="preserve">, item </w:t>
      </w:r>
      <w:r w:rsidR="00811CA9">
        <w:rPr>
          <w:rFonts w:cs="Arial"/>
          <w:b/>
          <w:i/>
        </w:rPr>
        <w:t>79</w:t>
      </w:r>
      <w:r w:rsidR="007E34BD" w:rsidRPr="007E34BD">
        <w:rPr>
          <w:rFonts w:cs="Arial"/>
          <w:b/>
          <w:i/>
        </w:rPr>
        <w:t>, section 1042E of the Act]</w:t>
      </w:r>
    </w:p>
    <w:p w14:paraId="503D23BA" w14:textId="08F2D9D8" w:rsidR="007E34BD" w:rsidRPr="00107A39" w:rsidRDefault="006C030A" w:rsidP="00D10880">
      <w:pPr>
        <w:pStyle w:val="Normalparatextwithnumbers"/>
        <w:rPr>
          <w:rFonts w:cs="Arial"/>
          <w:bCs/>
          <w:iCs/>
        </w:rPr>
      </w:pPr>
      <w:r>
        <w:rPr>
          <w:rFonts w:cs="Times New Roman"/>
        </w:rPr>
        <w:t>Appointed or directed experts under proposed section 823BA of the Act are protected from</w:t>
      </w:r>
      <w:r w:rsidR="002F5DA0">
        <w:rPr>
          <w:rFonts w:cs="Times New Roman"/>
        </w:rPr>
        <w:t xml:space="preserve"> proceedings provided</w:t>
      </w:r>
      <w:r w:rsidR="002F5DA0" w:rsidRPr="007E34BD">
        <w:rPr>
          <w:rFonts w:cs="Arial"/>
        </w:rPr>
        <w:t xml:space="preserve"> that </w:t>
      </w:r>
      <w:r w:rsidR="002F5DA0">
        <w:rPr>
          <w:rFonts w:cs="Times New Roman"/>
        </w:rPr>
        <w:t xml:space="preserve">the expert acted </w:t>
      </w:r>
      <w:r w:rsidR="007E34BD" w:rsidRPr="007E34BD">
        <w:rPr>
          <w:rFonts w:cs="Times New Roman"/>
        </w:rPr>
        <w:t>in good faith</w:t>
      </w:r>
      <w:r w:rsidR="002F5DA0">
        <w:rPr>
          <w:rFonts w:cs="Times New Roman"/>
        </w:rPr>
        <w:t xml:space="preserve"> when fulfilling their function or power and complied with any other </w:t>
      </w:r>
      <w:proofErr w:type="gramStart"/>
      <w:r w:rsidR="007E34BD" w:rsidRPr="007E34BD">
        <w:rPr>
          <w:rFonts w:cs="Times New Roman"/>
        </w:rPr>
        <w:t>corporations</w:t>
      </w:r>
      <w:proofErr w:type="gramEnd"/>
      <w:r w:rsidR="007E34BD" w:rsidRPr="007E34BD">
        <w:rPr>
          <w:rFonts w:cs="Times New Roman"/>
        </w:rPr>
        <w:t xml:space="preserve"> legislation, or prescribed law of the Commonwealth, a State or a Territory. </w:t>
      </w:r>
      <w:r w:rsidR="007E34BD" w:rsidRPr="007E34BD">
        <w:rPr>
          <w:rFonts w:cs="Times New Roman"/>
        </w:rPr>
        <w:br/>
      </w:r>
      <w:r w:rsidR="007E34BD" w:rsidRPr="00107A39">
        <w:rPr>
          <w:rFonts w:cs="Arial"/>
          <w:b/>
          <w:bCs/>
          <w:i/>
          <w:iCs/>
        </w:rPr>
        <w:t xml:space="preserve">[Schedule </w:t>
      </w:r>
      <w:r w:rsidR="00916E7B" w:rsidRPr="00107A39">
        <w:rPr>
          <w:rFonts w:cs="Arial"/>
          <w:b/>
          <w:bCs/>
          <w:i/>
          <w:iCs/>
        </w:rPr>
        <w:t>3</w:t>
      </w:r>
      <w:r w:rsidR="007E34BD" w:rsidRPr="00107A39">
        <w:rPr>
          <w:rFonts w:cs="Arial"/>
          <w:b/>
          <w:bCs/>
          <w:i/>
          <w:iCs/>
        </w:rPr>
        <w:t>, item 1</w:t>
      </w:r>
      <w:r w:rsidR="00916E7B" w:rsidRPr="00107A39">
        <w:rPr>
          <w:rFonts w:cs="Arial"/>
          <w:b/>
          <w:bCs/>
          <w:i/>
          <w:iCs/>
        </w:rPr>
        <w:t>01</w:t>
      </w:r>
      <w:r w:rsidR="007E34BD" w:rsidRPr="00107A39">
        <w:rPr>
          <w:rFonts w:cs="Arial"/>
          <w:b/>
          <w:bCs/>
          <w:i/>
          <w:iCs/>
        </w:rPr>
        <w:t>, paragraph 246(1)(n) of the ASIC Act]</w:t>
      </w:r>
    </w:p>
    <w:p w14:paraId="6C38E7E8" w14:textId="544E9E7E" w:rsidR="00F00380" w:rsidRPr="00107A39" w:rsidRDefault="00F4681C" w:rsidP="00F10A7D">
      <w:pPr>
        <w:pStyle w:val="Normalparatextwithnumbers"/>
      </w:pPr>
      <w:r w:rsidRPr="00107A39">
        <w:t xml:space="preserve">As a result of updates to the declared </w:t>
      </w:r>
      <w:r w:rsidR="00A051A2" w:rsidRPr="00107A39">
        <w:t>financial</w:t>
      </w:r>
      <w:r w:rsidRPr="00107A39">
        <w:t xml:space="preserve"> market, </w:t>
      </w:r>
      <w:r w:rsidR="00E6518C">
        <w:t xml:space="preserve">corresponding amendments have been made to the Bankruptcy Act and the PPSA. </w:t>
      </w:r>
      <w:r w:rsidR="00A051A2" w:rsidRPr="00107A39">
        <w:br/>
      </w:r>
      <w:r w:rsidR="00A051A2" w:rsidRPr="00107A39">
        <w:rPr>
          <w:rStyle w:val="References"/>
        </w:rPr>
        <w:t xml:space="preserve">[Schedule </w:t>
      </w:r>
      <w:r w:rsidR="00952012" w:rsidRPr="00D10880">
        <w:rPr>
          <w:rStyle w:val="References"/>
        </w:rPr>
        <w:t>2</w:t>
      </w:r>
      <w:r w:rsidR="00A051A2" w:rsidRPr="00107A39">
        <w:rPr>
          <w:rStyle w:val="References"/>
        </w:rPr>
        <w:t>, item</w:t>
      </w:r>
      <w:r w:rsidR="00DB0B49" w:rsidRPr="00107A39">
        <w:rPr>
          <w:rStyle w:val="References"/>
        </w:rPr>
        <w:t>s</w:t>
      </w:r>
      <w:r w:rsidR="00A051A2" w:rsidRPr="00107A39">
        <w:rPr>
          <w:rStyle w:val="References"/>
        </w:rPr>
        <w:t xml:space="preserve"> </w:t>
      </w:r>
      <w:r w:rsidR="00A13708" w:rsidRPr="00D10880">
        <w:rPr>
          <w:rStyle w:val="References"/>
        </w:rPr>
        <w:t>25</w:t>
      </w:r>
      <w:r w:rsidR="00DB0B49" w:rsidRPr="001A4BCF">
        <w:rPr>
          <w:rStyle w:val="References"/>
        </w:rPr>
        <w:t xml:space="preserve"> and </w:t>
      </w:r>
      <w:r w:rsidR="00A13708" w:rsidRPr="00D10880">
        <w:rPr>
          <w:rStyle w:val="References"/>
        </w:rPr>
        <w:t>26</w:t>
      </w:r>
      <w:r w:rsidR="00DB0B49" w:rsidRPr="00107A39">
        <w:rPr>
          <w:rStyle w:val="References"/>
        </w:rPr>
        <w:t xml:space="preserve">, </w:t>
      </w:r>
      <w:r w:rsidR="00A051A2" w:rsidRPr="00107A39">
        <w:rPr>
          <w:rStyle w:val="References"/>
        </w:rPr>
        <w:t xml:space="preserve">subsection 5(1) </w:t>
      </w:r>
      <w:r w:rsidR="009C2779" w:rsidRPr="00107A39">
        <w:rPr>
          <w:rStyle w:val="References"/>
        </w:rPr>
        <w:t>Bankruptcy</w:t>
      </w:r>
      <w:r w:rsidR="00A051A2" w:rsidRPr="00107A39">
        <w:rPr>
          <w:rStyle w:val="References"/>
        </w:rPr>
        <w:t xml:space="preserve"> </w:t>
      </w:r>
      <w:r w:rsidR="009C2779" w:rsidRPr="00107A39">
        <w:rPr>
          <w:rStyle w:val="References"/>
        </w:rPr>
        <w:t>A</w:t>
      </w:r>
      <w:r w:rsidR="00A051A2" w:rsidRPr="00107A39">
        <w:rPr>
          <w:rStyle w:val="References"/>
        </w:rPr>
        <w:t xml:space="preserve">ct and section 49 of the </w:t>
      </w:r>
      <w:r w:rsidR="00684C49" w:rsidRPr="00107A39">
        <w:rPr>
          <w:rStyle w:val="References"/>
        </w:rPr>
        <w:t>PPSA</w:t>
      </w:r>
      <w:r w:rsidR="00A051A2" w:rsidRPr="00107A39">
        <w:rPr>
          <w:rStyle w:val="References"/>
        </w:rPr>
        <w:t>]</w:t>
      </w:r>
      <w:r w:rsidR="00A051A2" w:rsidRPr="00107A39">
        <w:t xml:space="preserve"> </w:t>
      </w:r>
    </w:p>
    <w:p w14:paraId="1BC5897A" w14:textId="39E2F9D7" w:rsidR="00D42DFB" w:rsidRPr="00E72A2D" w:rsidRDefault="00604E89" w:rsidP="00F10A7D">
      <w:pPr>
        <w:pStyle w:val="Normalparatextwithnumbers"/>
        <w:rPr>
          <w:rStyle w:val="References"/>
          <w:b w:val="0"/>
          <w:i w:val="0"/>
        </w:rPr>
      </w:pPr>
      <w:r>
        <w:t>A d</w:t>
      </w:r>
      <w:r w:rsidR="00D42DFB">
        <w:t>efini</w:t>
      </w:r>
      <w:r w:rsidR="00D42DFB" w:rsidRPr="00107A39">
        <w:t>tion for the new expression</w:t>
      </w:r>
      <w:r w:rsidR="00CE0131" w:rsidRPr="00107A39">
        <w:t xml:space="preserve"> </w:t>
      </w:r>
      <w:r w:rsidR="00A0134C" w:rsidRPr="00107A39">
        <w:rPr>
          <w:b/>
          <w:bCs/>
          <w:i/>
          <w:iCs/>
        </w:rPr>
        <w:t>amending Act</w:t>
      </w:r>
      <w:r w:rsidR="00ED1CAC" w:rsidRPr="00107A39">
        <w:t xml:space="preserve"> has </w:t>
      </w:r>
      <w:r w:rsidR="00D42DFB" w:rsidRPr="00107A39">
        <w:t xml:space="preserve">been added to </w:t>
      </w:r>
      <w:r w:rsidR="00886DB0" w:rsidRPr="00107A39">
        <w:t>Chapter 10 of the Act.</w:t>
      </w:r>
      <w:r w:rsidR="00CE0131" w:rsidRPr="00107A39">
        <w:br/>
      </w:r>
      <w:r w:rsidR="00CE0131" w:rsidRPr="00107A39">
        <w:rPr>
          <w:rStyle w:val="References"/>
        </w:rPr>
        <w:t xml:space="preserve">[Schedule </w:t>
      </w:r>
      <w:r w:rsidR="00CD1C89" w:rsidRPr="00D10880">
        <w:rPr>
          <w:rStyle w:val="References"/>
        </w:rPr>
        <w:t>2</w:t>
      </w:r>
      <w:r w:rsidR="00CE0131" w:rsidRPr="00107A39">
        <w:rPr>
          <w:rStyle w:val="References"/>
        </w:rPr>
        <w:t xml:space="preserve">, item </w:t>
      </w:r>
      <w:r w:rsidR="00B944BA" w:rsidRPr="00D10880">
        <w:rPr>
          <w:rStyle w:val="References"/>
        </w:rPr>
        <w:t>143</w:t>
      </w:r>
      <w:r w:rsidR="00CE0131" w:rsidRPr="00107A39">
        <w:rPr>
          <w:rStyle w:val="References"/>
        </w:rPr>
        <w:t>, section 1706A</w:t>
      </w:r>
      <w:r w:rsidR="00ED5E91" w:rsidRPr="00D10880">
        <w:rPr>
          <w:rStyle w:val="References"/>
        </w:rPr>
        <w:t xml:space="preserve"> of the Act</w:t>
      </w:r>
      <w:r w:rsidR="00CE0131" w:rsidRPr="00107A39">
        <w:rPr>
          <w:rStyle w:val="References"/>
        </w:rPr>
        <w:t xml:space="preserve">] </w:t>
      </w:r>
    </w:p>
    <w:p w14:paraId="71E62938" w14:textId="7AAAB7F7" w:rsidR="00E72A2D" w:rsidRPr="00D10880" w:rsidRDefault="00E72A2D" w:rsidP="00E72A2D">
      <w:pPr>
        <w:pStyle w:val="Normalparatextwithnumbers"/>
        <w:rPr>
          <w:rStyle w:val="References"/>
          <w:b w:val="0"/>
          <w:bCs w:val="0"/>
          <w:i w:val="0"/>
          <w:iCs w:val="0"/>
        </w:rPr>
      </w:pPr>
      <w:r w:rsidRPr="001F4E12">
        <w:rPr>
          <w:rStyle w:val="References"/>
          <w:b w:val="0"/>
          <w:bCs w:val="0"/>
          <w:i w:val="0"/>
          <w:iCs w:val="0"/>
        </w:rPr>
        <w:t xml:space="preserve">The amendments also make minor amendments to fix an error in the notes by replacing the term subsection with section and update the notice requirement for publishing notices in the Gazette to update language to reflect modern drafting practices.  </w:t>
      </w:r>
      <w:r w:rsidRPr="001F4E12">
        <w:rPr>
          <w:rStyle w:val="References"/>
          <w:b w:val="0"/>
          <w:bCs w:val="0"/>
          <w:i w:val="0"/>
          <w:iCs w:val="0"/>
        </w:rPr>
        <w:br/>
      </w:r>
      <w:r w:rsidRPr="001F4E12">
        <w:rPr>
          <w:rStyle w:val="References"/>
        </w:rPr>
        <w:t xml:space="preserve">[Schedule 2, items 46, 54, 57 and 66 notes to sections 791B and 820B, and section 795C and paragraph 824C(b) of the Act] </w:t>
      </w:r>
    </w:p>
    <w:p w14:paraId="554FD36C" w14:textId="759F7709" w:rsidR="006D043E" w:rsidRPr="00D10880" w:rsidRDefault="00D66C25" w:rsidP="00E72A2D">
      <w:pPr>
        <w:pStyle w:val="Normalparatextwithnumbers"/>
        <w:rPr>
          <w:rStyle w:val="References"/>
          <w:b w:val="0"/>
          <w:bCs w:val="0"/>
          <w:i w:val="0"/>
          <w:iCs w:val="0"/>
        </w:rPr>
      </w:pPr>
      <w:r>
        <w:t xml:space="preserve">The amendments </w:t>
      </w:r>
      <w:r w:rsidR="009829CE">
        <w:t>replace</w:t>
      </w:r>
      <w:r>
        <w:t xml:space="preserve"> </w:t>
      </w:r>
      <w:r w:rsidR="00476D07">
        <w:t xml:space="preserve">out of date references to the </w:t>
      </w:r>
      <w:r w:rsidR="00476D07">
        <w:rPr>
          <w:i/>
          <w:iCs/>
        </w:rPr>
        <w:t xml:space="preserve">Financial </w:t>
      </w:r>
      <w:r w:rsidR="00740D88">
        <w:rPr>
          <w:i/>
          <w:iCs/>
        </w:rPr>
        <w:t>Management</w:t>
      </w:r>
      <w:r w:rsidR="00476D07">
        <w:rPr>
          <w:i/>
          <w:iCs/>
        </w:rPr>
        <w:t xml:space="preserve"> and Accountability Act </w:t>
      </w:r>
      <w:r w:rsidR="009829CE">
        <w:rPr>
          <w:i/>
          <w:iCs/>
        </w:rPr>
        <w:t xml:space="preserve">1997 </w:t>
      </w:r>
      <w:r w:rsidR="009829CE">
        <w:t xml:space="preserve">with references to the </w:t>
      </w:r>
      <w:r w:rsidR="009829CE">
        <w:rPr>
          <w:i/>
          <w:iCs/>
        </w:rPr>
        <w:t xml:space="preserve">Public </w:t>
      </w:r>
      <w:r w:rsidR="005014E6">
        <w:rPr>
          <w:i/>
          <w:iCs/>
        </w:rPr>
        <w:t xml:space="preserve">Governance, Performance and Accountability Act 2013 </w:t>
      </w:r>
      <w:r w:rsidR="005014E6">
        <w:t xml:space="preserve">in both the Corporations Act and the </w:t>
      </w:r>
      <w:r w:rsidR="005014E6">
        <w:rPr>
          <w:i/>
          <w:iCs/>
        </w:rPr>
        <w:t>Insurance Act 1973</w:t>
      </w:r>
      <w:r w:rsidR="005014E6">
        <w:t xml:space="preserve">. </w:t>
      </w:r>
      <w:r w:rsidR="005014E6">
        <w:br/>
      </w:r>
      <w:r w:rsidR="005014E6" w:rsidRPr="00D10880">
        <w:rPr>
          <w:rStyle w:val="References"/>
        </w:rPr>
        <w:t xml:space="preserve">[Schedule </w:t>
      </w:r>
      <w:r w:rsidR="005014E6">
        <w:rPr>
          <w:rStyle w:val="References"/>
        </w:rPr>
        <w:t>3</w:t>
      </w:r>
      <w:r w:rsidR="005014E6" w:rsidRPr="00D10880">
        <w:rPr>
          <w:rStyle w:val="References"/>
        </w:rPr>
        <w:t>, item</w:t>
      </w:r>
      <w:r w:rsidR="005014E6">
        <w:rPr>
          <w:rStyle w:val="References"/>
        </w:rPr>
        <w:t>s</w:t>
      </w:r>
      <w:r w:rsidR="005014E6" w:rsidRPr="00D10880">
        <w:rPr>
          <w:rStyle w:val="References"/>
        </w:rPr>
        <w:t xml:space="preserve"> </w:t>
      </w:r>
      <w:r w:rsidR="00A909F3">
        <w:rPr>
          <w:rStyle w:val="References"/>
        </w:rPr>
        <w:t>179 and 181</w:t>
      </w:r>
      <w:r w:rsidR="005014E6" w:rsidRPr="00D10880">
        <w:rPr>
          <w:rStyle w:val="References"/>
        </w:rPr>
        <w:t xml:space="preserve">, </w:t>
      </w:r>
      <w:r w:rsidR="00A909F3">
        <w:rPr>
          <w:rStyle w:val="References"/>
        </w:rPr>
        <w:t>subsections 883</w:t>
      </w:r>
      <w:proofErr w:type="gramStart"/>
      <w:r w:rsidR="00A909F3">
        <w:rPr>
          <w:rStyle w:val="References"/>
        </w:rPr>
        <w:t>D(</w:t>
      </w:r>
      <w:proofErr w:type="gramEnd"/>
      <w:r w:rsidR="00A909F3">
        <w:rPr>
          <w:rStyle w:val="References"/>
        </w:rPr>
        <w:t xml:space="preserve">6), 889J(7) and </w:t>
      </w:r>
      <w:r w:rsidR="00740D88">
        <w:rPr>
          <w:rStyle w:val="References"/>
        </w:rPr>
        <w:t>889K(6) of the Act and subsection 3(1) of the Insurance Act 1973]</w:t>
      </w:r>
    </w:p>
    <w:p w14:paraId="6E1C2CAC" w14:textId="5E6AE8A2" w:rsidR="00740D88" w:rsidRPr="00020288" w:rsidRDefault="00F40C6C" w:rsidP="00E72A2D">
      <w:pPr>
        <w:pStyle w:val="Normalparatextwithnumbers"/>
      </w:pPr>
      <w:r>
        <w:lastRenderedPageBreak/>
        <w:t xml:space="preserve">The amendments replace an </w:t>
      </w:r>
      <w:proofErr w:type="gramStart"/>
      <w:r>
        <w:t>out of date</w:t>
      </w:r>
      <w:proofErr w:type="gramEnd"/>
      <w:r>
        <w:t xml:space="preserve"> reference to Australian Stock exchange </w:t>
      </w:r>
      <w:r w:rsidR="004903EE">
        <w:t>Limited</w:t>
      </w:r>
      <w:r>
        <w:t xml:space="preserve"> with Australian Securities Exchange Limited in the Corporations Act. </w:t>
      </w:r>
      <w:r>
        <w:br/>
      </w:r>
      <w:r w:rsidRPr="00D10880">
        <w:rPr>
          <w:rStyle w:val="References"/>
        </w:rPr>
        <w:t xml:space="preserve">[Schedule </w:t>
      </w:r>
      <w:r>
        <w:rPr>
          <w:rStyle w:val="References"/>
        </w:rPr>
        <w:t>3</w:t>
      </w:r>
      <w:r w:rsidRPr="00D10880">
        <w:rPr>
          <w:rStyle w:val="References"/>
        </w:rPr>
        <w:t>, item</w:t>
      </w:r>
      <w:r>
        <w:rPr>
          <w:rStyle w:val="References"/>
        </w:rPr>
        <w:t xml:space="preserve"> 180</w:t>
      </w:r>
      <w:r w:rsidRPr="00D10880">
        <w:rPr>
          <w:rStyle w:val="References"/>
        </w:rPr>
        <w:t>,</w:t>
      </w:r>
      <w:r>
        <w:rPr>
          <w:rStyle w:val="References"/>
        </w:rPr>
        <w:t xml:space="preserve"> </w:t>
      </w:r>
      <w:r w:rsidR="0045358A">
        <w:rPr>
          <w:rStyle w:val="References"/>
        </w:rPr>
        <w:t>paragraph 890(3)(a) of the Act</w:t>
      </w:r>
      <w:r w:rsidR="0085429E">
        <w:rPr>
          <w:rStyle w:val="References"/>
        </w:rPr>
        <w:t>`</w:t>
      </w:r>
      <w:r w:rsidRPr="00D10880">
        <w:rPr>
          <w:rStyle w:val="References"/>
        </w:rPr>
        <w:t xml:space="preserve">] </w:t>
      </w:r>
    </w:p>
    <w:p w14:paraId="72289B71" w14:textId="77777777" w:rsidR="00F00380" w:rsidRPr="00020288" w:rsidRDefault="00F00380">
      <w:pPr>
        <w:pStyle w:val="Heading2"/>
        <w:rPr>
          <w:rFonts w:hint="eastAsia"/>
        </w:rPr>
      </w:pPr>
      <w:bookmarkStart w:id="120" w:name="_Toc152860473"/>
      <w:r w:rsidRPr="00020288">
        <w:t xml:space="preserve">Commencement, </w:t>
      </w:r>
      <w:r w:rsidRPr="00AF50CE">
        <w:t>application</w:t>
      </w:r>
      <w:r w:rsidRPr="00020288">
        <w:t>, and transitional provisions</w:t>
      </w:r>
      <w:bookmarkEnd w:id="120"/>
    </w:p>
    <w:p w14:paraId="40F5C0DA" w14:textId="550D92DF" w:rsidR="00C207CC" w:rsidRDefault="00B836B8" w:rsidP="00C207CC">
      <w:pPr>
        <w:pStyle w:val="Heading5"/>
      </w:pPr>
      <w:r>
        <w:t>Application and t</w:t>
      </w:r>
      <w:r w:rsidR="00C207CC">
        <w:t>ransitional provisions relating to</w:t>
      </w:r>
      <w:r w:rsidR="00C207CC" w:rsidRPr="00A40A80">
        <w:t xml:space="preserve"> </w:t>
      </w:r>
      <w:r w:rsidR="005B1F36">
        <w:t xml:space="preserve">Australian CS facility </w:t>
      </w:r>
      <w:proofErr w:type="gramStart"/>
      <w:r w:rsidR="005B1F36">
        <w:t>licences</w:t>
      </w:r>
      <w:proofErr w:type="gramEnd"/>
    </w:p>
    <w:p w14:paraId="6F1176B8" w14:textId="6D7906C5" w:rsidR="00D84B91" w:rsidRPr="000231D0" w:rsidRDefault="00655F8F" w:rsidP="00492449">
      <w:pPr>
        <w:pStyle w:val="Normalparatextwithnumbers"/>
        <w:rPr>
          <w:rStyle w:val="References"/>
          <w:b w:val="0"/>
          <w:i w:val="0"/>
        </w:rPr>
      </w:pPr>
      <w:r w:rsidRPr="006C030A">
        <w:t xml:space="preserve">The </w:t>
      </w:r>
      <w:r w:rsidRPr="000231D0">
        <w:t>amendments insert d</w:t>
      </w:r>
      <w:r w:rsidR="004B59BC" w:rsidRPr="000231D0">
        <w:t xml:space="preserve">efinitions for </w:t>
      </w:r>
      <w:r w:rsidRPr="000231D0">
        <w:t xml:space="preserve">the terms </w:t>
      </w:r>
      <w:r w:rsidR="004B59BC" w:rsidRPr="000231D0">
        <w:t>amending Act, commencement time</w:t>
      </w:r>
      <w:r w:rsidR="00D84B91" w:rsidRPr="000231D0">
        <w:t xml:space="preserve">, new law and old law. This </w:t>
      </w:r>
      <w:r w:rsidRPr="000231D0">
        <w:t>clarifies</w:t>
      </w:r>
      <w:r w:rsidR="00D84B91" w:rsidRPr="000231D0">
        <w:t xml:space="preserve"> impact of the transitional provisions and aid with interpretation. </w:t>
      </w:r>
      <w:r w:rsidR="00492449" w:rsidRPr="000231D0">
        <w:br/>
      </w:r>
      <w:r w:rsidR="00D84B91" w:rsidRPr="000231D0">
        <w:rPr>
          <w:rStyle w:val="References"/>
        </w:rPr>
        <w:t xml:space="preserve">[Schedule </w:t>
      </w:r>
      <w:r w:rsidR="00704CE6" w:rsidRPr="000231D0">
        <w:rPr>
          <w:rStyle w:val="References"/>
        </w:rPr>
        <w:t>2</w:t>
      </w:r>
      <w:r w:rsidR="00D84B91" w:rsidRPr="000231D0">
        <w:rPr>
          <w:rStyle w:val="References"/>
        </w:rPr>
        <w:t>, item</w:t>
      </w:r>
      <w:r w:rsidR="00DC0EEC" w:rsidRPr="000231D0">
        <w:rPr>
          <w:rStyle w:val="References"/>
        </w:rPr>
        <w:t xml:space="preserve"> </w:t>
      </w:r>
      <w:r w:rsidR="00704CE6" w:rsidRPr="000231D0">
        <w:rPr>
          <w:rStyle w:val="References"/>
        </w:rPr>
        <w:t>1</w:t>
      </w:r>
      <w:r w:rsidR="00DC0EEC" w:rsidRPr="000231D0">
        <w:rPr>
          <w:rStyle w:val="References"/>
        </w:rPr>
        <w:t>4</w:t>
      </w:r>
      <w:r w:rsidR="00704CE6" w:rsidRPr="000231D0">
        <w:rPr>
          <w:rStyle w:val="References"/>
        </w:rPr>
        <w:t>3</w:t>
      </w:r>
      <w:r w:rsidR="009E25D4" w:rsidRPr="000231D0">
        <w:rPr>
          <w:rStyle w:val="References"/>
        </w:rPr>
        <w:t>, subsection 1706</w:t>
      </w:r>
      <w:proofErr w:type="gramStart"/>
      <w:r w:rsidR="009E25D4" w:rsidRPr="000231D0">
        <w:rPr>
          <w:rStyle w:val="References"/>
        </w:rPr>
        <w:t>A(</w:t>
      </w:r>
      <w:proofErr w:type="gramEnd"/>
      <w:r w:rsidR="009E25D4" w:rsidRPr="000231D0">
        <w:rPr>
          <w:rStyle w:val="References"/>
        </w:rPr>
        <w:t>1) of the Act]</w:t>
      </w:r>
    </w:p>
    <w:p w14:paraId="5B62FC38" w14:textId="3512069B" w:rsidR="00A25014" w:rsidRPr="000231D0" w:rsidRDefault="00C66012" w:rsidP="00F10A7D">
      <w:pPr>
        <w:pStyle w:val="Normalparatextwithnumbers"/>
        <w:rPr>
          <w:rStyle w:val="References"/>
          <w:b w:val="0"/>
          <w:i w:val="0"/>
        </w:rPr>
      </w:pPr>
      <w:r w:rsidRPr="000231D0">
        <w:t xml:space="preserve">If ASIC gave a CS facility licensee </w:t>
      </w:r>
      <w:r w:rsidR="00A25014" w:rsidRPr="000231D0">
        <w:t xml:space="preserve">a direction that was in force before the commencement of Schedule </w:t>
      </w:r>
      <w:r w:rsidR="00655743" w:rsidRPr="000231D0">
        <w:t>2</w:t>
      </w:r>
      <w:r w:rsidR="00A25014" w:rsidRPr="000231D0">
        <w:t xml:space="preserve"> and was in force immediately before that commencement, the direction continues to be in force and may be dealt with on and after that commencement as if the direction were given by the RBA to the licensee under the amended Act. </w:t>
      </w:r>
      <w:r w:rsidR="00F10A7D" w:rsidRPr="000231D0">
        <w:br/>
      </w:r>
      <w:r w:rsidR="00A25014" w:rsidRPr="000231D0">
        <w:rPr>
          <w:rStyle w:val="References"/>
        </w:rPr>
        <w:t xml:space="preserve">[Schedule </w:t>
      </w:r>
      <w:r w:rsidR="00655743" w:rsidRPr="000231D0">
        <w:rPr>
          <w:rStyle w:val="References"/>
        </w:rPr>
        <w:t>2</w:t>
      </w:r>
      <w:r w:rsidR="00A25014" w:rsidRPr="000231D0">
        <w:rPr>
          <w:rStyle w:val="References"/>
        </w:rPr>
        <w:t>, ite</w:t>
      </w:r>
      <w:r w:rsidR="002824FB" w:rsidRPr="000231D0">
        <w:rPr>
          <w:rStyle w:val="References"/>
        </w:rPr>
        <w:t>m 1</w:t>
      </w:r>
      <w:r w:rsidR="005346F6" w:rsidRPr="000231D0">
        <w:rPr>
          <w:rStyle w:val="References"/>
        </w:rPr>
        <w:t>43</w:t>
      </w:r>
      <w:r w:rsidR="002824FB" w:rsidRPr="000231D0">
        <w:rPr>
          <w:rStyle w:val="References"/>
        </w:rPr>
        <w:t>, section 1706</w:t>
      </w:r>
      <w:r w:rsidR="00655743" w:rsidRPr="000231D0">
        <w:rPr>
          <w:rStyle w:val="References"/>
        </w:rPr>
        <w:t>AL</w:t>
      </w:r>
      <w:r w:rsidR="002824FB" w:rsidRPr="000231D0">
        <w:rPr>
          <w:rStyle w:val="References"/>
        </w:rPr>
        <w:t xml:space="preserve"> of the Act]</w:t>
      </w:r>
    </w:p>
    <w:p w14:paraId="184F7E1F" w14:textId="634CE1F9" w:rsidR="00B43B6C" w:rsidRPr="000231D0" w:rsidRDefault="00EF0136" w:rsidP="00AD1047">
      <w:pPr>
        <w:pStyle w:val="Normalparatextwithnumbers"/>
      </w:pPr>
      <w:r w:rsidRPr="000231D0">
        <w:t xml:space="preserve">Schedule </w:t>
      </w:r>
      <w:r w:rsidR="00A14756" w:rsidRPr="000231D0">
        <w:t>2</w:t>
      </w:r>
      <w:r w:rsidRPr="000231D0">
        <w:t xml:space="preserve"> includes an application provision stating that</w:t>
      </w:r>
      <w:r w:rsidR="002C18A2" w:rsidRPr="000231D0">
        <w:t xml:space="preserve">, on or after the commencement of that Schedule, </w:t>
      </w:r>
      <w:r w:rsidRPr="000231D0">
        <w:t xml:space="preserve">an </w:t>
      </w:r>
      <w:r w:rsidR="00A34FA3" w:rsidRPr="000231D0">
        <w:t>application for an</w:t>
      </w:r>
      <w:r w:rsidR="003C7F62" w:rsidRPr="000231D0">
        <w:t xml:space="preserve"> Australian CS facility licence </w:t>
      </w:r>
      <w:r w:rsidR="00A34FA3" w:rsidRPr="000231D0">
        <w:t>made</w:t>
      </w:r>
      <w:r w:rsidR="0015052F" w:rsidRPr="000231D0">
        <w:t xml:space="preserve"> under section 824A </w:t>
      </w:r>
      <w:r w:rsidR="006E6B7B" w:rsidRPr="000231D0">
        <w:t xml:space="preserve">may only be granted </w:t>
      </w:r>
      <w:r w:rsidR="000F1CB4" w:rsidRPr="000231D0">
        <w:t xml:space="preserve">by ASIC </w:t>
      </w:r>
      <w:r w:rsidR="003C7F62" w:rsidRPr="000231D0">
        <w:t xml:space="preserve">to </w:t>
      </w:r>
      <w:r w:rsidR="006E6B7B" w:rsidRPr="000231D0">
        <w:t>an Australian body corporate</w:t>
      </w:r>
      <w:r w:rsidRPr="000231D0">
        <w:t xml:space="preserve"> registered under Chapter 2A</w:t>
      </w:r>
      <w:r w:rsidR="003C7F62" w:rsidRPr="000231D0">
        <w:t xml:space="preserve"> or a foreign body corporate registered under </w:t>
      </w:r>
      <w:r w:rsidR="000F1CB4" w:rsidRPr="000231D0">
        <w:t>Division 2 of Part 5B.2</w:t>
      </w:r>
      <w:r w:rsidRPr="000231D0">
        <w:t>.</w:t>
      </w:r>
      <w:r w:rsidR="00DC046C" w:rsidRPr="000231D0">
        <w:t xml:space="preserve"> </w:t>
      </w:r>
      <w:r w:rsidR="00A34FA3" w:rsidRPr="000231D0">
        <w:br/>
      </w:r>
      <w:r w:rsidR="00A34FA3" w:rsidRPr="000231D0">
        <w:rPr>
          <w:rStyle w:val="References"/>
        </w:rPr>
        <w:t xml:space="preserve">[Schedule </w:t>
      </w:r>
      <w:r w:rsidR="00704CE6" w:rsidRPr="000231D0">
        <w:rPr>
          <w:rStyle w:val="References"/>
        </w:rPr>
        <w:t>2</w:t>
      </w:r>
      <w:r w:rsidR="00A34FA3" w:rsidRPr="000231D0">
        <w:rPr>
          <w:rStyle w:val="References"/>
        </w:rPr>
        <w:t>, item</w:t>
      </w:r>
      <w:r w:rsidR="00704CE6" w:rsidRPr="000231D0">
        <w:rPr>
          <w:rStyle w:val="References"/>
        </w:rPr>
        <w:t xml:space="preserve"> 143</w:t>
      </w:r>
      <w:r w:rsidR="00A34FA3" w:rsidRPr="000231D0">
        <w:rPr>
          <w:rStyle w:val="References"/>
        </w:rPr>
        <w:t>, section 1706AA</w:t>
      </w:r>
      <w:r w:rsidR="00785410" w:rsidRPr="000231D0">
        <w:rPr>
          <w:rStyle w:val="References"/>
        </w:rPr>
        <w:t xml:space="preserve"> of the Act</w:t>
      </w:r>
      <w:r w:rsidR="00A34FA3" w:rsidRPr="000231D0">
        <w:rPr>
          <w:rStyle w:val="References"/>
        </w:rPr>
        <w:t xml:space="preserve">] </w:t>
      </w:r>
    </w:p>
    <w:p w14:paraId="30E54EF5" w14:textId="17860B6A" w:rsidR="001B7378" w:rsidRPr="00EC134D" w:rsidRDefault="00DC046C" w:rsidP="00AD1047">
      <w:pPr>
        <w:pStyle w:val="Normalparatextwithnumbers"/>
      </w:pPr>
      <w:r w:rsidRPr="000231D0">
        <w:t>T</w:t>
      </w:r>
      <w:r w:rsidR="00CA603B" w:rsidRPr="000231D0">
        <w:t>ransitional provision</w:t>
      </w:r>
      <w:r w:rsidRPr="000231D0">
        <w:t>s</w:t>
      </w:r>
      <w:r w:rsidR="00CA603B" w:rsidRPr="000231D0">
        <w:t xml:space="preserve"> provide that </w:t>
      </w:r>
      <w:r w:rsidR="0034118E" w:rsidRPr="000231D0">
        <w:t xml:space="preserve">an </w:t>
      </w:r>
      <w:r w:rsidR="00310A62" w:rsidRPr="000231D0">
        <w:t xml:space="preserve">application for an </w:t>
      </w:r>
      <w:r w:rsidR="0034118E" w:rsidRPr="000231D0">
        <w:t xml:space="preserve">Australian CS facility licence </w:t>
      </w:r>
      <w:r w:rsidR="00016B11" w:rsidRPr="000231D0">
        <w:t>made under section 824A</w:t>
      </w:r>
      <w:r w:rsidR="0034118E" w:rsidRPr="000231D0">
        <w:t xml:space="preserve"> pre-commencement of Schedule </w:t>
      </w:r>
      <w:r w:rsidR="003A277C" w:rsidRPr="000231D0">
        <w:t>2</w:t>
      </w:r>
      <w:r w:rsidR="0034118E" w:rsidRPr="000231D0">
        <w:t xml:space="preserve"> </w:t>
      </w:r>
      <w:r w:rsidR="00421D10" w:rsidRPr="000231D0">
        <w:t xml:space="preserve">continues to be </w:t>
      </w:r>
      <w:r w:rsidR="00F02120" w:rsidRPr="000231D0">
        <w:t>valid</w:t>
      </w:r>
      <w:r w:rsidR="00016B11" w:rsidRPr="000231D0">
        <w:t xml:space="preserve"> </w:t>
      </w:r>
      <w:r w:rsidR="00E64833" w:rsidRPr="000231D0">
        <w:t xml:space="preserve">notwithstanding whether the body </w:t>
      </w:r>
      <w:r w:rsidR="00E64833" w:rsidRPr="00EC134D">
        <w:t xml:space="preserve">corporate is registered under either Chapter 2A or Division 2 of Part 5B.2 </w:t>
      </w:r>
      <w:r w:rsidR="003F167A" w:rsidRPr="00EC134D">
        <w:t>and, if the licence had been granted by the Minister pre-commencement</w:t>
      </w:r>
      <w:r w:rsidR="00656253" w:rsidRPr="00EC134D">
        <w:t xml:space="preserve"> or even on or after commencement</w:t>
      </w:r>
      <w:r w:rsidR="009C6798" w:rsidRPr="00EC134D">
        <w:t xml:space="preserve"> for applications already made pre-commencement</w:t>
      </w:r>
      <w:r w:rsidR="003F167A" w:rsidRPr="00EC134D">
        <w:t>,</w:t>
      </w:r>
      <w:r w:rsidR="009D7A08" w:rsidRPr="00EC134D">
        <w:t xml:space="preserve"> dealt with as</w:t>
      </w:r>
      <w:r w:rsidR="0027392C" w:rsidRPr="00EC134D">
        <w:t xml:space="preserve"> if the </w:t>
      </w:r>
      <w:r w:rsidR="003F167A" w:rsidRPr="00EC134D">
        <w:t>licence was granted by ASIC</w:t>
      </w:r>
      <w:r w:rsidR="005B5477" w:rsidRPr="00EC134D">
        <w:t>.</w:t>
      </w:r>
      <w:r w:rsidR="00ED7623" w:rsidRPr="00EC134D">
        <w:t xml:space="preserve"> </w:t>
      </w:r>
    </w:p>
    <w:p w14:paraId="06529E42" w14:textId="4C60DF45" w:rsidR="00BE1A9E" w:rsidRPr="00EC134D" w:rsidRDefault="00ED7623" w:rsidP="00AD1047">
      <w:pPr>
        <w:pStyle w:val="Normalparatextwithnumbers"/>
      </w:pPr>
      <w:r w:rsidRPr="00EC134D">
        <w:t>Transitional provisions also apply for Australian CS facility licen</w:t>
      </w:r>
      <w:r w:rsidR="00E37DD6" w:rsidRPr="00EC134D">
        <w:t>c</w:t>
      </w:r>
      <w:r w:rsidRPr="00EC134D">
        <w:t xml:space="preserve">es in force before commencement for operating overseas </w:t>
      </w:r>
      <w:r w:rsidR="00A54749" w:rsidRPr="00EC134D">
        <w:t>CS</w:t>
      </w:r>
      <w:r w:rsidRPr="00EC134D">
        <w:t xml:space="preserve"> facilities</w:t>
      </w:r>
      <w:r w:rsidR="00983021" w:rsidRPr="00EC134D">
        <w:t>.</w:t>
      </w:r>
      <w:r w:rsidRPr="00EC134D">
        <w:t xml:space="preserve"> </w:t>
      </w:r>
      <w:r w:rsidR="00983021" w:rsidRPr="00EC134D">
        <w:t>If an</w:t>
      </w:r>
      <w:r w:rsidRPr="00EC134D">
        <w:t xml:space="preserve"> application </w:t>
      </w:r>
      <w:r w:rsidR="00983021" w:rsidRPr="00EC134D">
        <w:t xml:space="preserve">was </w:t>
      </w:r>
      <w:r w:rsidRPr="00EC134D">
        <w:t>undecided before commencemen</w:t>
      </w:r>
      <w:r w:rsidR="00983021" w:rsidRPr="00EC134D">
        <w:t xml:space="preserve">t, </w:t>
      </w:r>
      <w:r w:rsidR="00A41B1F" w:rsidRPr="00EC134D">
        <w:t xml:space="preserve">if the Minister decides the application by granting a licence under the old Act, the licence is taken to be granted under the old </w:t>
      </w:r>
      <w:r w:rsidR="00886999" w:rsidRPr="00EC134D">
        <w:t>Ac</w:t>
      </w:r>
      <w:r w:rsidR="00A41B1F" w:rsidRPr="00EC134D">
        <w:t>t to a body corporate as if the licence had been granted under the amended Act. If the licence granted under the old Act to a body corporate</w:t>
      </w:r>
      <w:r w:rsidR="002C2004" w:rsidRPr="00EC134D">
        <w:t xml:space="preserve"> as inserted by the Schedule, the l</w:t>
      </w:r>
      <w:r w:rsidR="009B48AA" w:rsidRPr="00EC134D">
        <w:t xml:space="preserve">icence is taken to have been granted to the body corporate as inserted by the Schedule. </w:t>
      </w:r>
      <w:r w:rsidR="00BE1A9E" w:rsidRPr="00EC134D">
        <w:br/>
      </w:r>
      <w:r w:rsidR="00BE1A9E" w:rsidRPr="00EC134D">
        <w:rPr>
          <w:rStyle w:val="References"/>
        </w:rPr>
        <w:t xml:space="preserve">[Schedule </w:t>
      </w:r>
      <w:r w:rsidR="00704CE6" w:rsidRPr="00EC134D">
        <w:rPr>
          <w:rStyle w:val="References"/>
        </w:rPr>
        <w:t>2</w:t>
      </w:r>
      <w:r w:rsidR="00BE1A9E" w:rsidRPr="00EC134D">
        <w:rPr>
          <w:rStyle w:val="References"/>
        </w:rPr>
        <w:t xml:space="preserve">, item </w:t>
      </w:r>
      <w:r w:rsidR="00704CE6" w:rsidRPr="00EC134D">
        <w:rPr>
          <w:rStyle w:val="References"/>
        </w:rPr>
        <w:t>1</w:t>
      </w:r>
      <w:r w:rsidR="00BE1A9E" w:rsidRPr="00EC134D">
        <w:rPr>
          <w:rStyle w:val="References"/>
        </w:rPr>
        <w:t>4</w:t>
      </w:r>
      <w:r w:rsidR="00704CE6" w:rsidRPr="00EC134D">
        <w:rPr>
          <w:rStyle w:val="References"/>
        </w:rPr>
        <w:t>3</w:t>
      </w:r>
      <w:r w:rsidR="00BE1A9E" w:rsidRPr="00EC134D">
        <w:rPr>
          <w:rStyle w:val="References"/>
        </w:rPr>
        <w:t>, sections 1706AB</w:t>
      </w:r>
      <w:r w:rsidR="007B3BA9" w:rsidRPr="00EC134D">
        <w:rPr>
          <w:rStyle w:val="References"/>
        </w:rPr>
        <w:t>, 1706AC</w:t>
      </w:r>
      <w:r w:rsidR="00D34FD9" w:rsidRPr="00EC134D">
        <w:rPr>
          <w:rStyle w:val="References"/>
        </w:rPr>
        <w:t xml:space="preserve"> and 1706AD</w:t>
      </w:r>
      <w:r w:rsidR="00785410" w:rsidRPr="00EC134D">
        <w:rPr>
          <w:rStyle w:val="References"/>
        </w:rPr>
        <w:t xml:space="preserve"> of the Act</w:t>
      </w:r>
      <w:r w:rsidR="00BE1A9E" w:rsidRPr="00EC134D">
        <w:rPr>
          <w:rStyle w:val="References"/>
        </w:rPr>
        <w:t xml:space="preserve">] </w:t>
      </w:r>
    </w:p>
    <w:p w14:paraId="117A41A9" w14:textId="290401C8" w:rsidR="004C4364" w:rsidRPr="00EC134D" w:rsidRDefault="00771CF3" w:rsidP="004C4364">
      <w:pPr>
        <w:pStyle w:val="Heading5"/>
      </w:pPr>
      <w:r w:rsidRPr="00EC134D">
        <w:lastRenderedPageBreak/>
        <w:t xml:space="preserve">Application </w:t>
      </w:r>
      <w:r w:rsidR="004C4364" w:rsidRPr="00EC134D">
        <w:t>provision</w:t>
      </w:r>
      <w:r w:rsidRPr="00EC134D">
        <w:t>s</w:t>
      </w:r>
      <w:r w:rsidR="004C4364" w:rsidRPr="00EC134D">
        <w:t xml:space="preserve"> relating to </w:t>
      </w:r>
      <w:r w:rsidR="00707B74" w:rsidRPr="00EC134D">
        <w:t xml:space="preserve">dealing with licences that are not being </w:t>
      </w:r>
      <w:proofErr w:type="gramStart"/>
      <w:r w:rsidR="00707B74" w:rsidRPr="00EC134D">
        <w:t>used</w:t>
      </w:r>
      <w:proofErr w:type="gramEnd"/>
    </w:p>
    <w:p w14:paraId="7722DD00" w14:textId="30BE05C7" w:rsidR="00745BCA" w:rsidRPr="00EC134D" w:rsidRDefault="00933443" w:rsidP="00F10A7D">
      <w:pPr>
        <w:pStyle w:val="Normalparatextwithnumbers"/>
        <w:rPr>
          <w:rStyle w:val="References"/>
          <w:rFonts w:eastAsiaTheme="majorEastAsia" w:cstheme="majorBidi"/>
          <w:b w:val="0"/>
          <w:i w:val="0"/>
          <w:spacing w:val="-10"/>
          <w:kern w:val="28"/>
          <w:szCs w:val="56"/>
        </w:rPr>
      </w:pPr>
      <w:r w:rsidRPr="00EC134D">
        <w:t xml:space="preserve">The </w:t>
      </w:r>
      <w:r w:rsidR="002E1376" w:rsidRPr="00EC134D">
        <w:t>amendments relating to</w:t>
      </w:r>
      <w:r w:rsidR="00745BCA" w:rsidRPr="00EC134D">
        <w:t xml:space="preserve"> </w:t>
      </w:r>
      <w:r w:rsidR="00663282" w:rsidRPr="00EC134D">
        <w:t xml:space="preserve">dealing with </w:t>
      </w:r>
      <w:r w:rsidR="00745BCA" w:rsidRPr="00EC134D">
        <w:t xml:space="preserve">licences that are not being used </w:t>
      </w:r>
      <w:r w:rsidR="007D61E8" w:rsidRPr="00EC134D">
        <w:t xml:space="preserve">apply </w:t>
      </w:r>
      <w:r w:rsidR="00025407" w:rsidRPr="00EC134D">
        <w:t xml:space="preserve">to an action taken or decision made by ASIC on or after the commencement of Schedule </w:t>
      </w:r>
      <w:r w:rsidR="00632938" w:rsidRPr="00EC134D">
        <w:t>2</w:t>
      </w:r>
      <w:r w:rsidR="00025407" w:rsidRPr="00EC134D">
        <w:t xml:space="preserve"> (whether a related licence is granted, change happens</w:t>
      </w:r>
      <w:r w:rsidR="008F5726" w:rsidRPr="00EC134D">
        <w:t>,</w:t>
      </w:r>
      <w:r w:rsidR="00025407" w:rsidRPr="00EC134D">
        <w:t xml:space="preserve"> or period </w:t>
      </w:r>
      <w:r w:rsidR="00341801" w:rsidRPr="00EC134D">
        <w:t xml:space="preserve">of lack of use </w:t>
      </w:r>
      <w:r w:rsidR="00025407" w:rsidRPr="00EC134D">
        <w:t>starts before, on or after that commencement).</w:t>
      </w:r>
      <w:r w:rsidR="006A6603" w:rsidRPr="00EC134D">
        <w:br/>
      </w:r>
      <w:r w:rsidR="006A6603" w:rsidRPr="00EC134D">
        <w:rPr>
          <w:rStyle w:val="References"/>
        </w:rPr>
        <w:t xml:space="preserve">[Schedule </w:t>
      </w:r>
      <w:r w:rsidR="00704CE6" w:rsidRPr="00EC134D">
        <w:rPr>
          <w:rStyle w:val="References"/>
        </w:rPr>
        <w:t>2</w:t>
      </w:r>
      <w:r w:rsidR="006A6603" w:rsidRPr="00EC134D">
        <w:rPr>
          <w:rStyle w:val="References"/>
        </w:rPr>
        <w:t xml:space="preserve">, </w:t>
      </w:r>
      <w:r w:rsidR="006A4F0E" w:rsidRPr="00EC134D">
        <w:rPr>
          <w:rStyle w:val="References"/>
        </w:rPr>
        <w:t xml:space="preserve">items </w:t>
      </w:r>
      <w:r w:rsidR="00704CE6" w:rsidRPr="00EC134D">
        <w:rPr>
          <w:rStyle w:val="References"/>
        </w:rPr>
        <w:t>1</w:t>
      </w:r>
      <w:r w:rsidR="006A4F0E" w:rsidRPr="00EC134D">
        <w:rPr>
          <w:rStyle w:val="References"/>
        </w:rPr>
        <w:t>4</w:t>
      </w:r>
      <w:r w:rsidR="00704CE6" w:rsidRPr="00EC134D">
        <w:rPr>
          <w:rStyle w:val="References"/>
        </w:rPr>
        <w:t>3</w:t>
      </w:r>
      <w:r w:rsidR="006A6603" w:rsidRPr="00EC134D">
        <w:rPr>
          <w:rStyle w:val="References"/>
        </w:rPr>
        <w:t xml:space="preserve">, </w:t>
      </w:r>
      <w:r w:rsidR="007B488F" w:rsidRPr="00EC134D">
        <w:rPr>
          <w:rStyle w:val="References"/>
        </w:rPr>
        <w:t>section</w:t>
      </w:r>
      <w:r w:rsidR="006A6603" w:rsidRPr="00EC134D">
        <w:rPr>
          <w:rStyle w:val="References"/>
        </w:rPr>
        <w:t xml:space="preserve"> </w:t>
      </w:r>
      <w:r w:rsidR="007B488F" w:rsidRPr="00EC134D">
        <w:rPr>
          <w:rStyle w:val="References"/>
        </w:rPr>
        <w:t>1706AE</w:t>
      </w:r>
      <w:r w:rsidR="00491C61" w:rsidRPr="00EC134D">
        <w:rPr>
          <w:rStyle w:val="References"/>
        </w:rPr>
        <w:t xml:space="preserve"> of the Act</w:t>
      </w:r>
      <w:r w:rsidR="006A6603" w:rsidRPr="00EC134D">
        <w:rPr>
          <w:rStyle w:val="References"/>
        </w:rPr>
        <w:t xml:space="preserve">] </w:t>
      </w:r>
    </w:p>
    <w:p w14:paraId="411E3564" w14:textId="3AE494DF" w:rsidR="00CF36DD" w:rsidRPr="00EC134D" w:rsidRDefault="00CF36DD" w:rsidP="00CF36DD">
      <w:pPr>
        <w:pStyle w:val="Heading5"/>
      </w:pPr>
      <w:r w:rsidRPr="00EC134D">
        <w:t xml:space="preserve">Transitional provisions relating to </w:t>
      </w:r>
      <w:r w:rsidR="00831B82" w:rsidRPr="00EC134D">
        <w:t xml:space="preserve">prescribed financial markets and widely held market </w:t>
      </w:r>
      <w:proofErr w:type="gramStart"/>
      <w:r w:rsidR="00831B82" w:rsidRPr="00EC134D">
        <w:t>bodies</w:t>
      </w:r>
      <w:proofErr w:type="gramEnd"/>
    </w:p>
    <w:p w14:paraId="5AC7635A" w14:textId="5E7283A9" w:rsidR="00372CFB" w:rsidRPr="00EC134D" w:rsidRDefault="00CE392C" w:rsidP="00F10A7D">
      <w:pPr>
        <w:pStyle w:val="Normalparatextwithnumbers"/>
      </w:pPr>
      <w:r w:rsidRPr="00EC134D">
        <w:t xml:space="preserve">Transitional provisions ensure that </w:t>
      </w:r>
      <w:r w:rsidR="00200749" w:rsidRPr="00EC134D">
        <w:t>financial market</w:t>
      </w:r>
      <w:r w:rsidR="00E35DAA" w:rsidRPr="00EC134D">
        <w:t>s prescribed by regulations</w:t>
      </w:r>
      <w:r w:rsidR="00200749" w:rsidRPr="00EC134D">
        <w:t xml:space="preserve"> </w:t>
      </w:r>
      <w:r w:rsidR="005F506B" w:rsidRPr="00EC134D">
        <w:t xml:space="preserve">are taken to be (and may be dealt with as if they were) </w:t>
      </w:r>
      <w:r w:rsidR="00515378" w:rsidRPr="00EC134D">
        <w:t>declared financial markets.</w:t>
      </w:r>
      <w:r w:rsidR="0032646D" w:rsidRPr="00EC134D">
        <w:t xml:space="preserve"> Transitional provisions also ensure that widely held market bodies prescribed by regulations continue to be </w:t>
      </w:r>
      <w:r w:rsidR="00036E6A" w:rsidRPr="00EC134D">
        <w:t xml:space="preserve">widely held market bodies </w:t>
      </w:r>
      <w:r w:rsidR="00A85EDC" w:rsidRPr="00EC134D">
        <w:t>after the commencement of the amendments.</w:t>
      </w:r>
      <w:r w:rsidR="00E37C78" w:rsidRPr="00EC134D">
        <w:br/>
      </w:r>
      <w:r w:rsidR="00E37C78" w:rsidRPr="00EC134D">
        <w:rPr>
          <w:rStyle w:val="References"/>
        </w:rPr>
        <w:t xml:space="preserve">[Schedule </w:t>
      </w:r>
      <w:r w:rsidR="00704CE6" w:rsidRPr="00EC134D">
        <w:rPr>
          <w:rStyle w:val="References"/>
        </w:rPr>
        <w:t>2</w:t>
      </w:r>
      <w:r w:rsidR="00E37C78" w:rsidRPr="00EC134D">
        <w:rPr>
          <w:rStyle w:val="References"/>
        </w:rPr>
        <w:t xml:space="preserve">, </w:t>
      </w:r>
      <w:r w:rsidR="00B03EF3" w:rsidRPr="00EC134D">
        <w:rPr>
          <w:rStyle w:val="References"/>
        </w:rPr>
        <w:t xml:space="preserve">items </w:t>
      </w:r>
      <w:r w:rsidR="00704CE6" w:rsidRPr="00EC134D">
        <w:rPr>
          <w:rStyle w:val="References"/>
        </w:rPr>
        <w:t>1</w:t>
      </w:r>
      <w:r w:rsidR="00B03EF3" w:rsidRPr="00EC134D">
        <w:rPr>
          <w:rStyle w:val="References"/>
        </w:rPr>
        <w:t>4</w:t>
      </w:r>
      <w:r w:rsidR="00704CE6" w:rsidRPr="00EC134D">
        <w:rPr>
          <w:rStyle w:val="References"/>
        </w:rPr>
        <w:t>3</w:t>
      </w:r>
      <w:r w:rsidR="00E37C78" w:rsidRPr="00EC134D">
        <w:rPr>
          <w:rStyle w:val="References"/>
        </w:rPr>
        <w:t xml:space="preserve">, </w:t>
      </w:r>
      <w:r w:rsidR="00827F47" w:rsidRPr="00EC134D">
        <w:rPr>
          <w:rStyle w:val="References"/>
        </w:rPr>
        <w:t>section</w:t>
      </w:r>
      <w:r w:rsidR="0028355C" w:rsidRPr="00EC134D">
        <w:rPr>
          <w:rStyle w:val="References"/>
        </w:rPr>
        <w:t>s</w:t>
      </w:r>
      <w:r w:rsidR="00827F47" w:rsidRPr="00EC134D">
        <w:rPr>
          <w:rStyle w:val="References"/>
        </w:rPr>
        <w:t xml:space="preserve"> 1706</w:t>
      </w:r>
      <w:r w:rsidR="00704CE6" w:rsidRPr="00EC134D">
        <w:rPr>
          <w:rStyle w:val="References"/>
        </w:rPr>
        <w:t>A</w:t>
      </w:r>
      <w:r w:rsidR="00632938" w:rsidRPr="00EC134D">
        <w:rPr>
          <w:rStyle w:val="References"/>
        </w:rPr>
        <w:t>F</w:t>
      </w:r>
      <w:r w:rsidR="00A85EDC" w:rsidRPr="00EC134D">
        <w:rPr>
          <w:rStyle w:val="References"/>
        </w:rPr>
        <w:t xml:space="preserve"> and 1706</w:t>
      </w:r>
      <w:r w:rsidR="00632938" w:rsidRPr="00EC134D">
        <w:rPr>
          <w:rStyle w:val="References"/>
        </w:rPr>
        <w:t>AH</w:t>
      </w:r>
      <w:r w:rsidR="00491C61" w:rsidRPr="00EC134D">
        <w:rPr>
          <w:rStyle w:val="References"/>
        </w:rPr>
        <w:t xml:space="preserve"> of the Act</w:t>
      </w:r>
      <w:r w:rsidR="00E37C78" w:rsidRPr="00EC134D">
        <w:rPr>
          <w:rStyle w:val="References"/>
        </w:rPr>
        <w:t xml:space="preserve">] </w:t>
      </w:r>
    </w:p>
    <w:p w14:paraId="124222AB" w14:textId="0F5A0C50" w:rsidR="002119C8" w:rsidRPr="00EC134D" w:rsidRDefault="003256BD" w:rsidP="00F10A7D">
      <w:pPr>
        <w:pStyle w:val="Normalparatextwithnumbers"/>
        <w:rPr>
          <w:rStyle w:val="References"/>
          <w:b w:val="0"/>
          <w:i w:val="0"/>
        </w:rPr>
      </w:pPr>
      <w:r w:rsidRPr="00EC134D">
        <w:t xml:space="preserve">Schedule </w:t>
      </w:r>
      <w:r w:rsidR="00632938" w:rsidRPr="00EC134D">
        <w:t>2</w:t>
      </w:r>
      <w:r w:rsidRPr="00EC134D">
        <w:t xml:space="preserve"> contains </w:t>
      </w:r>
      <w:r w:rsidR="00F6713A" w:rsidRPr="00EC134D">
        <w:t xml:space="preserve">a </w:t>
      </w:r>
      <w:r w:rsidR="00D827E1" w:rsidRPr="00EC134D">
        <w:t xml:space="preserve">translation of references </w:t>
      </w:r>
      <w:r w:rsidRPr="00EC134D">
        <w:t xml:space="preserve">provision to </w:t>
      </w:r>
      <w:r w:rsidR="00F6713A" w:rsidRPr="00EC134D">
        <w:t>update</w:t>
      </w:r>
      <w:r w:rsidR="00364471" w:rsidRPr="00EC134D">
        <w:t xml:space="preserve"> references </w:t>
      </w:r>
      <w:r w:rsidR="009E6EEA" w:rsidRPr="00EC134D">
        <w:t>to prescribed financial market</w:t>
      </w:r>
      <w:r w:rsidR="009B5EFA" w:rsidRPr="00EC134D">
        <w:t>(</w:t>
      </w:r>
      <w:r w:rsidR="009E6EEA" w:rsidRPr="00EC134D">
        <w:t>s</w:t>
      </w:r>
      <w:r w:rsidR="009B5EFA" w:rsidRPr="00EC134D">
        <w:t>)</w:t>
      </w:r>
      <w:r w:rsidR="009E6EEA" w:rsidRPr="00EC134D">
        <w:t xml:space="preserve"> in instruments made under the Act</w:t>
      </w:r>
      <w:r w:rsidR="00303B95" w:rsidRPr="00EC134D">
        <w:t xml:space="preserve"> to declared financial market</w:t>
      </w:r>
      <w:r w:rsidR="009B5EFA" w:rsidRPr="00EC134D">
        <w:t>(</w:t>
      </w:r>
      <w:r w:rsidR="00303B95" w:rsidRPr="00EC134D">
        <w:t>s</w:t>
      </w:r>
      <w:r w:rsidR="009B5EFA" w:rsidRPr="00EC134D">
        <w:t>)</w:t>
      </w:r>
      <w:r w:rsidR="00901F40" w:rsidRPr="00EC134D">
        <w:t>.</w:t>
      </w:r>
      <w:r w:rsidR="004D0A42" w:rsidRPr="00EC134D">
        <w:br/>
      </w:r>
      <w:r w:rsidR="004D0A42" w:rsidRPr="00EC134D">
        <w:rPr>
          <w:rStyle w:val="References"/>
        </w:rPr>
        <w:t xml:space="preserve">[Schedule </w:t>
      </w:r>
      <w:r w:rsidR="00632938" w:rsidRPr="00EC134D">
        <w:rPr>
          <w:rStyle w:val="References"/>
        </w:rPr>
        <w:t>2</w:t>
      </w:r>
      <w:r w:rsidR="004D0A42" w:rsidRPr="00EC134D">
        <w:rPr>
          <w:rStyle w:val="References"/>
        </w:rPr>
        <w:t xml:space="preserve">, </w:t>
      </w:r>
      <w:r w:rsidR="00B03EF3" w:rsidRPr="00EC134D">
        <w:rPr>
          <w:rStyle w:val="References"/>
        </w:rPr>
        <w:t xml:space="preserve">items </w:t>
      </w:r>
      <w:r w:rsidR="00632938" w:rsidRPr="00EC134D">
        <w:rPr>
          <w:rStyle w:val="References"/>
        </w:rPr>
        <w:t>1</w:t>
      </w:r>
      <w:r w:rsidR="00B03EF3" w:rsidRPr="00EC134D">
        <w:rPr>
          <w:rStyle w:val="References"/>
        </w:rPr>
        <w:t>4</w:t>
      </w:r>
      <w:r w:rsidR="00632938" w:rsidRPr="00EC134D">
        <w:rPr>
          <w:rStyle w:val="References"/>
        </w:rPr>
        <w:t>3</w:t>
      </w:r>
      <w:r w:rsidR="004D0A42" w:rsidRPr="00EC134D">
        <w:rPr>
          <w:rStyle w:val="References"/>
        </w:rPr>
        <w:t>, section 1706A</w:t>
      </w:r>
      <w:r w:rsidR="00632938" w:rsidRPr="00EC134D">
        <w:rPr>
          <w:rStyle w:val="References"/>
        </w:rPr>
        <w:t>G</w:t>
      </w:r>
      <w:r w:rsidR="00491C61" w:rsidRPr="00EC134D">
        <w:rPr>
          <w:rStyle w:val="References"/>
        </w:rPr>
        <w:t xml:space="preserve"> of the Act</w:t>
      </w:r>
      <w:r w:rsidR="004D0A42" w:rsidRPr="00EC134D">
        <w:rPr>
          <w:rStyle w:val="References"/>
        </w:rPr>
        <w:t xml:space="preserve">] </w:t>
      </w:r>
    </w:p>
    <w:p w14:paraId="22026C73" w14:textId="75614AE6" w:rsidR="00CD0147" w:rsidRPr="00EC134D" w:rsidRDefault="007D5A3C" w:rsidP="00CD0147">
      <w:pPr>
        <w:pStyle w:val="Heading5"/>
      </w:pPr>
      <w:r w:rsidRPr="00EC134D">
        <w:t>Application and t</w:t>
      </w:r>
      <w:r w:rsidR="00CD0147" w:rsidRPr="00EC134D">
        <w:t xml:space="preserve">ransitional provisions relating to preservation of voting </w:t>
      </w:r>
      <w:proofErr w:type="gramStart"/>
      <w:r w:rsidR="00CD0147" w:rsidRPr="00EC134D">
        <w:t>power</w:t>
      </w:r>
      <w:proofErr w:type="gramEnd"/>
    </w:p>
    <w:p w14:paraId="4575CA8D" w14:textId="19CA0E9C" w:rsidR="00C9762A" w:rsidRPr="00EC134D" w:rsidRDefault="00C9762A" w:rsidP="00F10A7D">
      <w:pPr>
        <w:pStyle w:val="Normalparatextwithnumbers"/>
      </w:pPr>
      <w:r w:rsidRPr="00EC134D">
        <w:t>The amendments relating to preservation of voting power</w:t>
      </w:r>
      <w:r w:rsidR="00DB5825" w:rsidRPr="00EC134D">
        <w:t xml:space="preserve"> appl</w:t>
      </w:r>
      <w:r w:rsidR="00B126BC" w:rsidRPr="00EC134D">
        <w:t xml:space="preserve">y </w:t>
      </w:r>
      <w:r w:rsidR="00DB5825" w:rsidRPr="00EC134D">
        <w:t xml:space="preserve">to a person who holds a particular percentage of voting power in a </w:t>
      </w:r>
      <w:r w:rsidR="00E800CE" w:rsidRPr="00EC134D">
        <w:t>widely held market body</w:t>
      </w:r>
      <w:r w:rsidR="00BF69DF" w:rsidRPr="00EC134D">
        <w:t>,</w:t>
      </w:r>
      <w:r w:rsidR="00DB5825" w:rsidRPr="00EC134D">
        <w:t xml:space="preserve"> </w:t>
      </w:r>
      <w:r w:rsidR="00BF69DF" w:rsidRPr="00EC134D">
        <w:t>that is declared by ASIC</w:t>
      </w:r>
      <w:r w:rsidR="0014650C" w:rsidRPr="00EC134D">
        <w:t xml:space="preserve"> (not by virtue of </w:t>
      </w:r>
      <w:r w:rsidR="0079417D" w:rsidRPr="00EC134D">
        <w:t xml:space="preserve">the transitional provision in </w:t>
      </w:r>
      <w:r w:rsidR="0014650C" w:rsidRPr="00EC134D">
        <w:t>section 1706</w:t>
      </w:r>
      <w:r w:rsidR="00632938" w:rsidRPr="00EC134D">
        <w:t>AH</w:t>
      </w:r>
      <w:r w:rsidR="0014650C" w:rsidRPr="00EC134D">
        <w:t>)</w:t>
      </w:r>
      <w:r w:rsidR="00BF69DF" w:rsidRPr="00EC134D">
        <w:t xml:space="preserve">, </w:t>
      </w:r>
      <w:r w:rsidR="00DB5825" w:rsidRPr="00EC134D">
        <w:t xml:space="preserve">at a particular time on or after the commencement of </w:t>
      </w:r>
      <w:r w:rsidR="00B126BC" w:rsidRPr="00EC134D">
        <w:t xml:space="preserve">Schedule </w:t>
      </w:r>
      <w:r w:rsidR="00E5446C" w:rsidRPr="00EC134D">
        <w:t>2</w:t>
      </w:r>
      <w:r w:rsidR="00B126BC" w:rsidRPr="00EC134D">
        <w:t>.</w:t>
      </w:r>
      <w:r w:rsidR="00F700D0" w:rsidRPr="00EC134D">
        <w:br/>
      </w:r>
      <w:r w:rsidR="00F700D0" w:rsidRPr="00EC134D">
        <w:rPr>
          <w:rStyle w:val="References"/>
        </w:rPr>
        <w:t xml:space="preserve">[Schedule </w:t>
      </w:r>
      <w:r w:rsidR="00632938" w:rsidRPr="00EC134D">
        <w:rPr>
          <w:rStyle w:val="References"/>
        </w:rPr>
        <w:t>2</w:t>
      </w:r>
      <w:r w:rsidR="00F700D0" w:rsidRPr="00EC134D">
        <w:rPr>
          <w:rStyle w:val="References"/>
        </w:rPr>
        <w:t xml:space="preserve">, </w:t>
      </w:r>
      <w:r w:rsidR="00E7294A" w:rsidRPr="00EC134D">
        <w:rPr>
          <w:rStyle w:val="References"/>
        </w:rPr>
        <w:t xml:space="preserve">items </w:t>
      </w:r>
      <w:r w:rsidR="00632938" w:rsidRPr="00EC134D">
        <w:rPr>
          <w:rStyle w:val="References"/>
        </w:rPr>
        <w:t>1</w:t>
      </w:r>
      <w:r w:rsidR="00E7294A" w:rsidRPr="00EC134D">
        <w:rPr>
          <w:rStyle w:val="References"/>
        </w:rPr>
        <w:t>4</w:t>
      </w:r>
      <w:r w:rsidR="00632938" w:rsidRPr="00EC134D">
        <w:rPr>
          <w:rStyle w:val="References"/>
        </w:rPr>
        <w:t>3</w:t>
      </w:r>
      <w:r w:rsidR="00F700D0" w:rsidRPr="00EC134D">
        <w:rPr>
          <w:rStyle w:val="References"/>
        </w:rPr>
        <w:t xml:space="preserve">, </w:t>
      </w:r>
      <w:r w:rsidR="001156E5" w:rsidRPr="00EC134D">
        <w:rPr>
          <w:rStyle w:val="References"/>
        </w:rPr>
        <w:t>section 1706</w:t>
      </w:r>
      <w:r w:rsidR="00632938" w:rsidRPr="00EC134D">
        <w:rPr>
          <w:rStyle w:val="References"/>
        </w:rPr>
        <w:t>AI</w:t>
      </w:r>
      <w:r w:rsidR="00491C61" w:rsidRPr="00EC134D">
        <w:rPr>
          <w:rStyle w:val="References"/>
        </w:rPr>
        <w:t xml:space="preserve"> of the Act</w:t>
      </w:r>
      <w:r w:rsidR="00F700D0" w:rsidRPr="00EC134D">
        <w:rPr>
          <w:rStyle w:val="References"/>
        </w:rPr>
        <w:t xml:space="preserve">] </w:t>
      </w:r>
    </w:p>
    <w:p w14:paraId="1E0D80DF" w14:textId="65CA94BC" w:rsidR="00496DC3" w:rsidRPr="00EC134D" w:rsidRDefault="00837710" w:rsidP="00F10A7D">
      <w:pPr>
        <w:pStyle w:val="Normalparatextwithnumbers"/>
        <w:rPr>
          <w:rStyle w:val="References"/>
          <w:b w:val="0"/>
          <w:bCs w:val="0"/>
          <w:i w:val="0"/>
          <w:iCs w:val="0"/>
        </w:rPr>
      </w:pPr>
      <w:r w:rsidRPr="00EC134D">
        <w:t xml:space="preserve">An approval to hold a particular percentage of voting power in a widely held market body that was taken to be granted by the Minister because of the operation of the preservation of voting power provisions as in force immediately before the commencement of Schedule </w:t>
      </w:r>
      <w:r w:rsidR="00E5446C" w:rsidRPr="00EC134D">
        <w:t>2</w:t>
      </w:r>
      <w:r w:rsidRPr="00EC134D">
        <w:t xml:space="preserve"> is, on or after commencement, taken to be approval granted because of the operation of the preservation of voting power provisions as amended by Schedule </w:t>
      </w:r>
      <w:r w:rsidR="00E5446C" w:rsidRPr="00EC134D">
        <w:t>2</w:t>
      </w:r>
      <w:r w:rsidR="00496DC3" w:rsidRPr="00EC134D">
        <w:t>.</w:t>
      </w:r>
      <w:r w:rsidR="00496DC3" w:rsidRPr="00EC134D">
        <w:br/>
      </w:r>
      <w:r w:rsidR="00496DC3" w:rsidRPr="00EC134D">
        <w:rPr>
          <w:rStyle w:val="References"/>
        </w:rPr>
        <w:t xml:space="preserve">[Schedule </w:t>
      </w:r>
      <w:r w:rsidR="00632938" w:rsidRPr="00EC134D">
        <w:rPr>
          <w:rStyle w:val="References"/>
        </w:rPr>
        <w:t>2</w:t>
      </w:r>
      <w:r w:rsidR="00496DC3" w:rsidRPr="00EC134D">
        <w:rPr>
          <w:rStyle w:val="References"/>
        </w:rPr>
        <w:t xml:space="preserve">, </w:t>
      </w:r>
      <w:r w:rsidR="00E7294A" w:rsidRPr="00EC134D">
        <w:rPr>
          <w:rStyle w:val="References"/>
        </w:rPr>
        <w:t xml:space="preserve">items </w:t>
      </w:r>
      <w:r w:rsidR="00632938" w:rsidRPr="00EC134D">
        <w:rPr>
          <w:rStyle w:val="References"/>
        </w:rPr>
        <w:t>1</w:t>
      </w:r>
      <w:r w:rsidR="00E7294A" w:rsidRPr="00EC134D">
        <w:rPr>
          <w:rStyle w:val="References"/>
        </w:rPr>
        <w:t>4</w:t>
      </w:r>
      <w:r w:rsidR="00632938" w:rsidRPr="00EC134D">
        <w:rPr>
          <w:rStyle w:val="References"/>
        </w:rPr>
        <w:t>3</w:t>
      </w:r>
      <w:r w:rsidR="00496DC3" w:rsidRPr="00EC134D">
        <w:rPr>
          <w:rStyle w:val="References"/>
        </w:rPr>
        <w:t xml:space="preserve">, section </w:t>
      </w:r>
      <w:r w:rsidR="00F62028" w:rsidRPr="00EC134D">
        <w:rPr>
          <w:rStyle w:val="References"/>
        </w:rPr>
        <w:t>1706</w:t>
      </w:r>
      <w:r w:rsidR="00632938" w:rsidRPr="00EC134D">
        <w:rPr>
          <w:rStyle w:val="References"/>
        </w:rPr>
        <w:t>AJ</w:t>
      </w:r>
      <w:r w:rsidR="00491C61" w:rsidRPr="00EC134D">
        <w:rPr>
          <w:rStyle w:val="References"/>
        </w:rPr>
        <w:t xml:space="preserve"> of the Act</w:t>
      </w:r>
      <w:r w:rsidR="00496DC3" w:rsidRPr="00EC134D">
        <w:rPr>
          <w:rStyle w:val="References"/>
        </w:rPr>
        <w:t>]</w:t>
      </w:r>
    </w:p>
    <w:p w14:paraId="3CBFB381" w14:textId="03861CBC" w:rsidR="00A84ADD" w:rsidRPr="00EC134D" w:rsidRDefault="00A84ADD" w:rsidP="00A84ADD">
      <w:pPr>
        <w:pStyle w:val="Heading5"/>
      </w:pPr>
      <w:r w:rsidRPr="00EC134D">
        <w:t xml:space="preserve">Transitional provisions relating to </w:t>
      </w:r>
      <w:r w:rsidR="00A40A80" w:rsidRPr="00EC134D">
        <w:t>approval for control</w:t>
      </w:r>
      <w:r w:rsidRPr="00EC134D">
        <w:t xml:space="preserve"> of </w:t>
      </w:r>
      <w:r w:rsidR="00A40A80" w:rsidRPr="00EC134D">
        <w:t xml:space="preserve">certain Australian </w:t>
      </w:r>
      <w:proofErr w:type="gramStart"/>
      <w:r w:rsidR="00A40A80" w:rsidRPr="00EC134D">
        <w:t>licensees</w:t>
      </w:r>
      <w:proofErr w:type="gramEnd"/>
    </w:p>
    <w:p w14:paraId="5BBDD133" w14:textId="165B4B5C" w:rsidR="00366F04" w:rsidRPr="00EC134D" w:rsidRDefault="00232112" w:rsidP="00F10A7D">
      <w:pPr>
        <w:pStyle w:val="Normalparatextwithnumbers"/>
        <w:rPr>
          <w:rStyle w:val="References"/>
          <w:rFonts w:eastAsiaTheme="majorEastAsia" w:cstheme="majorBidi"/>
          <w:b w:val="0"/>
          <w:i w:val="0"/>
          <w:spacing w:val="-10"/>
          <w:kern w:val="28"/>
          <w:szCs w:val="56"/>
        </w:rPr>
      </w:pPr>
      <w:r w:rsidRPr="00EC134D">
        <w:t>If</w:t>
      </w:r>
      <w:r w:rsidR="00E74C68" w:rsidRPr="00EC134D">
        <w:t>,</w:t>
      </w:r>
      <w:r w:rsidRPr="00EC134D">
        <w:t xml:space="preserve"> at the commencement of Part 5 of Schedule </w:t>
      </w:r>
      <w:r w:rsidR="007138C1" w:rsidRPr="00EC134D">
        <w:t>2</w:t>
      </w:r>
      <w:r w:rsidRPr="00EC134D">
        <w:t xml:space="preserve">, </w:t>
      </w:r>
      <w:r w:rsidR="00366F04" w:rsidRPr="00EC134D">
        <w:t xml:space="preserve">a person holds more than 15 per cent voting power in a </w:t>
      </w:r>
      <w:r w:rsidRPr="00EC134D">
        <w:t xml:space="preserve">controlled Australian financial body, </w:t>
      </w:r>
      <w:r w:rsidR="00366F04" w:rsidRPr="00EC134D">
        <w:t xml:space="preserve">the person is </w:t>
      </w:r>
      <w:r w:rsidR="00366F04" w:rsidRPr="00EC134D">
        <w:lastRenderedPageBreak/>
        <w:t xml:space="preserve">taken to be granted an approval by ASIC to hold that percentage of voting power </w:t>
      </w:r>
      <w:r w:rsidR="0081170D" w:rsidRPr="00EC134D">
        <w:t>at</w:t>
      </w:r>
      <w:r w:rsidR="00366F04" w:rsidRPr="00EC134D">
        <w:t xml:space="preserve"> </w:t>
      </w:r>
      <w:r w:rsidR="00A14064" w:rsidRPr="00EC134D">
        <w:t xml:space="preserve">that </w:t>
      </w:r>
      <w:r w:rsidR="00366F04" w:rsidRPr="00EC134D">
        <w:t>commencement.</w:t>
      </w:r>
      <w:r w:rsidR="00442C47" w:rsidRPr="00EC134D">
        <w:t xml:space="preserve"> The approval comes into force at that commencement and remains in force indefinitely unless varied or revoked. ASIC is taken to have complied with its obligations under Part 7.4 for granting the approval. </w:t>
      </w:r>
      <w:r w:rsidR="00366F04" w:rsidRPr="00EC134D">
        <w:br/>
      </w:r>
      <w:r w:rsidR="00366F04" w:rsidRPr="00EC134D">
        <w:rPr>
          <w:rStyle w:val="References"/>
        </w:rPr>
        <w:t xml:space="preserve">[Schedule </w:t>
      </w:r>
      <w:r w:rsidR="00A54749" w:rsidRPr="00EC134D">
        <w:rPr>
          <w:rStyle w:val="References"/>
        </w:rPr>
        <w:t>2</w:t>
      </w:r>
      <w:r w:rsidR="00366F04" w:rsidRPr="00EC134D">
        <w:rPr>
          <w:rStyle w:val="References"/>
        </w:rPr>
        <w:t xml:space="preserve">, item </w:t>
      </w:r>
      <w:r w:rsidR="00A54749" w:rsidRPr="00EC134D">
        <w:rPr>
          <w:rStyle w:val="References"/>
        </w:rPr>
        <w:t>143</w:t>
      </w:r>
      <w:r w:rsidR="00366F04" w:rsidRPr="00EC134D">
        <w:rPr>
          <w:rStyle w:val="References"/>
        </w:rPr>
        <w:t>, section 1706</w:t>
      </w:r>
      <w:r w:rsidR="00A54749" w:rsidRPr="00EC134D">
        <w:rPr>
          <w:rStyle w:val="References"/>
        </w:rPr>
        <w:t>AK</w:t>
      </w:r>
      <w:r w:rsidR="00491C61" w:rsidRPr="00EC134D">
        <w:rPr>
          <w:rStyle w:val="References"/>
        </w:rPr>
        <w:t xml:space="preserve"> of the Act</w:t>
      </w:r>
      <w:r w:rsidR="00366F04" w:rsidRPr="00EC134D">
        <w:rPr>
          <w:rStyle w:val="References"/>
        </w:rPr>
        <w:t>]</w:t>
      </w:r>
    </w:p>
    <w:bookmarkEnd w:id="97"/>
    <w:p w14:paraId="7523EEF3" w14:textId="5FAD48D7" w:rsidR="00745ED6" w:rsidRPr="00704CE6" w:rsidRDefault="00492449" w:rsidP="00D10880">
      <w:pPr>
        <w:pStyle w:val="Normalparatextwithnumbers"/>
        <w:numPr>
          <w:ilvl w:val="0"/>
          <w:numId w:val="0"/>
        </w:numPr>
        <w:ind w:left="709"/>
        <w:rPr>
          <w:rStyle w:val="References"/>
          <w:b w:val="0"/>
          <w:bCs w:val="0"/>
          <w:i w:val="0"/>
          <w:iCs w:val="0"/>
        </w:rPr>
      </w:pPr>
      <w:r w:rsidRPr="00C57855">
        <w:rPr>
          <w:rStyle w:val="References"/>
          <w:b w:val="0"/>
          <w:bCs w:val="0"/>
          <w:i w:val="0"/>
          <w:iCs w:val="0"/>
        </w:rPr>
        <w:br/>
      </w:r>
      <w:bookmarkEnd w:id="6"/>
      <w:bookmarkEnd w:id="89"/>
      <w:bookmarkEnd w:id="90"/>
      <w:bookmarkEnd w:id="91"/>
      <w:bookmarkEnd w:id="92"/>
      <w:bookmarkEnd w:id="93"/>
    </w:p>
    <w:sectPr w:rsidR="00745ED6" w:rsidRPr="00704CE6" w:rsidSect="00000BFC">
      <w:headerReference w:type="even" r:id="rId34"/>
      <w:headerReference w:type="default" r:id="rId35"/>
      <w:headerReference w:type="first" r:id="rId36"/>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638A1" w14:textId="77777777" w:rsidR="00CC4FF4" w:rsidRDefault="00CC4FF4">
      <w:pPr>
        <w:spacing w:before="0" w:after="0"/>
      </w:pPr>
      <w:r>
        <w:separator/>
      </w:r>
    </w:p>
  </w:endnote>
  <w:endnote w:type="continuationSeparator" w:id="0">
    <w:p w14:paraId="15EEDA14" w14:textId="77777777" w:rsidR="00CC4FF4" w:rsidRDefault="00CC4FF4">
      <w:pPr>
        <w:spacing w:before="0" w:after="0"/>
      </w:pPr>
      <w:r>
        <w:continuationSeparator/>
      </w:r>
    </w:p>
  </w:endnote>
  <w:endnote w:type="continuationNotice" w:id="1">
    <w:p w14:paraId="7CE05ADE" w14:textId="77777777" w:rsidR="00CC4FF4" w:rsidRDefault="00CC4F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itica">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BF38" w14:textId="77777777" w:rsidR="00EC134D" w:rsidRDefault="00EC134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608C" w14:textId="77777777" w:rsidR="00F00380" w:rsidRPr="00091474" w:rsidRDefault="00F00380" w:rsidP="00EC134D">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9B3B" w14:textId="77777777" w:rsidR="00EC134D" w:rsidRDefault="00EC13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C84B0" w14:textId="77777777" w:rsidR="007A2DBD" w:rsidRPr="004D61CF" w:rsidRDefault="007A2DBD" w:rsidP="002425D9">
    <w:pPr>
      <w:pStyle w:val="righ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3DB6"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2B3A" w14:textId="77777777" w:rsidR="00844FD4" w:rsidRPr="006208CF" w:rsidRDefault="00844FD4" w:rsidP="00EC134D">
    <w:pPr>
      <w:pStyle w:val="leftfooter"/>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AB6FD" w14:textId="77777777" w:rsidR="00844FD4" w:rsidRDefault="00844FD4" w:rsidP="00EC134D">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CB7BD" w14:textId="77777777" w:rsidR="00844FD4" w:rsidRPr="00091474" w:rsidRDefault="00844FD4" w:rsidP="00EC134D">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0A8A" w14:textId="41DD77AE" w:rsidR="00F00380" w:rsidRPr="006208CF" w:rsidRDefault="00EC134D" w:rsidP="00EC134D">
    <w:pPr>
      <w:pStyle w:val="leftfooter"/>
    </w:pPr>
    <w:r>
      <w:fldChar w:fldCharType="begin"/>
    </w:r>
    <w:r>
      <w:instrText xml:space="preserve"> PAGE  \* MERGEFORMAT </w:instrText>
    </w:r>
    <w:r>
      <w:fldChar w:fldCharType="separate"/>
    </w:r>
    <w:r>
      <w:rPr>
        <w:noProof/>
      </w:rPr>
      <w:t>116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71FE" w14:textId="208D7892" w:rsidR="00F00380" w:rsidRDefault="00EC134D" w:rsidP="00EC134D">
    <w:pPr>
      <w:pStyle w:val="rightfooter"/>
    </w:pPr>
    <w:r>
      <w:fldChar w:fldCharType="begin"/>
    </w:r>
    <w:r>
      <w:instrText xml:space="preserve"> PAGE  \* MERGEFORMAT </w:instrText>
    </w:r>
    <w:r>
      <w:fldChar w:fldCharType="separate"/>
    </w:r>
    <w:r>
      <w:rPr>
        <w:noProof/>
      </w:rPr>
      <w:t>115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3D52D" w14:textId="77777777" w:rsidR="00CC4FF4" w:rsidRDefault="00CC4FF4">
      <w:pPr>
        <w:spacing w:before="0" w:after="0"/>
      </w:pPr>
      <w:r>
        <w:separator/>
      </w:r>
    </w:p>
  </w:footnote>
  <w:footnote w:type="continuationSeparator" w:id="0">
    <w:p w14:paraId="301B230C" w14:textId="77777777" w:rsidR="00CC4FF4" w:rsidRDefault="00CC4FF4">
      <w:pPr>
        <w:spacing w:before="0" w:after="0"/>
      </w:pPr>
      <w:r>
        <w:continuationSeparator/>
      </w:r>
    </w:p>
  </w:footnote>
  <w:footnote w:type="continuationNotice" w:id="1">
    <w:p w14:paraId="06E9D25F" w14:textId="77777777" w:rsidR="00CC4FF4" w:rsidRDefault="00CC4FF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27E9" w14:textId="77777777" w:rsidR="007A2DBD" w:rsidRPr="009106AC" w:rsidRDefault="007A2DBD" w:rsidP="002425D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B676" w14:textId="6D299F46" w:rsidR="00F00380" w:rsidRPr="00EC134D" w:rsidRDefault="004779EE" w:rsidP="00EC134D">
    <w:pPr>
      <w:pStyle w:val="leftheader"/>
    </w:pPr>
    <w:fldSimple w:instr=" STYLEREF &quot;Chapter heading&quot; \* MERGEFORMAT ">
      <w:r w:rsidR="00E6272C">
        <w:rPr>
          <w:noProof/>
        </w:rPr>
        <w:t>FMI Reform – Crisis prevention (RBA powers)</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63B0" w14:textId="08DEA11C" w:rsidR="00F00380" w:rsidRPr="001227A2" w:rsidRDefault="004779EE">
    <w:pPr>
      <w:pStyle w:val="rightheader"/>
    </w:pPr>
    <w:fldSimple w:instr="STYLEREF  &quot;Bill Name&quot;  \* MERGEFORMAT">
      <w:r w:rsidR="00E6272C">
        <w:rPr>
          <w:noProof/>
        </w:rPr>
        <w:t>Financial Sector Reform (Financial Market Infrastructure) Bill 2022</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609D" w14:textId="393B15CF" w:rsidR="00F00380" w:rsidRPr="001227A2" w:rsidRDefault="00F00380">
    <w:pPr>
      <w:pStyle w:val="right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BF19" w14:textId="49BB0068" w:rsidR="007A2DBD" w:rsidRPr="00EC134D" w:rsidRDefault="004779EE" w:rsidP="00EC134D">
    <w:pPr>
      <w:pStyle w:val="leftheader"/>
    </w:pPr>
    <w:fldSimple w:instr=" STYLEREF &quot;Chapter heading&quot; \* MERGEFORMAT ">
      <w:r w:rsidR="00E6272C">
        <w:rPr>
          <w:noProof/>
        </w:rPr>
        <w:t>FMI Reform - Enhancing and streamlining ASIC’s licensing and supervisory powers</w:t>
      </w:r>
    </w:fldSimple>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F7C2" w14:textId="7F8EB01D" w:rsidR="007A2DBD" w:rsidRPr="00844FD4" w:rsidRDefault="004779EE" w:rsidP="00844FD4">
    <w:pPr>
      <w:pStyle w:val="rightheader"/>
    </w:pPr>
    <w:fldSimple w:instr="STYLEREF &quot;Bill Name&quot; \* MERGEFORMAT">
      <w:r w:rsidR="00E6272C">
        <w:rPr>
          <w:noProof/>
        </w:rPr>
        <w:t>Financial Sector Reform (Financial Market Infrastructure) Bill 2022</w:t>
      </w:r>
    </w:fldSimple>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1F77" w14:textId="77777777" w:rsidR="007A2DBD" w:rsidRDefault="007A2DBD" w:rsidP="00622763">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123B" w14:textId="36C384D4"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28259D">
      <w:rPr>
        <w:b/>
        <w:bCs/>
        <w:noProof/>
        <w:lang w:val="en-US"/>
      </w:rPr>
      <w:t>Error! Use the Home tab to apply ChapterNameOnly to the text that you want to appear here.</w:t>
    </w:r>
    <w:r>
      <w:rPr>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E06B" w14:textId="77777777" w:rsidR="007A2DBD" w:rsidRDefault="007A2D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E72F" w14:textId="1CF2F5FE" w:rsidR="007A2DBD" w:rsidRPr="00816825" w:rsidRDefault="004779EE" w:rsidP="002425D9">
    <w:pPr>
      <w:pStyle w:val="leftheader"/>
    </w:pPr>
    <w:fldSimple w:instr="STYLEREF  &quot;Heading 1&quot;  \* MERGEFORMAT">
      <w:r w:rsidR="00E6272C">
        <w:rPr>
          <w:noProof/>
        </w:rPr>
        <w:t>Glossary</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B858" w14:textId="77777777" w:rsidR="007A2DBD" w:rsidRPr="00091474" w:rsidRDefault="007A2DBD" w:rsidP="002425D9">
    <w:pPr>
      <w:pStyle w:val="right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324D5" w14:textId="77777777" w:rsidR="007A2DBD" w:rsidRDefault="007A2D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7E6E" w14:textId="6D1895DD" w:rsidR="00844FD4" w:rsidRPr="00EC134D" w:rsidRDefault="004779EE" w:rsidP="00EC134D">
    <w:pPr>
      <w:pStyle w:val="leftheader"/>
    </w:pPr>
    <w:fldSimple w:instr=" STYLEREF &quot;Chapter heading&quot; \* MERGEFORMAT ">
      <w:r w:rsidR="00E6272C">
        <w:rPr>
          <w:noProof/>
        </w:rPr>
        <w:t>FMI Reform - Establishing a crisis management regime</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2475" w14:textId="4A01E559" w:rsidR="00844FD4" w:rsidRPr="001227A2" w:rsidRDefault="004779EE">
    <w:pPr>
      <w:pStyle w:val="rightheader"/>
    </w:pPr>
    <w:fldSimple w:instr="STYLEREF  &quot;Bill Name&quot;  \* MERGEFORMAT">
      <w:r w:rsidR="00E6272C">
        <w:rPr>
          <w:noProof/>
        </w:rPr>
        <w:t>Financial Sector Reform (Financial Market Infrastructure) Bill 2022</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F0E0" w14:textId="3350394B" w:rsidR="00844FD4" w:rsidRPr="001227A2" w:rsidRDefault="00844FD4">
    <w:pPr>
      <w:pStyle w:val="right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1A4F"/>
    <w:multiLevelType w:val="hybridMultilevel"/>
    <w:tmpl w:val="E16446AC"/>
    <w:lvl w:ilvl="0" w:tplc="8C94764A">
      <w:start w:val="2"/>
      <w:numFmt w:val="bullet"/>
      <w:lvlText w:val=""/>
      <w:lvlJc w:val="left"/>
      <w:pPr>
        <w:ind w:left="1500" w:hanging="360"/>
      </w:pPr>
      <w:rPr>
        <w:rFonts w:ascii="Symbol" w:eastAsia="Times New Roman" w:hAnsi="Symbol" w:cs="Times New Roman"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394964"/>
    <w:multiLevelType w:val="hybridMultilevel"/>
    <w:tmpl w:val="E2349BC6"/>
    <w:lvl w:ilvl="0" w:tplc="864453DE">
      <w:start w:val="1"/>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BB119E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BB93E7C"/>
    <w:multiLevelType w:val="hybridMultilevel"/>
    <w:tmpl w:val="16FE6BE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2450D9"/>
    <w:multiLevelType w:val="hybridMultilevel"/>
    <w:tmpl w:val="7B668AF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B80858"/>
    <w:multiLevelType w:val="hybridMultilevel"/>
    <w:tmpl w:val="91920F9A"/>
    <w:lvl w:ilvl="0" w:tplc="F9FCC348">
      <w:start w:val="1"/>
      <w:numFmt w:val="bullet"/>
      <w:lvlText w:val=""/>
      <w:lvlJc w:val="left"/>
      <w:pPr>
        <w:ind w:left="720" w:hanging="360"/>
      </w:pPr>
      <w:rPr>
        <w:rFonts w:ascii="Symbol" w:hAnsi="Symbol"/>
      </w:rPr>
    </w:lvl>
    <w:lvl w:ilvl="1" w:tplc="16342492">
      <w:start w:val="1"/>
      <w:numFmt w:val="bullet"/>
      <w:lvlText w:val=""/>
      <w:lvlJc w:val="left"/>
      <w:pPr>
        <w:ind w:left="720" w:hanging="360"/>
      </w:pPr>
      <w:rPr>
        <w:rFonts w:ascii="Symbol" w:hAnsi="Symbol"/>
      </w:rPr>
    </w:lvl>
    <w:lvl w:ilvl="2" w:tplc="71F67568">
      <w:start w:val="1"/>
      <w:numFmt w:val="bullet"/>
      <w:lvlText w:val=""/>
      <w:lvlJc w:val="left"/>
      <w:pPr>
        <w:ind w:left="720" w:hanging="360"/>
      </w:pPr>
      <w:rPr>
        <w:rFonts w:ascii="Symbol" w:hAnsi="Symbol"/>
      </w:rPr>
    </w:lvl>
    <w:lvl w:ilvl="3" w:tplc="8A9ABEC4">
      <w:start w:val="1"/>
      <w:numFmt w:val="bullet"/>
      <w:lvlText w:val=""/>
      <w:lvlJc w:val="left"/>
      <w:pPr>
        <w:ind w:left="720" w:hanging="360"/>
      </w:pPr>
      <w:rPr>
        <w:rFonts w:ascii="Symbol" w:hAnsi="Symbol"/>
      </w:rPr>
    </w:lvl>
    <w:lvl w:ilvl="4" w:tplc="05DC4BEC">
      <w:start w:val="1"/>
      <w:numFmt w:val="bullet"/>
      <w:lvlText w:val=""/>
      <w:lvlJc w:val="left"/>
      <w:pPr>
        <w:ind w:left="720" w:hanging="360"/>
      </w:pPr>
      <w:rPr>
        <w:rFonts w:ascii="Symbol" w:hAnsi="Symbol"/>
      </w:rPr>
    </w:lvl>
    <w:lvl w:ilvl="5" w:tplc="0EE4A9F0">
      <w:start w:val="1"/>
      <w:numFmt w:val="bullet"/>
      <w:lvlText w:val=""/>
      <w:lvlJc w:val="left"/>
      <w:pPr>
        <w:ind w:left="720" w:hanging="360"/>
      </w:pPr>
      <w:rPr>
        <w:rFonts w:ascii="Symbol" w:hAnsi="Symbol"/>
      </w:rPr>
    </w:lvl>
    <w:lvl w:ilvl="6" w:tplc="F8428248">
      <w:start w:val="1"/>
      <w:numFmt w:val="bullet"/>
      <w:lvlText w:val=""/>
      <w:lvlJc w:val="left"/>
      <w:pPr>
        <w:ind w:left="720" w:hanging="360"/>
      </w:pPr>
      <w:rPr>
        <w:rFonts w:ascii="Symbol" w:hAnsi="Symbol"/>
      </w:rPr>
    </w:lvl>
    <w:lvl w:ilvl="7" w:tplc="ACC48204">
      <w:start w:val="1"/>
      <w:numFmt w:val="bullet"/>
      <w:lvlText w:val=""/>
      <w:lvlJc w:val="left"/>
      <w:pPr>
        <w:ind w:left="720" w:hanging="360"/>
      </w:pPr>
      <w:rPr>
        <w:rFonts w:ascii="Symbol" w:hAnsi="Symbol"/>
      </w:rPr>
    </w:lvl>
    <w:lvl w:ilvl="8" w:tplc="62D891E6">
      <w:start w:val="1"/>
      <w:numFmt w:val="bullet"/>
      <w:lvlText w:val=""/>
      <w:lvlJc w:val="left"/>
      <w:pPr>
        <w:ind w:left="720" w:hanging="360"/>
      </w:pPr>
      <w:rPr>
        <w:rFonts w:ascii="Symbol" w:hAnsi="Symbol"/>
      </w:rPr>
    </w:lvl>
  </w:abstractNum>
  <w:abstractNum w:abstractNumId="9" w15:restartNumberingAfterBreak="0">
    <w:nsid w:val="275812C2"/>
    <w:multiLevelType w:val="hybridMultilevel"/>
    <w:tmpl w:val="95B23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170CA0"/>
    <w:multiLevelType w:val="multilevel"/>
    <w:tmpl w:val="2C448CCE"/>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B8A13ED"/>
    <w:multiLevelType w:val="hybridMultilevel"/>
    <w:tmpl w:val="28521DE6"/>
    <w:lvl w:ilvl="0" w:tplc="8C94764A">
      <w:start w:val="2"/>
      <w:numFmt w:val="bullet"/>
      <w:lvlText w:val=""/>
      <w:lvlJc w:val="left"/>
      <w:pPr>
        <w:ind w:left="1500" w:hanging="360"/>
      </w:pPr>
      <w:rPr>
        <w:rFonts w:ascii="Symbol" w:eastAsia="Times New Roman" w:hAnsi="Symbol" w:cs="Times New Roman"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2"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start w:val="1"/>
      <w:numFmt w:val="bullet"/>
      <w:lvlText w:val="o"/>
      <w:lvlJc w:val="left"/>
      <w:pPr>
        <w:ind w:left="1211" w:hanging="360"/>
      </w:pPr>
      <w:rPr>
        <w:rFonts w:ascii="Courier New" w:hAnsi="Courier New" w:cs="Courier New" w:hint="default"/>
      </w:rPr>
    </w:lvl>
    <w:lvl w:ilvl="2" w:tplc="0C090005">
      <w:start w:val="1"/>
      <w:numFmt w:val="bullet"/>
      <w:lvlText w:val=""/>
      <w:lvlJc w:val="left"/>
      <w:pPr>
        <w:ind w:left="1636"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2D53BF"/>
    <w:multiLevelType w:val="hybridMultilevel"/>
    <w:tmpl w:val="AA0E63FC"/>
    <w:lvl w:ilvl="0" w:tplc="68F60D12">
      <w:start w:val="2"/>
      <w:numFmt w:val="bullet"/>
      <w:lvlText w:val=""/>
      <w:lvlJc w:val="left"/>
      <w:pPr>
        <w:ind w:left="2496" w:hanging="360"/>
      </w:pPr>
      <w:rPr>
        <w:rFonts w:ascii="Symbol" w:eastAsia="Times New Roman" w:hAnsi="Symbol" w:cs="Times New Roman" w:hint="default"/>
        <w:b/>
      </w:rPr>
    </w:lvl>
    <w:lvl w:ilvl="1" w:tplc="0C090003" w:tentative="1">
      <w:start w:val="1"/>
      <w:numFmt w:val="bullet"/>
      <w:lvlText w:val="o"/>
      <w:lvlJc w:val="left"/>
      <w:pPr>
        <w:ind w:left="3216" w:hanging="360"/>
      </w:pPr>
      <w:rPr>
        <w:rFonts w:ascii="Courier New" w:hAnsi="Courier New" w:cs="Courier New" w:hint="default"/>
      </w:rPr>
    </w:lvl>
    <w:lvl w:ilvl="2" w:tplc="0C090005" w:tentative="1">
      <w:start w:val="1"/>
      <w:numFmt w:val="bullet"/>
      <w:lvlText w:val=""/>
      <w:lvlJc w:val="left"/>
      <w:pPr>
        <w:ind w:left="3936" w:hanging="360"/>
      </w:pPr>
      <w:rPr>
        <w:rFonts w:ascii="Wingdings" w:hAnsi="Wingdings" w:hint="default"/>
      </w:rPr>
    </w:lvl>
    <w:lvl w:ilvl="3" w:tplc="0C090001" w:tentative="1">
      <w:start w:val="1"/>
      <w:numFmt w:val="bullet"/>
      <w:lvlText w:val=""/>
      <w:lvlJc w:val="left"/>
      <w:pPr>
        <w:ind w:left="4656" w:hanging="360"/>
      </w:pPr>
      <w:rPr>
        <w:rFonts w:ascii="Symbol" w:hAnsi="Symbol" w:hint="default"/>
      </w:rPr>
    </w:lvl>
    <w:lvl w:ilvl="4" w:tplc="0C090003" w:tentative="1">
      <w:start w:val="1"/>
      <w:numFmt w:val="bullet"/>
      <w:lvlText w:val="o"/>
      <w:lvlJc w:val="left"/>
      <w:pPr>
        <w:ind w:left="5376" w:hanging="360"/>
      </w:pPr>
      <w:rPr>
        <w:rFonts w:ascii="Courier New" w:hAnsi="Courier New" w:cs="Courier New" w:hint="default"/>
      </w:rPr>
    </w:lvl>
    <w:lvl w:ilvl="5" w:tplc="0C090005" w:tentative="1">
      <w:start w:val="1"/>
      <w:numFmt w:val="bullet"/>
      <w:lvlText w:val=""/>
      <w:lvlJc w:val="left"/>
      <w:pPr>
        <w:ind w:left="6096" w:hanging="360"/>
      </w:pPr>
      <w:rPr>
        <w:rFonts w:ascii="Wingdings" w:hAnsi="Wingdings" w:hint="default"/>
      </w:rPr>
    </w:lvl>
    <w:lvl w:ilvl="6" w:tplc="0C090001" w:tentative="1">
      <w:start w:val="1"/>
      <w:numFmt w:val="bullet"/>
      <w:lvlText w:val=""/>
      <w:lvlJc w:val="left"/>
      <w:pPr>
        <w:ind w:left="6816" w:hanging="360"/>
      </w:pPr>
      <w:rPr>
        <w:rFonts w:ascii="Symbol" w:hAnsi="Symbol" w:hint="default"/>
      </w:rPr>
    </w:lvl>
    <w:lvl w:ilvl="7" w:tplc="0C090003" w:tentative="1">
      <w:start w:val="1"/>
      <w:numFmt w:val="bullet"/>
      <w:lvlText w:val="o"/>
      <w:lvlJc w:val="left"/>
      <w:pPr>
        <w:ind w:left="7536" w:hanging="360"/>
      </w:pPr>
      <w:rPr>
        <w:rFonts w:ascii="Courier New" w:hAnsi="Courier New" w:cs="Courier New" w:hint="default"/>
      </w:rPr>
    </w:lvl>
    <w:lvl w:ilvl="8" w:tplc="0C090005" w:tentative="1">
      <w:start w:val="1"/>
      <w:numFmt w:val="bullet"/>
      <w:lvlText w:val=""/>
      <w:lvlJc w:val="left"/>
      <w:pPr>
        <w:ind w:left="8256" w:hanging="360"/>
      </w:pPr>
      <w:rPr>
        <w:rFonts w:ascii="Wingdings" w:hAnsi="Wingdings" w:hint="default"/>
      </w:rPr>
    </w:lvl>
  </w:abstractNum>
  <w:abstractNum w:abstractNumId="14" w15:restartNumberingAfterBreak="0">
    <w:nsid w:val="31B05FFA"/>
    <w:multiLevelType w:val="hybridMultilevel"/>
    <w:tmpl w:val="74C8B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4C1289"/>
    <w:multiLevelType w:val="hybridMultilevel"/>
    <w:tmpl w:val="7940FA34"/>
    <w:lvl w:ilvl="0" w:tplc="57A84056">
      <w:start w:val="1"/>
      <w:numFmt w:val="bullet"/>
      <w:lvlText w:val=""/>
      <w:lvlJc w:val="left"/>
      <w:pPr>
        <w:ind w:left="720" w:hanging="360"/>
      </w:pPr>
      <w:rPr>
        <w:rFonts w:ascii="Symbol" w:hAnsi="Symbol"/>
      </w:rPr>
    </w:lvl>
    <w:lvl w:ilvl="1" w:tplc="7F80BB02">
      <w:start w:val="1"/>
      <w:numFmt w:val="bullet"/>
      <w:lvlText w:val=""/>
      <w:lvlJc w:val="left"/>
      <w:pPr>
        <w:ind w:left="720" w:hanging="360"/>
      </w:pPr>
      <w:rPr>
        <w:rFonts w:ascii="Symbol" w:hAnsi="Symbol"/>
      </w:rPr>
    </w:lvl>
    <w:lvl w:ilvl="2" w:tplc="D71CD2B0">
      <w:start w:val="1"/>
      <w:numFmt w:val="bullet"/>
      <w:lvlText w:val=""/>
      <w:lvlJc w:val="left"/>
      <w:pPr>
        <w:ind w:left="720" w:hanging="360"/>
      </w:pPr>
      <w:rPr>
        <w:rFonts w:ascii="Symbol" w:hAnsi="Symbol"/>
      </w:rPr>
    </w:lvl>
    <w:lvl w:ilvl="3" w:tplc="4B4AD57A">
      <w:start w:val="1"/>
      <w:numFmt w:val="bullet"/>
      <w:lvlText w:val=""/>
      <w:lvlJc w:val="left"/>
      <w:pPr>
        <w:ind w:left="720" w:hanging="360"/>
      </w:pPr>
      <w:rPr>
        <w:rFonts w:ascii="Symbol" w:hAnsi="Symbol"/>
      </w:rPr>
    </w:lvl>
    <w:lvl w:ilvl="4" w:tplc="522CF58E">
      <w:start w:val="1"/>
      <w:numFmt w:val="bullet"/>
      <w:lvlText w:val=""/>
      <w:lvlJc w:val="left"/>
      <w:pPr>
        <w:ind w:left="720" w:hanging="360"/>
      </w:pPr>
      <w:rPr>
        <w:rFonts w:ascii="Symbol" w:hAnsi="Symbol"/>
      </w:rPr>
    </w:lvl>
    <w:lvl w:ilvl="5" w:tplc="0BEA930A">
      <w:start w:val="1"/>
      <w:numFmt w:val="bullet"/>
      <w:lvlText w:val=""/>
      <w:lvlJc w:val="left"/>
      <w:pPr>
        <w:ind w:left="720" w:hanging="360"/>
      </w:pPr>
      <w:rPr>
        <w:rFonts w:ascii="Symbol" w:hAnsi="Symbol"/>
      </w:rPr>
    </w:lvl>
    <w:lvl w:ilvl="6" w:tplc="94CE2868">
      <w:start w:val="1"/>
      <w:numFmt w:val="bullet"/>
      <w:lvlText w:val=""/>
      <w:lvlJc w:val="left"/>
      <w:pPr>
        <w:ind w:left="720" w:hanging="360"/>
      </w:pPr>
      <w:rPr>
        <w:rFonts w:ascii="Symbol" w:hAnsi="Symbol"/>
      </w:rPr>
    </w:lvl>
    <w:lvl w:ilvl="7" w:tplc="8410FF80">
      <w:start w:val="1"/>
      <w:numFmt w:val="bullet"/>
      <w:lvlText w:val=""/>
      <w:lvlJc w:val="left"/>
      <w:pPr>
        <w:ind w:left="720" w:hanging="360"/>
      </w:pPr>
      <w:rPr>
        <w:rFonts w:ascii="Symbol" w:hAnsi="Symbol"/>
      </w:rPr>
    </w:lvl>
    <w:lvl w:ilvl="8" w:tplc="689C8828">
      <w:start w:val="1"/>
      <w:numFmt w:val="bullet"/>
      <w:lvlText w:val=""/>
      <w:lvlJc w:val="left"/>
      <w:pPr>
        <w:ind w:left="720" w:hanging="360"/>
      </w:pPr>
      <w:rPr>
        <w:rFonts w:ascii="Symbol" w:hAnsi="Symbol"/>
      </w:rPr>
    </w:lvl>
  </w:abstractNum>
  <w:abstractNum w:abstractNumId="16" w15:restartNumberingAfterBreak="0">
    <w:nsid w:val="3A836E0D"/>
    <w:multiLevelType w:val="multilevel"/>
    <w:tmpl w:val="57CA6336"/>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pStyle w:val="dotpoint2"/>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3ABC7F56"/>
    <w:multiLevelType w:val="multilevel"/>
    <w:tmpl w:val="C554B3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B213280"/>
    <w:multiLevelType w:val="hybridMultilevel"/>
    <w:tmpl w:val="1C72A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733124"/>
    <w:multiLevelType w:val="multilevel"/>
    <w:tmpl w:val="F6B2B958"/>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92"/>
        </w:tabs>
        <w:ind w:left="992" w:hanging="520"/>
      </w:pPr>
      <w:rPr>
        <w:rFonts w:ascii="Times New Roman" w:hAnsi="Times New Roman" w:cs="Times New Roman"/>
      </w:rPr>
    </w:lvl>
    <w:lvl w:ilvl="2">
      <w:start w:val="1"/>
      <w:numFmt w:val="bullet"/>
      <w:pStyle w:val="DoubleDot"/>
      <w:lvlText w:val=":"/>
      <w:lvlJc w:val="left"/>
      <w:pPr>
        <w:tabs>
          <w:tab w:val="num" w:pos="1464"/>
        </w:tabs>
        <w:ind w:left="1464"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21" w15:restartNumberingAfterBreak="0">
    <w:nsid w:val="4B23310D"/>
    <w:multiLevelType w:val="multilevel"/>
    <w:tmpl w:val="5E5EAEC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CAE6A90"/>
    <w:multiLevelType w:val="hybridMultilevel"/>
    <w:tmpl w:val="C2C6C170"/>
    <w:lvl w:ilvl="0" w:tplc="8C94764A">
      <w:start w:val="2"/>
      <w:numFmt w:val="bullet"/>
      <w:lvlText w:val=""/>
      <w:lvlJc w:val="left"/>
      <w:pPr>
        <w:ind w:left="1429" w:hanging="360"/>
      </w:pPr>
      <w:rPr>
        <w:rFonts w:ascii="Symbol" w:eastAsia="Times New Roman" w:hAnsi="Symbol" w:cs="Times New Roman"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15:restartNumberingAfterBreak="0">
    <w:nsid w:val="5481151C"/>
    <w:multiLevelType w:val="hybridMultilevel"/>
    <w:tmpl w:val="BBF2CD08"/>
    <w:lvl w:ilvl="0" w:tplc="1A48B59C">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413A73"/>
    <w:multiLevelType w:val="hybridMultilevel"/>
    <w:tmpl w:val="FF168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322D43"/>
    <w:multiLevelType w:val="multilevel"/>
    <w:tmpl w:val="5E94F05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9A133FA"/>
    <w:multiLevelType w:val="hybridMultilevel"/>
    <w:tmpl w:val="2F2642B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9" w15:restartNumberingAfterBreak="0">
    <w:nsid w:val="5FBC7E8D"/>
    <w:multiLevelType w:val="singleLevel"/>
    <w:tmpl w:val="0AF0F572"/>
    <w:name w:val="BaseTextParagraphList"/>
    <w:lvl w:ilvl="0">
      <w:start w:val="1"/>
      <w:numFmt w:val="decimal"/>
      <w:lvlRestart w:val="0"/>
      <w:pStyle w:val="base-text-paragraph"/>
      <w:lvlText w:val="%1."/>
      <w:lvlJc w:val="left"/>
      <w:pPr>
        <w:tabs>
          <w:tab w:val="num" w:pos="1984"/>
        </w:tabs>
        <w:ind w:left="1140" w:firstLine="0"/>
      </w:pPr>
      <w:rPr>
        <w:b w:val="0"/>
        <w:i w:val="0"/>
        <w:color w:val="000000"/>
      </w:rPr>
    </w:lvl>
  </w:abstractNum>
  <w:abstractNum w:abstractNumId="30"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6E12D7"/>
    <w:multiLevelType w:val="hybridMultilevel"/>
    <w:tmpl w:val="DE864702"/>
    <w:lvl w:ilvl="0" w:tplc="8C94764A">
      <w:start w:val="2"/>
      <w:numFmt w:val="bullet"/>
      <w:lvlText w:val=""/>
      <w:lvlJc w:val="left"/>
      <w:pPr>
        <w:ind w:left="1500" w:hanging="360"/>
      </w:pPr>
      <w:rPr>
        <w:rFonts w:ascii="Symbol" w:eastAsia="Times New Roman" w:hAnsi="Symbol" w:cs="Times New Roman"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33" w15:restartNumberingAfterBreak="0">
    <w:nsid w:val="72061A24"/>
    <w:multiLevelType w:val="hybridMultilevel"/>
    <w:tmpl w:val="0DCED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6734BC"/>
    <w:multiLevelType w:val="hybridMultilevel"/>
    <w:tmpl w:val="8C4482B6"/>
    <w:lvl w:ilvl="0" w:tplc="8C94764A">
      <w:start w:val="2"/>
      <w:numFmt w:val="bullet"/>
      <w:lvlText w:val=""/>
      <w:lvlJc w:val="left"/>
      <w:pPr>
        <w:ind w:left="1500" w:hanging="360"/>
      </w:pPr>
      <w:rPr>
        <w:rFonts w:ascii="Symbol" w:eastAsia="Times New Roman" w:hAnsi="Symbol" w:cs="Times New Roman"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35"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7" w15:restartNumberingAfterBreak="0">
    <w:nsid w:val="7B891783"/>
    <w:multiLevelType w:val="hybridMultilevel"/>
    <w:tmpl w:val="0CCE9FEC"/>
    <w:lvl w:ilvl="0" w:tplc="0B52848A">
      <w:start w:val="1"/>
      <w:numFmt w:val="bullet"/>
      <w:pStyle w:val="Dotpoint20"/>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3726433">
    <w:abstractNumId w:val="1"/>
  </w:num>
  <w:num w:numId="2" w16cid:durableId="1062093723">
    <w:abstractNumId w:val="35"/>
  </w:num>
  <w:num w:numId="3" w16cid:durableId="401754324">
    <w:abstractNumId w:val="10"/>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2123260031">
    <w:abstractNumId w:val="10"/>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584798903">
    <w:abstractNumId w:val="10"/>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10645534">
    <w:abstractNumId w:val="10"/>
  </w:num>
  <w:num w:numId="7" w16cid:durableId="426850902">
    <w:abstractNumId w:val="10"/>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109160662">
    <w:abstractNumId w:val="12"/>
  </w:num>
  <w:num w:numId="9" w16cid:durableId="2011978262">
    <w:abstractNumId w:val="37"/>
  </w:num>
  <w:num w:numId="10" w16cid:durableId="1036857179">
    <w:abstractNumId w:val="27"/>
  </w:num>
  <w:num w:numId="11" w16cid:durableId="1130126043">
    <w:abstractNumId w:val="20"/>
  </w:num>
  <w:num w:numId="12" w16cid:durableId="1238511303">
    <w:abstractNumId w:val="10"/>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1728797120">
    <w:abstractNumId w:val="35"/>
  </w:num>
  <w:num w:numId="14" w16cid:durableId="1748770010">
    <w:abstractNumId w:val="30"/>
  </w:num>
  <w:num w:numId="15" w16cid:durableId="1308361460">
    <w:abstractNumId w:val="31"/>
  </w:num>
  <w:num w:numId="16" w16cid:durableId="158615131">
    <w:abstractNumId w:val="10"/>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114562838">
    <w:abstractNumId w:val="12"/>
  </w:num>
  <w:num w:numId="18" w16cid:durableId="672562723">
    <w:abstractNumId w:val="4"/>
  </w:num>
  <w:num w:numId="19" w16cid:durableId="2082482729">
    <w:abstractNumId w:val="28"/>
  </w:num>
  <w:num w:numId="20" w16cid:durableId="515659404">
    <w:abstractNumId w:val="36"/>
  </w:num>
  <w:num w:numId="21" w16cid:durableId="206182128">
    <w:abstractNumId w:val="35"/>
  </w:num>
  <w:num w:numId="22" w16cid:durableId="1543205218">
    <w:abstractNumId w:val="3"/>
  </w:num>
  <w:num w:numId="23" w16cid:durableId="206988932">
    <w:abstractNumId w:val="29"/>
  </w:num>
  <w:num w:numId="24" w16cid:durableId="566496558">
    <w:abstractNumId w:val="16"/>
  </w:num>
  <w:num w:numId="25" w16cid:durableId="852381621">
    <w:abstractNumId w:val="19"/>
  </w:num>
  <w:num w:numId="26" w16cid:durableId="1021128011">
    <w:abstractNumId w:val="34"/>
  </w:num>
  <w:num w:numId="27" w16cid:durableId="257949777">
    <w:abstractNumId w:val="10"/>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16cid:durableId="264463281">
    <w:abstractNumId w:val="11"/>
  </w:num>
  <w:num w:numId="29" w16cid:durableId="989283093">
    <w:abstractNumId w:val="0"/>
  </w:num>
  <w:num w:numId="30" w16cid:durableId="1809860242">
    <w:abstractNumId w:val="2"/>
  </w:num>
  <w:num w:numId="31" w16cid:durableId="464079463">
    <w:abstractNumId w:val="13"/>
  </w:num>
  <w:num w:numId="32" w16cid:durableId="768161080">
    <w:abstractNumId w:val="25"/>
  </w:num>
  <w:num w:numId="33" w16cid:durableId="382800085">
    <w:abstractNumId w:val="14"/>
  </w:num>
  <w:num w:numId="34" w16cid:durableId="1822572341">
    <w:abstractNumId w:val="22"/>
  </w:num>
  <w:num w:numId="35" w16cid:durableId="78407283">
    <w:abstractNumId w:val="7"/>
  </w:num>
  <w:num w:numId="36" w16cid:durableId="289013772">
    <w:abstractNumId w:val="33"/>
  </w:num>
  <w:num w:numId="37" w16cid:durableId="159201485">
    <w:abstractNumId w:val="9"/>
  </w:num>
  <w:num w:numId="38" w16cid:durableId="1186868447">
    <w:abstractNumId w:val="18"/>
  </w:num>
  <w:num w:numId="39" w16cid:durableId="1265384648">
    <w:abstractNumId w:val="6"/>
  </w:num>
  <w:num w:numId="40" w16cid:durableId="77601235">
    <w:abstractNumId w:val="10"/>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pStyle w:val="ExampleHeading"/>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1" w16cid:durableId="414744533">
    <w:abstractNumId w:val="23"/>
  </w:num>
  <w:num w:numId="42" w16cid:durableId="910770619">
    <w:abstractNumId w:val="10"/>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pStyle w:val="ExampleHeading"/>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3" w16cid:durableId="10919007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5314834">
    <w:abstractNumId w:val="26"/>
  </w:num>
  <w:num w:numId="45" w16cid:durableId="42293615">
    <w:abstractNumId w:val="24"/>
  </w:num>
  <w:num w:numId="46" w16cid:durableId="1937052073">
    <w:abstractNumId w:val="5"/>
  </w:num>
  <w:num w:numId="47" w16cid:durableId="608972906">
    <w:abstractNumId w:val="17"/>
  </w:num>
  <w:num w:numId="48" w16cid:durableId="1209220204">
    <w:abstractNumId w:val="10"/>
  </w:num>
  <w:num w:numId="49" w16cid:durableId="1228614326">
    <w:abstractNumId w:val="10"/>
  </w:num>
  <w:num w:numId="50" w16cid:durableId="748505811">
    <w:abstractNumId w:val="10"/>
  </w:num>
  <w:num w:numId="51" w16cid:durableId="2042631886">
    <w:abstractNumId w:val="10"/>
  </w:num>
  <w:num w:numId="52" w16cid:durableId="1285963251">
    <w:abstractNumId w:val="10"/>
  </w:num>
  <w:num w:numId="53" w16cid:durableId="1324359236">
    <w:abstractNumId w:val="10"/>
  </w:num>
  <w:num w:numId="54" w16cid:durableId="449400957">
    <w:abstractNumId w:val="10"/>
  </w:num>
  <w:num w:numId="55" w16cid:durableId="862941383">
    <w:abstractNumId w:val="10"/>
  </w:num>
  <w:num w:numId="56" w16cid:durableId="420758227">
    <w:abstractNumId w:val="10"/>
  </w:num>
  <w:num w:numId="57" w16cid:durableId="1272400575">
    <w:abstractNumId w:val="10"/>
  </w:num>
  <w:num w:numId="58" w16cid:durableId="2054963566">
    <w:abstractNumId w:val="10"/>
  </w:num>
  <w:num w:numId="59" w16cid:durableId="879642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71758112">
    <w:abstractNumId w:val="32"/>
  </w:num>
  <w:num w:numId="61" w16cid:durableId="1228883887">
    <w:abstractNumId w:val="8"/>
  </w:num>
  <w:num w:numId="62" w16cid:durableId="2036997083">
    <w:abstractNumId w:val="15"/>
  </w:num>
  <w:num w:numId="63" w16cid:durableId="1941639935">
    <w:abstractNumId w:val="2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02"/>
    <w:rsid w:val="00000099"/>
    <w:rsid w:val="000000ED"/>
    <w:rsid w:val="00000120"/>
    <w:rsid w:val="00000131"/>
    <w:rsid w:val="00000250"/>
    <w:rsid w:val="00000321"/>
    <w:rsid w:val="000003EA"/>
    <w:rsid w:val="0000057C"/>
    <w:rsid w:val="000005AD"/>
    <w:rsid w:val="000005BE"/>
    <w:rsid w:val="0000065B"/>
    <w:rsid w:val="00000783"/>
    <w:rsid w:val="00000826"/>
    <w:rsid w:val="0000084F"/>
    <w:rsid w:val="00000A4C"/>
    <w:rsid w:val="00000AAE"/>
    <w:rsid w:val="00000BFC"/>
    <w:rsid w:val="00000D97"/>
    <w:rsid w:val="00000DE4"/>
    <w:rsid w:val="00000E6B"/>
    <w:rsid w:val="00000FD9"/>
    <w:rsid w:val="00001065"/>
    <w:rsid w:val="0000133A"/>
    <w:rsid w:val="000013A2"/>
    <w:rsid w:val="000013D2"/>
    <w:rsid w:val="000017AE"/>
    <w:rsid w:val="000019A8"/>
    <w:rsid w:val="00001C36"/>
    <w:rsid w:val="00001EA5"/>
    <w:rsid w:val="00002335"/>
    <w:rsid w:val="0000237B"/>
    <w:rsid w:val="000024FD"/>
    <w:rsid w:val="00002888"/>
    <w:rsid w:val="000028D9"/>
    <w:rsid w:val="00002903"/>
    <w:rsid w:val="00002D6D"/>
    <w:rsid w:val="00002D94"/>
    <w:rsid w:val="00002DF1"/>
    <w:rsid w:val="00002E72"/>
    <w:rsid w:val="0000338D"/>
    <w:rsid w:val="0000344E"/>
    <w:rsid w:val="000036FB"/>
    <w:rsid w:val="00003701"/>
    <w:rsid w:val="0000370B"/>
    <w:rsid w:val="0000376C"/>
    <w:rsid w:val="0000398A"/>
    <w:rsid w:val="00003B58"/>
    <w:rsid w:val="00003C5F"/>
    <w:rsid w:val="00003CA5"/>
    <w:rsid w:val="00003CF3"/>
    <w:rsid w:val="00003D0A"/>
    <w:rsid w:val="00003D7D"/>
    <w:rsid w:val="00003E89"/>
    <w:rsid w:val="00003EBD"/>
    <w:rsid w:val="00003EC8"/>
    <w:rsid w:val="00003F72"/>
    <w:rsid w:val="00004004"/>
    <w:rsid w:val="00004064"/>
    <w:rsid w:val="0000423D"/>
    <w:rsid w:val="000042C1"/>
    <w:rsid w:val="00004306"/>
    <w:rsid w:val="000043CD"/>
    <w:rsid w:val="00004595"/>
    <w:rsid w:val="0000459C"/>
    <w:rsid w:val="000045DF"/>
    <w:rsid w:val="00004674"/>
    <w:rsid w:val="000046EE"/>
    <w:rsid w:val="000048A7"/>
    <w:rsid w:val="00004A45"/>
    <w:rsid w:val="00004C9B"/>
    <w:rsid w:val="00004EFB"/>
    <w:rsid w:val="00004F7C"/>
    <w:rsid w:val="0000519A"/>
    <w:rsid w:val="000051A0"/>
    <w:rsid w:val="00005284"/>
    <w:rsid w:val="000052B9"/>
    <w:rsid w:val="000052EA"/>
    <w:rsid w:val="000053BB"/>
    <w:rsid w:val="0000546E"/>
    <w:rsid w:val="000055F1"/>
    <w:rsid w:val="00005699"/>
    <w:rsid w:val="000056B0"/>
    <w:rsid w:val="0000587F"/>
    <w:rsid w:val="00005937"/>
    <w:rsid w:val="0000594C"/>
    <w:rsid w:val="00005962"/>
    <w:rsid w:val="00005B2D"/>
    <w:rsid w:val="00005CF3"/>
    <w:rsid w:val="00005D6D"/>
    <w:rsid w:val="00005E72"/>
    <w:rsid w:val="00005FD0"/>
    <w:rsid w:val="0000605F"/>
    <w:rsid w:val="00006146"/>
    <w:rsid w:val="000061CE"/>
    <w:rsid w:val="000063B5"/>
    <w:rsid w:val="00006519"/>
    <w:rsid w:val="00006660"/>
    <w:rsid w:val="00006698"/>
    <w:rsid w:val="000066DF"/>
    <w:rsid w:val="0000692C"/>
    <w:rsid w:val="00006B92"/>
    <w:rsid w:val="00006BD5"/>
    <w:rsid w:val="00006C12"/>
    <w:rsid w:val="00006CF1"/>
    <w:rsid w:val="00006D8E"/>
    <w:rsid w:val="00006DC1"/>
    <w:rsid w:val="00006E57"/>
    <w:rsid w:val="00006F44"/>
    <w:rsid w:val="00007021"/>
    <w:rsid w:val="00007088"/>
    <w:rsid w:val="00007161"/>
    <w:rsid w:val="000072F9"/>
    <w:rsid w:val="000073FA"/>
    <w:rsid w:val="0000766E"/>
    <w:rsid w:val="0000770A"/>
    <w:rsid w:val="000077F3"/>
    <w:rsid w:val="0000793F"/>
    <w:rsid w:val="000079CA"/>
    <w:rsid w:val="00007C97"/>
    <w:rsid w:val="00007CDB"/>
    <w:rsid w:val="00007D65"/>
    <w:rsid w:val="00007E70"/>
    <w:rsid w:val="00007F79"/>
    <w:rsid w:val="00007FA2"/>
    <w:rsid w:val="00007FF2"/>
    <w:rsid w:val="000100F4"/>
    <w:rsid w:val="000102E7"/>
    <w:rsid w:val="000104B1"/>
    <w:rsid w:val="000105FF"/>
    <w:rsid w:val="000106C5"/>
    <w:rsid w:val="00010707"/>
    <w:rsid w:val="00010BD1"/>
    <w:rsid w:val="00011171"/>
    <w:rsid w:val="00011291"/>
    <w:rsid w:val="0001135D"/>
    <w:rsid w:val="00011391"/>
    <w:rsid w:val="0001177C"/>
    <w:rsid w:val="000118D6"/>
    <w:rsid w:val="00011915"/>
    <w:rsid w:val="00011A6B"/>
    <w:rsid w:val="00011A7E"/>
    <w:rsid w:val="00011C5A"/>
    <w:rsid w:val="00011D03"/>
    <w:rsid w:val="00011DBC"/>
    <w:rsid w:val="00011E22"/>
    <w:rsid w:val="00011E6E"/>
    <w:rsid w:val="00011F88"/>
    <w:rsid w:val="000124A8"/>
    <w:rsid w:val="00012634"/>
    <w:rsid w:val="00012971"/>
    <w:rsid w:val="00012976"/>
    <w:rsid w:val="00012B30"/>
    <w:rsid w:val="00012B56"/>
    <w:rsid w:val="00012B58"/>
    <w:rsid w:val="00012CEE"/>
    <w:rsid w:val="00012E66"/>
    <w:rsid w:val="00012EEF"/>
    <w:rsid w:val="000130F6"/>
    <w:rsid w:val="000134BC"/>
    <w:rsid w:val="00013817"/>
    <w:rsid w:val="00013AD2"/>
    <w:rsid w:val="00013B86"/>
    <w:rsid w:val="00013CCE"/>
    <w:rsid w:val="00013D25"/>
    <w:rsid w:val="00013DD7"/>
    <w:rsid w:val="00013F47"/>
    <w:rsid w:val="00013FC3"/>
    <w:rsid w:val="000143D8"/>
    <w:rsid w:val="0001443A"/>
    <w:rsid w:val="000145E8"/>
    <w:rsid w:val="00014657"/>
    <w:rsid w:val="00014710"/>
    <w:rsid w:val="00014B4B"/>
    <w:rsid w:val="00014C82"/>
    <w:rsid w:val="00014E80"/>
    <w:rsid w:val="00014F67"/>
    <w:rsid w:val="00014FFC"/>
    <w:rsid w:val="000150AA"/>
    <w:rsid w:val="000150BD"/>
    <w:rsid w:val="000150D9"/>
    <w:rsid w:val="00015210"/>
    <w:rsid w:val="00015215"/>
    <w:rsid w:val="0001541B"/>
    <w:rsid w:val="000154CB"/>
    <w:rsid w:val="000155AE"/>
    <w:rsid w:val="00015637"/>
    <w:rsid w:val="00015717"/>
    <w:rsid w:val="0001592C"/>
    <w:rsid w:val="00015C42"/>
    <w:rsid w:val="00015E0F"/>
    <w:rsid w:val="00015E51"/>
    <w:rsid w:val="0001603B"/>
    <w:rsid w:val="00016120"/>
    <w:rsid w:val="000161DB"/>
    <w:rsid w:val="00016590"/>
    <w:rsid w:val="00016944"/>
    <w:rsid w:val="00016979"/>
    <w:rsid w:val="00016B11"/>
    <w:rsid w:val="00016C17"/>
    <w:rsid w:val="00016C9A"/>
    <w:rsid w:val="00016DB0"/>
    <w:rsid w:val="00016E05"/>
    <w:rsid w:val="00016FD7"/>
    <w:rsid w:val="0001702D"/>
    <w:rsid w:val="00017444"/>
    <w:rsid w:val="000176F9"/>
    <w:rsid w:val="000178D7"/>
    <w:rsid w:val="000178DD"/>
    <w:rsid w:val="00017910"/>
    <w:rsid w:val="00017A5A"/>
    <w:rsid w:val="00017B59"/>
    <w:rsid w:val="00017B8A"/>
    <w:rsid w:val="00017CD6"/>
    <w:rsid w:val="00017D52"/>
    <w:rsid w:val="00017F55"/>
    <w:rsid w:val="000201B7"/>
    <w:rsid w:val="000202A0"/>
    <w:rsid w:val="000204D0"/>
    <w:rsid w:val="000204F8"/>
    <w:rsid w:val="000207BE"/>
    <w:rsid w:val="0002095B"/>
    <w:rsid w:val="0002096E"/>
    <w:rsid w:val="00020D2A"/>
    <w:rsid w:val="00020DBE"/>
    <w:rsid w:val="00020F47"/>
    <w:rsid w:val="00021297"/>
    <w:rsid w:val="00021363"/>
    <w:rsid w:val="000213C3"/>
    <w:rsid w:val="000214DE"/>
    <w:rsid w:val="00021750"/>
    <w:rsid w:val="00021C80"/>
    <w:rsid w:val="00021DAA"/>
    <w:rsid w:val="00021EA1"/>
    <w:rsid w:val="000222CB"/>
    <w:rsid w:val="000222FA"/>
    <w:rsid w:val="0002235B"/>
    <w:rsid w:val="00022465"/>
    <w:rsid w:val="00022989"/>
    <w:rsid w:val="00022AFD"/>
    <w:rsid w:val="00022B9D"/>
    <w:rsid w:val="00022BEE"/>
    <w:rsid w:val="00022C52"/>
    <w:rsid w:val="00022D75"/>
    <w:rsid w:val="00022D8C"/>
    <w:rsid w:val="00023001"/>
    <w:rsid w:val="00023141"/>
    <w:rsid w:val="00023161"/>
    <w:rsid w:val="000231D0"/>
    <w:rsid w:val="00023345"/>
    <w:rsid w:val="00023366"/>
    <w:rsid w:val="0002344A"/>
    <w:rsid w:val="000235B1"/>
    <w:rsid w:val="00023788"/>
    <w:rsid w:val="000237F9"/>
    <w:rsid w:val="00023852"/>
    <w:rsid w:val="00023883"/>
    <w:rsid w:val="0002396B"/>
    <w:rsid w:val="00023AD9"/>
    <w:rsid w:val="00023AED"/>
    <w:rsid w:val="00023B48"/>
    <w:rsid w:val="00023B6D"/>
    <w:rsid w:val="00023BC5"/>
    <w:rsid w:val="00023C72"/>
    <w:rsid w:val="00023C7E"/>
    <w:rsid w:val="000240FF"/>
    <w:rsid w:val="00024160"/>
    <w:rsid w:val="0002428F"/>
    <w:rsid w:val="000242C9"/>
    <w:rsid w:val="0002449F"/>
    <w:rsid w:val="000244E3"/>
    <w:rsid w:val="0002450F"/>
    <w:rsid w:val="000245D5"/>
    <w:rsid w:val="00024829"/>
    <w:rsid w:val="00024910"/>
    <w:rsid w:val="00024BF8"/>
    <w:rsid w:val="00024CD3"/>
    <w:rsid w:val="00024D62"/>
    <w:rsid w:val="00025051"/>
    <w:rsid w:val="000250D1"/>
    <w:rsid w:val="00025388"/>
    <w:rsid w:val="000253A7"/>
    <w:rsid w:val="000253AD"/>
    <w:rsid w:val="000253D1"/>
    <w:rsid w:val="00025407"/>
    <w:rsid w:val="000254B3"/>
    <w:rsid w:val="00025850"/>
    <w:rsid w:val="000258DC"/>
    <w:rsid w:val="00025B19"/>
    <w:rsid w:val="00025D3B"/>
    <w:rsid w:val="00025D64"/>
    <w:rsid w:val="00025DF7"/>
    <w:rsid w:val="00025FB5"/>
    <w:rsid w:val="00025FC1"/>
    <w:rsid w:val="00026028"/>
    <w:rsid w:val="0002602A"/>
    <w:rsid w:val="0002610D"/>
    <w:rsid w:val="0002628B"/>
    <w:rsid w:val="0002642B"/>
    <w:rsid w:val="00026512"/>
    <w:rsid w:val="00026A24"/>
    <w:rsid w:val="00026A71"/>
    <w:rsid w:val="00026C46"/>
    <w:rsid w:val="000270D6"/>
    <w:rsid w:val="00027231"/>
    <w:rsid w:val="00027414"/>
    <w:rsid w:val="00027588"/>
    <w:rsid w:val="000276EF"/>
    <w:rsid w:val="00027B92"/>
    <w:rsid w:val="00027B94"/>
    <w:rsid w:val="00027BC0"/>
    <w:rsid w:val="00027DFA"/>
    <w:rsid w:val="00027E26"/>
    <w:rsid w:val="00030040"/>
    <w:rsid w:val="000300D5"/>
    <w:rsid w:val="00030115"/>
    <w:rsid w:val="00030312"/>
    <w:rsid w:val="000304BE"/>
    <w:rsid w:val="00030641"/>
    <w:rsid w:val="00030648"/>
    <w:rsid w:val="000306FD"/>
    <w:rsid w:val="0003072D"/>
    <w:rsid w:val="0003073D"/>
    <w:rsid w:val="00030769"/>
    <w:rsid w:val="00030835"/>
    <w:rsid w:val="00030931"/>
    <w:rsid w:val="00030AFE"/>
    <w:rsid w:val="00030B1A"/>
    <w:rsid w:val="00030B69"/>
    <w:rsid w:val="00030B8E"/>
    <w:rsid w:val="00030E62"/>
    <w:rsid w:val="00030F55"/>
    <w:rsid w:val="00030F5A"/>
    <w:rsid w:val="00030F66"/>
    <w:rsid w:val="000311D6"/>
    <w:rsid w:val="00031358"/>
    <w:rsid w:val="00031471"/>
    <w:rsid w:val="000315B5"/>
    <w:rsid w:val="000315D1"/>
    <w:rsid w:val="000315DD"/>
    <w:rsid w:val="00031715"/>
    <w:rsid w:val="00031C40"/>
    <w:rsid w:val="00031C4B"/>
    <w:rsid w:val="00031CEA"/>
    <w:rsid w:val="00031F03"/>
    <w:rsid w:val="000320DF"/>
    <w:rsid w:val="0003212E"/>
    <w:rsid w:val="0003217A"/>
    <w:rsid w:val="00032348"/>
    <w:rsid w:val="0003241B"/>
    <w:rsid w:val="00032441"/>
    <w:rsid w:val="00032509"/>
    <w:rsid w:val="0003254D"/>
    <w:rsid w:val="0003262F"/>
    <w:rsid w:val="00032717"/>
    <w:rsid w:val="000327BA"/>
    <w:rsid w:val="000329E4"/>
    <w:rsid w:val="00032AB8"/>
    <w:rsid w:val="00032D34"/>
    <w:rsid w:val="00032EC8"/>
    <w:rsid w:val="00032F5A"/>
    <w:rsid w:val="00033023"/>
    <w:rsid w:val="000331DA"/>
    <w:rsid w:val="000333D2"/>
    <w:rsid w:val="00033490"/>
    <w:rsid w:val="000334B2"/>
    <w:rsid w:val="0003353E"/>
    <w:rsid w:val="000336DD"/>
    <w:rsid w:val="0003373A"/>
    <w:rsid w:val="000337E6"/>
    <w:rsid w:val="0003391D"/>
    <w:rsid w:val="00033976"/>
    <w:rsid w:val="00033A39"/>
    <w:rsid w:val="00033CB4"/>
    <w:rsid w:val="00033CF5"/>
    <w:rsid w:val="00033F54"/>
    <w:rsid w:val="00033FAA"/>
    <w:rsid w:val="00033FCE"/>
    <w:rsid w:val="000340F9"/>
    <w:rsid w:val="00034115"/>
    <w:rsid w:val="00034127"/>
    <w:rsid w:val="00034153"/>
    <w:rsid w:val="000341C9"/>
    <w:rsid w:val="0003422D"/>
    <w:rsid w:val="00034247"/>
    <w:rsid w:val="000342B3"/>
    <w:rsid w:val="000344B9"/>
    <w:rsid w:val="000344CA"/>
    <w:rsid w:val="00034928"/>
    <w:rsid w:val="000349BA"/>
    <w:rsid w:val="00034A72"/>
    <w:rsid w:val="00034BF7"/>
    <w:rsid w:val="00034DFB"/>
    <w:rsid w:val="00034E94"/>
    <w:rsid w:val="00034EDA"/>
    <w:rsid w:val="00035096"/>
    <w:rsid w:val="000350D2"/>
    <w:rsid w:val="000351F9"/>
    <w:rsid w:val="00035214"/>
    <w:rsid w:val="00035256"/>
    <w:rsid w:val="000352F4"/>
    <w:rsid w:val="00035397"/>
    <w:rsid w:val="0003552A"/>
    <w:rsid w:val="0003552C"/>
    <w:rsid w:val="000356D6"/>
    <w:rsid w:val="00035793"/>
    <w:rsid w:val="00035803"/>
    <w:rsid w:val="00035890"/>
    <w:rsid w:val="000358BB"/>
    <w:rsid w:val="00035939"/>
    <w:rsid w:val="000359EA"/>
    <w:rsid w:val="00035AA8"/>
    <w:rsid w:val="00035DBE"/>
    <w:rsid w:val="00035E3F"/>
    <w:rsid w:val="00035EE6"/>
    <w:rsid w:val="00035F46"/>
    <w:rsid w:val="000361FE"/>
    <w:rsid w:val="00036290"/>
    <w:rsid w:val="000363E8"/>
    <w:rsid w:val="000363E9"/>
    <w:rsid w:val="000364BF"/>
    <w:rsid w:val="000369E2"/>
    <w:rsid w:val="000369E3"/>
    <w:rsid w:val="00036A66"/>
    <w:rsid w:val="00036AAD"/>
    <w:rsid w:val="00036B4E"/>
    <w:rsid w:val="00036D8E"/>
    <w:rsid w:val="00036DB8"/>
    <w:rsid w:val="00036DF8"/>
    <w:rsid w:val="00036E4D"/>
    <w:rsid w:val="00036E50"/>
    <w:rsid w:val="00036E54"/>
    <w:rsid w:val="00036E63"/>
    <w:rsid w:val="00036E6A"/>
    <w:rsid w:val="000372CD"/>
    <w:rsid w:val="00037398"/>
    <w:rsid w:val="00037415"/>
    <w:rsid w:val="00037420"/>
    <w:rsid w:val="00037440"/>
    <w:rsid w:val="00037471"/>
    <w:rsid w:val="00037691"/>
    <w:rsid w:val="00037703"/>
    <w:rsid w:val="000378E7"/>
    <w:rsid w:val="00037929"/>
    <w:rsid w:val="00037942"/>
    <w:rsid w:val="00037A01"/>
    <w:rsid w:val="00037A24"/>
    <w:rsid w:val="00037A67"/>
    <w:rsid w:val="00037ACA"/>
    <w:rsid w:val="00037AD8"/>
    <w:rsid w:val="00037C25"/>
    <w:rsid w:val="00037C31"/>
    <w:rsid w:val="00037C6B"/>
    <w:rsid w:val="00037E38"/>
    <w:rsid w:val="00037F47"/>
    <w:rsid w:val="00040058"/>
    <w:rsid w:val="000401A7"/>
    <w:rsid w:val="0004022A"/>
    <w:rsid w:val="000402DA"/>
    <w:rsid w:val="000403B9"/>
    <w:rsid w:val="000404C6"/>
    <w:rsid w:val="00040565"/>
    <w:rsid w:val="000406ED"/>
    <w:rsid w:val="00040767"/>
    <w:rsid w:val="000407A1"/>
    <w:rsid w:val="000408D5"/>
    <w:rsid w:val="00040A5F"/>
    <w:rsid w:val="00040AF5"/>
    <w:rsid w:val="00040C78"/>
    <w:rsid w:val="00040DA8"/>
    <w:rsid w:val="00040E4E"/>
    <w:rsid w:val="00040F61"/>
    <w:rsid w:val="0004105D"/>
    <w:rsid w:val="0004117B"/>
    <w:rsid w:val="000411C3"/>
    <w:rsid w:val="00041591"/>
    <w:rsid w:val="0004169E"/>
    <w:rsid w:val="000417DB"/>
    <w:rsid w:val="00041806"/>
    <w:rsid w:val="0004192B"/>
    <w:rsid w:val="000419D6"/>
    <w:rsid w:val="00041B3A"/>
    <w:rsid w:val="00041B4D"/>
    <w:rsid w:val="00041CB2"/>
    <w:rsid w:val="00041E0E"/>
    <w:rsid w:val="00041E53"/>
    <w:rsid w:val="00041F27"/>
    <w:rsid w:val="00041F54"/>
    <w:rsid w:val="00042035"/>
    <w:rsid w:val="000421C4"/>
    <w:rsid w:val="00042382"/>
    <w:rsid w:val="00042395"/>
    <w:rsid w:val="000423A6"/>
    <w:rsid w:val="00042425"/>
    <w:rsid w:val="0004246B"/>
    <w:rsid w:val="0004249F"/>
    <w:rsid w:val="000427A6"/>
    <w:rsid w:val="00042894"/>
    <w:rsid w:val="00042A4F"/>
    <w:rsid w:val="00042A56"/>
    <w:rsid w:val="00042B20"/>
    <w:rsid w:val="00042C61"/>
    <w:rsid w:val="00042D84"/>
    <w:rsid w:val="00042F36"/>
    <w:rsid w:val="00042FC1"/>
    <w:rsid w:val="00042FC5"/>
    <w:rsid w:val="00043057"/>
    <w:rsid w:val="00043183"/>
    <w:rsid w:val="0004345A"/>
    <w:rsid w:val="0004347B"/>
    <w:rsid w:val="00043600"/>
    <w:rsid w:val="00043CD5"/>
    <w:rsid w:val="00044323"/>
    <w:rsid w:val="00044470"/>
    <w:rsid w:val="0004447F"/>
    <w:rsid w:val="00044523"/>
    <w:rsid w:val="00044530"/>
    <w:rsid w:val="0004455F"/>
    <w:rsid w:val="00044577"/>
    <w:rsid w:val="0004466F"/>
    <w:rsid w:val="0004475D"/>
    <w:rsid w:val="0004475F"/>
    <w:rsid w:val="00044766"/>
    <w:rsid w:val="000447A5"/>
    <w:rsid w:val="00044961"/>
    <w:rsid w:val="00044A41"/>
    <w:rsid w:val="00044C86"/>
    <w:rsid w:val="00044EA1"/>
    <w:rsid w:val="000451C1"/>
    <w:rsid w:val="0004530A"/>
    <w:rsid w:val="000454D0"/>
    <w:rsid w:val="0004567E"/>
    <w:rsid w:val="00045986"/>
    <w:rsid w:val="0004598C"/>
    <w:rsid w:val="00045C69"/>
    <w:rsid w:val="00045F03"/>
    <w:rsid w:val="00045FBA"/>
    <w:rsid w:val="00046313"/>
    <w:rsid w:val="00046381"/>
    <w:rsid w:val="0004638B"/>
    <w:rsid w:val="00046447"/>
    <w:rsid w:val="000464D7"/>
    <w:rsid w:val="000465A5"/>
    <w:rsid w:val="00046621"/>
    <w:rsid w:val="0004669D"/>
    <w:rsid w:val="00046897"/>
    <w:rsid w:val="00046B10"/>
    <w:rsid w:val="00046B5C"/>
    <w:rsid w:val="00046BB9"/>
    <w:rsid w:val="00046D14"/>
    <w:rsid w:val="00046DD4"/>
    <w:rsid w:val="00046F03"/>
    <w:rsid w:val="00047388"/>
    <w:rsid w:val="00047389"/>
    <w:rsid w:val="000473F5"/>
    <w:rsid w:val="00047400"/>
    <w:rsid w:val="00047405"/>
    <w:rsid w:val="000476D5"/>
    <w:rsid w:val="000477C0"/>
    <w:rsid w:val="000479D8"/>
    <w:rsid w:val="00047A25"/>
    <w:rsid w:val="00047DCD"/>
    <w:rsid w:val="00047F4E"/>
    <w:rsid w:val="00047F67"/>
    <w:rsid w:val="00047FD5"/>
    <w:rsid w:val="00047FF2"/>
    <w:rsid w:val="0005004B"/>
    <w:rsid w:val="00050103"/>
    <w:rsid w:val="00050138"/>
    <w:rsid w:val="0005042D"/>
    <w:rsid w:val="0005049D"/>
    <w:rsid w:val="00050670"/>
    <w:rsid w:val="000508EC"/>
    <w:rsid w:val="00050B20"/>
    <w:rsid w:val="00050B42"/>
    <w:rsid w:val="00050C1A"/>
    <w:rsid w:val="000511C1"/>
    <w:rsid w:val="00051301"/>
    <w:rsid w:val="0005130C"/>
    <w:rsid w:val="000513FC"/>
    <w:rsid w:val="000514F1"/>
    <w:rsid w:val="0005167D"/>
    <w:rsid w:val="000517A6"/>
    <w:rsid w:val="00051C70"/>
    <w:rsid w:val="00051F28"/>
    <w:rsid w:val="000521B0"/>
    <w:rsid w:val="000521EC"/>
    <w:rsid w:val="00052209"/>
    <w:rsid w:val="000523E6"/>
    <w:rsid w:val="00052456"/>
    <w:rsid w:val="00052503"/>
    <w:rsid w:val="00052515"/>
    <w:rsid w:val="00052516"/>
    <w:rsid w:val="000527EC"/>
    <w:rsid w:val="00052B4C"/>
    <w:rsid w:val="00052B9D"/>
    <w:rsid w:val="00052D5F"/>
    <w:rsid w:val="00052E0A"/>
    <w:rsid w:val="00052E25"/>
    <w:rsid w:val="00052EC8"/>
    <w:rsid w:val="00053022"/>
    <w:rsid w:val="00053244"/>
    <w:rsid w:val="0005327F"/>
    <w:rsid w:val="000536C2"/>
    <w:rsid w:val="000537D6"/>
    <w:rsid w:val="00053AC0"/>
    <w:rsid w:val="00053AE3"/>
    <w:rsid w:val="00053B9D"/>
    <w:rsid w:val="00053DCB"/>
    <w:rsid w:val="00053DD7"/>
    <w:rsid w:val="00053E8C"/>
    <w:rsid w:val="00053EFB"/>
    <w:rsid w:val="00053F04"/>
    <w:rsid w:val="00053F23"/>
    <w:rsid w:val="00054008"/>
    <w:rsid w:val="000541EB"/>
    <w:rsid w:val="0005454A"/>
    <w:rsid w:val="0005460D"/>
    <w:rsid w:val="00054857"/>
    <w:rsid w:val="00054898"/>
    <w:rsid w:val="000548AA"/>
    <w:rsid w:val="00054900"/>
    <w:rsid w:val="00054925"/>
    <w:rsid w:val="00054967"/>
    <w:rsid w:val="000549ED"/>
    <w:rsid w:val="00054E07"/>
    <w:rsid w:val="00054F39"/>
    <w:rsid w:val="00054F95"/>
    <w:rsid w:val="00054FCA"/>
    <w:rsid w:val="00055025"/>
    <w:rsid w:val="0005509B"/>
    <w:rsid w:val="000550C0"/>
    <w:rsid w:val="0005515D"/>
    <w:rsid w:val="000554CD"/>
    <w:rsid w:val="000554FF"/>
    <w:rsid w:val="00055696"/>
    <w:rsid w:val="00055DD4"/>
    <w:rsid w:val="00055E30"/>
    <w:rsid w:val="00055E85"/>
    <w:rsid w:val="0005606F"/>
    <w:rsid w:val="00056118"/>
    <w:rsid w:val="00056374"/>
    <w:rsid w:val="0005654A"/>
    <w:rsid w:val="0005657D"/>
    <w:rsid w:val="000567E1"/>
    <w:rsid w:val="000568F9"/>
    <w:rsid w:val="0005697A"/>
    <w:rsid w:val="00056AD5"/>
    <w:rsid w:val="00056CDA"/>
    <w:rsid w:val="00056DE4"/>
    <w:rsid w:val="00056E5D"/>
    <w:rsid w:val="00056FAE"/>
    <w:rsid w:val="00057128"/>
    <w:rsid w:val="00057138"/>
    <w:rsid w:val="0005717B"/>
    <w:rsid w:val="0005732D"/>
    <w:rsid w:val="00057345"/>
    <w:rsid w:val="00057482"/>
    <w:rsid w:val="000574C6"/>
    <w:rsid w:val="000575AA"/>
    <w:rsid w:val="000575E6"/>
    <w:rsid w:val="00057815"/>
    <w:rsid w:val="00057846"/>
    <w:rsid w:val="000579BA"/>
    <w:rsid w:val="00057AD0"/>
    <w:rsid w:val="00057AD5"/>
    <w:rsid w:val="00057B5A"/>
    <w:rsid w:val="00057C3E"/>
    <w:rsid w:val="00057CD2"/>
    <w:rsid w:val="00057FA8"/>
    <w:rsid w:val="00060171"/>
    <w:rsid w:val="0006019A"/>
    <w:rsid w:val="000601EF"/>
    <w:rsid w:val="00060266"/>
    <w:rsid w:val="00060271"/>
    <w:rsid w:val="000603CE"/>
    <w:rsid w:val="00060418"/>
    <w:rsid w:val="00060453"/>
    <w:rsid w:val="000604A3"/>
    <w:rsid w:val="000605D9"/>
    <w:rsid w:val="0006072A"/>
    <w:rsid w:val="00060780"/>
    <w:rsid w:val="000607D6"/>
    <w:rsid w:val="000607F5"/>
    <w:rsid w:val="00060A96"/>
    <w:rsid w:val="00060C25"/>
    <w:rsid w:val="00060D68"/>
    <w:rsid w:val="00060EFF"/>
    <w:rsid w:val="00061029"/>
    <w:rsid w:val="0006123D"/>
    <w:rsid w:val="000613F2"/>
    <w:rsid w:val="000613F5"/>
    <w:rsid w:val="00061436"/>
    <w:rsid w:val="00061512"/>
    <w:rsid w:val="0006171D"/>
    <w:rsid w:val="000618E8"/>
    <w:rsid w:val="0006190E"/>
    <w:rsid w:val="00061A52"/>
    <w:rsid w:val="00061DE9"/>
    <w:rsid w:val="00061E6F"/>
    <w:rsid w:val="000620E8"/>
    <w:rsid w:val="00062204"/>
    <w:rsid w:val="0006232F"/>
    <w:rsid w:val="000623EC"/>
    <w:rsid w:val="00062461"/>
    <w:rsid w:val="00062548"/>
    <w:rsid w:val="0006260F"/>
    <w:rsid w:val="00062648"/>
    <w:rsid w:val="000626B8"/>
    <w:rsid w:val="00062736"/>
    <w:rsid w:val="0006284D"/>
    <w:rsid w:val="000629C4"/>
    <w:rsid w:val="00062A1F"/>
    <w:rsid w:val="00062B6E"/>
    <w:rsid w:val="00062BA1"/>
    <w:rsid w:val="00062BFD"/>
    <w:rsid w:val="00062DEB"/>
    <w:rsid w:val="00062F77"/>
    <w:rsid w:val="00063085"/>
    <w:rsid w:val="00063105"/>
    <w:rsid w:val="00063144"/>
    <w:rsid w:val="0006321A"/>
    <w:rsid w:val="000634CC"/>
    <w:rsid w:val="000635F7"/>
    <w:rsid w:val="0006362E"/>
    <w:rsid w:val="00063688"/>
    <w:rsid w:val="000637E6"/>
    <w:rsid w:val="000638F5"/>
    <w:rsid w:val="00063C74"/>
    <w:rsid w:val="00063D22"/>
    <w:rsid w:val="00063ED7"/>
    <w:rsid w:val="00063F63"/>
    <w:rsid w:val="00063F73"/>
    <w:rsid w:val="00064687"/>
    <w:rsid w:val="0006471D"/>
    <w:rsid w:val="00064741"/>
    <w:rsid w:val="0006484E"/>
    <w:rsid w:val="00064CA2"/>
    <w:rsid w:val="00064D77"/>
    <w:rsid w:val="00064E3D"/>
    <w:rsid w:val="00065034"/>
    <w:rsid w:val="00065075"/>
    <w:rsid w:val="00065103"/>
    <w:rsid w:val="00065154"/>
    <w:rsid w:val="0006527E"/>
    <w:rsid w:val="00065803"/>
    <w:rsid w:val="00065893"/>
    <w:rsid w:val="000658B8"/>
    <w:rsid w:val="00065B1A"/>
    <w:rsid w:val="00065C38"/>
    <w:rsid w:val="00065CC3"/>
    <w:rsid w:val="000660A6"/>
    <w:rsid w:val="000662CE"/>
    <w:rsid w:val="00066555"/>
    <w:rsid w:val="0006657C"/>
    <w:rsid w:val="0006659B"/>
    <w:rsid w:val="000665EC"/>
    <w:rsid w:val="0006663D"/>
    <w:rsid w:val="00066805"/>
    <w:rsid w:val="000668D5"/>
    <w:rsid w:val="00066A1B"/>
    <w:rsid w:val="00066A3A"/>
    <w:rsid w:val="00066C6C"/>
    <w:rsid w:val="00066CF7"/>
    <w:rsid w:val="00066DEC"/>
    <w:rsid w:val="00066EC6"/>
    <w:rsid w:val="00066F82"/>
    <w:rsid w:val="000670B2"/>
    <w:rsid w:val="00067273"/>
    <w:rsid w:val="0006731D"/>
    <w:rsid w:val="000673EB"/>
    <w:rsid w:val="00067421"/>
    <w:rsid w:val="000674E8"/>
    <w:rsid w:val="0006769C"/>
    <w:rsid w:val="000676A4"/>
    <w:rsid w:val="0006772E"/>
    <w:rsid w:val="00067A69"/>
    <w:rsid w:val="00067BA6"/>
    <w:rsid w:val="00067CBC"/>
    <w:rsid w:val="00067CCF"/>
    <w:rsid w:val="00067CD8"/>
    <w:rsid w:val="00067D9F"/>
    <w:rsid w:val="00067E77"/>
    <w:rsid w:val="00067E83"/>
    <w:rsid w:val="00067F02"/>
    <w:rsid w:val="00067FF3"/>
    <w:rsid w:val="00070069"/>
    <w:rsid w:val="00070156"/>
    <w:rsid w:val="000701E0"/>
    <w:rsid w:val="00070291"/>
    <w:rsid w:val="00070487"/>
    <w:rsid w:val="000705E0"/>
    <w:rsid w:val="000706CB"/>
    <w:rsid w:val="000709C4"/>
    <w:rsid w:val="00070C6E"/>
    <w:rsid w:val="00071103"/>
    <w:rsid w:val="00071308"/>
    <w:rsid w:val="000713F0"/>
    <w:rsid w:val="00071476"/>
    <w:rsid w:val="00071509"/>
    <w:rsid w:val="000716FA"/>
    <w:rsid w:val="00071947"/>
    <w:rsid w:val="000719A7"/>
    <w:rsid w:val="00071A1C"/>
    <w:rsid w:val="00071E1F"/>
    <w:rsid w:val="00071F51"/>
    <w:rsid w:val="00071FC3"/>
    <w:rsid w:val="00072258"/>
    <w:rsid w:val="000723E1"/>
    <w:rsid w:val="000723FA"/>
    <w:rsid w:val="000725AE"/>
    <w:rsid w:val="0007269C"/>
    <w:rsid w:val="00072754"/>
    <w:rsid w:val="00072853"/>
    <w:rsid w:val="000728A5"/>
    <w:rsid w:val="0007291E"/>
    <w:rsid w:val="00072A12"/>
    <w:rsid w:val="00072B85"/>
    <w:rsid w:val="00072C65"/>
    <w:rsid w:val="00072C80"/>
    <w:rsid w:val="00072CB3"/>
    <w:rsid w:val="00072D98"/>
    <w:rsid w:val="00072DF4"/>
    <w:rsid w:val="00072E2D"/>
    <w:rsid w:val="00072E4E"/>
    <w:rsid w:val="0007315C"/>
    <w:rsid w:val="000734D1"/>
    <w:rsid w:val="00073591"/>
    <w:rsid w:val="0007359E"/>
    <w:rsid w:val="0007364A"/>
    <w:rsid w:val="00073725"/>
    <w:rsid w:val="0007377B"/>
    <w:rsid w:val="0007381D"/>
    <w:rsid w:val="00073862"/>
    <w:rsid w:val="00073BD6"/>
    <w:rsid w:val="00073D62"/>
    <w:rsid w:val="00073EBE"/>
    <w:rsid w:val="00073FAA"/>
    <w:rsid w:val="00073FDE"/>
    <w:rsid w:val="000740B6"/>
    <w:rsid w:val="00074140"/>
    <w:rsid w:val="00074207"/>
    <w:rsid w:val="000742B6"/>
    <w:rsid w:val="0007448F"/>
    <w:rsid w:val="000744DE"/>
    <w:rsid w:val="000746E6"/>
    <w:rsid w:val="0007490D"/>
    <w:rsid w:val="00074A4A"/>
    <w:rsid w:val="00074AE5"/>
    <w:rsid w:val="00074CB5"/>
    <w:rsid w:val="00074E29"/>
    <w:rsid w:val="00074EF8"/>
    <w:rsid w:val="00075021"/>
    <w:rsid w:val="00075144"/>
    <w:rsid w:val="0007528B"/>
    <w:rsid w:val="0007547B"/>
    <w:rsid w:val="00075590"/>
    <w:rsid w:val="00075617"/>
    <w:rsid w:val="0007566F"/>
    <w:rsid w:val="00075785"/>
    <w:rsid w:val="00075AD6"/>
    <w:rsid w:val="00075B06"/>
    <w:rsid w:val="00075B54"/>
    <w:rsid w:val="00075C3A"/>
    <w:rsid w:val="00075D4D"/>
    <w:rsid w:val="00075ED6"/>
    <w:rsid w:val="00075F56"/>
    <w:rsid w:val="0007608F"/>
    <w:rsid w:val="0007627A"/>
    <w:rsid w:val="000762CD"/>
    <w:rsid w:val="0007677D"/>
    <w:rsid w:val="000767E9"/>
    <w:rsid w:val="0007695E"/>
    <w:rsid w:val="00076A2F"/>
    <w:rsid w:val="00076C70"/>
    <w:rsid w:val="00076C79"/>
    <w:rsid w:val="00076EED"/>
    <w:rsid w:val="00076F43"/>
    <w:rsid w:val="00076F6A"/>
    <w:rsid w:val="00077226"/>
    <w:rsid w:val="00077398"/>
    <w:rsid w:val="00077458"/>
    <w:rsid w:val="00077586"/>
    <w:rsid w:val="00077720"/>
    <w:rsid w:val="00077892"/>
    <w:rsid w:val="00077984"/>
    <w:rsid w:val="00077A86"/>
    <w:rsid w:val="00077AF2"/>
    <w:rsid w:val="00077AF4"/>
    <w:rsid w:val="00077BD9"/>
    <w:rsid w:val="00077BF5"/>
    <w:rsid w:val="00077D7A"/>
    <w:rsid w:val="00077EA9"/>
    <w:rsid w:val="0008000D"/>
    <w:rsid w:val="00080093"/>
    <w:rsid w:val="00080212"/>
    <w:rsid w:val="00080369"/>
    <w:rsid w:val="000803E8"/>
    <w:rsid w:val="00080435"/>
    <w:rsid w:val="0008075E"/>
    <w:rsid w:val="00080A6D"/>
    <w:rsid w:val="00080B64"/>
    <w:rsid w:val="00080B77"/>
    <w:rsid w:val="00080BAF"/>
    <w:rsid w:val="00080BB9"/>
    <w:rsid w:val="00080C49"/>
    <w:rsid w:val="00080C89"/>
    <w:rsid w:val="00080EE3"/>
    <w:rsid w:val="000811BA"/>
    <w:rsid w:val="0008133C"/>
    <w:rsid w:val="000813A5"/>
    <w:rsid w:val="000813D1"/>
    <w:rsid w:val="000819A7"/>
    <w:rsid w:val="00081BA6"/>
    <w:rsid w:val="00081BD7"/>
    <w:rsid w:val="00081C80"/>
    <w:rsid w:val="00081CA7"/>
    <w:rsid w:val="00081DF8"/>
    <w:rsid w:val="00081F74"/>
    <w:rsid w:val="00082232"/>
    <w:rsid w:val="0008225B"/>
    <w:rsid w:val="000822F1"/>
    <w:rsid w:val="000824CD"/>
    <w:rsid w:val="000824EF"/>
    <w:rsid w:val="00082552"/>
    <w:rsid w:val="00082633"/>
    <w:rsid w:val="000827DE"/>
    <w:rsid w:val="00082811"/>
    <w:rsid w:val="00082B0B"/>
    <w:rsid w:val="00082C65"/>
    <w:rsid w:val="00082FFC"/>
    <w:rsid w:val="00083017"/>
    <w:rsid w:val="000830A3"/>
    <w:rsid w:val="000831FC"/>
    <w:rsid w:val="000832D7"/>
    <w:rsid w:val="0008373F"/>
    <w:rsid w:val="00083808"/>
    <w:rsid w:val="00083B9A"/>
    <w:rsid w:val="00083C5A"/>
    <w:rsid w:val="00083C7F"/>
    <w:rsid w:val="00083EE7"/>
    <w:rsid w:val="00084075"/>
    <w:rsid w:val="00084240"/>
    <w:rsid w:val="00084441"/>
    <w:rsid w:val="00084555"/>
    <w:rsid w:val="0008456E"/>
    <w:rsid w:val="000847C9"/>
    <w:rsid w:val="00084960"/>
    <w:rsid w:val="00084977"/>
    <w:rsid w:val="00084BF3"/>
    <w:rsid w:val="00084EAA"/>
    <w:rsid w:val="00084EB6"/>
    <w:rsid w:val="00084FA3"/>
    <w:rsid w:val="000852F1"/>
    <w:rsid w:val="00085463"/>
    <w:rsid w:val="00085512"/>
    <w:rsid w:val="000855BF"/>
    <w:rsid w:val="000858F2"/>
    <w:rsid w:val="00085982"/>
    <w:rsid w:val="00085BE8"/>
    <w:rsid w:val="00085CE8"/>
    <w:rsid w:val="00085F64"/>
    <w:rsid w:val="0008632C"/>
    <w:rsid w:val="0008645A"/>
    <w:rsid w:val="000864AF"/>
    <w:rsid w:val="00086629"/>
    <w:rsid w:val="0008662B"/>
    <w:rsid w:val="00086671"/>
    <w:rsid w:val="00086739"/>
    <w:rsid w:val="000867CA"/>
    <w:rsid w:val="00086D91"/>
    <w:rsid w:val="00086E61"/>
    <w:rsid w:val="00086F39"/>
    <w:rsid w:val="000871A4"/>
    <w:rsid w:val="000871F4"/>
    <w:rsid w:val="00087254"/>
    <w:rsid w:val="00087274"/>
    <w:rsid w:val="000873A7"/>
    <w:rsid w:val="000873BC"/>
    <w:rsid w:val="00087517"/>
    <w:rsid w:val="000875A3"/>
    <w:rsid w:val="000875EA"/>
    <w:rsid w:val="00087619"/>
    <w:rsid w:val="0008769C"/>
    <w:rsid w:val="000877D1"/>
    <w:rsid w:val="000877E1"/>
    <w:rsid w:val="0008791C"/>
    <w:rsid w:val="0008798E"/>
    <w:rsid w:val="00087997"/>
    <w:rsid w:val="000879CD"/>
    <w:rsid w:val="000879EE"/>
    <w:rsid w:val="00087A73"/>
    <w:rsid w:val="00087D29"/>
    <w:rsid w:val="00087DDC"/>
    <w:rsid w:val="00087DF6"/>
    <w:rsid w:val="00087F47"/>
    <w:rsid w:val="00087FE9"/>
    <w:rsid w:val="00090064"/>
    <w:rsid w:val="000900FC"/>
    <w:rsid w:val="000901D3"/>
    <w:rsid w:val="00090201"/>
    <w:rsid w:val="00090230"/>
    <w:rsid w:val="000905BF"/>
    <w:rsid w:val="000906D8"/>
    <w:rsid w:val="0009081C"/>
    <w:rsid w:val="0009090C"/>
    <w:rsid w:val="00090A2C"/>
    <w:rsid w:val="00090A51"/>
    <w:rsid w:val="00090A87"/>
    <w:rsid w:val="00090BF4"/>
    <w:rsid w:val="00090D02"/>
    <w:rsid w:val="00090DA9"/>
    <w:rsid w:val="00090DE6"/>
    <w:rsid w:val="00090DEF"/>
    <w:rsid w:val="00090E46"/>
    <w:rsid w:val="00090E6C"/>
    <w:rsid w:val="00090FE5"/>
    <w:rsid w:val="00091422"/>
    <w:rsid w:val="00091438"/>
    <w:rsid w:val="00091598"/>
    <w:rsid w:val="000915BC"/>
    <w:rsid w:val="0009163D"/>
    <w:rsid w:val="00091675"/>
    <w:rsid w:val="000916CB"/>
    <w:rsid w:val="000918DC"/>
    <w:rsid w:val="00091AE2"/>
    <w:rsid w:val="00091B1D"/>
    <w:rsid w:val="00091CEC"/>
    <w:rsid w:val="00091FE7"/>
    <w:rsid w:val="00092132"/>
    <w:rsid w:val="000923A1"/>
    <w:rsid w:val="000923D4"/>
    <w:rsid w:val="000923E6"/>
    <w:rsid w:val="00092588"/>
    <w:rsid w:val="000925D8"/>
    <w:rsid w:val="000926FD"/>
    <w:rsid w:val="0009295F"/>
    <w:rsid w:val="000929EC"/>
    <w:rsid w:val="00092A21"/>
    <w:rsid w:val="00092B23"/>
    <w:rsid w:val="00092E0C"/>
    <w:rsid w:val="00093050"/>
    <w:rsid w:val="000931B0"/>
    <w:rsid w:val="000931DE"/>
    <w:rsid w:val="00093812"/>
    <w:rsid w:val="00093879"/>
    <w:rsid w:val="00093BA3"/>
    <w:rsid w:val="00093C16"/>
    <w:rsid w:val="00093C85"/>
    <w:rsid w:val="00093D2E"/>
    <w:rsid w:val="00093E02"/>
    <w:rsid w:val="00093FC5"/>
    <w:rsid w:val="0009416B"/>
    <w:rsid w:val="00094175"/>
    <w:rsid w:val="000941C9"/>
    <w:rsid w:val="00094571"/>
    <w:rsid w:val="00094592"/>
    <w:rsid w:val="000945D1"/>
    <w:rsid w:val="00094677"/>
    <w:rsid w:val="000946EE"/>
    <w:rsid w:val="00094783"/>
    <w:rsid w:val="00094809"/>
    <w:rsid w:val="000948F4"/>
    <w:rsid w:val="00094904"/>
    <w:rsid w:val="0009492D"/>
    <w:rsid w:val="00094C20"/>
    <w:rsid w:val="00094C6D"/>
    <w:rsid w:val="00094CBC"/>
    <w:rsid w:val="00094E18"/>
    <w:rsid w:val="00094E7E"/>
    <w:rsid w:val="00094F1C"/>
    <w:rsid w:val="00094F2D"/>
    <w:rsid w:val="00095129"/>
    <w:rsid w:val="0009512A"/>
    <w:rsid w:val="00095368"/>
    <w:rsid w:val="000954C5"/>
    <w:rsid w:val="00095555"/>
    <w:rsid w:val="00095766"/>
    <w:rsid w:val="0009581C"/>
    <w:rsid w:val="00095832"/>
    <w:rsid w:val="000958D1"/>
    <w:rsid w:val="000958D8"/>
    <w:rsid w:val="00095968"/>
    <w:rsid w:val="00095BB5"/>
    <w:rsid w:val="00095D03"/>
    <w:rsid w:val="00095DCF"/>
    <w:rsid w:val="00095DEE"/>
    <w:rsid w:val="00095F3A"/>
    <w:rsid w:val="00095F74"/>
    <w:rsid w:val="00095FB5"/>
    <w:rsid w:val="000960D8"/>
    <w:rsid w:val="00096181"/>
    <w:rsid w:val="000961E9"/>
    <w:rsid w:val="00096261"/>
    <w:rsid w:val="0009636C"/>
    <w:rsid w:val="00096452"/>
    <w:rsid w:val="00096498"/>
    <w:rsid w:val="00096557"/>
    <w:rsid w:val="00096621"/>
    <w:rsid w:val="0009663D"/>
    <w:rsid w:val="000966AE"/>
    <w:rsid w:val="00096822"/>
    <w:rsid w:val="00096901"/>
    <w:rsid w:val="0009692B"/>
    <w:rsid w:val="00096A17"/>
    <w:rsid w:val="00096A19"/>
    <w:rsid w:val="00096AF8"/>
    <w:rsid w:val="00096B28"/>
    <w:rsid w:val="00096B78"/>
    <w:rsid w:val="00096E95"/>
    <w:rsid w:val="00096F38"/>
    <w:rsid w:val="00097318"/>
    <w:rsid w:val="000974F7"/>
    <w:rsid w:val="00097511"/>
    <w:rsid w:val="000975CF"/>
    <w:rsid w:val="0009762B"/>
    <w:rsid w:val="00097733"/>
    <w:rsid w:val="00097734"/>
    <w:rsid w:val="00097878"/>
    <w:rsid w:val="00097B14"/>
    <w:rsid w:val="00097F35"/>
    <w:rsid w:val="00097F69"/>
    <w:rsid w:val="000A0011"/>
    <w:rsid w:val="000A012E"/>
    <w:rsid w:val="000A0313"/>
    <w:rsid w:val="000A0369"/>
    <w:rsid w:val="000A04DB"/>
    <w:rsid w:val="000A077E"/>
    <w:rsid w:val="000A0862"/>
    <w:rsid w:val="000A0E50"/>
    <w:rsid w:val="000A0EF2"/>
    <w:rsid w:val="000A0F75"/>
    <w:rsid w:val="000A1035"/>
    <w:rsid w:val="000A10CF"/>
    <w:rsid w:val="000A10EE"/>
    <w:rsid w:val="000A11BF"/>
    <w:rsid w:val="000A11ED"/>
    <w:rsid w:val="000A141C"/>
    <w:rsid w:val="000A152D"/>
    <w:rsid w:val="000A15D4"/>
    <w:rsid w:val="000A1607"/>
    <w:rsid w:val="000A1694"/>
    <w:rsid w:val="000A17D9"/>
    <w:rsid w:val="000A1A66"/>
    <w:rsid w:val="000A1BE4"/>
    <w:rsid w:val="000A1BEE"/>
    <w:rsid w:val="000A1C40"/>
    <w:rsid w:val="000A1D54"/>
    <w:rsid w:val="000A1D58"/>
    <w:rsid w:val="000A1E27"/>
    <w:rsid w:val="000A1E70"/>
    <w:rsid w:val="000A1EB8"/>
    <w:rsid w:val="000A1F76"/>
    <w:rsid w:val="000A1FD5"/>
    <w:rsid w:val="000A2078"/>
    <w:rsid w:val="000A2471"/>
    <w:rsid w:val="000A2560"/>
    <w:rsid w:val="000A25F9"/>
    <w:rsid w:val="000A2707"/>
    <w:rsid w:val="000A29F3"/>
    <w:rsid w:val="000A29FB"/>
    <w:rsid w:val="000A2D48"/>
    <w:rsid w:val="000A2DD4"/>
    <w:rsid w:val="000A2DDA"/>
    <w:rsid w:val="000A2F5F"/>
    <w:rsid w:val="000A303E"/>
    <w:rsid w:val="000A3230"/>
    <w:rsid w:val="000A3289"/>
    <w:rsid w:val="000A34D0"/>
    <w:rsid w:val="000A367F"/>
    <w:rsid w:val="000A3868"/>
    <w:rsid w:val="000A3A4D"/>
    <w:rsid w:val="000A3AA8"/>
    <w:rsid w:val="000A3BF4"/>
    <w:rsid w:val="000A3C8A"/>
    <w:rsid w:val="000A3F92"/>
    <w:rsid w:val="000A4093"/>
    <w:rsid w:val="000A412B"/>
    <w:rsid w:val="000A41AB"/>
    <w:rsid w:val="000A42ED"/>
    <w:rsid w:val="000A44C7"/>
    <w:rsid w:val="000A47A8"/>
    <w:rsid w:val="000A47AC"/>
    <w:rsid w:val="000A4803"/>
    <w:rsid w:val="000A4BC1"/>
    <w:rsid w:val="000A4C3E"/>
    <w:rsid w:val="000A4CE8"/>
    <w:rsid w:val="000A4D64"/>
    <w:rsid w:val="000A4DA9"/>
    <w:rsid w:val="000A4DC4"/>
    <w:rsid w:val="000A4FA6"/>
    <w:rsid w:val="000A50A6"/>
    <w:rsid w:val="000A51B4"/>
    <w:rsid w:val="000A530B"/>
    <w:rsid w:val="000A565B"/>
    <w:rsid w:val="000A56A7"/>
    <w:rsid w:val="000A579F"/>
    <w:rsid w:val="000A5BC9"/>
    <w:rsid w:val="000A5BEA"/>
    <w:rsid w:val="000A6140"/>
    <w:rsid w:val="000A620F"/>
    <w:rsid w:val="000A64A9"/>
    <w:rsid w:val="000A661E"/>
    <w:rsid w:val="000A676E"/>
    <w:rsid w:val="000A67EE"/>
    <w:rsid w:val="000A68A2"/>
    <w:rsid w:val="000A691C"/>
    <w:rsid w:val="000A695C"/>
    <w:rsid w:val="000A6A59"/>
    <w:rsid w:val="000A6D00"/>
    <w:rsid w:val="000A70AE"/>
    <w:rsid w:val="000A70F9"/>
    <w:rsid w:val="000A7226"/>
    <w:rsid w:val="000A73B2"/>
    <w:rsid w:val="000A78A5"/>
    <w:rsid w:val="000A797B"/>
    <w:rsid w:val="000A79CC"/>
    <w:rsid w:val="000A7B69"/>
    <w:rsid w:val="000A7C7D"/>
    <w:rsid w:val="000A7DEC"/>
    <w:rsid w:val="000A7E00"/>
    <w:rsid w:val="000A7E0F"/>
    <w:rsid w:val="000A7F28"/>
    <w:rsid w:val="000B004C"/>
    <w:rsid w:val="000B024B"/>
    <w:rsid w:val="000B04C8"/>
    <w:rsid w:val="000B061E"/>
    <w:rsid w:val="000B0673"/>
    <w:rsid w:val="000B0993"/>
    <w:rsid w:val="000B0B5A"/>
    <w:rsid w:val="000B0B95"/>
    <w:rsid w:val="000B0D4F"/>
    <w:rsid w:val="000B0D93"/>
    <w:rsid w:val="000B0EA3"/>
    <w:rsid w:val="000B115C"/>
    <w:rsid w:val="000B15AF"/>
    <w:rsid w:val="000B160D"/>
    <w:rsid w:val="000B16E9"/>
    <w:rsid w:val="000B174A"/>
    <w:rsid w:val="000B189C"/>
    <w:rsid w:val="000B1A72"/>
    <w:rsid w:val="000B1C26"/>
    <w:rsid w:val="000B1C9B"/>
    <w:rsid w:val="000B1CCC"/>
    <w:rsid w:val="000B2125"/>
    <w:rsid w:val="000B2327"/>
    <w:rsid w:val="000B23AC"/>
    <w:rsid w:val="000B2685"/>
    <w:rsid w:val="000B26AA"/>
    <w:rsid w:val="000B280E"/>
    <w:rsid w:val="000B2C45"/>
    <w:rsid w:val="000B2C92"/>
    <w:rsid w:val="000B2F9C"/>
    <w:rsid w:val="000B2FAB"/>
    <w:rsid w:val="000B30EE"/>
    <w:rsid w:val="000B3106"/>
    <w:rsid w:val="000B3258"/>
    <w:rsid w:val="000B3266"/>
    <w:rsid w:val="000B3303"/>
    <w:rsid w:val="000B3344"/>
    <w:rsid w:val="000B343B"/>
    <w:rsid w:val="000B345B"/>
    <w:rsid w:val="000B358E"/>
    <w:rsid w:val="000B3664"/>
    <w:rsid w:val="000B37B4"/>
    <w:rsid w:val="000B3EFC"/>
    <w:rsid w:val="000B4094"/>
    <w:rsid w:val="000B40BB"/>
    <w:rsid w:val="000B4282"/>
    <w:rsid w:val="000B4391"/>
    <w:rsid w:val="000B439A"/>
    <w:rsid w:val="000B453D"/>
    <w:rsid w:val="000B46C6"/>
    <w:rsid w:val="000B477E"/>
    <w:rsid w:val="000B48E7"/>
    <w:rsid w:val="000B4C6C"/>
    <w:rsid w:val="000B4D7E"/>
    <w:rsid w:val="000B4E3C"/>
    <w:rsid w:val="000B4F80"/>
    <w:rsid w:val="000B5000"/>
    <w:rsid w:val="000B5012"/>
    <w:rsid w:val="000B5168"/>
    <w:rsid w:val="000B5306"/>
    <w:rsid w:val="000B53E9"/>
    <w:rsid w:val="000B540F"/>
    <w:rsid w:val="000B5612"/>
    <w:rsid w:val="000B567F"/>
    <w:rsid w:val="000B578B"/>
    <w:rsid w:val="000B58E9"/>
    <w:rsid w:val="000B5C41"/>
    <w:rsid w:val="000B5E60"/>
    <w:rsid w:val="000B5F72"/>
    <w:rsid w:val="000B61C7"/>
    <w:rsid w:val="000B6443"/>
    <w:rsid w:val="000B6498"/>
    <w:rsid w:val="000B650B"/>
    <w:rsid w:val="000B650E"/>
    <w:rsid w:val="000B667F"/>
    <w:rsid w:val="000B671C"/>
    <w:rsid w:val="000B6936"/>
    <w:rsid w:val="000B6941"/>
    <w:rsid w:val="000B6B3E"/>
    <w:rsid w:val="000B6B8A"/>
    <w:rsid w:val="000B6BBF"/>
    <w:rsid w:val="000B6D33"/>
    <w:rsid w:val="000B6F89"/>
    <w:rsid w:val="000B6F9F"/>
    <w:rsid w:val="000B7117"/>
    <w:rsid w:val="000B72D2"/>
    <w:rsid w:val="000B73CC"/>
    <w:rsid w:val="000B756E"/>
    <w:rsid w:val="000B769E"/>
    <w:rsid w:val="000B7758"/>
    <w:rsid w:val="000B77BA"/>
    <w:rsid w:val="000B79A2"/>
    <w:rsid w:val="000B79AF"/>
    <w:rsid w:val="000B7B26"/>
    <w:rsid w:val="000B7BB0"/>
    <w:rsid w:val="000B7D6E"/>
    <w:rsid w:val="000C002B"/>
    <w:rsid w:val="000C0058"/>
    <w:rsid w:val="000C02BA"/>
    <w:rsid w:val="000C0622"/>
    <w:rsid w:val="000C0643"/>
    <w:rsid w:val="000C096E"/>
    <w:rsid w:val="000C0AB2"/>
    <w:rsid w:val="000C0BF5"/>
    <w:rsid w:val="000C0C3E"/>
    <w:rsid w:val="000C0CE7"/>
    <w:rsid w:val="000C0DE4"/>
    <w:rsid w:val="000C11CD"/>
    <w:rsid w:val="000C11D0"/>
    <w:rsid w:val="000C14FF"/>
    <w:rsid w:val="000C15C9"/>
    <w:rsid w:val="000C161A"/>
    <w:rsid w:val="000C163B"/>
    <w:rsid w:val="000C178E"/>
    <w:rsid w:val="000C183B"/>
    <w:rsid w:val="000C188A"/>
    <w:rsid w:val="000C191C"/>
    <w:rsid w:val="000C1B07"/>
    <w:rsid w:val="000C1BAE"/>
    <w:rsid w:val="000C1C5E"/>
    <w:rsid w:val="000C1E63"/>
    <w:rsid w:val="000C1EFD"/>
    <w:rsid w:val="000C2332"/>
    <w:rsid w:val="000C2366"/>
    <w:rsid w:val="000C23AF"/>
    <w:rsid w:val="000C240D"/>
    <w:rsid w:val="000C2A3D"/>
    <w:rsid w:val="000C2AF5"/>
    <w:rsid w:val="000C2B1D"/>
    <w:rsid w:val="000C2B30"/>
    <w:rsid w:val="000C2BAD"/>
    <w:rsid w:val="000C2C96"/>
    <w:rsid w:val="000C2CE4"/>
    <w:rsid w:val="000C2EE0"/>
    <w:rsid w:val="000C2FE7"/>
    <w:rsid w:val="000C3107"/>
    <w:rsid w:val="000C3180"/>
    <w:rsid w:val="000C3197"/>
    <w:rsid w:val="000C3436"/>
    <w:rsid w:val="000C354B"/>
    <w:rsid w:val="000C35B6"/>
    <w:rsid w:val="000C3BA2"/>
    <w:rsid w:val="000C3C32"/>
    <w:rsid w:val="000C3D73"/>
    <w:rsid w:val="000C4073"/>
    <w:rsid w:val="000C41B1"/>
    <w:rsid w:val="000C4228"/>
    <w:rsid w:val="000C4490"/>
    <w:rsid w:val="000C45DA"/>
    <w:rsid w:val="000C4742"/>
    <w:rsid w:val="000C47AC"/>
    <w:rsid w:val="000C490F"/>
    <w:rsid w:val="000C4914"/>
    <w:rsid w:val="000C4A35"/>
    <w:rsid w:val="000C4A58"/>
    <w:rsid w:val="000C4B76"/>
    <w:rsid w:val="000C4C88"/>
    <w:rsid w:val="000C4CC2"/>
    <w:rsid w:val="000C4CDE"/>
    <w:rsid w:val="000C4DE3"/>
    <w:rsid w:val="000C4DF2"/>
    <w:rsid w:val="000C4FBD"/>
    <w:rsid w:val="000C5229"/>
    <w:rsid w:val="000C5414"/>
    <w:rsid w:val="000C54D6"/>
    <w:rsid w:val="000C5617"/>
    <w:rsid w:val="000C57E9"/>
    <w:rsid w:val="000C593E"/>
    <w:rsid w:val="000C59DE"/>
    <w:rsid w:val="000C5D03"/>
    <w:rsid w:val="000C6129"/>
    <w:rsid w:val="000C6306"/>
    <w:rsid w:val="000C63DE"/>
    <w:rsid w:val="000C64CA"/>
    <w:rsid w:val="000C6515"/>
    <w:rsid w:val="000C66DC"/>
    <w:rsid w:val="000C6765"/>
    <w:rsid w:val="000C67F6"/>
    <w:rsid w:val="000C6871"/>
    <w:rsid w:val="000C6888"/>
    <w:rsid w:val="000C68B9"/>
    <w:rsid w:val="000C6AB0"/>
    <w:rsid w:val="000C6ACA"/>
    <w:rsid w:val="000C6BD6"/>
    <w:rsid w:val="000C6F2A"/>
    <w:rsid w:val="000C6F49"/>
    <w:rsid w:val="000C70DB"/>
    <w:rsid w:val="000C71BD"/>
    <w:rsid w:val="000C7229"/>
    <w:rsid w:val="000C72BF"/>
    <w:rsid w:val="000C74AF"/>
    <w:rsid w:val="000C752E"/>
    <w:rsid w:val="000C7643"/>
    <w:rsid w:val="000C7807"/>
    <w:rsid w:val="000C7963"/>
    <w:rsid w:val="000C796A"/>
    <w:rsid w:val="000C7A70"/>
    <w:rsid w:val="000C7A87"/>
    <w:rsid w:val="000C7ABF"/>
    <w:rsid w:val="000C7C36"/>
    <w:rsid w:val="000C7C7C"/>
    <w:rsid w:val="000C7D1B"/>
    <w:rsid w:val="000C7E20"/>
    <w:rsid w:val="000C7E41"/>
    <w:rsid w:val="000C7E74"/>
    <w:rsid w:val="000C7F3E"/>
    <w:rsid w:val="000D017F"/>
    <w:rsid w:val="000D05D0"/>
    <w:rsid w:val="000D0641"/>
    <w:rsid w:val="000D08D8"/>
    <w:rsid w:val="000D097A"/>
    <w:rsid w:val="000D0B1A"/>
    <w:rsid w:val="000D0C09"/>
    <w:rsid w:val="000D0D6C"/>
    <w:rsid w:val="000D0DFD"/>
    <w:rsid w:val="000D114D"/>
    <w:rsid w:val="000D11CC"/>
    <w:rsid w:val="000D12FF"/>
    <w:rsid w:val="000D1430"/>
    <w:rsid w:val="000D1573"/>
    <w:rsid w:val="000D1973"/>
    <w:rsid w:val="000D1A88"/>
    <w:rsid w:val="000D1C7D"/>
    <w:rsid w:val="000D1C97"/>
    <w:rsid w:val="000D1DCE"/>
    <w:rsid w:val="000D1F22"/>
    <w:rsid w:val="000D200C"/>
    <w:rsid w:val="000D20F5"/>
    <w:rsid w:val="000D291B"/>
    <w:rsid w:val="000D2A80"/>
    <w:rsid w:val="000D2B59"/>
    <w:rsid w:val="000D2BD8"/>
    <w:rsid w:val="000D30BA"/>
    <w:rsid w:val="000D311E"/>
    <w:rsid w:val="000D38CA"/>
    <w:rsid w:val="000D3A02"/>
    <w:rsid w:val="000D3B44"/>
    <w:rsid w:val="000D3D89"/>
    <w:rsid w:val="000D3E48"/>
    <w:rsid w:val="000D3FFF"/>
    <w:rsid w:val="000D4330"/>
    <w:rsid w:val="000D4525"/>
    <w:rsid w:val="000D4672"/>
    <w:rsid w:val="000D4700"/>
    <w:rsid w:val="000D4A30"/>
    <w:rsid w:val="000D4A4E"/>
    <w:rsid w:val="000D4AD3"/>
    <w:rsid w:val="000D4BCB"/>
    <w:rsid w:val="000D4CC3"/>
    <w:rsid w:val="000D4D30"/>
    <w:rsid w:val="000D4DA0"/>
    <w:rsid w:val="000D4E3B"/>
    <w:rsid w:val="000D4F36"/>
    <w:rsid w:val="000D5531"/>
    <w:rsid w:val="000D563B"/>
    <w:rsid w:val="000D5664"/>
    <w:rsid w:val="000D57CC"/>
    <w:rsid w:val="000D5868"/>
    <w:rsid w:val="000D5B4D"/>
    <w:rsid w:val="000D5B89"/>
    <w:rsid w:val="000D5E6E"/>
    <w:rsid w:val="000D5FF3"/>
    <w:rsid w:val="000D5FF9"/>
    <w:rsid w:val="000D6044"/>
    <w:rsid w:val="000D615B"/>
    <w:rsid w:val="000D641A"/>
    <w:rsid w:val="000D6485"/>
    <w:rsid w:val="000D672E"/>
    <w:rsid w:val="000D67A9"/>
    <w:rsid w:val="000D69C7"/>
    <w:rsid w:val="000D6A90"/>
    <w:rsid w:val="000D6B74"/>
    <w:rsid w:val="000D6CB2"/>
    <w:rsid w:val="000D6CCE"/>
    <w:rsid w:val="000D6D0D"/>
    <w:rsid w:val="000D6E18"/>
    <w:rsid w:val="000D7241"/>
    <w:rsid w:val="000D7458"/>
    <w:rsid w:val="000D747A"/>
    <w:rsid w:val="000D75B8"/>
    <w:rsid w:val="000D7668"/>
    <w:rsid w:val="000D7742"/>
    <w:rsid w:val="000D77B9"/>
    <w:rsid w:val="000D7814"/>
    <w:rsid w:val="000D7B98"/>
    <w:rsid w:val="000D7BA3"/>
    <w:rsid w:val="000D7C5F"/>
    <w:rsid w:val="000D7EA8"/>
    <w:rsid w:val="000D7F49"/>
    <w:rsid w:val="000D7FF6"/>
    <w:rsid w:val="000E0128"/>
    <w:rsid w:val="000E0165"/>
    <w:rsid w:val="000E0176"/>
    <w:rsid w:val="000E0270"/>
    <w:rsid w:val="000E0297"/>
    <w:rsid w:val="000E02F8"/>
    <w:rsid w:val="000E0581"/>
    <w:rsid w:val="000E0682"/>
    <w:rsid w:val="000E06B1"/>
    <w:rsid w:val="000E091B"/>
    <w:rsid w:val="000E0AF9"/>
    <w:rsid w:val="000E0E1A"/>
    <w:rsid w:val="000E0F03"/>
    <w:rsid w:val="000E0FAA"/>
    <w:rsid w:val="000E113D"/>
    <w:rsid w:val="000E11B0"/>
    <w:rsid w:val="000E1306"/>
    <w:rsid w:val="000E1318"/>
    <w:rsid w:val="000E1494"/>
    <w:rsid w:val="000E14D2"/>
    <w:rsid w:val="000E17FC"/>
    <w:rsid w:val="000E1864"/>
    <w:rsid w:val="000E18B0"/>
    <w:rsid w:val="000E19A8"/>
    <w:rsid w:val="000E1A12"/>
    <w:rsid w:val="000E1AE1"/>
    <w:rsid w:val="000E1B28"/>
    <w:rsid w:val="000E1B71"/>
    <w:rsid w:val="000E1CC7"/>
    <w:rsid w:val="000E1E54"/>
    <w:rsid w:val="000E1F81"/>
    <w:rsid w:val="000E202B"/>
    <w:rsid w:val="000E21F7"/>
    <w:rsid w:val="000E2311"/>
    <w:rsid w:val="000E235F"/>
    <w:rsid w:val="000E25AA"/>
    <w:rsid w:val="000E279B"/>
    <w:rsid w:val="000E27C9"/>
    <w:rsid w:val="000E2804"/>
    <w:rsid w:val="000E283B"/>
    <w:rsid w:val="000E2F7D"/>
    <w:rsid w:val="000E2FAA"/>
    <w:rsid w:val="000E31A1"/>
    <w:rsid w:val="000E3382"/>
    <w:rsid w:val="000E359C"/>
    <w:rsid w:val="000E35FA"/>
    <w:rsid w:val="000E3817"/>
    <w:rsid w:val="000E38DF"/>
    <w:rsid w:val="000E3974"/>
    <w:rsid w:val="000E399F"/>
    <w:rsid w:val="000E3CBC"/>
    <w:rsid w:val="000E3EFE"/>
    <w:rsid w:val="000E4096"/>
    <w:rsid w:val="000E40B0"/>
    <w:rsid w:val="000E41CF"/>
    <w:rsid w:val="000E4354"/>
    <w:rsid w:val="000E4744"/>
    <w:rsid w:val="000E4AC8"/>
    <w:rsid w:val="000E4B8C"/>
    <w:rsid w:val="000E4BF0"/>
    <w:rsid w:val="000E4C49"/>
    <w:rsid w:val="000E4CA1"/>
    <w:rsid w:val="000E4CC4"/>
    <w:rsid w:val="000E4D39"/>
    <w:rsid w:val="000E4ED4"/>
    <w:rsid w:val="000E4F4A"/>
    <w:rsid w:val="000E4FB8"/>
    <w:rsid w:val="000E509E"/>
    <w:rsid w:val="000E521B"/>
    <w:rsid w:val="000E56DE"/>
    <w:rsid w:val="000E56E6"/>
    <w:rsid w:val="000E5ADB"/>
    <w:rsid w:val="000E5C2A"/>
    <w:rsid w:val="000E5D82"/>
    <w:rsid w:val="000E615F"/>
    <w:rsid w:val="000E6251"/>
    <w:rsid w:val="000E6275"/>
    <w:rsid w:val="000E63C7"/>
    <w:rsid w:val="000E6591"/>
    <w:rsid w:val="000E6730"/>
    <w:rsid w:val="000E6894"/>
    <w:rsid w:val="000E6C13"/>
    <w:rsid w:val="000E6C55"/>
    <w:rsid w:val="000E6D63"/>
    <w:rsid w:val="000E6DF3"/>
    <w:rsid w:val="000E6FAE"/>
    <w:rsid w:val="000E70EB"/>
    <w:rsid w:val="000E71A8"/>
    <w:rsid w:val="000E73C8"/>
    <w:rsid w:val="000E759E"/>
    <w:rsid w:val="000E7C19"/>
    <w:rsid w:val="000F01B3"/>
    <w:rsid w:val="000F01D5"/>
    <w:rsid w:val="000F02C4"/>
    <w:rsid w:val="000F03E5"/>
    <w:rsid w:val="000F048C"/>
    <w:rsid w:val="000F07C8"/>
    <w:rsid w:val="000F0955"/>
    <w:rsid w:val="000F0B83"/>
    <w:rsid w:val="000F0C3D"/>
    <w:rsid w:val="000F0CDC"/>
    <w:rsid w:val="000F0F89"/>
    <w:rsid w:val="000F11DC"/>
    <w:rsid w:val="000F12A2"/>
    <w:rsid w:val="000F1419"/>
    <w:rsid w:val="000F1581"/>
    <w:rsid w:val="000F1765"/>
    <w:rsid w:val="000F1921"/>
    <w:rsid w:val="000F1A23"/>
    <w:rsid w:val="000F1A6D"/>
    <w:rsid w:val="000F1CB4"/>
    <w:rsid w:val="000F1D86"/>
    <w:rsid w:val="000F1E38"/>
    <w:rsid w:val="000F1EFA"/>
    <w:rsid w:val="000F1FC7"/>
    <w:rsid w:val="000F20D6"/>
    <w:rsid w:val="000F2147"/>
    <w:rsid w:val="000F226D"/>
    <w:rsid w:val="000F22DC"/>
    <w:rsid w:val="000F2326"/>
    <w:rsid w:val="000F24B4"/>
    <w:rsid w:val="000F2530"/>
    <w:rsid w:val="000F25BB"/>
    <w:rsid w:val="000F2728"/>
    <w:rsid w:val="000F2783"/>
    <w:rsid w:val="000F27D4"/>
    <w:rsid w:val="000F283C"/>
    <w:rsid w:val="000F29DA"/>
    <w:rsid w:val="000F2A35"/>
    <w:rsid w:val="000F2C2C"/>
    <w:rsid w:val="000F2C3E"/>
    <w:rsid w:val="000F2C42"/>
    <w:rsid w:val="000F2D9A"/>
    <w:rsid w:val="000F3020"/>
    <w:rsid w:val="000F3033"/>
    <w:rsid w:val="000F314D"/>
    <w:rsid w:val="000F3154"/>
    <w:rsid w:val="000F315B"/>
    <w:rsid w:val="000F31AB"/>
    <w:rsid w:val="000F31CC"/>
    <w:rsid w:val="000F32F2"/>
    <w:rsid w:val="000F33CF"/>
    <w:rsid w:val="000F342A"/>
    <w:rsid w:val="000F3503"/>
    <w:rsid w:val="000F35D0"/>
    <w:rsid w:val="000F3689"/>
    <w:rsid w:val="000F38F5"/>
    <w:rsid w:val="000F3906"/>
    <w:rsid w:val="000F392E"/>
    <w:rsid w:val="000F3987"/>
    <w:rsid w:val="000F3CD6"/>
    <w:rsid w:val="000F3E68"/>
    <w:rsid w:val="000F4006"/>
    <w:rsid w:val="000F408F"/>
    <w:rsid w:val="000F415F"/>
    <w:rsid w:val="000F41C7"/>
    <w:rsid w:val="000F4234"/>
    <w:rsid w:val="000F4334"/>
    <w:rsid w:val="000F439D"/>
    <w:rsid w:val="000F43D5"/>
    <w:rsid w:val="000F45D0"/>
    <w:rsid w:val="000F4619"/>
    <w:rsid w:val="000F463E"/>
    <w:rsid w:val="000F4679"/>
    <w:rsid w:val="000F4705"/>
    <w:rsid w:val="000F4708"/>
    <w:rsid w:val="000F473B"/>
    <w:rsid w:val="000F4805"/>
    <w:rsid w:val="000F4A06"/>
    <w:rsid w:val="000F4BAB"/>
    <w:rsid w:val="000F4F07"/>
    <w:rsid w:val="000F5015"/>
    <w:rsid w:val="000F5190"/>
    <w:rsid w:val="000F51B7"/>
    <w:rsid w:val="000F51E6"/>
    <w:rsid w:val="000F5238"/>
    <w:rsid w:val="000F5544"/>
    <w:rsid w:val="000F558F"/>
    <w:rsid w:val="000F56C6"/>
    <w:rsid w:val="000F58EF"/>
    <w:rsid w:val="000F59A8"/>
    <w:rsid w:val="000F5C68"/>
    <w:rsid w:val="000F5F39"/>
    <w:rsid w:val="000F6083"/>
    <w:rsid w:val="000F619A"/>
    <w:rsid w:val="000F61FD"/>
    <w:rsid w:val="000F6216"/>
    <w:rsid w:val="000F6386"/>
    <w:rsid w:val="000F63B6"/>
    <w:rsid w:val="000F63C2"/>
    <w:rsid w:val="000F650E"/>
    <w:rsid w:val="000F6544"/>
    <w:rsid w:val="000F68EB"/>
    <w:rsid w:val="000F690D"/>
    <w:rsid w:val="000F6B25"/>
    <w:rsid w:val="000F6D86"/>
    <w:rsid w:val="000F6E87"/>
    <w:rsid w:val="000F6EFF"/>
    <w:rsid w:val="000F702A"/>
    <w:rsid w:val="000F7118"/>
    <w:rsid w:val="000F71B8"/>
    <w:rsid w:val="000F7266"/>
    <w:rsid w:val="000F727A"/>
    <w:rsid w:val="000F7455"/>
    <w:rsid w:val="000F7462"/>
    <w:rsid w:val="000F74B0"/>
    <w:rsid w:val="000F7A50"/>
    <w:rsid w:val="000F7C01"/>
    <w:rsid w:val="000F7C05"/>
    <w:rsid w:val="000F7D6D"/>
    <w:rsid w:val="000F7F03"/>
    <w:rsid w:val="000F7F1C"/>
    <w:rsid w:val="000F7F8F"/>
    <w:rsid w:val="0010001C"/>
    <w:rsid w:val="00100218"/>
    <w:rsid w:val="00100373"/>
    <w:rsid w:val="001003FF"/>
    <w:rsid w:val="00100429"/>
    <w:rsid w:val="0010042F"/>
    <w:rsid w:val="00100461"/>
    <w:rsid w:val="00100462"/>
    <w:rsid w:val="0010048F"/>
    <w:rsid w:val="00100737"/>
    <w:rsid w:val="00100836"/>
    <w:rsid w:val="00100A55"/>
    <w:rsid w:val="00100D96"/>
    <w:rsid w:val="00100EC1"/>
    <w:rsid w:val="00100EE3"/>
    <w:rsid w:val="00100F17"/>
    <w:rsid w:val="00100FD7"/>
    <w:rsid w:val="00101042"/>
    <w:rsid w:val="001013D2"/>
    <w:rsid w:val="00101406"/>
    <w:rsid w:val="001014D6"/>
    <w:rsid w:val="00101539"/>
    <w:rsid w:val="00101638"/>
    <w:rsid w:val="001016B8"/>
    <w:rsid w:val="0010180C"/>
    <w:rsid w:val="001018A8"/>
    <w:rsid w:val="001018EA"/>
    <w:rsid w:val="001019F8"/>
    <w:rsid w:val="00101B46"/>
    <w:rsid w:val="00101C98"/>
    <w:rsid w:val="00101CFE"/>
    <w:rsid w:val="00101DF8"/>
    <w:rsid w:val="00101E9D"/>
    <w:rsid w:val="00101F16"/>
    <w:rsid w:val="001020ED"/>
    <w:rsid w:val="00102292"/>
    <w:rsid w:val="0010246F"/>
    <w:rsid w:val="00102482"/>
    <w:rsid w:val="00102568"/>
    <w:rsid w:val="001025CC"/>
    <w:rsid w:val="00102A25"/>
    <w:rsid w:val="00102CAC"/>
    <w:rsid w:val="00102CEF"/>
    <w:rsid w:val="00102D24"/>
    <w:rsid w:val="00102D55"/>
    <w:rsid w:val="001030AF"/>
    <w:rsid w:val="001033E5"/>
    <w:rsid w:val="0010348F"/>
    <w:rsid w:val="001034D5"/>
    <w:rsid w:val="00103532"/>
    <w:rsid w:val="00103738"/>
    <w:rsid w:val="001037AE"/>
    <w:rsid w:val="001037D2"/>
    <w:rsid w:val="001037E1"/>
    <w:rsid w:val="00103948"/>
    <w:rsid w:val="00103A87"/>
    <w:rsid w:val="00104066"/>
    <w:rsid w:val="001040CB"/>
    <w:rsid w:val="001044AF"/>
    <w:rsid w:val="001044E7"/>
    <w:rsid w:val="001047DB"/>
    <w:rsid w:val="00104AFA"/>
    <w:rsid w:val="00104B1C"/>
    <w:rsid w:val="00104C16"/>
    <w:rsid w:val="00104D74"/>
    <w:rsid w:val="00104E88"/>
    <w:rsid w:val="001053DA"/>
    <w:rsid w:val="001053E5"/>
    <w:rsid w:val="00105476"/>
    <w:rsid w:val="00105773"/>
    <w:rsid w:val="001058BB"/>
    <w:rsid w:val="001059B5"/>
    <w:rsid w:val="001059C3"/>
    <w:rsid w:val="00105C6E"/>
    <w:rsid w:val="00105DD7"/>
    <w:rsid w:val="00105E49"/>
    <w:rsid w:val="00105E85"/>
    <w:rsid w:val="00105F1C"/>
    <w:rsid w:val="00106014"/>
    <w:rsid w:val="00106017"/>
    <w:rsid w:val="0010604C"/>
    <w:rsid w:val="00106161"/>
    <w:rsid w:val="00106253"/>
    <w:rsid w:val="001062B1"/>
    <w:rsid w:val="0010637D"/>
    <w:rsid w:val="00106419"/>
    <w:rsid w:val="001065DD"/>
    <w:rsid w:val="0010665D"/>
    <w:rsid w:val="001067F9"/>
    <w:rsid w:val="00106935"/>
    <w:rsid w:val="0010698C"/>
    <w:rsid w:val="001069B9"/>
    <w:rsid w:val="00106AB6"/>
    <w:rsid w:val="00106BB1"/>
    <w:rsid w:val="00106BE3"/>
    <w:rsid w:val="00106D03"/>
    <w:rsid w:val="00106FDC"/>
    <w:rsid w:val="00107173"/>
    <w:rsid w:val="00107307"/>
    <w:rsid w:val="001074C6"/>
    <w:rsid w:val="00107599"/>
    <w:rsid w:val="001076D6"/>
    <w:rsid w:val="0010793F"/>
    <w:rsid w:val="00107A39"/>
    <w:rsid w:val="00107BCB"/>
    <w:rsid w:val="00107D4E"/>
    <w:rsid w:val="00107D71"/>
    <w:rsid w:val="00107F40"/>
    <w:rsid w:val="00107FB8"/>
    <w:rsid w:val="001101A8"/>
    <w:rsid w:val="00110600"/>
    <w:rsid w:val="00110659"/>
    <w:rsid w:val="00110745"/>
    <w:rsid w:val="00110771"/>
    <w:rsid w:val="0011097B"/>
    <w:rsid w:val="00110A2A"/>
    <w:rsid w:val="00110B84"/>
    <w:rsid w:val="00110D27"/>
    <w:rsid w:val="00110DBB"/>
    <w:rsid w:val="00110E71"/>
    <w:rsid w:val="00110FE9"/>
    <w:rsid w:val="0011105F"/>
    <w:rsid w:val="0011114B"/>
    <w:rsid w:val="00111234"/>
    <w:rsid w:val="0011135F"/>
    <w:rsid w:val="00111577"/>
    <w:rsid w:val="001115A3"/>
    <w:rsid w:val="001115AE"/>
    <w:rsid w:val="00111612"/>
    <w:rsid w:val="001117B2"/>
    <w:rsid w:val="00111987"/>
    <w:rsid w:val="001119C1"/>
    <w:rsid w:val="001119C7"/>
    <w:rsid w:val="001119FB"/>
    <w:rsid w:val="00111BE2"/>
    <w:rsid w:val="00111C3E"/>
    <w:rsid w:val="00111C40"/>
    <w:rsid w:val="00111D51"/>
    <w:rsid w:val="00111EE5"/>
    <w:rsid w:val="00112035"/>
    <w:rsid w:val="001120E2"/>
    <w:rsid w:val="0011219F"/>
    <w:rsid w:val="00112241"/>
    <w:rsid w:val="00112301"/>
    <w:rsid w:val="00112409"/>
    <w:rsid w:val="00112449"/>
    <w:rsid w:val="001127DA"/>
    <w:rsid w:val="001128F4"/>
    <w:rsid w:val="00112A83"/>
    <w:rsid w:val="00112CC8"/>
    <w:rsid w:val="00112EE0"/>
    <w:rsid w:val="00112F7A"/>
    <w:rsid w:val="00112F9C"/>
    <w:rsid w:val="00112FA4"/>
    <w:rsid w:val="00113080"/>
    <w:rsid w:val="00113215"/>
    <w:rsid w:val="0011321B"/>
    <w:rsid w:val="001137C7"/>
    <w:rsid w:val="001138D1"/>
    <w:rsid w:val="00113929"/>
    <w:rsid w:val="001139F6"/>
    <w:rsid w:val="00113C2B"/>
    <w:rsid w:val="00113CFE"/>
    <w:rsid w:val="00113D07"/>
    <w:rsid w:val="00113D0F"/>
    <w:rsid w:val="00113DA0"/>
    <w:rsid w:val="00113F96"/>
    <w:rsid w:val="0011416C"/>
    <w:rsid w:val="00114271"/>
    <w:rsid w:val="0011476E"/>
    <w:rsid w:val="0011478E"/>
    <w:rsid w:val="001147B4"/>
    <w:rsid w:val="0011484F"/>
    <w:rsid w:val="00114BE3"/>
    <w:rsid w:val="00114CA3"/>
    <w:rsid w:val="00114D83"/>
    <w:rsid w:val="00114F74"/>
    <w:rsid w:val="00115177"/>
    <w:rsid w:val="001154AC"/>
    <w:rsid w:val="00115509"/>
    <w:rsid w:val="00115572"/>
    <w:rsid w:val="00115590"/>
    <w:rsid w:val="00115594"/>
    <w:rsid w:val="001155DC"/>
    <w:rsid w:val="001155E9"/>
    <w:rsid w:val="001156E5"/>
    <w:rsid w:val="00115776"/>
    <w:rsid w:val="00115811"/>
    <w:rsid w:val="00115825"/>
    <w:rsid w:val="0011599B"/>
    <w:rsid w:val="00115AFB"/>
    <w:rsid w:val="00115BD4"/>
    <w:rsid w:val="00115BF1"/>
    <w:rsid w:val="00115DF6"/>
    <w:rsid w:val="00115E77"/>
    <w:rsid w:val="00115F4A"/>
    <w:rsid w:val="00115FA2"/>
    <w:rsid w:val="00115FBC"/>
    <w:rsid w:val="0011604D"/>
    <w:rsid w:val="001160A3"/>
    <w:rsid w:val="001160C6"/>
    <w:rsid w:val="001161A7"/>
    <w:rsid w:val="00116465"/>
    <w:rsid w:val="0011665A"/>
    <w:rsid w:val="001166CE"/>
    <w:rsid w:val="00116794"/>
    <w:rsid w:val="00116983"/>
    <w:rsid w:val="00116A35"/>
    <w:rsid w:val="00116ADA"/>
    <w:rsid w:val="00116B06"/>
    <w:rsid w:val="00116BCF"/>
    <w:rsid w:val="00116C80"/>
    <w:rsid w:val="00116D0E"/>
    <w:rsid w:val="00116D21"/>
    <w:rsid w:val="00117063"/>
    <w:rsid w:val="00117294"/>
    <w:rsid w:val="001173B3"/>
    <w:rsid w:val="00117681"/>
    <w:rsid w:val="00117712"/>
    <w:rsid w:val="0011775F"/>
    <w:rsid w:val="00117766"/>
    <w:rsid w:val="00117870"/>
    <w:rsid w:val="00117A45"/>
    <w:rsid w:val="00117C4F"/>
    <w:rsid w:val="00117D2B"/>
    <w:rsid w:val="00117D2C"/>
    <w:rsid w:val="00117D43"/>
    <w:rsid w:val="00117D57"/>
    <w:rsid w:val="0012027D"/>
    <w:rsid w:val="0012036F"/>
    <w:rsid w:val="0012050B"/>
    <w:rsid w:val="00120580"/>
    <w:rsid w:val="0012066E"/>
    <w:rsid w:val="00120730"/>
    <w:rsid w:val="00120894"/>
    <w:rsid w:val="00120AE3"/>
    <w:rsid w:val="00120CB5"/>
    <w:rsid w:val="00120E0D"/>
    <w:rsid w:val="00120EBA"/>
    <w:rsid w:val="00120EC5"/>
    <w:rsid w:val="00121192"/>
    <w:rsid w:val="0012120F"/>
    <w:rsid w:val="00121430"/>
    <w:rsid w:val="00121593"/>
    <w:rsid w:val="001217DE"/>
    <w:rsid w:val="0012180B"/>
    <w:rsid w:val="001219DD"/>
    <w:rsid w:val="00121A08"/>
    <w:rsid w:val="00121A52"/>
    <w:rsid w:val="00121BDC"/>
    <w:rsid w:val="00121C08"/>
    <w:rsid w:val="00121D02"/>
    <w:rsid w:val="00121D8C"/>
    <w:rsid w:val="0012209C"/>
    <w:rsid w:val="0012211C"/>
    <w:rsid w:val="0012211D"/>
    <w:rsid w:val="0012212C"/>
    <w:rsid w:val="001221F0"/>
    <w:rsid w:val="0012228E"/>
    <w:rsid w:val="001222EE"/>
    <w:rsid w:val="00122302"/>
    <w:rsid w:val="001223B2"/>
    <w:rsid w:val="00122403"/>
    <w:rsid w:val="001227A2"/>
    <w:rsid w:val="0012290B"/>
    <w:rsid w:val="00122957"/>
    <w:rsid w:val="00122A2B"/>
    <w:rsid w:val="00122A60"/>
    <w:rsid w:val="00122B42"/>
    <w:rsid w:val="00122C46"/>
    <w:rsid w:val="00122C97"/>
    <w:rsid w:val="00122D28"/>
    <w:rsid w:val="001231F1"/>
    <w:rsid w:val="001231FF"/>
    <w:rsid w:val="00123290"/>
    <w:rsid w:val="0012333C"/>
    <w:rsid w:val="001233CD"/>
    <w:rsid w:val="00123426"/>
    <w:rsid w:val="0012348B"/>
    <w:rsid w:val="0012366D"/>
    <w:rsid w:val="001238D5"/>
    <w:rsid w:val="001238F7"/>
    <w:rsid w:val="00123AD8"/>
    <w:rsid w:val="00123C9E"/>
    <w:rsid w:val="00123EA1"/>
    <w:rsid w:val="00123EC8"/>
    <w:rsid w:val="00124163"/>
    <w:rsid w:val="00124334"/>
    <w:rsid w:val="0012450A"/>
    <w:rsid w:val="00124583"/>
    <w:rsid w:val="00124716"/>
    <w:rsid w:val="001247CF"/>
    <w:rsid w:val="001248F2"/>
    <w:rsid w:val="00124A23"/>
    <w:rsid w:val="00124A44"/>
    <w:rsid w:val="00124A48"/>
    <w:rsid w:val="00124A66"/>
    <w:rsid w:val="00124BE4"/>
    <w:rsid w:val="00124BEA"/>
    <w:rsid w:val="00124F59"/>
    <w:rsid w:val="00124FB6"/>
    <w:rsid w:val="0012503C"/>
    <w:rsid w:val="0012506C"/>
    <w:rsid w:val="00125202"/>
    <w:rsid w:val="0012522D"/>
    <w:rsid w:val="001252CD"/>
    <w:rsid w:val="001253D5"/>
    <w:rsid w:val="00125633"/>
    <w:rsid w:val="00125693"/>
    <w:rsid w:val="0012571A"/>
    <w:rsid w:val="001258F1"/>
    <w:rsid w:val="00125C2C"/>
    <w:rsid w:val="00125C33"/>
    <w:rsid w:val="00126181"/>
    <w:rsid w:val="0012619D"/>
    <w:rsid w:val="0012639C"/>
    <w:rsid w:val="0012640E"/>
    <w:rsid w:val="001264B0"/>
    <w:rsid w:val="0012662F"/>
    <w:rsid w:val="00126684"/>
    <w:rsid w:val="00126770"/>
    <w:rsid w:val="001267B2"/>
    <w:rsid w:val="001269A5"/>
    <w:rsid w:val="00126C81"/>
    <w:rsid w:val="00126F73"/>
    <w:rsid w:val="001270C5"/>
    <w:rsid w:val="00127176"/>
    <w:rsid w:val="00127293"/>
    <w:rsid w:val="00127409"/>
    <w:rsid w:val="00127449"/>
    <w:rsid w:val="001275B2"/>
    <w:rsid w:val="00127629"/>
    <w:rsid w:val="00127751"/>
    <w:rsid w:val="001277F0"/>
    <w:rsid w:val="0012790B"/>
    <w:rsid w:val="00127CB5"/>
    <w:rsid w:val="00127CC1"/>
    <w:rsid w:val="00127D53"/>
    <w:rsid w:val="001300F2"/>
    <w:rsid w:val="001303FE"/>
    <w:rsid w:val="00130479"/>
    <w:rsid w:val="0013079A"/>
    <w:rsid w:val="001307A9"/>
    <w:rsid w:val="001307DB"/>
    <w:rsid w:val="0013097C"/>
    <w:rsid w:val="00130AED"/>
    <w:rsid w:val="00130E56"/>
    <w:rsid w:val="00130F54"/>
    <w:rsid w:val="00130FCC"/>
    <w:rsid w:val="001312DF"/>
    <w:rsid w:val="00131417"/>
    <w:rsid w:val="001314A4"/>
    <w:rsid w:val="00131660"/>
    <w:rsid w:val="00131831"/>
    <w:rsid w:val="00131866"/>
    <w:rsid w:val="00131949"/>
    <w:rsid w:val="00131A71"/>
    <w:rsid w:val="00131B9F"/>
    <w:rsid w:val="00131C63"/>
    <w:rsid w:val="00131C80"/>
    <w:rsid w:val="00131CCD"/>
    <w:rsid w:val="00131D02"/>
    <w:rsid w:val="00131D0A"/>
    <w:rsid w:val="00131E0B"/>
    <w:rsid w:val="00131EBF"/>
    <w:rsid w:val="00132177"/>
    <w:rsid w:val="0013225A"/>
    <w:rsid w:val="001323F6"/>
    <w:rsid w:val="00132536"/>
    <w:rsid w:val="001327B3"/>
    <w:rsid w:val="001329AF"/>
    <w:rsid w:val="00132AF6"/>
    <w:rsid w:val="00132CF3"/>
    <w:rsid w:val="00132F6B"/>
    <w:rsid w:val="00132F78"/>
    <w:rsid w:val="00133297"/>
    <w:rsid w:val="001334F1"/>
    <w:rsid w:val="00133596"/>
    <w:rsid w:val="00133688"/>
    <w:rsid w:val="001337E4"/>
    <w:rsid w:val="00133CDB"/>
    <w:rsid w:val="00133DB7"/>
    <w:rsid w:val="00133DF6"/>
    <w:rsid w:val="00133EF2"/>
    <w:rsid w:val="00133FAE"/>
    <w:rsid w:val="001340CF"/>
    <w:rsid w:val="0013431F"/>
    <w:rsid w:val="00134336"/>
    <w:rsid w:val="001343D0"/>
    <w:rsid w:val="0013442C"/>
    <w:rsid w:val="001348AA"/>
    <w:rsid w:val="001348AC"/>
    <w:rsid w:val="0013490B"/>
    <w:rsid w:val="00134973"/>
    <w:rsid w:val="00134B57"/>
    <w:rsid w:val="00134B71"/>
    <w:rsid w:val="00134B77"/>
    <w:rsid w:val="00134EC2"/>
    <w:rsid w:val="001352C5"/>
    <w:rsid w:val="001353AE"/>
    <w:rsid w:val="001353DE"/>
    <w:rsid w:val="001357C5"/>
    <w:rsid w:val="001359ED"/>
    <w:rsid w:val="00135A47"/>
    <w:rsid w:val="00135B80"/>
    <w:rsid w:val="00135F38"/>
    <w:rsid w:val="00135F9A"/>
    <w:rsid w:val="0013609E"/>
    <w:rsid w:val="001362CD"/>
    <w:rsid w:val="001364EA"/>
    <w:rsid w:val="001365F8"/>
    <w:rsid w:val="00136632"/>
    <w:rsid w:val="00136760"/>
    <w:rsid w:val="001368B9"/>
    <w:rsid w:val="00136DB4"/>
    <w:rsid w:val="0013701F"/>
    <w:rsid w:val="001371ED"/>
    <w:rsid w:val="001372AF"/>
    <w:rsid w:val="00137599"/>
    <w:rsid w:val="001377BC"/>
    <w:rsid w:val="0013787D"/>
    <w:rsid w:val="001378ED"/>
    <w:rsid w:val="001379A2"/>
    <w:rsid w:val="001379E9"/>
    <w:rsid w:val="00137AC7"/>
    <w:rsid w:val="00137C74"/>
    <w:rsid w:val="00137DB6"/>
    <w:rsid w:val="00140036"/>
    <w:rsid w:val="001401A2"/>
    <w:rsid w:val="001402C1"/>
    <w:rsid w:val="001402CA"/>
    <w:rsid w:val="001404A2"/>
    <w:rsid w:val="00140511"/>
    <w:rsid w:val="00140564"/>
    <w:rsid w:val="001405BA"/>
    <w:rsid w:val="001405F2"/>
    <w:rsid w:val="0014062B"/>
    <w:rsid w:val="001406FD"/>
    <w:rsid w:val="0014083F"/>
    <w:rsid w:val="001408DA"/>
    <w:rsid w:val="001408FC"/>
    <w:rsid w:val="00140920"/>
    <w:rsid w:val="00140A46"/>
    <w:rsid w:val="00140B09"/>
    <w:rsid w:val="00140CC9"/>
    <w:rsid w:val="00140D5B"/>
    <w:rsid w:val="00140DA3"/>
    <w:rsid w:val="00140FE1"/>
    <w:rsid w:val="00141027"/>
    <w:rsid w:val="00141268"/>
    <w:rsid w:val="00141399"/>
    <w:rsid w:val="0014146C"/>
    <w:rsid w:val="00141550"/>
    <w:rsid w:val="00141701"/>
    <w:rsid w:val="00141727"/>
    <w:rsid w:val="001417F9"/>
    <w:rsid w:val="00141884"/>
    <w:rsid w:val="001418BE"/>
    <w:rsid w:val="00141996"/>
    <w:rsid w:val="001419D4"/>
    <w:rsid w:val="00141A97"/>
    <w:rsid w:val="00141C23"/>
    <w:rsid w:val="00141D29"/>
    <w:rsid w:val="00141D51"/>
    <w:rsid w:val="00141F3D"/>
    <w:rsid w:val="0014211D"/>
    <w:rsid w:val="0014241C"/>
    <w:rsid w:val="00142511"/>
    <w:rsid w:val="00142599"/>
    <w:rsid w:val="00142675"/>
    <w:rsid w:val="0014271F"/>
    <w:rsid w:val="0014295C"/>
    <w:rsid w:val="00142A5D"/>
    <w:rsid w:val="00142AD6"/>
    <w:rsid w:val="00142F72"/>
    <w:rsid w:val="0014309E"/>
    <w:rsid w:val="001430C3"/>
    <w:rsid w:val="001431E5"/>
    <w:rsid w:val="00143292"/>
    <w:rsid w:val="00143393"/>
    <w:rsid w:val="0014340C"/>
    <w:rsid w:val="001434D5"/>
    <w:rsid w:val="00143500"/>
    <w:rsid w:val="001435A7"/>
    <w:rsid w:val="001435E2"/>
    <w:rsid w:val="00143628"/>
    <w:rsid w:val="001436F2"/>
    <w:rsid w:val="0014371F"/>
    <w:rsid w:val="00143730"/>
    <w:rsid w:val="001439AA"/>
    <w:rsid w:val="00143B89"/>
    <w:rsid w:val="00143B91"/>
    <w:rsid w:val="00143C63"/>
    <w:rsid w:val="00143CC8"/>
    <w:rsid w:val="00143CFD"/>
    <w:rsid w:val="00143D26"/>
    <w:rsid w:val="00143F16"/>
    <w:rsid w:val="00143F2E"/>
    <w:rsid w:val="00143F3F"/>
    <w:rsid w:val="00143F55"/>
    <w:rsid w:val="00144005"/>
    <w:rsid w:val="00144154"/>
    <w:rsid w:val="00144253"/>
    <w:rsid w:val="001443DB"/>
    <w:rsid w:val="001445CA"/>
    <w:rsid w:val="001446F1"/>
    <w:rsid w:val="00144987"/>
    <w:rsid w:val="00144A13"/>
    <w:rsid w:val="00144C95"/>
    <w:rsid w:val="00144CBA"/>
    <w:rsid w:val="00144CED"/>
    <w:rsid w:val="00144E4C"/>
    <w:rsid w:val="00144F5E"/>
    <w:rsid w:val="00145082"/>
    <w:rsid w:val="001451D9"/>
    <w:rsid w:val="001452E3"/>
    <w:rsid w:val="001452F1"/>
    <w:rsid w:val="0014540A"/>
    <w:rsid w:val="0014560D"/>
    <w:rsid w:val="00145761"/>
    <w:rsid w:val="00145896"/>
    <w:rsid w:val="001458B6"/>
    <w:rsid w:val="0014590E"/>
    <w:rsid w:val="00145ACF"/>
    <w:rsid w:val="00145B17"/>
    <w:rsid w:val="00145B46"/>
    <w:rsid w:val="00145BF8"/>
    <w:rsid w:val="00145E0E"/>
    <w:rsid w:val="00145F4F"/>
    <w:rsid w:val="00145FC4"/>
    <w:rsid w:val="001460D5"/>
    <w:rsid w:val="001460EB"/>
    <w:rsid w:val="00146205"/>
    <w:rsid w:val="00146266"/>
    <w:rsid w:val="00146438"/>
    <w:rsid w:val="0014650C"/>
    <w:rsid w:val="00146522"/>
    <w:rsid w:val="00146525"/>
    <w:rsid w:val="00146526"/>
    <w:rsid w:val="00146702"/>
    <w:rsid w:val="0014698A"/>
    <w:rsid w:val="00146BE0"/>
    <w:rsid w:val="00146D28"/>
    <w:rsid w:val="0014700E"/>
    <w:rsid w:val="0014706C"/>
    <w:rsid w:val="0014721E"/>
    <w:rsid w:val="0014738A"/>
    <w:rsid w:val="001473D2"/>
    <w:rsid w:val="001474B6"/>
    <w:rsid w:val="001474D9"/>
    <w:rsid w:val="001477B5"/>
    <w:rsid w:val="001477F1"/>
    <w:rsid w:val="0014784D"/>
    <w:rsid w:val="001478C0"/>
    <w:rsid w:val="00147948"/>
    <w:rsid w:val="0014796E"/>
    <w:rsid w:val="00147AB1"/>
    <w:rsid w:val="00147B37"/>
    <w:rsid w:val="00147BF2"/>
    <w:rsid w:val="00147C62"/>
    <w:rsid w:val="00147D95"/>
    <w:rsid w:val="00147FDA"/>
    <w:rsid w:val="0015003B"/>
    <w:rsid w:val="001500BD"/>
    <w:rsid w:val="00150212"/>
    <w:rsid w:val="00150255"/>
    <w:rsid w:val="001503DE"/>
    <w:rsid w:val="001503F6"/>
    <w:rsid w:val="00150403"/>
    <w:rsid w:val="0015040C"/>
    <w:rsid w:val="0015052F"/>
    <w:rsid w:val="0015061E"/>
    <w:rsid w:val="001506B2"/>
    <w:rsid w:val="001506D4"/>
    <w:rsid w:val="00150784"/>
    <w:rsid w:val="001508E9"/>
    <w:rsid w:val="00150BF5"/>
    <w:rsid w:val="00150C97"/>
    <w:rsid w:val="00150E21"/>
    <w:rsid w:val="00150F46"/>
    <w:rsid w:val="00150FDD"/>
    <w:rsid w:val="00151035"/>
    <w:rsid w:val="00151076"/>
    <w:rsid w:val="00151111"/>
    <w:rsid w:val="0015123A"/>
    <w:rsid w:val="00151261"/>
    <w:rsid w:val="001513F9"/>
    <w:rsid w:val="00151539"/>
    <w:rsid w:val="001515AD"/>
    <w:rsid w:val="00151871"/>
    <w:rsid w:val="001518F9"/>
    <w:rsid w:val="00151ACC"/>
    <w:rsid w:val="00151B5B"/>
    <w:rsid w:val="00151B79"/>
    <w:rsid w:val="00151BA8"/>
    <w:rsid w:val="00152086"/>
    <w:rsid w:val="0015210C"/>
    <w:rsid w:val="00152199"/>
    <w:rsid w:val="00152297"/>
    <w:rsid w:val="001523E6"/>
    <w:rsid w:val="00152476"/>
    <w:rsid w:val="00152520"/>
    <w:rsid w:val="001525A5"/>
    <w:rsid w:val="0015268D"/>
    <w:rsid w:val="001527F8"/>
    <w:rsid w:val="0015287C"/>
    <w:rsid w:val="00152D1F"/>
    <w:rsid w:val="001530B1"/>
    <w:rsid w:val="0015321C"/>
    <w:rsid w:val="001533BB"/>
    <w:rsid w:val="0015348C"/>
    <w:rsid w:val="001534A5"/>
    <w:rsid w:val="0015356C"/>
    <w:rsid w:val="0015360A"/>
    <w:rsid w:val="00153973"/>
    <w:rsid w:val="001539B7"/>
    <w:rsid w:val="00153BFA"/>
    <w:rsid w:val="00153C59"/>
    <w:rsid w:val="00154084"/>
    <w:rsid w:val="00154284"/>
    <w:rsid w:val="00154285"/>
    <w:rsid w:val="001542B8"/>
    <w:rsid w:val="001543DF"/>
    <w:rsid w:val="001543F9"/>
    <w:rsid w:val="00154413"/>
    <w:rsid w:val="00154458"/>
    <w:rsid w:val="00154506"/>
    <w:rsid w:val="001545F5"/>
    <w:rsid w:val="001546D6"/>
    <w:rsid w:val="00154703"/>
    <w:rsid w:val="0015473D"/>
    <w:rsid w:val="001547BC"/>
    <w:rsid w:val="00154882"/>
    <w:rsid w:val="00154B1D"/>
    <w:rsid w:val="00154D6B"/>
    <w:rsid w:val="00154D91"/>
    <w:rsid w:val="00154EBF"/>
    <w:rsid w:val="00154F7D"/>
    <w:rsid w:val="00155077"/>
    <w:rsid w:val="00155185"/>
    <w:rsid w:val="0015555C"/>
    <w:rsid w:val="001555A5"/>
    <w:rsid w:val="00155601"/>
    <w:rsid w:val="00155674"/>
    <w:rsid w:val="001556F4"/>
    <w:rsid w:val="001556FB"/>
    <w:rsid w:val="00155751"/>
    <w:rsid w:val="00155867"/>
    <w:rsid w:val="00155994"/>
    <w:rsid w:val="00155A3B"/>
    <w:rsid w:val="00155C28"/>
    <w:rsid w:val="00155E1D"/>
    <w:rsid w:val="00155F19"/>
    <w:rsid w:val="00155F65"/>
    <w:rsid w:val="00155FA2"/>
    <w:rsid w:val="00156041"/>
    <w:rsid w:val="0015608B"/>
    <w:rsid w:val="001561A1"/>
    <w:rsid w:val="0015621C"/>
    <w:rsid w:val="0015621E"/>
    <w:rsid w:val="00156270"/>
    <w:rsid w:val="0015631B"/>
    <w:rsid w:val="001565B9"/>
    <w:rsid w:val="00156A72"/>
    <w:rsid w:val="00156FA6"/>
    <w:rsid w:val="001570F8"/>
    <w:rsid w:val="0015749E"/>
    <w:rsid w:val="001574AA"/>
    <w:rsid w:val="00157555"/>
    <w:rsid w:val="0015777A"/>
    <w:rsid w:val="00157810"/>
    <w:rsid w:val="00157849"/>
    <w:rsid w:val="00157BEC"/>
    <w:rsid w:val="00157C33"/>
    <w:rsid w:val="00157C41"/>
    <w:rsid w:val="00157D3F"/>
    <w:rsid w:val="00157D8A"/>
    <w:rsid w:val="00157FCF"/>
    <w:rsid w:val="00160102"/>
    <w:rsid w:val="0016051A"/>
    <w:rsid w:val="00160670"/>
    <w:rsid w:val="00160785"/>
    <w:rsid w:val="0016081E"/>
    <w:rsid w:val="00160ADB"/>
    <w:rsid w:val="00160B1F"/>
    <w:rsid w:val="00160CD2"/>
    <w:rsid w:val="00160E8B"/>
    <w:rsid w:val="00160FA8"/>
    <w:rsid w:val="00160FD4"/>
    <w:rsid w:val="00161190"/>
    <w:rsid w:val="001613C3"/>
    <w:rsid w:val="00161614"/>
    <w:rsid w:val="0016168B"/>
    <w:rsid w:val="0016187C"/>
    <w:rsid w:val="00161897"/>
    <w:rsid w:val="0016199D"/>
    <w:rsid w:val="001619B2"/>
    <w:rsid w:val="00161B74"/>
    <w:rsid w:val="00161CBE"/>
    <w:rsid w:val="001622EB"/>
    <w:rsid w:val="001625D4"/>
    <w:rsid w:val="00162728"/>
    <w:rsid w:val="0016291D"/>
    <w:rsid w:val="00162A8A"/>
    <w:rsid w:val="00162CB4"/>
    <w:rsid w:val="00162EA6"/>
    <w:rsid w:val="00162F34"/>
    <w:rsid w:val="00163047"/>
    <w:rsid w:val="0016321B"/>
    <w:rsid w:val="00163457"/>
    <w:rsid w:val="0016365B"/>
    <w:rsid w:val="001637D3"/>
    <w:rsid w:val="001637D7"/>
    <w:rsid w:val="00163863"/>
    <w:rsid w:val="001638E4"/>
    <w:rsid w:val="0016391D"/>
    <w:rsid w:val="00163A63"/>
    <w:rsid w:val="00163B2A"/>
    <w:rsid w:val="00163BE4"/>
    <w:rsid w:val="00163C0F"/>
    <w:rsid w:val="00163F43"/>
    <w:rsid w:val="001642DF"/>
    <w:rsid w:val="00164336"/>
    <w:rsid w:val="00164410"/>
    <w:rsid w:val="00164412"/>
    <w:rsid w:val="00164439"/>
    <w:rsid w:val="00164548"/>
    <w:rsid w:val="00164552"/>
    <w:rsid w:val="001646F2"/>
    <w:rsid w:val="0016485E"/>
    <w:rsid w:val="00164925"/>
    <w:rsid w:val="00164928"/>
    <w:rsid w:val="00164CA4"/>
    <w:rsid w:val="00164CC6"/>
    <w:rsid w:val="00164D1F"/>
    <w:rsid w:val="00164DE1"/>
    <w:rsid w:val="00164E68"/>
    <w:rsid w:val="00164E6F"/>
    <w:rsid w:val="0016506E"/>
    <w:rsid w:val="00165171"/>
    <w:rsid w:val="00165377"/>
    <w:rsid w:val="0016555A"/>
    <w:rsid w:val="001656F7"/>
    <w:rsid w:val="0016575B"/>
    <w:rsid w:val="00165783"/>
    <w:rsid w:val="001658C2"/>
    <w:rsid w:val="0016590C"/>
    <w:rsid w:val="00165AF5"/>
    <w:rsid w:val="00165B91"/>
    <w:rsid w:val="00165C56"/>
    <w:rsid w:val="00165E1C"/>
    <w:rsid w:val="001661F3"/>
    <w:rsid w:val="001661F7"/>
    <w:rsid w:val="00166464"/>
    <w:rsid w:val="0016651A"/>
    <w:rsid w:val="001666B0"/>
    <w:rsid w:val="0016681F"/>
    <w:rsid w:val="001669D1"/>
    <w:rsid w:val="00166C25"/>
    <w:rsid w:val="00166C27"/>
    <w:rsid w:val="00166C56"/>
    <w:rsid w:val="00166D52"/>
    <w:rsid w:val="00167055"/>
    <w:rsid w:val="00167077"/>
    <w:rsid w:val="001671E2"/>
    <w:rsid w:val="001672BA"/>
    <w:rsid w:val="001672E5"/>
    <w:rsid w:val="001675BF"/>
    <w:rsid w:val="0016769B"/>
    <w:rsid w:val="0016771C"/>
    <w:rsid w:val="001678DD"/>
    <w:rsid w:val="00167909"/>
    <w:rsid w:val="00167AE2"/>
    <w:rsid w:val="00167B27"/>
    <w:rsid w:val="00167BAA"/>
    <w:rsid w:val="00167C33"/>
    <w:rsid w:val="00167C4F"/>
    <w:rsid w:val="00167E77"/>
    <w:rsid w:val="00170271"/>
    <w:rsid w:val="001702F1"/>
    <w:rsid w:val="00170475"/>
    <w:rsid w:val="001705DE"/>
    <w:rsid w:val="0017071A"/>
    <w:rsid w:val="0017083A"/>
    <w:rsid w:val="0017098F"/>
    <w:rsid w:val="00170A54"/>
    <w:rsid w:val="00170C78"/>
    <w:rsid w:val="00170CF9"/>
    <w:rsid w:val="00170E0A"/>
    <w:rsid w:val="001710A3"/>
    <w:rsid w:val="0017112B"/>
    <w:rsid w:val="00171399"/>
    <w:rsid w:val="00171555"/>
    <w:rsid w:val="0017164B"/>
    <w:rsid w:val="00171866"/>
    <w:rsid w:val="0017199C"/>
    <w:rsid w:val="001719DE"/>
    <w:rsid w:val="00171A73"/>
    <w:rsid w:val="00171A83"/>
    <w:rsid w:val="00171AAE"/>
    <w:rsid w:val="00171AB9"/>
    <w:rsid w:val="00171BA0"/>
    <w:rsid w:val="00171C11"/>
    <w:rsid w:val="00171D63"/>
    <w:rsid w:val="00171D9C"/>
    <w:rsid w:val="00171E7F"/>
    <w:rsid w:val="00171F04"/>
    <w:rsid w:val="001722F0"/>
    <w:rsid w:val="001722FF"/>
    <w:rsid w:val="00172432"/>
    <w:rsid w:val="0017250A"/>
    <w:rsid w:val="00172705"/>
    <w:rsid w:val="0017277D"/>
    <w:rsid w:val="001727D6"/>
    <w:rsid w:val="001728AE"/>
    <w:rsid w:val="001728B2"/>
    <w:rsid w:val="00172AE4"/>
    <w:rsid w:val="00172AF3"/>
    <w:rsid w:val="00172C49"/>
    <w:rsid w:val="00172DDB"/>
    <w:rsid w:val="00172ED6"/>
    <w:rsid w:val="001730CD"/>
    <w:rsid w:val="00173131"/>
    <w:rsid w:val="00173295"/>
    <w:rsid w:val="0017341B"/>
    <w:rsid w:val="00173545"/>
    <w:rsid w:val="001735D5"/>
    <w:rsid w:val="00173676"/>
    <w:rsid w:val="0017378D"/>
    <w:rsid w:val="001737C2"/>
    <w:rsid w:val="001738AF"/>
    <w:rsid w:val="001738DF"/>
    <w:rsid w:val="00173C03"/>
    <w:rsid w:val="00173C28"/>
    <w:rsid w:val="00173E72"/>
    <w:rsid w:val="00173F53"/>
    <w:rsid w:val="00173FDA"/>
    <w:rsid w:val="0017402F"/>
    <w:rsid w:val="0017406B"/>
    <w:rsid w:val="00174194"/>
    <w:rsid w:val="001741A2"/>
    <w:rsid w:val="00174288"/>
    <w:rsid w:val="00174722"/>
    <w:rsid w:val="00174838"/>
    <w:rsid w:val="00174845"/>
    <w:rsid w:val="0017493F"/>
    <w:rsid w:val="00174A76"/>
    <w:rsid w:val="00174ACA"/>
    <w:rsid w:val="00174C9C"/>
    <w:rsid w:val="00174D12"/>
    <w:rsid w:val="00174EA6"/>
    <w:rsid w:val="00174FB7"/>
    <w:rsid w:val="0017525C"/>
    <w:rsid w:val="001754A1"/>
    <w:rsid w:val="00175587"/>
    <w:rsid w:val="00175631"/>
    <w:rsid w:val="001756C3"/>
    <w:rsid w:val="00175714"/>
    <w:rsid w:val="00175E37"/>
    <w:rsid w:val="00175E85"/>
    <w:rsid w:val="00175E94"/>
    <w:rsid w:val="00175F7F"/>
    <w:rsid w:val="00176016"/>
    <w:rsid w:val="001760D5"/>
    <w:rsid w:val="001760DB"/>
    <w:rsid w:val="00176216"/>
    <w:rsid w:val="001763B0"/>
    <w:rsid w:val="001764BC"/>
    <w:rsid w:val="001764E2"/>
    <w:rsid w:val="001764FA"/>
    <w:rsid w:val="00176529"/>
    <w:rsid w:val="00176639"/>
    <w:rsid w:val="00176848"/>
    <w:rsid w:val="00176870"/>
    <w:rsid w:val="00176A6A"/>
    <w:rsid w:val="00176B70"/>
    <w:rsid w:val="00176D20"/>
    <w:rsid w:val="00176F02"/>
    <w:rsid w:val="001770CE"/>
    <w:rsid w:val="0017713A"/>
    <w:rsid w:val="00177378"/>
    <w:rsid w:val="0017774E"/>
    <w:rsid w:val="00177808"/>
    <w:rsid w:val="00177BDE"/>
    <w:rsid w:val="00177FFE"/>
    <w:rsid w:val="001800A0"/>
    <w:rsid w:val="00180157"/>
    <w:rsid w:val="00180287"/>
    <w:rsid w:val="001802F6"/>
    <w:rsid w:val="00180402"/>
    <w:rsid w:val="001804F8"/>
    <w:rsid w:val="001805B7"/>
    <w:rsid w:val="001806C3"/>
    <w:rsid w:val="00180774"/>
    <w:rsid w:val="001808B5"/>
    <w:rsid w:val="00180993"/>
    <w:rsid w:val="00180CEE"/>
    <w:rsid w:val="00180EC2"/>
    <w:rsid w:val="00180F06"/>
    <w:rsid w:val="00180F46"/>
    <w:rsid w:val="001814BF"/>
    <w:rsid w:val="001816AB"/>
    <w:rsid w:val="00181747"/>
    <w:rsid w:val="0018180B"/>
    <w:rsid w:val="00181CFC"/>
    <w:rsid w:val="00181EB1"/>
    <w:rsid w:val="00181EFD"/>
    <w:rsid w:val="00182225"/>
    <w:rsid w:val="00182244"/>
    <w:rsid w:val="001822DB"/>
    <w:rsid w:val="00182751"/>
    <w:rsid w:val="00182859"/>
    <w:rsid w:val="00182904"/>
    <w:rsid w:val="001829A7"/>
    <w:rsid w:val="00182A07"/>
    <w:rsid w:val="00182A08"/>
    <w:rsid w:val="00182B3E"/>
    <w:rsid w:val="00182C1B"/>
    <w:rsid w:val="00182D13"/>
    <w:rsid w:val="00182D70"/>
    <w:rsid w:val="00182DF3"/>
    <w:rsid w:val="00183120"/>
    <w:rsid w:val="0018312F"/>
    <w:rsid w:val="00183137"/>
    <w:rsid w:val="0018327D"/>
    <w:rsid w:val="001832C0"/>
    <w:rsid w:val="00183310"/>
    <w:rsid w:val="00183323"/>
    <w:rsid w:val="001835BE"/>
    <w:rsid w:val="0018373C"/>
    <w:rsid w:val="001837A2"/>
    <w:rsid w:val="00183850"/>
    <w:rsid w:val="00183895"/>
    <w:rsid w:val="00183948"/>
    <w:rsid w:val="00183A47"/>
    <w:rsid w:val="00183C26"/>
    <w:rsid w:val="00183C51"/>
    <w:rsid w:val="00183E85"/>
    <w:rsid w:val="00183F76"/>
    <w:rsid w:val="0018402E"/>
    <w:rsid w:val="00184115"/>
    <w:rsid w:val="0018427F"/>
    <w:rsid w:val="00184558"/>
    <w:rsid w:val="001846C4"/>
    <w:rsid w:val="0018491F"/>
    <w:rsid w:val="00184975"/>
    <w:rsid w:val="001849EA"/>
    <w:rsid w:val="00184A33"/>
    <w:rsid w:val="00184A94"/>
    <w:rsid w:val="00184AB7"/>
    <w:rsid w:val="00184B3D"/>
    <w:rsid w:val="00184B53"/>
    <w:rsid w:val="00184CDE"/>
    <w:rsid w:val="00184E93"/>
    <w:rsid w:val="00184ED1"/>
    <w:rsid w:val="00184FC9"/>
    <w:rsid w:val="00185286"/>
    <w:rsid w:val="0018536F"/>
    <w:rsid w:val="001853B7"/>
    <w:rsid w:val="001855D9"/>
    <w:rsid w:val="001856BE"/>
    <w:rsid w:val="001857E3"/>
    <w:rsid w:val="001858B9"/>
    <w:rsid w:val="00185972"/>
    <w:rsid w:val="00185A42"/>
    <w:rsid w:val="00185A57"/>
    <w:rsid w:val="00185DAF"/>
    <w:rsid w:val="00185DED"/>
    <w:rsid w:val="00185F00"/>
    <w:rsid w:val="00185F34"/>
    <w:rsid w:val="00185F71"/>
    <w:rsid w:val="00185FFD"/>
    <w:rsid w:val="0018602C"/>
    <w:rsid w:val="001863D3"/>
    <w:rsid w:val="00186463"/>
    <w:rsid w:val="0018647C"/>
    <w:rsid w:val="00186507"/>
    <w:rsid w:val="00186520"/>
    <w:rsid w:val="001865F6"/>
    <w:rsid w:val="001868FD"/>
    <w:rsid w:val="00186942"/>
    <w:rsid w:val="00186989"/>
    <w:rsid w:val="00186A25"/>
    <w:rsid w:val="00186A62"/>
    <w:rsid w:val="00186B0D"/>
    <w:rsid w:val="00186D7E"/>
    <w:rsid w:val="00186E16"/>
    <w:rsid w:val="00186FA8"/>
    <w:rsid w:val="00187074"/>
    <w:rsid w:val="001870F0"/>
    <w:rsid w:val="001874B0"/>
    <w:rsid w:val="001874DC"/>
    <w:rsid w:val="001874FE"/>
    <w:rsid w:val="001877D4"/>
    <w:rsid w:val="0018785C"/>
    <w:rsid w:val="00187A09"/>
    <w:rsid w:val="00187A4C"/>
    <w:rsid w:val="00187A94"/>
    <w:rsid w:val="00187B0B"/>
    <w:rsid w:val="00187C7C"/>
    <w:rsid w:val="00187DA7"/>
    <w:rsid w:val="00187EB1"/>
    <w:rsid w:val="00190244"/>
    <w:rsid w:val="001903BE"/>
    <w:rsid w:val="00190517"/>
    <w:rsid w:val="001908B9"/>
    <w:rsid w:val="0019091E"/>
    <w:rsid w:val="001909CA"/>
    <w:rsid w:val="00190C5C"/>
    <w:rsid w:val="00190D1D"/>
    <w:rsid w:val="00190D43"/>
    <w:rsid w:val="00190EF5"/>
    <w:rsid w:val="00190F2C"/>
    <w:rsid w:val="00190F57"/>
    <w:rsid w:val="00191427"/>
    <w:rsid w:val="00191470"/>
    <w:rsid w:val="0019150F"/>
    <w:rsid w:val="0019181C"/>
    <w:rsid w:val="00191832"/>
    <w:rsid w:val="001918CC"/>
    <w:rsid w:val="0019198B"/>
    <w:rsid w:val="001919F3"/>
    <w:rsid w:val="00191B27"/>
    <w:rsid w:val="00191B9A"/>
    <w:rsid w:val="00191C4C"/>
    <w:rsid w:val="001922F0"/>
    <w:rsid w:val="00192597"/>
    <w:rsid w:val="00192683"/>
    <w:rsid w:val="0019268D"/>
    <w:rsid w:val="00192A6B"/>
    <w:rsid w:val="00192AAE"/>
    <w:rsid w:val="00192AF1"/>
    <w:rsid w:val="00192C5F"/>
    <w:rsid w:val="00193094"/>
    <w:rsid w:val="00193167"/>
    <w:rsid w:val="0019317A"/>
    <w:rsid w:val="00193460"/>
    <w:rsid w:val="00193615"/>
    <w:rsid w:val="00193685"/>
    <w:rsid w:val="001936CA"/>
    <w:rsid w:val="00193A7E"/>
    <w:rsid w:val="00193CF9"/>
    <w:rsid w:val="00193F26"/>
    <w:rsid w:val="0019415C"/>
    <w:rsid w:val="00194292"/>
    <w:rsid w:val="001942CA"/>
    <w:rsid w:val="00194569"/>
    <w:rsid w:val="00194610"/>
    <w:rsid w:val="001946E6"/>
    <w:rsid w:val="001948B8"/>
    <w:rsid w:val="00194A7F"/>
    <w:rsid w:val="00194EB4"/>
    <w:rsid w:val="00194EE9"/>
    <w:rsid w:val="00195210"/>
    <w:rsid w:val="00195293"/>
    <w:rsid w:val="001952E4"/>
    <w:rsid w:val="0019569F"/>
    <w:rsid w:val="00195855"/>
    <w:rsid w:val="00195865"/>
    <w:rsid w:val="001958C6"/>
    <w:rsid w:val="001958F2"/>
    <w:rsid w:val="0019592B"/>
    <w:rsid w:val="00195AA7"/>
    <w:rsid w:val="00195D1C"/>
    <w:rsid w:val="00195FCC"/>
    <w:rsid w:val="0019603A"/>
    <w:rsid w:val="001960CD"/>
    <w:rsid w:val="0019625E"/>
    <w:rsid w:val="00196304"/>
    <w:rsid w:val="0019630F"/>
    <w:rsid w:val="00196518"/>
    <w:rsid w:val="00196A61"/>
    <w:rsid w:val="00196D62"/>
    <w:rsid w:val="00196DFD"/>
    <w:rsid w:val="00196E74"/>
    <w:rsid w:val="00196EA3"/>
    <w:rsid w:val="00196F1A"/>
    <w:rsid w:val="00197055"/>
    <w:rsid w:val="001971F4"/>
    <w:rsid w:val="0019720E"/>
    <w:rsid w:val="00197331"/>
    <w:rsid w:val="001973AE"/>
    <w:rsid w:val="00197422"/>
    <w:rsid w:val="00197864"/>
    <w:rsid w:val="00197936"/>
    <w:rsid w:val="00197998"/>
    <w:rsid w:val="001A0304"/>
    <w:rsid w:val="001A0386"/>
    <w:rsid w:val="001A0904"/>
    <w:rsid w:val="001A090E"/>
    <w:rsid w:val="001A09E1"/>
    <w:rsid w:val="001A0ADF"/>
    <w:rsid w:val="001A0D56"/>
    <w:rsid w:val="001A10CA"/>
    <w:rsid w:val="001A110F"/>
    <w:rsid w:val="001A116A"/>
    <w:rsid w:val="001A1443"/>
    <w:rsid w:val="001A16A1"/>
    <w:rsid w:val="001A16C4"/>
    <w:rsid w:val="001A1969"/>
    <w:rsid w:val="001A1A56"/>
    <w:rsid w:val="001A1AC5"/>
    <w:rsid w:val="001A1C6F"/>
    <w:rsid w:val="001A1DCA"/>
    <w:rsid w:val="001A1E98"/>
    <w:rsid w:val="001A1F1C"/>
    <w:rsid w:val="001A1F68"/>
    <w:rsid w:val="001A2127"/>
    <w:rsid w:val="001A2241"/>
    <w:rsid w:val="001A252C"/>
    <w:rsid w:val="001A2659"/>
    <w:rsid w:val="001A29B3"/>
    <w:rsid w:val="001A2A6B"/>
    <w:rsid w:val="001A2FF5"/>
    <w:rsid w:val="001A313A"/>
    <w:rsid w:val="001A315A"/>
    <w:rsid w:val="001A319C"/>
    <w:rsid w:val="001A32BD"/>
    <w:rsid w:val="001A32EE"/>
    <w:rsid w:val="001A3344"/>
    <w:rsid w:val="001A3384"/>
    <w:rsid w:val="001A33C5"/>
    <w:rsid w:val="001A3407"/>
    <w:rsid w:val="001A3415"/>
    <w:rsid w:val="001A3534"/>
    <w:rsid w:val="001A3646"/>
    <w:rsid w:val="001A3986"/>
    <w:rsid w:val="001A3B0E"/>
    <w:rsid w:val="001A3B43"/>
    <w:rsid w:val="001A3DFC"/>
    <w:rsid w:val="001A3FB2"/>
    <w:rsid w:val="001A3FC3"/>
    <w:rsid w:val="001A400B"/>
    <w:rsid w:val="001A40D7"/>
    <w:rsid w:val="001A42A2"/>
    <w:rsid w:val="001A4362"/>
    <w:rsid w:val="001A43A4"/>
    <w:rsid w:val="001A4774"/>
    <w:rsid w:val="001A48A1"/>
    <w:rsid w:val="001A48F7"/>
    <w:rsid w:val="001A49A4"/>
    <w:rsid w:val="001A49D7"/>
    <w:rsid w:val="001A4B24"/>
    <w:rsid w:val="001A4BA7"/>
    <w:rsid w:val="001A4BBF"/>
    <w:rsid w:val="001A4BCF"/>
    <w:rsid w:val="001A4D84"/>
    <w:rsid w:val="001A4D9E"/>
    <w:rsid w:val="001A4DAE"/>
    <w:rsid w:val="001A50E9"/>
    <w:rsid w:val="001A5390"/>
    <w:rsid w:val="001A5468"/>
    <w:rsid w:val="001A54A1"/>
    <w:rsid w:val="001A5684"/>
    <w:rsid w:val="001A5874"/>
    <w:rsid w:val="001A58A4"/>
    <w:rsid w:val="001A5909"/>
    <w:rsid w:val="001A5B1D"/>
    <w:rsid w:val="001A5B28"/>
    <w:rsid w:val="001A5CA0"/>
    <w:rsid w:val="001A5E99"/>
    <w:rsid w:val="001A5FB1"/>
    <w:rsid w:val="001A62F7"/>
    <w:rsid w:val="001A6353"/>
    <w:rsid w:val="001A63EF"/>
    <w:rsid w:val="001A68FA"/>
    <w:rsid w:val="001A69AD"/>
    <w:rsid w:val="001A6D13"/>
    <w:rsid w:val="001A6D4C"/>
    <w:rsid w:val="001A6E7B"/>
    <w:rsid w:val="001A6EE9"/>
    <w:rsid w:val="001A6F48"/>
    <w:rsid w:val="001A6FDB"/>
    <w:rsid w:val="001A705E"/>
    <w:rsid w:val="001A70F6"/>
    <w:rsid w:val="001A712D"/>
    <w:rsid w:val="001A7162"/>
    <w:rsid w:val="001A7273"/>
    <w:rsid w:val="001A72DC"/>
    <w:rsid w:val="001A73A7"/>
    <w:rsid w:val="001A73A9"/>
    <w:rsid w:val="001A75AF"/>
    <w:rsid w:val="001A7826"/>
    <w:rsid w:val="001A793A"/>
    <w:rsid w:val="001A7B88"/>
    <w:rsid w:val="001A7C03"/>
    <w:rsid w:val="001A7FA1"/>
    <w:rsid w:val="001B0029"/>
    <w:rsid w:val="001B00CA"/>
    <w:rsid w:val="001B0197"/>
    <w:rsid w:val="001B01B4"/>
    <w:rsid w:val="001B02F6"/>
    <w:rsid w:val="001B0537"/>
    <w:rsid w:val="001B07FA"/>
    <w:rsid w:val="001B0843"/>
    <w:rsid w:val="001B0880"/>
    <w:rsid w:val="001B0A60"/>
    <w:rsid w:val="001B0A7C"/>
    <w:rsid w:val="001B0AD3"/>
    <w:rsid w:val="001B0BC3"/>
    <w:rsid w:val="001B0CB9"/>
    <w:rsid w:val="001B100F"/>
    <w:rsid w:val="001B10E6"/>
    <w:rsid w:val="001B1306"/>
    <w:rsid w:val="001B14C2"/>
    <w:rsid w:val="001B1510"/>
    <w:rsid w:val="001B1818"/>
    <w:rsid w:val="001B182D"/>
    <w:rsid w:val="001B183C"/>
    <w:rsid w:val="001B1977"/>
    <w:rsid w:val="001B1AC0"/>
    <w:rsid w:val="001B1B08"/>
    <w:rsid w:val="001B1D98"/>
    <w:rsid w:val="001B2076"/>
    <w:rsid w:val="001B207E"/>
    <w:rsid w:val="001B2117"/>
    <w:rsid w:val="001B2167"/>
    <w:rsid w:val="001B216F"/>
    <w:rsid w:val="001B21F4"/>
    <w:rsid w:val="001B2244"/>
    <w:rsid w:val="001B29E4"/>
    <w:rsid w:val="001B2ADC"/>
    <w:rsid w:val="001B2B0C"/>
    <w:rsid w:val="001B2C2E"/>
    <w:rsid w:val="001B2F53"/>
    <w:rsid w:val="001B30EA"/>
    <w:rsid w:val="001B316D"/>
    <w:rsid w:val="001B31EC"/>
    <w:rsid w:val="001B336E"/>
    <w:rsid w:val="001B33A3"/>
    <w:rsid w:val="001B33CB"/>
    <w:rsid w:val="001B3580"/>
    <w:rsid w:val="001B3649"/>
    <w:rsid w:val="001B36B2"/>
    <w:rsid w:val="001B37F8"/>
    <w:rsid w:val="001B3824"/>
    <w:rsid w:val="001B3852"/>
    <w:rsid w:val="001B3908"/>
    <w:rsid w:val="001B3C78"/>
    <w:rsid w:val="001B3C82"/>
    <w:rsid w:val="001B3CB1"/>
    <w:rsid w:val="001B3DAF"/>
    <w:rsid w:val="001B3E2E"/>
    <w:rsid w:val="001B3EA4"/>
    <w:rsid w:val="001B3F10"/>
    <w:rsid w:val="001B3F22"/>
    <w:rsid w:val="001B3FD3"/>
    <w:rsid w:val="001B40EF"/>
    <w:rsid w:val="001B4100"/>
    <w:rsid w:val="001B415E"/>
    <w:rsid w:val="001B4229"/>
    <w:rsid w:val="001B4636"/>
    <w:rsid w:val="001B46A4"/>
    <w:rsid w:val="001B47FF"/>
    <w:rsid w:val="001B4851"/>
    <w:rsid w:val="001B4962"/>
    <w:rsid w:val="001B49BA"/>
    <w:rsid w:val="001B49EC"/>
    <w:rsid w:val="001B4B5D"/>
    <w:rsid w:val="001B4D48"/>
    <w:rsid w:val="001B4ED0"/>
    <w:rsid w:val="001B5390"/>
    <w:rsid w:val="001B5498"/>
    <w:rsid w:val="001B5502"/>
    <w:rsid w:val="001B555A"/>
    <w:rsid w:val="001B55BE"/>
    <w:rsid w:val="001B5641"/>
    <w:rsid w:val="001B589A"/>
    <w:rsid w:val="001B5B61"/>
    <w:rsid w:val="001B5B91"/>
    <w:rsid w:val="001B5CDE"/>
    <w:rsid w:val="001B5DB8"/>
    <w:rsid w:val="001B5DD7"/>
    <w:rsid w:val="001B6116"/>
    <w:rsid w:val="001B6118"/>
    <w:rsid w:val="001B6370"/>
    <w:rsid w:val="001B651D"/>
    <w:rsid w:val="001B68BF"/>
    <w:rsid w:val="001B6953"/>
    <w:rsid w:val="001B6AB2"/>
    <w:rsid w:val="001B6B45"/>
    <w:rsid w:val="001B6B69"/>
    <w:rsid w:val="001B6B87"/>
    <w:rsid w:val="001B6CAC"/>
    <w:rsid w:val="001B6DB3"/>
    <w:rsid w:val="001B6F1E"/>
    <w:rsid w:val="001B6F4A"/>
    <w:rsid w:val="001B6FBB"/>
    <w:rsid w:val="001B6FDF"/>
    <w:rsid w:val="001B71F6"/>
    <w:rsid w:val="001B7243"/>
    <w:rsid w:val="001B7378"/>
    <w:rsid w:val="001B74A2"/>
    <w:rsid w:val="001B7506"/>
    <w:rsid w:val="001B75C9"/>
    <w:rsid w:val="001B760F"/>
    <w:rsid w:val="001B76BD"/>
    <w:rsid w:val="001B7A2C"/>
    <w:rsid w:val="001B7ACE"/>
    <w:rsid w:val="001B7B4A"/>
    <w:rsid w:val="001B7B73"/>
    <w:rsid w:val="001B7E0B"/>
    <w:rsid w:val="001B7EEA"/>
    <w:rsid w:val="001B7F22"/>
    <w:rsid w:val="001C0040"/>
    <w:rsid w:val="001C00AE"/>
    <w:rsid w:val="001C030B"/>
    <w:rsid w:val="001C0336"/>
    <w:rsid w:val="001C0454"/>
    <w:rsid w:val="001C0544"/>
    <w:rsid w:val="001C05BC"/>
    <w:rsid w:val="001C07A8"/>
    <w:rsid w:val="001C094B"/>
    <w:rsid w:val="001C0B6C"/>
    <w:rsid w:val="001C0BFB"/>
    <w:rsid w:val="001C0C5F"/>
    <w:rsid w:val="001C0D24"/>
    <w:rsid w:val="001C0DD3"/>
    <w:rsid w:val="001C0ECD"/>
    <w:rsid w:val="001C1164"/>
    <w:rsid w:val="001C1667"/>
    <w:rsid w:val="001C16E7"/>
    <w:rsid w:val="001C1817"/>
    <w:rsid w:val="001C1A51"/>
    <w:rsid w:val="001C1AEC"/>
    <w:rsid w:val="001C1B15"/>
    <w:rsid w:val="001C1CF4"/>
    <w:rsid w:val="001C2183"/>
    <w:rsid w:val="001C21FC"/>
    <w:rsid w:val="001C22BA"/>
    <w:rsid w:val="001C22C0"/>
    <w:rsid w:val="001C24B5"/>
    <w:rsid w:val="001C251F"/>
    <w:rsid w:val="001C2560"/>
    <w:rsid w:val="001C2684"/>
    <w:rsid w:val="001C2692"/>
    <w:rsid w:val="001C26E9"/>
    <w:rsid w:val="001C283F"/>
    <w:rsid w:val="001C286D"/>
    <w:rsid w:val="001C288C"/>
    <w:rsid w:val="001C2C02"/>
    <w:rsid w:val="001C2D02"/>
    <w:rsid w:val="001C2D32"/>
    <w:rsid w:val="001C2D84"/>
    <w:rsid w:val="001C2DA6"/>
    <w:rsid w:val="001C2DA8"/>
    <w:rsid w:val="001C32E1"/>
    <w:rsid w:val="001C3351"/>
    <w:rsid w:val="001C3376"/>
    <w:rsid w:val="001C341E"/>
    <w:rsid w:val="001C34A5"/>
    <w:rsid w:val="001C34CB"/>
    <w:rsid w:val="001C3523"/>
    <w:rsid w:val="001C356F"/>
    <w:rsid w:val="001C3A67"/>
    <w:rsid w:val="001C3D7E"/>
    <w:rsid w:val="001C3EF3"/>
    <w:rsid w:val="001C4079"/>
    <w:rsid w:val="001C40EE"/>
    <w:rsid w:val="001C425B"/>
    <w:rsid w:val="001C434E"/>
    <w:rsid w:val="001C43BD"/>
    <w:rsid w:val="001C462B"/>
    <w:rsid w:val="001C46BD"/>
    <w:rsid w:val="001C46D2"/>
    <w:rsid w:val="001C47E4"/>
    <w:rsid w:val="001C4A87"/>
    <w:rsid w:val="001C4AA6"/>
    <w:rsid w:val="001C4B34"/>
    <w:rsid w:val="001C4B95"/>
    <w:rsid w:val="001C4CA7"/>
    <w:rsid w:val="001C4DFF"/>
    <w:rsid w:val="001C501F"/>
    <w:rsid w:val="001C50FB"/>
    <w:rsid w:val="001C5750"/>
    <w:rsid w:val="001C5969"/>
    <w:rsid w:val="001C5A3C"/>
    <w:rsid w:val="001C5B7C"/>
    <w:rsid w:val="001C5CBF"/>
    <w:rsid w:val="001C5D06"/>
    <w:rsid w:val="001C5E9D"/>
    <w:rsid w:val="001C5FF2"/>
    <w:rsid w:val="001C6023"/>
    <w:rsid w:val="001C61AB"/>
    <w:rsid w:val="001C6245"/>
    <w:rsid w:val="001C64F6"/>
    <w:rsid w:val="001C6505"/>
    <w:rsid w:val="001C656A"/>
    <w:rsid w:val="001C662C"/>
    <w:rsid w:val="001C6896"/>
    <w:rsid w:val="001C695A"/>
    <w:rsid w:val="001C6988"/>
    <w:rsid w:val="001C6A42"/>
    <w:rsid w:val="001C6AD3"/>
    <w:rsid w:val="001C6C0E"/>
    <w:rsid w:val="001C6CF3"/>
    <w:rsid w:val="001C6D7B"/>
    <w:rsid w:val="001C6EFF"/>
    <w:rsid w:val="001C702B"/>
    <w:rsid w:val="001C73CB"/>
    <w:rsid w:val="001C74BE"/>
    <w:rsid w:val="001C7513"/>
    <w:rsid w:val="001C76B0"/>
    <w:rsid w:val="001C778D"/>
    <w:rsid w:val="001C79B5"/>
    <w:rsid w:val="001C7F74"/>
    <w:rsid w:val="001D0150"/>
    <w:rsid w:val="001D01F9"/>
    <w:rsid w:val="001D0296"/>
    <w:rsid w:val="001D064A"/>
    <w:rsid w:val="001D0A80"/>
    <w:rsid w:val="001D0A9A"/>
    <w:rsid w:val="001D0AF4"/>
    <w:rsid w:val="001D0DE1"/>
    <w:rsid w:val="001D0E11"/>
    <w:rsid w:val="001D0E64"/>
    <w:rsid w:val="001D0EA3"/>
    <w:rsid w:val="001D1263"/>
    <w:rsid w:val="001D1345"/>
    <w:rsid w:val="001D14FA"/>
    <w:rsid w:val="001D1625"/>
    <w:rsid w:val="001D177D"/>
    <w:rsid w:val="001D1783"/>
    <w:rsid w:val="001D1C78"/>
    <w:rsid w:val="001D1CE4"/>
    <w:rsid w:val="001D1E42"/>
    <w:rsid w:val="001D2069"/>
    <w:rsid w:val="001D20D3"/>
    <w:rsid w:val="001D2573"/>
    <w:rsid w:val="001D264E"/>
    <w:rsid w:val="001D2687"/>
    <w:rsid w:val="001D2797"/>
    <w:rsid w:val="001D27A6"/>
    <w:rsid w:val="001D27CF"/>
    <w:rsid w:val="001D286D"/>
    <w:rsid w:val="001D2A09"/>
    <w:rsid w:val="001D2C65"/>
    <w:rsid w:val="001D2CFC"/>
    <w:rsid w:val="001D2D58"/>
    <w:rsid w:val="001D303F"/>
    <w:rsid w:val="001D3104"/>
    <w:rsid w:val="001D331A"/>
    <w:rsid w:val="001D341C"/>
    <w:rsid w:val="001D34ED"/>
    <w:rsid w:val="001D3588"/>
    <w:rsid w:val="001D35C5"/>
    <w:rsid w:val="001D3729"/>
    <w:rsid w:val="001D37AA"/>
    <w:rsid w:val="001D37C3"/>
    <w:rsid w:val="001D38A6"/>
    <w:rsid w:val="001D3B95"/>
    <w:rsid w:val="001D3C84"/>
    <w:rsid w:val="001D3CDA"/>
    <w:rsid w:val="001D3D2C"/>
    <w:rsid w:val="001D3D30"/>
    <w:rsid w:val="001D3D57"/>
    <w:rsid w:val="001D3E06"/>
    <w:rsid w:val="001D3FD4"/>
    <w:rsid w:val="001D4043"/>
    <w:rsid w:val="001D40ED"/>
    <w:rsid w:val="001D42CC"/>
    <w:rsid w:val="001D44F0"/>
    <w:rsid w:val="001D470F"/>
    <w:rsid w:val="001D4792"/>
    <w:rsid w:val="001D4862"/>
    <w:rsid w:val="001D4953"/>
    <w:rsid w:val="001D49A1"/>
    <w:rsid w:val="001D49D0"/>
    <w:rsid w:val="001D4B0D"/>
    <w:rsid w:val="001D4BC6"/>
    <w:rsid w:val="001D4C01"/>
    <w:rsid w:val="001D4DB0"/>
    <w:rsid w:val="001D4E66"/>
    <w:rsid w:val="001D4FD8"/>
    <w:rsid w:val="001D5020"/>
    <w:rsid w:val="001D52CB"/>
    <w:rsid w:val="001D549C"/>
    <w:rsid w:val="001D5509"/>
    <w:rsid w:val="001D5A9F"/>
    <w:rsid w:val="001D5DCA"/>
    <w:rsid w:val="001D5E69"/>
    <w:rsid w:val="001D61AF"/>
    <w:rsid w:val="001D6482"/>
    <w:rsid w:val="001D658C"/>
    <w:rsid w:val="001D66B3"/>
    <w:rsid w:val="001D67CD"/>
    <w:rsid w:val="001D67F1"/>
    <w:rsid w:val="001D6B32"/>
    <w:rsid w:val="001D6EB8"/>
    <w:rsid w:val="001D7025"/>
    <w:rsid w:val="001D7161"/>
    <w:rsid w:val="001D725C"/>
    <w:rsid w:val="001D74D1"/>
    <w:rsid w:val="001D770C"/>
    <w:rsid w:val="001D7779"/>
    <w:rsid w:val="001D7962"/>
    <w:rsid w:val="001D7AEB"/>
    <w:rsid w:val="001D7B26"/>
    <w:rsid w:val="001D7E3E"/>
    <w:rsid w:val="001D7E45"/>
    <w:rsid w:val="001D7F10"/>
    <w:rsid w:val="001D7F36"/>
    <w:rsid w:val="001E00AB"/>
    <w:rsid w:val="001E0164"/>
    <w:rsid w:val="001E01BF"/>
    <w:rsid w:val="001E01E9"/>
    <w:rsid w:val="001E03DE"/>
    <w:rsid w:val="001E0586"/>
    <w:rsid w:val="001E062E"/>
    <w:rsid w:val="001E0662"/>
    <w:rsid w:val="001E07AA"/>
    <w:rsid w:val="001E07BB"/>
    <w:rsid w:val="001E0A4F"/>
    <w:rsid w:val="001E0BBF"/>
    <w:rsid w:val="001E0C62"/>
    <w:rsid w:val="001E0C6A"/>
    <w:rsid w:val="001E0D04"/>
    <w:rsid w:val="001E0DD8"/>
    <w:rsid w:val="001E0F47"/>
    <w:rsid w:val="001E1055"/>
    <w:rsid w:val="001E139D"/>
    <w:rsid w:val="001E1439"/>
    <w:rsid w:val="001E1497"/>
    <w:rsid w:val="001E1748"/>
    <w:rsid w:val="001E18AF"/>
    <w:rsid w:val="001E1A56"/>
    <w:rsid w:val="001E1BB7"/>
    <w:rsid w:val="001E1D5F"/>
    <w:rsid w:val="001E1E49"/>
    <w:rsid w:val="001E1ED6"/>
    <w:rsid w:val="001E1FF4"/>
    <w:rsid w:val="001E2004"/>
    <w:rsid w:val="001E20D0"/>
    <w:rsid w:val="001E2319"/>
    <w:rsid w:val="001E2468"/>
    <w:rsid w:val="001E277F"/>
    <w:rsid w:val="001E2792"/>
    <w:rsid w:val="001E2808"/>
    <w:rsid w:val="001E2917"/>
    <w:rsid w:val="001E2A84"/>
    <w:rsid w:val="001E2E72"/>
    <w:rsid w:val="001E2EDD"/>
    <w:rsid w:val="001E2F09"/>
    <w:rsid w:val="001E3230"/>
    <w:rsid w:val="001E326C"/>
    <w:rsid w:val="001E3418"/>
    <w:rsid w:val="001E3448"/>
    <w:rsid w:val="001E3680"/>
    <w:rsid w:val="001E3896"/>
    <w:rsid w:val="001E40FC"/>
    <w:rsid w:val="001E43CC"/>
    <w:rsid w:val="001E4485"/>
    <w:rsid w:val="001E45BD"/>
    <w:rsid w:val="001E47A2"/>
    <w:rsid w:val="001E4819"/>
    <w:rsid w:val="001E4B49"/>
    <w:rsid w:val="001E4BDF"/>
    <w:rsid w:val="001E4DAB"/>
    <w:rsid w:val="001E4F48"/>
    <w:rsid w:val="001E4F65"/>
    <w:rsid w:val="001E4FC5"/>
    <w:rsid w:val="001E50A7"/>
    <w:rsid w:val="001E517C"/>
    <w:rsid w:val="001E5550"/>
    <w:rsid w:val="001E57A0"/>
    <w:rsid w:val="001E5A7F"/>
    <w:rsid w:val="001E5B3F"/>
    <w:rsid w:val="001E5CCE"/>
    <w:rsid w:val="001E5E95"/>
    <w:rsid w:val="001E5EA4"/>
    <w:rsid w:val="001E5FBF"/>
    <w:rsid w:val="001E60EC"/>
    <w:rsid w:val="001E6341"/>
    <w:rsid w:val="001E63C0"/>
    <w:rsid w:val="001E669B"/>
    <w:rsid w:val="001E66F2"/>
    <w:rsid w:val="001E6AA9"/>
    <w:rsid w:val="001E6C6C"/>
    <w:rsid w:val="001E6CC4"/>
    <w:rsid w:val="001E6DA9"/>
    <w:rsid w:val="001E6E3C"/>
    <w:rsid w:val="001E6FFC"/>
    <w:rsid w:val="001E7051"/>
    <w:rsid w:val="001E71F9"/>
    <w:rsid w:val="001E74BC"/>
    <w:rsid w:val="001E74FA"/>
    <w:rsid w:val="001E750A"/>
    <w:rsid w:val="001E7BA2"/>
    <w:rsid w:val="001E7DDA"/>
    <w:rsid w:val="001E7FBB"/>
    <w:rsid w:val="001F0330"/>
    <w:rsid w:val="001F0458"/>
    <w:rsid w:val="001F056C"/>
    <w:rsid w:val="001F07B9"/>
    <w:rsid w:val="001F0A46"/>
    <w:rsid w:val="001F0B57"/>
    <w:rsid w:val="001F0B80"/>
    <w:rsid w:val="001F0BB1"/>
    <w:rsid w:val="001F0BF0"/>
    <w:rsid w:val="001F0C7F"/>
    <w:rsid w:val="001F0E33"/>
    <w:rsid w:val="001F1044"/>
    <w:rsid w:val="001F10F6"/>
    <w:rsid w:val="001F123A"/>
    <w:rsid w:val="001F12A6"/>
    <w:rsid w:val="001F137F"/>
    <w:rsid w:val="001F138E"/>
    <w:rsid w:val="001F13B9"/>
    <w:rsid w:val="001F13C0"/>
    <w:rsid w:val="001F13D1"/>
    <w:rsid w:val="001F13D4"/>
    <w:rsid w:val="001F1571"/>
    <w:rsid w:val="001F1C6C"/>
    <w:rsid w:val="001F1CAB"/>
    <w:rsid w:val="001F1CBE"/>
    <w:rsid w:val="001F1CFC"/>
    <w:rsid w:val="001F1D8E"/>
    <w:rsid w:val="001F1FF3"/>
    <w:rsid w:val="001F21CC"/>
    <w:rsid w:val="001F227F"/>
    <w:rsid w:val="001F22FC"/>
    <w:rsid w:val="001F26E5"/>
    <w:rsid w:val="001F28C8"/>
    <w:rsid w:val="001F2CA4"/>
    <w:rsid w:val="001F2DF6"/>
    <w:rsid w:val="001F2ECD"/>
    <w:rsid w:val="001F2EFA"/>
    <w:rsid w:val="001F32C7"/>
    <w:rsid w:val="001F32FA"/>
    <w:rsid w:val="001F33C2"/>
    <w:rsid w:val="001F3488"/>
    <w:rsid w:val="001F3937"/>
    <w:rsid w:val="001F3DC3"/>
    <w:rsid w:val="001F3DF3"/>
    <w:rsid w:val="001F42E9"/>
    <w:rsid w:val="001F4403"/>
    <w:rsid w:val="001F4440"/>
    <w:rsid w:val="001F46A7"/>
    <w:rsid w:val="001F46B0"/>
    <w:rsid w:val="001F4743"/>
    <w:rsid w:val="001F4874"/>
    <w:rsid w:val="001F48BE"/>
    <w:rsid w:val="001F48F1"/>
    <w:rsid w:val="001F4993"/>
    <w:rsid w:val="001F49CA"/>
    <w:rsid w:val="001F4A66"/>
    <w:rsid w:val="001F4A85"/>
    <w:rsid w:val="001F4ADF"/>
    <w:rsid w:val="001F4CCA"/>
    <w:rsid w:val="001F4D57"/>
    <w:rsid w:val="001F4D8E"/>
    <w:rsid w:val="001F4E12"/>
    <w:rsid w:val="001F5044"/>
    <w:rsid w:val="001F5273"/>
    <w:rsid w:val="001F53F1"/>
    <w:rsid w:val="001F549A"/>
    <w:rsid w:val="001F58CA"/>
    <w:rsid w:val="001F5925"/>
    <w:rsid w:val="001F5966"/>
    <w:rsid w:val="001F5A1D"/>
    <w:rsid w:val="001F5A5A"/>
    <w:rsid w:val="001F5B38"/>
    <w:rsid w:val="001F5B65"/>
    <w:rsid w:val="001F5E17"/>
    <w:rsid w:val="001F6099"/>
    <w:rsid w:val="001F620A"/>
    <w:rsid w:val="001F621E"/>
    <w:rsid w:val="001F636C"/>
    <w:rsid w:val="001F6398"/>
    <w:rsid w:val="001F64D7"/>
    <w:rsid w:val="001F652D"/>
    <w:rsid w:val="001F65E3"/>
    <w:rsid w:val="001F6766"/>
    <w:rsid w:val="001F7431"/>
    <w:rsid w:val="001F773F"/>
    <w:rsid w:val="001F7882"/>
    <w:rsid w:val="001F79C9"/>
    <w:rsid w:val="001F79E7"/>
    <w:rsid w:val="001F7A5F"/>
    <w:rsid w:val="001F7B62"/>
    <w:rsid w:val="001F7B9C"/>
    <w:rsid w:val="001F7C3D"/>
    <w:rsid w:val="001F7D04"/>
    <w:rsid w:val="001F7DB1"/>
    <w:rsid w:val="001F7F41"/>
    <w:rsid w:val="002000F4"/>
    <w:rsid w:val="00200246"/>
    <w:rsid w:val="002003FD"/>
    <w:rsid w:val="0020073C"/>
    <w:rsid w:val="00200749"/>
    <w:rsid w:val="00200760"/>
    <w:rsid w:val="002008B8"/>
    <w:rsid w:val="00200A7B"/>
    <w:rsid w:val="00200C1C"/>
    <w:rsid w:val="00200C5A"/>
    <w:rsid w:val="002010DD"/>
    <w:rsid w:val="0020131B"/>
    <w:rsid w:val="002013A5"/>
    <w:rsid w:val="002013EC"/>
    <w:rsid w:val="002014DC"/>
    <w:rsid w:val="0020152C"/>
    <w:rsid w:val="00201678"/>
    <w:rsid w:val="002016AA"/>
    <w:rsid w:val="00201A71"/>
    <w:rsid w:val="00201B98"/>
    <w:rsid w:val="00201E9E"/>
    <w:rsid w:val="00202134"/>
    <w:rsid w:val="0020224A"/>
    <w:rsid w:val="00202253"/>
    <w:rsid w:val="00202276"/>
    <w:rsid w:val="00202469"/>
    <w:rsid w:val="00202493"/>
    <w:rsid w:val="002024AD"/>
    <w:rsid w:val="002024F8"/>
    <w:rsid w:val="00202630"/>
    <w:rsid w:val="00202798"/>
    <w:rsid w:val="002028A4"/>
    <w:rsid w:val="00202906"/>
    <w:rsid w:val="00202984"/>
    <w:rsid w:val="00202CC2"/>
    <w:rsid w:val="00202F91"/>
    <w:rsid w:val="00203169"/>
    <w:rsid w:val="002031CB"/>
    <w:rsid w:val="002031F2"/>
    <w:rsid w:val="0020332A"/>
    <w:rsid w:val="002033FF"/>
    <w:rsid w:val="00203601"/>
    <w:rsid w:val="00203674"/>
    <w:rsid w:val="002037B4"/>
    <w:rsid w:val="002038F9"/>
    <w:rsid w:val="00203983"/>
    <w:rsid w:val="002039B9"/>
    <w:rsid w:val="00203B49"/>
    <w:rsid w:val="00203C39"/>
    <w:rsid w:val="00203CCA"/>
    <w:rsid w:val="00203F13"/>
    <w:rsid w:val="00204449"/>
    <w:rsid w:val="002044CD"/>
    <w:rsid w:val="0020453B"/>
    <w:rsid w:val="00204771"/>
    <w:rsid w:val="0020478B"/>
    <w:rsid w:val="00204938"/>
    <w:rsid w:val="002049F1"/>
    <w:rsid w:val="00204A67"/>
    <w:rsid w:val="00204E93"/>
    <w:rsid w:val="00204EC2"/>
    <w:rsid w:val="00204F22"/>
    <w:rsid w:val="00204F52"/>
    <w:rsid w:val="0020504D"/>
    <w:rsid w:val="002051E7"/>
    <w:rsid w:val="002052CC"/>
    <w:rsid w:val="0020530A"/>
    <w:rsid w:val="002054D8"/>
    <w:rsid w:val="00205888"/>
    <w:rsid w:val="002058FE"/>
    <w:rsid w:val="002059DD"/>
    <w:rsid w:val="00205B80"/>
    <w:rsid w:val="00205C12"/>
    <w:rsid w:val="00205D97"/>
    <w:rsid w:val="00205DD8"/>
    <w:rsid w:val="0020624B"/>
    <w:rsid w:val="0020630A"/>
    <w:rsid w:val="002065E5"/>
    <w:rsid w:val="0020668D"/>
    <w:rsid w:val="00206691"/>
    <w:rsid w:val="00206842"/>
    <w:rsid w:val="00206891"/>
    <w:rsid w:val="002068AC"/>
    <w:rsid w:val="00206D4D"/>
    <w:rsid w:val="00206D70"/>
    <w:rsid w:val="00206E25"/>
    <w:rsid w:val="00206F56"/>
    <w:rsid w:val="0020714D"/>
    <w:rsid w:val="002071F0"/>
    <w:rsid w:val="002072D8"/>
    <w:rsid w:val="00207348"/>
    <w:rsid w:val="00207455"/>
    <w:rsid w:val="002074D5"/>
    <w:rsid w:val="00207554"/>
    <w:rsid w:val="002077A8"/>
    <w:rsid w:val="002077AD"/>
    <w:rsid w:val="002077F0"/>
    <w:rsid w:val="002079BC"/>
    <w:rsid w:val="00207A93"/>
    <w:rsid w:val="00207AA8"/>
    <w:rsid w:val="00207BEB"/>
    <w:rsid w:val="00207CB4"/>
    <w:rsid w:val="00207F07"/>
    <w:rsid w:val="00207F4F"/>
    <w:rsid w:val="00207F64"/>
    <w:rsid w:val="00210005"/>
    <w:rsid w:val="0021002E"/>
    <w:rsid w:val="002102C7"/>
    <w:rsid w:val="002104DD"/>
    <w:rsid w:val="00210624"/>
    <w:rsid w:val="00210643"/>
    <w:rsid w:val="00210664"/>
    <w:rsid w:val="00210695"/>
    <w:rsid w:val="002106D0"/>
    <w:rsid w:val="00210717"/>
    <w:rsid w:val="00210854"/>
    <w:rsid w:val="00210A73"/>
    <w:rsid w:val="00210B0C"/>
    <w:rsid w:val="00210BC0"/>
    <w:rsid w:val="00210C37"/>
    <w:rsid w:val="00210CC2"/>
    <w:rsid w:val="002110E1"/>
    <w:rsid w:val="00211183"/>
    <w:rsid w:val="0021118D"/>
    <w:rsid w:val="00211299"/>
    <w:rsid w:val="0021129D"/>
    <w:rsid w:val="00211490"/>
    <w:rsid w:val="0021152B"/>
    <w:rsid w:val="00211553"/>
    <w:rsid w:val="00211567"/>
    <w:rsid w:val="002115DC"/>
    <w:rsid w:val="00211818"/>
    <w:rsid w:val="0021192A"/>
    <w:rsid w:val="0021193A"/>
    <w:rsid w:val="002119C8"/>
    <w:rsid w:val="002119E7"/>
    <w:rsid w:val="00211B30"/>
    <w:rsid w:val="00211B6A"/>
    <w:rsid w:val="00211B7D"/>
    <w:rsid w:val="00211C0D"/>
    <w:rsid w:val="00211C63"/>
    <w:rsid w:val="00211C9A"/>
    <w:rsid w:val="00211D54"/>
    <w:rsid w:val="00211D57"/>
    <w:rsid w:val="00211F9D"/>
    <w:rsid w:val="00211FD5"/>
    <w:rsid w:val="00211FDB"/>
    <w:rsid w:val="00212029"/>
    <w:rsid w:val="002121ED"/>
    <w:rsid w:val="002123B1"/>
    <w:rsid w:val="002124A6"/>
    <w:rsid w:val="002124F3"/>
    <w:rsid w:val="0021254F"/>
    <w:rsid w:val="00212571"/>
    <w:rsid w:val="00212782"/>
    <w:rsid w:val="0021282C"/>
    <w:rsid w:val="0021299C"/>
    <w:rsid w:val="0021299F"/>
    <w:rsid w:val="00212A26"/>
    <w:rsid w:val="00212B37"/>
    <w:rsid w:val="00212CF7"/>
    <w:rsid w:val="00212D40"/>
    <w:rsid w:val="00212D45"/>
    <w:rsid w:val="00212F96"/>
    <w:rsid w:val="002130B5"/>
    <w:rsid w:val="0021368D"/>
    <w:rsid w:val="002137EB"/>
    <w:rsid w:val="00213812"/>
    <w:rsid w:val="00213947"/>
    <w:rsid w:val="002139BD"/>
    <w:rsid w:val="00213B63"/>
    <w:rsid w:val="00213BDB"/>
    <w:rsid w:val="00214037"/>
    <w:rsid w:val="002141CC"/>
    <w:rsid w:val="00214383"/>
    <w:rsid w:val="002143E5"/>
    <w:rsid w:val="00214441"/>
    <w:rsid w:val="0021449A"/>
    <w:rsid w:val="0021475C"/>
    <w:rsid w:val="0021480B"/>
    <w:rsid w:val="00214994"/>
    <w:rsid w:val="00214F26"/>
    <w:rsid w:val="0021517F"/>
    <w:rsid w:val="002151F7"/>
    <w:rsid w:val="0021524D"/>
    <w:rsid w:val="002153A2"/>
    <w:rsid w:val="0021559D"/>
    <w:rsid w:val="002157D3"/>
    <w:rsid w:val="00215EDA"/>
    <w:rsid w:val="002160D4"/>
    <w:rsid w:val="00216137"/>
    <w:rsid w:val="0021624F"/>
    <w:rsid w:val="0021675F"/>
    <w:rsid w:val="002168E0"/>
    <w:rsid w:val="00216918"/>
    <w:rsid w:val="00216BC2"/>
    <w:rsid w:val="00216BE5"/>
    <w:rsid w:val="00216C30"/>
    <w:rsid w:val="00216CCE"/>
    <w:rsid w:val="00216F3D"/>
    <w:rsid w:val="002170EC"/>
    <w:rsid w:val="00217110"/>
    <w:rsid w:val="00217505"/>
    <w:rsid w:val="002175B1"/>
    <w:rsid w:val="002175D9"/>
    <w:rsid w:val="00217682"/>
    <w:rsid w:val="002176EE"/>
    <w:rsid w:val="0021774D"/>
    <w:rsid w:val="00217839"/>
    <w:rsid w:val="002178C5"/>
    <w:rsid w:val="00217AD7"/>
    <w:rsid w:val="00217CE5"/>
    <w:rsid w:val="00217E43"/>
    <w:rsid w:val="00217F6F"/>
    <w:rsid w:val="00220002"/>
    <w:rsid w:val="0022019C"/>
    <w:rsid w:val="00220608"/>
    <w:rsid w:val="00220693"/>
    <w:rsid w:val="002207A4"/>
    <w:rsid w:val="0022092D"/>
    <w:rsid w:val="002209B0"/>
    <w:rsid w:val="00220B2E"/>
    <w:rsid w:val="00220B96"/>
    <w:rsid w:val="00220DB8"/>
    <w:rsid w:val="00220DD6"/>
    <w:rsid w:val="00220F4B"/>
    <w:rsid w:val="00220F73"/>
    <w:rsid w:val="002211D2"/>
    <w:rsid w:val="002211FE"/>
    <w:rsid w:val="002212BB"/>
    <w:rsid w:val="002213C4"/>
    <w:rsid w:val="002214E6"/>
    <w:rsid w:val="00221589"/>
    <w:rsid w:val="002215D4"/>
    <w:rsid w:val="002215E6"/>
    <w:rsid w:val="002217D9"/>
    <w:rsid w:val="0022187D"/>
    <w:rsid w:val="00221A80"/>
    <w:rsid w:val="00221AA1"/>
    <w:rsid w:val="00221D3A"/>
    <w:rsid w:val="00221E2F"/>
    <w:rsid w:val="00221E6E"/>
    <w:rsid w:val="00221EDF"/>
    <w:rsid w:val="00221FEB"/>
    <w:rsid w:val="00222111"/>
    <w:rsid w:val="002221CC"/>
    <w:rsid w:val="0022239C"/>
    <w:rsid w:val="002223F7"/>
    <w:rsid w:val="0022268B"/>
    <w:rsid w:val="00222748"/>
    <w:rsid w:val="0022282D"/>
    <w:rsid w:val="002228D2"/>
    <w:rsid w:val="00222B14"/>
    <w:rsid w:val="00222D98"/>
    <w:rsid w:val="00222DA4"/>
    <w:rsid w:val="00222F02"/>
    <w:rsid w:val="00222F32"/>
    <w:rsid w:val="0022337A"/>
    <w:rsid w:val="0022353F"/>
    <w:rsid w:val="00223578"/>
    <w:rsid w:val="002235BC"/>
    <w:rsid w:val="00223690"/>
    <w:rsid w:val="00223758"/>
    <w:rsid w:val="00223B75"/>
    <w:rsid w:val="00223B7D"/>
    <w:rsid w:val="00223B83"/>
    <w:rsid w:val="00223C39"/>
    <w:rsid w:val="00223E55"/>
    <w:rsid w:val="00223F5B"/>
    <w:rsid w:val="002241B2"/>
    <w:rsid w:val="00224200"/>
    <w:rsid w:val="002242C7"/>
    <w:rsid w:val="0022457F"/>
    <w:rsid w:val="0022491D"/>
    <w:rsid w:val="00224955"/>
    <w:rsid w:val="002249D5"/>
    <w:rsid w:val="00224B52"/>
    <w:rsid w:val="00224B74"/>
    <w:rsid w:val="00224B93"/>
    <w:rsid w:val="00224E08"/>
    <w:rsid w:val="00224E88"/>
    <w:rsid w:val="00224F12"/>
    <w:rsid w:val="00225196"/>
    <w:rsid w:val="0022536D"/>
    <w:rsid w:val="002254C8"/>
    <w:rsid w:val="002255EF"/>
    <w:rsid w:val="002256E1"/>
    <w:rsid w:val="00225989"/>
    <w:rsid w:val="002259B8"/>
    <w:rsid w:val="00225A54"/>
    <w:rsid w:val="00225C06"/>
    <w:rsid w:val="00225C7A"/>
    <w:rsid w:val="00225E2F"/>
    <w:rsid w:val="00226152"/>
    <w:rsid w:val="00226275"/>
    <w:rsid w:val="002262DC"/>
    <w:rsid w:val="002264E1"/>
    <w:rsid w:val="002264FD"/>
    <w:rsid w:val="00226EFA"/>
    <w:rsid w:val="00227027"/>
    <w:rsid w:val="0022709B"/>
    <w:rsid w:val="0022738D"/>
    <w:rsid w:val="0022743C"/>
    <w:rsid w:val="0022748E"/>
    <w:rsid w:val="00227597"/>
    <w:rsid w:val="0022759A"/>
    <w:rsid w:val="00227669"/>
    <w:rsid w:val="002278D6"/>
    <w:rsid w:val="002278EF"/>
    <w:rsid w:val="00227A57"/>
    <w:rsid w:val="00227AE4"/>
    <w:rsid w:val="00227D0D"/>
    <w:rsid w:val="00227D33"/>
    <w:rsid w:val="00227FF6"/>
    <w:rsid w:val="00230205"/>
    <w:rsid w:val="00230335"/>
    <w:rsid w:val="0023034B"/>
    <w:rsid w:val="00230368"/>
    <w:rsid w:val="0023043D"/>
    <w:rsid w:val="0023044C"/>
    <w:rsid w:val="002304AD"/>
    <w:rsid w:val="0023051D"/>
    <w:rsid w:val="0023063F"/>
    <w:rsid w:val="0023076F"/>
    <w:rsid w:val="002309A0"/>
    <w:rsid w:val="002309B9"/>
    <w:rsid w:val="002309CE"/>
    <w:rsid w:val="00230AA4"/>
    <w:rsid w:val="00230B51"/>
    <w:rsid w:val="00230C17"/>
    <w:rsid w:val="00230C9B"/>
    <w:rsid w:val="00230F32"/>
    <w:rsid w:val="00230F63"/>
    <w:rsid w:val="00231127"/>
    <w:rsid w:val="00231227"/>
    <w:rsid w:val="00231422"/>
    <w:rsid w:val="002315F1"/>
    <w:rsid w:val="0023167D"/>
    <w:rsid w:val="0023178A"/>
    <w:rsid w:val="002317B0"/>
    <w:rsid w:val="00231927"/>
    <w:rsid w:val="002319C4"/>
    <w:rsid w:val="00231D22"/>
    <w:rsid w:val="00231DC3"/>
    <w:rsid w:val="00231E5F"/>
    <w:rsid w:val="00231E81"/>
    <w:rsid w:val="00231F31"/>
    <w:rsid w:val="00231FC4"/>
    <w:rsid w:val="00231FE0"/>
    <w:rsid w:val="002320D2"/>
    <w:rsid w:val="00232112"/>
    <w:rsid w:val="0023229C"/>
    <w:rsid w:val="0023235C"/>
    <w:rsid w:val="00232380"/>
    <w:rsid w:val="0023242C"/>
    <w:rsid w:val="002324A1"/>
    <w:rsid w:val="00232639"/>
    <w:rsid w:val="002326FC"/>
    <w:rsid w:val="002327FC"/>
    <w:rsid w:val="002328D4"/>
    <w:rsid w:val="0023291F"/>
    <w:rsid w:val="00232B21"/>
    <w:rsid w:val="00232DD3"/>
    <w:rsid w:val="00232DE8"/>
    <w:rsid w:val="00232F88"/>
    <w:rsid w:val="00233447"/>
    <w:rsid w:val="002334A2"/>
    <w:rsid w:val="002336E4"/>
    <w:rsid w:val="00233710"/>
    <w:rsid w:val="0023378B"/>
    <w:rsid w:val="002337AE"/>
    <w:rsid w:val="00233871"/>
    <w:rsid w:val="00233982"/>
    <w:rsid w:val="0023399E"/>
    <w:rsid w:val="00233AAA"/>
    <w:rsid w:val="00233B84"/>
    <w:rsid w:val="00233BA8"/>
    <w:rsid w:val="00233D33"/>
    <w:rsid w:val="00233D9D"/>
    <w:rsid w:val="00233E30"/>
    <w:rsid w:val="00233FDC"/>
    <w:rsid w:val="0023409D"/>
    <w:rsid w:val="00234268"/>
    <w:rsid w:val="00234335"/>
    <w:rsid w:val="00234369"/>
    <w:rsid w:val="002343C2"/>
    <w:rsid w:val="00234552"/>
    <w:rsid w:val="00234BE5"/>
    <w:rsid w:val="00234C12"/>
    <w:rsid w:val="00234D68"/>
    <w:rsid w:val="00234F84"/>
    <w:rsid w:val="00234F8F"/>
    <w:rsid w:val="00235099"/>
    <w:rsid w:val="00235112"/>
    <w:rsid w:val="002352C4"/>
    <w:rsid w:val="0023541D"/>
    <w:rsid w:val="0023557D"/>
    <w:rsid w:val="0023567C"/>
    <w:rsid w:val="0023581B"/>
    <w:rsid w:val="002358C8"/>
    <w:rsid w:val="002358E5"/>
    <w:rsid w:val="002358E6"/>
    <w:rsid w:val="0023596C"/>
    <w:rsid w:val="00235A3E"/>
    <w:rsid w:val="00235AA6"/>
    <w:rsid w:val="00235C87"/>
    <w:rsid w:val="00235EA7"/>
    <w:rsid w:val="00235EC3"/>
    <w:rsid w:val="00235F60"/>
    <w:rsid w:val="0023608C"/>
    <w:rsid w:val="00236128"/>
    <w:rsid w:val="00236153"/>
    <w:rsid w:val="0023620F"/>
    <w:rsid w:val="002362B0"/>
    <w:rsid w:val="002365CE"/>
    <w:rsid w:val="00236706"/>
    <w:rsid w:val="00236767"/>
    <w:rsid w:val="002369DC"/>
    <w:rsid w:val="002369DD"/>
    <w:rsid w:val="00236CEF"/>
    <w:rsid w:val="00236D23"/>
    <w:rsid w:val="00236D42"/>
    <w:rsid w:val="00236E3B"/>
    <w:rsid w:val="00236FEB"/>
    <w:rsid w:val="00237109"/>
    <w:rsid w:val="0023713D"/>
    <w:rsid w:val="0023719E"/>
    <w:rsid w:val="002371C6"/>
    <w:rsid w:val="002372C8"/>
    <w:rsid w:val="002373CB"/>
    <w:rsid w:val="00237583"/>
    <w:rsid w:val="002375D8"/>
    <w:rsid w:val="002377D3"/>
    <w:rsid w:val="0023789E"/>
    <w:rsid w:val="00237930"/>
    <w:rsid w:val="002379C6"/>
    <w:rsid w:val="00237B1A"/>
    <w:rsid w:val="00237BDE"/>
    <w:rsid w:val="00237C01"/>
    <w:rsid w:val="00237CF2"/>
    <w:rsid w:val="00237D1B"/>
    <w:rsid w:val="00237E17"/>
    <w:rsid w:val="00237F91"/>
    <w:rsid w:val="0024003C"/>
    <w:rsid w:val="0024008D"/>
    <w:rsid w:val="002401BE"/>
    <w:rsid w:val="00240311"/>
    <w:rsid w:val="00240632"/>
    <w:rsid w:val="002406CD"/>
    <w:rsid w:val="00240C14"/>
    <w:rsid w:val="00240C84"/>
    <w:rsid w:val="00240E2C"/>
    <w:rsid w:val="00240E39"/>
    <w:rsid w:val="00240F99"/>
    <w:rsid w:val="00241154"/>
    <w:rsid w:val="00241217"/>
    <w:rsid w:val="00241242"/>
    <w:rsid w:val="0024140E"/>
    <w:rsid w:val="00241513"/>
    <w:rsid w:val="00241660"/>
    <w:rsid w:val="002419A9"/>
    <w:rsid w:val="002419D5"/>
    <w:rsid w:val="00241C28"/>
    <w:rsid w:val="00241D19"/>
    <w:rsid w:val="00241DD6"/>
    <w:rsid w:val="00241E8D"/>
    <w:rsid w:val="00241F5E"/>
    <w:rsid w:val="00242000"/>
    <w:rsid w:val="0024210C"/>
    <w:rsid w:val="00242241"/>
    <w:rsid w:val="002423B6"/>
    <w:rsid w:val="002425D9"/>
    <w:rsid w:val="00242833"/>
    <w:rsid w:val="00242843"/>
    <w:rsid w:val="002428F7"/>
    <w:rsid w:val="00242A6E"/>
    <w:rsid w:val="00242B2A"/>
    <w:rsid w:val="00242D12"/>
    <w:rsid w:val="00242D3D"/>
    <w:rsid w:val="00242DC4"/>
    <w:rsid w:val="00242E08"/>
    <w:rsid w:val="00242E7A"/>
    <w:rsid w:val="00243114"/>
    <w:rsid w:val="0024316B"/>
    <w:rsid w:val="00243195"/>
    <w:rsid w:val="0024330D"/>
    <w:rsid w:val="002434D7"/>
    <w:rsid w:val="002434ED"/>
    <w:rsid w:val="0024372A"/>
    <w:rsid w:val="00243926"/>
    <w:rsid w:val="00243BE6"/>
    <w:rsid w:val="00243C6C"/>
    <w:rsid w:val="00243D70"/>
    <w:rsid w:val="00243F52"/>
    <w:rsid w:val="00243F53"/>
    <w:rsid w:val="00243FAB"/>
    <w:rsid w:val="00243FEA"/>
    <w:rsid w:val="002440BB"/>
    <w:rsid w:val="002440C6"/>
    <w:rsid w:val="0024410A"/>
    <w:rsid w:val="00244132"/>
    <w:rsid w:val="00244200"/>
    <w:rsid w:val="00244278"/>
    <w:rsid w:val="00244332"/>
    <w:rsid w:val="00244394"/>
    <w:rsid w:val="002447F9"/>
    <w:rsid w:val="00244DE0"/>
    <w:rsid w:val="00244EEC"/>
    <w:rsid w:val="00244FA9"/>
    <w:rsid w:val="00245074"/>
    <w:rsid w:val="002450D2"/>
    <w:rsid w:val="002451BA"/>
    <w:rsid w:val="002451D2"/>
    <w:rsid w:val="00245242"/>
    <w:rsid w:val="00245586"/>
    <w:rsid w:val="002455A0"/>
    <w:rsid w:val="00245819"/>
    <w:rsid w:val="002458B4"/>
    <w:rsid w:val="00245A20"/>
    <w:rsid w:val="00245B8E"/>
    <w:rsid w:val="00245CD8"/>
    <w:rsid w:val="00245D6C"/>
    <w:rsid w:val="00245D7B"/>
    <w:rsid w:val="00245E16"/>
    <w:rsid w:val="00245E73"/>
    <w:rsid w:val="00245F88"/>
    <w:rsid w:val="00245FD8"/>
    <w:rsid w:val="0024600B"/>
    <w:rsid w:val="0024601F"/>
    <w:rsid w:val="002460B4"/>
    <w:rsid w:val="00246158"/>
    <w:rsid w:val="002461B8"/>
    <w:rsid w:val="002461D1"/>
    <w:rsid w:val="002462F3"/>
    <w:rsid w:val="002463B4"/>
    <w:rsid w:val="002463CE"/>
    <w:rsid w:val="002463D1"/>
    <w:rsid w:val="002463ED"/>
    <w:rsid w:val="002465B4"/>
    <w:rsid w:val="002466E1"/>
    <w:rsid w:val="00246840"/>
    <w:rsid w:val="00246869"/>
    <w:rsid w:val="00246A3D"/>
    <w:rsid w:val="00246C26"/>
    <w:rsid w:val="00246C7B"/>
    <w:rsid w:val="00246DE6"/>
    <w:rsid w:val="00246E85"/>
    <w:rsid w:val="0024701F"/>
    <w:rsid w:val="00247057"/>
    <w:rsid w:val="002470C4"/>
    <w:rsid w:val="002470C9"/>
    <w:rsid w:val="002470CE"/>
    <w:rsid w:val="002471D1"/>
    <w:rsid w:val="0024723B"/>
    <w:rsid w:val="002472E6"/>
    <w:rsid w:val="002475B0"/>
    <w:rsid w:val="00247615"/>
    <w:rsid w:val="00247703"/>
    <w:rsid w:val="00247821"/>
    <w:rsid w:val="00247844"/>
    <w:rsid w:val="0024784F"/>
    <w:rsid w:val="00247AC0"/>
    <w:rsid w:val="00247B20"/>
    <w:rsid w:val="00247E62"/>
    <w:rsid w:val="00247EBF"/>
    <w:rsid w:val="00247FA5"/>
    <w:rsid w:val="00250067"/>
    <w:rsid w:val="0025036B"/>
    <w:rsid w:val="002503B6"/>
    <w:rsid w:val="002503F5"/>
    <w:rsid w:val="00250506"/>
    <w:rsid w:val="00250587"/>
    <w:rsid w:val="0025074B"/>
    <w:rsid w:val="00250844"/>
    <w:rsid w:val="0025097D"/>
    <w:rsid w:val="00250A20"/>
    <w:rsid w:val="00250A41"/>
    <w:rsid w:val="00250B0F"/>
    <w:rsid w:val="00250B9E"/>
    <w:rsid w:val="00250DE0"/>
    <w:rsid w:val="00250EF4"/>
    <w:rsid w:val="00250F80"/>
    <w:rsid w:val="002513BD"/>
    <w:rsid w:val="002514E4"/>
    <w:rsid w:val="002515E8"/>
    <w:rsid w:val="00251796"/>
    <w:rsid w:val="002517D8"/>
    <w:rsid w:val="002518D1"/>
    <w:rsid w:val="00251A69"/>
    <w:rsid w:val="00251ABB"/>
    <w:rsid w:val="00251B44"/>
    <w:rsid w:val="00251E6A"/>
    <w:rsid w:val="002521D9"/>
    <w:rsid w:val="00252232"/>
    <w:rsid w:val="00252439"/>
    <w:rsid w:val="00252471"/>
    <w:rsid w:val="002524B3"/>
    <w:rsid w:val="00252545"/>
    <w:rsid w:val="002526A7"/>
    <w:rsid w:val="00252945"/>
    <w:rsid w:val="00252A5B"/>
    <w:rsid w:val="00252A7F"/>
    <w:rsid w:val="00252BAD"/>
    <w:rsid w:val="00252E9A"/>
    <w:rsid w:val="0025301B"/>
    <w:rsid w:val="0025305E"/>
    <w:rsid w:val="002530FB"/>
    <w:rsid w:val="0025339D"/>
    <w:rsid w:val="002533E0"/>
    <w:rsid w:val="002533EF"/>
    <w:rsid w:val="0025374F"/>
    <w:rsid w:val="00253A4C"/>
    <w:rsid w:val="00253DCE"/>
    <w:rsid w:val="00253DE6"/>
    <w:rsid w:val="00253E92"/>
    <w:rsid w:val="002540E1"/>
    <w:rsid w:val="00254246"/>
    <w:rsid w:val="002542BF"/>
    <w:rsid w:val="002542D1"/>
    <w:rsid w:val="00254517"/>
    <w:rsid w:val="002547A6"/>
    <w:rsid w:val="00254813"/>
    <w:rsid w:val="002548F0"/>
    <w:rsid w:val="00254A08"/>
    <w:rsid w:val="00254B1C"/>
    <w:rsid w:val="00254B32"/>
    <w:rsid w:val="00254B54"/>
    <w:rsid w:val="00254C54"/>
    <w:rsid w:val="00254E28"/>
    <w:rsid w:val="0025509D"/>
    <w:rsid w:val="002551D1"/>
    <w:rsid w:val="00255326"/>
    <w:rsid w:val="0025536A"/>
    <w:rsid w:val="00255397"/>
    <w:rsid w:val="00255400"/>
    <w:rsid w:val="00255442"/>
    <w:rsid w:val="00255444"/>
    <w:rsid w:val="00255446"/>
    <w:rsid w:val="00255634"/>
    <w:rsid w:val="00255CC9"/>
    <w:rsid w:val="00255E23"/>
    <w:rsid w:val="002561F4"/>
    <w:rsid w:val="002562D0"/>
    <w:rsid w:val="00256368"/>
    <w:rsid w:val="00256394"/>
    <w:rsid w:val="00256483"/>
    <w:rsid w:val="0025658F"/>
    <w:rsid w:val="002565C5"/>
    <w:rsid w:val="0025670D"/>
    <w:rsid w:val="00256992"/>
    <w:rsid w:val="00256E09"/>
    <w:rsid w:val="00256F7D"/>
    <w:rsid w:val="00256FC0"/>
    <w:rsid w:val="00257170"/>
    <w:rsid w:val="002571C4"/>
    <w:rsid w:val="00257231"/>
    <w:rsid w:val="002572DF"/>
    <w:rsid w:val="002573EE"/>
    <w:rsid w:val="0025764F"/>
    <w:rsid w:val="002576F2"/>
    <w:rsid w:val="00257A91"/>
    <w:rsid w:val="00257EB8"/>
    <w:rsid w:val="00260107"/>
    <w:rsid w:val="002602EC"/>
    <w:rsid w:val="0026035E"/>
    <w:rsid w:val="002603B3"/>
    <w:rsid w:val="00260569"/>
    <w:rsid w:val="002606DA"/>
    <w:rsid w:val="00260705"/>
    <w:rsid w:val="002608A1"/>
    <w:rsid w:val="0026090A"/>
    <w:rsid w:val="002609EB"/>
    <w:rsid w:val="00260B8B"/>
    <w:rsid w:val="00260D51"/>
    <w:rsid w:val="00260E73"/>
    <w:rsid w:val="00260EEF"/>
    <w:rsid w:val="0026103E"/>
    <w:rsid w:val="00261080"/>
    <w:rsid w:val="00261089"/>
    <w:rsid w:val="0026110C"/>
    <w:rsid w:val="002612C6"/>
    <w:rsid w:val="002613AD"/>
    <w:rsid w:val="002616CC"/>
    <w:rsid w:val="002616E9"/>
    <w:rsid w:val="002618D6"/>
    <w:rsid w:val="00261C1B"/>
    <w:rsid w:val="00261D60"/>
    <w:rsid w:val="00261DD6"/>
    <w:rsid w:val="00261E4F"/>
    <w:rsid w:val="00261FF1"/>
    <w:rsid w:val="00262088"/>
    <w:rsid w:val="00262276"/>
    <w:rsid w:val="002622BA"/>
    <w:rsid w:val="0026249A"/>
    <w:rsid w:val="002624F6"/>
    <w:rsid w:val="00262820"/>
    <w:rsid w:val="00262872"/>
    <w:rsid w:val="00262BED"/>
    <w:rsid w:val="00262C53"/>
    <w:rsid w:val="00262EC9"/>
    <w:rsid w:val="00262F40"/>
    <w:rsid w:val="00262F81"/>
    <w:rsid w:val="00263053"/>
    <w:rsid w:val="00263190"/>
    <w:rsid w:val="002631EE"/>
    <w:rsid w:val="00263201"/>
    <w:rsid w:val="002632D9"/>
    <w:rsid w:val="002633DA"/>
    <w:rsid w:val="0026343B"/>
    <w:rsid w:val="00263574"/>
    <w:rsid w:val="002635BA"/>
    <w:rsid w:val="0026377D"/>
    <w:rsid w:val="00263841"/>
    <w:rsid w:val="00263C34"/>
    <w:rsid w:val="00263CA8"/>
    <w:rsid w:val="00263D38"/>
    <w:rsid w:val="00263E65"/>
    <w:rsid w:val="00263EBC"/>
    <w:rsid w:val="00263FE2"/>
    <w:rsid w:val="002640F8"/>
    <w:rsid w:val="00264142"/>
    <w:rsid w:val="00264169"/>
    <w:rsid w:val="002641D2"/>
    <w:rsid w:val="00264C87"/>
    <w:rsid w:val="00264D04"/>
    <w:rsid w:val="00264D93"/>
    <w:rsid w:val="00264DB2"/>
    <w:rsid w:val="00264FB8"/>
    <w:rsid w:val="00265071"/>
    <w:rsid w:val="00265122"/>
    <w:rsid w:val="002651C3"/>
    <w:rsid w:val="00265256"/>
    <w:rsid w:val="00265286"/>
    <w:rsid w:val="002652B4"/>
    <w:rsid w:val="002653A3"/>
    <w:rsid w:val="002657AC"/>
    <w:rsid w:val="002658D3"/>
    <w:rsid w:val="00265BA4"/>
    <w:rsid w:val="00265CC4"/>
    <w:rsid w:val="00265D5B"/>
    <w:rsid w:val="00265EBC"/>
    <w:rsid w:val="00265FD7"/>
    <w:rsid w:val="00266037"/>
    <w:rsid w:val="00266049"/>
    <w:rsid w:val="002660A4"/>
    <w:rsid w:val="0026612E"/>
    <w:rsid w:val="00266240"/>
    <w:rsid w:val="00266280"/>
    <w:rsid w:val="002665FE"/>
    <w:rsid w:val="002667E6"/>
    <w:rsid w:val="002668FF"/>
    <w:rsid w:val="00266B48"/>
    <w:rsid w:val="00266B9C"/>
    <w:rsid w:val="00266CDE"/>
    <w:rsid w:val="00266E06"/>
    <w:rsid w:val="00266E65"/>
    <w:rsid w:val="00266E75"/>
    <w:rsid w:val="00266F88"/>
    <w:rsid w:val="002670A0"/>
    <w:rsid w:val="0026712F"/>
    <w:rsid w:val="0026717B"/>
    <w:rsid w:val="002674E0"/>
    <w:rsid w:val="0026770B"/>
    <w:rsid w:val="00267851"/>
    <w:rsid w:val="00267917"/>
    <w:rsid w:val="00267A24"/>
    <w:rsid w:val="00267BA5"/>
    <w:rsid w:val="00267BD0"/>
    <w:rsid w:val="00267BDC"/>
    <w:rsid w:val="00267CF2"/>
    <w:rsid w:val="00267D12"/>
    <w:rsid w:val="00267E1F"/>
    <w:rsid w:val="00270000"/>
    <w:rsid w:val="002701B2"/>
    <w:rsid w:val="002701DB"/>
    <w:rsid w:val="00270213"/>
    <w:rsid w:val="00270273"/>
    <w:rsid w:val="0027029E"/>
    <w:rsid w:val="002703CA"/>
    <w:rsid w:val="0027043D"/>
    <w:rsid w:val="002704BC"/>
    <w:rsid w:val="00270562"/>
    <w:rsid w:val="0027060F"/>
    <w:rsid w:val="002708F8"/>
    <w:rsid w:val="00270906"/>
    <w:rsid w:val="0027090F"/>
    <w:rsid w:val="00270915"/>
    <w:rsid w:val="00270AE2"/>
    <w:rsid w:val="00270D1E"/>
    <w:rsid w:val="00270E79"/>
    <w:rsid w:val="00270F83"/>
    <w:rsid w:val="0027118F"/>
    <w:rsid w:val="002711CA"/>
    <w:rsid w:val="00271419"/>
    <w:rsid w:val="00271463"/>
    <w:rsid w:val="002716FD"/>
    <w:rsid w:val="00271774"/>
    <w:rsid w:val="002717B4"/>
    <w:rsid w:val="00271B7F"/>
    <w:rsid w:val="00271B92"/>
    <w:rsid w:val="00271BFB"/>
    <w:rsid w:val="00271D61"/>
    <w:rsid w:val="00271D9C"/>
    <w:rsid w:val="00271DB1"/>
    <w:rsid w:val="00271F2F"/>
    <w:rsid w:val="00271F4C"/>
    <w:rsid w:val="00271F60"/>
    <w:rsid w:val="00271FFE"/>
    <w:rsid w:val="002722F2"/>
    <w:rsid w:val="002723B1"/>
    <w:rsid w:val="00272475"/>
    <w:rsid w:val="0027248B"/>
    <w:rsid w:val="00272725"/>
    <w:rsid w:val="002727FD"/>
    <w:rsid w:val="0027298C"/>
    <w:rsid w:val="00272B5F"/>
    <w:rsid w:val="00272DB4"/>
    <w:rsid w:val="00272EF2"/>
    <w:rsid w:val="00272F17"/>
    <w:rsid w:val="00272F45"/>
    <w:rsid w:val="00272FBD"/>
    <w:rsid w:val="00272FD4"/>
    <w:rsid w:val="00273019"/>
    <w:rsid w:val="00273126"/>
    <w:rsid w:val="002731DA"/>
    <w:rsid w:val="00273261"/>
    <w:rsid w:val="0027362C"/>
    <w:rsid w:val="00273658"/>
    <w:rsid w:val="0027392C"/>
    <w:rsid w:val="00273AAB"/>
    <w:rsid w:val="00273ADD"/>
    <w:rsid w:val="00273C80"/>
    <w:rsid w:val="00273DF1"/>
    <w:rsid w:val="00273E64"/>
    <w:rsid w:val="00273E73"/>
    <w:rsid w:val="00273EB5"/>
    <w:rsid w:val="00274051"/>
    <w:rsid w:val="0027447F"/>
    <w:rsid w:val="002745F4"/>
    <w:rsid w:val="00274691"/>
    <w:rsid w:val="00274763"/>
    <w:rsid w:val="002747EE"/>
    <w:rsid w:val="0027487F"/>
    <w:rsid w:val="002748F7"/>
    <w:rsid w:val="00274AB5"/>
    <w:rsid w:val="00274ABA"/>
    <w:rsid w:val="00274D5C"/>
    <w:rsid w:val="00274FD0"/>
    <w:rsid w:val="0027502C"/>
    <w:rsid w:val="0027504A"/>
    <w:rsid w:val="00275346"/>
    <w:rsid w:val="0027553A"/>
    <w:rsid w:val="002757AC"/>
    <w:rsid w:val="002757F2"/>
    <w:rsid w:val="0027588C"/>
    <w:rsid w:val="002758D7"/>
    <w:rsid w:val="0027591E"/>
    <w:rsid w:val="00275A58"/>
    <w:rsid w:val="00275AD5"/>
    <w:rsid w:val="00275B09"/>
    <w:rsid w:val="00275B53"/>
    <w:rsid w:val="00275C00"/>
    <w:rsid w:val="00275D54"/>
    <w:rsid w:val="00275DA6"/>
    <w:rsid w:val="00275E24"/>
    <w:rsid w:val="00275ECF"/>
    <w:rsid w:val="0027603D"/>
    <w:rsid w:val="002765D4"/>
    <w:rsid w:val="00276604"/>
    <w:rsid w:val="0027666D"/>
    <w:rsid w:val="00276753"/>
    <w:rsid w:val="00276899"/>
    <w:rsid w:val="00276C70"/>
    <w:rsid w:val="00276CA7"/>
    <w:rsid w:val="00276D8C"/>
    <w:rsid w:val="00276D96"/>
    <w:rsid w:val="00276EB8"/>
    <w:rsid w:val="002772D9"/>
    <w:rsid w:val="00277383"/>
    <w:rsid w:val="00277509"/>
    <w:rsid w:val="002775C3"/>
    <w:rsid w:val="00277804"/>
    <w:rsid w:val="00277885"/>
    <w:rsid w:val="00277975"/>
    <w:rsid w:val="00277F18"/>
    <w:rsid w:val="0028011E"/>
    <w:rsid w:val="002802AA"/>
    <w:rsid w:val="0028067E"/>
    <w:rsid w:val="002807C5"/>
    <w:rsid w:val="002807CA"/>
    <w:rsid w:val="0028085C"/>
    <w:rsid w:val="00280A68"/>
    <w:rsid w:val="00280DD2"/>
    <w:rsid w:val="00280DE5"/>
    <w:rsid w:val="00280E9A"/>
    <w:rsid w:val="00280F47"/>
    <w:rsid w:val="00280FA9"/>
    <w:rsid w:val="0028105E"/>
    <w:rsid w:val="00281100"/>
    <w:rsid w:val="00281158"/>
    <w:rsid w:val="002811DD"/>
    <w:rsid w:val="002813A7"/>
    <w:rsid w:val="002813CA"/>
    <w:rsid w:val="00281416"/>
    <w:rsid w:val="00281576"/>
    <w:rsid w:val="0028171C"/>
    <w:rsid w:val="00281913"/>
    <w:rsid w:val="00281BAC"/>
    <w:rsid w:val="00281BCD"/>
    <w:rsid w:val="00281D58"/>
    <w:rsid w:val="00281EA2"/>
    <w:rsid w:val="00281F33"/>
    <w:rsid w:val="00282127"/>
    <w:rsid w:val="002824B3"/>
    <w:rsid w:val="002824FB"/>
    <w:rsid w:val="00282588"/>
    <w:rsid w:val="0028259D"/>
    <w:rsid w:val="0028275C"/>
    <w:rsid w:val="00282902"/>
    <w:rsid w:val="00282ACD"/>
    <w:rsid w:val="00282D23"/>
    <w:rsid w:val="00282DCE"/>
    <w:rsid w:val="0028308F"/>
    <w:rsid w:val="002830BD"/>
    <w:rsid w:val="002832BC"/>
    <w:rsid w:val="002832D8"/>
    <w:rsid w:val="00283333"/>
    <w:rsid w:val="00283353"/>
    <w:rsid w:val="00283443"/>
    <w:rsid w:val="0028355C"/>
    <w:rsid w:val="00283626"/>
    <w:rsid w:val="00283991"/>
    <w:rsid w:val="00283A99"/>
    <w:rsid w:val="00283BBE"/>
    <w:rsid w:val="00283C7E"/>
    <w:rsid w:val="00283C8E"/>
    <w:rsid w:val="00283DC7"/>
    <w:rsid w:val="00283E5C"/>
    <w:rsid w:val="00283EF9"/>
    <w:rsid w:val="002840E5"/>
    <w:rsid w:val="0028435C"/>
    <w:rsid w:val="002844C2"/>
    <w:rsid w:val="002846D1"/>
    <w:rsid w:val="002847A8"/>
    <w:rsid w:val="002849F5"/>
    <w:rsid w:val="00284B1F"/>
    <w:rsid w:val="00284B81"/>
    <w:rsid w:val="00284BC3"/>
    <w:rsid w:val="00284C81"/>
    <w:rsid w:val="00284CAE"/>
    <w:rsid w:val="00284CC1"/>
    <w:rsid w:val="00284E54"/>
    <w:rsid w:val="00284ECE"/>
    <w:rsid w:val="00284FBD"/>
    <w:rsid w:val="0028510F"/>
    <w:rsid w:val="00285128"/>
    <w:rsid w:val="00285152"/>
    <w:rsid w:val="002851DF"/>
    <w:rsid w:val="002853FB"/>
    <w:rsid w:val="0028550C"/>
    <w:rsid w:val="0028550D"/>
    <w:rsid w:val="0028551D"/>
    <w:rsid w:val="00285624"/>
    <w:rsid w:val="00285732"/>
    <w:rsid w:val="002857B1"/>
    <w:rsid w:val="002857BD"/>
    <w:rsid w:val="002858A2"/>
    <w:rsid w:val="00285A41"/>
    <w:rsid w:val="00285C6B"/>
    <w:rsid w:val="00285FB2"/>
    <w:rsid w:val="002861D4"/>
    <w:rsid w:val="00286223"/>
    <w:rsid w:val="00286319"/>
    <w:rsid w:val="00286400"/>
    <w:rsid w:val="002864C4"/>
    <w:rsid w:val="002864D1"/>
    <w:rsid w:val="00286572"/>
    <w:rsid w:val="002865BC"/>
    <w:rsid w:val="00286776"/>
    <w:rsid w:val="00286788"/>
    <w:rsid w:val="002867B7"/>
    <w:rsid w:val="00286979"/>
    <w:rsid w:val="00286A92"/>
    <w:rsid w:val="00286C23"/>
    <w:rsid w:val="00286C37"/>
    <w:rsid w:val="00286D52"/>
    <w:rsid w:val="00286E42"/>
    <w:rsid w:val="00286EC1"/>
    <w:rsid w:val="0028716F"/>
    <w:rsid w:val="002871C5"/>
    <w:rsid w:val="00287229"/>
    <w:rsid w:val="002872AB"/>
    <w:rsid w:val="002872F8"/>
    <w:rsid w:val="0028747A"/>
    <w:rsid w:val="00287615"/>
    <w:rsid w:val="0028769A"/>
    <w:rsid w:val="00287790"/>
    <w:rsid w:val="00287805"/>
    <w:rsid w:val="0028780A"/>
    <w:rsid w:val="00287830"/>
    <w:rsid w:val="00287919"/>
    <w:rsid w:val="00287A2C"/>
    <w:rsid w:val="00287CAD"/>
    <w:rsid w:val="00287E90"/>
    <w:rsid w:val="00290068"/>
    <w:rsid w:val="002900A0"/>
    <w:rsid w:val="0029010F"/>
    <w:rsid w:val="002901DC"/>
    <w:rsid w:val="00290210"/>
    <w:rsid w:val="00290281"/>
    <w:rsid w:val="00290486"/>
    <w:rsid w:val="00290511"/>
    <w:rsid w:val="002906AF"/>
    <w:rsid w:val="002906F4"/>
    <w:rsid w:val="0029071B"/>
    <w:rsid w:val="0029075F"/>
    <w:rsid w:val="002907A3"/>
    <w:rsid w:val="00290935"/>
    <w:rsid w:val="00290D30"/>
    <w:rsid w:val="00290E4A"/>
    <w:rsid w:val="00290F85"/>
    <w:rsid w:val="0029111D"/>
    <w:rsid w:val="0029124D"/>
    <w:rsid w:val="00291452"/>
    <w:rsid w:val="002916DF"/>
    <w:rsid w:val="002917A1"/>
    <w:rsid w:val="0029187A"/>
    <w:rsid w:val="002918E6"/>
    <w:rsid w:val="0029190E"/>
    <w:rsid w:val="00291926"/>
    <w:rsid w:val="0029195E"/>
    <w:rsid w:val="002919F8"/>
    <w:rsid w:val="00291C82"/>
    <w:rsid w:val="00291CDC"/>
    <w:rsid w:val="00291E52"/>
    <w:rsid w:val="00291FC6"/>
    <w:rsid w:val="002920BB"/>
    <w:rsid w:val="002920D2"/>
    <w:rsid w:val="0029210C"/>
    <w:rsid w:val="00292163"/>
    <w:rsid w:val="0029227A"/>
    <w:rsid w:val="002922ED"/>
    <w:rsid w:val="002924C5"/>
    <w:rsid w:val="00292511"/>
    <w:rsid w:val="002926F9"/>
    <w:rsid w:val="00292BF0"/>
    <w:rsid w:val="00292CEE"/>
    <w:rsid w:val="00292E6A"/>
    <w:rsid w:val="00292EB1"/>
    <w:rsid w:val="002930A5"/>
    <w:rsid w:val="00293112"/>
    <w:rsid w:val="002935AC"/>
    <w:rsid w:val="0029366A"/>
    <w:rsid w:val="00293680"/>
    <w:rsid w:val="002936B6"/>
    <w:rsid w:val="00293744"/>
    <w:rsid w:val="00293761"/>
    <w:rsid w:val="00293773"/>
    <w:rsid w:val="002937B7"/>
    <w:rsid w:val="002937FE"/>
    <w:rsid w:val="0029393E"/>
    <w:rsid w:val="002939D6"/>
    <w:rsid w:val="00293A69"/>
    <w:rsid w:val="00293AB0"/>
    <w:rsid w:val="00293CE4"/>
    <w:rsid w:val="00293E0B"/>
    <w:rsid w:val="00293E3B"/>
    <w:rsid w:val="00293EE0"/>
    <w:rsid w:val="00294200"/>
    <w:rsid w:val="00294346"/>
    <w:rsid w:val="00294650"/>
    <w:rsid w:val="00294707"/>
    <w:rsid w:val="00294962"/>
    <w:rsid w:val="00294A68"/>
    <w:rsid w:val="00294AD1"/>
    <w:rsid w:val="00294C60"/>
    <w:rsid w:val="00294CA2"/>
    <w:rsid w:val="00294CED"/>
    <w:rsid w:val="00294E92"/>
    <w:rsid w:val="0029508F"/>
    <w:rsid w:val="002950DB"/>
    <w:rsid w:val="002950FF"/>
    <w:rsid w:val="0029513F"/>
    <w:rsid w:val="00295158"/>
    <w:rsid w:val="0029522D"/>
    <w:rsid w:val="00295244"/>
    <w:rsid w:val="002952F1"/>
    <w:rsid w:val="00295346"/>
    <w:rsid w:val="002955EC"/>
    <w:rsid w:val="002957AB"/>
    <w:rsid w:val="00295905"/>
    <w:rsid w:val="00295B8F"/>
    <w:rsid w:val="00295D0D"/>
    <w:rsid w:val="00295D94"/>
    <w:rsid w:val="00295E60"/>
    <w:rsid w:val="0029601F"/>
    <w:rsid w:val="002960B8"/>
    <w:rsid w:val="00296151"/>
    <w:rsid w:val="002961F5"/>
    <w:rsid w:val="00296229"/>
    <w:rsid w:val="00296250"/>
    <w:rsid w:val="002962FE"/>
    <w:rsid w:val="0029635C"/>
    <w:rsid w:val="00296881"/>
    <w:rsid w:val="00296889"/>
    <w:rsid w:val="002969F5"/>
    <w:rsid w:val="00296BFD"/>
    <w:rsid w:val="00297009"/>
    <w:rsid w:val="00297081"/>
    <w:rsid w:val="00297108"/>
    <w:rsid w:val="00297112"/>
    <w:rsid w:val="00297126"/>
    <w:rsid w:val="002971EB"/>
    <w:rsid w:val="002973F3"/>
    <w:rsid w:val="0029751F"/>
    <w:rsid w:val="002975BE"/>
    <w:rsid w:val="00297640"/>
    <w:rsid w:val="00297738"/>
    <w:rsid w:val="00297897"/>
    <w:rsid w:val="002978A9"/>
    <w:rsid w:val="00297917"/>
    <w:rsid w:val="002979A6"/>
    <w:rsid w:val="002979DF"/>
    <w:rsid w:val="00297D1C"/>
    <w:rsid w:val="00297EEA"/>
    <w:rsid w:val="00297FB2"/>
    <w:rsid w:val="00297FB6"/>
    <w:rsid w:val="002A033F"/>
    <w:rsid w:val="002A03BC"/>
    <w:rsid w:val="002A040A"/>
    <w:rsid w:val="002A0762"/>
    <w:rsid w:val="002A0763"/>
    <w:rsid w:val="002A0768"/>
    <w:rsid w:val="002A0980"/>
    <w:rsid w:val="002A0B6B"/>
    <w:rsid w:val="002A0B90"/>
    <w:rsid w:val="002A0CD4"/>
    <w:rsid w:val="002A0D00"/>
    <w:rsid w:val="002A0E11"/>
    <w:rsid w:val="002A0FBA"/>
    <w:rsid w:val="002A0FBC"/>
    <w:rsid w:val="002A10AC"/>
    <w:rsid w:val="002A137E"/>
    <w:rsid w:val="002A150A"/>
    <w:rsid w:val="002A15AB"/>
    <w:rsid w:val="002A171C"/>
    <w:rsid w:val="002A1725"/>
    <w:rsid w:val="002A1811"/>
    <w:rsid w:val="002A1CB5"/>
    <w:rsid w:val="002A1D30"/>
    <w:rsid w:val="002A1DA2"/>
    <w:rsid w:val="002A20D4"/>
    <w:rsid w:val="002A2137"/>
    <w:rsid w:val="002A21AE"/>
    <w:rsid w:val="002A2547"/>
    <w:rsid w:val="002A2C0A"/>
    <w:rsid w:val="002A2CBF"/>
    <w:rsid w:val="002A2E07"/>
    <w:rsid w:val="002A2EF5"/>
    <w:rsid w:val="002A3045"/>
    <w:rsid w:val="002A326C"/>
    <w:rsid w:val="002A332B"/>
    <w:rsid w:val="002A3368"/>
    <w:rsid w:val="002A34B0"/>
    <w:rsid w:val="002A3980"/>
    <w:rsid w:val="002A39C7"/>
    <w:rsid w:val="002A3A5D"/>
    <w:rsid w:val="002A3A7A"/>
    <w:rsid w:val="002A3C17"/>
    <w:rsid w:val="002A3E66"/>
    <w:rsid w:val="002A419C"/>
    <w:rsid w:val="002A4430"/>
    <w:rsid w:val="002A459B"/>
    <w:rsid w:val="002A4625"/>
    <w:rsid w:val="002A49FA"/>
    <w:rsid w:val="002A4AF0"/>
    <w:rsid w:val="002A4BE2"/>
    <w:rsid w:val="002A4F56"/>
    <w:rsid w:val="002A5064"/>
    <w:rsid w:val="002A514C"/>
    <w:rsid w:val="002A5265"/>
    <w:rsid w:val="002A5269"/>
    <w:rsid w:val="002A5279"/>
    <w:rsid w:val="002A52C0"/>
    <w:rsid w:val="002A52E5"/>
    <w:rsid w:val="002A538C"/>
    <w:rsid w:val="002A5477"/>
    <w:rsid w:val="002A5526"/>
    <w:rsid w:val="002A5616"/>
    <w:rsid w:val="002A5656"/>
    <w:rsid w:val="002A56AF"/>
    <w:rsid w:val="002A577C"/>
    <w:rsid w:val="002A580F"/>
    <w:rsid w:val="002A5DEC"/>
    <w:rsid w:val="002A5E14"/>
    <w:rsid w:val="002A5E17"/>
    <w:rsid w:val="002A5EF7"/>
    <w:rsid w:val="002A5FCB"/>
    <w:rsid w:val="002A6093"/>
    <w:rsid w:val="002A60C0"/>
    <w:rsid w:val="002A61CA"/>
    <w:rsid w:val="002A6215"/>
    <w:rsid w:val="002A6373"/>
    <w:rsid w:val="002A6632"/>
    <w:rsid w:val="002A66AD"/>
    <w:rsid w:val="002A67C5"/>
    <w:rsid w:val="002A6855"/>
    <w:rsid w:val="002A69B2"/>
    <w:rsid w:val="002A6A41"/>
    <w:rsid w:val="002A6C02"/>
    <w:rsid w:val="002A6CDF"/>
    <w:rsid w:val="002A6F76"/>
    <w:rsid w:val="002A6F90"/>
    <w:rsid w:val="002A70DB"/>
    <w:rsid w:val="002A71EE"/>
    <w:rsid w:val="002A75DD"/>
    <w:rsid w:val="002A7804"/>
    <w:rsid w:val="002A7A4B"/>
    <w:rsid w:val="002A7B61"/>
    <w:rsid w:val="002A7C2E"/>
    <w:rsid w:val="002A7C84"/>
    <w:rsid w:val="002A7DFF"/>
    <w:rsid w:val="002A7E0F"/>
    <w:rsid w:val="002B02B6"/>
    <w:rsid w:val="002B02DD"/>
    <w:rsid w:val="002B03BB"/>
    <w:rsid w:val="002B04F1"/>
    <w:rsid w:val="002B06E9"/>
    <w:rsid w:val="002B0892"/>
    <w:rsid w:val="002B094A"/>
    <w:rsid w:val="002B0B67"/>
    <w:rsid w:val="002B0B95"/>
    <w:rsid w:val="002B0D95"/>
    <w:rsid w:val="002B0F33"/>
    <w:rsid w:val="002B0FEA"/>
    <w:rsid w:val="002B105C"/>
    <w:rsid w:val="002B10BA"/>
    <w:rsid w:val="002B110C"/>
    <w:rsid w:val="002B11FC"/>
    <w:rsid w:val="002B1211"/>
    <w:rsid w:val="002B131D"/>
    <w:rsid w:val="002B13DC"/>
    <w:rsid w:val="002B14A3"/>
    <w:rsid w:val="002B1568"/>
    <w:rsid w:val="002B18E6"/>
    <w:rsid w:val="002B1947"/>
    <w:rsid w:val="002B1B68"/>
    <w:rsid w:val="002B1BDA"/>
    <w:rsid w:val="002B1CEB"/>
    <w:rsid w:val="002B1D9E"/>
    <w:rsid w:val="002B1DC8"/>
    <w:rsid w:val="002B242A"/>
    <w:rsid w:val="002B2478"/>
    <w:rsid w:val="002B247A"/>
    <w:rsid w:val="002B2514"/>
    <w:rsid w:val="002B2552"/>
    <w:rsid w:val="002B2633"/>
    <w:rsid w:val="002B2657"/>
    <w:rsid w:val="002B2916"/>
    <w:rsid w:val="002B2BA4"/>
    <w:rsid w:val="002B2F8C"/>
    <w:rsid w:val="002B328A"/>
    <w:rsid w:val="002B3345"/>
    <w:rsid w:val="002B338C"/>
    <w:rsid w:val="002B3482"/>
    <w:rsid w:val="002B37B2"/>
    <w:rsid w:val="002B37D1"/>
    <w:rsid w:val="002B38FB"/>
    <w:rsid w:val="002B3981"/>
    <w:rsid w:val="002B39E4"/>
    <w:rsid w:val="002B3DCF"/>
    <w:rsid w:val="002B3F40"/>
    <w:rsid w:val="002B431B"/>
    <w:rsid w:val="002B4720"/>
    <w:rsid w:val="002B4850"/>
    <w:rsid w:val="002B4A21"/>
    <w:rsid w:val="002B4B36"/>
    <w:rsid w:val="002B4BAE"/>
    <w:rsid w:val="002B4CA7"/>
    <w:rsid w:val="002B4D2B"/>
    <w:rsid w:val="002B4E99"/>
    <w:rsid w:val="002B50DA"/>
    <w:rsid w:val="002B51C1"/>
    <w:rsid w:val="002B52DD"/>
    <w:rsid w:val="002B52E1"/>
    <w:rsid w:val="002B5368"/>
    <w:rsid w:val="002B548A"/>
    <w:rsid w:val="002B5559"/>
    <w:rsid w:val="002B5575"/>
    <w:rsid w:val="002B583E"/>
    <w:rsid w:val="002B5957"/>
    <w:rsid w:val="002B59C3"/>
    <w:rsid w:val="002B5A32"/>
    <w:rsid w:val="002B5AD3"/>
    <w:rsid w:val="002B5CE6"/>
    <w:rsid w:val="002B5D88"/>
    <w:rsid w:val="002B5F09"/>
    <w:rsid w:val="002B5FD5"/>
    <w:rsid w:val="002B6085"/>
    <w:rsid w:val="002B623C"/>
    <w:rsid w:val="002B62A2"/>
    <w:rsid w:val="002B64C5"/>
    <w:rsid w:val="002B6767"/>
    <w:rsid w:val="002B6813"/>
    <w:rsid w:val="002B6F60"/>
    <w:rsid w:val="002B6F96"/>
    <w:rsid w:val="002B6FA2"/>
    <w:rsid w:val="002B709C"/>
    <w:rsid w:val="002B70CF"/>
    <w:rsid w:val="002B734B"/>
    <w:rsid w:val="002B75B1"/>
    <w:rsid w:val="002B75E9"/>
    <w:rsid w:val="002B78D6"/>
    <w:rsid w:val="002B78DE"/>
    <w:rsid w:val="002B7BCD"/>
    <w:rsid w:val="002B7CB7"/>
    <w:rsid w:val="002B7CC7"/>
    <w:rsid w:val="002B7F44"/>
    <w:rsid w:val="002B7FBA"/>
    <w:rsid w:val="002C00AE"/>
    <w:rsid w:val="002C0100"/>
    <w:rsid w:val="002C028A"/>
    <w:rsid w:val="002C0437"/>
    <w:rsid w:val="002C04C4"/>
    <w:rsid w:val="002C04F8"/>
    <w:rsid w:val="002C0743"/>
    <w:rsid w:val="002C0779"/>
    <w:rsid w:val="002C0829"/>
    <w:rsid w:val="002C09B7"/>
    <w:rsid w:val="002C0B2C"/>
    <w:rsid w:val="002C0B67"/>
    <w:rsid w:val="002C0E1C"/>
    <w:rsid w:val="002C11B4"/>
    <w:rsid w:val="002C1587"/>
    <w:rsid w:val="002C15F5"/>
    <w:rsid w:val="002C1658"/>
    <w:rsid w:val="002C176B"/>
    <w:rsid w:val="002C1778"/>
    <w:rsid w:val="002C186B"/>
    <w:rsid w:val="002C18A2"/>
    <w:rsid w:val="002C193D"/>
    <w:rsid w:val="002C197C"/>
    <w:rsid w:val="002C1A2A"/>
    <w:rsid w:val="002C1A5F"/>
    <w:rsid w:val="002C1AAC"/>
    <w:rsid w:val="002C1AD2"/>
    <w:rsid w:val="002C1DCC"/>
    <w:rsid w:val="002C1E3E"/>
    <w:rsid w:val="002C1FFE"/>
    <w:rsid w:val="002C2004"/>
    <w:rsid w:val="002C20E9"/>
    <w:rsid w:val="002C213E"/>
    <w:rsid w:val="002C221D"/>
    <w:rsid w:val="002C2259"/>
    <w:rsid w:val="002C22E2"/>
    <w:rsid w:val="002C2338"/>
    <w:rsid w:val="002C23AF"/>
    <w:rsid w:val="002C25B2"/>
    <w:rsid w:val="002C25E3"/>
    <w:rsid w:val="002C261D"/>
    <w:rsid w:val="002C266A"/>
    <w:rsid w:val="002C2897"/>
    <w:rsid w:val="002C29EE"/>
    <w:rsid w:val="002C2C68"/>
    <w:rsid w:val="002C2D3C"/>
    <w:rsid w:val="002C2FA3"/>
    <w:rsid w:val="002C2FCB"/>
    <w:rsid w:val="002C2FD1"/>
    <w:rsid w:val="002C3097"/>
    <w:rsid w:val="002C3113"/>
    <w:rsid w:val="002C3184"/>
    <w:rsid w:val="002C3241"/>
    <w:rsid w:val="002C367A"/>
    <w:rsid w:val="002C3730"/>
    <w:rsid w:val="002C375B"/>
    <w:rsid w:val="002C3797"/>
    <w:rsid w:val="002C3905"/>
    <w:rsid w:val="002C3913"/>
    <w:rsid w:val="002C3A1C"/>
    <w:rsid w:val="002C3DAC"/>
    <w:rsid w:val="002C3E28"/>
    <w:rsid w:val="002C3EF1"/>
    <w:rsid w:val="002C3F1E"/>
    <w:rsid w:val="002C3F48"/>
    <w:rsid w:val="002C3FE6"/>
    <w:rsid w:val="002C3FF9"/>
    <w:rsid w:val="002C4107"/>
    <w:rsid w:val="002C435F"/>
    <w:rsid w:val="002C4422"/>
    <w:rsid w:val="002C44EB"/>
    <w:rsid w:val="002C4510"/>
    <w:rsid w:val="002C4729"/>
    <w:rsid w:val="002C48F1"/>
    <w:rsid w:val="002C49D9"/>
    <w:rsid w:val="002C4B16"/>
    <w:rsid w:val="002C4BDE"/>
    <w:rsid w:val="002C4C51"/>
    <w:rsid w:val="002C4CBB"/>
    <w:rsid w:val="002C4EB1"/>
    <w:rsid w:val="002C4ED1"/>
    <w:rsid w:val="002C50F9"/>
    <w:rsid w:val="002C510A"/>
    <w:rsid w:val="002C526D"/>
    <w:rsid w:val="002C52C2"/>
    <w:rsid w:val="002C532E"/>
    <w:rsid w:val="002C5426"/>
    <w:rsid w:val="002C5480"/>
    <w:rsid w:val="002C593F"/>
    <w:rsid w:val="002C6014"/>
    <w:rsid w:val="002C638A"/>
    <w:rsid w:val="002C6BF9"/>
    <w:rsid w:val="002C6F24"/>
    <w:rsid w:val="002C6F6A"/>
    <w:rsid w:val="002C6FAE"/>
    <w:rsid w:val="002C70B6"/>
    <w:rsid w:val="002C70D5"/>
    <w:rsid w:val="002C7103"/>
    <w:rsid w:val="002C715E"/>
    <w:rsid w:val="002C7167"/>
    <w:rsid w:val="002C7184"/>
    <w:rsid w:val="002C7392"/>
    <w:rsid w:val="002C75F5"/>
    <w:rsid w:val="002C76B1"/>
    <w:rsid w:val="002C778C"/>
    <w:rsid w:val="002C7823"/>
    <w:rsid w:val="002C78D6"/>
    <w:rsid w:val="002C798D"/>
    <w:rsid w:val="002C79B9"/>
    <w:rsid w:val="002C79F6"/>
    <w:rsid w:val="002C7AE7"/>
    <w:rsid w:val="002C7B7E"/>
    <w:rsid w:val="002C7FAE"/>
    <w:rsid w:val="002D0151"/>
    <w:rsid w:val="002D016F"/>
    <w:rsid w:val="002D01FE"/>
    <w:rsid w:val="002D06DC"/>
    <w:rsid w:val="002D079B"/>
    <w:rsid w:val="002D080A"/>
    <w:rsid w:val="002D0AA2"/>
    <w:rsid w:val="002D0C09"/>
    <w:rsid w:val="002D0FEA"/>
    <w:rsid w:val="002D1147"/>
    <w:rsid w:val="002D1168"/>
    <w:rsid w:val="002D11C0"/>
    <w:rsid w:val="002D12A0"/>
    <w:rsid w:val="002D165A"/>
    <w:rsid w:val="002D1798"/>
    <w:rsid w:val="002D1924"/>
    <w:rsid w:val="002D1AA3"/>
    <w:rsid w:val="002D1BC5"/>
    <w:rsid w:val="002D1DCF"/>
    <w:rsid w:val="002D1F16"/>
    <w:rsid w:val="002D1F75"/>
    <w:rsid w:val="002D2007"/>
    <w:rsid w:val="002D20AA"/>
    <w:rsid w:val="002D23AB"/>
    <w:rsid w:val="002D25A8"/>
    <w:rsid w:val="002D2841"/>
    <w:rsid w:val="002D28D6"/>
    <w:rsid w:val="002D294B"/>
    <w:rsid w:val="002D29B4"/>
    <w:rsid w:val="002D2B05"/>
    <w:rsid w:val="002D2BDC"/>
    <w:rsid w:val="002D2C06"/>
    <w:rsid w:val="002D2C12"/>
    <w:rsid w:val="002D2C5E"/>
    <w:rsid w:val="002D2D60"/>
    <w:rsid w:val="002D2FB0"/>
    <w:rsid w:val="002D313D"/>
    <w:rsid w:val="002D32C4"/>
    <w:rsid w:val="002D33DF"/>
    <w:rsid w:val="002D34B0"/>
    <w:rsid w:val="002D3566"/>
    <w:rsid w:val="002D366C"/>
    <w:rsid w:val="002D386E"/>
    <w:rsid w:val="002D38F5"/>
    <w:rsid w:val="002D3900"/>
    <w:rsid w:val="002D3BC5"/>
    <w:rsid w:val="002D3C96"/>
    <w:rsid w:val="002D3CFB"/>
    <w:rsid w:val="002D3E18"/>
    <w:rsid w:val="002D3E4F"/>
    <w:rsid w:val="002D434B"/>
    <w:rsid w:val="002D44FD"/>
    <w:rsid w:val="002D4768"/>
    <w:rsid w:val="002D485B"/>
    <w:rsid w:val="002D4C11"/>
    <w:rsid w:val="002D4C24"/>
    <w:rsid w:val="002D4F06"/>
    <w:rsid w:val="002D506D"/>
    <w:rsid w:val="002D546B"/>
    <w:rsid w:val="002D57C1"/>
    <w:rsid w:val="002D5AFD"/>
    <w:rsid w:val="002D5CD5"/>
    <w:rsid w:val="002D5E04"/>
    <w:rsid w:val="002D5E4E"/>
    <w:rsid w:val="002D6407"/>
    <w:rsid w:val="002D6535"/>
    <w:rsid w:val="002D660A"/>
    <w:rsid w:val="002D6630"/>
    <w:rsid w:val="002D6812"/>
    <w:rsid w:val="002D681A"/>
    <w:rsid w:val="002D695C"/>
    <w:rsid w:val="002D6968"/>
    <w:rsid w:val="002D6970"/>
    <w:rsid w:val="002D69FB"/>
    <w:rsid w:val="002D6B3D"/>
    <w:rsid w:val="002D6CA9"/>
    <w:rsid w:val="002D6DF1"/>
    <w:rsid w:val="002D6E5D"/>
    <w:rsid w:val="002D6E70"/>
    <w:rsid w:val="002D6EE0"/>
    <w:rsid w:val="002D6EFD"/>
    <w:rsid w:val="002D7021"/>
    <w:rsid w:val="002D7092"/>
    <w:rsid w:val="002D714A"/>
    <w:rsid w:val="002D717A"/>
    <w:rsid w:val="002D721F"/>
    <w:rsid w:val="002D753D"/>
    <w:rsid w:val="002D75DB"/>
    <w:rsid w:val="002D798F"/>
    <w:rsid w:val="002D79B3"/>
    <w:rsid w:val="002D7B29"/>
    <w:rsid w:val="002D7B5E"/>
    <w:rsid w:val="002D7C83"/>
    <w:rsid w:val="002D7D68"/>
    <w:rsid w:val="002D7F6C"/>
    <w:rsid w:val="002E0119"/>
    <w:rsid w:val="002E027F"/>
    <w:rsid w:val="002E035D"/>
    <w:rsid w:val="002E03EF"/>
    <w:rsid w:val="002E0516"/>
    <w:rsid w:val="002E064E"/>
    <w:rsid w:val="002E0664"/>
    <w:rsid w:val="002E0913"/>
    <w:rsid w:val="002E0960"/>
    <w:rsid w:val="002E0A6D"/>
    <w:rsid w:val="002E0CD7"/>
    <w:rsid w:val="002E0CE0"/>
    <w:rsid w:val="002E0D84"/>
    <w:rsid w:val="002E0E64"/>
    <w:rsid w:val="002E0FDE"/>
    <w:rsid w:val="002E1042"/>
    <w:rsid w:val="002E12CB"/>
    <w:rsid w:val="002E1331"/>
    <w:rsid w:val="002E1376"/>
    <w:rsid w:val="002E15D0"/>
    <w:rsid w:val="002E1824"/>
    <w:rsid w:val="002E1A10"/>
    <w:rsid w:val="002E1B5E"/>
    <w:rsid w:val="002E1D3F"/>
    <w:rsid w:val="002E1D42"/>
    <w:rsid w:val="002E1F88"/>
    <w:rsid w:val="002E1F96"/>
    <w:rsid w:val="002E20FC"/>
    <w:rsid w:val="002E217C"/>
    <w:rsid w:val="002E22EF"/>
    <w:rsid w:val="002E2437"/>
    <w:rsid w:val="002E24A5"/>
    <w:rsid w:val="002E253E"/>
    <w:rsid w:val="002E2900"/>
    <w:rsid w:val="002E298F"/>
    <w:rsid w:val="002E2992"/>
    <w:rsid w:val="002E2B43"/>
    <w:rsid w:val="002E2D67"/>
    <w:rsid w:val="002E3105"/>
    <w:rsid w:val="002E3235"/>
    <w:rsid w:val="002E32E8"/>
    <w:rsid w:val="002E3350"/>
    <w:rsid w:val="002E3793"/>
    <w:rsid w:val="002E392A"/>
    <w:rsid w:val="002E39BB"/>
    <w:rsid w:val="002E3B6B"/>
    <w:rsid w:val="002E3C76"/>
    <w:rsid w:val="002E3C7E"/>
    <w:rsid w:val="002E3E2A"/>
    <w:rsid w:val="002E400C"/>
    <w:rsid w:val="002E4095"/>
    <w:rsid w:val="002E40B0"/>
    <w:rsid w:val="002E40E8"/>
    <w:rsid w:val="002E40EF"/>
    <w:rsid w:val="002E425A"/>
    <w:rsid w:val="002E4340"/>
    <w:rsid w:val="002E45B4"/>
    <w:rsid w:val="002E473F"/>
    <w:rsid w:val="002E47B5"/>
    <w:rsid w:val="002E4890"/>
    <w:rsid w:val="002E4996"/>
    <w:rsid w:val="002E4C72"/>
    <w:rsid w:val="002E4E05"/>
    <w:rsid w:val="002E4FEF"/>
    <w:rsid w:val="002E524C"/>
    <w:rsid w:val="002E52DC"/>
    <w:rsid w:val="002E534C"/>
    <w:rsid w:val="002E5362"/>
    <w:rsid w:val="002E54C5"/>
    <w:rsid w:val="002E556E"/>
    <w:rsid w:val="002E563D"/>
    <w:rsid w:val="002E56FA"/>
    <w:rsid w:val="002E5725"/>
    <w:rsid w:val="002E5AD0"/>
    <w:rsid w:val="002E5B43"/>
    <w:rsid w:val="002E5B67"/>
    <w:rsid w:val="002E5C79"/>
    <w:rsid w:val="002E5EAA"/>
    <w:rsid w:val="002E618E"/>
    <w:rsid w:val="002E63D0"/>
    <w:rsid w:val="002E65AE"/>
    <w:rsid w:val="002E65EC"/>
    <w:rsid w:val="002E67E8"/>
    <w:rsid w:val="002E6950"/>
    <w:rsid w:val="002E6966"/>
    <w:rsid w:val="002E69BF"/>
    <w:rsid w:val="002E6A64"/>
    <w:rsid w:val="002E6ADA"/>
    <w:rsid w:val="002E6C8E"/>
    <w:rsid w:val="002E6DBC"/>
    <w:rsid w:val="002E6E2F"/>
    <w:rsid w:val="002E6E76"/>
    <w:rsid w:val="002E6F26"/>
    <w:rsid w:val="002E6F4E"/>
    <w:rsid w:val="002E713D"/>
    <w:rsid w:val="002E7358"/>
    <w:rsid w:val="002E74DC"/>
    <w:rsid w:val="002E756C"/>
    <w:rsid w:val="002E75AB"/>
    <w:rsid w:val="002E769D"/>
    <w:rsid w:val="002E7976"/>
    <w:rsid w:val="002E7BB7"/>
    <w:rsid w:val="002E7C8E"/>
    <w:rsid w:val="002E7CB3"/>
    <w:rsid w:val="002E7CD9"/>
    <w:rsid w:val="002E7E39"/>
    <w:rsid w:val="002E7E6D"/>
    <w:rsid w:val="002F004B"/>
    <w:rsid w:val="002F00D1"/>
    <w:rsid w:val="002F01A1"/>
    <w:rsid w:val="002F0346"/>
    <w:rsid w:val="002F0356"/>
    <w:rsid w:val="002F03D6"/>
    <w:rsid w:val="002F05F8"/>
    <w:rsid w:val="002F0644"/>
    <w:rsid w:val="002F064A"/>
    <w:rsid w:val="002F0961"/>
    <w:rsid w:val="002F0989"/>
    <w:rsid w:val="002F099E"/>
    <w:rsid w:val="002F0C2F"/>
    <w:rsid w:val="002F0C51"/>
    <w:rsid w:val="002F0CFF"/>
    <w:rsid w:val="002F0D5F"/>
    <w:rsid w:val="002F0E10"/>
    <w:rsid w:val="002F0E8D"/>
    <w:rsid w:val="002F0F74"/>
    <w:rsid w:val="002F11E7"/>
    <w:rsid w:val="002F1309"/>
    <w:rsid w:val="002F131F"/>
    <w:rsid w:val="002F1480"/>
    <w:rsid w:val="002F1510"/>
    <w:rsid w:val="002F172B"/>
    <w:rsid w:val="002F1799"/>
    <w:rsid w:val="002F17DA"/>
    <w:rsid w:val="002F197F"/>
    <w:rsid w:val="002F1A4C"/>
    <w:rsid w:val="002F1A61"/>
    <w:rsid w:val="002F1B43"/>
    <w:rsid w:val="002F1BB3"/>
    <w:rsid w:val="002F1C2E"/>
    <w:rsid w:val="002F1CB0"/>
    <w:rsid w:val="002F2306"/>
    <w:rsid w:val="002F23F1"/>
    <w:rsid w:val="002F2442"/>
    <w:rsid w:val="002F2452"/>
    <w:rsid w:val="002F24BF"/>
    <w:rsid w:val="002F25A5"/>
    <w:rsid w:val="002F2760"/>
    <w:rsid w:val="002F29E6"/>
    <w:rsid w:val="002F2A3C"/>
    <w:rsid w:val="002F2BA2"/>
    <w:rsid w:val="002F2BDC"/>
    <w:rsid w:val="002F2DCA"/>
    <w:rsid w:val="002F2FBE"/>
    <w:rsid w:val="002F3494"/>
    <w:rsid w:val="002F3521"/>
    <w:rsid w:val="002F3648"/>
    <w:rsid w:val="002F38AE"/>
    <w:rsid w:val="002F38E2"/>
    <w:rsid w:val="002F3CD6"/>
    <w:rsid w:val="002F3F9F"/>
    <w:rsid w:val="002F403E"/>
    <w:rsid w:val="002F41C7"/>
    <w:rsid w:val="002F42B4"/>
    <w:rsid w:val="002F42D1"/>
    <w:rsid w:val="002F440B"/>
    <w:rsid w:val="002F452B"/>
    <w:rsid w:val="002F4587"/>
    <w:rsid w:val="002F46B1"/>
    <w:rsid w:val="002F474B"/>
    <w:rsid w:val="002F4966"/>
    <w:rsid w:val="002F49A8"/>
    <w:rsid w:val="002F4A7B"/>
    <w:rsid w:val="002F4B60"/>
    <w:rsid w:val="002F4F06"/>
    <w:rsid w:val="002F4F65"/>
    <w:rsid w:val="002F5176"/>
    <w:rsid w:val="002F51B2"/>
    <w:rsid w:val="002F5302"/>
    <w:rsid w:val="002F589E"/>
    <w:rsid w:val="002F5DA0"/>
    <w:rsid w:val="002F5F39"/>
    <w:rsid w:val="002F6001"/>
    <w:rsid w:val="002F6010"/>
    <w:rsid w:val="002F626F"/>
    <w:rsid w:val="002F62D7"/>
    <w:rsid w:val="002F6372"/>
    <w:rsid w:val="002F651F"/>
    <w:rsid w:val="002F65EB"/>
    <w:rsid w:val="002F6799"/>
    <w:rsid w:val="002F6A76"/>
    <w:rsid w:val="002F6B38"/>
    <w:rsid w:val="002F6C0E"/>
    <w:rsid w:val="002F6F12"/>
    <w:rsid w:val="002F6F32"/>
    <w:rsid w:val="002F6F5E"/>
    <w:rsid w:val="002F6F82"/>
    <w:rsid w:val="002F7222"/>
    <w:rsid w:val="002F75DE"/>
    <w:rsid w:val="002F77B1"/>
    <w:rsid w:val="002F7AC2"/>
    <w:rsid w:val="002F7B1C"/>
    <w:rsid w:val="002F7D28"/>
    <w:rsid w:val="002F7D49"/>
    <w:rsid w:val="00300057"/>
    <w:rsid w:val="0030020B"/>
    <w:rsid w:val="00300262"/>
    <w:rsid w:val="00300294"/>
    <w:rsid w:val="00300305"/>
    <w:rsid w:val="0030061E"/>
    <w:rsid w:val="00300785"/>
    <w:rsid w:val="00300786"/>
    <w:rsid w:val="003007C4"/>
    <w:rsid w:val="0030086A"/>
    <w:rsid w:val="003008D1"/>
    <w:rsid w:val="00300971"/>
    <w:rsid w:val="00300A5F"/>
    <w:rsid w:val="00300AA0"/>
    <w:rsid w:val="00300CA4"/>
    <w:rsid w:val="00300CF4"/>
    <w:rsid w:val="003010FC"/>
    <w:rsid w:val="00301148"/>
    <w:rsid w:val="0030128D"/>
    <w:rsid w:val="00301335"/>
    <w:rsid w:val="003013E7"/>
    <w:rsid w:val="003015A4"/>
    <w:rsid w:val="00301641"/>
    <w:rsid w:val="0030165A"/>
    <w:rsid w:val="003016D6"/>
    <w:rsid w:val="0030178C"/>
    <w:rsid w:val="003017D8"/>
    <w:rsid w:val="003017DA"/>
    <w:rsid w:val="0030187E"/>
    <w:rsid w:val="003018F8"/>
    <w:rsid w:val="00301900"/>
    <w:rsid w:val="00301AEE"/>
    <w:rsid w:val="00301C14"/>
    <w:rsid w:val="00301C1E"/>
    <w:rsid w:val="00301CE8"/>
    <w:rsid w:val="00302096"/>
    <w:rsid w:val="0030213B"/>
    <w:rsid w:val="003021B5"/>
    <w:rsid w:val="00302302"/>
    <w:rsid w:val="00302337"/>
    <w:rsid w:val="00302400"/>
    <w:rsid w:val="00302542"/>
    <w:rsid w:val="003025F8"/>
    <w:rsid w:val="0030268C"/>
    <w:rsid w:val="00302753"/>
    <w:rsid w:val="0030276B"/>
    <w:rsid w:val="00302852"/>
    <w:rsid w:val="00302A2A"/>
    <w:rsid w:val="00302ECF"/>
    <w:rsid w:val="00302EDA"/>
    <w:rsid w:val="00303030"/>
    <w:rsid w:val="00303034"/>
    <w:rsid w:val="00303292"/>
    <w:rsid w:val="0030336B"/>
    <w:rsid w:val="003033F5"/>
    <w:rsid w:val="003033F9"/>
    <w:rsid w:val="00303511"/>
    <w:rsid w:val="00303563"/>
    <w:rsid w:val="0030356B"/>
    <w:rsid w:val="00303671"/>
    <w:rsid w:val="00303865"/>
    <w:rsid w:val="003038A3"/>
    <w:rsid w:val="00303904"/>
    <w:rsid w:val="00303982"/>
    <w:rsid w:val="00303B95"/>
    <w:rsid w:val="00303BEA"/>
    <w:rsid w:val="00303D79"/>
    <w:rsid w:val="00303DBB"/>
    <w:rsid w:val="00303E06"/>
    <w:rsid w:val="00303F03"/>
    <w:rsid w:val="00303F74"/>
    <w:rsid w:val="00304526"/>
    <w:rsid w:val="003045B6"/>
    <w:rsid w:val="0030461F"/>
    <w:rsid w:val="0030465A"/>
    <w:rsid w:val="0030479B"/>
    <w:rsid w:val="003047F7"/>
    <w:rsid w:val="00304AE0"/>
    <w:rsid w:val="00304C98"/>
    <w:rsid w:val="00304E1B"/>
    <w:rsid w:val="00304E7A"/>
    <w:rsid w:val="00304ECD"/>
    <w:rsid w:val="00304F3B"/>
    <w:rsid w:val="00304FAD"/>
    <w:rsid w:val="003051F7"/>
    <w:rsid w:val="00305269"/>
    <w:rsid w:val="0030538F"/>
    <w:rsid w:val="003053F7"/>
    <w:rsid w:val="00305409"/>
    <w:rsid w:val="0030544B"/>
    <w:rsid w:val="00305479"/>
    <w:rsid w:val="0030552C"/>
    <w:rsid w:val="00305590"/>
    <w:rsid w:val="003055D6"/>
    <w:rsid w:val="0030571D"/>
    <w:rsid w:val="0030597F"/>
    <w:rsid w:val="003059E4"/>
    <w:rsid w:val="00305A50"/>
    <w:rsid w:val="00305D5F"/>
    <w:rsid w:val="00305F2B"/>
    <w:rsid w:val="003060BD"/>
    <w:rsid w:val="00306114"/>
    <w:rsid w:val="003061BB"/>
    <w:rsid w:val="00306222"/>
    <w:rsid w:val="0030630A"/>
    <w:rsid w:val="0030630F"/>
    <w:rsid w:val="0030644E"/>
    <w:rsid w:val="00306D10"/>
    <w:rsid w:val="0030722B"/>
    <w:rsid w:val="00307313"/>
    <w:rsid w:val="00307437"/>
    <w:rsid w:val="00307447"/>
    <w:rsid w:val="00307584"/>
    <w:rsid w:val="003077AC"/>
    <w:rsid w:val="00307AA6"/>
    <w:rsid w:val="00307E8F"/>
    <w:rsid w:val="00307FCB"/>
    <w:rsid w:val="00310004"/>
    <w:rsid w:val="00310273"/>
    <w:rsid w:val="00310278"/>
    <w:rsid w:val="003103B2"/>
    <w:rsid w:val="00310580"/>
    <w:rsid w:val="0031073B"/>
    <w:rsid w:val="003108FF"/>
    <w:rsid w:val="00310996"/>
    <w:rsid w:val="00310A62"/>
    <w:rsid w:val="00310C86"/>
    <w:rsid w:val="00310D9D"/>
    <w:rsid w:val="00310DB6"/>
    <w:rsid w:val="00310E19"/>
    <w:rsid w:val="00311103"/>
    <w:rsid w:val="003111C1"/>
    <w:rsid w:val="00311886"/>
    <w:rsid w:val="003118CD"/>
    <w:rsid w:val="00311964"/>
    <w:rsid w:val="00311F46"/>
    <w:rsid w:val="00312422"/>
    <w:rsid w:val="00312426"/>
    <w:rsid w:val="00312662"/>
    <w:rsid w:val="003126FC"/>
    <w:rsid w:val="0031289A"/>
    <w:rsid w:val="003129B3"/>
    <w:rsid w:val="00312A8E"/>
    <w:rsid w:val="00312B33"/>
    <w:rsid w:val="00312B5C"/>
    <w:rsid w:val="00312C6B"/>
    <w:rsid w:val="00312FB1"/>
    <w:rsid w:val="00313011"/>
    <w:rsid w:val="00313125"/>
    <w:rsid w:val="003131B6"/>
    <w:rsid w:val="00313316"/>
    <w:rsid w:val="0031333C"/>
    <w:rsid w:val="003133C3"/>
    <w:rsid w:val="0031359F"/>
    <w:rsid w:val="003137B8"/>
    <w:rsid w:val="0031397C"/>
    <w:rsid w:val="00313BC3"/>
    <w:rsid w:val="00313DD1"/>
    <w:rsid w:val="00314039"/>
    <w:rsid w:val="0031408D"/>
    <w:rsid w:val="0031431E"/>
    <w:rsid w:val="003144DE"/>
    <w:rsid w:val="003144FF"/>
    <w:rsid w:val="00314551"/>
    <w:rsid w:val="0031463A"/>
    <w:rsid w:val="00314707"/>
    <w:rsid w:val="00314875"/>
    <w:rsid w:val="0031487F"/>
    <w:rsid w:val="003148B1"/>
    <w:rsid w:val="003149C5"/>
    <w:rsid w:val="00314A60"/>
    <w:rsid w:val="00314A94"/>
    <w:rsid w:val="00314DA6"/>
    <w:rsid w:val="00314F9D"/>
    <w:rsid w:val="00315066"/>
    <w:rsid w:val="003150E8"/>
    <w:rsid w:val="00315133"/>
    <w:rsid w:val="003153CF"/>
    <w:rsid w:val="003155DE"/>
    <w:rsid w:val="0031562F"/>
    <w:rsid w:val="003157F8"/>
    <w:rsid w:val="00315843"/>
    <w:rsid w:val="003159C5"/>
    <w:rsid w:val="00315CF8"/>
    <w:rsid w:val="00315D30"/>
    <w:rsid w:val="00315D81"/>
    <w:rsid w:val="00315E80"/>
    <w:rsid w:val="00315F36"/>
    <w:rsid w:val="00316027"/>
    <w:rsid w:val="003163F1"/>
    <w:rsid w:val="00316495"/>
    <w:rsid w:val="003164EC"/>
    <w:rsid w:val="003164F4"/>
    <w:rsid w:val="00316772"/>
    <w:rsid w:val="00316849"/>
    <w:rsid w:val="00316981"/>
    <w:rsid w:val="003169B4"/>
    <w:rsid w:val="00316BA2"/>
    <w:rsid w:val="00316BBF"/>
    <w:rsid w:val="00316C03"/>
    <w:rsid w:val="00316D20"/>
    <w:rsid w:val="00316DF3"/>
    <w:rsid w:val="00316E28"/>
    <w:rsid w:val="00317138"/>
    <w:rsid w:val="0031732F"/>
    <w:rsid w:val="0031749B"/>
    <w:rsid w:val="00317790"/>
    <w:rsid w:val="00317AC4"/>
    <w:rsid w:val="00317AEE"/>
    <w:rsid w:val="00317FCB"/>
    <w:rsid w:val="00320276"/>
    <w:rsid w:val="0032032E"/>
    <w:rsid w:val="003204DD"/>
    <w:rsid w:val="00320819"/>
    <w:rsid w:val="00320853"/>
    <w:rsid w:val="00320956"/>
    <w:rsid w:val="00320AEF"/>
    <w:rsid w:val="00320B1D"/>
    <w:rsid w:val="00320C1F"/>
    <w:rsid w:val="00320C69"/>
    <w:rsid w:val="00320E1C"/>
    <w:rsid w:val="00320F9D"/>
    <w:rsid w:val="00321026"/>
    <w:rsid w:val="003210DC"/>
    <w:rsid w:val="0032110A"/>
    <w:rsid w:val="00321169"/>
    <w:rsid w:val="0032120D"/>
    <w:rsid w:val="0032148D"/>
    <w:rsid w:val="00321696"/>
    <w:rsid w:val="00321811"/>
    <w:rsid w:val="00321A08"/>
    <w:rsid w:val="00321A2E"/>
    <w:rsid w:val="00321AEF"/>
    <w:rsid w:val="00321B4B"/>
    <w:rsid w:val="00322016"/>
    <w:rsid w:val="0032220B"/>
    <w:rsid w:val="00322364"/>
    <w:rsid w:val="0032237D"/>
    <w:rsid w:val="0032241C"/>
    <w:rsid w:val="0032255A"/>
    <w:rsid w:val="003225DE"/>
    <w:rsid w:val="003226D1"/>
    <w:rsid w:val="003226E9"/>
    <w:rsid w:val="00322C12"/>
    <w:rsid w:val="00322FDE"/>
    <w:rsid w:val="00322FFB"/>
    <w:rsid w:val="0032309B"/>
    <w:rsid w:val="003235B1"/>
    <w:rsid w:val="003239AB"/>
    <w:rsid w:val="00323D40"/>
    <w:rsid w:val="003242A9"/>
    <w:rsid w:val="00324417"/>
    <w:rsid w:val="003244E6"/>
    <w:rsid w:val="003245D0"/>
    <w:rsid w:val="003247E1"/>
    <w:rsid w:val="00324835"/>
    <w:rsid w:val="00324865"/>
    <w:rsid w:val="00324869"/>
    <w:rsid w:val="003249A9"/>
    <w:rsid w:val="00324BD4"/>
    <w:rsid w:val="00324C8F"/>
    <w:rsid w:val="00324CC0"/>
    <w:rsid w:val="00324E39"/>
    <w:rsid w:val="00324F2C"/>
    <w:rsid w:val="00325305"/>
    <w:rsid w:val="00325336"/>
    <w:rsid w:val="00325343"/>
    <w:rsid w:val="003255FD"/>
    <w:rsid w:val="003256BD"/>
    <w:rsid w:val="00325715"/>
    <w:rsid w:val="00325952"/>
    <w:rsid w:val="00325969"/>
    <w:rsid w:val="00325C39"/>
    <w:rsid w:val="00325CB3"/>
    <w:rsid w:val="00325F7D"/>
    <w:rsid w:val="003260B4"/>
    <w:rsid w:val="003260C5"/>
    <w:rsid w:val="003261DC"/>
    <w:rsid w:val="00326295"/>
    <w:rsid w:val="0032646D"/>
    <w:rsid w:val="00326521"/>
    <w:rsid w:val="00326547"/>
    <w:rsid w:val="00326623"/>
    <w:rsid w:val="0032667F"/>
    <w:rsid w:val="003267C0"/>
    <w:rsid w:val="00326DE7"/>
    <w:rsid w:val="0032707B"/>
    <w:rsid w:val="003271F3"/>
    <w:rsid w:val="0032720D"/>
    <w:rsid w:val="00327323"/>
    <w:rsid w:val="003273AC"/>
    <w:rsid w:val="003275A1"/>
    <w:rsid w:val="003275B3"/>
    <w:rsid w:val="00327642"/>
    <w:rsid w:val="003279C1"/>
    <w:rsid w:val="00327A6E"/>
    <w:rsid w:val="00327AF2"/>
    <w:rsid w:val="00327B60"/>
    <w:rsid w:val="00327BDD"/>
    <w:rsid w:val="00327C85"/>
    <w:rsid w:val="00327CF0"/>
    <w:rsid w:val="00327DBE"/>
    <w:rsid w:val="00327EAF"/>
    <w:rsid w:val="00330071"/>
    <w:rsid w:val="003300C2"/>
    <w:rsid w:val="00330264"/>
    <w:rsid w:val="003302EB"/>
    <w:rsid w:val="0033036B"/>
    <w:rsid w:val="003303EC"/>
    <w:rsid w:val="00330452"/>
    <w:rsid w:val="00330785"/>
    <w:rsid w:val="00330794"/>
    <w:rsid w:val="0033085C"/>
    <w:rsid w:val="0033085D"/>
    <w:rsid w:val="00330A0F"/>
    <w:rsid w:val="00330C13"/>
    <w:rsid w:val="00330E58"/>
    <w:rsid w:val="00330ECF"/>
    <w:rsid w:val="00330F82"/>
    <w:rsid w:val="00331190"/>
    <w:rsid w:val="003314FD"/>
    <w:rsid w:val="0033159F"/>
    <w:rsid w:val="003316A3"/>
    <w:rsid w:val="00331713"/>
    <w:rsid w:val="003317D4"/>
    <w:rsid w:val="003317E5"/>
    <w:rsid w:val="00331913"/>
    <w:rsid w:val="00331C22"/>
    <w:rsid w:val="00331DD4"/>
    <w:rsid w:val="00331E09"/>
    <w:rsid w:val="00331EB3"/>
    <w:rsid w:val="00331FAA"/>
    <w:rsid w:val="00332578"/>
    <w:rsid w:val="003327ED"/>
    <w:rsid w:val="003328B2"/>
    <w:rsid w:val="00332994"/>
    <w:rsid w:val="00332AC7"/>
    <w:rsid w:val="00332B08"/>
    <w:rsid w:val="00332BB1"/>
    <w:rsid w:val="00332C76"/>
    <w:rsid w:val="00332D7B"/>
    <w:rsid w:val="00332E24"/>
    <w:rsid w:val="00332EA1"/>
    <w:rsid w:val="00332F7D"/>
    <w:rsid w:val="00332FCF"/>
    <w:rsid w:val="003332BF"/>
    <w:rsid w:val="003333ED"/>
    <w:rsid w:val="00333461"/>
    <w:rsid w:val="0033361F"/>
    <w:rsid w:val="003336F5"/>
    <w:rsid w:val="003337ED"/>
    <w:rsid w:val="00333803"/>
    <w:rsid w:val="0033389E"/>
    <w:rsid w:val="00333916"/>
    <w:rsid w:val="0033392C"/>
    <w:rsid w:val="003339E6"/>
    <w:rsid w:val="00333C07"/>
    <w:rsid w:val="00333D6B"/>
    <w:rsid w:val="00333E1A"/>
    <w:rsid w:val="00333FE2"/>
    <w:rsid w:val="0033402A"/>
    <w:rsid w:val="00334067"/>
    <w:rsid w:val="0033428A"/>
    <w:rsid w:val="0033452F"/>
    <w:rsid w:val="00334541"/>
    <w:rsid w:val="0033486B"/>
    <w:rsid w:val="00334AA6"/>
    <w:rsid w:val="00334B47"/>
    <w:rsid w:val="00334BB4"/>
    <w:rsid w:val="00334D03"/>
    <w:rsid w:val="00334DD1"/>
    <w:rsid w:val="00334E20"/>
    <w:rsid w:val="00334FC5"/>
    <w:rsid w:val="00335056"/>
    <w:rsid w:val="0033511D"/>
    <w:rsid w:val="003353AD"/>
    <w:rsid w:val="00335480"/>
    <w:rsid w:val="00335714"/>
    <w:rsid w:val="00335757"/>
    <w:rsid w:val="003359A4"/>
    <w:rsid w:val="00335B4E"/>
    <w:rsid w:val="00335C16"/>
    <w:rsid w:val="00335E31"/>
    <w:rsid w:val="00335F85"/>
    <w:rsid w:val="0033612D"/>
    <w:rsid w:val="00336143"/>
    <w:rsid w:val="00336152"/>
    <w:rsid w:val="003361FD"/>
    <w:rsid w:val="0033631A"/>
    <w:rsid w:val="0033648A"/>
    <w:rsid w:val="003364F6"/>
    <w:rsid w:val="00336855"/>
    <w:rsid w:val="0033694C"/>
    <w:rsid w:val="00336A36"/>
    <w:rsid w:val="00336AEC"/>
    <w:rsid w:val="00336BAA"/>
    <w:rsid w:val="00336CC0"/>
    <w:rsid w:val="00336D4B"/>
    <w:rsid w:val="00336D51"/>
    <w:rsid w:val="00336DC2"/>
    <w:rsid w:val="00336DD5"/>
    <w:rsid w:val="00336E01"/>
    <w:rsid w:val="00336F28"/>
    <w:rsid w:val="003370D3"/>
    <w:rsid w:val="003371AE"/>
    <w:rsid w:val="00337208"/>
    <w:rsid w:val="003372C4"/>
    <w:rsid w:val="0033736D"/>
    <w:rsid w:val="003373D1"/>
    <w:rsid w:val="00337528"/>
    <w:rsid w:val="00337638"/>
    <w:rsid w:val="00337714"/>
    <w:rsid w:val="00337858"/>
    <w:rsid w:val="00337A28"/>
    <w:rsid w:val="00337A8A"/>
    <w:rsid w:val="00337B10"/>
    <w:rsid w:val="00337B64"/>
    <w:rsid w:val="00337BA4"/>
    <w:rsid w:val="00337CEF"/>
    <w:rsid w:val="00337D8F"/>
    <w:rsid w:val="00337EC1"/>
    <w:rsid w:val="00337F94"/>
    <w:rsid w:val="00337F98"/>
    <w:rsid w:val="00340007"/>
    <w:rsid w:val="003401DE"/>
    <w:rsid w:val="00340230"/>
    <w:rsid w:val="00340256"/>
    <w:rsid w:val="003402D0"/>
    <w:rsid w:val="0034040B"/>
    <w:rsid w:val="00340517"/>
    <w:rsid w:val="00340553"/>
    <w:rsid w:val="003405FF"/>
    <w:rsid w:val="00340639"/>
    <w:rsid w:val="003406AB"/>
    <w:rsid w:val="003407E7"/>
    <w:rsid w:val="003408D4"/>
    <w:rsid w:val="00340B44"/>
    <w:rsid w:val="00340BC4"/>
    <w:rsid w:val="00340CAB"/>
    <w:rsid w:val="00340FB2"/>
    <w:rsid w:val="00341017"/>
    <w:rsid w:val="0034117A"/>
    <w:rsid w:val="0034118E"/>
    <w:rsid w:val="003414D6"/>
    <w:rsid w:val="00341708"/>
    <w:rsid w:val="00341801"/>
    <w:rsid w:val="00341856"/>
    <w:rsid w:val="00341A96"/>
    <w:rsid w:val="00341C48"/>
    <w:rsid w:val="00341D89"/>
    <w:rsid w:val="003421FE"/>
    <w:rsid w:val="0034261C"/>
    <w:rsid w:val="0034262D"/>
    <w:rsid w:val="00342698"/>
    <w:rsid w:val="00342702"/>
    <w:rsid w:val="003427A8"/>
    <w:rsid w:val="00342822"/>
    <w:rsid w:val="00342890"/>
    <w:rsid w:val="00342894"/>
    <w:rsid w:val="00342B70"/>
    <w:rsid w:val="00342BFB"/>
    <w:rsid w:val="00342C04"/>
    <w:rsid w:val="00342C2F"/>
    <w:rsid w:val="00342C3C"/>
    <w:rsid w:val="0034311A"/>
    <w:rsid w:val="0034326D"/>
    <w:rsid w:val="00343284"/>
    <w:rsid w:val="00343386"/>
    <w:rsid w:val="003433C6"/>
    <w:rsid w:val="00343444"/>
    <w:rsid w:val="0034356E"/>
    <w:rsid w:val="003436A9"/>
    <w:rsid w:val="0034373F"/>
    <w:rsid w:val="00343749"/>
    <w:rsid w:val="00343839"/>
    <w:rsid w:val="0034387E"/>
    <w:rsid w:val="00343990"/>
    <w:rsid w:val="00343E2A"/>
    <w:rsid w:val="00343FA3"/>
    <w:rsid w:val="0034403F"/>
    <w:rsid w:val="003440BD"/>
    <w:rsid w:val="00344133"/>
    <w:rsid w:val="00344236"/>
    <w:rsid w:val="0034446D"/>
    <w:rsid w:val="003446D9"/>
    <w:rsid w:val="003447BE"/>
    <w:rsid w:val="00344923"/>
    <w:rsid w:val="00344976"/>
    <w:rsid w:val="00344993"/>
    <w:rsid w:val="00344F5C"/>
    <w:rsid w:val="00344F69"/>
    <w:rsid w:val="003450AD"/>
    <w:rsid w:val="003451F1"/>
    <w:rsid w:val="00345252"/>
    <w:rsid w:val="00345341"/>
    <w:rsid w:val="003453D4"/>
    <w:rsid w:val="003453DD"/>
    <w:rsid w:val="0034548B"/>
    <w:rsid w:val="00345515"/>
    <w:rsid w:val="00345620"/>
    <w:rsid w:val="00345974"/>
    <w:rsid w:val="00345E25"/>
    <w:rsid w:val="00345E6B"/>
    <w:rsid w:val="00345EC1"/>
    <w:rsid w:val="00345ED5"/>
    <w:rsid w:val="00345F0F"/>
    <w:rsid w:val="00345FE9"/>
    <w:rsid w:val="0034619E"/>
    <w:rsid w:val="00346227"/>
    <w:rsid w:val="0034628A"/>
    <w:rsid w:val="003463B5"/>
    <w:rsid w:val="0034646B"/>
    <w:rsid w:val="0034647A"/>
    <w:rsid w:val="003466A4"/>
    <w:rsid w:val="00346793"/>
    <w:rsid w:val="00346B69"/>
    <w:rsid w:val="00346B94"/>
    <w:rsid w:val="00346CA2"/>
    <w:rsid w:val="00346E9A"/>
    <w:rsid w:val="00346ED4"/>
    <w:rsid w:val="003470C1"/>
    <w:rsid w:val="003470F2"/>
    <w:rsid w:val="003471F4"/>
    <w:rsid w:val="0034736C"/>
    <w:rsid w:val="003473A1"/>
    <w:rsid w:val="003477BD"/>
    <w:rsid w:val="003477EA"/>
    <w:rsid w:val="003478E2"/>
    <w:rsid w:val="003479A4"/>
    <w:rsid w:val="003479E0"/>
    <w:rsid w:val="00347A77"/>
    <w:rsid w:val="00347D78"/>
    <w:rsid w:val="00350304"/>
    <w:rsid w:val="00350413"/>
    <w:rsid w:val="00350425"/>
    <w:rsid w:val="00350584"/>
    <w:rsid w:val="00350604"/>
    <w:rsid w:val="00350665"/>
    <w:rsid w:val="0035067C"/>
    <w:rsid w:val="00350777"/>
    <w:rsid w:val="00350AB5"/>
    <w:rsid w:val="00350C3C"/>
    <w:rsid w:val="00350C5A"/>
    <w:rsid w:val="00350E36"/>
    <w:rsid w:val="00350FDD"/>
    <w:rsid w:val="00351021"/>
    <w:rsid w:val="003510A8"/>
    <w:rsid w:val="003511FB"/>
    <w:rsid w:val="00351274"/>
    <w:rsid w:val="00351346"/>
    <w:rsid w:val="00351678"/>
    <w:rsid w:val="00351817"/>
    <w:rsid w:val="003518A8"/>
    <w:rsid w:val="00351B1A"/>
    <w:rsid w:val="00351C48"/>
    <w:rsid w:val="00351C97"/>
    <w:rsid w:val="00351D07"/>
    <w:rsid w:val="00351D4D"/>
    <w:rsid w:val="00351D61"/>
    <w:rsid w:val="00351E8E"/>
    <w:rsid w:val="00351EA3"/>
    <w:rsid w:val="00351F0A"/>
    <w:rsid w:val="003520FB"/>
    <w:rsid w:val="00352746"/>
    <w:rsid w:val="003528FC"/>
    <w:rsid w:val="003529AC"/>
    <w:rsid w:val="003529C3"/>
    <w:rsid w:val="00352BDB"/>
    <w:rsid w:val="00352EA0"/>
    <w:rsid w:val="00353181"/>
    <w:rsid w:val="00353223"/>
    <w:rsid w:val="0035322A"/>
    <w:rsid w:val="00353421"/>
    <w:rsid w:val="003536AB"/>
    <w:rsid w:val="00353704"/>
    <w:rsid w:val="00353739"/>
    <w:rsid w:val="00353882"/>
    <w:rsid w:val="00353A29"/>
    <w:rsid w:val="00353B08"/>
    <w:rsid w:val="00353B85"/>
    <w:rsid w:val="00353C44"/>
    <w:rsid w:val="00353CB7"/>
    <w:rsid w:val="00353CD6"/>
    <w:rsid w:val="00353D50"/>
    <w:rsid w:val="00353DEC"/>
    <w:rsid w:val="00354057"/>
    <w:rsid w:val="003542CF"/>
    <w:rsid w:val="003546E2"/>
    <w:rsid w:val="00354710"/>
    <w:rsid w:val="0035482A"/>
    <w:rsid w:val="00354BE7"/>
    <w:rsid w:val="00354C88"/>
    <w:rsid w:val="00354CD1"/>
    <w:rsid w:val="00354D31"/>
    <w:rsid w:val="00354E3F"/>
    <w:rsid w:val="00354E46"/>
    <w:rsid w:val="00354E60"/>
    <w:rsid w:val="00354EE2"/>
    <w:rsid w:val="00354F93"/>
    <w:rsid w:val="003550B8"/>
    <w:rsid w:val="00355362"/>
    <w:rsid w:val="003556BF"/>
    <w:rsid w:val="00355A68"/>
    <w:rsid w:val="00355B5C"/>
    <w:rsid w:val="00355C3C"/>
    <w:rsid w:val="00355C9A"/>
    <w:rsid w:val="00355E2B"/>
    <w:rsid w:val="00355E31"/>
    <w:rsid w:val="00355E4A"/>
    <w:rsid w:val="00355ECC"/>
    <w:rsid w:val="00355FD2"/>
    <w:rsid w:val="0035601E"/>
    <w:rsid w:val="003562C7"/>
    <w:rsid w:val="003565AF"/>
    <w:rsid w:val="00356793"/>
    <w:rsid w:val="00356814"/>
    <w:rsid w:val="00356816"/>
    <w:rsid w:val="0035698F"/>
    <w:rsid w:val="00356AB2"/>
    <w:rsid w:val="00356AF0"/>
    <w:rsid w:val="00356CF9"/>
    <w:rsid w:val="00356E45"/>
    <w:rsid w:val="00356F0B"/>
    <w:rsid w:val="00357013"/>
    <w:rsid w:val="003573DD"/>
    <w:rsid w:val="00357624"/>
    <w:rsid w:val="003577F1"/>
    <w:rsid w:val="003578B6"/>
    <w:rsid w:val="003579A2"/>
    <w:rsid w:val="00357C31"/>
    <w:rsid w:val="00360200"/>
    <w:rsid w:val="0036024B"/>
    <w:rsid w:val="003602A4"/>
    <w:rsid w:val="00360412"/>
    <w:rsid w:val="003605A7"/>
    <w:rsid w:val="00360641"/>
    <w:rsid w:val="003606AA"/>
    <w:rsid w:val="00360977"/>
    <w:rsid w:val="003609F7"/>
    <w:rsid w:val="00360ABC"/>
    <w:rsid w:val="00360BE0"/>
    <w:rsid w:val="00360CC7"/>
    <w:rsid w:val="00360D1B"/>
    <w:rsid w:val="00360E14"/>
    <w:rsid w:val="00360EAF"/>
    <w:rsid w:val="00360F9C"/>
    <w:rsid w:val="00360FC6"/>
    <w:rsid w:val="00361085"/>
    <w:rsid w:val="00361471"/>
    <w:rsid w:val="003615AC"/>
    <w:rsid w:val="0036166F"/>
    <w:rsid w:val="00361735"/>
    <w:rsid w:val="0036186D"/>
    <w:rsid w:val="00361AF6"/>
    <w:rsid w:val="00361D0C"/>
    <w:rsid w:val="00361D1C"/>
    <w:rsid w:val="00361E77"/>
    <w:rsid w:val="00362137"/>
    <w:rsid w:val="003621BD"/>
    <w:rsid w:val="0036220F"/>
    <w:rsid w:val="00362235"/>
    <w:rsid w:val="0036237D"/>
    <w:rsid w:val="003626F5"/>
    <w:rsid w:val="00362826"/>
    <w:rsid w:val="003628CE"/>
    <w:rsid w:val="00362AAF"/>
    <w:rsid w:val="00362ADF"/>
    <w:rsid w:val="00362B57"/>
    <w:rsid w:val="00362C5D"/>
    <w:rsid w:val="00362D31"/>
    <w:rsid w:val="00362E37"/>
    <w:rsid w:val="00362F01"/>
    <w:rsid w:val="00362F24"/>
    <w:rsid w:val="00362F6F"/>
    <w:rsid w:val="00362FAF"/>
    <w:rsid w:val="00362FD0"/>
    <w:rsid w:val="0036325F"/>
    <w:rsid w:val="00363295"/>
    <w:rsid w:val="003632C3"/>
    <w:rsid w:val="0036335D"/>
    <w:rsid w:val="003635B9"/>
    <w:rsid w:val="0036379A"/>
    <w:rsid w:val="0036385A"/>
    <w:rsid w:val="003639A0"/>
    <w:rsid w:val="003639CA"/>
    <w:rsid w:val="00363AC0"/>
    <w:rsid w:val="00363D1F"/>
    <w:rsid w:val="00363E0C"/>
    <w:rsid w:val="00363E69"/>
    <w:rsid w:val="00364111"/>
    <w:rsid w:val="0036433B"/>
    <w:rsid w:val="00364471"/>
    <w:rsid w:val="0036450C"/>
    <w:rsid w:val="0036477B"/>
    <w:rsid w:val="00364816"/>
    <w:rsid w:val="00364ABC"/>
    <w:rsid w:val="00364B40"/>
    <w:rsid w:val="00364B78"/>
    <w:rsid w:val="00364BE9"/>
    <w:rsid w:val="00364C0A"/>
    <w:rsid w:val="00364CB6"/>
    <w:rsid w:val="00364DFC"/>
    <w:rsid w:val="00364EBB"/>
    <w:rsid w:val="00365042"/>
    <w:rsid w:val="0036517B"/>
    <w:rsid w:val="0036517D"/>
    <w:rsid w:val="003651F1"/>
    <w:rsid w:val="0036533D"/>
    <w:rsid w:val="00365378"/>
    <w:rsid w:val="00365437"/>
    <w:rsid w:val="00365785"/>
    <w:rsid w:val="003657C4"/>
    <w:rsid w:val="0036597B"/>
    <w:rsid w:val="00365AA2"/>
    <w:rsid w:val="00365BE8"/>
    <w:rsid w:val="00365DF1"/>
    <w:rsid w:val="00365E00"/>
    <w:rsid w:val="00365E82"/>
    <w:rsid w:val="00365EDA"/>
    <w:rsid w:val="00366100"/>
    <w:rsid w:val="00366193"/>
    <w:rsid w:val="0036633A"/>
    <w:rsid w:val="0036641B"/>
    <w:rsid w:val="0036659C"/>
    <w:rsid w:val="00366668"/>
    <w:rsid w:val="0036669F"/>
    <w:rsid w:val="00366808"/>
    <w:rsid w:val="00366A13"/>
    <w:rsid w:val="00366B7C"/>
    <w:rsid w:val="00366D6E"/>
    <w:rsid w:val="00366D9D"/>
    <w:rsid w:val="00366DCF"/>
    <w:rsid w:val="00366E73"/>
    <w:rsid w:val="00366F04"/>
    <w:rsid w:val="003670FB"/>
    <w:rsid w:val="003671AA"/>
    <w:rsid w:val="0036722D"/>
    <w:rsid w:val="0036790F"/>
    <w:rsid w:val="00367A67"/>
    <w:rsid w:val="00367E80"/>
    <w:rsid w:val="0037013B"/>
    <w:rsid w:val="003703AE"/>
    <w:rsid w:val="003703DB"/>
    <w:rsid w:val="003706AE"/>
    <w:rsid w:val="00370753"/>
    <w:rsid w:val="00370762"/>
    <w:rsid w:val="003708BE"/>
    <w:rsid w:val="00370934"/>
    <w:rsid w:val="00370A35"/>
    <w:rsid w:val="00370A62"/>
    <w:rsid w:val="00370C79"/>
    <w:rsid w:val="00370DAD"/>
    <w:rsid w:val="00371053"/>
    <w:rsid w:val="003710AB"/>
    <w:rsid w:val="00371268"/>
    <w:rsid w:val="003714CC"/>
    <w:rsid w:val="0037150B"/>
    <w:rsid w:val="00371617"/>
    <w:rsid w:val="003716C7"/>
    <w:rsid w:val="00371873"/>
    <w:rsid w:val="00371A37"/>
    <w:rsid w:val="00371A46"/>
    <w:rsid w:val="00371C30"/>
    <w:rsid w:val="00371DE3"/>
    <w:rsid w:val="00371E7E"/>
    <w:rsid w:val="00371EBF"/>
    <w:rsid w:val="00371F52"/>
    <w:rsid w:val="00371FEF"/>
    <w:rsid w:val="003722A0"/>
    <w:rsid w:val="00372368"/>
    <w:rsid w:val="00372441"/>
    <w:rsid w:val="003724BE"/>
    <w:rsid w:val="00372572"/>
    <w:rsid w:val="0037279E"/>
    <w:rsid w:val="00372C7B"/>
    <w:rsid w:val="00372CFB"/>
    <w:rsid w:val="00372D42"/>
    <w:rsid w:val="00372DED"/>
    <w:rsid w:val="00373136"/>
    <w:rsid w:val="00373145"/>
    <w:rsid w:val="003731EF"/>
    <w:rsid w:val="003732FB"/>
    <w:rsid w:val="00373430"/>
    <w:rsid w:val="003734B6"/>
    <w:rsid w:val="00373553"/>
    <w:rsid w:val="0037358C"/>
    <w:rsid w:val="003735CD"/>
    <w:rsid w:val="003735F4"/>
    <w:rsid w:val="00373920"/>
    <w:rsid w:val="00373A2B"/>
    <w:rsid w:val="00373BA5"/>
    <w:rsid w:val="00373BDB"/>
    <w:rsid w:val="00373BFF"/>
    <w:rsid w:val="00373C16"/>
    <w:rsid w:val="00373C9E"/>
    <w:rsid w:val="00374199"/>
    <w:rsid w:val="0037419F"/>
    <w:rsid w:val="003742A7"/>
    <w:rsid w:val="0037449C"/>
    <w:rsid w:val="00374513"/>
    <w:rsid w:val="0037458B"/>
    <w:rsid w:val="003746B3"/>
    <w:rsid w:val="00374794"/>
    <w:rsid w:val="00374848"/>
    <w:rsid w:val="003748CE"/>
    <w:rsid w:val="00374C7E"/>
    <w:rsid w:val="00374D03"/>
    <w:rsid w:val="00374F9B"/>
    <w:rsid w:val="00375101"/>
    <w:rsid w:val="00375347"/>
    <w:rsid w:val="003753D1"/>
    <w:rsid w:val="00375422"/>
    <w:rsid w:val="003754AD"/>
    <w:rsid w:val="003755F8"/>
    <w:rsid w:val="0037567D"/>
    <w:rsid w:val="003756F7"/>
    <w:rsid w:val="00375884"/>
    <w:rsid w:val="00375969"/>
    <w:rsid w:val="00375A43"/>
    <w:rsid w:val="00375BA9"/>
    <w:rsid w:val="00375DBE"/>
    <w:rsid w:val="00375DE1"/>
    <w:rsid w:val="00375E66"/>
    <w:rsid w:val="00375E6D"/>
    <w:rsid w:val="0037600C"/>
    <w:rsid w:val="00376061"/>
    <w:rsid w:val="00376307"/>
    <w:rsid w:val="003763D4"/>
    <w:rsid w:val="0037642F"/>
    <w:rsid w:val="00376433"/>
    <w:rsid w:val="0037662E"/>
    <w:rsid w:val="00376667"/>
    <w:rsid w:val="0037669E"/>
    <w:rsid w:val="003766A6"/>
    <w:rsid w:val="003766C3"/>
    <w:rsid w:val="0037672B"/>
    <w:rsid w:val="003767C0"/>
    <w:rsid w:val="00376896"/>
    <w:rsid w:val="00376929"/>
    <w:rsid w:val="003769E2"/>
    <w:rsid w:val="00376B16"/>
    <w:rsid w:val="00376CEE"/>
    <w:rsid w:val="00376D48"/>
    <w:rsid w:val="00376F77"/>
    <w:rsid w:val="00376F95"/>
    <w:rsid w:val="003770CA"/>
    <w:rsid w:val="003770F9"/>
    <w:rsid w:val="003771EC"/>
    <w:rsid w:val="00377243"/>
    <w:rsid w:val="00377368"/>
    <w:rsid w:val="00377447"/>
    <w:rsid w:val="0037767C"/>
    <w:rsid w:val="003776DE"/>
    <w:rsid w:val="0037786B"/>
    <w:rsid w:val="00377890"/>
    <w:rsid w:val="00377903"/>
    <w:rsid w:val="00377E03"/>
    <w:rsid w:val="00377E65"/>
    <w:rsid w:val="00377FF5"/>
    <w:rsid w:val="00380025"/>
    <w:rsid w:val="003800D5"/>
    <w:rsid w:val="00380138"/>
    <w:rsid w:val="0038024A"/>
    <w:rsid w:val="00380379"/>
    <w:rsid w:val="00380558"/>
    <w:rsid w:val="00380573"/>
    <w:rsid w:val="0038060F"/>
    <w:rsid w:val="003806CE"/>
    <w:rsid w:val="0038071A"/>
    <w:rsid w:val="00380752"/>
    <w:rsid w:val="003808A0"/>
    <w:rsid w:val="003808BB"/>
    <w:rsid w:val="00380A35"/>
    <w:rsid w:val="00380A37"/>
    <w:rsid w:val="00380D2F"/>
    <w:rsid w:val="00380E24"/>
    <w:rsid w:val="00380E48"/>
    <w:rsid w:val="00380E69"/>
    <w:rsid w:val="00381039"/>
    <w:rsid w:val="003810BE"/>
    <w:rsid w:val="00381159"/>
    <w:rsid w:val="003813C7"/>
    <w:rsid w:val="00381639"/>
    <w:rsid w:val="00381694"/>
    <w:rsid w:val="003816B7"/>
    <w:rsid w:val="00381707"/>
    <w:rsid w:val="00381832"/>
    <w:rsid w:val="0038184D"/>
    <w:rsid w:val="0038184F"/>
    <w:rsid w:val="00381CC7"/>
    <w:rsid w:val="00382462"/>
    <w:rsid w:val="003825FA"/>
    <w:rsid w:val="00382A7F"/>
    <w:rsid w:val="00382B60"/>
    <w:rsid w:val="00382D64"/>
    <w:rsid w:val="00382E27"/>
    <w:rsid w:val="00382E7E"/>
    <w:rsid w:val="00382EA3"/>
    <w:rsid w:val="00382F34"/>
    <w:rsid w:val="003830CC"/>
    <w:rsid w:val="0038319A"/>
    <w:rsid w:val="0038326D"/>
    <w:rsid w:val="0038327C"/>
    <w:rsid w:val="0038333D"/>
    <w:rsid w:val="00383734"/>
    <w:rsid w:val="003838A3"/>
    <w:rsid w:val="0038391E"/>
    <w:rsid w:val="00383939"/>
    <w:rsid w:val="00383AA3"/>
    <w:rsid w:val="00383AF0"/>
    <w:rsid w:val="00383E45"/>
    <w:rsid w:val="00383EAA"/>
    <w:rsid w:val="00383FEF"/>
    <w:rsid w:val="00384017"/>
    <w:rsid w:val="003841DD"/>
    <w:rsid w:val="003842B8"/>
    <w:rsid w:val="003843C5"/>
    <w:rsid w:val="0038459A"/>
    <w:rsid w:val="00384664"/>
    <w:rsid w:val="00384959"/>
    <w:rsid w:val="00384CE4"/>
    <w:rsid w:val="00384F4D"/>
    <w:rsid w:val="00384F98"/>
    <w:rsid w:val="00385125"/>
    <w:rsid w:val="00385306"/>
    <w:rsid w:val="00385326"/>
    <w:rsid w:val="00385957"/>
    <w:rsid w:val="00385B49"/>
    <w:rsid w:val="00385B97"/>
    <w:rsid w:val="00385BF5"/>
    <w:rsid w:val="00385E7D"/>
    <w:rsid w:val="00385F18"/>
    <w:rsid w:val="00386087"/>
    <w:rsid w:val="003860B2"/>
    <w:rsid w:val="003860B6"/>
    <w:rsid w:val="0038612F"/>
    <w:rsid w:val="003861A7"/>
    <w:rsid w:val="00386216"/>
    <w:rsid w:val="00386426"/>
    <w:rsid w:val="003864AD"/>
    <w:rsid w:val="00386551"/>
    <w:rsid w:val="00386582"/>
    <w:rsid w:val="00386640"/>
    <w:rsid w:val="0038664C"/>
    <w:rsid w:val="003869C7"/>
    <w:rsid w:val="003869F0"/>
    <w:rsid w:val="00386B31"/>
    <w:rsid w:val="00386C87"/>
    <w:rsid w:val="00386E41"/>
    <w:rsid w:val="00386F85"/>
    <w:rsid w:val="003870CA"/>
    <w:rsid w:val="003873B7"/>
    <w:rsid w:val="003873C4"/>
    <w:rsid w:val="003873C6"/>
    <w:rsid w:val="00387402"/>
    <w:rsid w:val="0038768E"/>
    <w:rsid w:val="00387963"/>
    <w:rsid w:val="00387A53"/>
    <w:rsid w:val="00387B91"/>
    <w:rsid w:val="00387C79"/>
    <w:rsid w:val="00387EC8"/>
    <w:rsid w:val="00390075"/>
    <w:rsid w:val="00390365"/>
    <w:rsid w:val="0039061A"/>
    <w:rsid w:val="003906C1"/>
    <w:rsid w:val="003906D7"/>
    <w:rsid w:val="0039097C"/>
    <w:rsid w:val="00390C3F"/>
    <w:rsid w:val="00390F32"/>
    <w:rsid w:val="00390F80"/>
    <w:rsid w:val="003911CD"/>
    <w:rsid w:val="00391223"/>
    <w:rsid w:val="003912B0"/>
    <w:rsid w:val="003912D4"/>
    <w:rsid w:val="003914A1"/>
    <w:rsid w:val="0039188C"/>
    <w:rsid w:val="00391935"/>
    <w:rsid w:val="003919AB"/>
    <w:rsid w:val="00391A66"/>
    <w:rsid w:val="00391D02"/>
    <w:rsid w:val="00391D29"/>
    <w:rsid w:val="00391F79"/>
    <w:rsid w:val="0039206B"/>
    <w:rsid w:val="00392165"/>
    <w:rsid w:val="0039245F"/>
    <w:rsid w:val="00392658"/>
    <w:rsid w:val="0039265D"/>
    <w:rsid w:val="003927AA"/>
    <w:rsid w:val="003927B7"/>
    <w:rsid w:val="00392912"/>
    <w:rsid w:val="00392A7F"/>
    <w:rsid w:val="00392BEF"/>
    <w:rsid w:val="00392CBD"/>
    <w:rsid w:val="00392D06"/>
    <w:rsid w:val="00392DA1"/>
    <w:rsid w:val="00392F8B"/>
    <w:rsid w:val="0039305A"/>
    <w:rsid w:val="0039313F"/>
    <w:rsid w:val="0039318B"/>
    <w:rsid w:val="003931CA"/>
    <w:rsid w:val="00393207"/>
    <w:rsid w:val="0039320E"/>
    <w:rsid w:val="003932A7"/>
    <w:rsid w:val="00393428"/>
    <w:rsid w:val="00393563"/>
    <w:rsid w:val="003936C4"/>
    <w:rsid w:val="003937C8"/>
    <w:rsid w:val="003937FF"/>
    <w:rsid w:val="00393863"/>
    <w:rsid w:val="0039391C"/>
    <w:rsid w:val="00393D5B"/>
    <w:rsid w:val="00393EAE"/>
    <w:rsid w:val="00393F6D"/>
    <w:rsid w:val="0039410C"/>
    <w:rsid w:val="00394371"/>
    <w:rsid w:val="003945F0"/>
    <w:rsid w:val="0039465E"/>
    <w:rsid w:val="003949B6"/>
    <w:rsid w:val="00394AC3"/>
    <w:rsid w:val="00394B97"/>
    <w:rsid w:val="00394B9E"/>
    <w:rsid w:val="00394C81"/>
    <w:rsid w:val="00394C91"/>
    <w:rsid w:val="00394CF3"/>
    <w:rsid w:val="00394D50"/>
    <w:rsid w:val="00394D5E"/>
    <w:rsid w:val="00394DFF"/>
    <w:rsid w:val="00394E02"/>
    <w:rsid w:val="00394FA2"/>
    <w:rsid w:val="003950C6"/>
    <w:rsid w:val="0039534A"/>
    <w:rsid w:val="0039535D"/>
    <w:rsid w:val="003954A6"/>
    <w:rsid w:val="00395536"/>
    <w:rsid w:val="00395779"/>
    <w:rsid w:val="00395849"/>
    <w:rsid w:val="00395922"/>
    <w:rsid w:val="003959EA"/>
    <w:rsid w:val="00395A53"/>
    <w:rsid w:val="00395A5D"/>
    <w:rsid w:val="00395AF8"/>
    <w:rsid w:val="00395B06"/>
    <w:rsid w:val="00395C17"/>
    <w:rsid w:val="00395CB7"/>
    <w:rsid w:val="00395F37"/>
    <w:rsid w:val="00396049"/>
    <w:rsid w:val="00396091"/>
    <w:rsid w:val="003960F3"/>
    <w:rsid w:val="00396109"/>
    <w:rsid w:val="003961B3"/>
    <w:rsid w:val="0039640F"/>
    <w:rsid w:val="003965A4"/>
    <w:rsid w:val="00396646"/>
    <w:rsid w:val="003966DD"/>
    <w:rsid w:val="00396744"/>
    <w:rsid w:val="00396879"/>
    <w:rsid w:val="00396A73"/>
    <w:rsid w:val="00396BA2"/>
    <w:rsid w:val="00396BBA"/>
    <w:rsid w:val="00396CDF"/>
    <w:rsid w:val="00397072"/>
    <w:rsid w:val="003970E8"/>
    <w:rsid w:val="003971ED"/>
    <w:rsid w:val="003975AE"/>
    <w:rsid w:val="00397617"/>
    <w:rsid w:val="0039762C"/>
    <w:rsid w:val="00397638"/>
    <w:rsid w:val="003977B6"/>
    <w:rsid w:val="003978BB"/>
    <w:rsid w:val="00397942"/>
    <w:rsid w:val="00397C65"/>
    <w:rsid w:val="00397D01"/>
    <w:rsid w:val="00397F84"/>
    <w:rsid w:val="003A001B"/>
    <w:rsid w:val="003A00C2"/>
    <w:rsid w:val="003A012E"/>
    <w:rsid w:val="003A018E"/>
    <w:rsid w:val="003A01FB"/>
    <w:rsid w:val="003A0372"/>
    <w:rsid w:val="003A041E"/>
    <w:rsid w:val="003A04BE"/>
    <w:rsid w:val="003A05EA"/>
    <w:rsid w:val="003A0631"/>
    <w:rsid w:val="003A06E9"/>
    <w:rsid w:val="003A09E7"/>
    <w:rsid w:val="003A0A21"/>
    <w:rsid w:val="003A0A46"/>
    <w:rsid w:val="003A0A96"/>
    <w:rsid w:val="003A0AC1"/>
    <w:rsid w:val="003A0C4A"/>
    <w:rsid w:val="003A0CC5"/>
    <w:rsid w:val="003A0D68"/>
    <w:rsid w:val="003A0E12"/>
    <w:rsid w:val="003A0E6C"/>
    <w:rsid w:val="003A0ED7"/>
    <w:rsid w:val="003A100F"/>
    <w:rsid w:val="003A10CD"/>
    <w:rsid w:val="003A1244"/>
    <w:rsid w:val="003A12D9"/>
    <w:rsid w:val="003A153E"/>
    <w:rsid w:val="003A18C8"/>
    <w:rsid w:val="003A1A63"/>
    <w:rsid w:val="003A1AC0"/>
    <w:rsid w:val="003A1CBA"/>
    <w:rsid w:val="003A1F50"/>
    <w:rsid w:val="003A1FB3"/>
    <w:rsid w:val="003A204B"/>
    <w:rsid w:val="003A2103"/>
    <w:rsid w:val="003A2210"/>
    <w:rsid w:val="003A226F"/>
    <w:rsid w:val="003A2339"/>
    <w:rsid w:val="003A2373"/>
    <w:rsid w:val="003A24B4"/>
    <w:rsid w:val="003A270F"/>
    <w:rsid w:val="003A277C"/>
    <w:rsid w:val="003A2987"/>
    <w:rsid w:val="003A2C6F"/>
    <w:rsid w:val="003A31AA"/>
    <w:rsid w:val="003A32C3"/>
    <w:rsid w:val="003A33BC"/>
    <w:rsid w:val="003A3440"/>
    <w:rsid w:val="003A34E6"/>
    <w:rsid w:val="003A3645"/>
    <w:rsid w:val="003A3803"/>
    <w:rsid w:val="003A3928"/>
    <w:rsid w:val="003A3BEF"/>
    <w:rsid w:val="003A3C0A"/>
    <w:rsid w:val="003A3DDD"/>
    <w:rsid w:val="003A3EEB"/>
    <w:rsid w:val="003A3F29"/>
    <w:rsid w:val="003A4021"/>
    <w:rsid w:val="003A40B6"/>
    <w:rsid w:val="003A42D5"/>
    <w:rsid w:val="003A4317"/>
    <w:rsid w:val="003A44A5"/>
    <w:rsid w:val="003A45C9"/>
    <w:rsid w:val="003A45FB"/>
    <w:rsid w:val="003A4AF3"/>
    <w:rsid w:val="003A4B22"/>
    <w:rsid w:val="003A4D17"/>
    <w:rsid w:val="003A4EAA"/>
    <w:rsid w:val="003A5078"/>
    <w:rsid w:val="003A53F0"/>
    <w:rsid w:val="003A5417"/>
    <w:rsid w:val="003A5703"/>
    <w:rsid w:val="003A5743"/>
    <w:rsid w:val="003A57C6"/>
    <w:rsid w:val="003A584C"/>
    <w:rsid w:val="003A58C5"/>
    <w:rsid w:val="003A5954"/>
    <w:rsid w:val="003A5955"/>
    <w:rsid w:val="003A5C1B"/>
    <w:rsid w:val="003A5E31"/>
    <w:rsid w:val="003A5FF4"/>
    <w:rsid w:val="003A60FD"/>
    <w:rsid w:val="003A630F"/>
    <w:rsid w:val="003A6615"/>
    <w:rsid w:val="003A6BEC"/>
    <w:rsid w:val="003A6CC2"/>
    <w:rsid w:val="003A6DB1"/>
    <w:rsid w:val="003A6DE5"/>
    <w:rsid w:val="003A6E31"/>
    <w:rsid w:val="003A6FB1"/>
    <w:rsid w:val="003A7050"/>
    <w:rsid w:val="003A751F"/>
    <w:rsid w:val="003A757C"/>
    <w:rsid w:val="003A75FE"/>
    <w:rsid w:val="003A7623"/>
    <w:rsid w:val="003A7664"/>
    <w:rsid w:val="003A768C"/>
    <w:rsid w:val="003A7733"/>
    <w:rsid w:val="003A77EC"/>
    <w:rsid w:val="003A78C6"/>
    <w:rsid w:val="003A7A79"/>
    <w:rsid w:val="003A7AA6"/>
    <w:rsid w:val="003A7B62"/>
    <w:rsid w:val="003A7B82"/>
    <w:rsid w:val="003A7E02"/>
    <w:rsid w:val="003B0005"/>
    <w:rsid w:val="003B0154"/>
    <w:rsid w:val="003B0163"/>
    <w:rsid w:val="003B0311"/>
    <w:rsid w:val="003B0588"/>
    <w:rsid w:val="003B0609"/>
    <w:rsid w:val="003B0611"/>
    <w:rsid w:val="003B0651"/>
    <w:rsid w:val="003B09E4"/>
    <w:rsid w:val="003B09F2"/>
    <w:rsid w:val="003B0C91"/>
    <w:rsid w:val="003B0E05"/>
    <w:rsid w:val="003B0ED4"/>
    <w:rsid w:val="003B11DE"/>
    <w:rsid w:val="003B1290"/>
    <w:rsid w:val="003B1558"/>
    <w:rsid w:val="003B15A6"/>
    <w:rsid w:val="003B1838"/>
    <w:rsid w:val="003B183E"/>
    <w:rsid w:val="003B1AF0"/>
    <w:rsid w:val="003B1CB4"/>
    <w:rsid w:val="003B1CBB"/>
    <w:rsid w:val="003B1D7C"/>
    <w:rsid w:val="003B1E29"/>
    <w:rsid w:val="003B1E94"/>
    <w:rsid w:val="003B1F26"/>
    <w:rsid w:val="003B1FE3"/>
    <w:rsid w:val="003B2084"/>
    <w:rsid w:val="003B22A3"/>
    <w:rsid w:val="003B2346"/>
    <w:rsid w:val="003B2384"/>
    <w:rsid w:val="003B25ED"/>
    <w:rsid w:val="003B262C"/>
    <w:rsid w:val="003B2799"/>
    <w:rsid w:val="003B2900"/>
    <w:rsid w:val="003B299A"/>
    <w:rsid w:val="003B2BB9"/>
    <w:rsid w:val="003B2C52"/>
    <w:rsid w:val="003B2DCE"/>
    <w:rsid w:val="003B2F19"/>
    <w:rsid w:val="003B302C"/>
    <w:rsid w:val="003B309B"/>
    <w:rsid w:val="003B312A"/>
    <w:rsid w:val="003B35C1"/>
    <w:rsid w:val="003B37F6"/>
    <w:rsid w:val="003B3819"/>
    <w:rsid w:val="003B3914"/>
    <w:rsid w:val="003B3CDE"/>
    <w:rsid w:val="003B3D8A"/>
    <w:rsid w:val="003B3DEA"/>
    <w:rsid w:val="003B3E69"/>
    <w:rsid w:val="003B3EF3"/>
    <w:rsid w:val="003B3F4B"/>
    <w:rsid w:val="003B3FCE"/>
    <w:rsid w:val="003B416B"/>
    <w:rsid w:val="003B4247"/>
    <w:rsid w:val="003B4ACD"/>
    <w:rsid w:val="003B4B9C"/>
    <w:rsid w:val="003B4CBF"/>
    <w:rsid w:val="003B4E31"/>
    <w:rsid w:val="003B4F8A"/>
    <w:rsid w:val="003B5017"/>
    <w:rsid w:val="003B501E"/>
    <w:rsid w:val="003B5026"/>
    <w:rsid w:val="003B502C"/>
    <w:rsid w:val="003B517B"/>
    <w:rsid w:val="003B52AD"/>
    <w:rsid w:val="003B5449"/>
    <w:rsid w:val="003B55A0"/>
    <w:rsid w:val="003B5603"/>
    <w:rsid w:val="003B576A"/>
    <w:rsid w:val="003B5A6B"/>
    <w:rsid w:val="003B5A72"/>
    <w:rsid w:val="003B5A93"/>
    <w:rsid w:val="003B5B60"/>
    <w:rsid w:val="003B5BE6"/>
    <w:rsid w:val="003B5CC8"/>
    <w:rsid w:val="003B5D2F"/>
    <w:rsid w:val="003B5E89"/>
    <w:rsid w:val="003B5FEE"/>
    <w:rsid w:val="003B6378"/>
    <w:rsid w:val="003B64C6"/>
    <w:rsid w:val="003B6503"/>
    <w:rsid w:val="003B67AE"/>
    <w:rsid w:val="003B68A1"/>
    <w:rsid w:val="003B694B"/>
    <w:rsid w:val="003B69B5"/>
    <w:rsid w:val="003B6A28"/>
    <w:rsid w:val="003B6A3F"/>
    <w:rsid w:val="003B6A5B"/>
    <w:rsid w:val="003B6B8C"/>
    <w:rsid w:val="003B6D9C"/>
    <w:rsid w:val="003B6E17"/>
    <w:rsid w:val="003B6E39"/>
    <w:rsid w:val="003B6E6A"/>
    <w:rsid w:val="003B6FC5"/>
    <w:rsid w:val="003B70ED"/>
    <w:rsid w:val="003B7216"/>
    <w:rsid w:val="003B7345"/>
    <w:rsid w:val="003B73A9"/>
    <w:rsid w:val="003B753D"/>
    <w:rsid w:val="003B753E"/>
    <w:rsid w:val="003B76C4"/>
    <w:rsid w:val="003B76E8"/>
    <w:rsid w:val="003B7958"/>
    <w:rsid w:val="003B7A7F"/>
    <w:rsid w:val="003B7B32"/>
    <w:rsid w:val="003B7B74"/>
    <w:rsid w:val="003C010E"/>
    <w:rsid w:val="003C023E"/>
    <w:rsid w:val="003C03F6"/>
    <w:rsid w:val="003C05FA"/>
    <w:rsid w:val="003C0964"/>
    <w:rsid w:val="003C0A0C"/>
    <w:rsid w:val="003C0B85"/>
    <w:rsid w:val="003C0C4C"/>
    <w:rsid w:val="003C0D8E"/>
    <w:rsid w:val="003C0F8B"/>
    <w:rsid w:val="003C0F9D"/>
    <w:rsid w:val="003C0FAB"/>
    <w:rsid w:val="003C0FAC"/>
    <w:rsid w:val="003C1479"/>
    <w:rsid w:val="003C16E7"/>
    <w:rsid w:val="003C177C"/>
    <w:rsid w:val="003C17A9"/>
    <w:rsid w:val="003C18D7"/>
    <w:rsid w:val="003C1994"/>
    <w:rsid w:val="003C1AFA"/>
    <w:rsid w:val="003C1B10"/>
    <w:rsid w:val="003C1C42"/>
    <w:rsid w:val="003C1C77"/>
    <w:rsid w:val="003C1D77"/>
    <w:rsid w:val="003C203C"/>
    <w:rsid w:val="003C20A9"/>
    <w:rsid w:val="003C23A3"/>
    <w:rsid w:val="003C2436"/>
    <w:rsid w:val="003C2619"/>
    <w:rsid w:val="003C27B0"/>
    <w:rsid w:val="003C2831"/>
    <w:rsid w:val="003C2865"/>
    <w:rsid w:val="003C2A81"/>
    <w:rsid w:val="003C2B65"/>
    <w:rsid w:val="003C2BCB"/>
    <w:rsid w:val="003C2E57"/>
    <w:rsid w:val="003C30D2"/>
    <w:rsid w:val="003C3320"/>
    <w:rsid w:val="003C3395"/>
    <w:rsid w:val="003C33E4"/>
    <w:rsid w:val="003C369C"/>
    <w:rsid w:val="003C3736"/>
    <w:rsid w:val="003C378F"/>
    <w:rsid w:val="003C3928"/>
    <w:rsid w:val="003C3EC5"/>
    <w:rsid w:val="003C3EC7"/>
    <w:rsid w:val="003C3FC3"/>
    <w:rsid w:val="003C3FD5"/>
    <w:rsid w:val="003C4004"/>
    <w:rsid w:val="003C40E4"/>
    <w:rsid w:val="003C416A"/>
    <w:rsid w:val="003C4460"/>
    <w:rsid w:val="003C449D"/>
    <w:rsid w:val="003C46C4"/>
    <w:rsid w:val="003C4A87"/>
    <w:rsid w:val="003C4BDB"/>
    <w:rsid w:val="003C4D58"/>
    <w:rsid w:val="003C5288"/>
    <w:rsid w:val="003C5320"/>
    <w:rsid w:val="003C5542"/>
    <w:rsid w:val="003C555A"/>
    <w:rsid w:val="003C5879"/>
    <w:rsid w:val="003C59E0"/>
    <w:rsid w:val="003C5B3F"/>
    <w:rsid w:val="003C5BB8"/>
    <w:rsid w:val="003C5C4C"/>
    <w:rsid w:val="003C5EBC"/>
    <w:rsid w:val="003C5EC6"/>
    <w:rsid w:val="003C5ED8"/>
    <w:rsid w:val="003C60E3"/>
    <w:rsid w:val="003C6118"/>
    <w:rsid w:val="003C626D"/>
    <w:rsid w:val="003C6447"/>
    <w:rsid w:val="003C648C"/>
    <w:rsid w:val="003C64AE"/>
    <w:rsid w:val="003C6575"/>
    <w:rsid w:val="003C695D"/>
    <w:rsid w:val="003C6A5A"/>
    <w:rsid w:val="003C6B5B"/>
    <w:rsid w:val="003C6B64"/>
    <w:rsid w:val="003C6B90"/>
    <w:rsid w:val="003C6BF3"/>
    <w:rsid w:val="003C6C37"/>
    <w:rsid w:val="003C6FD7"/>
    <w:rsid w:val="003C717E"/>
    <w:rsid w:val="003C71B4"/>
    <w:rsid w:val="003C71F5"/>
    <w:rsid w:val="003C7211"/>
    <w:rsid w:val="003C734B"/>
    <w:rsid w:val="003C73BA"/>
    <w:rsid w:val="003C76B9"/>
    <w:rsid w:val="003C7702"/>
    <w:rsid w:val="003C79B4"/>
    <w:rsid w:val="003C7B75"/>
    <w:rsid w:val="003C7CFD"/>
    <w:rsid w:val="003C7D42"/>
    <w:rsid w:val="003C7E79"/>
    <w:rsid w:val="003C7F62"/>
    <w:rsid w:val="003C7F6B"/>
    <w:rsid w:val="003C7FC2"/>
    <w:rsid w:val="003D023F"/>
    <w:rsid w:val="003D02B8"/>
    <w:rsid w:val="003D02BD"/>
    <w:rsid w:val="003D04FC"/>
    <w:rsid w:val="003D0A7F"/>
    <w:rsid w:val="003D0B11"/>
    <w:rsid w:val="003D0B50"/>
    <w:rsid w:val="003D0BAC"/>
    <w:rsid w:val="003D0C7C"/>
    <w:rsid w:val="003D0C94"/>
    <w:rsid w:val="003D0D59"/>
    <w:rsid w:val="003D0E6B"/>
    <w:rsid w:val="003D0EE5"/>
    <w:rsid w:val="003D10F0"/>
    <w:rsid w:val="003D11C9"/>
    <w:rsid w:val="003D127C"/>
    <w:rsid w:val="003D13A8"/>
    <w:rsid w:val="003D14E7"/>
    <w:rsid w:val="003D154D"/>
    <w:rsid w:val="003D15CC"/>
    <w:rsid w:val="003D1641"/>
    <w:rsid w:val="003D16AA"/>
    <w:rsid w:val="003D174D"/>
    <w:rsid w:val="003D17BB"/>
    <w:rsid w:val="003D1864"/>
    <w:rsid w:val="003D18DA"/>
    <w:rsid w:val="003D1956"/>
    <w:rsid w:val="003D19E8"/>
    <w:rsid w:val="003D1B44"/>
    <w:rsid w:val="003D1B76"/>
    <w:rsid w:val="003D1B91"/>
    <w:rsid w:val="003D1BD8"/>
    <w:rsid w:val="003D1C3D"/>
    <w:rsid w:val="003D1C45"/>
    <w:rsid w:val="003D1CAB"/>
    <w:rsid w:val="003D1E38"/>
    <w:rsid w:val="003D1E3F"/>
    <w:rsid w:val="003D205D"/>
    <w:rsid w:val="003D205E"/>
    <w:rsid w:val="003D20B0"/>
    <w:rsid w:val="003D2330"/>
    <w:rsid w:val="003D239D"/>
    <w:rsid w:val="003D25E4"/>
    <w:rsid w:val="003D2635"/>
    <w:rsid w:val="003D2819"/>
    <w:rsid w:val="003D282B"/>
    <w:rsid w:val="003D287B"/>
    <w:rsid w:val="003D2A5F"/>
    <w:rsid w:val="003D2B63"/>
    <w:rsid w:val="003D2C72"/>
    <w:rsid w:val="003D2D71"/>
    <w:rsid w:val="003D30DA"/>
    <w:rsid w:val="003D3457"/>
    <w:rsid w:val="003D348A"/>
    <w:rsid w:val="003D34A0"/>
    <w:rsid w:val="003D35F1"/>
    <w:rsid w:val="003D37D8"/>
    <w:rsid w:val="003D381D"/>
    <w:rsid w:val="003D3A71"/>
    <w:rsid w:val="003D3B6F"/>
    <w:rsid w:val="003D3C63"/>
    <w:rsid w:val="003D3C73"/>
    <w:rsid w:val="003D3CB7"/>
    <w:rsid w:val="003D3DF0"/>
    <w:rsid w:val="003D3F3A"/>
    <w:rsid w:val="003D4081"/>
    <w:rsid w:val="003D45FB"/>
    <w:rsid w:val="003D4788"/>
    <w:rsid w:val="003D48D1"/>
    <w:rsid w:val="003D4923"/>
    <w:rsid w:val="003D49BD"/>
    <w:rsid w:val="003D4AC8"/>
    <w:rsid w:val="003D4B1E"/>
    <w:rsid w:val="003D4BEA"/>
    <w:rsid w:val="003D4D70"/>
    <w:rsid w:val="003D509F"/>
    <w:rsid w:val="003D5191"/>
    <w:rsid w:val="003D51DA"/>
    <w:rsid w:val="003D5248"/>
    <w:rsid w:val="003D5342"/>
    <w:rsid w:val="003D53C6"/>
    <w:rsid w:val="003D549C"/>
    <w:rsid w:val="003D57B2"/>
    <w:rsid w:val="003D57E7"/>
    <w:rsid w:val="003D57EF"/>
    <w:rsid w:val="003D5A49"/>
    <w:rsid w:val="003D5AD8"/>
    <w:rsid w:val="003D5C40"/>
    <w:rsid w:val="003D5DE2"/>
    <w:rsid w:val="003D5FB4"/>
    <w:rsid w:val="003D5FC0"/>
    <w:rsid w:val="003D6107"/>
    <w:rsid w:val="003D6138"/>
    <w:rsid w:val="003D61C8"/>
    <w:rsid w:val="003D6259"/>
    <w:rsid w:val="003D633F"/>
    <w:rsid w:val="003D6366"/>
    <w:rsid w:val="003D63CB"/>
    <w:rsid w:val="003D6403"/>
    <w:rsid w:val="003D64EC"/>
    <w:rsid w:val="003D6640"/>
    <w:rsid w:val="003D68F7"/>
    <w:rsid w:val="003D692A"/>
    <w:rsid w:val="003D6A03"/>
    <w:rsid w:val="003D6F47"/>
    <w:rsid w:val="003D7150"/>
    <w:rsid w:val="003D7371"/>
    <w:rsid w:val="003D738C"/>
    <w:rsid w:val="003D73A0"/>
    <w:rsid w:val="003D77DB"/>
    <w:rsid w:val="003D7812"/>
    <w:rsid w:val="003D79E6"/>
    <w:rsid w:val="003D7ACE"/>
    <w:rsid w:val="003D7B97"/>
    <w:rsid w:val="003E0046"/>
    <w:rsid w:val="003E0442"/>
    <w:rsid w:val="003E06F2"/>
    <w:rsid w:val="003E0761"/>
    <w:rsid w:val="003E07B6"/>
    <w:rsid w:val="003E084E"/>
    <w:rsid w:val="003E0AC4"/>
    <w:rsid w:val="003E0AD5"/>
    <w:rsid w:val="003E0ADC"/>
    <w:rsid w:val="003E0AEB"/>
    <w:rsid w:val="003E0B65"/>
    <w:rsid w:val="003E0E09"/>
    <w:rsid w:val="003E0E44"/>
    <w:rsid w:val="003E0FA6"/>
    <w:rsid w:val="003E1018"/>
    <w:rsid w:val="003E1079"/>
    <w:rsid w:val="003E1141"/>
    <w:rsid w:val="003E131C"/>
    <w:rsid w:val="003E13C0"/>
    <w:rsid w:val="003E1400"/>
    <w:rsid w:val="003E147B"/>
    <w:rsid w:val="003E1583"/>
    <w:rsid w:val="003E1679"/>
    <w:rsid w:val="003E16A9"/>
    <w:rsid w:val="003E1814"/>
    <w:rsid w:val="003E1910"/>
    <w:rsid w:val="003E1925"/>
    <w:rsid w:val="003E1E01"/>
    <w:rsid w:val="003E1E35"/>
    <w:rsid w:val="003E1F84"/>
    <w:rsid w:val="003E20DC"/>
    <w:rsid w:val="003E21C7"/>
    <w:rsid w:val="003E2243"/>
    <w:rsid w:val="003E229B"/>
    <w:rsid w:val="003E23AB"/>
    <w:rsid w:val="003E2420"/>
    <w:rsid w:val="003E24C4"/>
    <w:rsid w:val="003E24DD"/>
    <w:rsid w:val="003E24F1"/>
    <w:rsid w:val="003E2653"/>
    <w:rsid w:val="003E2667"/>
    <w:rsid w:val="003E2792"/>
    <w:rsid w:val="003E2A64"/>
    <w:rsid w:val="003E2B21"/>
    <w:rsid w:val="003E2C54"/>
    <w:rsid w:val="003E2D3C"/>
    <w:rsid w:val="003E2D73"/>
    <w:rsid w:val="003E2EE1"/>
    <w:rsid w:val="003E2F6D"/>
    <w:rsid w:val="003E2FEA"/>
    <w:rsid w:val="003E3013"/>
    <w:rsid w:val="003E3145"/>
    <w:rsid w:val="003E31A5"/>
    <w:rsid w:val="003E31BC"/>
    <w:rsid w:val="003E32C9"/>
    <w:rsid w:val="003E336E"/>
    <w:rsid w:val="003E3619"/>
    <w:rsid w:val="003E3857"/>
    <w:rsid w:val="003E3939"/>
    <w:rsid w:val="003E396C"/>
    <w:rsid w:val="003E3AFF"/>
    <w:rsid w:val="003E3B5A"/>
    <w:rsid w:val="003E3C49"/>
    <w:rsid w:val="003E3E1A"/>
    <w:rsid w:val="003E41BC"/>
    <w:rsid w:val="003E437F"/>
    <w:rsid w:val="003E43F3"/>
    <w:rsid w:val="003E441A"/>
    <w:rsid w:val="003E4441"/>
    <w:rsid w:val="003E46F5"/>
    <w:rsid w:val="003E476D"/>
    <w:rsid w:val="003E47A9"/>
    <w:rsid w:val="003E4987"/>
    <w:rsid w:val="003E4C3E"/>
    <w:rsid w:val="003E4E98"/>
    <w:rsid w:val="003E4ED4"/>
    <w:rsid w:val="003E4FA2"/>
    <w:rsid w:val="003E4FA6"/>
    <w:rsid w:val="003E50AC"/>
    <w:rsid w:val="003E517D"/>
    <w:rsid w:val="003E545F"/>
    <w:rsid w:val="003E54B5"/>
    <w:rsid w:val="003E54F0"/>
    <w:rsid w:val="003E5563"/>
    <w:rsid w:val="003E57E2"/>
    <w:rsid w:val="003E5807"/>
    <w:rsid w:val="003E585A"/>
    <w:rsid w:val="003E58DA"/>
    <w:rsid w:val="003E5927"/>
    <w:rsid w:val="003E5C76"/>
    <w:rsid w:val="003E5C85"/>
    <w:rsid w:val="003E5DBE"/>
    <w:rsid w:val="003E5DDA"/>
    <w:rsid w:val="003E5E4E"/>
    <w:rsid w:val="003E5F1D"/>
    <w:rsid w:val="003E5F5B"/>
    <w:rsid w:val="003E610A"/>
    <w:rsid w:val="003E61A4"/>
    <w:rsid w:val="003E6249"/>
    <w:rsid w:val="003E6388"/>
    <w:rsid w:val="003E63C2"/>
    <w:rsid w:val="003E648F"/>
    <w:rsid w:val="003E64DE"/>
    <w:rsid w:val="003E675C"/>
    <w:rsid w:val="003E69C3"/>
    <w:rsid w:val="003E6AC0"/>
    <w:rsid w:val="003E6C42"/>
    <w:rsid w:val="003E6FA4"/>
    <w:rsid w:val="003E6FFF"/>
    <w:rsid w:val="003E70A1"/>
    <w:rsid w:val="003E70F3"/>
    <w:rsid w:val="003E7198"/>
    <w:rsid w:val="003E7207"/>
    <w:rsid w:val="003E74A4"/>
    <w:rsid w:val="003E78E7"/>
    <w:rsid w:val="003E7A9E"/>
    <w:rsid w:val="003E7AE9"/>
    <w:rsid w:val="003E7BC2"/>
    <w:rsid w:val="003E7E01"/>
    <w:rsid w:val="003F00B6"/>
    <w:rsid w:val="003F030E"/>
    <w:rsid w:val="003F03B6"/>
    <w:rsid w:val="003F04FD"/>
    <w:rsid w:val="003F05FA"/>
    <w:rsid w:val="003F05FC"/>
    <w:rsid w:val="003F0616"/>
    <w:rsid w:val="003F06C0"/>
    <w:rsid w:val="003F073C"/>
    <w:rsid w:val="003F078B"/>
    <w:rsid w:val="003F07EA"/>
    <w:rsid w:val="003F09C9"/>
    <w:rsid w:val="003F0A8F"/>
    <w:rsid w:val="003F0B3C"/>
    <w:rsid w:val="003F0C29"/>
    <w:rsid w:val="003F0C8C"/>
    <w:rsid w:val="003F0D17"/>
    <w:rsid w:val="003F11BE"/>
    <w:rsid w:val="003F1292"/>
    <w:rsid w:val="003F15C0"/>
    <w:rsid w:val="003F167A"/>
    <w:rsid w:val="003F16D5"/>
    <w:rsid w:val="003F18BC"/>
    <w:rsid w:val="003F192A"/>
    <w:rsid w:val="003F1AC8"/>
    <w:rsid w:val="003F1AD7"/>
    <w:rsid w:val="003F1EE6"/>
    <w:rsid w:val="003F1F07"/>
    <w:rsid w:val="003F1FFB"/>
    <w:rsid w:val="003F2062"/>
    <w:rsid w:val="003F2695"/>
    <w:rsid w:val="003F2700"/>
    <w:rsid w:val="003F2755"/>
    <w:rsid w:val="003F2841"/>
    <w:rsid w:val="003F29C0"/>
    <w:rsid w:val="003F2BA6"/>
    <w:rsid w:val="003F2C00"/>
    <w:rsid w:val="003F2E0B"/>
    <w:rsid w:val="003F2EBA"/>
    <w:rsid w:val="003F34E6"/>
    <w:rsid w:val="003F3579"/>
    <w:rsid w:val="003F35E8"/>
    <w:rsid w:val="003F36EB"/>
    <w:rsid w:val="003F3746"/>
    <w:rsid w:val="003F375C"/>
    <w:rsid w:val="003F37F3"/>
    <w:rsid w:val="003F381F"/>
    <w:rsid w:val="003F3949"/>
    <w:rsid w:val="003F3EF3"/>
    <w:rsid w:val="003F3FD5"/>
    <w:rsid w:val="003F42E2"/>
    <w:rsid w:val="003F43DE"/>
    <w:rsid w:val="003F4570"/>
    <w:rsid w:val="003F4583"/>
    <w:rsid w:val="003F46DC"/>
    <w:rsid w:val="003F4C36"/>
    <w:rsid w:val="003F4E3C"/>
    <w:rsid w:val="003F4F22"/>
    <w:rsid w:val="003F50AB"/>
    <w:rsid w:val="003F5142"/>
    <w:rsid w:val="003F5447"/>
    <w:rsid w:val="003F5648"/>
    <w:rsid w:val="003F5701"/>
    <w:rsid w:val="003F5D76"/>
    <w:rsid w:val="003F5D8A"/>
    <w:rsid w:val="003F5DD4"/>
    <w:rsid w:val="003F5EBD"/>
    <w:rsid w:val="003F5F1F"/>
    <w:rsid w:val="003F5F73"/>
    <w:rsid w:val="003F5FB6"/>
    <w:rsid w:val="003F612E"/>
    <w:rsid w:val="003F63D0"/>
    <w:rsid w:val="003F63E3"/>
    <w:rsid w:val="003F68FF"/>
    <w:rsid w:val="003F6ACB"/>
    <w:rsid w:val="003F6B76"/>
    <w:rsid w:val="003F6D09"/>
    <w:rsid w:val="003F6E56"/>
    <w:rsid w:val="003F6EE0"/>
    <w:rsid w:val="003F7096"/>
    <w:rsid w:val="003F727E"/>
    <w:rsid w:val="003F750F"/>
    <w:rsid w:val="003F75D6"/>
    <w:rsid w:val="003F75F2"/>
    <w:rsid w:val="003F7697"/>
    <w:rsid w:val="003F7875"/>
    <w:rsid w:val="003F78E4"/>
    <w:rsid w:val="003F7954"/>
    <w:rsid w:val="003F797D"/>
    <w:rsid w:val="003F7B3F"/>
    <w:rsid w:val="003F7B86"/>
    <w:rsid w:val="003F7C33"/>
    <w:rsid w:val="003F7D7F"/>
    <w:rsid w:val="003F7D86"/>
    <w:rsid w:val="003F7EA6"/>
    <w:rsid w:val="003F7EFF"/>
    <w:rsid w:val="003F7F2E"/>
    <w:rsid w:val="003F7F5C"/>
    <w:rsid w:val="003F7FD2"/>
    <w:rsid w:val="00400239"/>
    <w:rsid w:val="0040024B"/>
    <w:rsid w:val="0040063A"/>
    <w:rsid w:val="00400782"/>
    <w:rsid w:val="004007CE"/>
    <w:rsid w:val="0040091F"/>
    <w:rsid w:val="00400A9C"/>
    <w:rsid w:val="00400B9B"/>
    <w:rsid w:val="00400CED"/>
    <w:rsid w:val="00400FF2"/>
    <w:rsid w:val="00401061"/>
    <w:rsid w:val="004010D6"/>
    <w:rsid w:val="004010DE"/>
    <w:rsid w:val="004010ED"/>
    <w:rsid w:val="00401448"/>
    <w:rsid w:val="0040187E"/>
    <w:rsid w:val="004019B4"/>
    <w:rsid w:val="00401A08"/>
    <w:rsid w:val="00401ACB"/>
    <w:rsid w:val="00401B43"/>
    <w:rsid w:val="00401B85"/>
    <w:rsid w:val="00401C89"/>
    <w:rsid w:val="00401D47"/>
    <w:rsid w:val="00401E04"/>
    <w:rsid w:val="00401F2D"/>
    <w:rsid w:val="00401F91"/>
    <w:rsid w:val="00402042"/>
    <w:rsid w:val="00402055"/>
    <w:rsid w:val="004021BE"/>
    <w:rsid w:val="004022CF"/>
    <w:rsid w:val="00402699"/>
    <w:rsid w:val="004027C1"/>
    <w:rsid w:val="004028A2"/>
    <w:rsid w:val="00402933"/>
    <w:rsid w:val="00402C3C"/>
    <w:rsid w:val="00402C8D"/>
    <w:rsid w:val="00402D90"/>
    <w:rsid w:val="00402EBE"/>
    <w:rsid w:val="00402FA8"/>
    <w:rsid w:val="00402FCF"/>
    <w:rsid w:val="004030C7"/>
    <w:rsid w:val="0040327D"/>
    <w:rsid w:val="00403442"/>
    <w:rsid w:val="00403627"/>
    <w:rsid w:val="0040371A"/>
    <w:rsid w:val="00403741"/>
    <w:rsid w:val="00403750"/>
    <w:rsid w:val="00403906"/>
    <w:rsid w:val="00403B13"/>
    <w:rsid w:val="00403D4F"/>
    <w:rsid w:val="00403D57"/>
    <w:rsid w:val="00403DFD"/>
    <w:rsid w:val="00403E01"/>
    <w:rsid w:val="00404070"/>
    <w:rsid w:val="00404073"/>
    <w:rsid w:val="004041D4"/>
    <w:rsid w:val="00404759"/>
    <w:rsid w:val="00404D5C"/>
    <w:rsid w:val="00404E37"/>
    <w:rsid w:val="00404EA4"/>
    <w:rsid w:val="00405013"/>
    <w:rsid w:val="004050A9"/>
    <w:rsid w:val="004051AD"/>
    <w:rsid w:val="004051F3"/>
    <w:rsid w:val="00405415"/>
    <w:rsid w:val="0040567B"/>
    <w:rsid w:val="004056B5"/>
    <w:rsid w:val="004056FD"/>
    <w:rsid w:val="00405705"/>
    <w:rsid w:val="004058F1"/>
    <w:rsid w:val="00405D06"/>
    <w:rsid w:val="00405D3F"/>
    <w:rsid w:val="00405F88"/>
    <w:rsid w:val="00406001"/>
    <w:rsid w:val="004060F1"/>
    <w:rsid w:val="0040628C"/>
    <w:rsid w:val="0040643F"/>
    <w:rsid w:val="004064AE"/>
    <w:rsid w:val="004064E3"/>
    <w:rsid w:val="00406562"/>
    <w:rsid w:val="004069AA"/>
    <w:rsid w:val="004069B6"/>
    <w:rsid w:val="004069C8"/>
    <w:rsid w:val="00406AFE"/>
    <w:rsid w:val="00406DCC"/>
    <w:rsid w:val="00406DD1"/>
    <w:rsid w:val="00406F30"/>
    <w:rsid w:val="00406FF4"/>
    <w:rsid w:val="004070B2"/>
    <w:rsid w:val="0040713D"/>
    <w:rsid w:val="0040715A"/>
    <w:rsid w:val="00407186"/>
    <w:rsid w:val="00407460"/>
    <w:rsid w:val="004074DF"/>
    <w:rsid w:val="00407769"/>
    <w:rsid w:val="0040780A"/>
    <w:rsid w:val="00407820"/>
    <w:rsid w:val="004079AB"/>
    <w:rsid w:val="00407AD4"/>
    <w:rsid w:val="00407C61"/>
    <w:rsid w:val="00407D3B"/>
    <w:rsid w:val="00407E94"/>
    <w:rsid w:val="00407EBA"/>
    <w:rsid w:val="00407F22"/>
    <w:rsid w:val="0041000B"/>
    <w:rsid w:val="004100BE"/>
    <w:rsid w:val="004102E6"/>
    <w:rsid w:val="00410308"/>
    <w:rsid w:val="00410379"/>
    <w:rsid w:val="0041040D"/>
    <w:rsid w:val="004104A1"/>
    <w:rsid w:val="004104E9"/>
    <w:rsid w:val="004105F7"/>
    <w:rsid w:val="0041060D"/>
    <w:rsid w:val="004106FE"/>
    <w:rsid w:val="004109C3"/>
    <w:rsid w:val="00410BE3"/>
    <w:rsid w:val="00410C3F"/>
    <w:rsid w:val="00410C74"/>
    <w:rsid w:val="00410DCE"/>
    <w:rsid w:val="00410DF9"/>
    <w:rsid w:val="00410EC4"/>
    <w:rsid w:val="00410FFB"/>
    <w:rsid w:val="00411003"/>
    <w:rsid w:val="004110F4"/>
    <w:rsid w:val="0041133B"/>
    <w:rsid w:val="00411530"/>
    <w:rsid w:val="004116B9"/>
    <w:rsid w:val="004116BB"/>
    <w:rsid w:val="004116E7"/>
    <w:rsid w:val="00411764"/>
    <w:rsid w:val="004118DB"/>
    <w:rsid w:val="00411986"/>
    <w:rsid w:val="00411C6D"/>
    <w:rsid w:val="00411C73"/>
    <w:rsid w:val="00411D51"/>
    <w:rsid w:val="00411FF5"/>
    <w:rsid w:val="00411FFD"/>
    <w:rsid w:val="00412385"/>
    <w:rsid w:val="004123FF"/>
    <w:rsid w:val="0041251D"/>
    <w:rsid w:val="00412570"/>
    <w:rsid w:val="004126D7"/>
    <w:rsid w:val="0041278F"/>
    <w:rsid w:val="004127FC"/>
    <w:rsid w:val="004128C5"/>
    <w:rsid w:val="004129D4"/>
    <w:rsid w:val="00413062"/>
    <w:rsid w:val="0041320E"/>
    <w:rsid w:val="0041322A"/>
    <w:rsid w:val="00413245"/>
    <w:rsid w:val="00413656"/>
    <w:rsid w:val="0041376B"/>
    <w:rsid w:val="004137E5"/>
    <w:rsid w:val="0041381E"/>
    <w:rsid w:val="00413D71"/>
    <w:rsid w:val="00413E41"/>
    <w:rsid w:val="00413F81"/>
    <w:rsid w:val="00414017"/>
    <w:rsid w:val="00414040"/>
    <w:rsid w:val="00414094"/>
    <w:rsid w:val="0041417D"/>
    <w:rsid w:val="004141DC"/>
    <w:rsid w:val="004142A4"/>
    <w:rsid w:val="004145C9"/>
    <w:rsid w:val="00414628"/>
    <w:rsid w:val="00414639"/>
    <w:rsid w:val="00414971"/>
    <w:rsid w:val="00414E87"/>
    <w:rsid w:val="0041503C"/>
    <w:rsid w:val="004150E2"/>
    <w:rsid w:val="004151C8"/>
    <w:rsid w:val="00415249"/>
    <w:rsid w:val="004153E4"/>
    <w:rsid w:val="0041546C"/>
    <w:rsid w:val="00415483"/>
    <w:rsid w:val="00415554"/>
    <w:rsid w:val="00415679"/>
    <w:rsid w:val="00415716"/>
    <w:rsid w:val="00415754"/>
    <w:rsid w:val="00415850"/>
    <w:rsid w:val="00415B9E"/>
    <w:rsid w:val="00415BAC"/>
    <w:rsid w:val="00415C16"/>
    <w:rsid w:val="00415C35"/>
    <w:rsid w:val="00415D8E"/>
    <w:rsid w:val="00415ECE"/>
    <w:rsid w:val="0041621B"/>
    <w:rsid w:val="004164FB"/>
    <w:rsid w:val="0041661B"/>
    <w:rsid w:val="00416724"/>
    <w:rsid w:val="00416993"/>
    <w:rsid w:val="00416CC3"/>
    <w:rsid w:val="00416E29"/>
    <w:rsid w:val="00416E90"/>
    <w:rsid w:val="00416FB1"/>
    <w:rsid w:val="0041705C"/>
    <w:rsid w:val="0041713B"/>
    <w:rsid w:val="004173D3"/>
    <w:rsid w:val="0041744A"/>
    <w:rsid w:val="004174A3"/>
    <w:rsid w:val="004174AF"/>
    <w:rsid w:val="004175AC"/>
    <w:rsid w:val="00417633"/>
    <w:rsid w:val="004176A3"/>
    <w:rsid w:val="004176F2"/>
    <w:rsid w:val="004177F8"/>
    <w:rsid w:val="00417802"/>
    <w:rsid w:val="004179D7"/>
    <w:rsid w:val="004179DB"/>
    <w:rsid w:val="00417ABF"/>
    <w:rsid w:val="00417C6B"/>
    <w:rsid w:val="00417E8A"/>
    <w:rsid w:val="00417EEC"/>
    <w:rsid w:val="00420153"/>
    <w:rsid w:val="00420275"/>
    <w:rsid w:val="0042027D"/>
    <w:rsid w:val="00420313"/>
    <w:rsid w:val="00420335"/>
    <w:rsid w:val="00420656"/>
    <w:rsid w:val="004206D4"/>
    <w:rsid w:val="0042070D"/>
    <w:rsid w:val="0042077C"/>
    <w:rsid w:val="004207BE"/>
    <w:rsid w:val="004207D3"/>
    <w:rsid w:val="004207E6"/>
    <w:rsid w:val="004208E4"/>
    <w:rsid w:val="00420B12"/>
    <w:rsid w:val="00420E4B"/>
    <w:rsid w:val="00420F7B"/>
    <w:rsid w:val="00420FBA"/>
    <w:rsid w:val="00420FFA"/>
    <w:rsid w:val="004210E4"/>
    <w:rsid w:val="00421205"/>
    <w:rsid w:val="0042131A"/>
    <w:rsid w:val="00421379"/>
    <w:rsid w:val="0042151E"/>
    <w:rsid w:val="004215C4"/>
    <w:rsid w:val="00421612"/>
    <w:rsid w:val="0042192F"/>
    <w:rsid w:val="0042196C"/>
    <w:rsid w:val="00421979"/>
    <w:rsid w:val="00421B7E"/>
    <w:rsid w:val="00421BED"/>
    <w:rsid w:val="00421C2B"/>
    <w:rsid w:val="00421C9B"/>
    <w:rsid w:val="00421D10"/>
    <w:rsid w:val="00421D18"/>
    <w:rsid w:val="00421D9D"/>
    <w:rsid w:val="00421DF7"/>
    <w:rsid w:val="00421EAC"/>
    <w:rsid w:val="00422162"/>
    <w:rsid w:val="004221F3"/>
    <w:rsid w:val="00422269"/>
    <w:rsid w:val="004224AE"/>
    <w:rsid w:val="004226A1"/>
    <w:rsid w:val="00422764"/>
    <w:rsid w:val="00422A34"/>
    <w:rsid w:val="00422A48"/>
    <w:rsid w:val="00422A8A"/>
    <w:rsid w:val="00422AA9"/>
    <w:rsid w:val="00422CAB"/>
    <w:rsid w:val="00422CDE"/>
    <w:rsid w:val="00422DF6"/>
    <w:rsid w:val="00422E47"/>
    <w:rsid w:val="00422E61"/>
    <w:rsid w:val="00422F0F"/>
    <w:rsid w:val="004230F6"/>
    <w:rsid w:val="0042318A"/>
    <w:rsid w:val="00423370"/>
    <w:rsid w:val="004233D6"/>
    <w:rsid w:val="004234F6"/>
    <w:rsid w:val="00423518"/>
    <w:rsid w:val="004236C5"/>
    <w:rsid w:val="00423887"/>
    <w:rsid w:val="00423910"/>
    <w:rsid w:val="004239FC"/>
    <w:rsid w:val="00423A95"/>
    <w:rsid w:val="00423B33"/>
    <w:rsid w:val="00423B4C"/>
    <w:rsid w:val="00423CCC"/>
    <w:rsid w:val="00423D1E"/>
    <w:rsid w:val="00423D8D"/>
    <w:rsid w:val="00423DD5"/>
    <w:rsid w:val="004241D6"/>
    <w:rsid w:val="004243AC"/>
    <w:rsid w:val="004244D2"/>
    <w:rsid w:val="004245A7"/>
    <w:rsid w:val="004245F4"/>
    <w:rsid w:val="0042468F"/>
    <w:rsid w:val="0042490D"/>
    <w:rsid w:val="0042497B"/>
    <w:rsid w:val="00424ADA"/>
    <w:rsid w:val="00424BB4"/>
    <w:rsid w:val="00424BEC"/>
    <w:rsid w:val="00424E24"/>
    <w:rsid w:val="00424E89"/>
    <w:rsid w:val="00424F08"/>
    <w:rsid w:val="00424FAB"/>
    <w:rsid w:val="0042510B"/>
    <w:rsid w:val="0042516A"/>
    <w:rsid w:val="00425356"/>
    <w:rsid w:val="004253A3"/>
    <w:rsid w:val="0042545F"/>
    <w:rsid w:val="004254F0"/>
    <w:rsid w:val="0042556A"/>
    <w:rsid w:val="00425664"/>
    <w:rsid w:val="00425677"/>
    <w:rsid w:val="004256B2"/>
    <w:rsid w:val="0042581D"/>
    <w:rsid w:val="00425838"/>
    <w:rsid w:val="00425901"/>
    <w:rsid w:val="0042599B"/>
    <w:rsid w:val="00425ABD"/>
    <w:rsid w:val="00425BDE"/>
    <w:rsid w:val="00425E96"/>
    <w:rsid w:val="00425F6D"/>
    <w:rsid w:val="00425F7F"/>
    <w:rsid w:val="00426150"/>
    <w:rsid w:val="00426485"/>
    <w:rsid w:val="00426524"/>
    <w:rsid w:val="00426552"/>
    <w:rsid w:val="0042666D"/>
    <w:rsid w:val="004266EF"/>
    <w:rsid w:val="00426800"/>
    <w:rsid w:val="00426919"/>
    <w:rsid w:val="00426A6B"/>
    <w:rsid w:val="00426A7A"/>
    <w:rsid w:val="00426AF1"/>
    <w:rsid w:val="00426C60"/>
    <w:rsid w:val="00426E36"/>
    <w:rsid w:val="00427007"/>
    <w:rsid w:val="004270CC"/>
    <w:rsid w:val="0042712F"/>
    <w:rsid w:val="004271DE"/>
    <w:rsid w:val="00427330"/>
    <w:rsid w:val="00427830"/>
    <w:rsid w:val="00427856"/>
    <w:rsid w:val="00427ABA"/>
    <w:rsid w:val="00427AEA"/>
    <w:rsid w:val="00427E71"/>
    <w:rsid w:val="00427ED0"/>
    <w:rsid w:val="00427EDF"/>
    <w:rsid w:val="00427F7A"/>
    <w:rsid w:val="00427FAA"/>
    <w:rsid w:val="004300BD"/>
    <w:rsid w:val="004301BB"/>
    <w:rsid w:val="004301D1"/>
    <w:rsid w:val="00430216"/>
    <w:rsid w:val="00430275"/>
    <w:rsid w:val="004303BB"/>
    <w:rsid w:val="004305CD"/>
    <w:rsid w:val="004309AC"/>
    <w:rsid w:val="00430A32"/>
    <w:rsid w:val="00430AC7"/>
    <w:rsid w:val="00430B35"/>
    <w:rsid w:val="00430B88"/>
    <w:rsid w:val="00430F2B"/>
    <w:rsid w:val="00430FF0"/>
    <w:rsid w:val="0043107D"/>
    <w:rsid w:val="00431089"/>
    <w:rsid w:val="004310C2"/>
    <w:rsid w:val="004311F0"/>
    <w:rsid w:val="00431250"/>
    <w:rsid w:val="004312D8"/>
    <w:rsid w:val="0043141E"/>
    <w:rsid w:val="00431527"/>
    <w:rsid w:val="0043152E"/>
    <w:rsid w:val="004316CC"/>
    <w:rsid w:val="00431710"/>
    <w:rsid w:val="00431774"/>
    <w:rsid w:val="00431AE6"/>
    <w:rsid w:val="00431B14"/>
    <w:rsid w:val="00431E4C"/>
    <w:rsid w:val="00431FE1"/>
    <w:rsid w:val="0043243B"/>
    <w:rsid w:val="00432561"/>
    <w:rsid w:val="00432650"/>
    <w:rsid w:val="004327C4"/>
    <w:rsid w:val="00432881"/>
    <w:rsid w:val="004328EE"/>
    <w:rsid w:val="004329F4"/>
    <w:rsid w:val="00432A8C"/>
    <w:rsid w:val="00432D26"/>
    <w:rsid w:val="0043304A"/>
    <w:rsid w:val="00433120"/>
    <w:rsid w:val="00433371"/>
    <w:rsid w:val="0043344D"/>
    <w:rsid w:val="0043356D"/>
    <w:rsid w:val="004335E5"/>
    <w:rsid w:val="00433722"/>
    <w:rsid w:val="004339E7"/>
    <w:rsid w:val="00433A10"/>
    <w:rsid w:val="00433AB8"/>
    <w:rsid w:val="00433B36"/>
    <w:rsid w:val="00433B4F"/>
    <w:rsid w:val="00433B77"/>
    <w:rsid w:val="00433C45"/>
    <w:rsid w:val="00433CBA"/>
    <w:rsid w:val="00433E05"/>
    <w:rsid w:val="00433E22"/>
    <w:rsid w:val="00433EB3"/>
    <w:rsid w:val="00433EE7"/>
    <w:rsid w:val="00433F94"/>
    <w:rsid w:val="00433FBC"/>
    <w:rsid w:val="0043404C"/>
    <w:rsid w:val="0043406D"/>
    <w:rsid w:val="004340C3"/>
    <w:rsid w:val="00434141"/>
    <w:rsid w:val="00434758"/>
    <w:rsid w:val="0043495A"/>
    <w:rsid w:val="00434CC2"/>
    <w:rsid w:val="00434CD3"/>
    <w:rsid w:val="00434CE0"/>
    <w:rsid w:val="00434D44"/>
    <w:rsid w:val="00434E4E"/>
    <w:rsid w:val="0043500D"/>
    <w:rsid w:val="00435219"/>
    <w:rsid w:val="00435538"/>
    <w:rsid w:val="004357E3"/>
    <w:rsid w:val="00435870"/>
    <w:rsid w:val="00435AD6"/>
    <w:rsid w:val="00435D33"/>
    <w:rsid w:val="00435D57"/>
    <w:rsid w:val="00435E26"/>
    <w:rsid w:val="00435E86"/>
    <w:rsid w:val="00436045"/>
    <w:rsid w:val="00436114"/>
    <w:rsid w:val="00436238"/>
    <w:rsid w:val="004362D0"/>
    <w:rsid w:val="004362EE"/>
    <w:rsid w:val="0043632A"/>
    <w:rsid w:val="0043657C"/>
    <w:rsid w:val="00436802"/>
    <w:rsid w:val="00436854"/>
    <w:rsid w:val="00436915"/>
    <w:rsid w:val="004369BC"/>
    <w:rsid w:val="00436A00"/>
    <w:rsid w:val="00436CFF"/>
    <w:rsid w:val="00436F04"/>
    <w:rsid w:val="00436F90"/>
    <w:rsid w:val="0043706F"/>
    <w:rsid w:val="0043716B"/>
    <w:rsid w:val="0043720D"/>
    <w:rsid w:val="004372EF"/>
    <w:rsid w:val="004373A6"/>
    <w:rsid w:val="0043748A"/>
    <w:rsid w:val="00437774"/>
    <w:rsid w:val="00437930"/>
    <w:rsid w:val="00437A97"/>
    <w:rsid w:val="00437BD2"/>
    <w:rsid w:val="00437C10"/>
    <w:rsid w:val="00437E9C"/>
    <w:rsid w:val="00437FE1"/>
    <w:rsid w:val="00440262"/>
    <w:rsid w:val="004404E1"/>
    <w:rsid w:val="004405D1"/>
    <w:rsid w:val="004406EC"/>
    <w:rsid w:val="00440953"/>
    <w:rsid w:val="00440A34"/>
    <w:rsid w:val="00440C6B"/>
    <w:rsid w:val="00441088"/>
    <w:rsid w:val="004410F6"/>
    <w:rsid w:val="004412A2"/>
    <w:rsid w:val="00441336"/>
    <w:rsid w:val="0044152B"/>
    <w:rsid w:val="00441841"/>
    <w:rsid w:val="0044186D"/>
    <w:rsid w:val="004418A9"/>
    <w:rsid w:val="00441953"/>
    <w:rsid w:val="00441BC8"/>
    <w:rsid w:val="00441DC1"/>
    <w:rsid w:val="00441DFB"/>
    <w:rsid w:val="00442149"/>
    <w:rsid w:val="004421BB"/>
    <w:rsid w:val="004421E8"/>
    <w:rsid w:val="004425E6"/>
    <w:rsid w:val="0044293B"/>
    <w:rsid w:val="00442947"/>
    <w:rsid w:val="004429A3"/>
    <w:rsid w:val="00442A34"/>
    <w:rsid w:val="00442B05"/>
    <w:rsid w:val="00442B46"/>
    <w:rsid w:val="00442C47"/>
    <w:rsid w:val="00442D0B"/>
    <w:rsid w:val="00442D2D"/>
    <w:rsid w:val="00442DDD"/>
    <w:rsid w:val="00442E2A"/>
    <w:rsid w:val="00442EDA"/>
    <w:rsid w:val="00442F2A"/>
    <w:rsid w:val="00443064"/>
    <w:rsid w:val="004430BC"/>
    <w:rsid w:val="0044311A"/>
    <w:rsid w:val="0044326C"/>
    <w:rsid w:val="004432B9"/>
    <w:rsid w:val="004433D4"/>
    <w:rsid w:val="004433F3"/>
    <w:rsid w:val="00443407"/>
    <w:rsid w:val="004435AE"/>
    <w:rsid w:val="00443635"/>
    <w:rsid w:val="00443709"/>
    <w:rsid w:val="00443879"/>
    <w:rsid w:val="00443930"/>
    <w:rsid w:val="00443C4F"/>
    <w:rsid w:val="00443CF5"/>
    <w:rsid w:val="00443DCF"/>
    <w:rsid w:val="00443DF3"/>
    <w:rsid w:val="00443E46"/>
    <w:rsid w:val="00443E8E"/>
    <w:rsid w:val="004440D9"/>
    <w:rsid w:val="004441F8"/>
    <w:rsid w:val="004442F8"/>
    <w:rsid w:val="004443AD"/>
    <w:rsid w:val="004443AF"/>
    <w:rsid w:val="004443FA"/>
    <w:rsid w:val="004445C3"/>
    <w:rsid w:val="004446F4"/>
    <w:rsid w:val="0044486A"/>
    <w:rsid w:val="00444B2B"/>
    <w:rsid w:val="00444DDC"/>
    <w:rsid w:val="00445030"/>
    <w:rsid w:val="004451A9"/>
    <w:rsid w:val="004453B0"/>
    <w:rsid w:val="00445564"/>
    <w:rsid w:val="004455E8"/>
    <w:rsid w:val="00445B70"/>
    <w:rsid w:val="00445BC1"/>
    <w:rsid w:val="00445F2D"/>
    <w:rsid w:val="004460F9"/>
    <w:rsid w:val="004461C9"/>
    <w:rsid w:val="00446411"/>
    <w:rsid w:val="00446446"/>
    <w:rsid w:val="004464C3"/>
    <w:rsid w:val="004467E8"/>
    <w:rsid w:val="00446882"/>
    <w:rsid w:val="004468DB"/>
    <w:rsid w:val="00446944"/>
    <w:rsid w:val="00446D03"/>
    <w:rsid w:val="00446DE6"/>
    <w:rsid w:val="0044706A"/>
    <w:rsid w:val="00447115"/>
    <w:rsid w:val="00447154"/>
    <w:rsid w:val="00447204"/>
    <w:rsid w:val="00447206"/>
    <w:rsid w:val="004472B3"/>
    <w:rsid w:val="004473B5"/>
    <w:rsid w:val="0044746A"/>
    <w:rsid w:val="00447488"/>
    <w:rsid w:val="00447C12"/>
    <w:rsid w:val="00447E4E"/>
    <w:rsid w:val="00447E63"/>
    <w:rsid w:val="00447F19"/>
    <w:rsid w:val="00447F85"/>
    <w:rsid w:val="00447FA3"/>
    <w:rsid w:val="004502A2"/>
    <w:rsid w:val="00450775"/>
    <w:rsid w:val="0045077A"/>
    <w:rsid w:val="004508E4"/>
    <w:rsid w:val="00450B57"/>
    <w:rsid w:val="00450B92"/>
    <w:rsid w:val="00450C2F"/>
    <w:rsid w:val="00450C70"/>
    <w:rsid w:val="00450EA7"/>
    <w:rsid w:val="00450F34"/>
    <w:rsid w:val="00450F6A"/>
    <w:rsid w:val="00451013"/>
    <w:rsid w:val="00451054"/>
    <w:rsid w:val="004511C0"/>
    <w:rsid w:val="004512B3"/>
    <w:rsid w:val="0045158F"/>
    <w:rsid w:val="0045184D"/>
    <w:rsid w:val="00451886"/>
    <w:rsid w:val="00451909"/>
    <w:rsid w:val="004519F6"/>
    <w:rsid w:val="00451A88"/>
    <w:rsid w:val="00451B62"/>
    <w:rsid w:val="00451E68"/>
    <w:rsid w:val="00451FC6"/>
    <w:rsid w:val="00452099"/>
    <w:rsid w:val="004520C3"/>
    <w:rsid w:val="004521A6"/>
    <w:rsid w:val="0045227C"/>
    <w:rsid w:val="00452283"/>
    <w:rsid w:val="00452590"/>
    <w:rsid w:val="0045266D"/>
    <w:rsid w:val="0045276E"/>
    <w:rsid w:val="004527F7"/>
    <w:rsid w:val="00452896"/>
    <w:rsid w:val="004528A1"/>
    <w:rsid w:val="004528DE"/>
    <w:rsid w:val="00452987"/>
    <w:rsid w:val="00452AE2"/>
    <w:rsid w:val="00452B6C"/>
    <w:rsid w:val="00452B97"/>
    <w:rsid w:val="00452CCD"/>
    <w:rsid w:val="00453010"/>
    <w:rsid w:val="00453042"/>
    <w:rsid w:val="0045358A"/>
    <w:rsid w:val="004537BC"/>
    <w:rsid w:val="004538EB"/>
    <w:rsid w:val="00453A8F"/>
    <w:rsid w:val="00453B27"/>
    <w:rsid w:val="00453D06"/>
    <w:rsid w:val="00453D23"/>
    <w:rsid w:val="00453D35"/>
    <w:rsid w:val="00453FAC"/>
    <w:rsid w:val="00453FDB"/>
    <w:rsid w:val="004541FF"/>
    <w:rsid w:val="00454294"/>
    <w:rsid w:val="00454551"/>
    <w:rsid w:val="004548A3"/>
    <w:rsid w:val="00454995"/>
    <w:rsid w:val="00454CB5"/>
    <w:rsid w:val="00454D05"/>
    <w:rsid w:val="00454E98"/>
    <w:rsid w:val="00454F29"/>
    <w:rsid w:val="00454FBF"/>
    <w:rsid w:val="0045504C"/>
    <w:rsid w:val="004550D4"/>
    <w:rsid w:val="00455126"/>
    <w:rsid w:val="00455677"/>
    <w:rsid w:val="004556D5"/>
    <w:rsid w:val="004556FB"/>
    <w:rsid w:val="004558E7"/>
    <w:rsid w:val="004559CD"/>
    <w:rsid w:val="00455CD1"/>
    <w:rsid w:val="00455D39"/>
    <w:rsid w:val="00455DF1"/>
    <w:rsid w:val="00455E25"/>
    <w:rsid w:val="00455FAB"/>
    <w:rsid w:val="004561CC"/>
    <w:rsid w:val="0045623F"/>
    <w:rsid w:val="00456384"/>
    <w:rsid w:val="004563CC"/>
    <w:rsid w:val="00456603"/>
    <w:rsid w:val="00456665"/>
    <w:rsid w:val="00456737"/>
    <w:rsid w:val="004569C9"/>
    <w:rsid w:val="00456BAC"/>
    <w:rsid w:val="00456C45"/>
    <w:rsid w:val="00456C9A"/>
    <w:rsid w:val="00456D79"/>
    <w:rsid w:val="004572DC"/>
    <w:rsid w:val="00457377"/>
    <w:rsid w:val="00457482"/>
    <w:rsid w:val="0045757B"/>
    <w:rsid w:val="00457705"/>
    <w:rsid w:val="004578A9"/>
    <w:rsid w:val="00457B8D"/>
    <w:rsid w:val="00457DCD"/>
    <w:rsid w:val="0046002F"/>
    <w:rsid w:val="00460102"/>
    <w:rsid w:val="00460352"/>
    <w:rsid w:val="004603EF"/>
    <w:rsid w:val="004605BD"/>
    <w:rsid w:val="00460673"/>
    <w:rsid w:val="00460B36"/>
    <w:rsid w:val="00460DBA"/>
    <w:rsid w:val="00460FD8"/>
    <w:rsid w:val="00461225"/>
    <w:rsid w:val="004612FD"/>
    <w:rsid w:val="0046136F"/>
    <w:rsid w:val="004614B5"/>
    <w:rsid w:val="00461885"/>
    <w:rsid w:val="004618A8"/>
    <w:rsid w:val="00461934"/>
    <w:rsid w:val="0046198C"/>
    <w:rsid w:val="004619D4"/>
    <w:rsid w:val="00461B1F"/>
    <w:rsid w:val="00461E44"/>
    <w:rsid w:val="00461F37"/>
    <w:rsid w:val="00462002"/>
    <w:rsid w:val="004622D2"/>
    <w:rsid w:val="004624D6"/>
    <w:rsid w:val="00462577"/>
    <w:rsid w:val="00462625"/>
    <w:rsid w:val="004626A0"/>
    <w:rsid w:val="004627A3"/>
    <w:rsid w:val="004628F2"/>
    <w:rsid w:val="004629DF"/>
    <w:rsid w:val="00462B09"/>
    <w:rsid w:val="00462B18"/>
    <w:rsid w:val="00462B76"/>
    <w:rsid w:val="00462BA4"/>
    <w:rsid w:val="00462DA7"/>
    <w:rsid w:val="00462F3E"/>
    <w:rsid w:val="004630BD"/>
    <w:rsid w:val="004630ED"/>
    <w:rsid w:val="00463146"/>
    <w:rsid w:val="004631DD"/>
    <w:rsid w:val="00463386"/>
    <w:rsid w:val="00463500"/>
    <w:rsid w:val="00463510"/>
    <w:rsid w:val="0046361A"/>
    <w:rsid w:val="00463667"/>
    <w:rsid w:val="00463696"/>
    <w:rsid w:val="0046382C"/>
    <w:rsid w:val="00463938"/>
    <w:rsid w:val="0046393A"/>
    <w:rsid w:val="00463947"/>
    <w:rsid w:val="00463B77"/>
    <w:rsid w:val="00463BD4"/>
    <w:rsid w:val="00463ED7"/>
    <w:rsid w:val="00463F16"/>
    <w:rsid w:val="00463F52"/>
    <w:rsid w:val="0046403A"/>
    <w:rsid w:val="0046409D"/>
    <w:rsid w:val="004640A2"/>
    <w:rsid w:val="00464185"/>
    <w:rsid w:val="0046431E"/>
    <w:rsid w:val="0046440D"/>
    <w:rsid w:val="00464537"/>
    <w:rsid w:val="004646DD"/>
    <w:rsid w:val="00464807"/>
    <w:rsid w:val="00464A1E"/>
    <w:rsid w:val="00464A2A"/>
    <w:rsid w:val="00464AFD"/>
    <w:rsid w:val="00464C8E"/>
    <w:rsid w:val="004653D1"/>
    <w:rsid w:val="004654BE"/>
    <w:rsid w:val="00465599"/>
    <w:rsid w:val="00465682"/>
    <w:rsid w:val="004656B6"/>
    <w:rsid w:val="00465724"/>
    <w:rsid w:val="004657E5"/>
    <w:rsid w:val="004658E6"/>
    <w:rsid w:val="0046590F"/>
    <w:rsid w:val="00465A7F"/>
    <w:rsid w:val="00465ECB"/>
    <w:rsid w:val="004660B9"/>
    <w:rsid w:val="004661ED"/>
    <w:rsid w:val="0046635B"/>
    <w:rsid w:val="004664B8"/>
    <w:rsid w:val="00466562"/>
    <w:rsid w:val="00466574"/>
    <w:rsid w:val="00466712"/>
    <w:rsid w:val="00466803"/>
    <w:rsid w:val="0046684C"/>
    <w:rsid w:val="00466D90"/>
    <w:rsid w:val="00466DE7"/>
    <w:rsid w:val="0046700A"/>
    <w:rsid w:val="004671E3"/>
    <w:rsid w:val="004673B0"/>
    <w:rsid w:val="004673CF"/>
    <w:rsid w:val="00467585"/>
    <w:rsid w:val="0046787E"/>
    <w:rsid w:val="004678FE"/>
    <w:rsid w:val="00467A1D"/>
    <w:rsid w:val="00467BE0"/>
    <w:rsid w:val="00467DF5"/>
    <w:rsid w:val="00467E7A"/>
    <w:rsid w:val="00467F40"/>
    <w:rsid w:val="0047006F"/>
    <w:rsid w:val="004700A3"/>
    <w:rsid w:val="00470306"/>
    <w:rsid w:val="00470357"/>
    <w:rsid w:val="00470364"/>
    <w:rsid w:val="004707D4"/>
    <w:rsid w:val="004708C2"/>
    <w:rsid w:val="00470934"/>
    <w:rsid w:val="0047099A"/>
    <w:rsid w:val="00470D2F"/>
    <w:rsid w:val="00470E95"/>
    <w:rsid w:val="00471298"/>
    <w:rsid w:val="00471495"/>
    <w:rsid w:val="004714B2"/>
    <w:rsid w:val="00471537"/>
    <w:rsid w:val="0047188B"/>
    <w:rsid w:val="0047194F"/>
    <w:rsid w:val="00471ADA"/>
    <w:rsid w:val="00471B63"/>
    <w:rsid w:val="00471BC2"/>
    <w:rsid w:val="00471D18"/>
    <w:rsid w:val="00472040"/>
    <w:rsid w:val="00472079"/>
    <w:rsid w:val="00472144"/>
    <w:rsid w:val="004721E5"/>
    <w:rsid w:val="00472697"/>
    <w:rsid w:val="00472726"/>
    <w:rsid w:val="004727EF"/>
    <w:rsid w:val="0047296E"/>
    <w:rsid w:val="00472A0C"/>
    <w:rsid w:val="00472A12"/>
    <w:rsid w:val="00472AFF"/>
    <w:rsid w:val="00472CF2"/>
    <w:rsid w:val="00472E25"/>
    <w:rsid w:val="00472F55"/>
    <w:rsid w:val="00473156"/>
    <w:rsid w:val="00473163"/>
    <w:rsid w:val="00473177"/>
    <w:rsid w:val="0047318A"/>
    <w:rsid w:val="004732BF"/>
    <w:rsid w:val="00473480"/>
    <w:rsid w:val="004734E5"/>
    <w:rsid w:val="004734EC"/>
    <w:rsid w:val="004736CE"/>
    <w:rsid w:val="00473824"/>
    <w:rsid w:val="0047393F"/>
    <w:rsid w:val="004739D5"/>
    <w:rsid w:val="00473C69"/>
    <w:rsid w:val="00473C8A"/>
    <w:rsid w:val="00473DB4"/>
    <w:rsid w:val="00474333"/>
    <w:rsid w:val="00474369"/>
    <w:rsid w:val="00474388"/>
    <w:rsid w:val="004744F1"/>
    <w:rsid w:val="0047450F"/>
    <w:rsid w:val="004745CF"/>
    <w:rsid w:val="004745DF"/>
    <w:rsid w:val="00474686"/>
    <w:rsid w:val="004749D8"/>
    <w:rsid w:val="00474CAD"/>
    <w:rsid w:val="00474ED3"/>
    <w:rsid w:val="00474ED7"/>
    <w:rsid w:val="00475056"/>
    <w:rsid w:val="00475105"/>
    <w:rsid w:val="004752D7"/>
    <w:rsid w:val="00475544"/>
    <w:rsid w:val="0047555D"/>
    <w:rsid w:val="0047558F"/>
    <w:rsid w:val="004755A2"/>
    <w:rsid w:val="00475646"/>
    <w:rsid w:val="004756F8"/>
    <w:rsid w:val="00475784"/>
    <w:rsid w:val="0047593B"/>
    <w:rsid w:val="004759D3"/>
    <w:rsid w:val="004759F1"/>
    <w:rsid w:val="00475B00"/>
    <w:rsid w:val="00475B21"/>
    <w:rsid w:val="00475FCF"/>
    <w:rsid w:val="00476064"/>
    <w:rsid w:val="00476106"/>
    <w:rsid w:val="004763E5"/>
    <w:rsid w:val="00476440"/>
    <w:rsid w:val="00476663"/>
    <w:rsid w:val="004766F7"/>
    <w:rsid w:val="00476705"/>
    <w:rsid w:val="0047694D"/>
    <w:rsid w:val="00476977"/>
    <w:rsid w:val="00476A63"/>
    <w:rsid w:val="00476C94"/>
    <w:rsid w:val="00476D07"/>
    <w:rsid w:val="00476D43"/>
    <w:rsid w:val="00476D92"/>
    <w:rsid w:val="00476DB7"/>
    <w:rsid w:val="0047714B"/>
    <w:rsid w:val="0047724F"/>
    <w:rsid w:val="004772FB"/>
    <w:rsid w:val="0047796E"/>
    <w:rsid w:val="004779EE"/>
    <w:rsid w:val="00477C04"/>
    <w:rsid w:val="00477CDF"/>
    <w:rsid w:val="00477DF0"/>
    <w:rsid w:val="00477EC7"/>
    <w:rsid w:val="00477F35"/>
    <w:rsid w:val="00477F3C"/>
    <w:rsid w:val="00477F60"/>
    <w:rsid w:val="004800C3"/>
    <w:rsid w:val="004802E1"/>
    <w:rsid w:val="004802F0"/>
    <w:rsid w:val="00480406"/>
    <w:rsid w:val="004804F0"/>
    <w:rsid w:val="004804F7"/>
    <w:rsid w:val="004806F6"/>
    <w:rsid w:val="0048076E"/>
    <w:rsid w:val="004808E1"/>
    <w:rsid w:val="00480947"/>
    <w:rsid w:val="00480AB6"/>
    <w:rsid w:val="00480CFC"/>
    <w:rsid w:val="00480D03"/>
    <w:rsid w:val="00480E86"/>
    <w:rsid w:val="004810CF"/>
    <w:rsid w:val="004811D1"/>
    <w:rsid w:val="00481435"/>
    <w:rsid w:val="0048162C"/>
    <w:rsid w:val="00481652"/>
    <w:rsid w:val="00481707"/>
    <w:rsid w:val="00481B6D"/>
    <w:rsid w:val="00481ECC"/>
    <w:rsid w:val="00481F22"/>
    <w:rsid w:val="0048215A"/>
    <w:rsid w:val="0048216E"/>
    <w:rsid w:val="004823DF"/>
    <w:rsid w:val="0048263F"/>
    <w:rsid w:val="00482776"/>
    <w:rsid w:val="00482B78"/>
    <w:rsid w:val="00482B83"/>
    <w:rsid w:val="00482C55"/>
    <w:rsid w:val="00482DC7"/>
    <w:rsid w:val="00482DEB"/>
    <w:rsid w:val="00482E44"/>
    <w:rsid w:val="00482ED4"/>
    <w:rsid w:val="00483014"/>
    <w:rsid w:val="00483287"/>
    <w:rsid w:val="004832DA"/>
    <w:rsid w:val="0048348E"/>
    <w:rsid w:val="0048353D"/>
    <w:rsid w:val="0048358E"/>
    <w:rsid w:val="004836FA"/>
    <w:rsid w:val="004836FE"/>
    <w:rsid w:val="004838E3"/>
    <w:rsid w:val="00483965"/>
    <w:rsid w:val="0048396D"/>
    <w:rsid w:val="004839DF"/>
    <w:rsid w:val="004839E8"/>
    <w:rsid w:val="00483A3F"/>
    <w:rsid w:val="00483AB7"/>
    <w:rsid w:val="00483C3A"/>
    <w:rsid w:val="00484042"/>
    <w:rsid w:val="004840E1"/>
    <w:rsid w:val="00484121"/>
    <w:rsid w:val="00484293"/>
    <w:rsid w:val="0048448C"/>
    <w:rsid w:val="00484492"/>
    <w:rsid w:val="004845D4"/>
    <w:rsid w:val="004846B1"/>
    <w:rsid w:val="0048470E"/>
    <w:rsid w:val="004847BD"/>
    <w:rsid w:val="00484843"/>
    <w:rsid w:val="00484975"/>
    <w:rsid w:val="00484A05"/>
    <w:rsid w:val="00485071"/>
    <w:rsid w:val="00485272"/>
    <w:rsid w:val="00485397"/>
    <w:rsid w:val="0048540B"/>
    <w:rsid w:val="00485544"/>
    <w:rsid w:val="00485771"/>
    <w:rsid w:val="00485785"/>
    <w:rsid w:val="0048591C"/>
    <w:rsid w:val="00485B2B"/>
    <w:rsid w:val="00485C22"/>
    <w:rsid w:val="00485C7E"/>
    <w:rsid w:val="00485D39"/>
    <w:rsid w:val="00485DEB"/>
    <w:rsid w:val="00485FD0"/>
    <w:rsid w:val="004862EC"/>
    <w:rsid w:val="00486529"/>
    <w:rsid w:val="0048664F"/>
    <w:rsid w:val="004867C3"/>
    <w:rsid w:val="00486829"/>
    <w:rsid w:val="00486914"/>
    <w:rsid w:val="00486979"/>
    <w:rsid w:val="00486A3B"/>
    <w:rsid w:val="00486C78"/>
    <w:rsid w:val="00486CB9"/>
    <w:rsid w:val="00486D85"/>
    <w:rsid w:val="00486DE0"/>
    <w:rsid w:val="00486E0F"/>
    <w:rsid w:val="00486E1F"/>
    <w:rsid w:val="00486FF4"/>
    <w:rsid w:val="004871A7"/>
    <w:rsid w:val="0048730A"/>
    <w:rsid w:val="00487425"/>
    <w:rsid w:val="00487438"/>
    <w:rsid w:val="00487768"/>
    <w:rsid w:val="00487856"/>
    <w:rsid w:val="0048790B"/>
    <w:rsid w:val="004879C3"/>
    <w:rsid w:val="00487A1C"/>
    <w:rsid w:val="00487A6F"/>
    <w:rsid w:val="00487C9A"/>
    <w:rsid w:val="00487D0A"/>
    <w:rsid w:val="00487D56"/>
    <w:rsid w:val="00487DD9"/>
    <w:rsid w:val="00487EAB"/>
    <w:rsid w:val="00487ED1"/>
    <w:rsid w:val="004900AC"/>
    <w:rsid w:val="00490273"/>
    <w:rsid w:val="004903E7"/>
    <w:rsid w:val="004903EE"/>
    <w:rsid w:val="004905F0"/>
    <w:rsid w:val="004906F8"/>
    <w:rsid w:val="00490909"/>
    <w:rsid w:val="00490A83"/>
    <w:rsid w:val="00490AFA"/>
    <w:rsid w:val="00490B79"/>
    <w:rsid w:val="00490B93"/>
    <w:rsid w:val="00490C11"/>
    <w:rsid w:val="00490D89"/>
    <w:rsid w:val="00490EDF"/>
    <w:rsid w:val="0049107A"/>
    <w:rsid w:val="0049110C"/>
    <w:rsid w:val="00491311"/>
    <w:rsid w:val="00491559"/>
    <w:rsid w:val="004916DE"/>
    <w:rsid w:val="00491781"/>
    <w:rsid w:val="00491803"/>
    <w:rsid w:val="004919CB"/>
    <w:rsid w:val="004919CE"/>
    <w:rsid w:val="004919F0"/>
    <w:rsid w:val="00491C61"/>
    <w:rsid w:val="00491CD2"/>
    <w:rsid w:val="00491DEC"/>
    <w:rsid w:val="00491E02"/>
    <w:rsid w:val="00492062"/>
    <w:rsid w:val="0049209D"/>
    <w:rsid w:val="004920B5"/>
    <w:rsid w:val="004921EB"/>
    <w:rsid w:val="0049220B"/>
    <w:rsid w:val="00492449"/>
    <w:rsid w:val="0049245C"/>
    <w:rsid w:val="004925A5"/>
    <w:rsid w:val="004925FA"/>
    <w:rsid w:val="004926B9"/>
    <w:rsid w:val="004926BE"/>
    <w:rsid w:val="00492729"/>
    <w:rsid w:val="00492752"/>
    <w:rsid w:val="00492814"/>
    <w:rsid w:val="00492867"/>
    <w:rsid w:val="00492CFE"/>
    <w:rsid w:val="00492E91"/>
    <w:rsid w:val="00492EC8"/>
    <w:rsid w:val="00492F60"/>
    <w:rsid w:val="00493035"/>
    <w:rsid w:val="00493268"/>
    <w:rsid w:val="00493375"/>
    <w:rsid w:val="004935EC"/>
    <w:rsid w:val="00493683"/>
    <w:rsid w:val="0049369B"/>
    <w:rsid w:val="00493707"/>
    <w:rsid w:val="004937D2"/>
    <w:rsid w:val="00493986"/>
    <w:rsid w:val="004939CE"/>
    <w:rsid w:val="00493AA2"/>
    <w:rsid w:val="00493AC7"/>
    <w:rsid w:val="00493AEF"/>
    <w:rsid w:val="00493D22"/>
    <w:rsid w:val="00493FDE"/>
    <w:rsid w:val="004940A0"/>
    <w:rsid w:val="00494287"/>
    <w:rsid w:val="00494297"/>
    <w:rsid w:val="004942E2"/>
    <w:rsid w:val="004943DD"/>
    <w:rsid w:val="004944A8"/>
    <w:rsid w:val="0049450E"/>
    <w:rsid w:val="0049457E"/>
    <w:rsid w:val="004945D5"/>
    <w:rsid w:val="004946FA"/>
    <w:rsid w:val="0049487E"/>
    <w:rsid w:val="00494C0E"/>
    <w:rsid w:val="00494D04"/>
    <w:rsid w:val="00494F42"/>
    <w:rsid w:val="00494F7E"/>
    <w:rsid w:val="00495414"/>
    <w:rsid w:val="0049541D"/>
    <w:rsid w:val="004955AA"/>
    <w:rsid w:val="004955BB"/>
    <w:rsid w:val="0049561D"/>
    <w:rsid w:val="00495648"/>
    <w:rsid w:val="0049576A"/>
    <w:rsid w:val="0049577A"/>
    <w:rsid w:val="004957A9"/>
    <w:rsid w:val="00495890"/>
    <w:rsid w:val="0049598C"/>
    <w:rsid w:val="00495AC7"/>
    <w:rsid w:val="00495AEC"/>
    <w:rsid w:val="00495C7B"/>
    <w:rsid w:val="00495D1B"/>
    <w:rsid w:val="00495EAD"/>
    <w:rsid w:val="00495EB6"/>
    <w:rsid w:val="0049607F"/>
    <w:rsid w:val="004963CB"/>
    <w:rsid w:val="00496550"/>
    <w:rsid w:val="00496551"/>
    <w:rsid w:val="00496642"/>
    <w:rsid w:val="004967FD"/>
    <w:rsid w:val="004968C8"/>
    <w:rsid w:val="00496BB4"/>
    <w:rsid w:val="00496C21"/>
    <w:rsid w:val="00496C9D"/>
    <w:rsid w:val="00496D7C"/>
    <w:rsid w:val="00496DC3"/>
    <w:rsid w:val="00496E8E"/>
    <w:rsid w:val="00496ED5"/>
    <w:rsid w:val="00496F44"/>
    <w:rsid w:val="004971E2"/>
    <w:rsid w:val="004972DF"/>
    <w:rsid w:val="00497572"/>
    <w:rsid w:val="00497BDE"/>
    <w:rsid w:val="00497C45"/>
    <w:rsid w:val="00497D9A"/>
    <w:rsid w:val="00497DB4"/>
    <w:rsid w:val="00497DB9"/>
    <w:rsid w:val="00497F49"/>
    <w:rsid w:val="004A000A"/>
    <w:rsid w:val="004A0054"/>
    <w:rsid w:val="004A02ED"/>
    <w:rsid w:val="004A05CB"/>
    <w:rsid w:val="004A0601"/>
    <w:rsid w:val="004A06EC"/>
    <w:rsid w:val="004A070C"/>
    <w:rsid w:val="004A09D1"/>
    <w:rsid w:val="004A0A07"/>
    <w:rsid w:val="004A0D67"/>
    <w:rsid w:val="004A0DC1"/>
    <w:rsid w:val="004A1006"/>
    <w:rsid w:val="004A120C"/>
    <w:rsid w:val="004A12D5"/>
    <w:rsid w:val="004A1403"/>
    <w:rsid w:val="004A1A4F"/>
    <w:rsid w:val="004A1BAC"/>
    <w:rsid w:val="004A1EA7"/>
    <w:rsid w:val="004A218B"/>
    <w:rsid w:val="004A21AE"/>
    <w:rsid w:val="004A21B1"/>
    <w:rsid w:val="004A24F7"/>
    <w:rsid w:val="004A2634"/>
    <w:rsid w:val="004A26DE"/>
    <w:rsid w:val="004A2750"/>
    <w:rsid w:val="004A27E3"/>
    <w:rsid w:val="004A2942"/>
    <w:rsid w:val="004A29FE"/>
    <w:rsid w:val="004A2A5C"/>
    <w:rsid w:val="004A2B73"/>
    <w:rsid w:val="004A2DDC"/>
    <w:rsid w:val="004A2F01"/>
    <w:rsid w:val="004A30A6"/>
    <w:rsid w:val="004A31EF"/>
    <w:rsid w:val="004A333F"/>
    <w:rsid w:val="004A34BD"/>
    <w:rsid w:val="004A36F9"/>
    <w:rsid w:val="004A3B2B"/>
    <w:rsid w:val="004A3D9D"/>
    <w:rsid w:val="004A3F30"/>
    <w:rsid w:val="004A3F74"/>
    <w:rsid w:val="004A4096"/>
    <w:rsid w:val="004A4269"/>
    <w:rsid w:val="004A440A"/>
    <w:rsid w:val="004A445D"/>
    <w:rsid w:val="004A44EE"/>
    <w:rsid w:val="004A45C7"/>
    <w:rsid w:val="004A45E4"/>
    <w:rsid w:val="004A4604"/>
    <w:rsid w:val="004A46A4"/>
    <w:rsid w:val="004A4710"/>
    <w:rsid w:val="004A48EE"/>
    <w:rsid w:val="004A4B67"/>
    <w:rsid w:val="004A4B88"/>
    <w:rsid w:val="004A4DEE"/>
    <w:rsid w:val="004A4DF3"/>
    <w:rsid w:val="004A4EC4"/>
    <w:rsid w:val="004A5046"/>
    <w:rsid w:val="004A529C"/>
    <w:rsid w:val="004A52EA"/>
    <w:rsid w:val="004A5408"/>
    <w:rsid w:val="004A54E1"/>
    <w:rsid w:val="004A5523"/>
    <w:rsid w:val="004A555B"/>
    <w:rsid w:val="004A5635"/>
    <w:rsid w:val="004A59F3"/>
    <w:rsid w:val="004A5A22"/>
    <w:rsid w:val="004A5B39"/>
    <w:rsid w:val="004A5B53"/>
    <w:rsid w:val="004A6086"/>
    <w:rsid w:val="004A60B7"/>
    <w:rsid w:val="004A60ED"/>
    <w:rsid w:val="004A61F3"/>
    <w:rsid w:val="004A6675"/>
    <w:rsid w:val="004A66FE"/>
    <w:rsid w:val="004A676A"/>
    <w:rsid w:val="004A6B1B"/>
    <w:rsid w:val="004A6CC3"/>
    <w:rsid w:val="004A6CCB"/>
    <w:rsid w:val="004A6CCF"/>
    <w:rsid w:val="004A6CF6"/>
    <w:rsid w:val="004A6D02"/>
    <w:rsid w:val="004A6EA4"/>
    <w:rsid w:val="004A7062"/>
    <w:rsid w:val="004A708C"/>
    <w:rsid w:val="004A70BF"/>
    <w:rsid w:val="004A7119"/>
    <w:rsid w:val="004A738A"/>
    <w:rsid w:val="004A73CC"/>
    <w:rsid w:val="004A77B6"/>
    <w:rsid w:val="004A7800"/>
    <w:rsid w:val="004A79F9"/>
    <w:rsid w:val="004A7A65"/>
    <w:rsid w:val="004A7C13"/>
    <w:rsid w:val="004A7CBB"/>
    <w:rsid w:val="004A7CE1"/>
    <w:rsid w:val="004A7D81"/>
    <w:rsid w:val="004A7ED2"/>
    <w:rsid w:val="004B01A6"/>
    <w:rsid w:val="004B02FC"/>
    <w:rsid w:val="004B038E"/>
    <w:rsid w:val="004B0567"/>
    <w:rsid w:val="004B0670"/>
    <w:rsid w:val="004B07A4"/>
    <w:rsid w:val="004B0881"/>
    <w:rsid w:val="004B0D76"/>
    <w:rsid w:val="004B0E3E"/>
    <w:rsid w:val="004B0F6A"/>
    <w:rsid w:val="004B10CB"/>
    <w:rsid w:val="004B1453"/>
    <w:rsid w:val="004B14DB"/>
    <w:rsid w:val="004B1693"/>
    <w:rsid w:val="004B1724"/>
    <w:rsid w:val="004B1C70"/>
    <w:rsid w:val="004B1E96"/>
    <w:rsid w:val="004B1F33"/>
    <w:rsid w:val="004B2036"/>
    <w:rsid w:val="004B2268"/>
    <w:rsid w:val="004B239E"/>
    <w:rsid w:val="004B24E6"/>
    <w:rsid w:val="004B257B"/>
    <w:rsid w:val="004B25A5"/>
    <w:rsid w:val="004B265F"/>
    <w:rsid w:val="004B26B5"/>
    <w:rsid w:val="004B27BA"/>
    <w:rsid w:val="004B2876"/>
    <w:rsid w:val="004B2AA3"/>
    <w:rsid w:val="004B2ABF"/>
    <w:rsid w:val="004B2CDE"/>
    <w:rsid w:val="004B2D73"/>
    <w:rsid w:val="004B2D99"/>
    <w:rsid w:val="004B2E42"/>
    <w:rsid w:val="004B2E5D"/>
    <w:rsid w:val="004B2EA0"/>
    <w:rsid w:val="004B2FB4"/>
    <w:rsid w:val="004B3042"/>
    <w:rsid w:val="004B3116"/>
    <w:rsid w:val="004B314F"/>
    <w:rsid w:val="004B3157"/>
    <w:rsid w:val="004B31AD"/>
    <w:rsid w:val="004B31C3"/>
    <w:rsid w:val="004B37A3"/>
    <w:rsid w:val="004B3887"/>
    <w:rsid w:val="004B3A18"/>
    <w:rsid w:val="004B3AD7"/>
    <w:rsid w:val="004B3BDF"/>
    <w:rsid w:val="004B3CAD"/>
    <w:rsid w:val="004B3E78"/>
    <w:rsid w:val="004B3F79"/>
    <w:rsid w:val="004B3FBB"/>
    <w:rsid w:val="004B40C2"/>
    <w:rsid w:val="004B40FB"/>
    <w:rsid w:val="004B4226"/>
    <w:rsid w:val="004B425C"/>
    <w:rsid w:val="004B42BD"/>
    <w:rsid w:val="004B4378"/>
    <w:rsid w:val="004B45ED"/>
    <w:rsid w:val="004B4725"/>
    <w:rsid w:val="004B48C2"/>
    <w:rsid w:val="004B4B09"/>
    <w:rsid w:val="004B4EB0"/>
    <w:rsid w:val="004B4F80"/>
    <w:rsid w:val="004B51BD"/>
    <w:rsid w:val="004B531F"/>
    <w:rsid w:val="004B5486"/>
    <w:rsid w:val="004B57DC"/>
    <w:rsid w:val="004B58C0"/>
    <w:rsid w:val="004B58FB"/>
    <w:rsid w:val="004B59BC"/>
    <w:rsid w:val="004B59EC"/>
    <w:rsid w:val="004B5A06"/>
    <w:rsid w:val="004B5A13"/>
    <w:rsid w:val="004B5CBA"/>
    <w:rsid w:val="004B5D19"/>
    <w:rsid w:val="004B5D87"/>
    <w:rsid w:val="004B5D95"/>
    <w:rsid w:val="004B5EF6"/>
    <w:rsid w:val="004B607D"/>
    <w:rsid w:val="004B6083"/>
    <w:rsid w:val="004B61E4"/>
    <w:rsid w:val="004B61FC"/>
    <w:rsid w:val="004B6279"/>
    <w:rsid w:val="004B628F"/>
    <w:rsid w:val="004B64B9"/>
    <w:rsid w:val="004B64C5"/>
    <w:rsid w:val="004B654B"/>
    <w:rsid w:val="004B6560"/>
    <w:rsid w:val="004B65C7"/>
    <w:rsid w:val="004B6685"/>
    <w:rsid w:val="004B66CE"/>
    <w:rsid w:val="004B6711"/>
    <w:rsid w:val="004B6A51"/>
    <w:rsid w:val="004B6BF9"/>
    <w:rsid w:val="004B6C0D"/>
    <w:rsid w:val="004B6D40"/>
    <w:rsid w:val="004B6F54"/>
    <w:rsid w:val="004B71AC"/>
    <w:rsid w:val="004B73FB"/>
    <w:rsid w:val="004B74EB"/>
    <w:rsid w:val="004B7608"/>
    <w:rsid w:val="004B78C2"/>
    <w:rsid w:val="004B79CF"/>
    <w:rsid w:val="004B7CB8"/>
    <w:rsid w:val="004B7D59"/>
    <w:rsid w:val="004B7E02"/>
    <w:rsid w:val="004B7E15"/>
    <w:rsid w:val="004B7E97"/>
    <w:rsid w:val="004B7FE7"/>
    <w:rsid w:val="004C00E1"/>
    <w:rsid w:val="004C01A0"/>
    <w:rsid w:val="004C0497"/>
    <w:rsid w:val="004C054B"/>
    <w:rsid w:val="004C059E"/>
    <w:rsid w:val="004C07E9"/>
    <w:rsid w:val="004C08E7"/>
    <w:rsid w:val="004C0A8C"/>
    <w:rsid w:val="004C0BBB"/>
    <w:rsid w:val="004C0D20"/>
    <w:rsid w:val="004C0DC7"/>
    <w:rsid w:val="004C0E2E"/>
    <w:rsid w:val="004C0FF8"/>
    <w:rsid w:val="004C10B9"/>
    <w:rsid w:val="004C1226"/>
    <w:rsid w:val="004C155F"/>
    <w:rsid w:val="004C1628"/>
    <w:rsid w:val="004C1823"/>
    <w:rsid w:val="004C19E6"/>
    <w:rsid w:val="004C1A08"/>
    <w:rsid w:val="004C1D3D"/>
    <w:rsid w:val="004C1D4B"/>
    <w:rsid w:val="004C2055"/>
    <w:rsid w:val="004C207A"/>
    <w:rsid w:val="004C20C1"/>
    <w:rsid w:val="004C2183"/>
    <w:rsid w:val="004C2402"/>
    <w:rsid w:val="004C27A2"/>
    <w:rsid w:val="004C27D1"/>
    <w:rsid w:val="004C2919"/>
    <w:rsid w:val="004C2A55"/>
    <w:rsid w:val="004C2A7D"/>
    <w:rsid w:val="004C2ACB"/>
    <w:rsid w:val="004C2B63"/>
    <w:rsid w:val="004C2D7A"/>
    <w:rsid w:val="004C2E64"/>
    <w:rsid w:val="004C2F4B"/>
    <w:rsid w:val="004C3264"/>
    <w:rsid w:val="004C328A"/>
    <w:rsid w:val="004C3660"/>
    <w:rsid w:val="004C36FB"/>
    <w:rsid w:val="004C385D"/>
    <w:rsid w:val="004C3B28"/>
    <w:rsid w:val="004C3CFD"/>
    <w:rsid w:val="004C3DEA"/>
    <w:rsid w:val="004C3E36"/>
    <w:rsid w:val="004C3E62"/>
    <w:rsid w:val="004C3EC8"/>
    <w:rsid w:val="004C3F28"/>
    <w:rsid w:val="004C3FFE"/>
    <w:rsid w:val="004C403A"/>
    <w:rsid w:val="004C408E"/>
    <w:rsid w:val="004C4099"/>
    <w:rsid w:val="004C4364"/>
    <w:rsid w:val="004C439A"/>
    <w:rsid w:val="004C4478"/>
    <w:rsid w:val="004C470A"/>
    <w:rsid w:val="004C474B"/>
    <w:rsid w:val="004C475F"/>
    <w:rsid w:val="004C47DD"/>
    <w:rsid w:val="004C47DF"/>
    <w:rsid w:val="004C495C"/>
    <w:rsid w:val="004C4CDB"/>
    <w:rsid w:val="004C4F39"/>
    <w:rsid w:val="004C5122"/>
    <w:rsid w:val="004C512C"/>
    <w:rsid w:val="004C529F"/>
    <w:rsid w:val="004C52ED"/>
    <w:rsid w:val="004C53EA"/>
    <w:rsid w:val="004C553E"/>
    <w:rsid w:val="004C5A0D"/>
    <w:rsid w:val="004C5AAC"/>
    <w:rsid w:val="004C5B4A"/>
    <w:rsid w:val="004C5B71"/>
    <w:rsid w:val="004C5D07"/>
    <w:rsid w:val="004C5D26"/>
    <w:rsid w:val="004C5E0B"/>
    <w:rsid w:val="004C60CB"/>
    <w:rsid w:val="004C60DD"/>
    <w:rsid w:val="004C61B4"/>
    <w:rsid w:val="004C620B"/>
    <w:rsid w:val="004C6279"/>
    <w:rsid w:val="004C64A2"/>
    <w:rsid w:val="004C6730"/>
    <w:rsid w:val="004C6818"/>
    <w:rsid w:val="004C6B2B"/>
    <w:rsid w:val="004C6FFC"/>
    <w:rsid w:val="004C7256"/>
    <w:rsid w:val="004C72F5"/>
    <w:rsid w:val="004C7324"/>
    <w:rsid w:val="004C7384"/>
    <w:rsid w:val="004C75CD"/>
    <w:rsid w:val="004C787A"/>
    <w:rsid w:val="004C78F5"/>
    <w:rsid w:val="004C7946"/>
    <w:rsid w:val="004C7CE8"/>
    <w:rsid w:val="004C7D5D"/>
    <w:rsid w:val="004C7DDA"/>
    <w:rsid w:val="004C7E17"/>
    <w:rsid w:val="004C7E4C"/>
    <w:rsid w:val="004D0114"/>
    <w:rsid w:val="004D0300"/>
    <w:rsid w:val="004D0471"/>
    <w:rsid w:val="004D04F6"/>
    <w:rsid w:val="004D054F"/>
    <w:rsid w:val="004D065B"/>
    <w:rsid w:val="004D0806"/>
    <w:rsid w:val="004D0868"/>
    <w:rsid w:val="004D09EE"/>
    <w:rsid w:val="004D0A42"/>
    <w:rsid w:val="004D0B32"/>
    <w:rsid w:val="004D0C08"/>
    <w:rsid w:val="004D0D01"/>
    <w:rsid w:val="004D0D74"/>
    <w:rsid w:val="004D0E20"/>
    <w:rsid w:val="004D0EB4"/>
    <w:rsid w:val="004D10A8"/>
    <w:rsid w:val="004D153D"/>
    <w:rsid w:val="004D161C"/>
    <w:rsid w:val="004D178C"/>
    <w:rsid w:val="004D17EE"/>
    <w:rsid w:val="004D1803"/>
    <w:rsid w:val="004D1CDF"/>
    <w:rsid w:val="004D2002"/>
    <w:rsid w:val="004D24A1"/>
    <w:rsid w:val="004D2670"/>
    <w:rsid w:val="004D2812"/>
    <w:rsid w:val="004D2944"/>
    <w:rsid w:val="004D29EE"/>
    <w:rsid w:val="004D2AC4"/>
    <w:rsid w:val="004D2BDD"/>
    <w:rsid w:val="004D2C8E"/>
    <w:rsid w:val="004D3035"/>
    <w:rsid w:val="004D3096"/>
    <w:rsid w:val="004D310D"/>
    <w:rsid w:val="004D3180"/>
    <w:rsid w:val="004D3246"/>
    <w:rsid w:val="004D33A2"/>
    <w:rsid w:val="004D3B46"/>
    <w:rsid w:val="004D3C8A"/>
    <w:rsid w:val="004D3D76"/>
    <w:rsid w:val="004D3DC6"/>
    <w:rsid w:val="004D3DF2"/>
    <w:rsid w:val="004D4049"/>
    <w:rsid w:val="004D40D6"/>
    <w:rsid w:val="004D41E7"/>
    <w:rsid w:val="004D42C4"/>
    <w:rsid w:val="004D449F"/>
    <w:rsid w:val="004D47B7"/>
    <w:rsid w:val="004D47ED"/>
    <w:rsid w:val="004D482B"/>
    <w:rsid w:val="004D48D2"/>
    <w:rsid w:val="004D4967"/>
    <w:rsid w:val="004D4B94"/>
    <w:rsid w:val="004D4BAC"/>
    <w:rsid w:val="004D4D2F"/>
    <w:rsid w:val="004D51EA"/>
    <w:rsid w:val="004D52AF"/>
    <w:rsid w:val="004D53C4"/>
    <w:rsid w:val="004D548E"/>
    <w:rsid w:val="004D567D"/>
    <w:rsid w:val="004D588A"/>
    <w:rsid w:val="004D58E3"/>
    <w:rsid w:val="004D5F10"/>
    <w:rsid w:val="004D6097"/>
    <w:rsid w:val="004D61A0"/>
    <w:rsid w:val="004D6324"/>
    <w:rsid w:val="004D63A1"/>
    <w:rsid w:val="004D6429"/>
    <w:rsid w:val="004D6768"/>
    <w:rsid w:val="004D693B"/>
    <w:rsid w:val="004D6BBD"/>
    <w:rsid w:val="004D6BCF"/>
    <w:rsid w:val="004D6C3B"/>
    <w:rsid w:val="004D6CEC"/>
    <w:rsid w:val="004D7261"/>
    <w:rsid w:val="004D73D4"/>
    <w:rsid w:val="004D74CF"/>
    <w:rsid w:val="004D7787"/>
    <w:rsid w:val="004D7818"/>
    <w:rsid w:val="004D7853"/>
    <w:rsid w:val="004D798C"/>
    <w:rsid w:val="004D7997"/>
    <w:rsid w:val="004D7B6D"/>
    <w:rsid w:val="004D7D0D"/>
    <w:rsid w:val="004D7DA9"/>
    <w:rsid w:val="004D7DB3"/>
    <w:rsid w:val="004D7E54"/>
    <w:rsid w:val="004D7EE8"/>
    <w:rsid w:val="004D7F76"/>
    <w:rsid w:val="004D7FF1"/>
    <w:rsid w:val="004E0041"/>
    <w:rsid w:val="004E01B7"/>
    <w:rsid w:val="004E01DA"/>
    <w:rsid w:val="004E04EB"/>
    <w:rsid w:val="004E07AF"/>
    <w:rsid w:val="004E085E"/>
    <w:rsid w:val="004E09E6"/>
    <w:rsid w:val="004E0A64"/>
    <w:rsid w:val="004E0BDE"/>
    <w:rsid w:val="004E0C12"/>
    <w:rsid w:val="004E0D5F"/>
    <w:rsid w:val="004E0E5F"/>
    <w:rsid w:val="004E0FA6"/>
    <w:rsid w:val="004E104D"/>
    <w:rsid w:val="004E112F"/>
    <w:rsid w:val="004E12A9"/>
    <w:rsid w:val="004E1379"/>
    <w:rsid w:val="004E13E2"/>
    <w:rsid w:val="004E14EB"/>
    <w:rsid w:val="004E152A"/>
    <w:rsid w:val="004E16DF"/>
    <w:rsid w:val="004E1808"/>
    <w:rsid w:val="004E195D"/>
    <w:rsid w:val="004E1970"/>
    <w:rsid w:val="004E1A04"/>
    <w:rsid w:val="004E1A55"/>
    <w:rsid w:val="004E1C62"/>
    <w:rsid w:val="004E2288"/>
    <w:rsid w:val="004E242C"/>
    <w:rsid w:val="004E24A9"/>
    <w:rsid w:val="004E2578"/>
    <w:rsid w:val="004E27B0"/>
    <w:rsid w:val="004E2A47"/>
    <w:rsid w:val="004E2A63"/>
    <w:rsid w:val="004E2AA4"/>
    <w:rsid w:val="004E2C4A"/>
    <w:rsid w:val="004E2D09"/>
    <w:rsid w:val="004E310A"/>
    <w:rsid w:val="004E32B0"/>
    <w:rsid w:val="004E32C8"/>
    <w:rsid w:val="004E3522"/>
    <w:rsid w:val="004E3659"/>
    <w:rsid w:val="004E368F"/>
    <w:rsid w:val="004E36C8"/>
    <w:rsid w:val="004E3943"/>
    <w:rsid w:val="004E3965"/>
    <w:rsid w:val="004E3B63"/>
    <w:rsid w:val="004E3B8C"/>
    <w:rsid w:val="004E3BC4"/>
    <w:rsid w:val="004E3BDC"/>
    <w:rsid w:val="004E3CA9"/>
    <w:rsid w:val="004E3E13"/>
    <w:rsid w:val="004E3E22"/>
    <w:rsid w:val="004E3EDA"/>
    <w:rsid w:val="004E4015"/>
    <w:rsid w:val="004E40E0"/>
    <w:rsid w:val="004E4105"/>
    <w:rsid w:val="004E42C8"/>
    <w:rsid w:val="004E4339"/>
    <w:rsid w:val="004E45D7"/>
    <w:rsid w:val="004E4813"/>
    <w:rsid w:val="004E4814"/>
    <w:rsid w:val="004E485C"/>
    <w:rsid w:val="004E49AA"/>
    <w:rsid w:val="004E49DF"/>
    <w:rsid w:val="004E4AD9"/>
    <w:rsid w:val="004E4BA7"/>
    <w:rsid w:val="004E4CAF"/>
    <w:rsid w:val="004E4EDF"/>
    <w:rsid w:val="004E5432"/>
    <w:rsid w:val="004E5611"/>
    <w:rsid w:val="004E59DF"/>
    <w:rsid w:val="004E5CFC"/>
    <w:rsid w:val="004E5DC2"/>
    <w:rsid w:val="004E5FAA"/>
    <w:rsid w:val="004E6109"/>
    <w:rsid w:val="004E6251"/>
    <w:rsid w:val="004E64FE"/>
    <w:rsid w:val="004E6681"/>
    <w:rsid w:val="004E6684"/>
    <w:rsid w:val="004E6A84"/>
    <w:rsid w:val="004E6B13"/>
    <w:rsid w:val="004E6B4E"/>
    <w:rsid w:val="004E6BBA"/>
    <w:rsid w:val="004E6C22"/>
    <w:rsid w:val="004E6CF7"/>
    <w:rsid w:val="004E6D2F"/>
    <w:rsid w:val="004E6E35"/>
    <w:rsid w:val="004E6E3E"/>
    <w:rsid w:val="004E707C"/>
    <w:rsid w:val="004E762C"/>
    <w:rsid w:val="004E77BB"/>
    <w:rsid w:val="004E7823"/>
    <w:rsid w:val="004E7901"/>
    <w:rsid w:val="004E790F"/>
    <w:rsid w:val="004E7946"/>
    <w:rsid w:val="004E7A36"/>
    <w:rsid w:val="004E7A3F"/>
    <w:rsid w:val="004E7A4C"/>
    <w:rsid w:val="004E7FF6"/>
    <w:rsid w:val="004F007F"/>
    <w:rsid w:val="004F0241"/>
    <w:rsid w:val="004F0376"/>
    <w:rsid w:val="004F03A7"/>
    <w:rsid w:val="004F03D8"/>
    <w:rsid w:val="004F04A8"/>
    <w:rsid w:val="004F08A2"/>
    <w:rsid w:val="004F09BA"/>
    <w:rsid w:val="004F0AD7"/>
    <w:rsid w:val="004F0B11"/>
    <w:rsid w:val="004F0B66"/>
    <w:rsid w:val="004F0C72"/>
    <w:rsid w:val="004F0F47"/>
    <w:rsid w:val="004F1185"/>
    <w:rsid w:val="004F12D1"/>
    <w:rsid w:val="004F12D8"/>
    <w:rsid w:val="004F132D"/>
    <w:rsid w:val="004F164F"/>
    <w:rsid w:val="004F1929"/>
    <w:rsid w:val="004F1AD4"/>
    <w:rsid w:val="004F1B71"/>
    <w:rsid w:val="004F1D20"/>
    <w:rsid w:val="004F1D56"/>
    <w:rsid w:val="004F1EB7"/>
    <w:rsid w:val="004F211A"/>
    <w:rsid w:val="004F2172"/>
    <w:rsid w:val="004F2297"/>
    <w:rsid w:val="004F22B3"/>
    <w:rsid w:val="004F22B8"/>
    <w:rsid w:val="004F23C3"/>
    <w:rsid w:val="004F2504"/>
    <w:rsid w:val="004F2725"/>
    <w:rsid w:val="004F2766"/>
    <w:rsid w:val="004F278F"/>
    <w:rsid w:val="004F2946"/>
    <w:rsid w:val="004F2ABB"/>
    <w:rsid w:val="004F2C2B"/>
    <w:rsid w:val="004F2C81"/>
    <w:rsid w:val="004F2D66"/>
    <w:rsid w:val="004F2DB0"/>
    <w:rsid w:val="004F2E73"/>
    <w:rsid w:val="004F2E82"/>
    <w:rsid w:val="004F3109"/>
    <w:rsid w:val="004F327A"/>
    <w:rsid w:val="004F3351"/>
    <w:rsid w:val="004F33DD"/>
    <w:rsid w:val="004F349D"/>
    <w:rsid w:val="004F34A5"/>
    <w:rsid w:val="004F34C1"/>
    <w:rsid w:val="004F35E3"/>
    <w:rsid w:val="004F36F5"/>
    <w:rsid w:val="004F380F"/>
    <w:rsid w:val="004F38B9"/>
    <w:rsid w:val="004F38F4"/>
    <w:rsid w:val="004F3A51"/>
    <w:rsid w:val="004F3A63"/>
    <w:rsid w:val="004F3ABE"/>
    <w:rsid w:val="004F3C9E"/>
    <w:rsid w:val="004F3D7A"/>
    <w:rsid w:val="004F3FB0"/>
    <w:rsid w:val="004F435D"/>
    <w:rsid w:val="004F43B3"/>
    <w:rsid w:val="004F43DE"/>
    <w:rsid w:val="004F4476"/>
    <w:rsid w:val="004F4479"/>
    <w:rsid w:val="004F44B6"/>
    <w:rsid w:val="004F45FC"/>
    <w:rsid w:val="004F4840"/>
    <w:rsid w:val="004F4863"/>
    <w:rsid w:val="004F4A02"/>
    <w:rsid w:val="004F4B3C"/>
    <w:rsid w:val="004F4CE6"/>
    <w:rsid w:val="004F4E78"/>
    <w:rsid w:val="004F4EC1"/>
    <w:rsid w:val="004F5063"/>
    <w:rsid w:val="004F5088"/>
    <w:rsid w:val="004F5137"/>
    <w:rsid w:val="004F52C3"/>
    <w:rsid w:val="004F5776"/>
    <w:rsid w:val="004F57EF"/>
    <w:rsid w:val="004F5A73"/>
    <w:rsid w:val="004F5B66"/>
    <w:rsid w:val="004F5CBB"/>
    <w:rsid w:val="004F5D5C"/>
    <w:rsid w:val="004F5F23"/>
    <w:rsid w:val="004F61CC"/>
    <w:rsid w:val="004F639D"/>
    <w:rsid w:val="004F63CB"/>
    <w:rsid w:val="004F6524"/>
    <w:rsid w:val="004F6570"/>
    <w:rsid w:val="004F681B"/>
    <w:rsid w:val="004F6831"/>
    <w:rsid w:val="004F68EB"/>
    <w:rsid w:val="004F6970"/>
    <w:rsid w:val="004F6BB9"/>
    <w:rsid w:val="004F6CB5"/>
    <w:rsid w:val="004F6F3D"/>
    <w:rsid w:val="004F6F7D"/>
    <w:rsid w:val="004F6FBA"/>
    <w:rsid w:val="004F72D4"/>
    <w:rsid w:val="004F75C0"/>
    <w:rsid w:val="004F792C"/>
    <w:rsid w:val="004F7BC9"/>
    <w:rsid w:val="004F7C15"/>
    <w:rsid w:val="004F7C57"/>
    <w:rsid w:val="004F7D36"/>
    <w:rsid w:val="00500038"/>
    <w:rsid w:val="0050003F"/>
    <w:rsid w:val="005001A2"/>
    <w:rsid w:val="00500328"/>
    <w:rsid w:val="00500332"/>
    <w:rsid w:val="00500352"/>
    <w:rsid w:val="0050068F"/>
    <w:rsid w:val="0050083F"/>
    <w:rsid w:val="005008D2"/>
    <w:rsid w:val="005008F7"/>
    <w:rsid w:val="00500AA9"/>
    <w:rsid w:val="00500D1C"/>
    <w:rsid w:val="0050123A"/>
    <w:rsid w:val="00501302"/>
    <w:rsid w:val="005014E6"/>
    <w:rsid w:val="00501502"/>
    <w:rsid w:val="00501565"/>
    <w:rsid w:val="005015AE"/>
    <w:rsid w:val="005017A0"/>
    <w:rsid w:val="0050195F"/>
    <w:rsid w:val="00501A5E"/>
    <w:rsid w:val="00501AA6"/>
    <w:rsid w:val="00501B11"/>
    <w:rsid w:val="00501CA1"/>
    <w:rsid w:val="00501DE5"/>
    <w:rsid w:val="00501DEB"/>
    <w:rsid w:val="00501E3E"/>
    <w:rsid w:val="0050209B"/>
    <w:rsid w:val="00502267"/>
    <w:rsid w:val="00502433"/>
    <w:rsid w:val="00502489"/>
    <w:rsid w:val="005025CD"/>
    <w:rsid w:val="00502688"/>
    <w:rsid w:val="0050270C"/>
    <w:rsid w:val="00502777"/>
    <w:rsid w:val="005027B3"/>
    <w:rsid w:val="005027F9"/>
    <w:rsid w:val="00502801"/>
    <w:rsid w:val="0050280E"/>
    <w:rsid w:val="00502B76"/>
    <w:rsid w:val="00502BF6"/>
    <w:rsid w:val="00502D0F"/>
    <w:rsid w:val="00502D71"/>
    <w:rsid w:val="00502DF4"/>
    <w:rsid w:val="00502EAD"/>
    <w:rsid w:val="005030A7"/>
    <w:rsid w:val="005031AB"/>
    <w:rsid w:val="005031FB"/>
    <w:rsid w:val="0050325F"/>
    <w:rsid w:val="00503335"/>
    <w:rsid w:val="005035E3"/>
    <w:rsid w:val="005038D8"/>
    <w:rsid w:val="005038E0"/>
    <w:rsid w:val="0050396F"/>
    <w:rsid w:val="005039A6"/>
    <w:rsid w:val="00503B1A"/>
    <w:rsid w:val="00503B67"/>
    <w:rsid w:val="00503C61"/>
    <w:rsid w:val="00503CB9"/>
    <w:rsid w:val="00503D62"/>
    <w:rsid w:val="00503E25"/>
    <w:rsid w:val="00503E4F"/>
    <w:rsid w:val="00504041"/>
    <w:rsid w:val="00504238"/>
    <w:rsid w:val="0050432A"/>
    <w:rsid w:val="00504336"/>
    <w:rsid w:val="005043B5"/>
    <w:rsid w:val="00504411"/>
    <w:rsid w:val="0050467E"/>
    <w:rsid w:val="005046B9"/>
    <w:rsid w:val="005047C2"/>
    <w:rsid w:val="00504867"/>
    <w:rsid w:val="00504ADD"/>
    <w:rsid w:val="00504BFE"/>
    <w:rsid w:val="00504C3D"/>
    <w:rsid w:val="00504F23"/>
    <w:rsid w:val="0050513C"/>
    <w:rsid w:val="0050520A"/>
    <w:rsid w:val="00505327"/>
    <w:rsid w:val="00505347"/>
    <w:rsid w:val="00505475"/>
    <w:rsid w:val="00505598"/>
    <w:rsid w:val="005055D6"/>
    <w:rsid w:val="005056EF"/>
    <w:rsid w:val="0050573F"/>
    <w:rsid w:val="0050583E"/>
    <w:rsid w:val="00505870"/>
    <w:rsid w:val="005058EC"/>
    <w:rsid w:val="005059C6"/>
    <w:rsid w:val="00505A80"/>
    <w:rsid w:val="00505CB6"/>
    <w:rsid w:val="00505D26"/>
    <w:rsid w:val="005060BE"/>
    <w:rsid w:val="00506142"/>
    <w:rsid w:val="005061BB"/>
    <w:rsid w:val="00506285"/>
    <w:rsid w:val="0050631D"/>
    <w:rsid w:val="005064B2"/>
    <w:rsid w:val="005066F5"/>
    <w:rsid w:val="0050679C"/>
    <w:rsid w:val="00506BFA"/>
    <w:rsid w:val="00506CBD"/>
    <w:rsid w:val="00506E54"/>
    <w:rsid w:val="00507096"/>
    <w:rsid w:val="005070CE"/>
    <w:rsid w:val="005070EA"/>
    <w:rsid w:val="0050725B"/>
    <w:rsid w:val="00507593"/>
    <w:rsid w:val="005075D0"/>
    <w:rsid w:val="005077C2"/>
    <w:rsid w:val="005079C9"/>
    <w:rsid w:val="00507BAC"/>
    <w:rsid w:val="00507C45"/>
    <w:rsid w:val="00507CE2"/>
    <w:rsid w:val="00507E6A"/>
    <w:rsid w:val="00507EFD"/>
    <w:rsid w:val="005100AF"/>
    <w:rsid w:val="0051026B"/>
    <w:rsid w:val="00510305"/>
    <w:rsid w:val="005103BF"/>
    <w:rsid w:val="005109B3"/>
    <w:rsid w:val="00510A6C"/>
    <w:rsid w:val="00510B09"/>
    <w:rsid w:val="00510CFC"/>
    <w:rsid w:val="00510D13"/>
    <w:rsid w:val="00510EBB"/>
    <w:rsid w:val="00511108"/>
    <w:rsid w:val="0051136D"/>
    <w:rsid w:val="00511377"/>
    <w:rsid w:val="005113B7"/>
    <w:rsid w:val="0051143C"/>
    <w:rsid w:val="00511495"/>
    <w:rsid w:val="005114EF"/>
    <w:rsid w:val="005115A4"/>
    <w:rsid w:val="005115C2"/>
    <w:rsid w:val="005116C4"/>
    <w:rsid w:val="00511796"/>
    <w:rsid w:val="005119B0"/>
    <w:rsid w:val="00511B5E"/>
    <w:rsid w:val="00511CD2"/>
    <w:rsid w:val="00511DB6"/>
    <w:rsid w:val="00511E6C"/>
    <w:rsid w:val="00511FEC"/>
    <w:rsid w:val="00512058"/>
    <w:rsid w:val="00512129"/>
    <w:rsid w:val="005121DE"/>
    <w:rsid w:val="00512217"/>
    <w:rsid w:val="00512707"/>
    <w:rsid w:val="005128B0"/>
    <w:rsid w:val="00512924"/>
    <w:rsid w:val="00512928"/>
    <w:rsid w:val="00512966"/>
    <w:rsid w:val="00512A6B"/>
    <w:rsid w:val="00512A8C"/>
    <w:rsid w:val="00512AB0"/>
    <w:rsid w:val="00512C40"/>
    <w:rsid w:val="00512C5E"/>
    <w:rsid w:val="00512C7F"/>
    <w:rsid w:val="00512CA6"/>
    <w:rsid w:val="00512D57"/>
    <w:rsid w:val="00512E0B"/>
    <w:rsid w:val="00512F14"/>
    <w:rsid w:val="00513609"/>
    <w:rsid w:val="00513613"/>
    <w:rsid w:val="005136A5"/>
    <w:rsid w:val="005136FC"/>
    <w:rsid w:val="005139A8"/>
    <w:rsid w:val="00513A01"/>
    <w:rsid w:val="00513B6F"/>
    <w:rsid w:val="00513D32"/>
    <w:rsid w:val="00513EEB"/>
    <w:rsid w:val="00514151"/>
    <w:rsid w:val="0051417D"/>
    <w:rsid w:val="0051421E"/>
    <w:rsid w:val="00514256"/>
    <w:rsid w:val="005143D0"/>
    <w:rsid w:val="005144E6"/>
    <w:rsid w:val="00514622"/>
    <w:rsid w:val="00514670"/>
    <w:rsid w:val="005146D8"/>
    <w:rsid w:val="005146EA"/>
    <w:rsid w:val="005147F1"/>
    <w:rsid w:val="005148E2"/>
    <w:rsid w:val="00514A2A"/>
    <w:rsid w:val="00514A5F"/>
    <w:rsid w:val="00514AA0"/>
    <w:rsid w:val="00514C01"/>
    <w:rsid w:val="00514DE8"/>
    <w:rsid w:val="00514E58"/>
    <w:rsid w:val="00514F01"/>
    <w:rsid w:val="0051505D"/>
    <w:rsid w:val="00515378"/>
    <w:rsid w:val="00515438"/>
    <w:rsid w:val="00515495"/>
    <w:rsid w:val="005154CA"/>
    <w:rsid w:val="00515814"/>
    <w:rsid w:val="00515887"/>
    <w:rsid w:val="005158D8"/>
    <w:rsid w:val="00515916"/>
    <w:rsid w:val="005159D0"/>
    <w:rsid w:val="00515B18"/>
    <w:rsid w:val="00515D93"/>
    <w:rsid w:val="00515DC7"/>
    <w:rsid w:val="00515DD8"/>
    <w:rsid w:val="00515E40"/>
    <w:rsid w:val="00515EA0"/>
    <w:rsid w:val="00515EFF"/>
    <w:rsid w:val="0051611B"/>
    <w:rsid w:val="005161A2"/>
    <w:rsid w:val="0051622D"/>
    <w:rsid w:val="00516549"/>
    <w:rsid w:val="00516663"/>
    <w:rsid w:val="005166BC"/>
    <w:rsid w:val="005166EF"/>
    <w:rsid w:val="005166FF"/>
    <w:rsid w:val="00516804"/>
    <w:rsid w:val="00516E0C"/>
    <w:rsid w:val="00516F34"/>
    <w:rsid w:val="0051729A"/>
    <w:rsid w:val="0051754B"/>
    <w:rsid w:val="0051760B"/>
    <w:rsid w:val="00517702"/>
    <w:rsid w:val="00517B7C"/>
    <w:rsid w:val="00517BA4"/>
    <w:rsid w:val="00517BCB"/>
    <w:rsid w:val="00517C9D"/>
    <w:rsid w:val="00517D6E"/>
    <w:rsid w:val="00520008"/>
    <w:rsid w:val="00520027"/>
    <w:rsid w:val="00520373"/>
    <w:rsid w:val="005203C0"/>
    <w:rsid w:val="005205D9"/>
    <w:rsid w:val="005206D4"/>
    <w:rsid w:val="005209A1"/>
    <w:rsid w:val="00520C66"/>
    <w:rsid w:val="00520CAE"/>
    <w:rsid w:val="00520D0C"/>
    <w:rsid w:val="00520DE9"/>
    <w:rsid w:val="00520F75"/>
    <w:rsid w:val="00520FAA"/>
    <w:rsid w:val="005212F1"/>
    <w:rsid w:val="00521556"/>
    <w:rsid w:val="00521784"/>
    <w:rsid w:val="00521830"/>
    <w:rsid w:val="005219CB"/>
    <w:rsid w:val="00521AE9"/>
    <w:rsid w:val="00521CE8"/>
    <w:rsid w:val="00521D2E"/>
    <w:rsid w:val="00521D86"/>
    <w:rsid w:val="00521FC0"/>
    <w:rsid w:val="00522311"/>
    <w:rsid w:val="005223EE"/>
    <w:rsid w:val="005223F9"/>
    <w:rsid w:val="005224AB"/>
    <w:rsid w:val="005226AE"/>
    <w:rsid w:val="00522770"/>
    <w:rsid w:val="00522913"/>
    <w:rsid w:val="00522C88"/>
    <w:rsid w:val="00522F90"/>
    <w:rsid w:val="00523232"/>
    <w:rsid w:val="005233D2"/>
    <w:rsid w:val="005235F3"/>
    <w:rsid w:val="0052362E"/>
    <w:rsid w:val="0052370A"/>
    <w:rsid w:val="0052385A"/>
    <w:rsid w:val="005239A8"/>
    <w:rsid w:val="005239E7"/>
    <w:rsid w:val="00523A6B"/>
    <w:rsid w:val="00523A6D"/>
    <w:rsid w:val="00523C23"/>
    <w:rsid w:val="00523EC7"/>
    <w:rsid w:val="00523F4F"/>
    <w:rsid w:val="0052479D"/>
    <w:rsid w:val="0052493D"/>
    <w:rsid w:val="005249AB"/>
    <w:rsid w:val="00524BAC"/>
    <w:rsid w:val="00524FDA"/>
    <w:rsid w:val="00524FF6"/>
    <w:rsid w:val="0052511E"/>
    <w:rsid w:val="005252B3"/>
    <w:rsid w:val="00525359"/>
    <w:rsid w:val="005254E4"/>
    <w:rsid w:val="0052556F"/>
    <w:rsid w:val="0052573F"/>
    <w:rsid w:val="00525763"/>
    <w:rsid w:val="0052580E"/>
    <w:rsid w:val="00525966"/>
    <w:rsid w:val="00525AD8"/>
    <w:rsid w:val="00525AE8"/>
    <w:rsid w:val="00525BD7"/>
    <w:rsid w:val="00525D8D"/>
    <w:rsid w:val="0052602E"/>
    <w:rsid w:val="00526221"/>
    <w:rsid w:val="0052627A"/>
    <w:rsid w:val="005262B1"/>
    <w:rsid w:val="005263E1"/>
    <w:rsid w:val="0052641A"/>
    <w:rsid w:val="005268B4"/>
    <w:rsid w:val="00526962"/>
    <w:rsid w:val="00526B51"/>
    <w:rsid w:val="00526BA0"/>
    <w:rsid w:val="00526C9A"/>
    <w:rsid w:val="00526D4C"/>
    <w:rsid w:val="00526ECD"/>
    <w:rsid w:val="0052706A"/>
    <w:rsid w:val="005270DC"/>
    <w:rsid w:val="00527164"/>
    <w:rsid w:val="005271F0"/>
    <w:rsid w:val="0052726B"/>
    <w:rsid w:val="00527709"/>
    <w:rsid w:val="00527799"/>
    <w:rsid w:val="005277E6"/>
    <w:rsid w:val="0052787A"/>
    <w:rsid w:val="00527A51"/>
    <w:rsid w:val="00527A9C"/>
    <w:rsid w:val="00527BE9"/>
    <w:rsid w:val="00527EF4"/>
    <w:rsid w:val="00530056"/>
    <w:rsid w:val="005302CD"/>
    <w:rsid w:val="0053035B"/>
    <w:rsid w:val="00530512"/>
    <w:rsid w:val="005307A1"/>
    <w:rsid w:val="005307BA"/>
    <w:rsid w:val="00530902"/>
    <w:rsid w:val="005309FA"/>
    <w:rsid w:val="00531198"/>
    <w:rsid w:val="005312CC"/>
    <w:rsid w:val="00531408"/>
    <w:rsid w:val="00531465"/>
    <w:rsid w:val="00531550"/>
    <w:rsid w:val="005316AA"/>
    <w:rsid w:val="005318FF"/>
    <w:rsid w:val="00531A20"/>
    <w:rsid w:val="00531B6C"/>
    <w:rsid w:val="00531B9E"/>
    <w:rsid w:val="00531C67"/>
    <w:rsid w:val="00531D5D"/>
    <w:rsid w:val="00531FC8"/>
    <w:rsid w:val="005320CB"/>
    <w:rsid w:val="005321E9"/>
    <w:rsid w:val="00532293"/>
    <w:rsid w:val="005324A4"/>
    <w:rsid w:val="0053253B"/>
    <w:rsid w:val="00532591"/>
    <w:rsid w:val="005327E9"/>
    <w:rsid w:val="0053284F"/>
    <w:rsid w:val="005328FD"/>
    <w:rsid w:val="005329B1"/>
    <w:rsid w:val="005329F5"/>
    <w:rsid w:val="00532A7E"/>
    <w:rsid w:val="00532AF1"/>
    <w:rsid w:val="00532AFD"/>
    <w:rsid w:val="00532B8D"/>
    <w:rsid w:val="00532CBD"/>
    <w:rsid w:val="00532D87"/>
    <w:rsid w:val="0053306D"/>
    <w:rsid w:val="005333C7"/>
    <w:rsid w:val="00533472"/>
    <w:rsid w:val="00533679"/>
    <w:rsid w:val="00533705"/>
    <w:rsid w:val="00533727"/>
    <w:rsid w:val="00533817"/>
    <w:rsid w:val="00533A0F"/>
    <w:rsid w:val="00533AD0"/>
    <w:rsid w:val="00533B59"/>
    <w:rsid w:val="00533B90"/>
    <w:rsid w:val="00533CD1"/>
    <w:rsid w:val="00533DB4"/>
    <w:rsid w:val="00533DE4"/>
    <w:rsid w:val="00533FB9"/>
    <w:rsid w:val="0053405F"/>
    <w:rsid w:val="00534618"/>
    <w:rsid w:val="0053463A"/>
    <w:rsid w:val="00534692"/>
    <w:rsid w:val="005346F6"/>
    <w:rsid w:val="00534705"/>
    <w:rsid w:val="005349B5"/>
    <w:rsid w:val="00534B9A"/>
    <w:rsid w:val="00534EF9"/>
    <w:rsid w:val="00534FFD"/>
    <w:rsid w:val="005350B3"/>
    <w:rsid w:val="00535157"/>
    <w:rsid w:val="005353CC"/>
    <w:rsid w:val="00535677"/>
    <w:rsid w:val="005356CB"/>
    <w:rsid w:val="005356F0"/>
    <w:rsid w:val="00535782"/>
    <w:rsid w:val="005357C0"/>
    <w:rsid w:val="00535A2D"/>
    <w:rsid w:val="00535BD6"/>
    <w:rsid w:val="00535C94"/>
    <w:rsid w:val="00535D7E"/>
    <w:rsid w:val="00535E3A"/>
    <w:rsid w:val="0053612A"/>
    <w:rsid w:val="005364AA"/>
    <w:rsid w:val="0053662E"/>
    <w:rsid w:val="0053663F"/>
    <w:rsid w:val="0053679B"/>
    <w:rsid w:val="005369A3"/>
    <w:rsid w:val="00536A8E"/>
    <w:rsid w:val="00536AD6"/>
    <w:rsid w:val="00536B06"/>
    <w:rsid w:val="00536B87"/>
    <w:rsid w:val="00536C1E"/>
    <w:rsid w:val="00537289"/>
    <w:rsid w:val="00537558"/>
    <w:rsid w:val="005375AA"/>
    <w:rsid w:val="00537835"/>
    <w:rsid w:val="005379A0"/>
    <w:rsid w:val="00537A21"/>
    <w:rsid w:val="00537D26"/>
    <w:rsid w:val="00537E05"/>
    <w:rsid w:val="0054042E"/>
    <w:rsid w:val="005405E4"/>
    <w:rsid w:val="005406E7"/>
    <w:rsid w:val="00540AF1"/>
    <w:rsid w:val="00540CF5"/>
    <w:rsid w:val="00540DF8"/>
    <w:rsid w:val="00540E0B"/>
    <w:rsid w:val="00540FA5"/>
    <w:rsid w:val="00541028"/>
    <w:rsid w:val="0054118E"/>
    <w:rsid w:val="0054119B"/>
    <w:rsid w:val="0054149A"/>
    <w:rsid w:val="005414EA"/>
    <w:rsid w:val="005415A0"/>
    <w:rsid w:val="005417AF"/>
    <w:rsid w:val="00541819"/>
    <w:rsid w:val="0054181E"/>
    <w:rsid w:val="00541BD3"/>
    <w:rsid w:val="00541D10"/>
    <w:rsid w:val="00541F1F"/>
    <w:rsid w:val="00542017"/>
    <w:rsid w:val="005420BC"/>
    <w:rsid w:val="00542152"/>
    <w:rsid w:val="005421FC"/>
    <w:rsid w:val="00542238"/>
    <w:rsid w:val="0054224C"/>
    <w:rsid w:val="005422CC"/>
    <w:rsid w:val="005429C7"/>
    <w:rsid w:val="00542A06"/>
    <w:rsid w:val="00542B6C"/>
    <w:rsid w:val="00542C17"/>
    <w:rsid w:val="00542CE0"/>
    <w:rsid w:val="00542F24"/>
    <w:rsid w:val="00542FA2"/>
    <w:rsid w:val="0054309B"/>
    <w:rsid w:val="005430FE"/>
    <w:rsid w:val="005432C7"/>
    <w:rsid w:val="00543368"/>
    <w:rsid w:val="005433BA"/>
    <w:rsid w:val="005434F7"/>
    <w:rsid w:val="005435AA"/>
    <w:rsid w:val="00543649"/>
    <w:rsid w:val="00543764"/>
    <w:rsid w:val="00543B5E"/>
    <w:rsid w:val="00543D97"/>
    <w:rsid w:val="00543DC8"/>
    <w:rsid w:val="00543DF2"/>
    <w:rsid w:val="00543FC2"/>
    <w:rsid w:val="005440F3"/>
    <w:rsid w:val="00544472"/>
    <w:rsid w:val="005447ED"/>
    <w:rsid w:val="00544990"/>
    <w:rsid w:val="00544C02"/>
    <w:rsid w:val="00544E2A"/>
    <w:rsid w:val="00544ED6"/>
    <w:rsid w:val="00544F49"/>
    <w:rsid w:val="00544FC3"/>
    <w:rsid w:val="00545232"/>
    <w:rsid w:val="005452F3"/>
    <w:rsid w:val="0054534A"/>
    <w:rsid w:val="005453FE"/>
    <w:rsid w:val="0054562F"/>
    <w:rsid w:val="005458E7"/>
    <w:rsid w:val="00545A25"/>
    <w:rsid w:val="00545C1C"/>
    <w:rsid w:val="00545F86"/>
    <w:rsid w:val="0054622C"/>
    <w:rsid w:val="005462A5"/>
    <w:rsid w:val="00546318"/>
    <w:rsid w:val="00546352"/>
    <w:rsid w:val="00546357"/>
    <w:rsid w:val="0054636E"/>
    <w:rsid w:val="005463E7"/>
    <w:rsid w:val="005464F8"/>
    <w:rsid w:val="0054664E"/>
    <w:rsid w:val="00546D80"/>
    <w:rsid w:val="00547181"/>
    <w:rsid w:val="005472D9"/>
    <w:rsid w:val="005473E0"/>
    <w:rsid w:val="005474D9"/>
    <w:rsid w:val="00547589"/>
    <w:rsid w:val="0054764F"/>
    <w:rsid w:val="0054776E"/>
    <w:rsid w:val="0054777A"/>
    <w:rsid w:val="005477A0"/>
    <w:rsid w:val="005477B6"/>
    <w:rsid w:val="005477F2"/>
    <w:rsid w:val="0054792E"/>
    <w:rsid w:val="00547F9F"/>
    <w:rsid w:val="00550242"/>
    <w:rsid w:val="005503E6"/>
    <w:rsid w:val="00550419"/>
    <w:rsid w:val="005504BE"/>
    <w:rsid w:val="005504F6"/>
    <w:rsid w:val="005504FC"/>
    <w:rsid w:val="005506E5"/>
    <w:rsid w:val="0055073D"/>
    <w:rsid w:val="0055076B"/>
    <w:rsid w:val="005508A3"/>
    <w:rsid w:val="005508AC"/>
    <w:rsid w:val="00550A7C"/>
    <w:rsid w:val="00550AFC"/>
    <w:rsid w:val="00550C11"/>
    <w:rsid w:val="00550EC1"/>
    <w:rsid w:val="00550EF9"/>
    <w:rsid w:val="00550F01"/>
    <w:rsid w:val="00551086"/>
    <w:rsid w:val="005510A4"/>
    <w:rsid w:val="005512E2"/>
    <w:rsid w:val="005513D7"/>
    <w:rsid w:val="005515C0"/>
    <w:rsid w:val="00551638"/>
    <w:rsid w:val="005517C8"/>
    <w:rsid w:val="0055188D"/>
    <w:rsid w:val="005518D0"/>
    <w:rsid w:val="005519A0"/>
    <w:rsid w:val="00551A8F"/>
    <w:rsid w:val="00551BD0"/>
    <w:rsid w:val="00551E79"/>
    <w:rsid w:val="00551F47"/>
    <w:rsid w:val="00551FAE"/>
    <w:rsid w:val="00552092"/>
    <w:rsid w:val="00552177"/>
    <w:rsid w:val="005523C4"/>
    <w:rsid w:val="005525B6"/>
    <w:rsid w:val="005529AA"/>
    <w:rsid w:val="00552A37"/>
    <w:rsid w:val="00552A46"/>
    <w:rsid w:val="00552A90"/>
    <w:rsid w:val="00552B22"/>
    <w:rsid w:val="00552BB0"/>
    <w:rsid w:val="00552C0D"/>
    <w:rsid w:val="00552E01"/>
    <w:rsid w:val="00553024"/>
    <w:rsid w:val="00553126"/>
    <w:rsid w:val="005531FC"/>
    <w:rsid w:val="005532BA"/>
    <w:rsid w:val="005532C0"/>
    <w:rsid w:val="0055332C"/>
    <w:rsid w:val="00553330"/>
    <w:rsid w:val="005534A2"/>
    <w:rsid w:val="005536E8"/>
    <w:rsid w:val="0055384A"/>
    <w:rsid w:val="00553870"/>
    <w:rsid w:val="00553890"/>
    <w:rsid w:val="00553930"/>
    <w:rsid w:val="00553C9D"/>
    <w:rsid w:val="00553E96"/>
    <w:rsid w:val="00553EAB"/>
    <w:rsid w:val="00553F26"/>
    <w:rsid w:val="00553FB2"/>
    <w:rsid w:val="00553FBF"/>
    <w:rsid w:val="0055404E"/>
    <w:rsid w:val="00554118"/>
    <w:rsid w:val="00554232"/>
    <w:rsid w:val="005543BB"/>
    <w:rsid w:val="005544C1"/>
    <w:rsid w:val="005549AD"/>
    <w:rsid w:val="00554DF2"/>
    <w:rsid w:val="00554FEA"/>
    <w:rsid w:val="0055500A"/>
    <w:rsid w:val="005550E0"/>
    <w:rsid w:val="0055550B"/>
    <w:rsid w:val="00555720"/>
    <w:rsid w:val="00555916"/>
    <w:rsid w:val="00555933"/>
    <w:rsid w:val="00555B12"/>
    <w:rsid w:val="00555C80"/>
    <w:rsid w:val="00555DF6"/>
    <w:rsid w:val="00556502"/>
    <w:rsid w:val="00556545"/>
    <w:rsid w:val="00556927"/>
    <w:rsid w:val="005569AD"/>
    <w:rsid w:val="00556A3D"/>
    <w:rsid w:val="00556A69"/>
    <w:rsid w:val="00556BD2"/>
    <w:rsid w:val="00556C2D"/>
    <w:rsid w:val="00556D7F"/>
    <w:rsid w:val="00556F55"/>
    <w:rsid w:val="00556F82"/>
    <w:rsid w:val="00557143"/>
    <w:rsid w:val="005573D4"/>
    <w:rsid w:val="005574AC"/>
    <w:rsid w:val="005574E2"/>
    <w:rsid w:val="00557502"/>
    <w:rsid w:val="00557598"/>
    <w:rsid w:val="0055761B"/>
    <w:rsid w:val="0055788F"/>
    <w:rsid w:val="00557893"/>
    <w:rsid w:val="00557D20"/>
    <w:rsid w:val="00560048"/>
    <w:rsid w:val="005600A1"/>
    <w:rsid w:val="00560159"/>
    <w:rsid w:val="00560359"/>
    <w:rsid w:val="005603BB"/>
    <w:rsid w:val="00560491"/>
    <w:rsid w:val="00560618"/>
    <w:rsid w:val="00560631"/>
    <w:rsid w:val="00560751"/>
    <w:rsid w:val="00560779"/>
    <w:rsid w:val="00560982"/>
    <w:rsid w:val="00560BE5"/>
    <w:rsid w:val="00560C88"/>
    <w:rsid w:val="00560CE2"/>
    <w:rsid w:val="00560D20"/>
    <w:rsid w:val="00560FFD"/>
    <w:rsid w:val="00561445"/>
    <w:rsid w:val="005615D1"/>
    <w:rsid w:val="0056168D"/>
    <w:rsid w:val="005617E9"/>
    <w:rsid w:val="00561802"/>
    <w:rsid w:val="00561AE2"/>
    <w:rsid w:val="00561AE3"/>
    <w:rsid w:val="00561CF6"/>
    <w:rsid w:val="00561D0E"/>
    <w:rsid w:val="00561FFD"/>
    <w:rsid w:val="00562235"/>
    <w:rsid w:val="00562509"/>
    <w:rsid w:val="0056262D"/>
    <w:rsid w:val="00562882"/>
    <w:rsid w:val="005628DE"/>
    <w:rsid w:val="00562B24"/>
    <w:rsid w:val="00562B76"/>
    <w:rsid w:val="00563036"/>
    <w:rsid w:val="005630FB"/>
    <w:rsid w:val="005631E5"/>
    <w:rsid w:val="00563402"/>
    <w:rsid w:val="00563478"/>
    <w:rsid w:val="00563827"/>
    <w:rsid w:val="00563868"/>
    <w:rsid w:val="00563AB1"/>
    <w:rsid w:val="00563C63"/>
    <w:rsid w:val="00563CB7"/>
    <w:rsid w:val="00563F7F"/>
    <w:rsid w:val="00563FB4"/>
    <w:rsid w:val="005640F8"/>
    <w:rsid w:val="00564124"/>
    <w:rsid w:val="00564158"/>
    <w:rsid w:val="005642A9"/>
    <w:rsid w:val="00564443"/>
    <w:rsid w:val="00564718"/>
    <w:rsid w:val="00564816"/>
    <w:rsid w:val="00564836"/>
    <w:rsid w:val="00564909"/>
    <w:rsid w:val="00564A5C"/>
    <w:rsid w:val="00564D65"/>
    <w:rsid w:val="00564DE2"/>
    <w:rsid w:val="00564F16"/>
    <w:rsid w:val="00564F61"/>
    <w:rsid w:val="00565008"/>
    <w:rsid w:val="0056512A"/>
    <w:rsid w:val="00565142"/>
    <w:rsid w:val="005651AD"/>
    <w:rsid w:val="005651CB"/>
    <w:rsid w:val="00565237"/>
    <w:rsid w:val="00565279"/>
    <w:rsid w:val="005652D0"/>
    <w:rsid w:val="005654EA"/>
    <w:rsid w:val="00565792"/>
    <w:rsid w:val="005658E2"/>
    <w:rsid w:val="00565A42"/>
    <w:rsid w:val="00565ADB"/>
    <w:rsid w:val="00565ADE"/>
    <w:rsid w:val="00565BD5"/>
    <w:rsid w:val="00565BE9"/>
    <w:rsid w:val="00565DB3"/>
    <w:rsid w:val="00565EDB"/>
    <w:rsid w:val="005661DF"/>
    <w:rsid w:val="0056629C"/>
    <w:rsid w:val="005664BE"/>
    <w:rsid w:val="00566682"/>
    <w:rsid w:val="005666C9"/>
    <w:rsid w:val="0056675C"/>
    <w:rsid w:val="00566827"/>
    <w:rsid w:val="0056692A"/>
    <w:rsid w:val="00566B04"/>
    <w:rsid w:val="00566B0E"/>
    <w:rsid w:val="00566F87"/>
    <w:rsid w:val="0056721A"/>
    <w:rsid w:val="0056728B"/>
    <w:rsid w:val="005672AE"/>
    <w:rsid w:val="00567396"/>
    <w:rsid w:val="005678C0"/>
    <w:rsid w:val="00567977"/>
    <w:rsid w:val="00567D23"/>
    <w:rsid w:val="00567DA8"/>
    <w:rsid w:val="00567E85"/>
    <w:rsid w:val="00567EF7"/>
    <w:rsid w:val="00567FE8"/>
    <w:rsid w:val="00570022"/>
    <w:rsid w:val="00570192"/>
    <w:rsid w:val="0057026A"/>
    <w:rsid w:val="00570394"/>
    <w:rsid w:val="0057047F"/>
    <w:rsid w:val="0057078C"/>
    <w:rsid w:val="0057078F"/>
    <w:rsid w:val="0057082B"/>
    <w:rsid w:val="005708AD"/>
    <w:rsid w:val="00570AB2"/>
    <w:rsid w:val="00570BD5"/>
    <w:rsid w:val="00570BE9"/>
    <w:rsid w:val="00570D18"/>
    <w:rsid w:val="00570D3D"/>
    <w:rsid w:val="00570E6B"/>
    <w:rsid w:val="00571440"/>
    <w:rsid w:val="0057163B"/>
    <w:rsid w:val="00571A58"/>
    <w:rsid w:val="00571B09"/>
    <w:rsid w:val="00571B5F"/>
    <w:rsid w:val="00571EFE"/>
    <w:rsid w:val="005720DA"/>
    <w:rsid w:val="005720F2"/>
    <w:rsid w:val="00572316"/>
    <w:rsid w:val="005723C7"/>
    <w:rsid w:val="0057251C"/>
    <w:rsid w:val="005725A8"/>
    <w:rsid w:val="005725D7"/>
    <w:rsid w:val="0057283E"/>
    <w:rsid w:val="0057286A"/>
    <w:rsid w:val="00572871"/>
    <w:rsid w:val="0057296C"/>
    <w:rsid w:val="0057297A"/>
    <w:rsid w:val="00572B14"/>
    <w:rsid w:val="00572BF3"/>
    <w:rsid w:val="00572C3F"/>
    <w:rsid w:val="00572CA6"/>
    <w:rsid w:val="00572DFF"/>
    <w:rsid w:val="00572EEB"/>
    <w:rsid w:val="00572FFE"/>
    <w:rsid w:val="00573017"/>
    <w:rsid w:val="005730EC"/>
    <w:rsid w:val="005732DA"/>
    <w:rsid w:val="00573490"/>
    <w:rsid w:val="0057350C"/>
    <w:rsid w:val="0057359F"/>
    <w:rsid w:val="00573610"/>
    <w:rsid w:val="005736D6"/>
    <w:rsid w:val="00573767"/>
    <w:rsid w:val="0057395A"/>
    <w:rsid w:val="0057399C"/>
    <w:rsid w:val="00573AA7"/>
    <w:rsid w:val="00573BF1"/>
    <w:rsid w:val="00573C08"/>
    <w:rsid w:val="00573CCF"/>
    <w:rsid w:val="00573F06"/>
    <w:rsid w:val="00574026"/>
    <w:rsid w:val="0057405F"/>
    <w:rsid w:val="005740E7"/>
    <w:rsid w:val="00574136"/>
    <w:rsid w:val="0057420B"/>
    <w:rsid w:val="005743BF"/>
    <w:rsid w:val="005746A8"/>
    <w:rsid w:val="005747F6"/>
    <w:rsid w:val="00574850"/>
    <w:rsid w:val="00574A22"/>
    <w:rsid w:val="00574B82"/>
    <w:rsid w:val="00574B9B"/>
    <w:rsid w:val="00574BC8"/>
    <w:rsid w:val="00574D00"/>
    <w:rsid w:val="00574DA6"/>
    <w:rsid w:val="00574E04"/>
    <w:rsid w:val="00574E6C"/>
    <w:rsid w:val="00575069"/>
    <w:rsid w:val="005750A1"/>
    <w:rsid w:val="0057518C"/>
    <w:rsid w:val="00575199"/>
    <w:rsid w:val="005752E0"/>
    <w:rsid w:val="0057539E"/>
    <w:rsid w:val="0057544E"/>
    <w:rsid w:val="00575465"/>
    <w:rsid w:val="005754D9"/>
    <w:rsid w:val="00575566"/>
    <w:rsid w:val="0057567D"/>
    <w:rsid w:val="00575758"/>
    <w:rsid w:val="005758AB"/>
    <w:rsid w:val="0057590B"/>
    <w:rsid w:val="00575B3D"/>
    <w:rsid w:val="00575E00"/>
    <w:rsid w:val="00575F01"/>
    <w:rsid w:val="00575F1A"/>
    <w:rsid w:val="00575F53"/>
    <w:rsid w:val="00575FA2"/>
    <w:rsid w:val="00576022"/>
    <w:rsid w:val="005760A9"/>
    <w:rsid w:val="005762E5"/>
    <w:rsid w:val="005763AE"/>
    <w:rsid w:val="00576672"/>
    <w:rsid w:val="00576866"/>
    <w:rsid w:val="0057691F"/>
    <w:rsid w:val="00576A3B"/>
    <w:rsid w:val="00576A83"/>
    <w:rsid w:val="00576F27"/>
    <w:rsid w:val="00576FF6"/>
    <w:rsid w:val="00577376"/>
    <w:rsid w:val="00577414"/>
    <w:rsid w:val="00577427"/>
    <w:rsid w:val="005776E4"/>
    <w:rsid w:val="00577762"/>
    <w:rsid w:val="00577AA0"/>
    <w:rsid w:val="00577B9D"/>
    <w:rsid w:val="00577BE0"/>
    <w:rsid w:val="00577C65"/>
    <w:rsid w:val="00577CEC"/>
    <w:rsid w:val="00577DF0"/>
    <w:rsid w:val="00577DF4"/>
    <w:rsid w:val="00577E34"/>
    <w:rsid w:val="00577FEF"/>
    <w:rsid w:val="00580137"/>
    <w:rsid w:val="00580340"/>
    <w:rsid w:val="00580428"/>
    <w:rsid w:val="00580461"/>
    <w:rsid w:val="005804C2"/>
    <w:rsid w:val="005807B2"/>
    <w:rsid w:val="0058089C"/>
    <w:rsid w:val="005809D4"/>
    <w:rsid w:val="00580A38"/>
    <w:rsid w:val="00580B25"/>
    <w:rsid w:val="00580CF6"/>
    <w:rsid w:val="00580D26"/>
    <w:rsid w:val="00580D47"/>
    <w:rsid w:val="00580D72"/>
    <w:rsid w:val="00580F68"/>
    <w:rsid w:val="00580FD2"/>
    <w:rsid w:val="005810F4"/>
    <w:rsid w:val="005812D5"/>
    <w:rsid w:val="00581389"/>
    <w:rsid w:val="00581457"/>
    <w:rsid w:val="005814F9"/>
    <w:rsid w:val="005815F6"/>
    <w:rsid w:val="00581617"/>
    <w:rsid w:val="005816B5"/>
    <w:rsid w:val="00581801"/>
    <w:rsid w:val="00581809"/>
    <w:rsid w:val="005819FF"/>
    <w:rsid w:val="00581A58"/>
    <w:rsid w:val="00581A7A"/>
    <w:rsid w:val="00581B8E"/>
    <w:rsid w:val="00581CC3"/>
    <w:rsid w:val="00581DEC"/>
    <w:rsid w:val="00581F29"/>
    <w:rsid w:val="00581F5B"/>
    <w:rsid w:val="00582027"/>
    <w:rsid w:val="0058221D"/>
    <w:rsid w:val="005823C7"/>
    <w:rsid w:val="005824A6"/>
    <w:rsid w:val="0058251C"/>
    <w:rsid w:val="00582632"/>
    <w:rsid w:val="005826C6"/>
    <w:rsid w:val="00582756"/>
    <w:rsid w:val="00582871"/>
    <w:rsid w:val="005828D4"/>
    <w:rsid w:val="0058296E"/>
    <w:rsid w:val="00582A80"/>
    <w:rsid w:val="00582B0A"/>
    <w:rsid w:val="00582DD8"/>
    <w:rsid w:val="00582ED4"/>
    <w:rsid w:val="0058305A"/>
    <w:rsid w:val="005830A3"/>
    <w:rsid w:val="0058329E"/>
    <w:rsid w:val="0058344D"/>
    <w:rsid w:val="0058351E"/>
    <w:rsid w:val="005835A9"/>
    <w:rsid w:val="005837FA"/>
    <w:rsid w:val="00583965"/>
    <w:rsid w:val="005839CA"/>
    <w:rsid w:val="00583BD8"/>
    <w:rsid w:val="00583BE3"/>
    <w:rsid w:val="00583C2F"/>
    <w:rsid w:val="00583D3B"/>
    <w:rsid w:val="00583D71"/>
    <w:rsid w:val="00583D88"/>
    <w:rsid w:val="00583FA4"/>
    <w:rsid w:val="00584072"/>
    <w:rsid w:val="005840B8"/>
    <w:rsid w:val="00584221"/>
    <w:rsid w:val="00584234"/>
    <w:rsid w:val="00584365"/>
    <w:rsid w:val="005847D2"/>
    <w:rsid w:val="0058480D"/>
    <w:rsid w:val="005848DB"/>
    <w:rsid w:val="005848E2"/>
    <w:rsid w:val="00584A43"/>
    <w:rsid w:val="00584C49"/>
    <w:rsid w:val="00584E78"/>
    <w:rsid w:val="00584F12"/>
    <w:rsid w:val="005852E9"/>
    <w:rsid w:val="00585601"/>
    <w:rsid w:val="00585622"/>
    <w:rsid w:val="005856E7"/>
    <w:rsid w:val="005857B2"/>
    <w:rsid w:val="0058591D"/>
    <w:rsid w:val="00585988"/>
    <w:rsid w:val="005859FC"/>
    <w:rsid w:val="00585AA1"/>
    <w:rsid w:val="00585C0E"/>
    <w:rsid w:val="00585D0E"/>
    <w:rsid w:val="00585DF8"/>
    <w:rsid w:val="005860B1"/>
    <w:rsid w:val="00586150"/>
    <w:rsid w:val="0058617E"/>
    <w:rsid w:val="005863AE"/>
    <w:rsid w:val="00586751"/>
    <w:rsid w:val="005868A1"/>
    <w:rsid w:val="00586BAB"/>
    <w:rsid w:val="00586BBF"/>
    <w:rsid w:val="0058700C"/>
    <w:rsid w:val="00587246"/>
    <w:rsid w:val="0058736D"/>
    <w:rsid w:val="005873DE"/>
    <w:rsid w:val="005873FB"/>
    <w:rsid w:val="00587429"/>
    <w:rsid w:val="00587563"/>
    <w:rsid w:val="005876E2"/>
    <w:rsid w:val="005878B8"/>
    <w:rsid w:val="00587A7C"/>
    <w:rsid w:val="00587B4F"/>
    <w:rsid w:val="00587BD1"/>
    <w:rsid w:val="00587C3B"/>
    <w:rsid w:val="00587CF4"/>
    <w:rsid w:val="00587F9A"/>
    <w:rsid w:val="005901B6"/>
    <w:rsid w:val="00590282"/>
    <w:rsid w:val="005902FA"/>
    <w:rsid w:val="00590306"/>
    <w:rsid w:val="00590343"/>
    <w:rsid w:val="0059039C"/>
    <w:rsid w:val="005903F2"/>
    <w:rsid w:val="0059045B"/>
    <w:rsid w:val="00590541"/>
    <w:rsid w:val="00590778"/>
    <w:rsid w:val="00590800"/>
    <w:rsid w:val="0059084F"/>
    <w:rsid w:val="0059087E"/>
    <w:rsid w:val="00590892"/>
    <w:rsid w:val="00590927"/>
    <w:rsid w:val="0059092B"/>
    <w:rsid w:val="00590A31"/>
    <w:rsid w:val="00590AE2"/>
    <w:rsid w:val="00590B3F"/>
    <w:rsid w:val="00590E28"/>
    <w:rsid w:val="00590ECE"/>
    <w:rsid w:val="00590FAB"/>
    <w:rsid w:val="005911A1"/>
    <w:rsid w:val="005911D0"/>
    <w:rsid w:val="0059133A"/>
    <w:rsid w:val="00591483"/>
    <w:rsid w:val="005917B1"/>
    <w:rsid w:val="0059186C"/>
    <w:rsid w:val="00591A2C"/>
    <w:rsid w:val="00591CF4"/>
    <w:rsid w:val="00591D17"/>
    <w:rsid w:val="00591E29"/>
    <w:rsid w:val="00591F19"/>
    <w:rsid w:val="00591F82"/>
    <w:rsid w:val="0059200B"/>
    <w:rsid w:val="005920BE"/>
    <w:rsid w:val="005921BE"/>
    <w:rsid w:val="005922B2"/>
    <w:rsid w:val="005922D0"/>
    <w:rsid w:val="005922E4"/>
    <w:rsid w:val="00592539"/>
    <w:rsid w:val="00592647"/>
    <w:rsid w:val="005927F6"/>
    <w:rsid w:val="005928DB"/>
    <w:rsid w:val="00592C49"/>
    <w:rsid w:val="00592CAB"/>
    <w:rsid w:val="00592DD0"/>
    <w:rsid w:val="00592E22"/>
    <w:rsid w:val="00592FF8"/>
    <w:rsid w:val="005931E8"/>
    <w:rsid w:val="005935E6"/>
    <w:rsid w:val="005939C5"/>
    <w:rsid w:val="00593A3A"/>
    <w:rsid w:val="00593A9D"/>
    <w:rsid w:val="00593BC4"/>
    <w:rsid w:val="00593C31"/>
    <w:rsid w:val="00593D3E"/>
    <w:rsid w:val="00593EF4"/>
    <w:rsid w:val="00593FE5"/>
    <w:rsid w:val="0059415E"/>
    <w:rsid w:val="0059428B"/>
    <w:rsid w:val="0059432A"/>
    <w:rsid w:val="00594396"/>
    <w:rsid w:val="005943F8"/>
    <w:rsid w:val="0059445F"/>
    <w:rsid w:val="00594509"/>
    <w:rsid w:val="0059462D"/>
    <w:rsid w:val="00594650"/>
    <w:rsid w:val="00594958"/>
    <w:rsid w:val="00594AA0"/>
    <w:rsid w:val="00594D3A"/>
    <w:rsid w:val="00594DEB"/>
    <w:rsid w:val="00594DF3"/>
    <w:rsid w:val="00594DF9"/>
    <w:rsid w:val="00594EC4"/>
    <w:rsid w:val="00594ED0"/>
    <w:rsid w:val="00594F74"/>
    <w:rsid w:val="005950A9"/>
    <w:rsid w:val="00595216"/>
    <w:rsid w:val="00595642"/>
    <w:rsid w:val="00595847"/>
    <w:rsid w:val="00595901"/>
    <w:rsid w:val="00595AAC"/>
    <w:rsid w:val="00595B77"/>
    <w:rsid w:val="00595B86"/>
    <w:rsid w:val="00595CB4"/>
    <w:rsid w:val="00595CFD"/>
    <w:rsid w:val="00595EDE"/>
    <w:rsid w:val="00595F6E"/>
    <w:rsid w:val="005960CA"/>
    <w:rsid w:val="00596149"/>
    <w:rsid w:val="0059627E"/>
    <w:rsid w:val="00596493"/>
    <w:rsid w:val="0059670A"/>
    <w:rsid w:val="00596746"/>
    <w:rsid w:val="005967A2"/>
    <w:rsid w:val="00596A96"/>
    <w:rsid w:val="00596B47"/>
    <w:rsid w:val="00596CC2"/>
    <w:rsid w:val="00596CCE"/>
    <w:rsid w:val="00596D1C"/>
    <w:rsid w:val="00596E49"/>
    <w:rsid w:val="00597068"/>
    <w:rsid w:val="0059728F"/>
    <w:rsid w:val="005972EE"/>
    <w:rsid w:val="00597599"/>
    <w:rsid w:val="00597652"/>
    <w:rsid w:val="005976EE"/>
    <w:rsid w:val="00597858"/>
    <w:rsid w:val="005978D7"/>
    <w:rsid w:val="00597B6A"/>
    <w:rsid w:val="00597CA6"/>
    <w:rsid w:val="00597D0E"/>
    <w:rsid w:val="00597EE8"/>
    <w:rsid w:val="005A002B"/>
    <w:rsid w:val="005A0079"/>
    <w:rsid w:val="005A00C8"/>
    <w:rsid w:val="005A01B1"/>
    <w:rsid w:val="005A0367"/>
    <w:rsid w:val="005A05B6"/>
    <w:rsid w:val="005A096F"/>
    <w:rsid w:val="005A0AE7"/>
    <w:rsid w:val="005A0C00"/>
    <w:rsid w:val="005A0CAB"/>
    <w:rsid w:val="005A0D61"/>
    <w:rsid w:val="005A1142"/>
    <w:rsid w:val="005A147E"/>
    <w:rsid w:val="005A15D6"/>
    <w:rsid w:val="005A15E1"/>
    <w:rsid w:val="005A17CD"/>
    <w:rsid w:val="005A1C7D"/>
    <w:rsid w:val="005A1D8F"/>
    <w:rsid w:val="005A1F85"/>
    <w:rsid w:val="005A200F"/>
    <w:rsid w:val="005A20E1"/>
    <w:rsid w:val="005A2132"/>
    <w:rsid w:val="005A224D"/>
    <w:rsid w:val="005A2256"/>
    <w:rsid w:val="005A2263"/>
    <w:rsid w:val="005A2274"/>
    <w:rsid w:val="005A22CE"/>
    <w:rsid w:val="005A2465"/>
    <w:rsid w:val="005A2482"/>
    <w:rsid w:val="005A24C4"/>
    <w:rsid w:val="005A2521"/>
    <w:rsid w:val="005A29A3"/>
    <w:rsid w:val="005A2DB4"/>
    <w:rsid w:val="005A2E23"/>
    <w:rsid w:val="005A2ECB"/>
    <w:rsid w:val="005A2EF1"/>
    <w:rsid w:val="005A2F22"/>
    <w:rsid w:val="005A2FC1"/>
    <w:rsid w:val="005A31DE"/>
    <w:rsid w:val="005A330E"/>
    <w:rsid w:val="005A337F"/>
    <w:rsid w:val="005A348A"/>
    <w:rsid w:val="005A34DD"/>
    <w:rsid w:val="005A375C"/>
    <w:rsid w:val="005A379C"/>
    <w:rsid w:val="005A3865"/>
    <w:rsid w:val="005A3A75"/>
    <w:rsid w:val="005A3AA3"/>
    <w:rsid w:val="005A3BEE"/>
    <w:rsid w:val="005A3C09"/>
    <w:rsid w:val="005A3CD2"/>
    <w:rsid w:val="005A3D5C"/>
    <w:rsid w:val="005A3E82"/>
    <w:rsid w:val="005A409C"/>
    <w:rsid w:val="005A40A1"/>
    <w:rsid w:val="005A40D1"/>
    <w:rsid w:val="005A4130"/>
    <w:rsid w:val="005A4285"/>
    <w:rsid w:val="005A4338"/>
    <w:rsid w:val="005A4466"/>
    <w:rsid w:val="005A451F"/>
    <w:rsid w:val="005A45C3"/>
    <w:rsid w:val="005A4717"/>
    <w:rsid w:val="005A49D0"/>
    <w:rsid w:val="005A4AA1"/>
    <w:rsid w:val="005A4CB0"/>
    <w:rsid w:val="005A5029"/>
    <w:rsid w:val="005A513B"/>
    <w:rsid w:val="005A518F"/>
    <w:rsid w:val="005A523C"/>
    <w:rsid w:val="005A5383"/>
    <w:rsid w:val="005A5483"/>
    <w:rsid w:val="005A55F1"/>
    <w:rsid w:val="005A561D"/>
    <w:rsid w:val="005A57D3"/>
    <w:rsid w:val="005A5850"/>
    <w:rsid w:val="005A59D2"/>
    <w:rsid w:val="005A5B64"/>
    <w:rsid w:val="005A5CED"/>
    <w:rsid w:val="005A60EB"/>
    <w:rsid w:val="005A61A4"/>
    <w:rsid w:val="005A6238"/>
    <w:rsid w:val="005A626B"/>
    <w:rsid w:val="005A62A9"/>
    <w:rsid w:val="005A6310"/>
    <w:rsid w:val="005A6353"/>
    <w:rsid w:val="005A642B"/>
    <w:rsid w:val="005A6602"/>
    <w:rsid w:val="005A66A6"/>
    <w:rsid w:val="005A66C7"/>
    <w:rsid w:val="005A676E"/>
    <w:rsid w:val="005A688D"/>
    <w:rsid w:val="005A68C8"/>
    <w:rsid w:val="005A6914"/>
    <w:rsid w:val="005A69C3"/>
    <w:rsid w:val="005A6A46"/>
    <w:rsid w:val="005A6A73"/>
    <w:rsid w:val="005A6C17"/>
    <w:rsid w:val="005A6CB7"/>
    <w:rsid w:val="005A6D40"/>
    <w:rsid w:val="005A6E56"/>
    <w:rsid w:val="005A6FD0"/>
    <w:rsid w:val="005A71A2"/>
    <w:rsid w:val="005A72B3"/>
    <w:rsid w:val="005A73B6"/>
    <w:rsid w:val="005A73CF"/>
    <w:rsid w:val="005A7686"/>
    <w:rsid w:val="005A7689"/>
    <w:rsid w:val="005A769F"/>
    <w:rsid w:val="005A7AE4"/>
    <w:rsid w:val="005A7B4F"/>
    <w:rsid w:val="005A7BFF"/>
    <w:rsid w:val="005A7C34"/>
    <w:rsid w:val="005A7D23"/>
    <w:rsid w:val="005A7DBB"/>
    <w:rsid w:val="005A7EEB"/>
    <w:rsid w:val="005A7FAA"/>
    <w:rsid w:val="005B0344"/>
    <w:rsid w:val="005B0B52"/>
    <w:rsid w:val="005B0D26"/>
    <w:rsid w:val="005B0D66"/>
    <w:rsid w:val="005B0E5B"/>
    <w:rsid w:val="005B10B8"/>
    <w:rsid w:val="005B130C"/>
    <w:rsid w:val="005B141E"/>
    <w:rsid w:val="005B15C6"/>
    <w:rsid w:val="005B1632"/>
    <w:rsid w:val="005B16A5"/>
    <w:rsid w:val="005B1814"/>
    <w:rsid w:val="005B1BF4"/>
    <w:rsid w:val="005B1CA3"/>
    <w:rsid w:val="005B1F36"/>
    <w:rsid w:val="005B212F"/>
    <w:rsid w:val="005B219F"/>
    <w:rsid w:val="005B22F4"/>
    <w:rsid w:val="005B25B4"/>
    <w:rsid w:val="005B26DE"/>
    <w:rsid w:val="005B2756"/>
    <w:rsid w:val="005B2766"/>
    <w:rsid w:val="005B29B8"/>
    <w:rsid w:val="005B2B44"/>
    <w:rsid w:val="005B2B7D"/>
    <w:rsid w:val="005B2F1E"/>
    <w:rsid w:val="005B32E7"/>
    <w:rsid w:val="005B35A3"/>
    <w:rsid w:val="005B37D4"/>
    <w:rsid w:val="005B37EA"/>
    <w:rsid w:val="005B386E"/>
    <w:rsid w:val="005B38BE"/>
    <w:rsid w:val="005B3972"/>
    <w:rsid w:val="005B3C5A"/>
    <w:rsid w:val="005B3D39"/>
    <w:rsid w:val="005B3E7F"/>
    <w:rsid w:val="005B3E89"/>
    <w:rsid w:val="005B3F41"/>
    <w:rsid w:val="005B3F4C"/>
    <w:rsid w:val="005B4081"/>
    <w:rsid w:val="005B4235"/>
    <w:rsid w:val="005B43C1"/>
    <w:rsid w:val="005B43EC"/>
    <w:rsid w:val="005B4BF7"/>
    <w:rsid w:val="005B4C1B"/>
    <w:rsid w:val="005B4C58"/>
    <w:rsid w:val="005B4DA9"/>
    <w:rsid w:val="005B4EE0"/>
    <w:rsid w:val="005B4F0A"/>
    <w:rsid w:val="005B50E4"/>
    <w:rsid w:val="005B50EB"/>
    <w:rsid w:val="005B5114"/>
    <w:rsid w:val="005B5406"/>
    <w:rsid w:val="005B5477"/>
    <w:rsid w:val="005B5492"/>
    <w:rsid w:val="005B54BD"/>
    <w:rsid w:val="005B57F7"/>
    <w:rsid w:val="005B5805"/>
    <w:rsid w:val="005B5AC0"/>
    <w:rsid w:val="005B5B26"/>
    <w:rsid w:val="005B5B42"/>
    <w:rsid w:val="005B5BC5"/>
    <w:rsid w:val="005B5BDB"/>
    <w:rsid w:val="005B5D78"/>
    <w:rsid w:val="005B5DA0"/>
    <w:rsid w:val="005B6007"/>
    <w:rsid w:val="005B613E"/>
    <w:rsid w:val="005B6214"/>
    <w:rsid w:val="005B6432"/>
    <w:rsid w:val="005B645E"/>
    <w:rsid w:val="005B64BD"/>
    <w:rsid w:val="005B6A34"/>
    <w:rsid w:val="005B6B2A"/>
    <w:rsid w:val="005B6BAE"/>
    <w:rsid w:val="005B6C87"/>
    <w:rsid w:val="005B6CB3"/>
    <w:rsid w:val="005B6CED"/>
    <w:rsid w:val="005B6E84"/>
    <w:rsid w:val="005B71A8"/>
    <w:rsid w:val="005B734F"/>
    <w:rsid w:val="005B75F0"/>
    <w:rsid w:val="005B76C2"/>
    <w:rsid w:val="005B7740"/>
    <w:rsid w:val="005B7A4A"/>
    <w:rsid w:val="005B7E26"/>
    <w:rsid w:val="005B7E4F"/>
    <w:rsid w:val="005C00A9"/>
    <w:rsid w:val="005C04B6"/>
    <w:rsid w:val="005C06DD"/>
    <w:rsid w:val="005C0734"/>
    <w:rsid w:val="005C07DB"/>
    <w:rsid w:val="005C0803"/>
    <w:rsid w:val="005C08CD"/>
    <w:rsid w:val="005C0921"/>
    <w:rsid w:val="005C09BF"/>
    <w:rsid w:val="005C0C16"/>
    <w:rsid w:val="005C0D36"/>
    <w:rsid w:val="005C0DAB"/>
    <w:rsid w:val="005C0EF4"/>
    <w:rsid w:val="005C0F1D"/>
    <w:rsid w:val="005C0FF5"/>
    <w:rsid w:val="005C10AE"/>
    <w:rsid w:val="005C1205"/>
    <w:rsid w:val="005C12E2"/>
    <w:rsid w:val="005C12F8"/>
    <w:rsid w:val="005C136F"/>
    <w:rsid w:val="005C13AA"/>
    <w:rsid w:val="005C146E"/>
    <w:rsid w:val="005C151F"/>
    <w:rsid w:val="005C169C"/>
    <w:rsid w:val="005C17BD"/>
    <w:rsid w:val="005C188E"/>
    <w:rsid w:val="005C189D"/>
    <w:rsid w:val="005C1A23"/>
    <w:rsid w:val="005C1A54"/>
    <w:rsid w:val="005C1AD1"/>
    <w:rsid w:val="005C1B70"/>
    <w:rsid w:val="005C1B96"/>
    <w:rsid w:val="005C21FD"/>
    <w:rsid w:val="005C23E6"/>
    <w:rsid w:val="005C25EE"/>
    <w:rsid w:val="005C2745"/>
    <w:rsid w:val="005C2807"/>
    <w:rsid w:val="005C29EA"/>
    <w:rsid w:val="005C2BD1"/>
    <w:rsid w:val="005C2C09"/>
    <w:rsid w:val="005C2E9F"/>
    <w:rsid w:val="005C3144"/>
    <w:rsid w:val="005C33AD"/>
    <w:rsid w:val="005C34D7"/>
    <w:rsid w:val="005C3756"/>
    <w:rsid w:val="005C3799"/>
    <w:rsid w:val="005C37E3"/>
    <w:rsid w:val="005C3960"/>
    <w:rsid w:val="005C3B9D"/>
    <w:rsid w:val="005C3C11"/>
    <w:rsid w:val="005C3C26"/>
    <w:rsid w:val="005C3E53"/>
    <w:rsid w:val="005C434D"/>
    <w:rsid w:val="005C43E0"/>
    <w:rsid w:val="005C44CC"/>
    <w:rsid w:val="005C4616"/>
    <w:rsid w:val="005C46A4"/>
    <w:rsid w:val="005C498B"/>
    <w:rsid w:val="005C4C26"/>
    <w:rsid w:val="005C4D7D"/>
    <w:rsid w:val="005C4FB2"/>
    <w:rsid w:val="005C513E"/>
    <w:rsid w:val="005C5249"/>
    <w:rsid w:val="005C52F9"/>
    <w:rsid w:val="005C534B"/>
    <w:rsid w:val="005C53D6"/>
    <w:rsid w:val="005C5433"/>
    <w:rsid w:val="005C54FD"/>
    <w:rsid w:val="005C5553"/>
    <w:rsid w:val="005C562B"/>
    <w:rsid w:val="005C5661"/>
    <w:rsid w:val="005C57E8"/>
    <w:rsid w:val="005C5974"/>
    <w:rsid w:val="005C5ADE"/>
    <w:rsid w:val="005C5C1B"/>
    <w:rsid w:val="005C5E42"/>
    <w:rsid w:val="005C5EEC"/>
    <w:rsid w:val="005C6003"/>
    <w:rsid w:val="005C6020"/>
    <w:rsid w:val="005C61DE"/>
    <w:rsid w:val="005C63BB"/>
    <w:rsid w:val="005C640A"/>
    <w:rsid w:val="005C653D"/>
    <w:rsid w:val="005C6647"/>
    <w:rsid w:val="005C6651"/>
    <w:rsid w:val="005C668B"/>
    <w:rsid w:val="005C66B9"/>
    <w:rsid w:val="005C6768"/>
    <w:rsid w:val="005C67B7"/>
    <w:rsid w:val="005C6848"/>
    <w:rsid w:val="005C68FA"/>
    <w:rsid w:val="005C6B3C"/>
    <w:rsid w:val="005C6C60"/>
    <w:rsid w:val="005C6DC7"/>
    <w:rsid w:val="005C6DE4"/>
    <w:rsid w:val="005C6FD7"/>
    <w:rsid w:val="005C723B"/>
    <w:rsid w:val="005C72DC"/>
    <w:rsid w:val="005C736A"/>
    <w:rsid w:val="005C7447"/>
    <w:rsid w:val="005C75B2"/>
    <w:rsid w:val="005C75C7"/>
    <w:rsid w:val="005C76B4"/>
    <w:rsid w:val="005C773E"/>
    <w:rsid w:val="005C7762"/>
    <w:rsid w:val="005C77F2"/>
    <w:rsid w:val="005C7A13"/>
    <w:rsid w:val="005C7AD2"/>
    <w:rsid w:val="005C7C3D"/>
    <w:rsid w:val="005C7DEF"/>
    <w:rsid w:val="005D011E"/>
    <w:rsid w:val="005D0282"/>
    <w:rsid w:val="005D033B"/>
    <w:rsid w:val="005D059D"/>
    <w:rsid w:val="005D082F"/>
    <w:rsid w:val="005D0844"/>
    <w:rsid w:val="005D0983"/>
    <w:rsid w:val="005D0B34"/>
    <w:rsid w:val="005D0BE2"/>
    <w:rsid w:val="005D0CEE"/>
    <w:rsid w:val="005D0D39"/>
    <w:rsid w:val="005D0F91"/>
    <w:rsid w:val="005D14E2"/>
    <w:rsid w:val="005D1566"/>
    <w:rsid w:val="005D169F"/>
    <w:rsid w:val="005D1A15"/>
    <w:rsid w:val="005D1BBD"/>
    <w:rsid w:val="005D1BFB"/>
    <w:rsid w:val="005D220A"/>
    <w:rsid w:val="005D221E"/>
    <w:rsid w:val="005D2540"/>
    <w:rsid w:val="005D2554"/>
    <w:rsid w:val="005D27A8"/>
    <w:rsid w:val="005D28F1"/>
    <w:rsid w:val="005D298D"/>
    <w:rsid w:val="005D29BC"/>
    <w:rsid w:val="005D2A6A"/>
    <w:rsid w:val="005D2AB0"/>
    <w:rsid w:val="005D2DDC"/>
    <w:rsid w:val="005D2F7C"/>
    <w:rsid w:val="005D3256"/>
    <w:rsid w:val="005D3334"/>
    <w:rsid w:val="005D34BC"/>
    <w:rsid w:val="005D36C0"/>
    <w:rsid w:val="005D3734"/>
    <w:rsid w:val="005D3892"/>
    <w:rsid w:val="005D3958"/>
    <w:rsid w:val="005D3C92"/>
    <w:rsid w:val="005D3CA1"/>
    <w:rsid w:val="005D3CAB"/>
    <w:rsid w:val="005D3E67"/>
    <w:rsid w:val="005D3FC6"/>
    <w:rsid w:val="005D43BD"/>
    <w:rsid w:val="005D44A0"/>
    <w:rsid w:val="005D44C4"/>
    <w:rsid w:val="005D4518"/>
    <w:rsid w:val="005D45DF"/>
    <w:rsid w:val="005D47D2"/>
    <w:rsid w:val="005D48DB"/>
    <w:rsid w:val="005D48EF"/>
    <w:rsid w:val="005D496C"/>
    <w:rsid w:val="005D4A71"/>
    <w:rsid w:val="005D4B80"/>
    <w:rsid w:val="005D4C14"/>
    <w:rsid w:val="005D4ED3"/>
    <w:rsid w:val="005D5191"/>
    <w:rsid w:val="005D5309"/>
    <w:rsid w:val="005D557D"/>
    <w:rsid w:val="005D56D3"/>
    <w:rsid w:val="005D5793"/>
    <w:rsid w:val="005D57D6"/>
    <w:rsid w:val="005D58C7"/>
    <w:rsid w:val="005D5D34"/>
    <w:rsid w:val="005D5DEE"/>
    <w:rsid w:val="005D5EB6"/>
    <w:rsid w:val="005D5F12"/>
    <w:rsid w:val="005D5F70"/>
    <w:rsid w:val="005D60FE"/>
    <w:rsid w:val="005D6278"/>
    <w:rsid w:val="005D63D7"/>
    <w:rsid w:val="005D64A7"/>
    <w:rsid w:val="005D65FA"/>
    <w:rsid w:val="005D6668"/>
    <w:rsid w:val="005D66A6"/>
    <w:rsid w:val="005D6853"/>
    <w:rsid w:val="005D6AA6"/>
    <w:rsid w:val="005D6AF7"/>
    <w:rsid w:val="005D6CCE"/>
    <w:rsid w:val="005D6F43"/>
    <w:rsid w:val="005D6FAE"/>
    <w:rsid w:val="005D6FB8"/>
    <w:rsid w:val="005D7052"/>
    <w:rsid w:val="005D711F"/>
    <w:rsid w:val="005D71C0"/>
    <w:rsid w:val="005D71E5"/>
    <w:rsid w:val="005D71F4"/>
    <w:rsid w:val="005D7260"/>
    <w:rsid w:val="005D738C"/>
    <w:rsid w:val="005D73F3"/>
    <w:rsid w:val="005D7460"/>
    <w:rsid w:val="005D74D9"/>
    <w:rsid w:val="005D7742"/>
    <w:rsid w:val="005D7908"/>
    <w:rsid w:val="005D7D0C"/>
    <w:rsid w:val="005D7D3B"/>
    <w:rsid w:val="005D7D91"/>
    <w:rsid w:val="005D7ED1"/>
    <w:rsid w:val="005D7ED5"/>
    <w:rsid w:val="005E00C7"/>
    <w:rsid w:val="005E02E3"/>
    <w:rsid w:val="005E043E"/>
    <w:rsid w:val="005E05A1"/>
    <w:rsid w:val="005E05B7"/>
    <w:rsid w:val="005E0827"/>
    <w:rsid w:val="005E0828"/>
    <w:rsid w:val="005E08D4"/>
    <w:rsid w:val="005E0978"/>
    <w:rsid w:val="005E0ADC"/>
    <w:rsid w:val="005E0B06"/>
    <w:rsid w:val="005E0B78"/>
    <w:rsid w:val="005E0BB3"/>
    <w:rsid w:val="005E0CBC"/>
    <w:rsid w:val="005E0F57"/>
    <w:rsid w:val="005E0FA0"/>
    <w:rsid w:val="005E0FC5"/>
    <w:rsid w:val="005E1067"/>
    <w:rsid w:val="005E1231"/>
    <w:rsid w:val="005E142A"/>
    <w:rsid w:val="005E1542"/>
    <w:rsid w:val="005E158E"/>
    <w:rsid w:val="005E15BC"/>
    <w:rsid w:val="005E178D"/>
    <w:rsid w:val="005E193C"/>
    <w:rsid w:val="005E198E"/>
    <w:rsid w:val="005E19A2"/>
    <w:rsid w:val="005E1A10"/>
    <w:rsid w:val="005E1A30"/>
    <w:rsid w:val="005E1BA3"/>
    <w:rsid w:val="005E1BC6"/>
    <w:rsid w:val="005E1F00"/>
    <w:rsid w:val="005E2011"/>
    <w:rsid w:val="005E2147"/>
    <w:rsid w:val="005E2211"/>
    <w:rsid w:val="005E2365"/>
    <w:rsid w:val="005E24D1"/>
    <w:rsid w:val="005E2636"/>
    <w:rsid w:val="005E27B6"/>
    <w:rsid w:val="005E2872"/>
    <w:rsid w:val="005E2951"/>
    <w:rsid w:val="005E29AB"/>
    <w:rsid w:val="005E2B71"/>
    <w:rsid w:val="005E2B95"/>
    <w:rsid w:val="005E2CA4"/>
    <w:rsid w:val="005E2CF1"/>
    <w:rsid w:val="005E2D4A"/>
    <w:rsid w:val="005E2D5B"/>
    <w:rsid w:val="005E2D8F"/>
    <w:rsid w:val="005E2FC6"/>
    <w:rsid w:val="005E306E"/>
    <w:rsid w:val="005E311C"/>
    <w:rsid w:val="005E3175"/>
    <w:rsid w:val="005E3180"/>
    <w:rsid w:val="005E3190"/>
    <w:rsid w:val="005E31DA"/>
    <w:rsid w:val="005E31EB"/>
    <w:rsid w:val="005E3302"/>
    <w:rsid w:val="005E33EF"/>
    <w:rsid w:val="005E3432"/>
    <w:rsid w:val="005E35C1"/>
    <w:rsid w:val="005E35CD"/>
    <w:rsid w:val="005E39B9"/>
    <w:rsid w:val="005E3CCF"/>
    <w:rsid w:val="005E3E80"/>
    <w:rsid w:val="005E411D"/>
    <w:rsid w:val="005E417D"/>
    <w:rsid w:val="005E4275"/>
    <w:rsid w:val="005E45F6"/>
    <w:rsid w:val="005E461A"/>
    <w:rsid w:val="005E47DE"/>
    <w:rsid w:val="005E47F4"/>
    <w:rsid w:val="005E4844"/>
    <w:rsid w:val="005E4D0D"/>
    <w:rsid w:val="005E4E36"/>
    <w:rsid w:val="005E4E74"/>
    <w:rsid w:val="005E4F45"/>
    <w:rsid w:val="005E5147"/>
    <w:rsid w:val="005E52E6"/>
    <w:rsid w:val="005E5469"/>
    <w:rsid w:val="005E55EB"/>
    <w:rsid w:val="005E561D"/>
    <w:rsid w:val="005E5D01"/>
    <w:rsid w:val="005E5DF0"/>
    <w:rsid w:val="005E6196"/>
    <w:rsid w:val="005E62F3"/>
    <w:rsid w:val="005E6362"/>
    <w:rsid w:val="005E63A2"/>
    <w:rsid w:val="005E63E3"/>
    <w:rsid w:val="005E645E"/>
    <w:rsid w:val="005E655C"/>
    <w:rsid w:val="005E6680"/>
    <w:rsid w:val="005E6684"/>
    <w:rsid w:val="005E6759"/>
    <w:rsid w:val="005E67B5"/>
    <w:rsid w:val="005E6A15"/>
    <w:rsid w:val="005E6C87"/>
    <w:rsid w:val="005E6C95"/>
    <w:rsid w:val="005E6D0B"/>
    <w:rsid w:val="005E6DFB"/>
    <w:rsid w:val="005E6FEC"/>
    <w:rsid w:val="005E7028"/>
    <w:rsid w:val="005E7051"/>
    <w:rsid w:val="005E7385"/>
    <w:rsid w:val="005E7AA6"/>
    <w:rsid w:val="005E7C91"/>
    <w:rsid w:val="005E7DBC"/>
    <w:rsid w:val="005F0013"/>
    <w:rsid w:val="005F0073"/>
    <w:rsid w:val="005F023F"/>
    <w:rsid w:val="005F0543"/>
    <w:rsid w:val="005F0552"/>
    <w:rsid w:val="005F0858"/>
    <w:rsid w:val="005F09A4"/>
    <w:rsid w:val="005F0A18"/>
    <w:rsid w:val="005F0A47"/>
    <w:rsid w:val="005F0A4A"/>
    <w:rsid w:val="005F0AED"/>
    <w:rsid w:val="005F0BFC"/>
    <w:rsid w:val="005F0C2C"/>
    <w:rsid w:val="005F0D10"/>
    <w:rsid w:val="005F0E45"/>
    <w:rsid w:val="005F0F3F"/>
    <w:rsid w:val="005F0F46"/>
    <w:rsid w:val="005F1660"/>
    <w:rsid w:val="005F1903"/>
    <w:rsid w:val="005F1915"/>
    <w:rsid w:val="005F1A23"/>
    <w:rsid w:val="005F1A4D"/>
    <w:rsid w:val="005F1A57"/>
    <w:rsid w:val="005F1B90"/>
    <w:rsid w:val="005F1BE7"/>
    <w:rsid w:val="005F1FA3"/>
    <w:rsid w:val="005F212B"/>
    <w:rsid w:val="005F2159"/>
    <w:rsid w:val="005F2231"/>
    <w:rsid w:val="005F2327"/>
    <w:rsid w:val="005F24EA"/>
    <w:rsid w:val="005F2592"/>
    <w:rsid w:val="005F26CA"/>
    <w:rsid w:val="005F2709"/>
    <w:rsid w:val="005F27D2"/>
    <w:rsid w:val="005F27D9"/>
    <w:rsid w:val="005F2879"/>
    <w:rsid w:val="005F2B9E"/>
    <w:rsid w:val="005F2C75"/>
    <w:rsid w:val="005F2CD8"/>
    <w:rsid w:val="005F2E3D"/>
    <w:rsid w:val="005F2F94"/>
    <w:rsid w:val="005F2FAD"/>
    <w:rsid w:val="005F3095"/>
    <w:rsid w:val="005F30C0"/>
    <w:rsid w:val="005F30C3"/>
    <w:rsid w:val="005F30E4"/>
    <w:rsid w:val="005F32E3"/>
    <w:rsid w:val="005F3386"/>
    <w:rsid w:val="005F33A3"/>
    <w:rsid w:val="005F33C6"/>
    <w:rsid w:val="005F3415"/>
    <w:rsid w:val="005F34BA"/>
    <w:rsid w:val="005F3531"/>
    <w:rsid w:val="005F3547"/>
    <w:rsid w:val="005F3803"/>
    <w:rsid w:val="005F38A3"/>
    <w:rsid w:val="005F3A56"/>
    <w:rsid w:val="005F3C1E"/>
    <w:rsid w:val="005F3CA3"/>
    <w:rsid w:val="005F3CA8"/>
    <w:rsid w:val="005F3F4A"/>
    <w:rsid w:val="005F4113"/>
    <w:rsid w:val="005F41A2"/>
    <w:rsid w:val="005F4279"/>
    <w:rsid w:val="005F4286"/>
    <w:rsid w:val="005F436E"/>
    <w:rsid w:val="005F43B5"/>
    <w:rsid w:val="005F4484"/>
    <w:rsid w:val="005F44A3"/>
    <w:rsid w:val="005F44C7"/>
    <w:rsid w:val="005F4707"/>
    <w:rsid w:val="005F4784"/>
    <w:rsid w:val="005F4828"/>
    <w:rsid w:val="005F4AB7"/>
    <w:rsid w:val="005F4B51"/>
    <w:rsid w:val="005F4BCC"/>
    <w:rsid w:val="005F4E5F"/>
    <w:rsid w:val="005F4F8D"/>
    <w:rsid w:val="005F506B"/>
    <w:rsid w:val="005F52CF"/>
    <w:rsid w:val="005F5CF1"/>
    <w:rsid w:val="005F5EA7"/>
    <w:rsid w:val="005F5FEF"/>
    <w:rsid w:val="005F5FFA"/>
    <w:rsid w:val="005F6022"/>
    <w:rsid w:val="005F6261"/>
    <w:rsid w:val="005F638A"/>
    <w:rsid w:val="005F64BE"/>
    <w:rsid w:val="005F64CB"/>
    <w:rsid w:val="005F65AF"/>
    <w:rsid w:val="005F66F9"/>
    <w:rsid w:val="005F6A36"/>
    <w:rsid w:val="005F6C11"/>
    <w:rsid w:val="005F6C5F"/>
    <w:rsid w:val="005F6E98"/>
    <w:rsid w:val="005F7251"/>
    <w:rsid w:val="005F7477"/>
    <w:rsid w:val="005F785F"/>
    <w:rsid w:val="005F78DD"/>
    <w:rsid w:val="005F79E9"/>
    <w:rsid w:val="005F7A5E"/>
    <w:rsid w:val="005F7A72"/>
    <w:rsid w:val="005F7B1A"/>
    <w:rsid w:val="005F7C03"/>
    <w:rsid w:val="006000F8"/>
    <w:rsid w:val="0060014B"/>
    <w:rsid w:val="0060015F"/>
    <w:rsid w:val="00600448"/>
    <w:rsid w:val="006005DA"/>
    <w:rsid w:val="00600620"/>
    <w:rsid w:val="006006DB"/>
    <w:rsid w:val="0060076E"/>
    <w:rsid w:val="0060078C"/>
    <w:rsid w:val="006008AE"/>
    <w:rsid w:val="00600A56"/>
    <w:rsid w:val="00600CC8"/>
    <w:rsid w:val="00600ED0"/>
    <w:rsid w:val="00600FCA"/>
    <w:rsid w:val="00601074"/>
    <w:rsid w:val="0060114E"/>
    <w:rsid w:val="00601159"/>
    <w:rsid w:val="0060137F"/>
    <w:rsid w:val="006014DB"/>
    <w:rsid w:val="00601504"/>
    <w:rsid w:val="00601558"/>
    <w:rsid w:val="006016A3"/>
    <w:rsid w:val="00601905"/>
    <w:rsid w:val="00601B25"/>
    <w:rsid w:val="00601B61"/>
    <w:rsid w:val="00601CF2"/>
    <w:rsid w:val="00601E8C"/>
    <w:rsid w:val="00601EF7"/>
    <w:rsid w:val="00602216"/>
    <w:rsid w:val="006022CD"/>
    <w:rsid w:val="006023EB"/>
    <w:rsid w:val="006024CE"/>
    <w:rsid w:val="00602BCE"/>
    <w:rsid w:val="00602CE7"/>
    <w:rsid w:val="00602D9E"/>
    <w:rsid w:val="00602E9B"/>
    <w:rsid w:val="00602EF2"/>
    <w:rsid w:val="00602F3C"/>
    <w:rsid w:val="00602F72"/>
    <w:rsid w:val="0060320F"/>
    <w:rsid w:val="0060324B"/>
    <w:rsid w:val="00603287"/>
    <w:rsid w:val="00603337"/>
    <w:rsid w:val="00603676"/>
    <w:rsid w:val="006036A6"/>
    <w:rsid w:val="00603732"/>
    <w:rsid w:val="00603977"/>
    <w:rsid w:val="00603A0C"/>
    <w:rsid w:val="00603B68"/>
    <w:rsid w:val="00603D77"/>
    <w:rsid w:val="00603E1A"/>
    <w:rsid w:val="00603F8C"/>
    <w:rsid w:val="00603F9A"/>
    <w:rsid w:val="00603FDB"/>
    <w:rsid w:val="0060425D"/>
    <w:rsid w:val="006042C2"/>
    <w:rsid w:val="006043AD"/>
    <w:rsid w:val="006043CB"/>
    <w:rsid w:val="00604655"/>
    <w:rsid w:val="00604723"/>
    <w:rsid w:val="0060484E"/>
    <w:rsid w:val="00604A7E"/>
    <w:rsid w:val="00604A8C"/>
    <w:rsid w:val="00604E6C"/>
    <w:rsid w:val="00604E89"/>
    <w:rsid w:val="00604EFF"/>
    <w:rsid w:val="00604F32"/>
    <w:rsid w:val="006050B6"/>
    <w:rsid w:val="0060517D"/>
    <w:rsid w:val="00605275"/>
    <w:rsid w:val="006052D1"/>
    <w:rsid w:val="00605300"/>
    <w:rsid w:val="0060543D"/>
    <w:rsid w:val="0060544D"/>
    <w:rsid w:val="00605593"/>
    <w:rsid w:val="006056FE"/>
    <w:rsid w:val="006059EA"/>
    <w:rsid w:val="00605B01"/>
    <w:rsid w:val="00605BF1"/>
    <w:rsid w:val="00605CD0"/>
    <w:rsid w:val="00605CD6"/>
    <w:rsid w:val="00605F1D"/>
    <w:rsid w:val="0060625A"/>
    <w:rsid w:val="00606550"/>
    <w:rsid w:val="006065CC"/>
    <w:rsid w:val="006068A5"/>
    <w:rsid w:val="006068BD"/>
    <w:rsid w:val="006069F9"/>
    <w:rsid w:val="00606A59"/>
    <w:rsid w:val="00606D60"/>
    <w:rsid w:val="00606E56"/>
    <w:rsid w:val="00606F6D"/>
    <w:rsid w:val="00607032"/>
    <w:rsid w:val="00607145"/>
    <w:rsid w:val="00607298"/>
    <w:rsid w:val="0060749F"/>
    <w:rsid w:val="006074D4"/>
    <w:rsid w:val="00607624"/>
    <w:rsid w:val="006076F5"/>
    <w:rsid w:val="00607709"/>
    <w:rsid w:val="00607967"/>
    <w:rsid w:val="00607A13"/>
    <w:rsid w:val="00607C40"/>
    <w:rsid w:val="00607C71"/>
    <w:rsid w:val="00607D52"/>
    <w:rsid w:val="00607E86"/>
    <w:rsid w:val="00607FEB"/>
    <w:rsid w:val="006100F6"/>
    <w:rsid w:val="006101F9"/>
    <w:rsid w:val="006103A4"/>
    <w:rsid w:val="00610462"/>
    <w:rsid w:val="00610BBC"/>
    <w:rsid w:val="00610BCD"/>
    <w:rsid w:val="00610BD1"/>
    <w:rsid w:val="00610D3B"/>
    <w:rsid w:val="00610DC6"/>
    <w:rsid w:val="00610E77"/>
    <w:rsid w:val="006110BC"/>
    <w:rsid w:val="00611164"/>
    <w:rsid w:val="006112ED"/>
    <w:rsid w:val="006112FE"/>
    <w:rsid w:val="00611371"/>
    <w:rsid w:val="00611374"/>
    <w:rsid w:val="006114F0"/>
    <w:rsid w:val="006115F4"/>
    <w:rsid w:val="006116AB"/>
    <w:rsid w:val="0061199E"/>
    <w:rsid w:val="006119F2"/>
    <w:rsid w:val="00611A68"/>
    <w:rsid w:val="00611B40"/>
    <w:rsid w:val="00611C98"/>
    <w:rsid w:val="00611CE7"/>
    <w:rsid w:val="00611D66"/>
    <w:rsid w:val="00611E9A"/>
    <w:rsid w:val="00611EEF"/>
    <w:rsid w:val="006122B2"/>
    <w:rsid w:val="00612565"/>
    <w:rsid w:val="006126F3"/>
    <w:rsid w:val="0061283A"/>
    <w:rsid w:val="00612857"/>
    <w:rsid w:val="006128E4"/>
    <w:rsid w:val="006129BD"/>
    <w:rsid w:val="00612A15"/>
    <w:rsid w:val="00612CA6"/>
    <w:rsid w:val="00612F08"/>
    <w:rsid w:val="00612FB7"/>
    <w:rsid w:val="00613052"/>
    <w:rsid w:val="00613053"/>
    <w:rsid w:val="00613142"/>
    <w:rsid w:val="006133FD"/>
    <w:rsid w:val="006134F0"/>
    <w:rsid w:val="0061356A"/>
    <w:rsid w:val="006136CC"/>
    <w:rsid w:val="006136FD"/>
    <w:rsid w:val="006137CF"/>
    <w:rsid w:val="006137DE"/>
    <w:rsid w:val="0061380F"/>
    <w:rsid w:val="006138B2"/>
    <w:rsid w:val="0061397A"/>
    <w:rsid w:val="00613999"/>
    <w:rsid w:val="00613A18"/>
    <w:rsid w:val="00613ACB"/>
    <w:rsid w:val="00613B42"/>
    <w:rsid w:val="00613C55"/>
    <w:rsid w:val="00613C87"/>
    <w:rsid w:val="00613CA8"/>
    <w:rsid w:val="00613F1B"/>
    <w:rsid w:val="00613FDD"/>
    <w:rsid w:val="006145C5"/>
    <w:rsid w:val="00614667"/>
    <w:rsid w:val="006146F9"/>
    <w:rsid w:val="00614BD8"/>
    <w:rsid w:val="00614C26"/>
    <w:rsid w:val="00614C2A"/>
    <w:rsid w:val="00614C4E"/>
    <w:rsid w:val="00614F52"/>
    <w:rsid w:val="00614FAF"/>
    <w:rsid w:val="00614FC0"/>
    <w:rsid w:val="00614FD6"/>
    <w:rsid w:val="00615099"/>
    <w:rsid w:val="006151F6"/>
    <w:rsid w:val="0061530C"/>
    <w:rsid w:val="006153E4"/>
    <w:rsid w:val="006155E8"/>
    <w:rsid w:val="0061560C"/>
    <w:rsid w:val="0061570F"/>
    <w:rsid w:val="006157C8"/>
    <w:rsid w:val="00615A17"/>
    <w:rsid w:val="00615BA5"/>
    <w:rsid w:val="00616063"/>
    <w:rsid w:val="00616250"/>
    <w:rsid w:val="00616330"/>
    <w:rsid w:val="00616613"/>
    <w:rsid w:val="0061664A"/>
    <w:rsid w:val="0061675F"/>
    <w:rsid w:val="00616793"/>
    <w:rsid w:val="006167AD"/>
    <w:rsid w:val="006168DA"/>
    <w:rsid w:val="00616BD6"/>
    <w:rsid w:val="00616C9A"/>
    <w:rsid w:val="00616D16"/>
    <w:rsid w:val="006170F9"/>
    <w:rsid w:val="00617400"/>
    <w:rsid w:val="00617946"/>
    <w:rsid w:val="00617AB8"/>
    <w:rsid w:val="00617B2E"/>
    <w:rsid w:val="00617BC7"/>
    <w:rsid w:val="00617EB9"/>
    <w:rsid w:val="00620020"/>
    <w:rsid w:val="0062019A"/>
    <w:rsid w:val="00620327"/>
    <w:rsid w:val="0062049F"/>
    <w:rsid w:val="006205AC"/>
    <w:rsid w:val="006205DB"/>
    <w:rsid w:val="00620766"/>
    <w:rsid w:val="006209DF"/>
    <w:rsid w:val="00620A3A"/>
    <w:rsid w:val="00620AFD"/>
    <w:rsid w:val="00620CE6"/>
    <w:rsid w:val="00620D98"/>
    <w:rsid w:val="00620FC8"/>
    <w:rsid w:val="006210CB"/>
    <w:rsid w:val="00621154"/>
    <w:rsid w:val="0062127D"/>
    <w:rsid w:val="0062140F"/>
    <w:rsid w:val="0062143B"/>
    <w:rsid w:val="006215E9"/>
    <w:rsid w:val="00621636"/>
    <w:rsid w:val="0062181C"/>
    <w:rsid w:val="006219F9"/>
    <w:rsid w:val="00621DE5"/>
    <w:rsid w:val="00621F0F"/>
    <w:rsid w:val="00621F69"/>
    <w:rsid w:val="00622375"/>
    <w:rsid w:val="0062244D"/>
    <w:rsid w:val="00622659"/>
    <w:rsid w:val="00622719"/>
    <w:rsid w:val="00622740"/>
    <w:rsid w:val="00622763"/>
    <w:rsid w:val="0062279E"/>
    <w:rsid w:val="00622830"/>
    <w:rsid w:val="006228BF"/>
    <w:rsid w:val="00622B2C"/>
    <w:rsid w:val="00622B45"/>
    <w:rsid w:val="00622CFA"/>
    <w:rsid w:val="00622E37"/>
    <w:rsid w:val="00623056"/>
    <w:rsid w:val="00623194"/>
    <w:rsid w:val="0062321E"/>
    <w:rsid w:val="006233AA"/>
    <w:rsid w:val="0062352B"/>
    <w:rsid w:val="006235C8"/>
    <w:rsid w:val="006235F6"/>
    <w:rsid w:val="006237BE"/>
    <w:rsid w:val="00623921"/>
    <w:rsid w:val="00623B97"/>
    <w:rsid w:val="006241E2"/>
    <w:rsid w:val="00624240"/>
    <w:rsid w:val="00624479"/>
    <w:rsid w:val="00624516"/>
    <w:rsid w:val="00624595"/>
    <w:rsid w:val="0062461A"/>
    <w:rsid w:val="00624664"/>
    <w:rsid w:val="00624781"/>
    <w:rsid w:val="006247CD"/>
    <w:rsid w:val="006248C9"/>
    <w:rsid w:val="00624905"/>
    <w:rsid w:val="00624B94"/>
    <w:rsid w:val="00624BEA"/>
    <w:rsid w:val="00624C32"/>
    <w:rsid w:val="00624D60"/>
    <w:rsid w:val="00625000"/>
    <w:rsid w:val="006250E3"/>
    <w:rsid w:val="00625475"/>
    <w:rsid w:val="00625544"/>
    <w:rsid w:val="00625A1A"/>
    <w:rsid w:val="00625A26"/>
    <w:rsid w:val="00625C60"/>
    <w:rsid w:val="00625E5F"/>
    <w:rsid w:val="00625F14"/>
    <w:rsid w:val="0062605F"/>
    <w:rsid w:val="0062641E"/>
    <w:rsid w:val="0062642A"/>
    <w:rsid w:val="006264E7"/>
    <w:rsid w:val="006269C2"/>
    <w:rsid w:val="006269DA"/>
    <w:rsid w:val="00626A7D"/>
    <w:rsid w:val="00626ADC"/>
    <w:rsid w:val="00626D98"/>
    <w:rsid w:val="00626DEC"/>
    <w:rsid w:val="00626DF1"/>
    <w:rsid w:val="00626E53"/>
    <w:rsid w:val="00626ECE"/>
    <w:rsid w:val="00626FF4"/>
    <w:rsid w:val="006270CB"/>
    <w:rsid w:val="006272A2"/>
    <w:rsid w:val="006272D4"/>
    <w:rsid w:val="00627454"/>
    <w:rsid w:val="006274C0"/>
    <w:rsid w:val="00627547"/>
    <w:rsid w:val="006276D9"/>
    <w:rsid w:val="00627756"/>
    <w:rsid w:val="006279F1"/>
    <w:rsid w:val="00627B09"/>
    <w:rsid w:val="00627B35"/>
    <w:rsid w:val="00627C7E"/>
    <w:rsid w:val="00627CCD"/>
    <w:rsid w:val="00627CEB"/>
    <w:rsid w:val="00627DBD"/>
    <w:rsid w:val="006300C9"/>
    <w:rsid w:val="006301C0"/>
    <w:rsid w:val="0063028C"/>
    <w:rsid w:val="006303E1"/>
    <w:rsid w:val="00630437"/>
    <w:rsid w:val="00630567"/>
    <w:rsid w:val="006306CC"/>
    <w:rsid w:val="00630725"/>
    <w:rsid w:val="0063074C"/>
    <w:rsid w:val="00630A67"/>
    <w:rsid w:val="00630ADD"/>
    <w:rsid w:val="00630AF2"/>
    <w:rsid w:val="00630C02"/>
    <w:rsid w:val="00630C9E"/>
    <w:rsid w:val="00630E99"/>
    <w:rsid w:val="00631048"/>
    <w:rsid w:val="00631275"/>
    <w:rsid w:val="00631336"/>
    <w:rsid w:val="006313EA"/>
    <w:rsid w:val="00631461"/>
    <w:rsid w:val="006316B1"/>
    <w:rsid w:val="00631755"/>
    <w:rsid w:val="006317B5"/>
    <w:rsid w:val="006319DF"/>
    <w:rsid w:val="00631B83"/>
    <w:rsid w:val="00631DBD"/>
    <w:rsid w:val="00631E29"/>
    <w:rsid w:val="006321BF"/>
    <w:rsid w:val="00632242"/>
    <w:rsid w:val="00632588"/>
    <w:rsid w:val="006325BB"/>
    <w:rsid w:val="00632739"/>
    <w:rsid w:val="006327BE"/>
    <w:rsid w:val="00632938"/>
    <w:rsid w:val="00632A7F"/>
    <w:rsid w:val="00632B15"/>
    <w:rsid w:val="00632CBF"/>
    <w:rsid w:val="00632D9F"/>
    <w:rsid w:val="00632EA9"/>
    <w:rsid w:val="00632F59"/>
    <w:rsid w:val="00633006"/>
    <w:rsid w:val="0063321A"/>
    <w:rsid w:val="00633493"/>
    <w:rsid w:val="006334A8"/>
    <w:rsid w:val="006338FD"/>
    <w:rsid w:val="0063399A"/>
    <w:rsid w:val="00633BC6"/>
    <w:rsid w:val="00633BDC"/>
    <w:rsid w:val="00633E62"/>
    <w:rsid w:val="00633E63"/>
    <w:rsid w:val="00633EA3"/>
    <w:rsid w:val="0063406C"/>
    <w:rsid w:val="00634125"/>
    <w:rsid w:val="00634390"/>
    <w:rsid w:val="00634455"/>
    <w:rsid w:val="006344CD"/>
    <w:rsid w:val="0063463E"/>
    <w:rsid w:val="00634676"/>
    <w:rsid w:val="006346A9"/>
    <w:rsid w:val="0063471C"/>
    <w:rsid w:val="00634858"/>
    <w:rsid w:val="006349E2"/>
    <w:rsid w:val="00634A30"/>
    <w:rsid w:val="00634C68"/>
    <w:rsid w:val="00634D1A"/>
    <w:rsid w:val="00634E8E"/>
    <w:rsid w:val="00634F70"/>
    <w:rsid w:val="0063512B"/>
    <w:rsid w:val="00635183"/>
    <w:rsid w:val="00635283"/>
    <w:rsid w:val="00635343"/>
    <w:rsid w:val="006353DD"/>
    <w:rsid w:val="00635494"/>
    <w:rsid w:val="006354A1"/>
    <w:rsid w:val="006355FF"/>
    <w:rsid w:val="00635618"/>
    <w:rsid w:val="0063567D"/>
    <w:rsid w:val="0063595A"/>
    <w:rsid w:val="00635C23"/>
    <w:rsid w:val="00635C44"/>
    <w:rsid w:val="00635D38"/>
    <w:rsid w:val="00635E28"/>
    <w:rsid w:val="00635E37"/>
    <w:rsid w:val="006361D2"/>
    <w:rsid w:val="00636408"/>
    <w:rsid w:val="006366D6"/>
    <w:rsid w:val="00636C39"/>
    <w:rsid w:val="00636EE4"/>
    <w:rsid w:val="00636F3F"/>
    <w:rsid w:val="00636FCF"/>
    <w:rsid w:val="006371C8"/>
    <w:rsid w:val="006371E4"/>
    <w:rsid w:val="006372FB"/>
    <w:rsid w:val="0063740C"/>
    <w:rsid w:val="00637430"/>
    <w:rsid w:val="006374C2"/>
    <w:rsid w:val="006375BE"/>
    <w:rsid w:val="00637631"/>
    <w:rsid w:val="00637A90"/>
    <w:rsid w:val="00637AA3"/>
    <w:rsid w:val="00637DFB"/>
    <w:rsid w:val="00637F06"/>
    <w:rsid w:val="006400AF"/>
    <w:rsid w:val="006400F7"/>
    <w:rsid w:val="006401C0"/>
    <w:rsid w:val="0064024A"/>
    <w:rsid w:val="00640272"/>
    <w:rsid w:val="0064066F"/>
    <w:rsid w:val="00640910"/>
    <w:rsid w:val="00640938"/>
    <w:rsid w:val="0064094A"/>
    <w:rsid w:val="00640B01"/>
    <w:rsid w:val="00640C30"/>
    <w:rsid w:val="00640CA5"/>
    <w:rsid w:val="00640FDF"/>
    <w:rsid w:val="0064123D"/>
    <w:rsid w:val="0064124A"/>
    <w:rsid w:val="006412F9"/>
    <w:rsid w:val="0064134F"/>
    <w:rsid w:val="006413AC"/>
    <w:rsid w:val="006415CC"/>
    <w:rsid w:val="00641631"/>
    <w:rsid w:val="00641735"/>
    <w:rsid w:val="00641935"/>
    <w:rsid w:val="00641AC9"/>
    <w:rsid w:val="00641AD3"/>
    <w:rsid w:val="00641B04"/>
    <w:rsid w:val="00641E10"/>
    <w:rsid w:val="00641FA0"/>
    <w:rsid w:val="00642141"/>
    <w:rsid w:val="00642420"/>
    <w:rsid w:val="0064254D"/>
    <w:rsid w:val="00642602"/>
    <w:rsid w:val="00642746"/>
    <w:rsid w:val="00642831"/>
    <w:rsid w:val="0064285C"/>
    <w:rsid w:val="006429AC"/>
    <w:rsid w:val="006429EE"/>
    <w:rsid w:val="00642A09"/>
    <w:rsid w:val="00642AAC"/>
    <w:rsid w:val="00642BA4"/>
    <w:rsid w:val="00642DA5"/>
    <w:rsid w:val="00642ECB"/>
    <w:rsid w:val="00642F3C"/>
    <w:rsid w:val="00643218"/>
    <w:rsid w:val="00643226"/>
    <w:rsid w:val="0064324A"/>
    <w:rsid w:val="0064332B"/>
    <w:rsid w:val="00643515"/>
    <w:rsid w:val="006435F7"/>
    <w:rsid w:val="00643720"/>
    <w:rsid w:val="006437E9"/>
    <w:rsid w:val="00643896"/>
    <w:rsid w:val="0064389E"/>
    <w:rsid w:val="006438F5"/>
    <w:rsid w:val="00643A16"/>
    <w:rsid w:val="00643AF2"/>
    <w:rsid w:val="00643B2F"/>
    <w:rsid w:val="00643C95"/>
    <w:rsid w:val="00643D51"/>
    <w:rsid w:val="00643E28"/>
    <w:rsid w:val="00643EED"/>
    <w:rsid w:val="00643F40"/>
    <w:rsid w:val="00643FB0"/>
    <w:rsid w:val="00643FF0"/>
    <w:rsid w:val="00644061"/>
    <w:rsid w:val="006441D4"/>
    <w:rsid w:val="00644352"/>
    <w:rsid w:val="00644487"/>
    <w:rsid w:val="006445F9"/>
    <w:rsid w:val="006446AB"/>
    <w:rsid w:val="0064479D"/>
    <w:rsid w:val="0064482E"/>
    <w:rsid w:val="00644E31"/>
    <w:rsid w:val="00645114"/>
    <w:rsid w:val="00645186"/>
    <w:rsid w:val="00645215"/>
    <w:rsid w:val="00645272"/>
    <w:rsid w:val="006453AA"/>
    <w:rsid w:val="006453AF"/>
    <w:rsid w:val="006453D1"/>
    <w:rsid w:val="0064542B"/>
    <w:rsid w:val="00645448"/>
    <w:rsid w:val="00645593"/>
    <w:rsid w:val="006459EB"/>
    <w:rsid w:val="00645C3B"/>
    <w:rsid w:val="00645D56"/>
    <w:rsid w:val="00645F59"/>
    <w:rsid w:val="00645F7E"/>
    <w:rsid w:val="006462A5"/>
    <w:rsid w:val="006462B3"/>
    <w:rsid w:val="0064640E"/>
    <w:rsid w:val="0064645B"/>
    <w:rsid w:val="00646556"/>
    <w:rsid w:val="006466F8"/>
    <w:rsid w:val="00646712"/>
    <w:rsid w:val="006468BC"/>
    <w:rsid w:val="00646980"/>
    <w:rsid w:val="00646BBA"/>
    <w:rsid w:val="00646CDD"/>
    <w:rsid w:val="00646F63"/>
    <w:rsid w:val="00647144"/>
    <w:rsid w:val="006479AC"/>
    <w:rsid w:val="00647AC6"/>
    <w:rsid w:val="00647C93"/>
    <w:rsid w:val="00647D34"/>
    <w:rsid w:val="00647EF2"/>
    <w:rsid w:val="00650059"/>
    <w:rsid w:val="00650121"/>
    <w:rsid w:val="00650159"/>
    <w:rsid w:val="006503CE"/>
    <w:rsid w:val="0065062D"/>
    <w:rsid w:val="006506AD"/>
    <w:rsid w:val="0065078D"/>
    <w:rsid w:val="00650938"/>
    <w:rsid w:val="00650B1F"/>
    <w:rsid w:val="00650B80"/>
    <w:rsid w:val="00650BC0"/>
    <w:rsid w:val="00650C74"/>
    <w:rsid w:val="00650CEB"/>
    <w:rsid w:val="00651256"/>
    <w:rsid w:val="006517B2"/>
    <w:rsid w:val="0065187F"/>
    <w:rsid w:val="0065194C"/>
    <w:rsid w:val="00651997"/>
    <w:rsid w:val="00651998"/>
    <w:rsid w:val="006519F3"/>
    <w:rsid w:val="00651B54"/>
    <w:rsid w:val="00651D3C"/>
    <w:rsid w:val="00651D7E"/>
    <w:rsid w:val="00652087"/>
    <w:rsid w:val="006520F6"/>
    <w:rsid w:val="00652349"/>
    <w:rsid w:val="0065271F"/>
    <w:rsid w:val="006527AA"/>
    <w:rsid w:val="00652A37"/>
    <w:rsid w:val="00652D06"/>
    <w:rsid w:val="00652E3E"/>
    <w:rsid w:val="0065316F"/>
    <w:rsid w:val="00653482"/>
    <w:rsid w:val="00653497"/>
    <w:rsid w:val="0065351D"/>
    <w:rsid w:val="00653537"/>
    <w:rsid w:val="00653661"/>
    <w:rsid w:val="0065377C"/>
    <w:rsid w:val="006538A4"/>
    <w:rsid w:val="00653A97"/>
    <w:rsid w:val="00653E56"/>
    <w:rsid w:val="00653EDD"/>
    <w:rsid w:val="00653F80"/>
    <w:rsid w:val="006540BB"/>
    <w:rsid w:val="006544E2"/>
    <w:rsid w:val="006546DB"/>
    <w:rsid w:val="0065493F"/>
    <w:rsid w:val="00654A8F"/>
    <w:rsid w:val="00654A9B"/>
    <w:rsid w:val="00654C6A"/>
    <w:rsid w:val="00654C81"/>
    <w:rsid w:val="0065518E"/>
    <w:rsid w:val="006552D9"/>
    <w:rsid w:val="00655555"/>
    <w:rsid w:val="00655583"/>
    <w:rsid w:val="00655743"/>
    <w:rsid w:val="00655CD1"/>
    <w:rsid w:val="00655CD9"/>
    <w:rsid w:val="00655F72"/>
    <w:rsid w:val="00655F76"/>
    <w:rsid w:val="00655F8F"/>
    <w:rsid w:val="0065612B"/>
    <w:rsid w:val="00656253"/>
    <w:rsid w:val="006562FC"/>
    <w:rsid w:val="006566D5"/>
    <w:rsid w:val="00656943"/>
    <w:rsid w:val="00656BB1"/>
    <w:rsid w:val="00656C0A"/>
    <w:rsid w:val="00656DBB"/>
    <w:rsid w:val="00656FB2"/>
    <w:rsid w:val="006570D4"/>
    <w:rsid w:val="0065720E"/>
    <w:rsid w:val="00657397"/>
    <w:rsid w:val="006574AA"/>
    <w:rsid w:val="006574BB"/>
    <w:rsid w:val="0065766C"/>
    <w:rsid w:val="006577EA"/>
    <w:rsid w:val="006578D2"/>
    <w:rsid w:val="00657A6B"/>
    <w:rsid w:val="00657B6F"/>
    <w:rsid w:val="00657D59"/>
    <w:rsid w:val="00657E2E"/>
    <w:rsid w:val="00657EF0"/>
    <w:rsid w:val="0066009A"/>
    <w:rsid w:val="00660158"/>
    <w:rsid w:val="0066015A"/>
    <w:rsid w:val="00660177"/>
    <w:rsid w:val="006603D9"/>
    <w:rsid w:val="006603DF"/>
    <w:rsid w:val="006607A8"/>
    <w:rsid w:val="00660844"/>
    <w:rsid w:val="0066098D"/>
    <w:rsid w:val="00660A5C"/>
    <w:rsid w:val="00660AFF"/>
    <w:rsid w:val="00660B2B"/>
    <w:rsid w:val="00660D07"/>
    <w:rsid w:val="00661176"/>
    <w:rsid w:val="006615CE"/>
    <w:rsid w:val="0066181C"/>
    <w:rsid w:val="006619E4"/>
    <w:rsid w:val="00661A8B"/>
    <w:rsid w:val="00661ACB"/>
    <w:rsid w:val="00661C00"/>
    <w:rsid w:val="00661C2B"/>
    <w:rsid w:val="00661D15"/>
    <w:rsid w:val="00661D6E"/>
    <w:rsid w:val="00662076"/>
    <w:rsid w:val="006621FF"/>
    <w:rsid w:val="00662221"/>
    <w:rsid w:val="00662237"/>
    <w:rsid w:val="0066238F"/>
    <w:rsid w:val="006625B1"/>
    <w:rsid w:val="00662760"/>
    <w:rsid w:val="006627E8"/>
    <w:rsid w:val="00662836"/>
    <w:rsid w:val="00662899"/>
    <w:rsid w:val="00662955"/>
    <w:rsid w:val="00662A70"/>
    <w:rsid w:val="00662C37"/>
    <w:rsid w:val="0066326D"/>
    <w:rsid w:val="00663282"/>
    <w:rsid w:val="00663504"/>
    <w:rsid w:val="006635BD"/>
    <w:rsid w:val="006635F3"/>
    <w:rsid w:val="00663795"/>
    <w:rsid w:val="00663A0D"/>
    <w:rsid w:val="00663A9D"/>
    <w:rsid w:val="00663AC1"/>
    <w:rsid w:val="00663D08"/>
    <w:rsid w:val="00663D7E"/>
    <w:rsid w:val="00663E5D"/>
    <w:rsid w:val="00664005"/>
    <w:rsid w:val="006641BA"/>
    <w:rsid w:val="006641E6"/>
    <w:rsid w:val="006643EB"/>
    <w:rsid w:val="006645B8"/>
    <w:rsid w:val="0066489E"/>
    <w:rsid w:val="00664982"/>
    <w:rsid w:val="00664B44"/>
    <w:rsid w:val="00664EFC"/>
    <w:rsid w:val="00665035"/>
    <w:rsid w:val="0066505C"/>
    <w:rsid w:val="00665111"/>
    <w:rsid w:val="0066514F"/>
    <w:rsid w:val="006651A7"/>
    <w:rsid w:val="006657D0"/>
    <w:rsid w:val="00665A29"/>
    <w:rsid w:val="00665A2F"/>
    <w:rsid w:val="00665A65"/>
    <w:rsid w:val="00665A81"/>
    <w:rsid w:val="00665BFE"/>
    <w:rsid w:val="00665C28"/>
    <w:rsid w:val="00665D9D"/>
    <w:rsid w:val="00665F16"/>
    <w:rsid w:val="00665F29"/>
    <w:rsid w:val="00665F6A"/>
    <w:rsid w:val="00665F84"/>
    <w:rsid w:val="006662BC"/>
    <w:rsid w:val="00666489"/>
    <w:rsid w:val="006665AC"/>
    <w:rsid w:val="006667A7"/>
    <w:rsid w:val="006667AC"/>
    <w:rsid w:val="00666985"/>
    <w:rsid w:val="00666A1D"/>
    <w:rsid w:val="00666A57"/>
    <w:rsid w:val="00666A94"/>
    <w:rsid w:val="00666B07"/>
    <w:rsid w:val="00666B51"/>
    <w:rsid w:val="00666CC8"/>
    <w:rsid w:val="00666E8C"/>
    <w:rsid w:val="006670C7"/>
    <w:rsid w:val="00667238"/>
    <w:rsid w:val="00667294"/>
    <w:rsid w:val="00667310"/>
    <w:rsid w:val="00667427"/>
    <w:rsid w:val="006675FE"/>
    <w:rsid w:val="0066788F"/>
    <w:rsid w:val="006678AF"/>
    <w:rsid w:val="00667C7D"/>
    <w:rsid w:val="006700D7"/>
    <w:rsid w:val="006703F3"/>
    <w:rsid w:val="00670452"/>
    <w:rsid w:val="0067049E"/>
    <w:rsid w:val="006704EA"/>
    <w:rsid w:val="0067086B"/>
    <w:rsid w:val="00670987"/>
    <w:rsid w:val="00670AE6"/>
    <w:rsid w:val="00670AEA"/>
    <w:rsid w:val="00670D66"/>
    <w:rsid w:val="006711C8"/>
    <w:rsid w:val="006712A1"/>
    <w:rsid w:val="00671401"/>
    <w:rsid w:val="00671538"/>
    <w:rsid w:val="006716D1"/>
    <w:rsid w:val="00671708"/>
    <w:rsid w:val="00671797"/>
    <w:rsid w:val="00671808"/>
    <w:rsid w:val="00671946"/>
    <w:rsid w:val="00671A53"/>
    <w:rsid w:val="00671B14"/>
    <w:rsid w:val="00671B87"/>
    <w:rsid w:val="00671BBF"/>
    <w:rsid w:val="00671CAA"/>
    <w:rsid w:val="00671CAB"/>
    <w:rsid w:val="00672022"/>
    <w:rsid w:val="0067218F"/>
    <w:rsid w:val="006722B5"/>
    <w:rsid w:val="006722C3"/>
    <w:rsid w:val="006722CF"/>
    <w:rsid w:val="00672402"/>
    <w:rsid w:val="00672469"/>
    <w:rsid w:val="0067253E"/>
    <w:rsid w:val="00672624"/>
    <w:rsid w:val="00672694"/>
    <w:rsid w:val="0067278E"/>
    <w:rsid w:val="006727FC"/>
    <w:rsid w:val="0067289C"/>
    <w:rsid w:val="006729F1"/>
    <w:rsid w:val="006729F5"/>
    <w:rsid w:val="00672B72"/>
    <w:rsid w:val="006730EC"/>
    <w:rsid w:val="006731B3"/>
    <w:rsid w:val="006731F2"/>
    <w:rsid w:val="00673222"/>
    <w:rsid w:val="0067325C"/>
    <w:rsid w:val="00673891"/>
    <w:rsid w:val="006739F0"/>
    <w:rsid w:val="00673B0E"/>
    <w:rsid w:val="00673ED2"/>
    <w:rsid w:val="006740C4"/>
    <w:rsid w:val="0067410C"/>
    <w:rsid w:val="0067412C"/>
    <w:rsid w:val="00674290"/>
    <w:rsid w:val="006742DC"/>
    <w:rsid w:val="00674356"/>
    <w:rsid w:val="0067438D"/>
    <w:rsid w:val="006744D7"/>
    <w:rsid w:val="00674519"/>
    <w:rsid w:val="00674521"/>
    <w:rsid w:val="006745ED"/>
    <w:rsid w:val="006747D6"/>
    <w:rsid w:val="006748A9"/>
    <w:rsid w:val="006748FE"/>
    <w:rsid w:val="00674B26"/>
    <w:rsid w:val="00674B56"/>
    <w:rsid w:val="00674D82"/>
    <w:rsid w:val="00674D89"/>
    <w:rsid w:val="00674E8A"/>
    <w:rsid w:val="00675013"/>
    <w:rsid w:val="00675066"/>
    <w:rsid w:val="00675417"/>
    <w:rsid w:val="0067548D"/>
    <w:rsid w:val="006754E0"/>
    <w:rsid w:val="006755D2"/>
    <w:rsid w:val="006755D6"/>
    <w:rsid w:val="0067561A"/>
    <w:rsid w:val="006756D9"/>
    <w:rsid w:val="0067571B"/>
    <w:rsid w:val="00675933"/>
    <w:rsid w:val="006759DE"/>
    <w:rsid w:val="00675A9E"/>
    <w:rsid w:val="00675B5C"/>
    <w:rsid w:val="00675BF6"/>
    <w:rsid w:val="00675E72"/>
    <w:rsid w:val="006760A0"/>
    <w:rsid w:val="006760D4"/>
    <w:rsid w:val="0067626A"/>
    <w:rsid w:val="006762A0"/>
    <w:rsid w:val="006762FC"/>
    <w:rsid w:val="006763B4"/>
    <w:rsid w:val="00676445"/>
    <w:rsid w:val="006764F7"/>
    <w:rsid w:val="0067662B"/>
    <w:rsid w:val="00676836"/>
    <w:rsid w:val="006769BD"/>
    <w:rsid w:val="00676A2A"/>
    <w:rsid w:val="00676A58"/>
    <w:rsid w:val="00676B1C"/>
    <w:rsid w:val="00676B73"/>
    <w:rsid w:val="00676C82"/>
    <w:rsid w:val="00676CC0"/>
    <w:rsid w:val="00676ED7"/>
    <w:rsid w:val="00677137"/>
    <w:rsid w:val="00677268"/>
    <w:rsid w:val="0067755B"/>
    <w:rsid w:val="006778E8"/>
    <w:rsid w:val="00677A46"/>
    <w:rsid w:val="00677A82"/>
    <w:rsid w:val="00677AB9"/>
    <w:rsid w:val="00677C39"/>
    <w:rsid w:val="00677C9F"/>
    <w:rsid w:val="00677F06"/>
    <w:rsid w:val="00677F48"/>
    <w:rsid w:val="00680214"/>
    <w:rsid w:val="00680306"/>
    <w:rsid w:val="0068036D"/>
    <w:rsid w:val="00680461"/>
    <w:rsid w:val="006805F5"/>
    <w:rsid w:val="00680745"/>
    <w:rsid w:val="00680941"/>
    <w:rsid w:val="00680AA9"/>
    <w:rsid w:val="00680B70"/>
    <w:rsid w:val="00680CAA"/>
    <w:rsid w:val="00681277"/>
    <w:rsid w:val="00681492"/>
    <w:rsid w:val="00681494"/>
    <w:rsid w:val="0068152F"/>
    <w:rsid w:val="00681699"/>
    <w:rsid w:val="006818A2"/>
    <w:rsid w:val="006818F2"/>
    <w:rsid w:val="00681AE6"/>
    <w:rsid w:val="00681DB1"/>
    <w:rsid w:val="00681DFA"/>
    <w:rsid w:val="00681FAA"/>
    <w:rsid w:val="00681FE0"/>
    <w:rsid w:val="00682063"/>
    <w:rsid w:val="0068230D"/>
    <w:rsid w:val="006823B4"/>
    <w:rsid w:val="006823DD"/>
    <w:rsid w:val="006823E0"/>
    <w:rsid w:val="0068248F"/>
    <w:rsid w:val="006824AE"/>
    <w:rsid w:val="00682749"/>
    <w:rsid w:val="006827AF"/>
    <w:rsid w:val="006829B1"/>
    <w:rsid w:val="006829D7"/>
    <w:rsid w:val="00682CA0"/>
    <w:rsid w:val="00682DDC"/>
    <w:rsid w:val="006830F8"/>
    <w:rsid w:val="0068329D"/>
    <w:rsid w:val="00683407"/>
    <w:rsid w:val="006834E4"/>
    <w:rsid w:val="0068363E"/>
    <w:rsid w:val="00683676"/>
    <w:rsid w:val="006837DB"/>
    <w:rsid w:val="00683847"/>
    <w:rsid w:val="0068384F"/>
    <w:rsid w:val="006838A7"/>
    <w:rsid w:val="006839D5"/>
    <w:rsid w:val="006839F4"/>
    <w:rsid w:val="00683AEE"/>
    <w:rsid w:val="00683AF0"/>
    <w:rsid w:val="00683B00"/>
    <w:rsid w:val="00683C68"/>
    <w:rsid w:val="00683DF3"/>
    <w:rsid w:val="00683EB0"/>
    <w:rsid w:val="0068429A"/>
    <w:rsid w:val="00684315"/>
    <w:rsid w:val="0068439E"/>
    <w:rsid w:val="0068446B"/>
    <w:rsid w:val="006845A7"/>
    <w:rsid w:val="0068476D"/>
    <w:rsid w:val="006847F2"/>
    <w:rsid w:val="00684889"/>
    <w:rsid w:val="00684990"/>
    <w:rsid w:val="00684C49"/>
    <w:rsid w:val="00684CEC"/>
    <w:rsid w:val="00684E8A"/>
    <w:rsid w:val="0068507F"/>
    <w:rsid w:val="0068514B"/>
    <w:rsid w:val="0068519D"/>
    <w:rsid w:val="00685267"/>
    <w:rsid w:val="006853AA"/>
    <w:rsid w:val="00685410"/>
    <w:rsid w:val="00685535"/>
    <w:rsid w:val="0068553C"/>
    <w:rsid w:val="00685547"/>
    <w:rsid w:val="00685678"/>
    <w:rsid w:val="0068567A"/>
    <w:rsid w:val="00685720"/>
    <w:rsid w:val="006859EA"/>
    <w:rsid w:val="00685A3C"/>
    <w:rsid w:val="00685B08"/>
    <w:rsid w:val="00685B2C"/>
    <w:rsid w:val="00685BAA"/>
    <w:rsid w:val="00685BF7"/>
    <w:rsid w:val="00685D96"/>
    <w:rsid w:val="00685DAC"/>
    <w:rsid w:val="00685F21"/>
    <w:rsid w:val="00685F56"/>
    <w:rsid w:val="00685FC5"/>
    <w:rsid w:val="006860E1"/>
    <w:rsid w:val="00686147"/>
    <w:rsid w:val="0068625B"/>
    <w:rsid w:val="006863B6"/>
    <w:rsid w:val="00686581"/>
    <w:rsid w:val="0068682A"/>
    <w:rsid w:val="00686A73"/>
    <w:rsid w:val="00686AC5"/>
    <w:rsid w:val="00686B8F"/>
    <w:rsid w:val="00686D15"/>
    <w:rsid w:val="00686D21"/>
    <w:rsid w:val="00686E68"/>
    <w:rsid w:val="00686EB3"/>
    <w:rsid w:val="00686ED7"/>
    <w:rsid w:val="00686F8B"/>
    <w:rsid w:val="0068704A"/>
    <w:rsid w:val="006871AA"/>
    <w:rsid w:val="0068764A"/>
    <w:rsid w:val="006877D2"/>
    <w:rsid w:val="006878D1"/>
    <w:rsid w:val="00687953"/>
    <w:rsid w:val="006879B8"/>
    <w:rsid w:val="00687CB2"/>
    <w:rsid w:val="00687D1A"/>
    <w:rsid w:val="00687F85"/>
    <w:rsid w:val="00690010"/>
    <w:rsid w:val="006901B1"/>
    <w:rsid w:val="0069020C"/>
    <w:rsid w:val="006903AB"/>
    <w:rsid w:val="00690494"/>
    <w:rsid w:val="00690B7C"/>
    <w:rsid w:val="00690D39"/>
    <w:rsid w:val="00690DEC"/>
    <w:rsid w:val="00690EA4"/>
    <w:rsid w:val="00690F6E"/>
    <w:rsid w:val="006910CB"/>
    <w:rsid w:val="006910E3"/>
    <w:rsid w:val="00691220"/>
    <w:rsid w:val="00691483"/>
    <w:rsid w:val="00691623"/>
    <w:rsid w:val="006916FE"/>
    <w:rsid w:val="00691884"/>
    <w:rsid w:val="00691929"/>
    <w:rsid w:val="006919FA"/>
    <w:rsid w:val="00691BF1"/>
    <w:rsid w:val="00691F56"/>
    <w:rsid w:val="0069243F"/>
    <w:rsid w:val="00692568"/>
    <w:rsid w:val="006926B4"/>
    <w:rsid w:val="006927F1"/>
    <w:rsid w:val="006927FA"/>
    <w:rsid w:val="0069286D"/>
    <w:rsid w:val="0069287C"/>
    <w:rsid w:val="00692901"/>
    <w:rsid w:val="00692AAE"/>
    <w:rsid w:val="00692CF4"/>
    <w:rsid w:val="00692E3E"/>
    <w:rsid w:val="00692F68"/>
    <w:rsid w:val="00692F93"/>
    <w:rsid w:val="0069301D"/>
    <w:rsid w:val="006930AA"/>
    <w:rsid w:val="006932ED"/>
    <w:rsid w:val="00693374"/>
    <w:rsid w:val="006934E3"/>
    <w:rsid w:val="00693582"/>
    <w:rsid w:val="006937D2"/>
    <w:rsid w:val="006937E8"/>
    <w:rsid w:val="00693875"/>
    <w:rsid w:val="00693A59"/>
    <w:rsid w:val="00693A94"/>
    <w:rsid w:val="00693E9C"/>
    <w:rsid w:val="0069406A"/>
    <w:rsid w:val="0069413A"/>
    <w:rsid w:val="006941E9"/>
    <w:rsid w:val="00694395"/>
    <w:rsid w:val="006943F5"/>
    <w:rsid w:val="006946B9"/>
    <w:rsid w:val="0069472A"/>
    <w:rsid w:val="00694873"/>
    <w:rsid w:val="0069496A"/>
    <w:rsid w:val="00694A8F"/>
    <w:rsid w:val="00694C72"/>
    <w:rsid w:val="00694CB1"/>
    <w:rsid w:val="00694D15"/>
    <w:rsid w:val="00694D71"/>
    <w:rsid w:val="00694E2B"/>
    <w:rsid w:val="00694F1B"/>
    <w:rsid w:val="00694FF1"/>
    <w:rsid w:val="00695132"/>
    <w:rsid w:val="0069586D"/>
    <w:rsid w:val="00695BFF"/>
    <w:rsid w:val="00695C0E"/>
    <w:rsid w:val="00695C16"/>
    <w:rsid w:val="00695CAA"/>
    <w:rsid w:val="00695D84"/>
    <w:rsid w:val="00695E02"/>
    <w:rsid w:val="00695FC1"/>
    <w:rsid w:val="00696005"/>
    <w:rsid w:val="006960B9"/>
    <w:rsid w:val="006960D2"/>
    <w:rsid w:val="00696185"/>
    <w:rsid w:val="00696204"/>
    <w:rsid w:val="00696355"/>
    <w:rsid w:val="0069641C"/>
    <w:rsid w:val="006964CB"/>
    <w:rsid w:val="0069682D"/>
    <w:rsid w:val="00696911"/>
    <w:rsid w:val="00696B3D"/>
    <w:rsid w:val="00696CBC"/>
    <w:rsid w:val="00697589"/>
    <w:rsid w:val="006975AE"/>
    <w:rsid w:val="006976A3"/>
    <w:rsid w:val="006979CD"/>
    <w:rsid w:val="00697C6E"/>
    <w:rsid w:val="00697C9C"/>
    <w:rsid w:val="00697CDE"/>
    <w:rsid w:val="00697D2F"/>
    <w:rsid w:val="00697D89"/>
    <w:rsid w:val="006A00D1"/>
    <w:rsid w:val="006A011B"/>
    <w:rsid w:val="006A0217"/>
    <w:rsid w:val="006A0221"/>
    <w:rsid w:val="006A02FB"/>
    <w:rsid w:val="006A0439"/>
    <w:rsid w:val="006A0465"/>
    <w:rsid w:val="006A05CC"/>
    <w:rsid w:val="006A08AA"/>
    <w:rsid w:val="006A0AF4"/>
    <w:rsid w:val="006A0C0C"/>
    <w:rsid w:val="006A0C6A"/>
    <w:rsid w:val="006A0CB0"/>
    <w:rsid w:val="006A0DD2"/>
    <w:rsid w:val="006A11A5"/>
    <w:rsid w:val="006A1383"/>
    <w:rsid w:val="006A13E9"/>
    <w:rsid w:val="006A13FF"/>
    <w:rsid w:val="006A15CB"/>
    <w:rsid w:val="006A16A0"/>
    <w:rsid w:val="006A16C0"/>
    <w:rsid w:val="006A17D3"/>
    <w:rsid w:val="006A182F"/>
    <w:rsid w:val="006A18CA"/>
    <w:rsid w:val="006A1A95"/>
    <w:rsid w:val="006A2297"/>
    <w:rsid w:val="006A22B2"/>
    <w:rsid w:val="006A2A11"/>
    <w:rsid w:val="006A2B7E"/>
    <w:rsid w:val="006A2BC6"/>
    <w:rsid w:val="006A2BEA"/>
    <w:rsid w:val="006A2DCB"/>
    <w:rsid w:val="006A304A"/>
    <w:rsid w:val="006A3245"/>
    <w:rsid w:val="006A32ED"/>
    <w:rsid w:val="006A3427"/>
    <w:rsid w:val="006A3547"/>
    <w:rsid w:val="006A377F"/>
    <w:rsid w:val="006A3873"/>
    <w:rsid w:val="006A3B81"/>
    <w:rsid w:val="006A3CDF"/>
    <w:rsid w:val="006A3F07"/>
    <w:rsid w:val="006A3F1F"/>
    <w:rsid w:val="006A4028"/>
    <w:rsid w:val="006A40A3"/>
    <w:rsid w:val="006A4167"/>
    <w:rsid w:val="006A444B"/>
    <w:rsid w:val="006A46B1"/>
    <w:rsid w:val="006A4798"/>
    <w:rsid w:val="006A47A6"/>
    <w:rsid w:val="006A47D7"/>
    <w:rsid w:val="006A4867"/>
    <w:rsid w:val="006A4891"/>
    <w:rsid w:val="006A48C6"/>
    <w:rsid w:val="006A4DB3"/>
    <w:rsid w:val="006A4F0E"/>
    <w:rsid w:val="006A50CD"/>
    <w:rsid w:val="006A50E0"/>
    <w:rsid w:val="006A51EC"/>
    <w:rsid w:val="006A528E"/>
    <w:rsid w:val="006A53A7"/>
    <w:rsid w:val="006A53D6"/>
    <w:rsid w:val="006A5539"/>
    <w:rsid w:val="006A594D"/>
    <w:rsid w:val="006A5B17"/>
    <w:rsid w:val="006A5B45"/>
    <w:rsid w:val="006A602B"/>
    <w:rsid w:val="006A6036"/>
    <w:rsid w:val="006A6057"/>
    <w:rsid w:val="006A627D"/>
    <w:rsid w:val="006A638B"/>
    <w:rsid w:val="006A6460"/>
    <w:rsid w:val="006A6518"/>
    <w:rsid w:val="006A6603"/>
    <w:rsid w:val="006A6E57"/>
    <w:rsid w:val="006A6EB9"/>
    <w:rsid w:val="006A6EC8"/>
    <w:rsid w:val="006A6F1E"/>
    <w:rsid w:val="006A6F79"/>
    <w:rsid w:val="006A6F80"/>
    <w:rsid w:val="006A6FCA"/>
    <w:rsid w:val="006A703D"/>
    <w:rsid w:val="006A703E"/>
    <w:rsid w:val="006A7229"/>
    <w:rsid w:val="006A72B0"/>
    <w:rsid w:val="006A74D1"/>
    <w:rsid w:val="006A767F"/>
    <w:rsid w:val="006A79CA"/>
    <w:rsid w:val="006A7A28"/>
    <w:rsid w:val="006A7B3C"/>
    <w:rsid w:val="006A7C28"/>
    <w:rsid w:val="006A7EBA"/>
    <w:rsid w:val="006B0385"/>
    <w:rsid w:val="006B0896"/>
    <w:rsid w:val="006B0ABB"/>
    <w:rsid w:val="006B0AFE"/>
    <w:rsid w:val="006B0BC1"/>
    <w:rsid w:val="006B0BF4"/>
    <w:rsid w:val="006B0CB8"/>
    <w:rsid w:val="006B0D88"/>
    <w:rsid w:val="006B0E02"/>
    <w:rsid w:val="006B0F43"/>
    <w:rsid w:val="006B0FD0"/>
    <w:rsid w:val="006B0FF9"/>
    <w:rsid w:val="006B1071"/>
    <w:rsid w:val="006B10CF"/>
    <w:rsid w:val="006B126C"/>
    <w:rsid w:val="006B1367"/>
    <w:rsid w:val="006B138E"/>
    <w:rsid w:val="006B14BD"/>
    <w:rsid w:val="006B1631"/>
    <w:rsid w:val="006B17EB"/>
    <w:rsid w:val="006B1961"/>
    <w:rsid w:val="006B1B35"/>
    <w:rsid w:val="006B1B47"/>
    <w:rsid w:val="006B1B78"/>
    <w:rsid w:val="006B1B9D"/>
    <w:rsid w:val="006B1C1F"/>
    <w:rsid w:val="006B1CAA"/>
    <w:rsid w:val="006B1D12"/>
    <w:rsid w:val="006B2208"/>
    <w:rsid w:val="006B22FC"/>
    <w:rsid w:val="006B24E1"/>
    <w:rsid w:val="006B26E2"/>
    <w:rsid w:val="006B29CF"/>
    <w:rsid w:val="006B2AB2"/>
    <w:rsid w:val="006B2DA5"/>
    <w:rsid w:val="006B2E00"/>
    <w:rsid w:val="006B3025"/>
    <w:rsid w:val="006B3080"/>
    <w:rsid w:val="006B3226"/>
    <w:rsid w:val="006B32A7"/>
    <w:rsid w:val="006B348F"/>
    <w:rsid w:val="006B34DB"/>
    <w:rsid w:val="006B3504"/>
    <w:rsid w:val="006B3515"/>
    <w:rsid w:val="006B351D"/>
    <w:rsid w:val="006B373A"/>
    <w:rsid w:val="006B3807"/>
    <w:rsid w:val="006B3B74"/>
    <w:rsid w:val="006B3CE6"/>
    <w:rsid w:val="006B3E64"/>
    <w:rsid w:val="006B3F39"/>
    <w:rsid w:val="006B3F51"/>
    <w:rsid w:val="006B409D"/>
    <w:rsid w:val="006B41AA"/>
    <w:rsid w:val="006B428B"/>
    <w:rsid w:val="006B43C0"/>
    <w:rsid w:val="006B46E3"/>
    <w:rsid w:val="006B47EE"/>
    <w:rsid w:val="006B49E7"/>
    <w:rsid w:val="006B4D13"/>
    <w:rsid w:val="006B4DEE"/>
    <w:rsid w:val="006B4EFA"/>
    <w:rsid w:val="006B4F96"/>
    <w:rsid w:val="006B5095"/>
    <w:rsid w:val="006B5102"/>
    <w:rsid w:val="006B5125"/>
    <w:rsid w:val="006B5187"/>
    <w:rsid w:val="006B534D"/>
    <w:rsid w:val="006B535D"/>
    <w:rsid w:val="006B550F"/>
    <w:rsid w:val="006B565A"/>
    <w:rsid w:val="006B57E6"/>
    <w:rsid w:val="006B5920"/>
    <w:rsid w:val="006B593F"/>
    <w:rsid w:val="006B5ACC"/>
    <w:rsid w:val="006B5B10"/>
    <w:rsid w:val="006B5CA6"/>
    <w:rsid w:val="006B5D38"/>
    <w:rsid w:val="006B5D51"/>
    <w:rsid w:val="006B5DEF"/>
    <w:rsid w:val="006B5E28"/>
    <w:rsid w:val="006B5E78"/>
    <w:rsid w:val="006B5EB0"/>
    <w:rsid w:val="006B6166"/>
    <w:rsid w:val="006B6256"/>
    <w:rsid w:val="006B62F0"/>
    <w:rsid w:val="006B6356"/>
    <w:rsid w:val="006B63BF"/>
    <w:rsid w:val="006B6471"/>
    <w:rsid w:val="006B650E"/>
    <w:rsid w:val="006B6794"/>
    <w:rsid w:val="006B6A35"/>
    <w:rsid w:val="006B6B64"/>
    <w:rsid w:val="006B6BE1"/>
    <w:rsid w:val="006B6DED"/>
    <w:rsid w:val="006B6DF1"/>
    <w:rsid w:val="006B6E25"/>
    <w:rsid w:val="006B6F18"/>
    <w:rsid w:val="006B6F5B"/>
    <w:rsid w:val="006B7024"/>
    <w:rsid w:val="006B727B"/>
    <w:rsid w:val="006B72AF"/>
    <w:rsid w:val="006B7323"/>
    <w:rsid w:val="006B7387"/>
    <w:rsid w:val="006B7508"/>
    <w:rsid w:val="006B779F"/>
    <w:rsid w:val="006B78BC"/>
    <w:rsid w:val="006B7AC3"/>
    <w:rsid w:val="006B7AD4"/>
    <w:rsid w:val="006B7C95"/>
    <w:rsid w:val="006B7CC6"/>
    <w:rsid w:val="006C02F4"/>
    <w:rsid w:val="006C030A"/>
    <w:rsid w:val="006C0344"/>
    <w:rsid w:val="006C050A"/>
    <w:rsid w:val="006C05A8"/>
    <w:rsid w:val="006C09D3"/>
    <w:rsid w:val="006C0CA7"/>
    <w:rsid w:val="006C0D79"/>
    <w:rsid w:val="006C1137"/>
    <w:rsid w:val="006C13AD"/>
    <w:rsid w:val="006C148A"/>
    <w:rsid w:val="006C1619"/>
    <w:rsid w:val="006C1735"/>
    <w:rsid w:val="006C17C1"/>
    <w:rsid w:val="006C192F"/>
    <w:rsid w:val="006C1A61"/>
    <w:rsid w:val="006C1B6C"/>
    <w:rsid w:val="006C1C26"/>
    <w:rsid w:val="006C1D49"/>
    <w:rsid w:val="006C1FD9"/>
    <w:rsid w:val="006C2071"/>
    <w:rsid w:val="006C2195"/>
    <w:rsid w:val="006C21B0"/>
    <w:rsid w:val="006C23D2"/>
    <w:rsid w:val="006C2428"/>
    <w:rsid w:val="006C25AB"/>
    <w:rsid w:val="006C263C"/>
    <w:rsid w:val="006C2933"/>
    <w:rsid w:val="006C29AE"/>
    <w:rsid w:val="006C29EF"/>
    <w:rsid w:val="006C2D68"/>
    <w:rsid w:val="006C2E8A"/>
    <w:rsid w:val="006C2F2B"/>
    <w:rsid w:val="006C2F8A"/>
    <w:rsid w:val="006C321C"/>
    <w:rsid w:val="006C334E"/>
    <w:rsid w:val="006C35F3"/>
    <w:rsid w:val="006C380B"/>
    <w:rsid w:val="006C3BB6"/>
    <w:rsid w:val="006C3BE2"/>
    <w:rsid w:val="006C3E5F"/>
    <w:rsid w:val="006C3F55"/>
    <w:rsid w:val="006C40A4"/>
    <w:rsid w:val="006C4332"/>
    <w:rsid w:val="006C43A1"/>
    <w:rsid w:val="006C43FE"/>
    <w:rsid w:val="006C4665"/>
    <w:rsid w:val="006C46F1"/>
    <w:rsid w:val="006C4D70"/>
    <w:rsid w:val="006C4DB5"/>
    <w:rsid w:val="006C4DCE"/>
    <w:rsid w:val="006C4E0E"/>
    <w:rsid w:val="006C5053"/>
    <w:rsid w:val="006C50C2"/>
    <w:rsid w:val="006C5104"/>
    <w:rsid w:val="006C515E"/>
    <w:rsid w:val="006C52EF"/>
    <w:rsid w:val="006C54EE"/>
    <w:rsid w:val="006C55B9"/>
    <w:rsid w:val="006C55BA"/>
    <w:rsid w:val="006C570A"/>
    <w:rsid w:val="006C580F"/>
    <w:rsid w:val="006C58CF"/>
    <w:rsid w:val="006C58E2"/>
    <w:rsid w:val="006C59CC"/>
    <w:rsid w:val="006C5A60"/>
    <w:rsid w:val="006C5BD2"/>
    <w:rsid w:val="006C5C00"/>
    <w:rsid w:val="006C5D95"/>
    <w:rsid w:val="006C5DE2"/>
    <w:rsid w:val="006C5DF5"/>
    <w:rsid w:val="006C6005"/>
    <w:rsid w:val="006C62A6"/>
    <w:rsid w:val="006C635A"/>
    <w:rsid w:val="006C6373"/>
    <w:rsid w:val="006C64F8"/>
    <w:rsid w:val="006C67F6"/>
    <w:rsid w:val="006C6936"/>
    <w:rsid w:val="006C6958"/>
    <w:rsid w:val="006C69AF"/>
    <w:rsid w:val="006C69F6"/>
    <w:rsid w:val="006C6AF9"/>
    <w:rsid w:val="006C6E7A"/>
    <w:rsid w:val="006C70A3"/>
    <w:rsid w:val="006C714B"/>
    <w:rsid w:val="006C71DA"/>
    <w:rsid w:val="006C71E5"/>
    <w:rsid w:val="006C72D4"/>
    <w:rsid w:val="006C73C4"/>
    <w:rsid w:val="006C73CB"/>
    <w:rsid w:val="006C755D"/>
    <w:rsid w:val="006C7591"/>
    <w:rsid w:val="006C793D"/>
    <w:rsid w:val="006C7CD6"/>
    <w:rsid w:val="006D029C"/>
    <w:rsid w:val="006D043E"/>
    <w:rsid w:val="006D0465"/>
    <w:rsid w:val="006D068B"/>
    <w:rsid w:val="006D0761"/>
    <w:rsid w:val="006D088F"/>
    <w:rsid w:val="006D08FE"/>
    <w:rsid w:val="006D0958"/>
    <w:rsid w:val="006D0B3A"/>
    <w:rsid w:val="006D0C50"/>
    <w:rsid w:val="006D0D3A"/>
    <w:rsid w:val="006D0DD4"/>
    <w:rsid w:val="006D0E12"/>
    <w:rsid w:val="006D0EC0"/>
    <w:rsid w:val="006D126A"/>
    <w:rsid w:val="006D1282"/>
    <w:rsid w:val="006D16B0"/>
    <w:rsid w:val="006D1801"/>
    <w:rsid w:val="006D18F0"/>
    <w:rsid w:val="006D1911"/>
    <w:rsid w:val="006D19CF"/>
    <w:rsid w:val="006D1BF1"/>
    <w:rsid w:val="006D1BF4"/>
    <w:rsid w:val="006D1C2A"/>
    <w:rsid w:val="006D1E53"/>
    <w:rsid w:val="006D1E7E"/>
    <w:rsid w:val="006D1FE8"/>
    <w:rsid w:val="006D204E"/>
    <w:rsid w:val="006D2116"/>
    <w:rsid w:val="006D2257"/>
    <w:rsid w:val="006D236B"/>
    <w:rsid w:val="006D2405"/>
    <w:rsid w:val="006D2526"/>
    <w:rsid w:val="006D25CF"/>
    <w:rsid w:val="006D27B4"/>
    <w:rsid w:val="006D2822"/>
    <w:rsid w:val="006D2878"/>
    <w:rsid w:val="006D28CB"/>
    <w:rsid w:val="006D29B5"/>
    <w:rsid w:val="006D2BED"/>
    <w:rsid w:val="006D2CE0"/>
    <w:rsid w:val="006D30CC"/>
    <w:rsid w:val="006D30DF"/>
    <w:rsid w:val="006D33F8"/>
    <w:rsid w:val="006D36F8"/>
    <w:rsid w:val="006D3921"/>
    <w:rsid w:val="006D3C84"/>
    <w:rsid w:val="006D3CD4"/>
    <w:rsid w:val="006D3D03"/>
    <w:rsid w:val="006D3D61"/>
    <w:rsid w:val="006D3E80"/>
    <w:rsid w:val="006D3F42"/>
    <w:rsid w:val="006D4036"/>
    <w:rsid w:val="006D406B"/>
    <w:rsid w:val="006D4144"/>
    <w:rsid w:val="006D4382"/>
    <w:rsid w:val="006D43AF"/>
    <w:rsid w:val="006D45C9"/>
    <w:rsid w:val="006D45F6"/>
    <w:rsid w:val="006D4615"/>
    <w:rsid w:val="006D4665"/>
    <w:rsid w:val="006D4736"/>
    <w:rsid w:val="006D475E"/>
    <w:rsid w:val="006D47D0"/>
    <w:rsid w:val="006D4826"/>
    <w:rsid w:val="006D485A"/>
    <w:rsid w:val="006D50C4"/>
    <w:rsid w:val="006D5310"/>
    <w:rsid w:val="006D54B8"/>
    <w:rsid w:val="006D56CF"/>
    <w:rsid w:val="006D580A"/>
    <w:rsid w:val="006D584D"/>
    <w:rsid w:val="006D5B62"/>
    <w:rsid w:val="006D5CB2"/>
    <w:rsid w:val="006D5CC1"/>
    <w:rsid w:val="006D5CCF"/>
    <w:rsid w:val="006D5F96"/>
    <w:rsid w:val="006D5FCE"/>
    <w:rsid w:val="006D605D"/>
    <w:rsid w:val="006D623F"/>
    <w:rsid w:val="006D6323"/>
    <w:rsid w:val="006D64A5"/>
    <w:rsid w:val="006D64A6"/>
    <w:rsid w:val="006D66C5"/>
    <w:rsid w:val="006D6741"/>
    <w:rsid w:val="006D6916"/>
    <w:rsid w:val="006D6922"/>
    <w:rsid w:val="006D69A3"/>
    <w:rsid w:val="006D6E64"/>
    <w:rsid w:val="006D6EA2"/>
    <w:rsid w:val="006D6F23"/>
    <w:rsid w:val="006D6FB3"/>
    <w:rsid w:val="006D717A"/>
    <w:rsid w:val="006D7237"/>
    <w:rsid w:val="006D72A0"/>
    <w:rsid w:val="006D7326"/>
    <w:rsid w:val="006D7358"/>
    <w:rsid w:val="006D74A4"/>
    <w:rsid w:val="006D74B6"/>
    <w:rsid w:val="006D7696"/>
    <w:rsid w:val="006D76CB"/>
    <w:rsid w:val="006D7734"/>
    <w:rsid w:val="006D7758"/>
    <w:rsid w:val="006D780F"/>
    <w:rsid w:val="006D787B"/>
    <w:rsid w:val="006D788C"/>
    <w:rsid w:val="006D79C7"/>
    <w:rsid w:val="006D7CB9"/>
    <w:rsid w:val="006D7CDE"/>
    <w:rsid w:val="006D7DD4"/>
    <w:rsid w:val="006D7E99"/>
    <w:rsid w:val="006E0138"/>
    <w:rsid w:val="006E014B"/>
    <w:rsid w:val="006E0237"/>
    <w:rsid w:val="006E044B"/>
    <w:rsid w:val="006E0486"/>
    <w:rsid w:val="006E0582"/>
    <w:rsid w:val="006E0632"/>
    <w:rsid w:val="006E0756"/>
    <w:rsid w:val="006E0939"/>
    <w:rsid w:val="006E0F5C"/>
    <w:rsid w:val="006E1079"/>
    <w:rsid w:val="006E12B4"/>
    <w:rsid w:val="006E14A6"/>
    <w:rsid w:val="006E176C"/>
    <w:rsid w:val="006E17A5"/>
    <w:rsid w:val="006E1930"/>
    <w:rsid w:val="006E1C2D"/>
    <w:rsid w:val="006E1D0D"/>
    <w:rsid w:val="006E1D68"/>
    <w:rsid w:val="006E1DB9"/>
    <w:rsid w:val="006E2159"/>
    <w:rsid w:val="006E2274"/>
    <w:rsid w:val="006E2446"/>
    <w:rsid w:val="006E274B"/>
    <w:rsid w:val="006E28EB"/>
    <w:rsid w:val="006E2918"/>
    <w:rsid w:val="006E29DD"/>
    <w:rsid w:val="006E2A8C"/>
    <w:rsid w:val="006E2AB5"/>
    <w:rsid w:val="006E2B50"/>
    <w:rsid w:val="006E2B66"/>
    <w:rsid w:val="006E2B71"/>
    <w:rsid w:val="006E2BD8"/>
    <w:rsid w:val="006E2D1C"/>
    <w:rsid w:val="006E2EB2"/>
    <w:rsid w:val="006E2FD0"/>
    <w:rsid w:val="006E3385"/>
    <w:rsid w:val="006E34F5"/>
    <w:rsid w:val="006E3647"/>
    <w:rsid w:val="006E38F2"/>
    <w:rsid w:val="006E3A78"/>
    <w:rsid w:val="006E3DAF"/>
    <w:rsid w:val="006E3DBD"/>
    <w:rsid w:val="006E3F49"/>
    <w:rsid w:val="006E3FDB"/>
    <w:rsid w:val="006E42AD"/>
    <w:rsid w:val="006E42EF"/>
    <w:rsid w:val="006E436C"/>
    <w:rsid w:val="006E43B1"/>
    <w:rsid w:val="006E4425"/>
    <w:rsid w:val="006E46E0"/>
    <w:rsid w:val="006E496E"/>
    <w:rsid w:val="006E49BD"/>
    <w:rsid w:val="006E4A09"/>
    <w:rsid w:val="006E4AB6"/>
    <w:rsid w:val="006E4F41"/>
    <w:rsid w:val="006E5091"/>
    <w:rsid w:val="006E5104"/>
    <w:rsid w:val="006E5324"/>
    <w:rsid w:val="006E5417"/>
    <w:rsid w:val="006E588A"/>
    <w:rsid w:val="006E5A4D"/>
    <w:rsid w:val="006E5B62"/>
    <w:rsid w:val="006E5C69"/>
    <w:rsid w:val="006E5D64"/>
    <w:rsid w:val="006E5E25"/>
    <w:rsid w:val="006E5EBB"/>
    <w:rsid w:val="006E607C"/>
    <w:rsid w:val="006E609F"/>
    <w:rsid w:val="006E61C5"/>
    <w:rsid w:val="006E642E"/>
    <w:rsid w:val="006E652A"/>
    <w:rsid w:val="006E656E"/>
    <w:rsid w:val="006E66FE"/>
    <w:rsid w:val="006E6765"/>
    <w:rsid w:val="006E68BE"/>
    <w:rsid w:val="006E690B"/>
    <w:rsid w:val="006E694B"/>
    <w:rsid w:val="006E699E"/>
    <w:rsid w:val="006E6AAC"/>
    <w:rsid w:val="006E6AB4"/>
    <w:rsid w:val="006E6B7B"/>
    <w:rsid w:val="006E6CD7"/>
    <w:rsid w:val="006E6F97"/>
    <w:rsid w:val="006E711A"/>
    <w:rsid w:val="006E72CD"/>
    <w:rsid w:val="006E74F2"/>
    <w:rsid w:val="006E7590"/>
    <w:rsid w:val="006E7ABD"/>
    <w:rsid w:val="006E7B2F"/>
    <w:rsid w:val="006E7F1D"/>
    <w:rsid w:val="006E7F61"/>
    <w:rsid w:val="006F0167"/>
    <w:rsid w:val="006F016C"/>
    <w:rsid w:val="006F01A2"/>
    <w:rsid w:val="006F0208"/>
    <w:rsid w:val="006F0273"/>
    <w:rsid w:val="006F03AA"/>
    <w:rsid w:val="006F05C3"/>
    <w:rsid w:val="006F0A45"/>
    <w:rsid w:val="006F0A52"/>
    <w:rsid w:val="006F0B66"/>
    <w:rsid w:val="006F0CD0"/>
    <w:rsid w:val="006F0D16"/>
    <w:rsid w:val="006F101B"/>
    <w:rsid w:val="006F109A"/>
    <w:rsid w:val="006F10E4"/>
    <w:rsid w:val="006F1391"/>
    <w:rsid w:val="006F1423"/>
    <w:rsid w:val="006F1700"/>
    <w:rsid w:val="006F17C7"/>
    <w:rsid w:val="006F183F"/>
    <w:rsid w:val="006F184C"/>
    <w:rsid w:val="006F199F"/>
    <w:rsid w:val="006F1B91"/>
    <w:rsid w:val="006F1C76"/>
    <w:rsid w:val="006F1D25"/>
    <w:rsid w:val="006F1DAA"/>
    <w:rsid w:val="006F1E8F"/>
    <w:rsid w:val="006F1F96"/>
    <w:rsid w:val="006F1F9C"/>
    <w:rsid w:val="006F20C0"/>
    <w:rsid w:val="006F20FF"/>
    <w:rsid w:val="006F2222"/>
    <w:rsid w:val="006F24BC"/>
    <w:rsid w:val="006F28F6"/>
    <w:rsid w:val="006F28FA"/>
    <w:rsid w:val="006F2959"/>
    <w:rsid w:val="006F29C3"/>
    <w:rsid w:val="006F2AC9"/>
    <w:rsid w:val="006F2B20"/>
    <w:rsid w:val="006F2D3B"/>
    <w:rsid w:val="006F2DFB"/>
    <w:rsid w:val="006F2EA7"/>
    <w:rsid w:val="006F305F"/>
    <w:rsid w:val="006F31FB"/>
    <w:rsid w:val="006F328E"/>
    <w:rsid w:val="006F33C3"/>
    <w:rsid w:val="006F3424"/>
    <w:rsid w:val="006F35AE"/>
    <w:rsid w:val="006F37CC"/>
    <w:rsid w:val="006F3AB2"/>
    <w:rsid w:val="006F3D01"/>
    <w:rsid w:val="006F3D71"/>
    <w:rsid w:val="006F3EE9"/>
    <w:rsid w:val="006F401B"/>
    <w:rsid w:val="006F4067"/>
    <w:rsid w:val="006F40A3"/>
    <w:rsid w:val="006F4109"/>
    <w:rsid w:val="006F4140"/>
    <w:rsid w:val="006F4184"/>
    <w:rsid w:val="006F4389"/>
    <w:rsid w:val="006F45C0"/>
    <w:rsid w:val="006F4733"/>
    <w:rsid w:val="006F494B"/>
    <w:rsid w:val="006F5004"/>
    <w:rsid w:val="006F504E"/>
    <w:rsid w:val="006F5208"/>
    <w:rsid w:val="006F52FB"/>
    <w:rsid w:val="006F5371"/>
    <w:rsid w:val="006F55B5"/>
    <w:rsid w:val="006F55DD"/>
    <w:rsid w:val="006F56B7"/>
    <w:rsid w:val="006F579E"/>
    <w:rsid w:val="006F58DD"/>
    <w:rsid w:val="006F5982"/>
    <w:rsid w:val="006F5AAB"/>
    <w:rsid w:val="006F5B70"/>
    <w:rsid w:val="006F5BB1"/>
    <w:rsid w:val="006F5C24"/>
    <w:rsid w:val="006F5D13"/>
    <w:rsid w:val="006F5D24"/>
    <w:rsid w:val="006F5D3F"/>
    <w:rsid w:val="006F5D8B"/>
    <w:rsid w:val="006F5F24"/>
    <w:rsid w:val="006F5F3B"/>
    <w:rsid w:val="006F5FF3"/>
    <w:rsid w:val="006F6137"/>
    <w:rsid w:val="006F62BA"/>
    <w:rsid w:val="006F6504"/>
    <w:rsid w:val="006F655F"/>
    <w:rsid w:val="006F693E"/>
    <w:rsid w:val="006F6A65"/>
    <w:rsid w:val="006F6A67"/>
    <w:rsid w:val="006F6C1B"/>
    <w:rsid w:val="006F6CC4"/>
    <w:rsid w:val="006F6D6E"/>
    <w:rsid w:val="006F7116"/>
    <w:rsid w:val="006F749C"/>
    <w:rsid w:val="006F77D4"/>
    <w:rsid w:val="006F7913"/>
    <w:rsid w:val="006F7921"/>
    <w:rsid w:val="006F7AE0"/>
    <w:rsid w:val="006F7AF0"/>
    <w:rsid w:val="006F7B7E"/>
    <w:rsid w:val="006F7C7E"/>
    <w:rsid w:val="006F7E49"/>
    <w:rsid w:val="006F7E4F"/>
    <w:rsid w:val="00700038"/>
    <w:rsid w:val="007000AE"/>
    <w:rsid w:val="00700232"/>
    <w:rsid w:val="0070027A"/>
    <w:rsid w:val="00700282"/>
    <w:rsid w:val="007003F8"/>
    <w:rsid w:val="00700450"/>
    <w:rsid w:val="007004E8"/>
    <w:rsid w:val="00700890"/>
    <w:rsid w:val="00700965"/>
    <w:rsid w:val="00700BE7"/>
    <w:rsid w:val="00700CBF"/>
    <w:rsid w:val="00700E11"/>
    <w:rsid w:val="00701112"/>
    <w:rsid w:val="0070137D"/>
    <w:rsid w:val="00701545"/>
    <w:rsid w:val="0070155A"/>
    <w:rsid w:val="007015C7"/>
    <w:rsid w:val="00701660"/>
    <w:rsid w:val="0070168C"/>
    <w:rsid w:val="007017F7"/>
    <w:rsid w:val="00701955"/>
    <w:rsid w:val="00701967"/>
    <w:rsid w:val="00701A5E"/>
    <w:rsid w:val="00701A6F"/>
    <w:rsid w:val="00701B70"/>
    <w:rsid w:val="00701BD5"/>
    <w:rsid w:val="00701EC4"/>
    <w:rsid w:val="00702044"/>
    <w:rsid w:val="00702209"/>
    <w:rsid w:val="00702230"/>
    <w:rsid w:val="007022AF"/>
    <w:rsid w:val="007022BD"/>
    <w:rsid w:val="0070239B"/>
    <w:rsid w:val="00702405"/>
    <w:rsid w:val="0070261A"/>
    <w:rsid w:val="0070280F"/>
    <w:rsid w:val="0070287E"/>
    <w:rsid w:val="007029EB"/>
    <w:rsid w:val="00702B8A"/>
    <w:rsid w:val="00702D3D"/>
    <w:rsid w:val="00702D8C"/>
    <w:rsid w:val="00702EF5"/>
    <w:rsid w:val="00703068"/>
    <w:rsid w:val="0070325B"/>
    <w:rsid w:val="007032A0"/>
    <w:rsid w:val="007032FB"/>
    <w:rsid w:val="00703599"/>
    <w:rsid w:val="00703663"/>
    <w:rsid w:val="0070368C"/>
    <w:rsid w:val="007036C4"/>
    <w:rsid w:val="00703939"/>
    <w:rsid w:val="007039FB"/>
    <w:rsid w:val="00703AE5"/>
    <w:rsid w:val="00703BA9"/>
    <w:rsid w:val="00703BD4"/>
    <w:rsid w:val="00703BE9"/>
    <w:rsid w:val="00703C10"/>
    <w:rsid w:val="00703C24"/>
    <w:rsid w:val="00703D65"/>
    <w:rsid w:val="00703DE2"/>
    <w:rsid w:val="00703E25"/>
    <w:rsid w:val="00703E5A"/>
    <w:rsid w:val="00703EBF"/>
    <w:rsid w:val="00704083"/>
    <w:rsid w:val="00704142"/>
    <w:rsid w:val="0070458E"/>
    <w:rsid w:val="00704872"/>
    <w:rsid w:val="00704899"/>
    <w:rsid w:val="00704917"/>
    <w:rsid w:val="007049FB"/>
    <w:rsid w:val="00704BDD"/>
    <w:rsid w:val="00704CE6"/>
    <w:rsid w:val="00704F93"/>
    <w:rsid w:val="00704FCD"/>
    <w:rsid w:val="0070543F"/>
    <w:rsid w:val="0070545E"/>
    <w:rsid w:val="00705683"/>
    <w:rsid w:val="00705737"/>
    <w:rsid w:val="00705A1A"/>
    <w:rsid w:val="00705C39"/>
    <w:rsid w:val="00705D3E"/>
    <w:rsid w:val="00705D53"/>
    <w:rsid w:val="00705D7A"/>
    <w:rsid w:val="00705D89"/>
    <w:rsid w:val="00705E1A"/>
    <w:rsid w:val="00705EE8"/>
    <w:rsid w:val="00705F9A"/>
    <w:rsid w:val="0070601C"/>
    <w:rsid w:val="00706379"/>
    <w:rsid w:val="007065DE"/>
    <w:rsid w:val="0070664E"/>
    <w:rsid w:val="00706A71"/>
    <w:rsid w:val="00706BB0"/>
    <w:rsid w:val="00706C29"/>
    <w:rsid w:val="00706E2C"/>
    <w:rsid w:val="00706E5E"/>
    <w:rsid w:val="00706F19"/>
    <w:rsid w:val="00707093"/>
    <w:rsid w:val="0070716A"/>
    <w:rsid w:val="007071C3"/>
    <w:rsid w:val="00707246"/>
    <w:rsid w:val="0070731B"/>
    <w:rsid w:val="007075A3"/>
    <w:rsid w:val="00707773"/>
    <w:rsid w:val="007078F4"/>
    <w:rsid w:val="0070797C"/>
    <w:rsid w:val="00707B74"/>
    <w:rsid w:val="00707C1E"/>
    <w:rsid w:val="00707C20"/>
    <w:rsid w:val="00707D64"/>
    <w:rsid w:val="00707FAF"/>
    <w:rsid w:val="00707FD5"/>
    <w:rsid w:val="007100BB"/>
    <w:rsid w:val="007101CF"/>
    <w:rsid w:val="007102C7"/>
    <w:rsid w:val="0071056A"/>
    <w:rsid w:val="007106B5"/>
    <w:rsid w:val="007108FF"/>
    <w:rsid w:val="00710996"/>
    <w:rsid w:val="00710B13"/>
    <w:rsid w:val="00710BF9"/>
    <w:rsid w:val="00710CA0"/>
    <w:rsid w:val="00710D08"/>
    <w:rsid w:val="00710D9F"/>
    <w:rsid w:val="00710E93"/>
    <w:rsid w:val="00710F4E"/>
    <w:rsid w:val="00710FDE"/>
    <w:rsid w:val="00711107"/>
    <w:rsid w:val="0071120F"/>
    <w:rsid w:val="007113C1"/>
    <w:rsid w:val="007114AA"/>
    <w:rsid w:val="00711807"/>
    <w:rsid w:val="007118A9"/>
    <w:rsid w:val="00711993"/>
    <w:rsid w:val="00711B71"/>
    <w:rsid w:val="00711BA1"/>
    <w:rsid w:val="00711C67"/>
    <w:rsid w:val="00711F41"/>
    <w:rsid w:val="00711F4D"/>
    <w:rsid w:val="00711FA2"/>
    <w:rsid w:val="00712040"/>
    <w:rsid w:val="00712127"/>
    <w:rsid w:val="007122F7"/>
    <w:rsid w:val="0071247C"/>
    <w:rsid w:val="0071259E"/>
    <w:rsid w:val="0071264D"/>
    <w:rsid w:val="00712675"/>
    <w:rsid w:val="007127A4"/>
    <w:rsid w:val="007128AE"/>
    <w:rsid w:val="007128CD"/>
    <w:rsid w:val="00712BE0"/>
    <w:rsid w:val="00712CA1"/>
    <w:rsid w:val="00712CF7"/>
    <w:rsid w:val="00712DB6"/>
    <w:rsid w:val="00712FD7"/>
    <w:rsid w:val="00713292"/>
    <w:rsid w:val="007132A5"/>
    <w:rsid w:val="00713543"/>
    <w:rsid w:val="0071370F"/>
    <w:rsid w:val="0071376A"/>
    <w:rsid w:val="007137EF"/>
    <w:rsid w:val="007138C1"/>
    <w:rsid w:val="00713928"/>
    <w:rsid w:val="007139E2"/>
    <w:rsid w:val="00713B21"/>
    <w:rsid w:val="00713BD1"/>
    <w:rsid w:val="00713CA1"/>
    <w:rsid w:val="00713E55"/>
    <w:rsid w:val="00713F64"/>
    <w:rsid w:val="00714265"/>
    <w:rsid w:val="007142C4"/>
    <w:rsid w:val="0071436D"/>
    <w:rsid w:val="00714458"/>
    <w:rsid w:val="007145E8"/>
    <w:rsid w:val="00714615"/>
    <w:rsid w:val="00714698"/>
    <w:rsid w:val="007146AF"/>
    <w:rsid w:val="00714753"/>
    <w:rsid w:val="007147EE"/>
    <w:rsid w:val="0071481B"/>
    <w:rsid w:val="007149B4"/>
    <w:rsid w:val="007149C0"/>
    <w:rsid w:val="007149FD"/>
    <w:rsid w:val="00714BC2"/>
    <w:rsid w:val="00714EEF"/>
    <w:rsid w:val="00715030"/>
    <w:rsid w:val="00715200"/>
    <w:rsid w:val="00715330"/>
    <w:rsid w:val="00715431"/>
    <w:rsid w:val="007154D3"/>
    <w:rsid w:val="00715596"/>
    <w:rsid w:val="0071566F"/>
    <w:rsid w:val="00715692"/>
    <w:rsid w:val="00715AB6"/>
    <w:rsid w:val="00715B6D"/>
    <w:rsid w:val="00715D51"/>
    <w:rsid w:val="00715DEC"/>
    <w:rsid w:val="00715EF0"/>
    <w:rsid w:val="007160ED"/>
    <w:rsid w:val="0071613A"/>
    <w:rsid w:val="00716295"/>
    <w:rsid w:val="00716652"/>
    <w:rsid w:val="007166BC"/>
    <w:rsid w:val="00716B0A"/>
    <w:rsid w:val="00716BFD"/>
    <w:rsid w:val="00716CAC"/>
    <w:rsid w:val="00716EE0"/>
    <w:rsid w:val="00716FAA"/>
    <w:rsid w:val="00716FB2"/>
    <w:rsid w:val="00717093"/>
    <w:rsid w:val="0071713D"/>
    <w:rsid w:val="007172AD"/>
    <w:rsid w:val="00717524"/>
    <w:rsid w:val="007175EE"/>
    <w:rsid w:val="00717635"/>
    <w:rsid w:val="00717707"/>
    <w:rsid w:val="00717AEF"/>
    <w:rsid w:val="00717BED"/>
    <w:rsid w:val="0072003C"/>
    <w:rsid w:val="007202AD"/>
    <w:rsid w:val="00720351"/>
    <w:rsid w:val="00720410"/>
    <w:rsid w:val="00720621"/>
    <w:rsid w:val="00720751"/>
    <w:rsid w:val="00720753"/>
    <w:rsid w:val="007207C0"/>
    <w:rsid w:val="00720856"/>
    <w:rsid w:val="0072085F"/>
    <w:rsid w:val="00720874"/>
    <w:rsid w:val="007208B0"/>
    <w:rsid w:val="00720A00"/>
    <w:rsid w:val="00720A40"/>
    <w:rsid w:val="00720E77"/>
    <w:rsid w:val="0072104D"/>
    <w:rsid w:val="00721094"/>
    <w:rsid w:val="007211CF"/>
    <w:rsid w:val="00721250"/>
    <w:rsid w:val="007212B7"/>
    <w:rsid w:val="007214B5"/>
    <w:rsid w:val="00721669"/>
    <w:rsid w:val="00721775"/>
    <w:rsid w:val="007217E0"/>
    <w:rsid w:val="007218EB"/>
    <w:rsid w:val="00721B66"/>
    <w:rsid w:val="00721C21"/>
    <w:rsid w:val="00721CC2"/>
    <w:rsid w:val="00721EE7"/>
    <w:rsid w:val="0072212A"/>
    <w:rsid w:val="0072238A"/>
    <w:rsid w:val="00722659"/>
    <w:rsid w:val="007229A7"/>
    <w:rsid w:val="007229A9"/>
    <w:rsid w:val="00722BD8"/>
    <w:rsid w:val="00722D10"/>
    <w:rsid w:val="00722E44"/>
    <w:rsid w:val="00722FAA"/>
    <w:rsid w:val="0072316F"/>
    <w:rsid w:val="00723207"/>
    <w:rsid w:val="00723475"/>
    <w:rsid w:val="007235C7"/>
    <w:rsid w:val="00723625"/>
    <w:rsid w:val="007237DC"/>
    <w:rsid w:val="00723836"/>
    <w:rsid w:val="007238CB"/>
    <w:rsid w:val="0072399C"/>
    <w:rsid w:val="00723CC1"/>
    <w:rsid w:val="00723CFD"/>
    <w:rsid w:val="00723CFF"/>
    <w:rsid w:val="00723DBE"/>
    <w:rsid w:val="007240D6"/>
    <w:rsid w:val="007240D9"/>
    <w:rsid w:val="00724205"/>
    <w:rsid w:val="0072420A"/>
    <w:rsid w:val="00724244"/>
    <w:rsid w:val="00724403"/>
    <w:rsid w:val="0072461E"/>
    <w:rsid w:val="0072476A"/>
    <w:rsid w:val="007247CC"/>
    <w:rsid w:val="00724B61"/>
    <w:rsid w:val="00724D60"/>
    <w:rsid w:val="00724D83"/>
    <w:rsid w:val="00724D98"/>
    <w:rsid w:val="00724D9B"/>
    <w:rsid w:val="00724E4C"/>
    <w:rsid w:val="007253D3"/>
    <w:rsid w:val="0072544C"/>
    <w:rsid w:val="007254BE"/>
    <w:rsid w:val="00725881"/>
    <w:rsid w:val="007258AB"/>
    <w:rsid w:val="007258CE"/>
    <w:rsid w:val="00725A9C"/>
    <w:rsid w:val="00725AAA"/>
    <w:rsid w:val="00725D11"/>
    <w:rsid w:val="00725D2D"/>
    <w:rsid w:val="00725F88"/>
    <w:rsid w:val="0072631A"/>
    <w:rsid w:val="00726320"/>
    <w:rsid w:val="00726507"/>
    <w:rsid w:val="00726508"/>
    <w:rsid w:val="007265A2"/>
    <w:rsid w:val="007265F6"/>
    <w:rsid w:val="0072665C"/>
    <w:rsid w:val="00726808"/>
    <w:rsid w:val="00726A4F"/>
    <w:rsid w:val="00726AFA"/>
    <w:rsid w:val="00726B03"/>
    <w:rsid w:val="00726D69"/>
    <w:rsid w:val="00726D7C"/>
    <w:rsid w:val="00726E3F"/>
    <w:rsid w:val="007272E3"/>
    <w:rsid w:val="007273F8"/>
    <w:rsid w:val="00727517"/>
    <w:rsid w:val="007275E7"/>
    <w:rsid w:val="00727753"/>
    <w:rsid w:val="00727768"/>
    <w:rsid w:val="00727891"/>
    <w:rsid w:val="007278C7"/>
    <w:rsid w:val="00727AB8"/>
    <w:rsid w:val="00727B1E"/>
    <w:rsid w:val="00727C8D"/>
    <w:rsid w:val="00727FDE"/>
    <w:rsid w:val="007300F3"/>
    <w:rsid w:val="00730265"/>
    <w:rsid w:val="007303AA"/>
    <w:rsid w:val="007304E1"/>
    <w:rsid w:val="00730738"/>
    <w:rsid w:val="007307F5"/>
    <w:rsid w:val="007308D9"/>
    <w:rsid w:val="00730DDB"/>
    <w:rsid w:val="00730EBE"/>
    <w:rsid w:val="00730FBF"/>
    <w:rsid w:val="0073101A"/>
    <w:rsid w:val="0073117C"/>
    <w:rsid w:val="00731226"/>
    <w:rsid w:val="00731313"/>
    <w:rsid w:val="00731527"/>
    <w:rsid w:val="007316A1"/>
    <w:rsid w:val="007316F6"/>
    <w:rsid w:val="0073176C"/>
    <w:rsid w:val="007317B2"/>
    <w:rsid w:val="00731876"/>
    <w:rsid w:val="00731AFA"/>
    <w:rsid w:val="00731B20"/>
    <w:rsid w:val="00731B25"/>
    <w:rsid w:val="00731BE4"/>
    <w:rsid w:val="0073202C"/>
    <w:rsid w:val="00732260"/>
    <w:rsid w:val="0073226F"/>
    <w:rsid w:val="0073247F"/>
    <w:rsid w:val="007324EB"/>
    <w:rsid w:val="00732533"/>
    <w:rsid w:val="007327F6"/>
    <w:rsid w:val="00732877"/>
    <w:rsid w:val="00732930"/>
    <w:rsid w:val="00732981"/>
    <w:rsid w:val="00732A20"/>
    <w:rsid w:val="00732C1A"/>
    <w:rsid w:val="00732D6B"/>
    <w:rsid w:val="0073309A"/>
    <w:rsid w:val="00733101"/>
    <w:rsid w:val="00733214"/>
    <w:rsid w:val="0073321B"/>
    <w:rsid w:val="0073326A"/>
    <w:rsid w:val="0073328F"/>
    <w:rsid w:val="0073343C"/>
    <w:rsid w:val="00733504"/>
    <w:rsid w:val="007336AF"/>
    <w:rsid w:val="00733754"/>
    <w:rsid w:val="007339D3"/>
    <w:rsid w:val="00733BE5"/>
    <w:rsid w:val="00733DA5"/>
    <w:rsid w:val="00733E27"/>
    <w:rsid w:val="00733ED3"/>
    <w:rsid w:val="00734132"/>
    <w:rsid w:val="0073419D"/>
    <w:rsid w:val="00734238"/>
    <w:rsid w:val="007342A2"/>
    <w:rsid w:val="0073447B"/>
    <w:rsid w:val="00734634"/>
    <w:rsid w:val="007347A2"/>
    <w:rsid w:val="007347AD"/>
    <w:rsid w:val="007347F0"/>
    <w:rsid w:val="00734832"/>
    <w:rsid w:val="007348DD"/>
    <w:rsid w:val="00734912"/>
    <w:rsid w:val="007349A7"/>
    <w:rsid w:val="00734ACA"/>
    <w:rsid w:val="00734BEF"/>
    <w:rsid w:val="00734E4F"/>
    <w:rsid w:val="00734E54"/>
    <w:rsid w:val="00734EA4"/>
    <w:rsid w:val="00734EA5"/>
    <w:rsid w:val="0073500A"/>
    <w:rsid w:val="0073511A"/>
    <w:rsid w:val="0073529B"/>
    <w:rsid w:val="007354AE"/>
    <w:rsid w:val="00735788"/>
    <w:rsid w:val="00735852"/>
    <w:rsid w:val="00735B05"/>
    <w:rsid w:val="00735D81"/>
    <w:rsid w:val="00735DB0"/>
    <w:rsid w:val="00735DD7"/>
    <w:rsid w:val="00736144"/>
    <w:rsid w:val="00736334"/>
    <w:rsid w:val="007363BF"/>
    <w:rsid w:val="0073646C"/>
    <w:rsid w:val="0073647A"/>
    <w:rsid w:val="007366B4"/>
    <w:rsid w:val="00736723"/>
    <w:rsid w:val="007367A0"/>
    <w:rsid w:val="00736826"/>
    <w:rsid w:val="00736B85"/>
    <w:rsid w:val="00736BBF"/>
    <w:rsid w:val="00736CAA"/>
    <w:rsid w:val="00736D86"/>
    <w:rsid w:val="00736E59"/>
    <w:rsid w:val="00736EBC"/>
    <w:rsid w:val="00736FC6"/>
    <w:rsid w:val="00737028"/>
    <w:rsid w:val="00737048"/>
    <w:rsid w:val="007370E7"/>
    <w:rsid w:val="007371DB"/>
    <w:rsid w:val="00737303"/>
    <w:rsid w:val="00737494"/>
    <w:rsid w:val="00737651"/>
    <w:rsid w:val="00737667"/>
    <w:rsid w:val="007376F9"/>
    <w:rsid w:val="00737867"/>
    <w:rsid w:val="00737912"/>
    <w:rsid w:val="007379D4"/>
    <w:rsid w:val="00737A4C"/>
    <w:rsid w:val="00737B2D"/>
    <w:rsid w:val="00737D19"/>
    <w:rsid w:val="00737D5D"/>
    <w:rsid w:val="00737D92"/>
    <w:rsid w:val="00737D9F"/>
    <w:rsid w:val="00737E5B"/>
    <w:rsid w:val="00737F89"/>
    <w:rsid w:val="007400F6"/>
    <w:rsid w:val="0074019A"/>
    <w:rsid w:val="007408A5"/>
    <w:rsid w:val="007408CC"/>
    <w:rsid w:val="00740940"/>
    <w:rsid w:val="00740D2F"/>
    <w:rsid w:val="00740D88"/>
    <w:rsid w:val="00740E42"/>
    <w:rsid w:val="00740F57"/>
    <w:rsid w:val="00741015"/>
    <w:rsid w:val="007410EC"/>
    <w:rsid w:val="00741147"/>
    <w:rsid w:val="007415A9"/>
    <w:rsid w:val="0074164F"/>
    <w:rsid w:val="007416EA"/>
    <w:rsid w:val="007416F5"/>
    <w:rsid w:val="0074172E"/>
    <w:rsid w:val="007417D4"/>
    <w:rsid w:val="0074193F"/>
    <w:rsid w:val="00741B4A"/>
    <w:rsid w:val="00741B50"/>
    <w:rsid w:val="00741D3C"/>
    <w:rsid w:val="00741D5F"/>
    <w:rsid w:val="00741DC1"/>
    <w:rsid w:val="00741E97"/>
    <w:rsid w:val="0074211A"/>
    <w:rsid w:val="007421E8"/>
    <w:rsid w:val="00742215"/>
    <w:rsid w:val="0074234A"/>
    <w:rsid w:val="00742462"/>
    <w:rsid w:val="0074246B"/>
    <w:rsid w:val="007426A8"/>
    <w:rsid w:val="007426CB"/>
    <w:rsid w:val="00742A06"/>
    <w:rsid w:val="00742A33"/>
    <w:rsid w:val="00742AEE"/>
    <w:rsid w:val="00742BE9"/>
    <w:rsid w:val="00742CF7"/>
    <w:rsid w:val="00742D29"/>
    <w:rsid w:val="00742E1C"/>
    <w:rsid w:val="00742E4D"/>
    <w:rsid w:val="00742FB4"/>
    <w:rsid w:val="007435AF"/>
    <w:rsid w:val="00743638"/>
    <w:rsid w:val="00743761"/>
    <w:rsid w:val="00743775"/>
    <w:rsid w:val="00743A3C"/>
    <w:rsid w:val="00743D75"/>
    <w:rsid w:val="00743D7D"/>
    <w:rsid w:val="00743D90"/>
    <w:rsid w:val="0074412A"/>
    <w:rsid w:val="007442B8"/>
    <w:rsid w:val="007445DD"/>
    <w:rsid w:val="00744C8D"/>
    <w:rsid w:val="00744EEF"/>
    <w:rsid w:val="00744FB0"/>
    <w:rsid w:val="00745136"/>
    <w:rsid w:val="007451A3"/>
    <w:rsid w:val="00745249"/>
    <w:rsid w:val="007452DF"/>
    <w:rsid w:val="007452E8"/>
    <w:rsid w:val="007453FD"/>
    <w:rsid w:val="00745574"/>
    <w:rsid w:val="0074598F"/>
    <w:rsid w:val="00745A5B"/>
    <w:rsid w:val="00745BCA"/>
    <w:rsid w:val="00745C30"/>
    <w:rsid w:val="00745DE5"/>
    <w:rsid w:val="00745ED6"/>
    <w:rsid w:val="00745EFC"/>
    <w:rsid w:val="007460FC"/>
    <w:rsid w:val="00746106"/>
    <w:rsid w:val="007461A2"/>
    <w:rsid w:val="0074642B"/>
    <w:rsid w:val="007464B8"/>
    <w:rsid w:val="0074669E"/>
    <w:rsid w:val="007466C1"/>
    <w:rsid w:val="007469C8"/>
    <w:rsid w:val="00746D31"/>
    <w:rsid w:val="00746E22"/>
    <w:rsid w:val="00747045"/>
    <w:rsid w:val="00747233"/>
    <w:rsid w:val="0074744F"/>
    <w:rsid w:val="007474B7"/>
    <w:rsid w:val="007475A9"/>
    <w:rsid w:val="007475F7"/>
    <w:rsid w:val="007479A1"/>
    <w:rsid w:val="00747A84"/>
    <w:rsid w:val="00747AB4"/>
    <w:rsid w:val="00747AD1"/>
    <w:rsid w:val="00747B57"/>
    <w:rsid w:val="00747EA8"/>
    <w:rsid w:val="00747EF0"/>
    <w:rsid w:val="00747F50"/>
    <w:rsid w:val="00747FC9"/>
    <w:rsid w:val="0075023A"/>
    <w:rsid w:val="0075049E"/>
    <w:rsid w:val="0075050F"/>
    <w:rsid w:val="00750523"/>
    <w:rsid w:val="007506FE"/>
    <w:rsid w:val="0075072D"/>
    <w:rsid w:val="007507EA"/>
    <w:rsid w:val="0075093D"/>
    <w:rsid w:val="007509DE"/>
    <w:rsid w:val="00750B8D"/>
    <w:rsid w:val="00750CA0"/>
    <w:rsid w:val="00750E9B"/>
    <w:rsid w:val="00751088"/>
    <w:rsid w:val="0075112F"/>
    <w:rsid w:val="00751150"/>
    <w:rsid w:val="00751400"/>
    <w:rsid w:val="0075140A"/>
    <w:rsid w:val="00751686"/>
    <w:rsid w:val="007516C8"/>
    <w:rsid w:val="007516FF"/>
    <w:rsid w:val="00751753"/>
    <w:rsid w:val="0075180C"/>
    <w:rsid w:val="00751854"/>
    <w:rsid w:val="00751B6E"/>
    <w:rsid w:val="00751C8A"/>
    <w:rsid w:val="00751CFE"/>
    <w:rsid w:val="00751FA5"/>
    <w:rsid w:val="00752137"/>
    <w:rsid w:val="00752190"/>
    <w:rsid w:val="0075254D"/>
    <w:rsid w:val="007526CD"/>
    <w:rsid w:val="00752771"/>
    <w:rsid w:val="007527C1"/>
    <w:rsid w:val="0075285F"/>
    <w:rsid w:val="00752972"/>
    <w:rsid w:val="00752A31"/>
    <w:rsid w:val="00752B94"/>
    <w:rsid w:val="00752D18"/>
    <w:rsid w:val="00752EFC"/>
    <w:rsid w:val="00752F22"/>
    <w:rsid w:val="007531B7"/>
    <w:rsid w:val="00753284"/>
    <w:rsid w:val="00753454"/>
    <w:rsid w:val="007534F2"/>
    <w:rsid w:val="007534F7"/>
    <w:rsid w:val="00753638"/>
    <w:rsid w:val="007539A5"/>
    <w:rsid w:val="00753B02"/>
    <w:rsid w:val="00753B0F"/>
    <w:rsid w:val="00753C1D"/>
    <w:rsid w:val="00753F09"/>
    <w:rsid w:val="0075407E"/>
    <w:rsid w:val="007542B3"/>
    <w:rsid w:val="00754370"/>
    <w:rsid w:val="00754417"/>
    <w:rsid w:val="0075457B"/>
    <w:rsid w:val="0075457E"/>
    <w:rsid w:val="007547CA"/>
    <w:rsid w:val="007547EF"/>
    <w:rsid w:val="00754834"/>
    <w:rsid w:val="007548B7"/>
    <w:rsid w:val="00754915"/>
    <w:rsid w:val="007549DC"/>
    <w:rsid w:val="00754BBB"/>
    <w:rsid w:val="00754C3F"/>
    <w:rsid w:val="00754C62"/>
    <w:rsid w:val="00754C9A"/>
    <w:rsid w:val="00754E88"/>
    <w:rsid w:val="00754F89"/>
    <w:rsid w:val="00754FF6"/>
    <w:rsid w:val="00755078"/>
    <w:rsid w:val="007550F1"/>
    <w:rsid w:val="00755380"/>
    <w:rsid w:val="0075538B"/>
    <w:rsid w:val="007554B0"/>
    <w:rsid w:val="00755514"/>
    <w:rsid w:val="00755726"/>
    <w:rsid w:val="00755737"/>
    <w:rsid w:val="007557B8"/>
    <w:rsid w:val="007559C8"/>
    <w:rsid w:val="00755A41"/>
    <w:rsid w:val="00755B32"/>
    <w:rsid w:val="00755BBC"/>
    <w:rsid w:val="00755BD9"/>
    <w:rsid w:val="00755CD4"/>
    <w:rsid w:val="00755D2F"/>
    <w:rsid w:val="00755FBF"/>
    <w:rsid w:val="00756164"/>
    <w:rsid w:val="0075627C"/>
    <w:rsid w:val="00756290"/>
    <w:rsid w:val="007562EA"/>
    <w:rsid w:val="007562FC"/>
    <w:rsid w:val="00756308"/>
    <w:rsid w:val="0075630F"/>
    <w:rsid w:val="00756369"/>
    <w:rsid w:val="0075661E"/>
    <w:rsid w:val="0075690F"/>
    <w:rsid w:val="00756AC4"/>
    <w:rsid w:val="00756DCD"/>
    <w:rsid w:val="00756DD2"/>
    <w:rsid w:val="00756EE3"/>
    <w:rsid w:val="00756EF8"/>
    <w:rsid w:val="00757068"/>
    <w:rsid w:val="007570DF"/>
    <w:rsid w:val="00757129"/>
    <w:rsid w:val="0075718F"/>
    <w:rsid w:val="00757495"/>
    <w:rsid w:val="00757540"/>
    <w:rsid w:val="0075755C"/>
    <w:rsid w:val="0075761F"/>
    <w:rsid w:val="00757671"/>
    <w:rsid w:val="007576EE"/>
    <w:rsid w:val="00757A14"/>
    <w:rsid w:val="00757BF7"/>
    <w:rsid w:val="00757DB9"/>
    <w:rsid w:val="00757DDB"/>
    <w:rsid w:val="0076019F"/>
    <w:rsid w:val="007601B0"/>
    <w:rsid w:val="0076033A"/>
    <w:rsid w:val="0076039B"/>
    <w:rsid w:val="007604FB"/>
    <w:rsid w:val="00760689"/>
    <w:rsid w:val="007609FE"/>
    <w:rsid w:val="00760C15"/>
    <w:rsid w:val="00760F3D"/>
    <w:rsid w:val="00760F48"/>
    <w:rsid w:val="007614DB"/>
    <w:rsid w:val="007615E4"/>
    <w:rsid w:val="007617C6"/>
    <w:rsid w:val="00761812"/>
    <w:rsid w:val="00761820"/>
    <w:rsid w:val="007618DA"/>
    <w:rsid w:val="0076197F"/>
    <w:rsid w:val="00761A0E"/>
    <w:rsid w:val="00761BF1"/>
    <w:rsid w:val="00761DE1"/>
    <w:rsid w:val="00761DF0"/>
    <w:rsid w:val="00761F9F"/>
    <w:rsid w:val="00761FE9"/>
    <w:rsid w:val="00761FF8"/>
    <w:rsid w:val="007620CB"/>
    <w:rsid w:val="00762373"/>
    <w:rsid w:val="007623DD"/>
    <w:rsid w:val="0076256A"/>
    <w:rsid w:val="00762619"/>
    <w:rsid w:val="00762723"/>
    <w:rsid w:val="007627AC"/>
    <w:rsid w:val="00762932"/>
    <w:rsid w:val="0076296C"/>
    <w:rsid w:val="00762AF8"/>
    <w:rsid w:val="00762BAB"/>
    <w:rsid w:val="00762C6C"/>
    <w:rsid w:val="00763241"/>
    <w:rsid w:val="007632A5"/>
    <w:rsid w:val="007632B8"/>
    <w:rsid w:val="00763360"/>
    <w:rsid w:val="00763452"/>
    <w:rsid w:val="00763484"/>
    <w:rsid w:val="007634CB"/>
    <w:rsid w:val="007634D0"/>
    <w:rsid w:val="007636FB"/>
    <w:rsid w:val="0076376C"/>
    <w:rsid w:val="0076394F"/>
    <w:rsid w:val="00763A96"/>
    <w:rsid w:val="00763B2D"/>
    <w:rsid w:val="00763BBC"/>
    <w:rsid w:val="00763CEC"/>
    <w:rsid w:val="00763DF4"/>
    <w:rsid w:val="00763E0F"/>
    <w:rsid w:val="00763E75"/>
    <w:rsid w:val="00763F0F"/>
    <w:rsid w:val="00763FEF"/>
    <w:rsid w:val="0076402C"/>
    <w:rsid w:val="0076403B"/>
    <w:rsid w:val="00764208"/>
    <w:rsid w:val="00764597"/>
    <w:rsid w:val="007645E0"/>
    <w:rsid w:val="0076460F"/>
    <w:rsid w:val="00764771"/>
    <w:rsid w:val="0076496A"/>
    <w:rsid w:val="00764D72"/>
    <w:rsid w:val="00765001"/>
    <w:rsid w:val="00765011"/>
    <w:rsid w:val="00765133"/>
    <w:rsid w:val="0076513D"/>
    <w:rsid w:val="007651A6"/>
    <w:rsid w:val="0076552D"/>
    <w:rsid w:val="007656C6"/>
    <w:rsid w:val="00765849"/>
    <w:rsid w:val="00765872"/>
    <w:rsid w:val="00765979"/>
    <w:rsid w:val="00765ADB"/>
    <w:rsid w:val="00765BA2"/>
    <w:rsid w:val="00765C0E"/>
    <w:rsid w:val="00765DE4"/>
    <w:rsid w:val="00765EC6"/>
    <w:rsid w:val="00766234"/>
    <w:rsid w:val="007662C5"/>
    <w:rsid w:val="007662DA"/>
    <w:rsid w:val="0076630E"/>
    <w:rsid w:val="00766559"/>
    <w:rsid w:val="007665A6"/>
    <w:rsid w:val="00766774"/>
    <w:rsid w:val="00766824"/>
    <w:rsid w:val="00766848"/>
    <w:rsid w:val="00766A5F"/>
    <w:rsid w:val="00766AE2"/>
    <w:rsid w:val="00766B2D"/>
    <w:rsid w:val="00766B37"/>
    <w:rsid w:val="00766CE6"/>
    <w:rsid w:val="00766D5C"/>
    <w:rsid w:val="00766F87"/>
    <w:rsid w:val="00766FAA"/>
    <w:rsid w:val="00766FAF"/>
    <w:rsid w:val="00767149"/>
    <w:rsid w:val="007671B4"/>
    <w:rsid w:val="007671BE"/>
    <w:rsid w:val="007672A4"/>
    <w:rsid w:val="007676FC"/>
    <w:rsid w:val="00767717"/>
    <w:rsid w:val="00767809"/>
    <w:rsid w:val="007678B4"/>
    <w:rsid w:val="007678C4"/>
    <w:rsid w:val="00767C25"/>
    <w:rsid w:val="00767C8E"/>
    <w:rsid w:val="00767CDC"/>
    <w:rsid w:val="00767FCF"/>
    <w:rsid w:val="00767FD1"/>
    <w:rsid w:val="00767FF1"/>
    <w:rsid w:val="007700B9"/>
    <w:rsid w:val="007703F5"/>
    <w:rsid w:val="007704C1"/>
    <w:rsid w:val="007705BE"/>
    <w:rsid w:val="00770684"/>
    <w:rsid w:val="007706A6"/>
    <w:rsid w:val="007706E0"/>
    <w:rsid w:val="007709CB"/>
    <w:rsid w:val="00770B1E"/>
    <w:rsid w:val="00770DD6"/>
    <w:rsid w:val="00770EF6"/>
    <w:rsid w:val="00770F8B"/>
    <w:rsid w:val="007710AF"/>
    <w:rsid w:val="007710B5"/>
    <w:rsid w:val="007714AE"/>
    <w:rsid w:val="007716E0"/>
    <w:rsid w:val="00771730"/>
    <w:rsid w:val="007717CF"/>
    <w:rsid w:val="007718F7"/>
    <w:rsid w:val="00771945"/>
    <w:rsid w:val="0077196E"/>
    <w:rsid w:val="00771BE5"/>
    <w:rsid w:val="00771C46"/>
    <w:rsid w:val="00771C60"/>
    <w:rsid w:val="00771CF3"/>
    <w:rsid w:val="00771D1D"/>
    <w:rsid w:val="007720F0"/>
    <w:rsid w:val="00772404"/>
    <w:rsid w:val="00772B03"/>
    <w:rsid w:val="00772D0C"/>
    <w:rsid w:val="00772EFC"/>
    <w:rsid w:val="00773246"/>
    <w:rsid w:val="00773328"/>
    <w:rsid w:val="007733E8"/>
    <w:rsid w:val="00773455"/>
    <w:rsid w:val="00773689"/>
    <w:rsid w:val="0077385D"/>
    <w:rsid w:val="007738FF"/>
    <w:rsid w:val="00773934"/>
    <w:rsid w:val="00773971"/>
    <w:rsid w:val="007739D9"/>
    <w:rsid w:val="00773A7A"/>
    <w:rsid w:val="00773BAA"/>
    <w:rsid w:val="00773BAF"/>
    <w:rsid w:val="00773C9E"/>
    <w:rsid w:val="00773CA7"/>
    <w:rsid w:val="00773D2F"/>
    <w:rsid w:val="00773DA8"/>
    <w:rsid w:val="00773DF6"/>
    <w:rsid w:val="00773EA8"/>
    <w:rsid w:val="0077400D"/>
    <w:rsid w:val="007740AB"/>
    <w:rsid w:val="007742D1"/>
    <w:rsid w:val="007744EE"/>
    <w:rsid w:val="007745B9"/>
    <w:rsid w:val="00774604"/>
    <w:rsid w:val="007748D6"/>
    <w:rsid w:val="00774B1E"/>
    <w:rsid w:val="00774CDB"/>
    <w:rsid w:val="00774D43"/>
    <w:rsid w:val="00774E29"/>
    <w:rsid w:val="00774F2C"/>
    <w:rsid w:val="00775039"/>
    <w:rsid w:val="0077520B"/>
    <w:rsid w:val="0077546D"/>
    <w:rsid w:val="0077562D"/>
    <w:rsid w:val="0077586D"/>
    <w:rsid w:val="00775902"/>
    <w:rsid w:val="00775A87"/>
    <w:rsid w:val="00775B31"/>
    <w:rsid w:val="00775C9E"/>
    <w:rsid w:val="00775E74"/>
    <w:rsid w:val="00775F57"/>
    <w:rsid w:val="007760A1"/>
    <w:rsid w:val="007760F4"/>
    <w:rsid w:val="007761CC"/>
    <w:rsid w:val="00776293"/>
    <w:rsid w:val="0077629B"/>
    <w:rsid w:val="0077638A"/>
    <w:rsid w:val="007764C8"/>
    <w:rsid w:val="00776550"/>
    <w:rsid w:val="00776592"/>
    <w:rsid w:val="007765E4"/>
    <w:rsid w:val="0077667B"/>
    <w:rsid w:val="00776831"/>
    <w:rsid w:val="007768F6"/>
    <w:rsid w:val="00776AE5"/>
    <w:rsid w:val="00776B74"/>
    <w:rsid w:val="00776CA6"/>
    <w:rsid w:val="00776D46"/>
    <w:rsid w:val="00776EF6"/>
    <w:rsid w:val="007770D7"/>
    <w:rsid w:val="0077717F"/>
    <w:rsid w:val="00777194"/>
    <w:rsid w:val="007771A1"/>
    <w:rsid w:val="00777330"/>
    <w:rsid w:val="00777422"/>
    <w:rsid w:val="0077742E"/>
    <w:rsid w:val="007774C9"/>
    <w:rsid w:val="00777517"/>
    <w:rsid w:val="00777596"/>
    <w:rsid w:val="007779FD"/>
    <w:rsid w:val="00777A73"/>
    <w:rsid w:val="00777A92"/>
    <w:rsid w:val="00777A9A"/>
    <w:rsid w:val="00777ACF"/>
    <w:rsid w:val="0078001C"/>
    <w:rsid w:val="00780053"/>
    <w:rsid w:val="0078007F"/>
    <w:rsid w:val="00780153"/>
    <w:rsid w:val="00780224"/>
    <w:rsid w:val="00780245"/>
    <w:rsid w:val="0078068C"/>
    <w:rsid w:val="00780708"/>
    <w:rsid w:val="00780750"/>
    <w:rsid w:val="0078090E"/>
    <w:rsid w:val="0078095D"/>
    <w:rsid w:val="00780A9A"/>
    <w:rsid w:val="00780A9E"/>
    <w:rsid w:val="00780C28"/>
    <w:rsid w:val="00780CB3"/>
    <w:rsid w:val="00780DF5"/>
    <w:rsid w:val="00780EA4"/>
    <w:rsid w:val="0078121B"/>
    <w:rsid w:val="00781415"/>
    <w:rsid w:val="0078174A"/>
    <w:rsid w:val="00781A68"/>
    <w:rsid w:val="00781DDB"/>
    <w:rsid w:val="00781E07"/>
    <w:rsid w:val="0078231E"/>
    <w:rsid w:val="00782322"/>
    <w:rsid w:val="00782386"/>
    <w:rsid w:val="0078238B"/>
    <w:rsid w:val="0078241F"/>
    <w:rsid w:val="00782435"/>
    <w:rsid w:val="00782744"/>
    <w:rsid w:val="00782EB1"/>
    <w:rsid w:val="0078362C"/>
    <w:rsid w:val="00783640"/>
    <w:rsid w:val="00783814"/>
    <w:rsid w:val="00783A2C"/>
    <w:rsid w:val="00783A5D"/>
    <w:rsid w:val="00783A85"/>
    <w:rsid w:val="00783AC3"/>
    <w:rsid w:val="00783D2D"/>
    <w:rsid w:val="00783E64"/>
    <w:rsid w:val="00783F14"/>
    <w:rsid w:val="007840C5"/>
    <w:rsid w:val="00784114"/>
    <w:rsid w:val="00784151"/>
    <w:rsid w:val="00784417"/>
    <w:rsid w:val="00784433"/>
    <w:rsid w:val="00784695"/>
    <w:rsid w:val="00784DF9"/>
    <w:rsid w:val="00784F86"/>
    <w:rsid w:val="00784FA8"/>
    <w:rsid w:val="007850A3"/>
    <w:rsid w:val="007850B4"/>
    <w:rsid w:val="00785285"/>
    <w:rsid w:val="007852D3"/>
    <w:rsid w:val="00785350"/>
    <w:rsid w:val="00785410"/>
    <w:rsid w:val="007856FA"/>
    <w:rsid w:val="007857FE"/>
    <w:rsid w:val="00785956"/>
    <w:rsid w:val="00785ACB"/>
    <w:rsid w:val="00785B77"/>
    <w:rsid w:val="00785D61"/>
    <w:rsid w:val="00785F9D"/>
    <w:rsid w:val="007861F9"/>
    <w:rsid w:val="00786511"/>
    <w:rsid w:val="007865A7"/>
    <w:rsid w:val="007866E2"/>
    <w:rsid w:val="007866F1"/>
    <w:rsid w:val="00786CDB"/>
    <w:rsid w:val="00786F43"/>
    <w:rsid w:val="00787136"/>
    <w:rsid w:val="007871A6"/>
    <w:rsid w:val="00787200"/>
    <w:rsid w:val="00787322"/>
    <w:rsid w:val="0078738D"/>
    <w:rsid w:val="00787500"/>
    <w:rsid w:val="00787542"/>
    <w:rsid w:val="00787553"/>
    <w:rsid w:val="007875BE"/>
    <w:rsid w:val="0078767F"/>
    <w:rsid w:val="007879BA"/>
    <w:rsid w:val="00787A14"/>
    <w:rsid w:val="00787F52"/>
    <w:rsid w:val="0079024B"/>
    <w:rsid w:val="007903FC"/>
    <w:rsid w:val="00790717"/>
    <w:rsid w:val="0079081B"/>
    <w:rsid w:val="00790960"/>
    <w:rsid w:val="00790A62"/>
    <w:rsid w:val="00790B40"/>
    <w:rsid w:val="00790CC8"/>
    <w:rsid w:val="007910BB"/>
    <w:rsid w:val="007911EA"/>
    <w:rsid w:val="00791230"/>
    <w:rsid w:val="0079127B"/>
    <w:rsid w:val="00791487"/>
    <w:rsid w:val="00791496"/>
    <w:rsid w:val="007914B4"/>
    <w:rsid w:val="007915C7"/>
    <w:rsid w:val="007915F9"/>
    <w:rsid w:val="00791739"/>
    <w:rsid w:val="00791A46"/>
    <w:rsid w:val="00791B68"/>
    <w:rsid w:val="00791E38"/>
    <w:rsid w:val="00792021"/>
    <w:rsid w:val="00792073"/>
    <w:rsid w:val="007920B8"/>
    <w:rsid w:val="00792163"/>
    <w:rsid w:val="007921F9"/>
    <w:rsid w:val="007922AE"/>
    <w:rsid w:val="007922C8"/>
    <w:rsid w:val="007923DD"/>
    <w:rsid w:val="00792477"/>
    <w:rsid w:val="007924BC"/>
    <w:rsid w:val="00792571"/>
    <w:rsid w:val="00792602"/>
    <w:rsid w:val="0079270A"/>
    <w:rsid w:val="007928DE"/>
    <w:rsid w:val="00792999"/>
    <w:rsid w:val="00792A2C"/>
    <w:rsid w:val="00792DCE"/>
    <w:rsid w:val="00792E92"/>
    <w:rsid w:val="00792EFA"/>
    <w:rsid w:val="00792F95"/>
    <w:rsid w:val="0079308F"/>
    <w:rsid w:val="007930A4"/>
    <w:rsid w:val="007930B8"/>
    <w:rsid w:val="007930EE"/>
    <w:rsid w:val="0079320B"/>
    <w:rsid w:val="00793216"/>
    <w:rsid w:val="007932E0"/>
    <w:rsid w:val="00793343"/>
    <w:rsid w:val="00793388"/>
    <w:rsid w:val="007934DF"/>
    <w:rsid w:val="007934E5"/>
    <w:rsid w:val="007934F8"/>
    <w:rsid w:val="0079370A"/>
    <w:rsid w:val="007938DC"/>
    <w:rsid w:val="00793AA1"/>
    <w:rsid w:val="00793AEF"/>
    <w:rsid w:val="00793B11"/>
    <w:rsid w:val="00793B20"/>
    <w:rsid w:val="00793CBE"/>
    <w:rsid w:val="00793F47"/>
    <w:rsid w:val="00793F91"/>
    <w:rsid w:val="00794169"/>
    <w:rsid w:val="0079417D"/>
    <w:rsid w:val="007942CA"/>
    <w:rsid w:val="007942DD"/>
    <w:rsid w:val="0079430C"/>
    <w:rsid w:val="007943A4"/>
    <w:rsid w:val="00794579"/>
    <w:rsid w:val="007946A1"/>
    <w:rsid w:val="007947C8"/>
    <w:rsid w:val="0079493A"/>
    <w:rsid w:val="007949DB"/>
    <w:rsid w:val="00794A42"/>
    <w:rsid w:val="00794AFE"/>
    <w:rsid w:val="00794CFD"/>
    <w:rsid w:val="00794D0C"/>
    <w:rsid w:val="00794D75"/>
    <w:rsid w:val="00794D97"/>
    <w:rsid w:val="00794EF3"/>
    <w:rsid w:val="00795142"/>
    <w:rsid w:val="007951CB"/>
    <w:rsid w:val="0079526F"/>
    <w:rsid w:val="00795898"/>
    <w:rsid w:val="007958BF"/>
    <w:rsid w:val="00795929"/>
    <w:rsid w:val="00795958"/>
    <w:rsid w:val="0079595E"/>
    <w:rsid w:val="00795A02"/>
    <w:rsid w:val="00795E2B"/>
    <w:rsid w:val="00795E61"/>
    <w:rsid w:val="00795EC8"/>
    <w:rsid w:val="00795EF6"/>
    <w:rsid w:val="00795F7E"/>
    <w:rsid w:val="00796053"/>
    <w:rsid w:val="0079629B"/>
    <w:rsid w:val="0079651F"/>
    <w:rsid w:val="0079682C"/>
    <w:rsid w:val="00796C1A"/>
    <w:rsid w:val="00796D9A"/>
    <w:rsid w:val="00796E4C"/>
    <w:rsid w:val="00796E7D"/>
    <w:rsid w:val="00796F3A"/>
    <w:rsid w:val="00796F96"/>
    <w:rsid w:val="00796FAC"/>
    <w:rsid w:val="00797064"/>
    <w:rsid w:val="00797072"/>
    <w:rsid w:val="00797230"/>
    <w:rsid w:val="00797246"/>
    <w:rsid w:val="00797382"/>
    <w:rsid w:val="007973AD"/>
    <w:rsid w:val="007975B7"/>
    <w:rsid w:val="0079760F"/>
    <w:rsid w:val="0079773E"/>
    <w:rsid w:val="0079776B"/>
    <w:rsid w:val="0079781E"/>
    <w:rsid w:val="007979C3"/>
    <w:rsid w:val="007979F5"/>
    <w:rsid w:val="00797AB3"/>
    <w:rsid w:val="00797ACE"/>
    <w:rsid w:val="00797BEF"/>
    <w:rsid w:val="00797F48"/>
    <w:rsid w:val="00797F54"/>
    <w:rsid w:val="007A0137"/>
    <w:rsid w:val="007A02D5"/>
    <w:rsid w:val="007A0306"/>
    <w:rsid w:val="007A037B"/>
    <w:rsid w:val="007A0384"/>
    <w:rsid w:val="007A05A3"/>
    <w:rsid w:val="007A05C2"/>
    <w:rsid w:val="007A0762"/>
    <w:rsid w:val="007A08DF"/>
    <w:rsid w:val="007A0A3D"/>
    <w:rsid w:val="007A0ADC"/>
    <w:rsid w:val="007A0DAD"/>
    <w:rsid w:val="007A110E"/>
    <w:rsid w:val="007A11C3"/>
    <w:rsid w:val="007A1388"/>
    <w:rsid w:val="007A13A0"/>
    <w:rsid w:val="007A1571"/>
    <w:rsid w:val="007A15B2"/>
    <w:rsid w:val="007A15CC"/>
    <w:rsid w:val="007A1987"/>
    <w:rsid w:val="007A199B"/>
    <w:rsid w:val="007A1A01"/>
    <w:rsid w:val="007A1BD2"/>
    <w:rsid w:val="007A1DB6"/>
    <w:rsid w:val="007A1E09"/>
    <w:rsid w:val="007A1E4D"/>
    <w:rsid w:val="007A1E77"/>
    <w:rsid w:val="007A20B1"/>
    <w:rsid w:val="007A210D"/>
    <w:rsid w:val="007A217A"/>
    <w:rsid w:val="007A2286"/>
    <w:rsid w:val="007A2296"/>
    <w:rsid w:val="007A22D4"/>
    <w:rsid w:val="007A2352"/>
    <w:rsid w:val="007A2575"/>
    <w:rsid w:val="007A26FA"/>
    <w:rsid w:val="007A2703"/>
    <w:rsid w:val="007A27B8"/>
    <w:rsid w:val="007A2841"/>
    <w:rsid w:val="007A29D9"/>
    <w:rsid w:val="007A2A60"/>
    <w:rsid w:val="007A2A92"/>
    <w:rsid w:val="007A2C29"/>
    <w:rsid w:val="007A2C37"/>
    <w:rsid w:val="007A2DBD"/>
    <w:rsid w:val="007A2DC6"/>
    <w:rsid w:val="007A2E9E"/>
    <w:rsid w:val="007A2F66"/>
    <w:rsid w:val="007A3397"/>
    <w:rsid w:val="007A33B7"/>
    <w:rsid w:val="007A355D"/>
    <w:rsid w:val="007A35B3"/>
    <w:rsid w:val="007A35B5"/>
    <w:rsid w:val="007A35F8"/>
    <w:rsid w:val="007A3A17"/>
    <w:rsid w:val="007A3B79"/>
    <w:rsid w:val="007A3B95"/>
    <w:rsid w:val="007A3C94"/>
    <w:rsid w:val="007A3D28"/>
    <w:rsid w:val="007A3D4C"/>
    <w:rsid w:val="007A3E9D"/>
    <w:rsid w:val="007A3F10"/>
    <w:rsid w:val="007A3F94"/>
    <w:rsid w:val="007A413C"/>
    <w:rsid w:val="007A4173"/>
    <w:rsid w:val="007A42A5"/>
    <w:rsid w:val="007A43E4"/>
    <w:rsid w:val="007A45D2"/>
    <w:rsid w:val="007A45E3"/>
    <w:rsid w:val="007A4618"/>
    <w:rsid w:val="007A4669"/>
    <w:rsid w:val="007A48C4"/>
    <w:rsid w:val="007A4972"/>
    <w:rsid w:val="007A49AF"/>
    <w:rsid w:val="007A4AC3"/>
    <w:rsid w:val="007A4AE3"/>
    <w:rsid w:val="007A4B69"/>
    <w:rsid w:val="007A4C6E"/>
    <w:rsid w:val="007A4D6D"/>
    <w:rsid w:val="007A4E82"/>
    <w:rsid w:val="007A4EE6"/>
    <w:rsid w:val="007A4FA6"/>
    <w:rsid w:val="007A4FBA"/>
    <w:rsid w:val="007A5066"/>
    <w:rsid w:val="007A5211"/>
    <w:rsid w:val="007A53EE"/>
    <w:rsid w:val="007A546C"/>
    <w:rsid w:val="007A55B6"/>
    <w:rsid w:val="007A5618"/>
    <w:rsid w:val="007A5695"/>
    <w:rsid w:val="007A59FA"/>
    <w:rsid w:val="007A5A94"/>
    <w:rsid w:val="007A5B91"/>
    <w:rsid w:val="007A5D84"/>
    <w:rsid w:val="007A6158"/>
    <w:rsid w:val="007A61BA"/>
    <w:rsid w:val="007A6309"/>
    <w:rsid w:val="007A642D"/>
    <w:rsid w:val="007A6585"/>
    <w:rsid w:val="007A66CA"/>
    <w:rsid w:val="007A6750"/>
    <w:rsid w:val="007A68FE"/>
    <w:rsid w:val="007A6944"/>
    <w:rsid w:val="007A6968"/>
    <w:rsid w:val="007A6B20"/>
    <w:rsid w:val="007A6C8B"/>
    <w:rsid w:val="007A70BD"/>
    <w:rsid w:val="007A71BC"/>
    <w:rsid w:val="007A71D4"/>
    <w:rsid w:val="007A729B"/>
    <w:rsid w:val="007A75A9"/>
    <w:rsid w:val="007A7720"/>
    <w:rsid w:val="007A77E0"/>
    <w:rsid w:val="007A77EA"/>
    <w:rsid w:val="007A789E"/>
    <w:rsid w:val="007A7938"/>
    <w:rsid w:val="007A7AC6"/>
    <w:rsid w:val="007A7E14"/>
    <w:rsid w:val="007B02CA"/>
    <w:rsid w:val="007B0390"/>
    <w:rsid w:val="007B0491"/>
    <w:rsid w:val="007B052C"/>
    <w:rsid w:val="007B057E"/>
    <w:rsid w:val="007B0621"/>
    <w:rsid w:val="007B068D"/>
    <w:rsid w:val="007B073D"/>
    <w:rsid w:val="007B081F"/>
    <w:rsid w:val="007B082D"/>
    <w:rsid w:val="007B0900"/>
    <w:rsid w:val="007B0999"/>
    <w:rsid w:val="007B0AB7"/>
    <w:rsid w:val="007B0AEC"/>
    <w:rsid w:val="007B0EEE"/>
    <w:rsid w:val="007B0F70"/>
    <w:rsid w:val="007B1013"/>
    <w:rsid w:val="007B1122"/>
    <w:rsid w:val="007B1161"/>
    <w:rsid w:val="007B118B"/>
    <w:rsid w:val="007B135E"/>
    <w:rsid w:val="007B1363"/>
    <w:rsid w:val="007B1509"/>
    <w:rsid w:val="007B1742"/>
    <w:rsid w:val="007B19B0"/>
    <w:rsid w:val="007B19D8"/>
    <w:rsid w:val="007B1ACE"/>
    <w:rsid w:val="007B1B34"/>
    <w:rsid w:val="007B1B81"/>
    <w:rsid w:val="007B1DE8"/>
    <w:rsid w:val="007B1EB9"/>
    <w:rsid w:val="007B206F"/>
    <w:rsid w:val="007B2154"/>
    <w:rsid w:val="007B228F"/>
    <w:rsid w:val="007B2294"/>
    <w:rsid w:val="007B2323"/>
    <w:rsid w:val="007B2579"/>
    <w:rsid w:val="007B26AC"/>
    <w:rsid w:val="007B2743"/>
    <w:rsid w:val="007B277F"/>
    <w:rsid w:val="007B2835"/>
    <w:rsid w:val="007B2855"/>
    <w:rsid w:val="007B2878"/>
    <w:rsid w:val="007B28DA"/>
    <w:rsid w:val="007B2A26"/>
    <w:rsid w:val="007B2C84"/>
    <w:rsid w:val="007B305B"/>
    <w:rsid w:val="007B32E6"/>
    <w:rsid w:val="007B330D"/>
    <w:rsid w:val="007B36EE"/>
    <w:rsid w:val="007B37DD"/>
    <w:rsid w:val="007B3BA9"/>
    <w:rsid w:val="007B3DA0"/>
    <w:rsid w:val="007B4328"/>
    <w:rsid w:val="007B4705"/>
    <w:rsid w:val="007B484B"/>
    <w:rsid w:val="007B484F"/>
    <w:rsid w:val="007B488F"/>
    <w:rsid w:val="007B48BB"/>
    <w:rsid w:val="007B4915"/>
    <w:rsid w:val="007B492F"/>
    <w:rsid w:val="007B49B5"/>
    <w:rsid w:val="007B4F49"/>
    <w:rsid w:val="007B4F63"/>
    <w:rsid w:val="007B4FF3"/>
    <w:rsid w:val="007B4FF8"/>
    <w:rsid w:val="007B5017"/>
    <w:rsid w:val="007B5136"/>
    <w:rsid w:val="007B5294"/>
    <w:rsid w:val="007B5408"/>
    <w:rsid w:val="007B5529"/>
    <w:rsid w:val="007B563C"/>
    <w:rsid w:val="007B5678"/>
    <w:rsid w:val="007B5851"/>
    <w:rsid w:val="007B5B01"/>
    <w:rsid w:val="007B5B5E"/>
    <w:rsid w:val="007B5B9F"/>
    <w:rsid w:val="007B611B"/>
    <w:rsid w:val="007B61F1"/>
    <w:rsid w:val="007B62A9"/>
    <w:rsid w:val="007B6304"/>
    <w:rsid w:val="007B6515"/>
    <w:rsid w:val="007B667D"/>
    <w:rsid w:val="007B6990"/>
    <w:rsid w:val="007B6AE0"/>
    <w:rsid w:val="007B6BE5"/>
    <w:rsid w:val="007B6C35"/>
    <w:rsid w:val="007B6EB4"/>
    <w:rsid w:val="007B70DA"/>
    <w:rsid w:val="007B7135"/>
    <w:rsid w:val="007B74EC"/>
    <w:rsid w:val="007B7556"/>
    <w:rsid w:val="007B76E7"/>
    <w:rsid w:val="007B77D7"/>
    <w:rsid w:val="007B77EA"/>
    <w:rsid w:val="007B7C01"/>
    <w:rsid w:val="007B7C22"/>
    <w:rsid w:val="007B7C29"/>
    <w:rsid w:val="007B7C6E"/>
    <w:rsid w:val="007B7DEE"/>
    <w:rsid w:val="007B7E42"/>
    <w:rsid w:val="007B7EEF"/>
    <w:rsid w:val="007C0265"/>
    <w:rsid w:val="007C0322"/>
    <w:rsid w:val="007C0505"/>
    <w:rsid w:val="007C053E"/>
    <w:rsid w:val="007C071F"/>
    <w:rsid w:val="007C08D1"/>
    <w:rsid w:val="007C08FC"/>
    <w:rsid w:val="007C0916"/>
    <w:rsid w:val="007C09DB"/>
    <w:rsid w:val="007C0A9E"/>
    <w:rsid w:val="007C0CB9"/>
    <w:rsid w:val="007C0CE2"/>
    <w:rsid w:val="007C0E40"/>
    <w:rsid w:val="007C0FA7"/>
    <w:rsid w:val="007C1233"/>
    <w:rsid w:val="007C12BA"/>
    <w:rsid w:val="007C13A9"/>
    <w:rsid w:val="007C1653"/>
    <w:rsid w:val="007C1720"/>
    <w:rsid w:val="007C17C7"/>
    <w:rsid w:val="007C1B6E"/>
    <w:rsid w:val="007C1C7E"/>
    <w:rsid w:val="007C1C96"/>
    <w:rsid w:val="007C1CD2"/>
    <w:rsid w:val="007C1D99"/>
    <w:rsid w:val="007C1F8D"/>
    <w:rsid w:val="007C1F94"/>
    <w:rsid w:val="007C21E2"/>
    <w:rsid w:val="007C23EE"/>
    <w:rsid w:val="007C24A7"/>
    <w:rsid w:val="007C24B2"/>
    <w:rsid w:val="007C252F"/>
    <w:rsid w:val="007C2582"/>
    <w:rsid w:val="007C26C9"/>
    <w:rsid w:val="007C2BB4"/>
    <w:rsid w:val="007C2BF6"/>
    <w:rsid w:val="007C2F48"/>
    <w:rsid w:val="007C3030"/>
    <w:rsid w:val="007C36CF"/>
    <w:rsid w:val="007C38B6"/>
    <w:rsid w:val="007C3AA3"/>
    <w:rsid w:val="007C3AC7"/>
    <w:rsid w:val="007C3B0B"/>
    <w:rsid w:val="007C3BB2"/>
    <w:rsid w:val="007C3CA2"/>
    <w:rsid w:val="007C3FCD"/>
    <w:rsid w:val="007C43C9"/>
    <w:rsid w:val="007C4467"/>
    <w:rsid w:val="007C44D1"/>
    <w:rsid w:val="007C453A"/>
    <w:rsid w:val="007C4666"/>
    <w:rsid w:val="007C4798"/>
    <w:rsid w:val="007C47D5"/>
    <w:rsid w:val="007C49EE"/>
    <w:rsid w:val="007C4A84"/>
    <w:rsid w:val="007C4AF6"/>
    <w:rsid w:val="007C4DC8"/>
    <w:rsid w:val="007C4DF6"/>
    <w:rsid w:val="007C4F95"/>
    <w:rsid w:val="007C4FE8"/>
    <w:rsid w:val="007C5066"/>
    <w:rsid w:val="007C5144"/>
    <w:rsid w:val="007C5221"/>
    <w:rsid w:val="007C527E"/>
    <w:rsid w:val="007C53B5"/>
    <w:rsid w:val="007C53B6"/>
    <w:rsid w:val="007C5440"/>
    <w:rsid w:val="007C55BA"/>
    <w:rsid w:val="007C5663"/>
    <w:rsid w:val="007C57F3"/>
    <w:rsid w:val="007C57F5"/>
    <w:rsid w:val="007C5974"/>
    <w:rsid w:val="007C59E5"/>
    <w:rsid w:val="007C5A33"/>
    <w:rsid w:val="007C5B73"/>
    <w:rsid w:val="007C5D17"/>
    <w:rsid w:val="007C5D60"/>
    <w:rsid w:val="007C5F42"/>
    <w:rsid w:val="007C611E"/>
    <w:rsid w:val="007C6141"/>
    <w:rsid w:val="007C620A"/>
    <w:rsid w:val="007C6371"/>
    <w:rsid w:val="007C6419"/>
    <w:rsid w:val="007C642D"/>
    <w:rsid w:val="007C6451"/>
    <w:rsid w:val="007C65C6"/>
    <w:rsid w:val="007C6740"/>
    <w:rsid w:val="007C674D"/>
    <w:rsid w:val="007C6773"/>
    <w:rsid w:val="007C677E"/>
    <w:rsid w:val="007C682A"/>
    <w:rsid w:val="007C69C6"/>
    <w:rsid w:val="007C6A00"/>
    <w:rsid w:val="007C6C09"/>
    <w:rsid w:val="007C6CAC"/>
    <w:rsid w:val="007C6EB6"/>
    <w:rsid w:val="007C704F"/>
    <w:rsid w:val="007C70AC"/>
    <w:rsid w:val="007C719D"/>
    <w:rsid w:val="007C737A"/>
    <w:rsid w:val="007C7585"/>
    <w:rsid w:val="007C78E1"/>
    <w:rsid w:val="007C7A26"/>
    <w:rsid w:val="007C7C7A"/>
    <w:rsid w:val="007D0093"/>
    <w:rsid w:val="007D0161"/>
    <w:rsid w:val="007D01B0"/>
    <w:rsid w:val="007D0737"/>
    <w:rsid w:val="007D0812"/>
    <w:rsid w:val="007D08D3"/>
    <w:rsid w:val="007D0BAD"/>
    <w:rsid w:val="007D1044"/>
    <w:rsid w:val="007D1365"/>
    <w:rsid w:val="007D1463"/>
    <w:rsid w:val="007D14A1"/>
    <w:rsid w:val="007D160F"/>
    <w:rsid w:val="007D1740"/>
    <w:rsid w:val="007D18E3"/>
    <w:rsid w:val="007D19FD"/>
    <w:rsid w:val="007D1AB3"/>
    <w:rsid w:val="007D1AB6"/>
    <w:rsid w:val="007D1E6E"/>
    <w:rsid w:val="007D2187"/>
    <w:rsid w:val="007D22C2"/>
    <w:rsid w:val="007D2510"/>
    <w:rsid w:val="007D2572"/>
    <w:rsid w:val="007D29C1"/>
    <w:rsid w:val="007D2C5E"/>
    <w:rsid w:val="007D2CD8"/>
    <w:rsid w:val="007D307B"/>
    <w:rsid w:val="007D31D7"/>
    <w:rsid w:val="007D3449"/>
    <w:rsid w:val="007D34EC"/>
    <w:rsid w:val="007D3548"/>
    <w:rsid w:val="007D3685"/>
    <w:rsid w:val="007D36C0"/>
    <w:rsid w:val="007D36E5"/>
    <w:rsid w:val="007D37EE"/>
    <w:rsid w:val="007D3B90"/>
    <w:rsid w:val="007D3C6F"/>
    <w:rsid w:val="007D3D52"/>
    <w:rsid w:val="007D3D74"/>
    <w:rsid w:val="007D3DE3"/>
    <w:rsid w:val="007D3E7A"/>
    <w:rsid w:val="007D3F6D"/>
    <w:rsid w:val="007D431E"/>
    <w:rsid w:val="007D44A6"/>
    <w:rsid w:val="007D460D"/>
    <w:rsid w:val="007D4675"/>
    <w:rsid w:val="007D4760"/>
    <w:rsid w:val="007D492F"/>
    <w:rsid w:val="007D49DA"/>
    <w:rsid w:val="007D4DA1"/>
    <w:rsid w:val="007D4E2C"/>
    <w:rsid w:val="007D4EE1"/>
    <w:rsid w:val="007D4F6E"/>
    <w:rsid w:val="007D4FA8"/>
    <w:rsid w:val="007D5056"/>
    <w:rsid w:val="007D506A"/>
    <w:rsid w:val="007D5220"/>
    <w:rsid w:val="007D5237"/>
    <w:rsid w:val="007D5262"/>
    <w:rsid w:val="007D53D0"/>
    <w:rsid w:val="007D5551"/>
    <w:rsid w:val="007D5564"/>
    <w:rsid w:val="007D5600"/>
    <w:rsid w:val="007D56A3"/>
    <w:rsid w:val="007D56B2"/>
    <w:rsid w:val="007D571F"/>
    <w:rsid w:val="007D57A2"/>
    <w:rsid w:val="007D5839"/>
    <w:rsid w:val="007D5901"/>
    <w:rsid w:val="007D5952"/>
    <w:rsid w:val="007D595D"/>
    <w:rsid w:val="007D5A3C"/>
    <w:rsid w:val="007D5B41"/>
    <w:rsid w:val="007D5B6D"/>
    <w:rsid w:val="007D5D30"/>
    <w:rsid w:val="007D60E5"/>
    <w:rsid w:val="007D60E9"/>
    <w:rsid w:val="007D61E8"/>
    <w:rsid w:val="007D6294"/>
    <w:rsid w:val="007D635A"/>
    <w:rsid w:val="007D64A3"/>
    <w:rsid w:val="007D64E4"/>
    <w:rsid w:val="007D6557"/>
    <w:rsid w:val="007D6573"/>
    <w:rsid w:val="007D66EB"/>
    <w:rsid w:val="007D6766"/>
    <w:rsid w:val="007D697E"/>
    <w:rsid w:val="007D69B0"/>
    <w:rsid w:val="007D6A9E"/>
    <w:rsid w:val="007D6AA0"/>
    <w:rsid w:val="007D6BD7"/>
    <w:rsid w:val="007D6C8C"/>
    <w:rsid w:val="007D6EBB"/>
    <w:rsid w:val="007D7048"/>
    <w:rsid w:val="007D70B1"/>
    <w:rsid w:val="007D72D3"/>
    <w:rsid w:val="007D73A3"/>
    <w:rsid w:val="007D7459"/>
    <w:rsid w:val="007D7552"/>
    <w:rsid w:val="007D75C5"/>
    <w:rsid w:val="007D7803"/>
    <w:rsid w:val="007D784E"/>
    <w:rsid w:val="007D7B70"/>
    <w:rsid w:val="007D7EE3"/>
    <w:rsid w:val="007D7FF7"/>
    <w:rsid w:val="007E0079"/>
    <w:rsid w:val="007E00B9"/>
    <w:rsid w:val="007E00F8"/>
    <w:rsid w:val="007E014D"/>
    <w:rsid w:val="007E0163"/>
    <w:rsid w:val="007E03C6"/>
    <w:rsid w:val="007E042E"/>
    <w:rsid w:val="007E04E1"/>
    <w:rsid w:val="007E0654"/>
    <w:rsid w:val="007E0746"/>
    <w:rsid w:val="007E081C"/>
    <w:rsid w:val="007E086C"/>
    <w:rsid w:val="007E087E"/>
    <w:rsid w:val="007E08C4"/>
    <w:rsid w:val="007E09CD"/>
    <w:rsid w:val="007E0A5C"/>
    <w:rsid w:val="007E0A5D"/>
    <w:rsid w:val="007E0AF5"/>
    <w:rsid w:val="007E0B0D"/>
    <w:rsid w:val="007E0C25"/>
    <w:rsid w:val="007E0CD5"/>
    <w:rsid w:val="007E0D65"/>
    <w:rsid w:val="007E0DB4"/>
    <w:rsid w:val="007E0EB3"/>
    <w:rsid w:val="007E11D0"/>
    <w:rsid w:val="007E1283"/>
    <w:rsid w:val="007E12C0"/>
    <w:rsid w:val="007E1367"/>
    <w:rsid w:val="007E13FE"/>
    <w:rsid w:val="007E14F1"/>
    <w:rsid w:val="007E1616"/>
    <w:rsid w:val="007E16A2"/>
    <w:rsid w:val="007E18B2"/>
    <w:rsid w:val="007E1948"/>
    <w:rsid w:val="007E1A38"/>
    <w:rsid w:val="007E1A74"/>
    <w:rsid w:val="007E1AB8"/>
    <w:rsid w:val="007E1B54"/>
    <w:rsid w:val="007E1DFC"/>
    <w:rsid w:val="007E1ED8"/>
    <w:rsid w:val="007E2270"/>
    <w:rsid w:val="007E22B8"/>
    <w:rsid w:val="007E242E"/>
    <w:rsid w:val="007E24D0"/>
    <w:rsid w:val="007E261F"/>
    <w:rsid w:val="007E272C"/>
    <w:rsid w:val="007E2854"/>
    <w:rsid w:val="007E28AD"/>
    <w:rsid w:val="007E2AF9"/>
    <w:rsid w:val="007E2BBA"/>
    <w:rsid w:val="007E2E5F"/>
    <w:rsid w:val="007E31FA"/>
    <w:rsid w:val="007E3224"/>
    <w:rsid w:val="007E3453"/>
    <w:rsid w:val="007E34BD"/>
    <w:rsid w:val="007E3537"/>
    <w:rsid w:val="007E3577"/>
    <w:rsid w:val="007E399F"/>
    <w:rsid w:val="007E3A40"/>
    <w:rsid w:val="007E3C0C"/>
    <w:rsid w:val="007E3F96"/>
    <w:rsid w:val="007E40DD"/>
    <w:rsid w:val="007E413C"/>
    <w:rsid w:val="007E4204"/>
    <w:rsid w:val="007E4339"/>
    <w:rsid w:val="007E435B"/>
    <w:rsid w:val="007E4363"/>
    <w:rsid w:val="007E43FC"/>
    <w:rsid w:val="007E443C"/>
    <w:rsid w:val="007E4440"/>
    <w:rsid w:val="007E4470"/>
    <w:rsid w:val="007E45DE"/>
    <w:rsid w:val="007E4838"/>
    <w:rsid w:val="007E4998"/>
    <w:rsid w:val="007E4A37"/>
    <w:rsid w:val="007E4A9C"/>
    <w:rsid w:val="007E4B58"/>
    <w:rsid w:val="007E4B5E"/>
    <w:rsid w:val="007E4E88"/>
    <w:rsid w:val="007E4FDF"/>
    <w:rsid w:val="007E4FFE"/>
    <w:rsid w:val="007E5046"/>
    <w:rsid w:val="007E50CC"/>
    <w:rsid w:val="007E511A"/>
    <w:rsid w:val="007E5203"/>
    <w:rsid w:val="007E531C"/>
    <w:rsid w:val="007E544A"/>
    <w:rsid w:val="007E5591"/>
    <w:rsid w:val="007E57DB"/>
    <w:rsid w:val="007E594C"/>
    <w:rsid w:val="007E5A13"/>
    <w:rsid w:val="007E5B34"/>
    <w:rsid w:val="007E5C32"/>
    <w:rsid w:val="007E5DEE"/>
    <w:rsid w:val="007E6038"/>
    <w:rsid w:val="007E62B0"/>
    <w:rsid w:val="007E6363"/>
    <w:rsid w:val="007E6596"/>
    <w:rsid w:val="007E65B5"/>
    <w:rsid w:val="007E68AD"/>
    <w:rsid w:val="007E6A60"/>
    <w:rsid w:val="007E6BF3"/>
    <w:rsid w:val="007E6C43"/>
    <w:rsid w:val="007E6EE6"/>
    <w:rsid w:val="007E6EF2"/>
    <w:rsid w:val="007E6FFB"/>
    <w:rsid w:val="007E707E"/>
    <w:rsid w:val="007E709F"/>
    <w:rsid w:val="007E7105"/>
    <w:rsid w:val="007E7425"/>
    <w:rsid w:val="007E7676"/>
    <w:rsid w:val="007E7688"/>
    <w:rsid w:val="007E76B5"/>
    <w:rsid w:val="007E7810"/>
    <w:rsid w:val="007E7828"/>
    <w:rsid w:val="007E7917"/>
    <w:rsid w:val="007E7BB9"/>
    <w:rsid w:val="007E7C86"/>
    <w:rsid w:val="007E7E5F"/>
    <w:rsid w:val="007E7EF5"/>
    <w:rsid w:val="007E7F11"/>
    <w:rsid w:val="007E7F62"/>
    <w:rsid w:val="007E7F71"/>
    <w:rsid w:val="007F03F2"/>
    <w:rsid w:val="007F0530"/>
    <w:rsid w:val="007F0555"/>
    <w:rsid w:val="007F05B3"/>
    <w:rsid w:val="007F065B"/>
    <w:rsid w:val="007F0849"/>
    <w:rsid w:val="007F0AAE"/>
    <w:rsid w:val="007F0BE3"/>
    <w:rsid w:val="007F0C34"/>
    <w:rsid w:val="007F0CAD"/>
    <w:rsid w:val="007F0E15"/>
    <w:rsid w:val="007F0FC2"/>
    <w:rsid w:val="007F1184"/>
    <w:rsid w:val="007F11E1"/>
    <w:rsid w:val="007F13D6"/>
    <w:rsid w:val="007F14B1"/>
    <w:rsid w:val="007F1724"/>
    <w:rsid w:val="007F182C"/>
    <w:rsid w:val="007F1870"/>
    <w:rsid w:val="007F1A37"/>
    <w:rsid w:val="007F1BA8"/>
    <w:rsid w:val="007F1DB8"/>
    <w:rsid w:val="007F1DE7"/>
    <w:rsid w:val="007F1F3B"/>
    <w:rsid w:val="007F1FD6"/>
    <w:rsid w:val="007F2151"/>
    <w:rsid w:val="007F234C"/>
    <w:rsid w:val="007F246F"/>
    <w:rsid w:val="007F24ED"/>
    <w:rsid w:val="007F2761"/>
    <w:rsid w:val="007F2853"/>
    <w:rsid w:val="007F29A1"/>
    <w:rsid w:val="007F2A6C"/>
    <w:rsid w:val="007F2AAF"/>
    <w:rsid w:val="007F2ACC"/>
    <w:rsid w:val="007F2B28"/>
    <w:rsid w:val="007F2DE5"/>
    <w:rsid w:val="007F2EA6"/>
    <w:rsid w:val="007F302E"/>
    <w:rsid w:val="007F3307"/>
    <w:rsid w:val="007F336D"/>
    <w:rsid w:val="007F33B5"/>
    <w:rsid w:val="007F341C"/>
    <w:rsid w:val="007F343D"/>
    <w:rsid w:val="007F3558"/>
    <w:rsid w:val="007F3578"/>
    <w:rsid w:val="007F359B"/>
    <w:rsid w:val="007F35D2"/>
    <w:rsid w:val="007F360E"/>
    <w:rsid w:val="007F3779"/>
    <w:rsid w:val="007F37A1"/>
    <w:rsid w:val="007F386A"/>
    <w:rsid w:val="007F389C"/>
    <w:rsid w:val="007F3A02"/>
    <w:rsid w:val="007F3B53"/>
    <w:rsid w:val="007F3BEA"/>
    <w:rsid w:val="007F3EC2"/>
    <w:rsid w:val="007F4073"/>
    <w:rsid w:val="007F4179"/>
    <w:rsid w:val="007F4383"/>
    <w:rsid w:val="007F440F"/>
    <w:rsid w:val="007F45F2"/>
    <w:rsid w:val="007F471B"/>
    <w:rsid w:val="007F4835"/>
    <w:rsid w:val="007F4896"/>
    <w:rsid w:val="007F498C"/>
    <w:rsid w:val="007F4BAE"/>
    <w:rsid w:val="007F4D66"/>
    <w:rsid w:val="007F504F"/>
    <w:rsid w:val="007F5137"/>
    <w:rsid w:val="007F523B"/>
    <w:rsid w:val="007F5300"/>
    <w:rsid w:val="007F569D"/>
    <w:rsid w:val="007F5754"/>
    <w:rsid w:val="007F5760"/>
    <w:rsid w:val="007F5809"/>
    <w:rsid w:val="007F586E"/>
    <w:rsid w:val="007F587A"/>
    <w:rsid w:val="007F58EA"/>
    <w:rsid w:val="007F595E"/>
    <w:rsid w:val="007F5AA4"/>
    <w:rsid w:val="007F5AE0"/>
    <w:rsid w:val="007F5D1A"/>
    <w:rsid w:val="007F5E93"/>
    <w:rsid w:val="007F5FEE"/>
    <w:rsid w:val="007F6109"/>
    <w:rsid w:val="007F633E"/>
    <w:rsid w:val="007F6388"/>
    <w:rsid w:val="007F63A3"/>
    <w:rsid w:val="007F6728"/>
    <w:rsid w:val="007F6767"/>
    <w:rsid w:val="007F676C"/>
    <w:rsid w:val="007F69F6"/>
    <w:rsid w:val="007F6A39"/>
    <w:rsid w:val="007F6C61"/>
    <w:rsid w:val="007F6CDE"/>
    <w:rsid w:val="007F6D03"/>
    <w:rsid w:val="007F6D5C"/>
    <w:rsid w:val="007F6DC9"/>
    <w:rsid w:val="007F6E73"/>
    <w:rsid w:val="007F7061"/>
    <w:rsid w:val="007F7078"/>
    <w:rsid w:val="007F7217"/>
    <w:rsid w:val="007F7340"/>
    <w:rsid w:val="007F7345"/>
    <w:rsid w:val="007F75F4"/>
    <w:rsid w:val="007F7623"/>
    <w:rsid w:val="007F763F"/>
    <w:rsid w:val="007F76D2"/>
    <w:rsid w:val="007F787A"/>
    <w:rsid w:val="007F788B"/>
    <w:rsid w:val="007F78E4"/>
    <w:rsid w:val="007F7933"/>
    <w:rsid w:val="007F7991"/>
    <w:rsid w:val="007F79E3"/>
    <w:rsid w:val="007F7A3D"/>
    <w:rsid w:val="007F7AF6"/>
    <w:rsid w:val="007F7C8D"/>
    <w:rsid w:val="007F7CAD"/>
    <w:rsid w:val="007F7F79"/>
    <w:rsid w:val="008000B4"/>
    <w:rsid w:val="0080024A"/>
    <w:rsid w:val="008003A7"/>
    <w:rsid w:val="008003C0"/>
    <w:rsid w:val="00800516"/>
    <w:rsid w:val="0080052D"/>
    <w:rsid w:val="008006AC"/>
    <w:rsid w:val="00800795"/>
    <w:rsid w:val="008008B9"/>
    <w:rsid w:val="0080098C"/>
    <w:rsid w:val="00800991"/>
    <w:rsid w:val="00800AB4"/>
    <w:rsid w:val="00800AC0"/>
    <w:rsid w:val="00800ACC"/>
    <w:rsid w:val="00800B54"/>
    <w:rsid w:val="00800D6A"/>
    <w:rsid w:val="00800F30"/>
    <w:rsid w:val="00800F77"/>
    <w:rsid w:val="00801006"/>
    <w:rsid w:val="0080114D"/>
    <w:rsid w:val="00801276"/>
    <w:rsid w:val="00801341"/>
    <w:rsid w:val="00801459"/>
    <w:rsid w:val="008015E8"/>
    <w:rsid w:val="008016AB"/>
    <w:rsid w:val="00801923"/>
    <w:rsid w:val="00801AF9"/>
    <w:rsid w:val="00801BAA"/>
    <w:rsid w:val="00801C49"/>
    <w:rsid w:val="00801C4C"/>
    <w:rsid w:val="00801CED"/>
    <w:rsid w:val="00801F5D"/>
    <w:rsid w:val="00802076"/>
    <w:rsid w:val="0080214B"/>
    <w:rsid w:val="0080244D"/>
    <w:rsid w:val="008026AF"/>
    <w:rsid w:val="0080274A"/>
    <w:rsid w:val="00802801"/>
    <w:rsid w:val="00802960"/>
    <w:rsid w:val="00802B4D"/>
    <w:rsid w:val="00802EF9"/>
    <w:rsid w:val="00802F73"/>
    <w:rsid w:val="008030E0"/>
    <w:rsid w:val="00803366"/>
    <w:rsid w:val="00803408"/>
    <w:rsid w:val="00803472"/>
    <w:rsid w:val="008035E4"/>
    <w:rsid w:val="008035FB"/>
    <w:rsid w:val="0080390A"/>
    <w:rsid w:val="00803DFF"/>
    <w:rsid w:val="00803E77"/>
    <w:rsid w:val="00803FD2"/>
    <w:rsid w:val="00803FD4"/>
    <w:rsid w:val="0080408D"/>
    <w:rsid w:val="00804383"/>
    <w:rsid w:val="0080439D"/>
    <w:rsid w:val="008045A0"/>
    <w:rsid w:val="00804755"/>
    <w:rsid w:val="00804B08"/>
    <w:rsid w:val="00804B7B"/>
    <w:rsid w:val="00804CB1"/>
    <w:rsid w:val="00804D30"/>
    <w:rsid w:val="00804D9A"/>
    <w:rsid w:val="00804DF7"/>
    <w:rsid w:val="00805046"/>
    <w:rsid w:val="00805055"/>
    <w:rsid w:val="008050B0"/>
    <w:rsid w:val="00805180"/>
    <w:rsid w:val="00805223"/>
    <w:rsid w:val="00805266"/>
    <w:rsid w:val="008054D3"/>
    <w:rsid w:val="00805585"/>
    <w:rsid w:val="008055E1"/>
    <w:rsid w:val="0080572F"/>
    <w:rsid w:val="008058DB"/>
    <w:rsid w:val="008058E2"/>
    <w:rsid w:val="008058EC"/>
    <w:rsid w:val="00805A1C"/>
    <w:rsid w:val="00805B89"/>
    <w:rsid w:val="00805BAB"/>
    <w:rsid w:val="00805C26"/>
    <w:rsid w:val="00805CC8"/>
    <w:rsid w:val="00805DE1"/>
    <w:rsid w:val="00805E39"/>
    <w:rsid w:val="00805F64"/>
    <w:rsid w:val="00805F7E"/>
    <w:rsid w:val="00806067"/>
    <w:rsid w:val="008060A8"/>
    <w:rsid w:val="008060AA"/>
    <w:rsid w:val="008061D5"/>
    <w:rsid w:val="0080633E"/>
    <w:rsid w:val="00806414"/>
    <w:rsid w:val="0080651D"/>
    <w:rsid w:val="008066DD"/>
    <w:rsid w:val="0080676C"/>
    <w:rsid w:val="00806816"/>
    <w:rsid w:val="008069AC"/>
    <w:rsid w:val="00806A08"/>
    <w:rsid w:val="00806B5D"/>
    <w:rsid w:val="00806D38"/>
    <w:rsid w:val="00806DC6"/>
    <w:rsid w:val="00806E62"/>
    <w:rsid w:val="0080701D"/>
    <w:rsid w:val="0080714E"/>
    <w:rsid w:val="008071CB"/>
    <w:rsid w:val="008072C9"/>
    <w:rsid w:val="0080734A"/>
    <w:rsid w:val="008073A2"/>
    <w:rsid w:val="00807457"/>
    <w:rsid w:val="0080759A"/>
    <w:rsid w:val="008076C2"/>
    <w:rsid w:val="0080771B"/>
    <w:rsid w:val="0080779D"/>
    <w:rsid w:val="00807845"/>
    <w:rsid w:val="00807890"/>
    <w:rsid w:val="00807A92"/>
    <w:rsid w:val="00807C45"/>
    <w:rsid w:val="00807CB1"/>
    <w:rsid w:val="008100E8"/>
    <w:rsid w:val="00810181"/>
    <w:rsid w:val="0081020B"/>
    <w:rsid w:val="0081048A"/>
    <w:rsid w:val="008106B6"/>
    <w:rsid w:val="008106BF"/>
    <w:rsid w:val="00810734"/>
    <w:rsid w:val="008107E7"/>
    <w:rsid w:val="008108C9"/>
    <w:rsid w:val="008109AA"/>
    <w:rsid w:val="00810A90"/>
    <w:rsid w:val="00810DD5"/>
    <w:rsid w:val="00810E92"/>
    <w:rsid w:val="00810ECD"/>
    <w:rsid w:val="00811096"/>
    <w:rsid w:val="008110C1"/>
    <w:rsid w:val="008111C7"/>
    <w:rsid w:val="0081140A"/>
    <w:rsid w:val="00811540"/>
    <w:rsid w:val="008116E1"/>
    <w:rsid w:val="0081170D"/>
    <w:rsid w:val="00811805"/>
    <w:rsid w:val="008118FF"/>
    <w:rsid w:val="00811A5B"/>
    <w:rsid w:val="00811CA9"/>
    <w:rsid w:val="00811E37"/>
    <w:rsid w:val="00812044"/>
    <w:rsid w:val="008120DE"/>
    <w:rsid w:val="00812204"/>
    <w:rsid w:val="00812434"/>
    <w:rsid w:val="0081254C"/>
    <w:rsid w:val="008125D2"/>
    <w:rsid w:val="00812613"/>
    <w:rsid w:val="00812805"/>
    <w:rsid w:val="008128D4"/>
    <w:rsid w:val="00812C59"/>
    <w:rsid w:val="0081302C"/>
    <w:rsid w:val="00813044"/>
    <w:rsid w:val="008132B7"/>
    <w:rsid w:val="00813368"/>
    <w:rsid w:val="00813471"/>
    <w:rsid w:val="00813551"/>
    <w:rsid w:val="0081362B"/>
    <w:rsid w:val="0081371A"/>
    <w:rsid w:val="00813726"/>
    <w:rsid w:val="0081373A"/>
    <w:rsid w:val="008137F1"/>
    <w:rsid w:val="00813938"/>
    <w:rsid w:val="00813A1A"/>
    <w:rsid w:val="00813ABA"/>
    <w:rsid w:val="00813B91"/>
    <w:rsid w:val="00813CF1"/>
    <w:rsid w:val="00813D58"/>
    <w:rsid w:val="00813E23"/>
    <w:rsid w:val="008141BE"/>
    <w:rsid w:val="008141F8"/>
    <w:rsid w:val="0081420D"/>
    <w:rsid w:val="00814265"/>
    <w:rsid w:val="00814277"/>
    <w:rsid w:val="008142B6"/>
    <w:rsid w:val="00814489"/>
    <w:rsid w:val="008146C7"/>
    <w:rsid w:val="008146FE"/>
    <w:rsid w:val="00814735"/>
    <w:rsid w:val="00814782"/>
    <w:rsid w:val="008147FB"/>
    <w:rsid w:val="00814826"/>
    <w:rsid w:val="00814B87"/>
    <w:rsid w:val="00814BB4"/>
    <w:rsid w:val="00814CDD"/>
    <w:rsid w:val="00814E3A"/>
    <w:rsid w:val="00814E41"/>
    <w:rsid w:val="00814E48"/>
    <w:rsid w:val="00814FD2"/>
    <w:rsid w:val="0081516F"/>
    <w:rsid w:val="008154CD"/>
    <w:rsid w:val="00815D31"/>
    <w:rsid w:val="00815E42"/>
    <w:rsid w:val="00815E75"/>
    <w:rsid w:val="00815F4D"/>
    <w:rsid w:val="00815FE8"/>
    <w:rsid w:val="00816218"/>
    <w:rsid w:val="00816283"/>
    <w:rsid w:val="008163B5"/>
    <w:rsid w:val="00816425"/>
    <w:rsid w:val="00816794"/>
    <w:rsid w:val="00816797"/>
    <w:rsid w:val="00816848"/>
    <w:rsid w:val="00816977"/>
    <w:rsid w:val="00816A87"/>
    <w:rsid w:val="00816C7B"/>
    <w:rsid w:val="00816E40"/>
    <w:rsid w:val="00816FB8"/>
    <w:rsid w:val="00816FE2"/>
    <w:rsid w:val="0081720F"/>
    <w:rsid w:val="00817493"/>
    <w:rsid w:val="008177DD"/>
    <w:rsid w:val="0081783B"/>
    <w:rsid w:val="00817CA2"/>
    <w:rsid w:val="00817F5D"/>
    <w:rsid w:val="00817FE2"/>
    <w:rsid w:val="00820159"/>
    <w:rsid w:val="0082061A"/>
    <w:rsid w:val="00820AB0"/>
    <w:rsid w:val="00820D62"/>
    <w:rsid w:val="00820E27"/>
    <w:rsid w:val="008210BA"/>
    <w:rsid w:val="00821174"/>
    <w:rsid w:val="00821231"/>
    <w:rsid w:val="008212E5"/>
    <w:rsid w:val="0082132B"/>
    <w:rsid w:val="0082143A"/>
    <w:rsid w:val="00821480"/>
    <w:rsid w:val="008214AC"/>
    <w:rsid w:val="008214DD"/>
    <w:rsid w:val="008216BB"/>
    <w:rsid w:val="0082171E"/>
    <w:rsid w:val="00821867"/>
    <w:rsid w:val="008218C4"/>
    <w:rsid w:val="00821B5B"/>
    <w:rsid w:val="00821B95"/>
    <w:rsid w:val="00821C58"/>
    <w:rsid w:val="00821CF4"/>
    <w:rsid w:val="00821EBA"/>
    <w:rsid w:val="00821F7F"/>
    <w:rsid w:val="00822087"/>
    <w:rsid w:val="008220F0"/>
    <w:rsid w:val="00822294"/>
    <w:rsid w:val="0082266F"/>
    <w:rsid w:val="0082284C"/>
    <w:rsid w:val="008228CB"/>
    <w:rsid w:val="0082296D"/>
    <w:rsid w:val="00822D79"/>
    <w:rsid w:val="00822D85"/>
    <w:rsid w:val="00822E8E"/>
    <w:rsid w:val="00822EE9"/>
    <w:rsid w:val="00823074"/>
    <w:rsid w:val="00823106"/>
    <w:rsid w:val="0082310F"/>
    <w:rsid w:val="00823119"/>
    <w:rsid w:val="00823267"/>
    <w:rsid w:val="00823376"/>
    <w:rsid w:val="0082347D"/>
    <w:rsid w:val="0082348F"/>
    <w:rsid w:val="008234A8"/>
    <w:rsid w:val="00823588"/>
    <w:rsid w:val="008235BB"/>
    <w:rsid w:val="00823633"/>
    <w:rsid w:val="008236A9"/>
    <w:rsid w:val="0082376E"/>
    <w:rsid w:val="00823847"/>
    <w:rsid w:val="00823A26"/>
    <w:rsid w:val="00823B74"/>
    <w:rsid w:val="00823BEF"/>
    <w:rsid w:val="00824074"/>
    <w:rsid w:val="0082410D"/>
    <w:rsid w:val="00824370"/>
    <w:rsid w:val="00824419"/>
    <w:rsid w:val="0082457D"/>
    <w:rsid w:val="008245A0"/>
    <w:rsid w:val="008245B0"/>
    <w:rsid w:val="00824669"/>
    <w:rsid w:val="008249F1"/>
    <w:rsid w:val="00824D20"/>
    <w:rsid w:val="00824D3D"/>
    <w:rsid w:val="00824DAF"/>
    <w:rsid w:val="00824E6E"/>
    <w:rsid w:val="008250F2"/>
    <w:rsid w:val="008252D9"/>
    <w:rsid w:val="008252F3"/>
    <w:rsid w:val="00825389"/>
    <w:rsid w:val="0082544A"/>
    <w:rsid w:val="0082548C"/>
    <w:rsid w:val="0082565B"/>
    <w:rsid w:val="0082590A"/>
    <w:rsid w:val="00825965"/>
    <w:rsid w:val="00825C1F"/>
    <w:rsid w:val="00825C36"/>
    <w:rsid w:val="0082612A"/>
    <w:rsid w:val="00826147"/>
    <w:rsid w:val="00826336"/>
    <w:rsid w:val="00826438"/>
    <w:rsid w:val="00826535"/>
    <w:rsid w:val="008265DB"/>
    <w:rsid w:val="0082660D"/>
    <w:rsid w:val="00826956"/>
    <w:rsid w:val="008269EA"/>
    <w:rsid w:val="00826AAE"/>
    <w:rsid w:val="00826C6D"/>
    <w:rsid w:val="00826CC6"/>
    <w:rsid w:val="00826D27"/>
    <w:rsid w:val="00826D5E"/>
    <w:rsid w:val="00826FA8"/>
    <w:rsid w:val="0082700C"/>
    <w:rsid w:val="0082707C"/>
    <w:rsid w:val="0082709E"/>
    <w:rsid w:val="008271C6"/>
    <w:rsid w:val="008271CD"/>
    <w:rsid w:val="00827212"/>
    <w:rsid w:val="0082727E"/>
    <w:rsid w:val="008272E4"/>
    <w:rsid w:val="008273F9"/>
    <w:rsid w:val="008275CD"/>
    <w:rsid w:val="008275F7"/>
    <w:rsid w:val="00827654"/>
    <w:rsid w:val="008277DF"/>
    <w:rsid w:val="00827857"/>
    <w:rsid w:val="00827916"/>
    <w:rsid w:val="00827A6B"/>
    <w:rsid w:val="00827C6C"/>
    <w:rsid w:val="00827F34"/>
    <w:rsid w:val="00827F47"/>
    <w:rsid w:val="00827FD7"/>
    <w:rsid w:val="008305C6"/>
    <w:rsid w:val="008305E3"/>
    <w:rsid w:val="008305F9"/>
    <w:rsid w:val="00830667"/>
    <w:rsid w:val="00830679"/>
    <w:rsid w:val="008306D7"/>
    <w:rsid w:val="0083074A"/>
    <w:rsid w:val="00830972"/>
    <w:rsid w:val="008309F7"/>
    <w:rsid w:val="00830AD8"/>
    <w:rsid w:val="00830C59"/>
    <w:rsid w:val="00830CC2"/>
    <w:rsid w:val="00830E2B"/>
    <w:rsid w:val="00831049"/>
    <w:rsid w:val="008310EB"/>
    <w:rsid w:val="00831195"/>
    <w:rsid w:val="0083122A"/>
    <w:rsid w:val="0083131F"/>
    <w:rsid w:val="008314B8"/>
    <w:rsid w:val="008316AD"/>
    <w:rsid w:val="008316E5"/>
    <w:rsid w:val="008319AD"/>
    <w:rsid w:val="00831A6A"/>
    <w:rsid w:val="00831A6C"/>
    <w:rsid w:val="00831AEF"/>
    <w:rsid w:val="00831B82"/>
    <w:rsid w:val="00831BC1"/>
    <w:rsid w:val="00831CAB"/>
    <w:rsid w:val="00831CF9"/>
    <w:rsid w:val="00831E7C"/>
    <w:rsid w:val="00831EB4"/>
    <w:rsid w:val="00831FB0"/>
    <w:rsid w:val="00832119"/>
    <w:rsid w:val="008322CF"/>
    <w:rsid w:val="008323AA"/>
    <w:rsid w:val="0083256D"/>
    <w:rsid w:val="00832637"/>
    <w:rsid w:val="0083273D"/>
    <w:rsid w:val="00832A9A"/>
    <w:rsid w:val="00832B32"/>
    <w:rsid w:val="00832BA2"/>
    <w:rsid w:val="00833127"/>
    <w:rsid w:val="00833163"/>
    <w:rsid w:val="008331AE"/>
    <w:rsid w:val="00833231"/>
    <w:rsid w:val="00833274"/>
    <w:rsid w:val="008333EB"/>
    <w:rsid w:val="008333FB"/>
    <w:rsid w:val="008335B2"/>
    <w:rsid w:val="0083364D"/>
    <w:rsid w:val="00833694"/>
    <w:rsid w:val="00833760"/>
    <w:rsid w:val="0083379E"/>
    <w:rsid w:val="008337AC"/>
    <w:rsid w:val="008337B2"/>
    <w:rsid w:val="008339D7"/>
    <w:rsid w:val="00833B4F"/>
    <w:rsid w:val="00833CD8"/>
    <w:rsid w:val="00833D40"/>
    <w:rsid w:val="00833F25"/>
    <w:rsid w:val="00833F2B"/>
    <w:rsid w:val="00833F51"/>
    <w:rsid w:val="008341ED"/>
    <w:rsid w:val="00834291"/>
    <w:rsid w:val="008343BF"/>
    <w:rsid w:val="00834402"/>
    <w:rsid w:val="008348DF"/>
    <w:rsid w:val="00834B74"/>
    <w:rsid w:val="00834B82"/>
    <w:rsid w:val="00834CDA"/>
    <w:rsid w:val="00834DBA"/>
    <w:rsid w:val="00834FFF"/>
    <w:rsid w:val="008350A9"/>
    <w:rsid w:val="00835396"/>
    <w:rsid w:val="00835436"/>
    <w:rsid w:val="008354E7"/>
    <w:rsid w:val="0083582F"/>
    <w:rsid w:val="008358E5"/>
    <w:rsid w:val="008359B8"/>
    <w:rsid w:val="00835B65"/>
    <w:rsid w:val="00835BA3"/>
    <w:rsid w:val="00835C23"/>
    <w:rsid w:val="00835D29"/>
    <w:rsid w:val="00835FAD"/>
    <w:rsid w:val="00836237"/>
    <w:rsid w:val="0083629C"/>
    <w:rsid w:val="00836367"/>
    <w:rsid w:val="0083689F"/>
    <w:rsid w:val="008369B7"/>
    <w:rsid w:val="00836A35"/>
    <w:rsid w:val="00836ABA"/>
    <w:rsid w:val="00836B4A"/>
    <w:rsid w:val="00836C65"/>
    <w:rsid w:val="00836CA9"/>
    <w:rsid w:val="00836D30"/>
    <w:rsid w:val="00836D3D"/>
    <w:rsid w:val="00836D49"/>
    <w:rsid w:val="00836E86"/>
    <w:rsid w:val="00837121"/>
    <w:rsid w:val="00837153"/>
    <w:rsid w:val="00837232"/>
    <w:rsid w:val="00837287"/>
    <w:rsid w:val="008372E2"/>
    <w:rsid w:val="00837371"/>
    <w:rsid w:val="008373CE"/>
    <w:rsid w:val="00837438"/>
    <w:rsid w:val="00837475"/>
    <w:rsid w:val="008374DE"/>
    <w:rsid w:val="008376C0"/>
    <w:rsid w:val="00837710"/>
    <w:rsid w:val="00837745"/>
    <w:rsid w:val="00837795"/>
    <w:rsid w:val="00837978"/>
    <w:rsid w:val="00837ABA"/>
    <w:rsid w:val="00837C07"/>
    <w:rsid w:val="00837CDB"/>
    <w:rsid w:val="00837D0F"/>
    <w:rsid w:val="00837DD0"/>
    <w:rsid w:val="00837F4B"/>
    <w:rsid w:val="00840065"/>
    <w:rsid w:val="008403C3"/>
    <w:rsid w:val="00840882"/>
    <w:rsid w:val="00840AB6"/>
    <w:rsid w:val="00840BDF"/>
    <w:rsid w:val="00840CA5"/>
    <w:rsid w:val="00840D6B"/>
    <w:rsid w:val="00840E10"/>
    <w:rsid w:val="0084101B"/>
    <w:rsid w:val="00841233"/>
    <w:rsid w:val="008415B3"/>
    <w:rsid w:val="0084163B"/>
    <w:rsid w:val="0084191F"/>
    <w:rsid w:val="00841F18"/>
    <w:rsid w:val="0084219F"/>
    <w:rsid w:val="008425A2"/>
    <w:rsid w:val="00842625"/>
    <w:rsid w:val="0084267C"/>
    <w:rsid w:val="0084274B"/>
    <w:rsid w:val="00842892"/>
    <w:rsid w:val="008429FC"/>
    <w:rsid w:val="00842A7E"/>
    <w:rsid w:val="00842B2A"/>
    <w:rsid w:val="00842B2F"/>
    <w:rsid w:val="00842C3C"/>
    <w:rsid w:val="00842E59"/>
    <w:rsid w:val="00842F5F"/>
    <w:rsid w:val="008430AC"/>
    <w:rsid w:val="008430DB"/>
    <w:rsid w:val="00843195"/>
    <w:rsid w:val="008431A0"/>
    <w:rsid w:val="008431C0"/>
    <w:rsid w:val="00843327"/>
    <w:rsid w:val="0084333F"/>
    <w:rsid w:val="008435A6"/>
    <w:rsid w:val="00843647"/>
    <w:rsid w:val="008436AD"/>
    <w:rsid w:val="0084377F"/>
    <w:rsid w:val="00843A13"/>
    <w:rsid w:val="00843A20"/>
    <w:rsid w:val="00843A24"/>
    <w:rsid w:val="00843B5B"/>
    <w:rsid w:val="00843CDD"/>
    <w:rsid w:val="00843D1C"/>
    <w:rsid w:val="00843D74"/>
    <w:rsid w:val="00844057"/>
    <w:rsid w:val="008440D9"/>
    <w:rsid w:val="0084420D"/>
    <w:rsid w:val="00844215"/>
    <w:rsid w:val="00844400"/>
    <w:rsid w:val="008445C4"/>
    <w:rsid w:val="008446EC"/>
    <w:rsid w:val="00844735"/>
    <w:rsid w:val="008447C0"/>
    <w:rsid w:val="00844AE0"/>
    <w:rsid w:val="00844CF7"/>
    <w:rsid w:val="00844DAC"/>
    <w:rsid w:val="00844FD4"/>
    <w:rsid w:val="00845088"/>
    <w:rsid w:val="00845305"/>
    <w:rsid w:val="008453EB"/>
    <w:rsid w:val="0084560A"/>
    <w:rsid w:val="00845655"/>
    <w:rsid w:val="008457B0"/>
    <w:rsid w:val="008457C3"/>
    <w:rsid w:val="008457CC"/>
    <w:rsid w:val="00845AD6"/>
    <w:rsid w:val="00845BAF"/>
    <w:rsid w:val="00845C9B"/>
    <w:rsid w:val="00845D58"/>
    <w:rsid w:val="008460CE"/>
    <w:rsid w:val="00846530"/>
    <w:rsid w:val="008465E1"/>
    <w:rsid w:val="00846992"/>
    <w:rsid w:val="008469C5"/>
    <w:rsid w:val="00846BF3"/>
    <w:rsid w:val="00846C07"/>
    <w:rsid w:val="00846C16"/>
    <w:rsid w:val="00846C2B"/>
    <w:rsid w:val="00846D54"/>
    <w:rsid w:val="00846D61"/>
    <w:rsid w:val="00846E4E"/>
    <w:rsid w:val="00846EAA"/>
    <w:rsid w:val="00847053"/>
    <w:rsid w:val="008471C2"/>
    <w:rsid w:val="00847253"/>
    <w:rsid w:val="00847450"/>
    <w:rsid w:val="0084746C"/>
    <w:rsid w:val="00847557"/>
    <w:rsid w:val="008475D2"/>
    <w:rsid w:val="0084767C"/>
    <w:rsid w:val="008476F9"/>
    <w:rsid w:val="0084772B"/>
    <w:rsid w:val="0084799B"/>
    <w:rsid w:val="00847AC5"/>
    <w:rsid w:val="00847B24"/>
    <w:rsid w:val="00847BD4"/>
    <w:rsid w:val="00847BFC"/>
    <w:rsid w:val="00847C71"/>
    <w:rsid w:val="00847DAD"/>
    <w:rsid w:val="00847E0A"/>
    <w:rsid w:val="00847EDF"/>
    <w:rsid w:val="00847F17"/>
    <w:rsid w:val="00847FAB"/>
    <w:rsid w:val="00847FAC"/>
    <w:rsid w:val="00850143"/>
    <w:rsid w:val="00850262"/>
    <w:rsid w:val="008502AC"/>
    <w:rsid w:val="008502C8"/>
    <w:rsid w:val="008502D5"/>
    <w:rsid w:val="008502E3"/>
    <w:rsid w:val="0085032D"/>
    <w:rsid w:val="008504E3"/>
    <w:rsid w:val="008504EE"/>
    <w:rsid w:val="00850561"/>
    <w:rsid w:val="008507E1"/>
    <w:rsid w:val="008508F5"/>
    <w:rsid w:val="00850908"/>
    <w:rsid w:val="00850945"/>
    <w:rsid w:val="00850AF2"/>
    <w:rsid w:val="00850AF7"/>
    <w:rsid w:val="00850ED6"/>
    <w:rsid w:val="00851008"/>
    <w:rsid w:val="008511D8"/>
    <w:rsid w:val="008511FC"/>
    <w:rsid w:val="0085124F"/>
    <w:rsid w:val="00851458"/>
    <w:rsid w:val="008514B7"/>
    <w:rsid w:val="008514FE"/>
    <w:rsid w:val="008518BB"/>
    <w:rsid w:val="00851B94"/>
    <w:rsid w:val="00851C0B"/>
    <w:rsid w:val="00851DC2"/>
    <w:rsid w:val="00852584"/>
    <w:rsid w:val="008528D5"/>
    <w:rsid w:val="008529AF"/>
    <w:rsid w:val="00852A10"/>
    <w:rsid w:val="00852A1F"/>
    <w:rsid w:val="00852A4A"/>
    <w:rsid w:val="00852D84"/>
    <w:rsid w:val="00852DA9"/>
    <w:rsid w:val="00852DB4"/>
    <w:rsid w:val="00852ED3"/>
    <w:rsid w:val="00852FAC"/>
    <w:rsid w:val="00853186"/>
    <w:rsid w:val="008531A6"/>
    <w:rsid w:val="0085323D"/>
    <w:rsid w:val="00853347"/>
    <w:rsid w:val="008536E4"/>
    <w:rsid w:val="008536EB"/>
    <w:rsid w:val="00853730"/>
    <w:rsid w:val="0085373D"/>
    <w:rsid w:val="0085382B"/>
    <w:rsid w:val="00853871"/>
    <w:rsid w:val="0085390E"/>
    <w:rsid w:val="0085399B"/>
    <w:rsid w:val="008539CD"/>
    <w:rsid w:val="00853AB2"/>
    <w:rsid w:val="00853B5B"/>
    <w:rsid w:val="00853C08"/>
    <w:rsid w:val="00853D54"/>
    <w:rsid w:val="00853EDC"/>
    <w:rsid w:val="008541C2"/>
    <w:rsid w:val="00854220"/>
    <w:rsid w:val="0085429E"/>
    <w:rsid w:val="008542EA"/>
    <w:rsid w:val="008544EF"/>
    <w:rsid w:val="008545F4"/>
    <w:rsid w:val="0085467B"/>
    <w:rsid w:val="008547D4"/>
    <w:rsid w:val="00854AC4"/>
    <w:rsid w:val="00854AF8"/>
    <w:rsid w:val="00854B1E"/>
    <w:rsid w:val="00854DBD"/>
    <w:rsid w:val="00854DD0"/>
    <w:rsid w:val="00854EED"/>
    <w:rsid w:val="00855057"/>
    <w:rsid w:val="00855117"/>
    <w:rsid w:val="00855236"/>
    <w:rsid w:val="008552FD"/>
    <w:rsid w:val="00855351"/>
    <w:rsid w:val="008553F9"/>
    <w:rsid w:val="0085574F"/>
    <w:rsid w:val="008557AF"/>
    <w:rsid w:val="0085583C"/>
    <w:rsid w:val="00855DC0"/>
    <w:rsid w:val="00855FE3"/>
    <w:rsid w:val="008560CC"/>
    <w:rsid w:val="00856145"/>
    <w:rsid w:val="00856299"/>
    <w:rsid w:val="008562FE"/>
    <w:rsid w:val="008563D6"/>
    <w:rsid w:val="00856563"/>
    <w:rsid w:val="0085659C"/>
    <w:rsid w:val="008565FF"/>
    <w:rsid w:val="0085660E"/>
    <w:rsid w:val="00856912"/>
    <w:rsid w:val="00856A19"/>
    <w:rsid w:val="00856A47"/>
    <w:rsid w:val="00856B49"/>
    <w:rsid w:val="00856B64"/>
    <w:rsid w:val="00856BDF"/>
    <w:rsid w:val="00856CCE"/>
    <w:rsid w:val="00856E7F"/>
    <w:rsid w:val="00856F22"/>
    <w:rsid w:val="00857041"/>
    <w:rsid w:val="00857150"/>
    <w:rsid w:val="00857360"/>
    <w:rsid w:val="00857456"/>
    <w:rsid w:val="008577AB"/>
    <w:rsid w:val="00857807"/>
    <w:rsid w:val="008579C6"/>
    <w:rsid w:val="00857AD6"/>
    <w:rsid w:val="00857B89"/>
    <w:rsid w:val="00857BBC"/>
    <w:rsid w:val="00857C96"/>
    <w:rsid w:val="00857E25"/>
    <w:rsid w:val="00857F4C"/>
    <w:rsid w:val="0086007E"/>
    <w:rsid w:val="00860203"/>
    <w:rsid w:val="0086020E"/>
    <w:rsid w:val="00860276"/>
    <w:rsid w:val="008602AF"/>
    <w:rsid w:val="00860382"/>
    <w:rsid w:val="008605F3"/>
    <w:rsid w:val="00860768"/>
    <w:rsid w:val="008607D8"/>
    <w:rsid w:val="00860871"/>
    <w:rsid w:val="00860C93"/>
    <w:rsid w:val="00860C9E"/>
    <w:rsid w:val="00860D9F"/>
    <w:rsid w:val="00860E30"/>
    <w:rsid w:val="00860EDD"/>
    <w:rsid w:val="00860F7F"/>
    <w:rsid w:val="0086100E"/>
    <w:rsid w:val="008610C1"/>
    <w:rsid w:val="00861326"/>
    <w:rsid w:val="0086136A"/>
    <w:rsid w:val="00861413"/>
    <w:rsid w:val="00861564"/>
    <w:rsid w:val="00861590"/>
    <w:rsid w:val="008618C4"/>
    <w:rsid w:val="008619EC"/>
    <w:rsid w:val="00861B19"/>
    <w:rsid w:val="00861B8F"/>
    <w:rsid w:val="00861B93"/>
    <w:rsid w:val="00861EE7"/>
    <w:rsid w:val="008620D6"/>
    <w:rsid w:val="008622DF"/>
    <w:rsid w:val="0086235E"/>
    <w:rsid w:val="008623D5"/>
    <w:rsid w:val="0086246D"/>
    <w:rsid w:val="00862580"/>
    <w:rsid w:val="0086261B"/>
    <w:rsid w:val="00862AF8"/>
    <w:rsid w:val="00862C10"/>
    <w:rsid w:val="00862CEA"/>
    <w:rsid w:val="00862D1D"/>
    <w:rsid w:val="00862D5A"/>
    <w:rsid w:val="0086303F"/>
    <w:rsid w:val="00863065"/>
    <w:rsid w:val="008631B3"/>
    <w:rsid w:val="00863317"/>
    <w:rsid w:val="008637B4"/>
    <w:rsid w:val="0086399E"/>
    <w:rsid w:val="008639A1"/>
    <w:rsid w:val="00863B58"/>
    <w:rsid w:val="00863D3B"/>
    <w:rsid w:val="00863F2C"/>
    <w:rsid w:val="008640B3"/>
    <w:rsid w:val="0086427A"/>
    <w:rsid w:val="00864418"/>
    <w:rsid w:val="00864553"/>
    <w:rsid w:val="008646B8"/>
    <w:rsid w:val="008647D2"/>
    <w:rsid w:val="00864820"/>
    <w:rsid w:val="00864950"/>
    <w:rsid w:val="00864A54"/>
    <w:rsid w:val="00864A5D"/>
    <w:rsid w:val="00864A89"/>
    <w:rsid w:val="00864AB1"/>
    <w:rsid w:val="00864ACA"/>
    <w:rsid w:val="00864EA3"/>
    <w:rsid w:val="00864EBD"/>
    <w:rsid w:val="00864ED3"/>
    <w:rsid w:val="00865049"/>
    <w:rsid w:val="008651AA"/>
    <w:rsid w:val="008651DD"/>
    <w:rsid w:val="0086523E"/>
    <w:rsid w:val="0086552B"/>
    <w:rsid w:val="008656A7"/>
    <w:rsid w:val="00865786"/>
    <w:rsid w:val="008657D8"/>
    <w:rsid w:val="00865927"/>
    <w:rsid w:val="00865AA0"/>
    <w:rsid w:val="00865B2D"/>
    <w:rsid w:val="00865C92"/>
    <w:rsid w:val="0086610F"/>
    <w:rsid w:val="00866190"/>
    <w:rsid w:val="0086649E"/>
    <w:rsid w:val="008664EB"/>
    <w:rsid w:val="00866724"/>
    <w:rsid w:val="008667F9"/>
    <w:rsid w:val="0086699B"/>
    <w:rsid w:val="008669E0"/>
    <w:rsid w:val="00866DE8"/>
    <w:rsid w:val="00867055"/>
    <w:rsid w:val="00867580"/>
    <w:rsid w:val="0086796B"/>
    <w:rsid w:val="008679AC"/>
    <w:rsid w:val="008679E6"/>
    <w:rsid w:val="00867B55"/>
    <w:rsid w:val="00870009"/>
    <w:rsid w:val="00870071"/>
    <w:rsid w:val="008700A7"/>
    <w:rsid w:val="0087033A"/>
    <w:rsid w:val="0087051D"/>
    <w:rsid w:val="00870615"/>
    <w:rsid w:val="008706A3"/>
    <w:rsid w:val="00870805"/>
    <w:rsid w:val="00870A3B"/>
    <w:rsid w:val="00870A9F"/>
    <w:rsid w:val="00870B12"/>
    <w:rsid w:val="00870BF8"/>
    <w:rsid w:val="00870D04"/>
    <w:rsid w:val="00871051"/>
    <w:rsid w:val="00871139"/>
    <w:rsid w:val="00871250"/>
    <w:rsid w:val="00871300"/>
    <w:rsid w:val="0087152A"/>
    <w:rsid w:val="00871540"/>
    <w:rsid w:val="00871563"/>
    <w:rsid w:val="0087167E"/>
    <w:rsid w:val="00871729"/>
    <w:rsid w:val="008717DF"/>
    <w:rsid w:val="008717E9"/>
    <w:rsid w:val="0087188F"/>
    <w:rsid w:val="00871940"/>
    <w:rsid w:val="008719EA"/>
    <w:rsid w:val="00871AD4"/>
    <w:rsid w:val="00871C60"/>
    <w:rsid w:val="00871F43"/>
    <w:rsid w:val="00871F82"/>
    <w:rsid w:val="00872029"/>
    <w:rsid w:val="008721FF"/>
    <w:rsid w:val="00872233"/>
    <w:rsid w:val="00872278"/>
    <w:rsid w:val="00872340"/>
    <w:rsid w:val="0087236F"/>
    <w:rsid w:val="00872838"/>
    <w:rsid w:val="0087284B"/>
    <w:rsid w:val="00872956"/>
    <w:rsid w:val="0087295E"/>
    <w:rsid w:val="00872C17"/>
    <w:rsid w:val="00872C33"/>
    <w:rsid w:val="00872D68"/>
    <w:rsid w:val="00872DAC"/>
    <w:rsid w:val="00872E7A"/>
    <w:rsid w:val="00872F0A"/>
    <w:rsid w:val="00873094"/>
    <w:rsid w:val="00873192"/>
    <w:rsid w:val="008731D6"/>
    <w:rsid w:val="00873232"/>
    <w:rsid w:val="008734BF"/>
    <w:rsid w:val="008735A7"/>
    <w:rsid w:val="0087365F"/>
    <w:rsid w:val="00873671"/>
    <w:rsid w:val="008736E9"/>
    <w:rsid w:val="00873967"/>
    <w:rsid w:val="008739A6"/>
    <w:rsid w:val="00873A63"/>
    <w:rsid w:val="00873AF9"/>
    <w:rsid w:val="00873B7C"/>
    <w:rsid w:val="00873D5F"/>
    <w:rsid w:val="00873E2C"/>
    <w:rsid w:val="00873EFA"/>
    <w:rsid w:val="00873F40"/>
    <w:rsid w:val="0087428C"/>
    <w:rsid w:val="008742E8"/>
    <w:rsid w:val="00874460"/>
    <w:rsid w:val="0087456C"/>
    <w:rsid w:val="0087458D"/>
    <w:rsid w:val="00874648"/>
    <w:rsid w:val="00874686"/>
    <w:rsid w:val="008746C2"/>
    <w:rsid w:val="008746F7"/>
    <w:rsid w:val="008746FC"/>
    <w:rsid w:val="0087472A"/>
    <w:rsid w:val="0087490E"/>
    <w:rsid w:val="00874A7D"/>
    <w:rsid w:val="00874CA8"/>
    <w:rsid w:val="00874CD5"/>
    <w:rsid w:val="00874F3A"/>
    <w:rsid w:val="00874FD0"/>
    <w:rsid w:val="00875087"/>
    <w:rsid w:val="008750C8"/>
    <w:rsid w:val="008753AF"/>
    <w:rsid w:val="00875692"/>
    <w:rsid w:val="0087587F"/>
    <w:rsid w:val="00875887"/>
    <w:rsid w:val="008758F6"/>
    <w:rsid w:val="00875AA8"/>
    <w:rsid w:val="00875B7B"/>
    <w:rsid w:val="00875BEE"/>
    <w:rsid w:val="00875EA7"/>
    <w:rsid w:val="00875FC2"/>
    <w:rsid w:val="008761DB"/>
    <w:rsid w:val="008764BE"/>
    <w:rsid w:val="008765CB"/>
    <w:rsid w:val="008765D8"/>
    <w:rsid w:val="0087662C"/>
    <w:rsid w:val="00876646"/>
    <w:rsid w:val="008768C0"/>
    <w:rsid w:val="008768CE"/>
    <w:rsid w:val="00876A7F"/>
    <w:rsid w:val="00876C32"/>
    <w:rsid w:val="00876C41"/>
    <w:rsid w:val="00876D2C"/>
    <w:rsid w:val="00876D8E"/>
    <w:rsid w:val="008772FF"/>
    <w:rsid w:val="00877335"/>
    <w:rsid w:val="0087734C"/>
    <w:rsid w:val="00877362"/>
    <w:rsid w:val="008774AD"/>
    <w:rsid w:val="00877866"/>
    <w:rsid w:val="00877BC1"/>
    <w:rsid w:val="00877CB6"/>
    <w:rsid w:val="00877E60"/>
    <w:rsid w:val="00877E91"/>
    <w:rsid w:val="00880076"/>
    <w:rsid w:val="00880224"/>
    <w:rsid w:val="008802C6"/>
    <w:rsid w:val="0088043F"/>
    <w:rsid w:val="0088044B"/>
    <w:rsid w:val="0088046D"/>
    <w:rsid w:val="00880897"/>
    <w:rsid w:val="00880961"/>
    <w:rsid w:val="00880AF4"/>
    <w:rsid w:val="00880B11"/>
    <w:rsid w:val="00880C2C"/>
    <w:rsid w:val="00880CAE"/>
    <w:rsid w:val="00880DF3"/>
    <w:rsid w:val="00880E84"/>
    <w:rsid w:val="00881022"/>
    <w:rsid w:val="00881057"/>
    <w:rsid w:val="008810CA"/>
    <w:rsid w:val="0088126A"/>
    <w:rsid w:val="0088158C"/>
    <w:rsid w:val="008815B1"/>
    <w:rsid w:val="008815BA"/>
    <w:rsid w:val="00881614"/>
    <w:rsid w:val="0088161A"/>
    <w:rsid w:val="0088163B"/>
    <w:rsid w:val="00881666"/>
    <w:rsid w:val="008817AB"/>
    <w:rsid w:val="008817B1"/>
    <w:rsid w:val="008818B6"/>
    <w:rsid w:val="00881C78"/>
    <w:rsid w:val="00881C82"/>
    <w:rsid w:val="00881ED8"/>
    <w:rsid w:val="008824FB"/>
    <w:rsid w:val="00882520"/>
    <w:rsid w:val="00882660"/>
    <w:rsid w:val="008826AE"/>
    <w:rsid w:val="00882B6E"/>
    <w:rsid w:val="00882BAB"/>
    <w:rsid w:val="00882BDA"/>
    <w:rsid w:val="00882BE9"/>
    <w:rsid w:val="00882BF1"/>
    <w:rsid w:val="00882CB7"/>
    <w:rsid w:val="00882E54"/>
    <w:rsid w:val="00882E79"/>
    <w:rsid w:val="00882F7E"/>
    <w:rsid w:val="00882F88"/>
    <w:rsid w:val="008834CA"/>
    <w:rsid w:val="008835A7"/>
    <w:rsid w:val="008836FB"/>
    <w:rsid w:val="00883851"/>
    <w:rsid w:val="0088397A"/>
    <w:rsid w:val="008839E5"/>
    <w:rsid w:val="00883A1C"/>
    <w:rsid w:val="00883A2C"/>
    <w:rsid w:val="00883AF5"/>
    <w:rsid w:val="00883B69"/>
    <w:rsid w:val="00883BF8"/>
    <w:rsid w:val="00883DB0"/>
    <w:rsid w:val="00883F81"/>
    <w:rsid w:val="0088416D"/>
    <w:rsid w:val="008843E2"/>
    <w:rsid w:val="00884448"/>
    <w:rsid w:val="00884619"/>
    <w:rsid w:val="008847F1"/>
    <w:rsid w:val="00884827"/>
    <w:rsid w:val="00884A3B"/>
    <w:rsid w:val="00884AAD"/>
    <w:rsid w:val="00884CDD"/>
    <w:rsid w:val="00884F0B"/>
    <w:rsid w:val="00884FA5"/>
    <w:rsid w:val="00885369"/>
    <w:rsid w:val="0088542C"/>
    <w:rsid w:val="008855E4"/>
    <w:rsid w:val="008856EF"/>
    <w:rsid w:val="0088585F"/>
    <w:rsid w:val="008858E6"/>
    <w:rsid w:val="0088593D"/>
    <w:rsid w:val="00885DCA"/>
    <w:rsid w:val="00885E3B"/>
    <w:rsid w:val="0088600D"/>
    <w:rsid w:val="00886171"/>
    <w:rsid w:val="00886377"/>
    <w:rsid w:val="00886414"/>
    <w:rsid w:val="0088642E"/>
    <w:rsid w:val="0088650B"/>
    <w:rsid w:val="008865FF"/>
    <w:rsid w:val="00886611"/>
    <w:rsid w:val="00886807"/>
    <w:rsid w:val="0088682B"/>
    <w:rsid w:val="0088691F"/>
    <w:rsid w:val="00886999"/>
    <w:rsid w:val="008869D9"/>
    <w:rsid w:val="00886AC2"/>
    <w:rsid w:val="00886C84"/>
    <w:rsid w:val="00886D57"/>
    <w:rsid w:val="00886DB0"/>
    <w:rsid w:val="00887084"/>
    <w:rsid w:val="00887361"/>
    <w:rsid w:val="0088736F"/>
    <w:rsid w:val="008873AA"/>
    <w:rsid w:val="008873C0"/>
    <w:rsid w:val="0088744B"/>
    <w:rsid w:val="0088751C"/>
    <w:rsid w:val="0088753B"/>
    <w:rsid w:val="0088772F"/>
    <w:rsid w:val="008877A9"/>
    <w:rsid w:val="008877E9"/>
    <w:rsid w:val="00887967"/>
    <w:rsid w:val="008879BC"/>
    <w:rsid w:val="00887D1E"/>
    <w:rsid w:val="00887D92"/>
    <w:rsid w:val="00887E88"/>
    <w:rsid w:val="00890519"/>
    <w:rsid w:val="00890744"/>
    <w:rsid w:val="00890832"/>
    <w:rsid w:val="00890889"/>
    <w:rsid w:val="00890914"/>
    <w:rsid w:val="00890A36"/>
    <w:rsid w:val="00890B30"/>
    <w:rsid w:val="00890B64"/>
    <w:rsid w:val="00890BE8"/>
    <w:rsid w:val="00890D16"/>
    <w:rsid w:val="00890D48"/>
    <w:rsid w:val="00890DAA"/>
    <w:rsid w:val="00890F50"/>
    <w:rsid w:val="0089104A"/>
    <w:rsid w:val="00891107"/>
    <w:rsid w:val="00891229"/>
    <w:rsid w:val="008913C9"/>
    <w:rsid w:val="008913D4"/>
    <w:rsid w:val="0089153E"/>
    <w:rsid w:val="008915FE"/>
    <w:rsid w:val="0089165E"/>
    <w:rsid w:val="008916AF"/>
    <w:rsid w:val="00891883"/>
    <w:rsid w:val="0089193C"/>
    <w:rsid w:val="008919D8"/>
    <w:rsid w:val="00891E0A"/>
    <w:rsid w:val="008920D0"/>
    <w:rsid w:val="00892116"/>
    <w:rsid w:val="00892131"/>
    <w:rsid w:val="008922FC"/>
    <w:rsid w:val="00892392"/>
    <w:rsid w:val="008923B8"/>
    <w:rsid w:val="008924BC"/>
    <w:rsid w:val="008924C8"/>
    <w:rsid w:val="00892858"/>
    <w:rsid w:val="00892A7D"/>
    <w:rsid w:val="00892AC1"/>
    <w:rsid w:val="00892BB6"/>
    <w:rsid w:val="00892D91"/>
    <w:rsid w:val="00892ECD"/>
    <w:rsid w:val="008930C0"/>
    <w:rsid w:val="008931A4"/>
    <w:rsid w:val="00893206"/>
    <w:rsid w:val="00893230"/>
    <w:rsid w:val="00893349"/>
    <w:rsid w:val="008933B0"/>
    <w:rsid w:val="008934ED"/>
    <w:rsid w:val="00893514"/>
    <w:rsid w:val="0089377E"/>
    <w:rsid w:val="00893859"/>
    <w:rsid w:val="00893B5D"/>
    <w:rsid w:val="00893D50"/>
    <w:rsid w:val="00893DB6"/>
    <w:rsid w:val="00893EF4"/>
    <w:rsid w:val="00893FFD"/>
    <w:rsid w:val="00894236"/>
    <w:rsid w:val="008944A6"/>
    <w:rsid w:val="00894524"/>
    <w:rsid w:val="008946EF"/>
    <w:rsid w:val="0089473E"/>
    <w:rsid w:val="008947EA"/>
    <w:rsid w:val="00894870"/>
    <w:rsid w:val="00894976"/>
    <w:rsid w:val="00894A63"/>
    <w:rsid w:val="00894B9F"/>
    <w:rsid w:val="00894FD4"/>
    <w:rsid w:val="00895157"/>
    <w:rsid w:val="0089544E"/>
    <w:rsid w:val="008954B8"/>
    <w:rsid w:val="00895632"/>
    <w:rsid w:val="00895644"/>
    <w:rsid w:val="00895739"/>
    <w:rsid w:val="00895846"/>
    <w:rsid w:val="008958BB"/>
    <w:rsid w:val="00895A5E"/>
    <w:rsid w:val="00895D0A"/>
    <w:rsid w:val="00895DEC"/>
    <w:rsid w:val="00895F47"/>
    <w:rsid w:val="00896041"/>
    <w:rsid w:val="00896108"/>
    <w:rsid w:val="00896337"/>
    <w:rsid w:val="00896443"/>
    <w:rsid w:val="00896709"/>
    <w:rsid w:val="00896945"/>
    <w:rsid w:val="00896BF6"/>
    <w:rsid w:val="00896C17"/>
    <w:rsid w:val="00896C4A"/>
    <w:rsid w:val="00896E04"/>
    <w:rsid w:val="00896E14"/>
    <w:rsid w:val="0089701A"/>
    <w:rsid w:val="00897051"/>
    <w:rsid w:val="008970E0"/>
    <w:rsid w:val="008971BC"/>
    <w:rsid w:val="008971C8"/>
    <w:rsid w:val="0089721D"/>
    <w:rsid w:val="00897313"/>
    <w:rsid w:val="008973CD"/>
    <w:rsid w:val="00897486"/>
    <w:rsid w:val="008974F3"/>
    <w:rsid w:val="00897654"/>
    <w:rsid w:val="008976A2"/>
    <w:rsid w:val="008976CC"/>
    <w:rsid w:val="00897839"/>
    <w:rsid w:val="008979DA"/>
    <w:rsid w:val="00897B25"/>
    <w:rsid w:val="00897EF5"/>
    <w:rsid w:val="008A0018"/>
    <w:rsid w:val="008A004C"/>
    <w:rsid w:val="008A00A2"/>
    <w:rsid w:val="008A039B"/>
    <w:rsid w:val="008A0437"/>
    <w:rsid w:val="008A0518"/>
    <w:rsid w:val="008A075F"/>
    <w:rsid w:val="008A07A5"/>
    <w:rsid w:val="008A0B3D"/>
    <w:rsid w:val="008A0C68"/>
    <w:rsid w:val="008A0C7A"/>
    <w:rsid w:val="008A0D6C"/>
    <w:rsid w:val="008A0E73"/>
    <w:rsid w:val="008A1052"/>
    <w:rsid w:val="008A1162"/>
    <w:rsid w:val="008A1203"/>
    <w:rsid w:val="008A1523"/>
    <w:rsid w:val="008A164F"/>
    <w:rsid w:val="008A16CD"/>
    <w:rsid w:val="008A1889"/>
    <w:rsid w:val="008A1990"/>
    <w:rsid w:val="008A19EA"/>
    <w:rsid w:val="008A1D72"/>
    <w:rsid w:val="008A1EBF"/>
    <w:rsid w:val="008A1FA6"/>
    <w:rsid w:val="008A2037"/>
    <w:rsid w:val="008A203A"/>
    <w:rsid w:val="008A22B2"/>
    <w:rsid w:val="008A22C6"/>
    <w:rsid w:val="008A23BF"/>
    <w:rsid w:val="008A24AB"/>
    <w:rsid w:val="008A268D"/>
    <w:rsid w:val="008A2762"/>
    <w:rsid w:val="008A27FC"/>
    <w:rsid w:val="008A292C"/>
    <w:rsid w:val="008A2B33"/>
    <w:rsid w:val="008A2B54"/>
    <w:rsid w:val="008A2E1A"/>
    <w:rsid w:val="008A2E4D"/>
    <w:rsid w:val="008A2F19"/>
    <w:rsid w:val="008A2F60"/>
    <w:rsid w:val="008A30B1"/>
    <w:rsid w:val="008A318A"/>
    <w:rsid w:val="008A31DD"/>
    <w:rsid w:val="008A3489"/>
    <w:rsid w:val="008A3608"/>
    <w:rsid w:val="008A3769"/>
    <w:rsid w:val="008A3992"/>
    <w:rsid w:val="008A3CC0"/>
    <w:rsid w:val="008A3EB6"/>
    <w:rsid w:val="008A40C4"/>
    <w:rsid w:val="008A4528"/>
    <w:rsid w:val="008A4712"/>
    <w:rsid w:val="008A474E"/>
    <w:rsid w:val="008A4863"/>
    <w:rsid w:val="008A4870"/>
    <w:rsid w:val="008A4876"/>
    <w:rsid w:val="008A489D"/>
    <w:rsid w:val="008A48AF"/>
    <w:rsid w:val="008A4922"/>
    <w:rsid w:val="008A4C63"/>
    <w:rsid w:val="008A4C82"/>
    <w:rsid w:val="008A4EC9"/>
    <w:rsid w:val="008A4F82"/>
    <w:rsid w:val="008A53A3"/>
    <w:rsid w:val="008A566D"/>
    <w:rsid w:val="008A5A27"/>
    <w:rsid w:val="008A5A3A"/>
    <w:rsid w:val="008A5AB7"/>
    <w:rsid w:val="008A5C62"/>
    <w:rsid w:val="008A5E01"/>
    <w:rsid w:val="008A5E2D"/>
    <w:rsid w:val="008A5E49"/>
    <w:rsid w:val="008A5F3B"/>
    <w:rsid w:val="008A5F78"/>
    <w:rsid w:val="008A608C"/>
    <w:rsid w:val="008A60AE"/>
    <w:rsid w:val="008A60E2"/>
    <w:rsid w:val="008A6178"/>
    <w:rsid w:val="008A6B03"/>
    <w:rsid w:val="008A6B48"/>
    <w:rsid w:val="008A6BB1"/>
    <w:rsid w:val="008A6BCA"/>
    <w:rsid w:val="008A6C15"/>
    <w:rsid w:val="008A6C67"/>
    <w:rsid w:val="008A6DBB"/>
    <w:rsid w:val="008A6E75"/>
    <w:rsid w:val="008A6E80"/>
    <w:rsid w:val="008A6EE8"/>
    <w:rsid w:val="008A7081"/>
    <w:rsid w:val="008A730D"/>
    <w:rsid w:val="008A7386"/>
    <w:rsid w:val="008A73FC"/>
    <w:rsid w:val="008A74C4"/>
    <w:rsid w:val="008A76B4"/>
    <w:rsid w:val="008A77B8"/>
    <w:rsid w:val="008A782A"/>
    <w:rsid w:val="008A797D"/>
    <w:rsid w:val="008A7B81"/>
    <w:rsid w:val="008A7BDD"/>
    <w:rsid w:val="008A7DB7"/>
    <w:rsid w:val="008B00B9"/>
    <w:rsid w:val="008B0130"/>
    <w:rsid w:val="008B0292"/>
    <w:rsid w:val="008B038D"/>
    <w:rsid w:val="008B0411"/>
    <w:rsid w:val="008B0558"/>
    <w:rsid w:val="008B05E1"/>
    <w:rsid w:val="008B0688"/>
    <w:rsid w:val="008B06F5"/>
    <w:rsid w:val="008B097F"/>
    <w:rsid w:val="008B0A4E"/>
    <w:rsid w:val="008B0D37"/>
    <w:rsid w:val="008B0E3D"/>
    <w:rsid w:val="008B1043"/>
    <w:rsid w:val="008B110B"/>
    <w:rsid w:val="008B1152"/>
    <w:rsid w:val="008B117A"/>
    <w:rsid w:val="008B1180"/>
    <w:rsid w:val="008B12B2"/>
    <w:rsid w:val="008B137E"/>
    <w:rsid w:val="008B13FC"/>
    <w:rsid w:val="008B14AD"/>
    <w:rsid w:val="008B160B"/>
    <w:rsid w:val="008B19EA"/>
    <w:rsid w:val="008B1D06"/>
    <w:rsid w:val="008B1EE4"/>
    <w:rsid w:val="008B25A4"/>
    <w:rsid w:val="008B27AA"/>
    <w:rsid w:val="008B28B0"/>
    <w:rsid w:val="008B2941"/>
    <w:rsid w:val="008B297C"/>
    <w:rsid w:val="008B2B99"/>
    <w:rsid w:val="008B2BA0"/>
    <w:rsid w:val="008B2BFD"/>
    <w:rsid w:val="008B2C26"/>
    <w:rsid w:val="008B2C48"/>
    <w:rsid w:val="008B2E0D"/>
    <w:rsid w:val="008B3066"/>
    <w:rsid w:val="008B3089"/>
    <w:rsid w:val="008B30CC"/>
    <w:rsid w:val="008B313C"/>
    <w:rsid w:val="008B3177"/>
    <w:rsid w:val="008B3181"/>
    <w:rsid w:val="008B31DC"/>
    <w:rsid w:val="008B3687"/>
    <w:rsid w:val="008B38A2"/>
    <w:rsid w:val="008B39A2"/>
    <w:rsid w:val="008B39C7"/>
    <w:rsid w:val="008B3CA4"/>
    <w:rsid w:val="008B3CBD"/>
    <w:rsid w:val="008B3D54"/>
    <w:rsid w:val="008B3E62"/>
    <w:rsid w:val="008B3FF5"/>
    <w:rsid w:val="008B40F6"/>
    <w:rsid w:val="008B40FF"/>
    <w:rsid w:val="008B45C4"/>
    <w:rsid w:val="008B46DF"/>
    <w:rsid w:val="008B48B9"/>
    <w:rsid w:val="008B4AF5"/>
    <w:rsid w:val="008B4FF7"/>
    <w:rsid w:val="008B5130"/>
    <w:rsid w:val="008B51A9"/>
    <w:rsid w:val="008B5612"/>
    <w:rsid w:val="008B5624"/>
    <w:rsid w:val="008B567D"/>
    <w:rsid w:val="008B587C"/>
    <w:rsid w:val="008B5FB8"/>
    <w:rsid w:val="008B6024"/>
    <w:rsid w:val="008B6088"/>
    <w:rsid w:val="008B60E2"/>
    <w:rsid w:val="008B61EF"/>
    <w:rsid w:val="008B6510"/>
    <w:rsid w:val="008B6762"/>
    <w:rsid w:val="008B687B"/>
    <w:rsid w:val="008B6AA7"/>
    <w:rsid w:val="008B6BDF"/>
    <w:rsid w:val="008B6D59"/>
    <w:rsid w:val="008B6DE0"/>
    <w:rsid w:val="008B703A"/>
    <w:rsid w:val="008B71D8"/>
    <w:rsid w:val="008B72F0"/>
    <w:rsid w:val="008B74BF"/>
    <w:rsid w:val="008B75B0"/>
    <w:rsid w:val="008B7654"/>
    <w:rsid w:val="008B767D"/>
    <w:rsid w:val="008B7718"/>
    <w:rsid w:val="008B7722"/>
    <w:rsid w:val="008B7836"/>
    <w:rsid w:val="008B787A"/>
    <w:rsid w:val="008B7901"/>
    <w:rsid w:val="008B7ACF"/>
    <w:rsid w:val="008B7C3E"/>
    <w:rsid w:val="008B7CA8"/>
    <w:rsid w:val="008B7D0D"/>
    <w:rsid w:val="008B7E5D"/>
    <w:rsid w:val="008B7F11"/>
    <w:rsid w:val="008B7F67"/>
    <w:rsid w:val="008B7FE5"/>
    <w:rsid w:val="008C0248"/>
    <w:rsid w:val="008C052E"/>
    <w:rsid w:val="008C059F"/>
    <w:rsid w:val="008C067C"/>
    <w:rsid w:val="008C095F"/>
    <w:rsid w:val="008C0B9E"/>
    <w:rsid w:val="008C0C28"/>
    <w:rsid w:val="008C0C2E"/>
    <w:rsid w:val="008C0DAA"/>
    <w:rsid w:val="008C0E4A"/>
    <w:rsid w:val="008C106C"/>
    <w:rsid w:val="008C10F5"/>
    <w:rsid w:val="008C1136"/>
    <w:rsid w:val="008C1201"/>
    <w:rsid w:val="008C1293"/>
    <w:rsid w:val="008C1415"/>
    <w:rsid w:val="008C14FC"/>
    <w:rsid w:val="008C15BF"/>
    <w:rsid w:val="008C16B9"/>
    <w:rsid w:val="008C19B0"/>
    <w:rsid w:val="008C1AA9"/>
    <w:rsid w:val="008C1AB6"/>
    <w:rsid w:val="008C1AE4"/>
    <w:rsid w:val="008C1B1E"/>
    <w:rsid w:val="008C1B3A"/>
    <w:rsid w:val="008C1B86"/>
    <w:rsid w:val="008C1C5A"/>
    <w:rsid w:val="008C1C8F"/>
    <w:rsid w:val="008C1D14"/>
    <w:rsid w:val="008C1E52"/>
    <w:rsid w:val="008C1ECB"/>
    <w:rsid w:val="008C1F14"/>
    <w:rsid w:val="008C20B5"/>
    <w:rsid w:val="008C2235"/>
    <w:rsid w:val="008C2247"/>
    <w:rsid w:val="008C2266"/>
    <w:rsid w:val="008C240A"/>
    <w:rsid w:val="008C2451"/>
    <w:rsid w:val="008C2773"/>
    <w:rsid w:val="008C29BE"/>
    <w:rsid w:val="008C2AF3"/>
    <w:rsid w:val="008C2B95"/>
    <w:rsid w:val="008C2BBB"/>
    <w:rsid w:val="008C2C5C"/>
    <w:rsid w:val="008C3252"/>
    <w:rsid w:val="008C33AF"/>
    <w:rsid w:val="008C33EB"/>
    <w:rsid w:val="008C3507"/>
    <w:rsid w:val="008C3543"/>
    <w:rsid w:val="008C3592"/>
    <w:rsid w:val="008C3770"/>
    <w:rsid w:val="008C3774"/>
    <w:rsid w:val="008C3AD0"/>
    <w:rsid w:val="008C3CA6"/>
    <w:rsid w:val="008C3CDA"/>
    <w:rsid w:val="008C3D48"/>
    <w:rsid w:val="008C3D9F"/>
    <w:rsid w:val="008C3E3E"/>
    <w:rsid w:val="008C3F8D"/>
    <w:rsid w:val="008C3FCF"/>
    <w:rsid w:val="008C3FE2"/>
    <w:rsid w:val="008C3FEF"/>
    <w:rsid w:val="008C40B2"/>
    <w:rsid w:val="008C40EC"/>
    <w:rsid w:val="008C4174"/>
    <w:rsid w:val="008C4293"/>
    <w:rsid w:val="008C46A3"/>
    <w:rsid w:val="008C46AF"/>
    <w:rsid w:val="008C472B"/>
    <w:rsid w:val="008C47C0"/>
    <w:rsid w:val="008C47E1"/>
    <w:rsid w:val="008C49A0"/>
    <w:rsid w:val="008C49A2"/>
    <w:rsid w:val="008C4ACC"/>
    <w:rsid w:val="008C4C30"/>
    <w:rsid w:val="008C4C97"/>
    <w:rsid w:val="008C520D"/>
    <w:rsid w:val="008C52F6"/>
    <w:rsid w:val="008C537F"/>
    <w:rsid w:val="008C5472"/>
    <w:rsid w:val="008C54BA"/>
    <w:rsid w:val="008C5561"/>
    <w:rsid w:val="008C55F3"/>
    <w:rsid w:val="008C56D4"/>
    <w:rsid w:val="008C5717"/>
    <w:rsid w:val="008C572D"/>
    <w:rsid w:val="008C57D1"/>
    <w:rsid w:val="008C57E3"/>
    <w:rsid w:val="008C5805"/>
    <w:rsid w:val="008C5903"/>
    <w:rsid w:val="008C5939"/>
    <w:rsid w:val="008C5954"/>
    <w:rsid w:val="008C59D1"/>
    <w:rsid w:val="008C5AB1"/>
    <w:rsid w:val="008C5B48"/>
    <w:rsid w:val="008C5B69"/>
    <w:rsid w:val="008C5C47"/>
    <w:rsid w:val="008C5CFC"/>
    <w:rsid w:val="008C5D23"/>
    <w:rsid w:val="008C5DC6"/>
    <w:rsid w:val="008C5F0E"/>
    <w:rsid w:val="008C5FBE"/>
    <w:rsid w:val="008C610B"/>
    <w:rsid w:val="008C6128"/>
    <w:rsid w:val="008C6129"/>
    <w:rsid w:val="008C623C"/>
    <w:rsid w:val="008C628F"/>
    <w:rsid w:val="008C6461"/>
    <w:rsid w:val="008C648D"/>
    <w:rsid w:val="008C670F"/>
    <w:rsid w:val="008C67B5"/>
    <w:rsid w:val="008C67D8"/>
    <w:rsid w:val="008C6934"/>
    <w:rsid w:val="008C6CA1"/>
    <w:rsid w:val="008C6CE1"/>
    <w:rsid w:val="008C6D1E"/>
    <w:rsid w:val="008C6E08"/>
    <w:rsid w:val="008C6E0E"/>
    <w:rsid w:val="008C6E3E"/>
    <w:rsid w:val="008C6F87"/>
    <w:rsid w:val="008C701D"/>
    <w:rsid w:val="008C71C4"/>
    <w:rsid w:val="008C71D7"/>
    <w:rsid w:val="008C72C1"/>
    <w:rsid w:val="008C7650"/>
    <w:rsid w:val="008C77C9"/>
    <w:rsid w:val="008C78B2"/>
    <w:rsid w:val="008C7903"/>
    <w:rsid w:val="008C7E6D"/>
    <w:rsid w:val="008C7F2B"/>
    <w:rsid w:val="008D0059"/>
    <w:rsid w:val="008D01CC"/>
    <w:rsid w:val="008D02A8"/>
    <w:rsid w:val="008D02E4"/>
    <w:rsid w:val="008D0384"/>
    <w:rsid w:val="008D0476"/>
    <w:rsid w:val="008D0884"/>
    <w:rsid w:val="008D0B9D"/>
    <w:rsid w:val="008D0F96"/>
    <w:rsid w:val="008D0FF9"/>
    <w:rsid w:val="008D1169"/>
    <w:rsid w:val="008D1171"/>
    <w:rsid w:val="008D119D"/>
    <w:rsid w:val="008D11BD"/>
    <w:rsid w:val="008D12ED"/>
    <w:rsid w:val="008D155A"/>
    <w:rsid w:val="008D18D3"/>
    <w:rsid w:val="008D18F2"/>
    <w:rsid w:val="008D1A1B"/>
    <w:rsid w:val="008D1A5A"/>
    <w:rsid w:val="008D1CAB"/>
    <w:rsid w:val="008D1CCB"/>
    <w:rsid w:val="008D1CD6"/>
    <w:rsid w:val="008D1D87"/>
    <w:rsid w:val="008D1DC0"/>
    <w:rsid w:val="008D1E25"/>
    <w:rsid w:val="008D1F5F"/>
    <w:rsid w:val="008D1F9D"/>
    <w:rsid w:val="008D2059"/>
    <w:rsid w:val="008D211B"/>
    <w:rsid w:val="008D2199"/>
    <w:rsid w:val="008D21C4"/>
    <w:rsid w:val="008D21EC"/>
    <w:rsid w:val="008D2654"/>
    <w:rsid w:val="008D275F"/>
    <w:rsid w:val="008D293B"/>
    <w:rsid w:val="008D29E0"/>
    <w:rsid w:val="008D2A4A"/>
    <w:rsid w:val="008D2A5B"/>
    <w:rsid w:val="008D2BF8"/>
    <w:rsid w:val="008D2CD1"/>
    <w:rsid w:val="008D33A1"/>
    <w:rsid w:val="008D33AF"/>
    <w:rsid w:val="008D35B3"/>
    <w:rsid w:val="008D35BB"/>
    <w:rsid w:val="008D383A"/>
    <w:rsid w:val="008D38D2"/>
    <w:rsid w:val="008D3BD2"/>
    <w:rsid w:val="008D3EBF"/>
    <w:rsid w:val="008D3F2D"/>
    <w:rsid w:val="008D3FA0"/>
    <w:rsid w:val="008D3FEC"/>
    <w:rsid w:val="008D40A9"/>
    <w:rsid w:val="008D42A5"/>
    <w:rsid w:val="008D42F2"/>
    <w:rsid w:val="008D4720"/>
    <w:rsid w:val="008D4A9F"/>
    <w:rsid w:val="008D4B0D"/>
    <w:rsid w:val="008D4B6A"/>
    <w:rsid w:val="008D4B92"/>
    <w:rsid w:val="008D4F15"/>
    <w:rsid w:val="008D509F"/>
    <w:rsid w:val="008D532B"/>
    <w:rsid w:val="008D5349"/>
    <w:rsid w:val="008D54A9"/>
    <w:rsid w:val="008D5547"/>
    <w:rsid w:val="008D56D1"/>
    <w:rsid w:val="008D5962"/>
    <w:rsid w:val="008D59B3"/>
    <w:rsid w:val="008D5A53"/>
    <w:rsid w:val="008D5AB1"/>
    <w:rsid w:val="008D5AFD"/>
    <w:rsid w:val="008D5C5A"/>
    <w:rsid w:val="008D5CC2"/>
    <w:rsid w:val="008D5F1D"/>
    <w:rsid w:val="008D5F4D"/>
    <w:rsid w:val="008D6130"/>
    <w:rsid w:val="008D6448"/>
    <w:rsid w:val="008D644C"/>
    <w:rsid w:val="008D64AB"/>
    <w:rsid w:val="008D6715"/>
    <w:rsid w:val="008D680D"/>
    <w:rsid w:val="008D68A2"/>
    <w:rsid w:val="008D68D4"/>
    <w:rsid w:val="008D6971"/>
    <w:rsid w:val="008D6972"/>
    <w:rsid w:val="008D6AB1"/>
    <w:rsid w:val="008D6C09"/>
    <w:rsid w:val="008D6DA1"/>
    <w:rsid w:val="008D6E35"/>
    <w:rsid w:val="008D7004"/>
    <w:rsid w:val="008D71D0"/>
    <w:rsid w:val="008D73E2"/>
    <w:rsid w:val="008D73F2"/>
    <w:rsid w:val="008D7478"/>
    <w:rsid w:val="008D7498"/>
    <w:rsid w:val="008D74B6"/>
    <w:rsid w:val="008D7A34"/>
    <w:rsid w:val="008D7B5B"/>
    <w:rsid w:val="008D7BE6"/>
    <w:rsid w:val="008D7C4D"/>
    <w:rsid w:val="008D7D1B"/>
    <w:rsid w:val="008D7D2C"/>
    <w:rsid w:val="008E0272"/>
    <w:rsid w:val="008E05A5"/>
    <w:rsid w:val="008E07D4"/>
    <w:rsid w:val="008E0DE1"/>
    <w:rsid w:val="008E0E84"/>
    <w:rsid w:val="008E0F98"/>
    <w:rsid w:val="008E1217"/>
    <w:rsid w:val="008E12F4"/>
    <w:rsid w:val="008E1576"/>
    <w:rsid w:val="008E16CB"/>
    <w:rsid w:val="008E16E2"/>
    <w:rsid w:val="008E16EB"/>
    <w:rsid w:val="008E1778"/>
    <w:rsid w:val="008E1810"/>
    <w:rsid w:val="008E19E7"/>
    <w:rsid w:val="008E1A91"/>
    <w:rsid w:val="008E1B4C"/>
    <w:rsid w:val="008E1BFA"/>
    <w:rsid w:val="008E1E6E"/>
    <w:rsid w:val="008E1F70"/>
    <w:rsid w:val="008E2253"/>
    <w:rsid w:val="008E241F"/>
    <w:rsid w:val="008E2449"/>
    <w:rsid w:val="008E2461"/>
    <w:rsid w:val="008E2681"/>
    <w:rsid w:val="008E2887"/>
    <w:rsid w:val="008E28E9"/>
    <w:rsid w:val="008E2A12"/>
    <w:rsid w:val="008E2AED"/>
    <w:rsid w:val="008E2BDD"/>
    <w:rsid w:val="008E2E39"/>
    <w:rsid w:val="008E365C"/>
    <w:rsid w:val="008E37A5"/>
    <w:rsid w:val="008E37AA"/>
    <w:rsid w:val="008E37CB"/>
    <w:rsid w:val="008E3812"/>
    <w:rsid w:val="008E3882"/>
    <w:rsid w:val="008E3895"/>
    <w:rsid w:val="008E3B96"/>
    <w:rsid w:val="008E3C88"/>
    <w:rsid w:val="008E3D89"/>
    <w:rsid w:val="008E3DC9"/>
    <w:rsid w:val="008E3E8A"/>
    <w:rsid w:val="008E4147"/>
    <w:rsid w:val="008E4169"/>
    <w:rsid w:val="008E41CE"/>
    <w:rsid w:val="008E4374"/>
    <w:rsid w:val="008E43D2"/>
    <w:rsid w:val="008E4459"/>
    <w:rsid w:val="008E48A3"/>
    <w:rsid w:val="008E49DC"/>
    <w:rsid w:val="008E4BDF"/>
    <w:rsid w:val="008E4C8C"/>
    <w:rsid w:val="008E4CFA"/>
    <w:rsid w:val="008E4E1A"/>
    <w:rsid w:val="008E4E5E"/>
    <w:rsid w:val="008E4E9C"/>
    <w:rsid w:val="008E5245"/>
    <w:rsid w:val="008E53CA"/>
    <w:rsid w:val="008E5422"/>
    <w:rsid w:val="008E5600"/>
    <w:rsid w:val="008E5874"/>
    <w:rsid w:val="008E58DC"/>
    <w:rsid w:val="008E5AEB"/>
    <w:rsid w:val="008E5B99"/>
    <w:rsid w:val="008E5C94"/>
    <w:rsid w:val="008E5D24"/>
    <w:rsid w:val="008E5E9C"/>
    <w:rsid w:val="008E6064"/>
    <w:rsid w:val="008E60D0"/>
    <w:rsid w:val="008E60FF"/>
    <w:rsid w:val="008E65DE"/>
    <w:rsid w:val="008E6941"/>
    <w:rsid w:val="008E695C"/>
    <w:rsid w:val="008E6966"/>
    <w:rsid w:val="008E698A"/>
    <w:rsid w:val="008E6B8E"/>
    <w:rsid w:val="008E7026"/>
    <w:rsid w:val="008E740D"/>
    <w:rsid w:val="008E76B6"/>
    <w:rsid w:val="008E7762"/>
    <w:rsid w:val="008E7852"/>
    <w:rsid w:val="008E791F"/>
    <w:rsid w:val="008E7929"/>
    <w:rsid w:val="008E7ACC"/>
    <w:rsid w:val="008E7C61"/>
    <w:rsid w:val="008E7D52"/>
    <w:rsid w:val="008E7D8B"/>
    <w:rsid w:val="008E7E36"/>
    <w:rsid w:val="008E7E58"/>
    <w:rsid w:val="008E7F6F"/>
    <w:rsid w:val="008F007F"/>
    <w:rsid w:val="008F00EC"/>
    <w:rsid w:val="008F0133"/>
    <w:rsid w:val="008F0256"/>
    <w:rsid w:val="008F0528"/>
    <w:rsid w:val="008F053F"/>
    <w:rsid w:val="008F05FF"/>
    <w:rsid w:val="008F0720"/>
    <w:rsid w:val="008F08DF"/>
    <w:rsid w:val="008F0991"/>
    <w:rsid w:val="008F0D68"/>
    <w:rsid w:val="008F0DE5"/>
    <w:rsid w:val="008F1039"/>
    <w:rsid w:val="008F118E"/>
    <w:rsid w:val="008F1255"/>
    <w:rsid w:val="008F130F"/>
    <w:rsid w:val="008F16B8"/>
    <w:rsid w:val="008F16C0"/>
    <w:rsid w:val="008F175B"/>
    <w:rsid w:val="008F17AA"/>
    <w:rsid w:val="008F1B2C"/>
    <w:rsid w:val="008F1BA7"/>
    <w:rsid w:val="008F1D0F"/>
    <w:rsid w:val="008F1DCD"/>
    <w:rsid w:val="008F200C"/>
    <w:rsid w:val="008F2129"/>
    <w:rsid w:val="008F2147"/>
    <w:rsid w:val="008F2182"/>
    <w:rsid w:val="008F24D4"/>
    <w:rsid w:val="008F24FD"/>
    <w:rsid w:val="008F25F8"/>
    <w:rsid w:val="008F26AE"/>
    <w:rsid w:val="008F26CC"/>
    <w:rsid w:val="008F279E"/>
    <w:rsid w:val="008F2829"/>
    <w:rsid w:val="008F29C6"/>
    <w:rsid w:val="008F29E7"/>
    <w:rsid w:val="008F2EFF"/>
    <w:rsid w:val="008F2F3D"/>
    <w:rsid w:val="008F2FA6"/>
    <w:rsid w:val="008F3169"/>
    <w:rsid w:val="008F3255"/>
    <w:rsid w:val="008F332A"/>
    <w:rsid w:val="008F341D"/>
    <w:rsid w:val="008F34E7"/>
    <w:rsid w:val="008F3908"/>
    <w:rsid w:val="008F3D60"/>
    <w:rsid w:val="008F3D88"/>
    <w:rsid w:val="008F3E16"/>
    <w:rsid w:val="008F3E8E"/>
    <w:rsid w:val="008F4193"/>
    <w:rsid w:val="008F43ED"/>
    <w:rsid w:val="008F4575"/>
    <w:rsid w:val="008F4825"/>
    <w:rsid w:val="008F4902"/>
    <w:rsid w:val="008F4B8A"/>
    <w:rsid w:val="008F4CA4"/>
    <w:rsid w:val="008F4E0B"/>
    <w:rsid w:val="008F5019"/>
    <w:rsid w:val="008F5047"/>
    <w:rsid w:val="008F504D"/>
    <w:rsid w:val="008F52E5"/>
    <w:rsid w:val="008F5726"/>
    <w:rsid w:val="008F5772"/>
    <w:rsid w:val="008F596F"/>
    <w:rsid w:val="008F5A57"/>
    <w:rsid w:val="008F5D02"/>
    <w:rsid w:val="008F5D95"/>
    <w:rsid w:val="008F5EF0"/>
    <w:rsid w:val="008F5F2D"/>
    <w:rsid w:val="008F5F95"/>
    <w:rsid w:val="008F64A1"/>
    <w:rsid w:val="008F65AD"/>
    <w:rsid w:val="008F6657"/>
    <w:rsid w:val="008F669F"/>
    <w:rsid w:val="008F67D3"/>
    <w:rsid w:val="008F6851"/>
    <w:rsid w:val="008F69FE"/>
    <w:rsid w:val="008F6AC0"/>
    <w:rsid w:val="008F6B86"/>
    <w:rsid w:val="008F6F54"/>
    <w:rsid w:val="008F6F74"/>
    <w:rsid w:val="008F6F8D"/>
    <w:rsid w:val="008F718F"/>
    <w:rsid w:val="008F7199"/>
    <w:rsid w:val="008F730C"/>
    <w:rsid w:val="008F739D"/>
    <w:rsid w:val="008F752F"/>
    <w:rsid w:val="008F760D"/>
    <w:rsid w:val="008F767A"/>
    <w:rsid w:val="008F78C3"/>
    <w:rsid w:val="008F7970"/>
    <w:rsid w:val="008F7AA3"/>
    <w:rsid w:val="008F7AB8"/>
    <w:rsid w:val="008F7B01"/>
    <w:rsid w:val="008F7BA6"/>
    <w:rsid w:val="008F7BB9"/>
    <w:rsid w:val="008F7BD1"/>
    <w:rsid w:val="008F7F13"/>
    <w:rsid w:val="008F7F91"/>
    <w:rsid w:val="008F7FB8"/>
    <w:rsid w:val="008F7FFA"/>
    <w:rsid w:val="0090000A"/>
    <w:rsid w:val="00900501"/>
    <w:rsid w:val="00900505"/>
    <w:rsid w:val="00900628"/>
    <w:rsid w:val="00900810"/>
    <w:rsid w:val="00900A81"/>
    <w:rsid w:val="00900DA9"/>
    <w:rsid w:val="00900EBB"/>
    <w:rsid w:val="00900EEA"/>
    <w:rsid w:val="00900F2C"/>
    <w:rsid w:val="009010A9"/>
    <w:rsid w:val="009011B4"/>
    <w:rsid w:val="009011CE"/>
    <w:rsid w:val="0090120A"/>
    <w:rsid w:val="0090123A"/>
    <w:rsid w:val="00901271"/>
    <w:rsid w:val="009012AA"/>
    <w:rsid w:val="009014B6"/>
    <w:rsid w:val="00901890"/>
    <w:rsid w:val="00901A32"/>
    <w:rsid w:val="00901A39"/>
    <w:rsid w:val="00901A4E"/>
    <w:rsid w:val="00901D1A"/>
    <w:rsid w:val="00901E1D"/>
    <w:rsid w:val="00901E53"/>
    <w:rsid w:val="00901F01"/>
    <w:rsid w:val="00901F40"/>
    <w:rsid w:val="0090207C"/>
    <w:rsid w:val="0090212B"/>
    <w:rsid w:val="00902163"/>
    <w:rsid w:val="009022C2"/>
    <w:rsid w:val="00902347"/>
    <w:rsid w:val="009025B7"/>
    <w:rsid w:val="009026CA"/>
    <w:rsid w:val="00902A4A"/>
    <w:rsid w:val="00902B0A"/>
    <w:rsid w:val="00902B8D"/>
    <w:rsid w:val="00902C0E"/>
    <w:rsid w:val="00902DB5"/>
    <w:rsid w:val="009030CC"/>
    <w:rsid w:val="009030F1"/>
    <w:rsid w:val="009031DF"/>
    <w:rsid w:val="009031F8"/>
    <w:rsid w:val="00903216"/>
    <w:rsid w:val="0090326D"/>
    <w:rsid w:val="009032BF"/>
    <w:rsid w:val="00903341"/>
    <w:rsid w:val="009033D7"/>
    <w:rsid w:val="00903A0B"/>
    <w:rsid w:val="00903E4F"/>
    <w:rsid w:val="00903F8C"/>
    <w:rsid w:val="0090405D"/>
    <w:rsid w:val="009040E3"/>
    <w:rsid w:val="00904201"/>
    <w:rsid w:val="00904281"/>
    <w:rsid w:val="009042A2"/>
    <w:rsid w:val="009042E9"/>
    <w:rsid w:val="009043D4"/>
    <w:rsid w:val="009046CA"/>
    <w:rsid w:val="00904882"/>
    <w:rsid w:val="009048ED"/>
    <w:rsid w:val="0090494A"/>
    <w:rsid w:val="00904951"/>
    <w:rsid w:val="0090496D"/>
    <w:rsid w:val="0090497E"/>
    <w:rsid w:val="009049F3"/>
    <w:rsid w:val="00904B0C"/>
    <w:rsid w:val="00904B6B"/>
    <w:rsid w:val="00904B8E"/>
    <w:rsid w:val="00904C6A"/>
    <w:rsid w:val="00904EAB"/>
    <w:rsid w:val="00904EC3"/>
    <w:rsid w:val="00904F9F"/>
    <w:rsid w:val="00905107"/>
    <w:rsid w:val="00905275"/>
    <w:rsid w:val="00905289"/>
    <w:rsid w:val="0090537F"/>
    <w:rsid w:val="009053F7"/>
    <w:rsid w:val="009055D1"/>
    <w:rsid w:val="0090565D"/>
    <w:rsid w:val="009056C0"/>
    <w:rsid w:val="00905782"/>
    <w:rsid w:val="0090588D"/>
    <w:rsid w:val="009058FC"/>
    <w:rsid w:val="00905A5D"/>
    <w:rsid w:val="00905BF2"/>
    <w:rsid w:val="00905D26"/>
    <w:rsid w:val="00905D34"/>
    <w:rsid w:val="00905EAE"/>
    <w:rsid w:val="00905EC9"/>
    <w:rsid w:val="0090612F"/>
    <w:rsid w:val="0090623A"/>
    <w:rsid w:val="00906251"/>
    <w:rsid w:val="00906266"/>
    <w:rsid w:val="00906348"/>
    <w:rsid w:val="00906429"/>
    <w:rsid w:val="0090671A"/>
    <w:rsid w:val="0090693B"/>
    <w:rsid w:val="009069C2"/>
    <w:rsid w:val="009069FD"/>
    <w:rsid w:val="00906BF7"/>
    <w:rsid w:val="00906D48"/>
    <w:rsid w:val="00906E0A"/>
    <w:rsid w:val="00906F54"/>
    <w:rsid w:val="00907090"/>
    <w:rsid w:val="00907458"/>
    <w:rsid w:val="009074DF"/>
    <w:rsid w:val="00907BB2"/>
    <w:rsid w:val="00907BBC"/>
    <w:rsid w:val="00907CD7"/>
    <w:rsid w:val="00907D08"/>
    <w:rsid w:val="00907D28"/>
    <w:rsid w:val="00907D98"/>
    <w:rsid w:val="00907EA2"/>
    <w:rsid w:val="00907EB9"/>
    <w:rsid w:val="009100E2"/>
    <w:rsid w:val="00910156"/>
    <w:rsid w:val="009103F2"/>
    <w:rsid w:val="0091085C"/>
    <w:rsid w:val="009108F1"/>
    <w:rsid w:val="00910A07"/>
    <w:rsid w:val="00910CB5"/>
    <w:rsid w:val="00910E48"/>
    <w:rsid w:val="00910E7A"/>
    <w:rsid w:val="00910E9B"/>
    <w:rsid w:val="00910EA0"/>
    <w:rsid w:val="00911029"/>
    <w:rsid w:val="009112F4"/>
    <w:rsid w:val="00911484"/>
    <w:rsid w:val="009114B8"/>
    <w:rsid w:val="009117E1"/>
    <w:rsid w:val="00911CD2"/>
    <w:rsid w:val="00911D09"/>
    <w:rsid w:val="00911D26"/>
    <w:rsid w:val="00911D85"/>
    <w:rsid w:val="009120A3"/>
    <w:rsid w:val="009125D0"/>
    <w:rsid w:val="00912902"/>
    <w:rsid w:val="00912952"/>
    <w:rsid w:val="00912B45"/>
    <w:rsid w:val="00912CB8"/>
    <w:rsid w:val="009130F3"/>
    <w:rsid w:val="0091353F"/>
    <w:rsid w:val="0091361C"/>
    <w:rsid w:val="00913677"/>
    <w:rsid w:val="00913690"/>
    <w:rsid w:val="00913725"/>
    <w:rsid w:val="00913792"/>
    <w:rsid w:val="009139DE"/>
    <w:rsid w:val="00913BC8"/>
    <w:rsid w:val="00913BE2"/>
    <w:rsid w:val="00913C1E"/>
    <w:rsid w:val="00913C6D"/>
    <w:rsid w:val="00913C76"/>
    <w:rsid w:val="00913C8D"/>
    <w:rsid w:val="00913F08"/>
    <w:rsid w:val="00913F49"/>
    <w:rsid w:val="0091405C"/>
    <w:rsid w:val="00914548"/>
    <w:rsid w:val="00914715"/>
    <w:rsid w:val="0091478C"/>
    <w:rsid w:val="00914A8D"/>
    <w:rsid w:val="00914BCA"/>
    <w:rsid w:val="00914CB2"/>
    <w:rsid w:val="00914E4F"/>
    <w:rsid w:val="00914E8B"/>
    <w:rsid w:val="00914EF5"/>
    <w:rsid w:val="00915101"/>
    <w:rsid w:val="009151F1"/>
    <w:rsid w:val="0091523B"/>
    <w:rsid w:val="0091532F"/>
    <w:rsid w:val="009153A4"/>
    <w:rsid w:val="00915A86"/>
    <w:rsid w:val="00915AD2"/>
    <w:rsid w:val="00915CFA"/>
    <w:rsid w:val="00915E8A"/>
    <w:rsid w:val="00916047"/>
    <w:rsid w:val="009160E4"/>
    <w:rsid w:val="00916146"/>
    <w:rsid w:val="009161C1"/>
    <w:rsid w:val="00916293"/>
    <w:rsid w:val="00916308"/>
    <w:rsid w:val="0091631C"/>
    <w:rsid w:val="00916392"/>
    <w:rsid w:val="00916417"/>
    <w:rsid w:val="00916646"/>
    <w:rsid w:val="00916A82"/>
    <w:rsid w:val="00916B9B"/>
    <w:rsid w:val="00916C03"/>
    <w:rsid w:val="00916D71"/>
    <w:rsid w:val="00916DC1"/>
    <w:rsid w:val="00916DC2"/>
    <w:rsid w:val="00916E7B"/>
    <w:rsid w:val="00916EAF"/>
    <w:rsid w:val="00917030"/>
    <w:rsid w:val="0091712F"/>
    <w:rsid w:val="0091713C"/>
    <w:rsid w:val="0091728A"/>
    <w:rsid w:val="00917305"/>
    <w:rsid w:val="009173DA"/>
    <w:rsid w:val="00917729"/>
    <w:rsid w:val="0091787B"/>
    <w:rsid w:val="00917917"/>
    <w:rsid w:val="00917A58"/>
    <w:rsid w:val="00917CB9"/>
    <w:rsid w:val="00917D5E"/>
    <w:rsid w:val="00917FCD"/>
    <w:rsid w:val="0092000A"/>
    <w:rsid w:val="00920035"/>
    <w:rsid w:val="0092029E"/>
    <w:rsid w:val="0092039A"/>
    <w:rsid w:val="009204CF"/>
    <w:rsid w:val="00920672"/>
    <w:rsid w:val="00920837"/>
    <w:rsid w:val="00920851"/>
    <w:rsid w:val="009209F7"/>
    <w:rsid w:val="00920C50"/>
    <w:rsid w:val="00920CDE"/>
    <w:rsid w:val="00920D18"/>
    <w:rsid w:val="00920DB1"/>
    <w:rsid w:val="00920DE4"/>
    <w:rsid w:val="0092121C"/>
    <w:rsid w:val="00921231"/>
    <w:rsid w:val="00921332"/>
    <w:rsid w:val="00921596"/>
    <w:rsid w:val="00921680"/>
    <w:rsid w:val="009216CD"/>
    <w:rsid w:val="009216E1"/>
    <w:rsid w:val="009217A0"/>
    <w:rsid w:val="009219DA"/>
    <w:rsid w:val="00921A8B"/>
    <w:rsid w:val="00921AFE"/>
    <w:rsid w:val="00921B54"/>
    <w:rsid w:val="00921CA2"/>
    <w:rsid w:val="00921D3A"/>
    <w:rsid w:val="00921EF9"/>
    <w:rsid w:val="00921FD4"/>
    <w:rsid w:val="00922150"/>
    <w:rsid w:val="00922475"/>
    <w:rsid w:val="009225FF"/>
    <w:rsid w:val="00922683"/>
    <w:rsid w:val="0092269D"/>
    <w:rsid w:val="009228EE"/>
    <w:rsid w:val="00922919"/>
    <w:rsid w:val="009229F5"/>
    <w:rsid w:val="00922AB7"/>
    <w:rsid w:val="00922CC7"/>
    <w:rsid w:val="00922D33"/>
    <w:rsid w:val="009231E8"/>
    <w:rsid w:val="0092324D"/>
    <w:rsid w:val="009233FE"/>
    <w:rsid w:val="009236C7"/>
    <w:rsid w:val="0092379C"/>
    <w:rsid w:val="009237D0"/>
    <w:rsid w:val="00923809"/>
    <w:rsid w:val="0092386E"/>
    <w:rsid w:val="009239D0"/>
    <w:rsid w:val="00923A43"/>
    <w:rsid w:val="00923BDC"/>
    <w:rsid w:val="00923D2F"/>
    <w:rsid w:val="00923DD2"/>
    <w:rsid w:val="00923FF8"/>
    <w:rsid w:val="0092406C"/>
    <w:rsid w:val="009240C3"/>
    <w:rsid w:val="009240E0"/>
    <w:rsid w:val="009241A9"/>
    <w:rsid w:val="00924222"/>
    <w:rsid w:val="0092428A"/>
    <w:rsid w:val="00924597"/>
    <w:rsid w:val="0092466E"/>
    <w:rsid w:val="00924776"/>
    <w:rsid w:val="009247C1"/>
    <w:rsid w:val="009249A4"/>
    <w:rsid w:val="00924ADB"/>
    <w:rsid w:val="00924BB0"/>
    <w:rsid w:val="00924D2C"/>
    <w:rsid w:val="00924EB5"/>
    <w:rsid w:val="00924F7F"/>
    <w:rsid w:val="00925073"/>
    <w:rsid w:val="009251ED"/>
    <w:rsid w:val="0092522F"/>
    <w:rsid w:val="0092526C"/>
    <w:rsid w:val="009253D2"/>
    <w:rsid w:val="009254CE"/>
    <w:rsid w:val="009257E9"/>
    <w:rsid w:val="009259B7"/>
    <w:rsid w:val="00925BE2"/>
    <w:rsid w:val="00925E55"/>
    <w:rsid w:val="00925F1E"/>
    <w:rsid w:val="009260B4"/>
    <w:rsid w:val="009260FA"/>
    <w:rsid w:val="0092617F"/>
    <w:rsid w:val="009261DE"/>
    <w:rsid w:val="0092621F"/>
    <w:rsid w:val="009263D6"/>
    <w:rsid w:val="009267C1"/>
    <w:rsid w:val="009267C9"/>
    <w:rsid w:val="009267E0"/>
    <w:rsid w:val="00926821"/>
    <w:rsid w:val="00926994"/>
    <w:rsid w:val="00926C6B"/>
    <w:rsid w:val="00926C7A"/>
    <w:rsid w:val="00926C81"/>
    <w:rsid w:val="00926DD5"/>
    <w:rsid w:val="00926ECD"/>
    <w:rsid w:val="0092708E"/>
    <w:rsid w:val="00927141"/>
    <w:rsid w:val="0092728C"/>
    <w:rsid w:val="009272DA"/>
    <w:rsid w:val="0092740B"/>
    <w:rsid w:val="00927446"/>
    <w:rsid w:val="009275EE"/>
    <w:rsid w:val="009276C8"/>
    <w:rsid w:val="009279C8"/>
    <w:rsid w:val="00927D67"/>
    <w:rsid w:val="00927DF1"/>
    <w:rsid w:val="00927E73"/>
    <w:rsid w:val="00927EAC"/>
    <w:rsid w:val="00927F49"/>
    <w:rsid w:val="0093011D"/>
    <w:rsid w:val="00930211"/>
    <w:rsid w:val="0093038C"/>
    <w:rsid w:val="009304C0"/>
    <w:rsid w:val="00930777"/>
    <w:rsid w:val="00930A5A"/>
    <w:rsid w:val="00930A66"/>
    <w:rsid w:val="00930B24"/>
    <w:rsid w:val="00930BB3"/>
    <w:rsid w:val="00930CCD"/>
    <w:rsid w:val="00930F83"/>
    <w:rsid w:val="0093102B"/>
    <w:rsid w:val="009315D8"/>
    <w:rsid w:val="00931637"/>
    <w:rsid w:val="009317D4"/>
    <w:rsid w:val="0093180E"/>
    <w:rsid w:val="0093183D"/>
    <w:rsid w:val="00931B01"/>
    <w:rsid w:val="00931BE8"/>
    <w:rsid w:val="00931DC9"/>
    <w:rsid w:val="00931F2E"/>
    <w:rsid w:val="00931F77"/>
    <w:rsid w:val="00931FE1"/>
    <w:rsid w:val="00932085"/>
    <w:rsid w:val="009320A7"/>
    <w:rsid w:val="00932132"/>
    <w:rsid w:val="0093226D"/>
    <w:rsid w:val="00932606"/>
    <w:rsid w:val="009327C4"/>
    <w:rsid w:val="0093287C"/>
    <w:rsid w:val="00932BE3"/>
    <w:rsid w:val="00932E98"/>
    <w:rsid w:val="00933014"/>
    <w:rsid w:val="00933022"/>
    <w:rsid w:val="00933179"/>
    <w:rsid w:val="00933257"/>
    <w:rsid w:val="009332BC"/>
    <w:rsid w:val="00933443"/>
    <w:rsid w:val="009335D8"/>
    <w:rsid w:val="00933645"/>
    <w:rsid w:val="009339D5"/>
    <w:rsid w:val="00933C91"/>
    <w:rsid w:val="00933F5D"/>
    <w:rsid w:val="00934024"/>
    <w:rsid w:val="0093402B"/>
    <w:rsid w:val="00934146"/>
    <w:rsid w:val="009342D6"/>
    <w:rsid w:val="009346C3"/>
    <w:rsid w:val="00934BF4"/>
    <w:rsid w:val="00934D0B"/>
    <w:rsid w:val="00934D3A"/>
    <w:rsid w:val="00934DE2"/>
    <w:rsid w:val="00935078"/>
    <w:rsid w:val="009350E0"/>
    <w:rsid w:val="00935453"/>
    <w:rsid w:val="0093548A"/>
    <w:rsid w:val="0093555C"/>
    <w:rsid w:val="00935789"/>
    <w:rsid w:val="009359A3"/>
    <w:rsid w:val="009359E9"/>
    <w:rsid w:val="00935A21"/>
    <w:rsid w:val="00935A93"/>
    <w:rsid w:val="00935C63"/>
    <w:rsid w:val="00935C96"/>
    <w:rsid w:val="00935DE1"/>
    <w:rsid w:val="00935ED8"/>
    <w:rsid w:val="0093601A"/>
    <w:rsid w:val="00936159"/>
    <w:rsid w:val="0093616C"/>
    <w:rsid w:val="0093627C"/>
    <w:rsid w:val="009362D4"/>
    <w:rsid w:val="00936315"/>
    <w:rsid w:val="009364AC"/>
    <w:rsid w:val="00936F7F"/>
    <w:rsid w:val="00937642"/>
    <w:rsid w:val="0093786C"/>
    <w:rsid w:val="00937938"/>
    <w:rsid w:val="00937990"/>
    <w:rsid w:val="00937AEC"/>
    <w:rsid w:val="00937B54"/>
    <w:rsid w:val="00937B7C"/>
    <w:rsid w:val="0094004D"/>
    <w:rsid w:val="009401F6"/>
    <w:rsid w:val="009402AD"/>
    <w:rsid w:val="00940445"/>
    <w:rsid w:val="009405A8"/>
    <w:rsid w:val="0094060F"/>
    <w:rsid w:val="0094065A"/>
    <w:rsid w:val="009406EB"/>
    <w:rsid w:val="009406F1"/>
    <w:rsid w:val="009409B6"/>
    <w:rsid w:val="00940A70"/>
    <w:rsid w:val="00940B50"/>
    <w:rsid w:val="00940C1F"/>
    <w:rsid w:val="00940D11"/>
    <w:rsid w:val="00940D45"/>
    <w:rsid w:val="00940D8C"/>
    <w:rsid w:val="0094116A"/>
    <w:rsid w:val="00941494"/>
    <w:rsid w:val="0094164A"/>
    <w:rsid w:val="009417F4"/>
    <w:rsid w:val="00941933"/>
    <w:rsid w:val="00941979"/>
    <w:rsid w:val="00941980"/>
    <w:rsid w:val="00941A02"/>
    <w:rsid w:val="00941A60"/>
    <w:rsid w:val="00941D36"/>
    <w:rsid w:val="00941E40"/>
    <w:rsid w:val="00941F06"/>
    <w:rsid w:val="0094201F"/>
    <w:rsid w:val="0094210B"/>
    <w:rsid w:val="00942315"/>
    <w:rsid w:val="0094247C"/>
    <w:rsid w:val="009424DF"/>
    <w:rsid w:val="00942507"/>
    <w:rsid w:val="009425FC"/>
    <w:rsid w:val="00942A09"/>
    <w:rsid w:val="00942C15"/>
    <w:rsid w:val="00942CB1"/>
    <w:rsid w:val="00942E12"/>
    <w:rsid w:val="00942F83"/>
    <w:rsid w:val="0094313F"/>
    <w:rsid w:val="00943325"/>
    <w:rsid w:val="00943393"/>
    <w:rsid w:val="009435E9"/>
    <w:rsid w:val="0094379D"/>
    <w:rsid w:val="009437B4"/>
    <w:rsid w:val="009437F5"/>
    <w:rsid w:val="00943824"/>
    <w:rsid w:val="00943967"/>
    <w:rsid w:val="009439AF"/>
    <w:rsid w:val="00943AC9"/>
    <w:rsid w:val="00943B58"/>
    <w:rsid w:val="00943ECF"/>
    <w:rsid w:val="00943F0F"/>
    <w:rsid w:val="00944085"/>
    <w:rsid w:val="0094427F"/>
    <w:rsid w:val="009442C3"/>
    <w:rsid w:val="00944342"/>
    <w:rsid w:val="009444B9"/>
    <w:rsid w:val="00944500"/>
    <w:rsid w:val="0094452A"/>
    <w:rsid w:val="0094458B"/>
    <w:rsid w:val="009445E0"/>
    <w:rsid w:val="00944644"/>
    <w:rsid w:val="00944761"/>
    <w:rsid w:val="009447CF"/>
    <w:rsid w:val="00944B6B"/>
    <w:rsid w:val="00944BB7"/>
    <w:rsid w:val="00944BC6"/>
    <w:rsid w:val="00944E13"/>
    <w:rsid w:val="00945005"/>
    <w:rsid w:val="0094529C"/>
    <w:rsid w:val="009453C5"/>
    <w:rsid w:val="00945704"/>
    <w:rsid w:val="00945745"/>
    <w:rsid w:val="009457DA"/>
    <w:rsid w:val="00945892"/>
    <w:rsid w:val="0094589A"/>
    <w:rsid w:val="009458B2"/>
    <w:rsid w:val="009458C6"/>
    <w:rsid w:val="00945AEC"/>
    <w:rsid w:val="00945C96"/>
    <w:rsid w:val="00945DEC"/>
    <w:rsid w:val="00946017"/>
    <w:rsid w:val="00946107"/>
    <w:rsid w:val="009461C7"/>
    <w:rsid w:val="00946357"/>
    <w:rsid w:val="00946598"/>
    <w:rsid w:val="00946752"/>
    <w:rsid w:val="00946893"/>
    <w:rsid w:val="009469F6"/>
    <w:rsid w:val="00946A3B"/>
    <w:rsid w:val="00946B47"/>
    <w:rsid w:val="00946C48"/>
    <w:rsid w:val="00946C8F"/>
    <w:rsid w:val="00946CF8"/>
    <w:rsid w:val="00946DF5"/>
    <w:rsid w:val="00946F25"/>
    <w:rsid w:val="00946F60"/>
    <w:rsid w:val="00947006"/>
    <w:rsid w:val="00947477"/>
    <w:rsid w:val="00947518"/>
    <w:rsid w:val="009477E1"/>
    <w:rsid w:val="00947881"/>
    <w:rsid w:val="00947C77"/>
    <w:rsid w:val="00947EE6"/>
    <w:rsid w:val="00947F21"/>
    <w:rsid w:val="00950176"/>
    <w:rsid w:val="00950439"/>
    <w:rsid w:val="0095048C"/>
    <w:rsid w:val="0095050F"/>
    <w:rsid w:val="00950521"/>
    <w:rsid w:val="009505B6"/>
    <w:rsid w:val="009505D2"/>
    <w:rsid w:val="00950694"/>
    <w:rsid w:val="00950AFE"/>
    <w:rsid w:val="00950BCF"/>
    <w:rsid w:val="00950CB6"/>
    <w:rsid w:val="00950F7C"/>
    <w:rsid w:val="009513A4"/>
    <w:rsid w:val="00951587"/>
    <w:rsid w:val="009515DB"/>
    <w:rsid w:val="00951612"/>
    <w:rsid w:val="00951697"/>
    <w:rsid w:val="00951970"/>
    <w:rsid w:val="00951A7D"/>
    <w:rsid w:val="00951B36"/>
    <w:rsid w:val="00951D44"/>
    <w:rsid w:val="00951D4A"/>
    <w:rsid w:val="00951D65"/>
    <w:rsid w:val="00951DCA"/>
    <w:rsid w:val="00951E0F"/>
    <w:rsid w:val="00951E5E"/>
    <w:rsid w:val="00952012"/>
    <w:rsid w:val="0095232C"/>
    <w:rsid w:val="009524A5"/>
    <w:rsid w:val="00952678"/>
    <w:rsid w:val="009526A2"/>
    <w:rsid w:val="0095271E"/>
    <w:rsid w:val="00952A6B"/>
    <w:rsid w:val="00952D8D"/>
    <w:rsid w:val="00952F27"/>
    <w:rsid w:val="0095303E"/>
    <w:rsid w:val="009530AF"/>
    <w:rsid w:val="00953334"/>
    <w:rsid w:val="00953394"/>
    <w:rsid w:val="00953588"/>
    <w:rsid w:val="009535DF"/>
    <w:rsid w:val="00953BE3"/>
    <w:rsid w:val="00953D29"/>
    <w:rsid w:val="00953E27"/>
    <w:rsid w:val="00953FF1"/>
    <w:rsid w:val="009540B1"/>
    <w:rsid w:val="009540CB"/>
    <w:rsid w:val="0095419C"/>
    <w:rsid w:val="009543BE"/>
    <w:rsid w:val="00954451"/>
    <w:rsid w:val="00954473"/>
    <w:rsid w:val="0095450B"/>
    <w:rsid w:val="00954571"/>
    <w:rsid w:val="00954600"/>
    <w:rsid w:val="0095464D"/>
    <w:rsid w:val="00954678"/>
    <w:rsid w:val="0095482B"/>
    <w:rsid w:val="009548B1"/>
    <w:rsid w:val="0095492E"/>
    <w:rsid w:val="00954AA6"/>
    <w:rsid w:val="00954C02"/>
    <w:rsid w:val="00954C7E"/>
    <w:rsid w:val="00954CF7"/>
    <w:rsid w:val="00954E7A"/>
    <w:rsid w:val="00954F4F"/>
    <w:rsid w:val="00954F9B"/>
    <w:rsid w:val="009550F4"/>
    <w:rsid w:val="0095512C"/>
    <w:rsid w:val="0095519C"/>
    <w:rsid w:val="009551AD"/>
    <w:rsid w:val="0095527B"/>
    <w:rsid w:val="00955538"/>
    <w:rsid w:val="00955754"/>
    <w:rsid w:val="00955847"/>
    <w:rsid w:val="00955942"/>
    <w:rsid w:val="00955A4E"/>
    <w:rsid w:val="00955D73"/>
    <w:rsid w:val="00955DEE"/>
    <w:rsid w:val="00956180"/>
    <w:rsid w:val="00956295"/>
    <w:rsid w:val="0095637E"/>
    <w:rsid w:val="00956381"/>
    <w:rsid w:val="009564CA"/>
    <w:rsid w:val="00956574"/>
    <w:rsid w:val="00956598"/>
    <w:rsid w:val="009565BD"/>
    <w:rsid w:val="00956653"/>
    <w:rsid w:val="00956692"/>
    <w:rsid w:val="00956774"/>
    <w:rsid w:val="009567BB"/>
    <w:rsid w:val="009569CC"/>
    <w:rsid w:val="00956A7A"/>
    <w:rsid w:val="00956BC6"/>
    <w:rsid w:val="00956EE5"/>
    <w:rsid w:val="00957098"/>
    <w:rsid w:val="00957218"/>
    <w:rsid w:val="00957292"/>
    <w:rsid w:val="00957383"/>
    <w:rsid w:val="009574AA"/>
    <w:rsid w:val="00957843"/>
    <w:rsid w:val="009578F3"/>
    <w:rsid w:val="00957A62"/>
    <w:rsid w:val="00957C84"/>
    <w:rsid w:val="00957EC4"/>
    <w:rsid w:val="00957F1D"/>
    <w:rsid w:val="0096006B"/>
    <w:rsid w:val="00960266"/>
    <w:rsid w:val="009602F6"/>
    <w:rsid w:val="0096036C"/>
    <w:rsid w:val="0096038F"/>
    <w:rsid w:val="009604DD"/>
    <w:rsid w:val="009604E0"/>
    <w:rsid w:val="00960562"/>
    <w:rsid w:val="00960B8D"/>
    <w:rsid w:val="00960BD7"/>
    <w:rsid w:val="00960DCE"/>
    <w:rsid w:val="00960EAE"/>
    <w:rsid w:val="00960F5B"/>
    <w:rsid w:val="00960FCA"/>
    <w:rsid w:val="00960FEC"/>
    <w:rsid w:val="00961159"/>
    <w:rsid w:val="0096120E"/>
    <w:rsid w:val="00961270"/>
    <w:rsid w:val="009612CD"/>
    <w:rsid w:val="0096134B"/>
    <w:rsid w:val="0096137F"/>
    <w:rsid w:val="009615B8"/>
    <w:rsid w:val="009615E6"/>
    <w:rsid w:val="00961676"/>
    <w:rsid w:val="00961691"/>
    <w:rsid w:val="009616EF"/>
    <w:rsid w:val="0096187F"/>
    <w:rsid w:val="009618AD"/>
    <w:rsid w:val="009618B0"/>
    <w:rsid w:val="00961BAE"/>
    <w:rsid w:val="00961E72"/>
    <w:rsid w:val="00961F11"/>
    <w:rsid w:val="00961F51"/>
    <w:rsid w:val="00962117"/>
    <w:rsid w:val="009623D6"/>
    <w:rsid w:val="009623DB"/>
    <w:rsid w:val="00962616"/>
    <w:rsid w:val="00962633"/>
    <w:rsid w:val="00962656"/>
    <w:rsid w:val="009626D9"/>
    <w:rsid w:val="0096282B"/>
    <w:rsid w:val="00962860"/>
    <w:rsid w:val="009628BA"/>
    <w:rsid w:val="00962A49"/>
    <w:rsid w:val="00962B38"/>
    <w:rsid w:val="00962EC7"/>
    <w:rsid w:val="00963324"/>
    <w:rsid w:val="00963359"/>
    <w:rsid w:val="00963695"/>
    <w:rsid w:val="00963742"/>
    <w:rsid w:val="00963822"/>
    <w:rsid w:val="009639C4"/>
    <w:rsid w:val="009639D0"/>
    <w:rsid w:val="00963A16"/>
    <w:rsid w:val="00963A87"/>
    <w:rsid w:val="00963AF6"/>
    <w:rsid w:val="00963BB0"/>
    <w:rsid w:val="00963BC3"/>
    <w:rsid w:val="00963CF3"/>
    <w:rsid w:val="00963EB0"/>
    <w:rsid w:val="00963F6B"/>
    <w:rsid w:val="0096407F"/>
    <w:rsid w:val="009640E1"/>
    <w:rsid w:val="00964248"/>
    <w:rsid w:val="0096451A"/>
    <w:rsid w:val="00964841"/>
    <w:rsid w:val="009648AA"/>
    <w:rsid w:val="009649C1"/>
    <w:rsid w:val="009649EB"/>
    <w:rsid w:val="00964B08"/>
    <w:rsid w:val="00964BC2"/>
    <w:rsid w:val="00964EFD"/>
    <w:rsid w:val="00965089"/>
    <w:rsid w:val="009653A1"/>
    <w:rsid w:val="0096540F"/>
    <w:rsid w:val="00965431"/>
    <w:rsid w:val="00965513"/>
    <w:rsid w:val="0096564A"/>
    <w:rsid w:val="0096564B"/>
    <w:rsid w:val="00965722"/>
    <w:rsid w:val="00965AC7"/>
    <w:rsid w:val="00965BAE"/>
    <w:rsid w:val="00965E29"/>
    <w:rsid w:val="0096603D"/>
    <w:rsid w:val="0096604F"/>
    <w:rsid w:val="00966254"/>
    <w:rsid w:val="00966281"/>
    <w:rsid w:val="00966285"/>
    <w:rsid w:val="0096640D"/>
    <w:rsid w:val="00966509"/>
    <w:rsid w:val="009665C8"/>
    <w:rsid w:val="00966650"/>
    <w:rsid w:val="00966811"/>
    <w:rsid w:val="0096697B"/>
    <w:rsid w:val="009669D6"/>
    <w:rsid w:val="00966A3F"/>
    <w:rsid w:val="00966E41"/>
    <w:rsid w:val="00966FFF"/>
    <w:rsid w:val="0096729A"/>
    <w:rsid w:val="009673E0"/>
    <w:rsid w:val="0096751C"/>
    <w:rsid w:val="0096756D"/>
    <w:rsid w:val="0096759F"/>
    <w:rsid w:val="009675FB"/>
    <w:rsid w:val="009677AB"/>
    <w:rsid w:val="00967821"/>
    <w:rsid w:val="00967826"/>
    <w:rsid w:val="0096782F"/>
    <w:rsid w:val="00967858"/>
    <w:rsid w:val="0096788C"/>
    <w:rsid w:val="00967936"/>
    <w:rsid w:val="00967A6D"/>
    <w:rsid w:val="00967DD0"/>
    <w:rsid w:val="00967FD9"/>
    <w:rsid w:val="00970006"/>
    <w:rsid w:val="00970090"/>
    <w:rsid w:val="00970211"/>
    <w:rsid w:val="009702B9"/>
    <w:rsid w:val="009703EB"/>
    <w:rsid w:val="009704BB"/>
    <w:rsid w:val="009704F1"/>
    <w:rsid w:val="00970589"/>
    <w:rsid w:val="009705C3"/>
    <w:rsid w:val="00970674"/>
    <w:rsid w:val="00970687"/>
    <w:rsid w:val="00970770"/>
    <w:rsid w:val="009707BC"/>
    <w:rsid w:val="00970995"/>
    <w:rsid w:val="00970A0B"/>
    <w:rsid w:val="00970A82"/>
    <w:rsid w:val="00970C71"/>
    <w:rsid w:val="00970D52"/>
    <w:rsid w:val="0097108D"/>
    <w:rsid w:val="00971401"/>
    <w:rsid w:val="0097152B"/>
    <w:rsid w:val="0097194F"/>
    <w:rsid w:val="009719DD"/>
    <w:rsid w:val="00971B5A"/>
    <w:rsid w:val="00971EB1"/>
    <w:rsid w:val="00971F37"/>
    <w:rsid w:val="0097204C"/>
    <w:rsid w:val="00972242"/>
    <w:rsid w:val="009722A6"/>
    <w:rsid w:val="009725F2"/>
    <w:rsid w:val="00972727"/>
    <w:rsid w:val="0097279F"/>
    <w:rsid w:val="00972835"/>
    <w:rsid w:val="0097284F"/>
    <w:rsid w:val="00972A20"/>
    <w:rsid w:val="00972B94"/>
    <w:rsid w:val="00972E73"/>
    <w:rsid w:val="00972F6C"/>
    <w:rsid w:val="00972F8E"/>
    <w:rsid w:val="009730C4"/>
    <w:rsid w:val="009732E4"/>
    <w:rsid w:val="0097340C"/>
    <w:rsid w:val="009735D3"/>
    <w:rsid w:val="00973951"/>
    <w:rsid w:val="009739B0"/>
    <w:rsid w:val="00973B4A"/>
    <w:rsid w:val="00973CD8"/>
    <w:rsid w:val="00973D26"/>
    <w:rsid w:val="00973D40"/>
    <w:rsid w:val="00973E9A"/>
    <w:rsid w:val="00973F38"/>
    <w:rsid w:val="00974086"/>
    <w:rsid w:val="0097414F"/>
    <w:rsid w:val="00974208"/>
    <w:rsid w:val="00974585"/>
    <w:rsid w:val="009747C3"/>
    <w:rsid w:val="0097482F"/>
    <w:rsid w:val="00974964"/>
    <w:rsid w:val="00974988"/>
    <w:rsid w:val="00974B67"/>
    <w:rsid w:val="00974EB6"/>
    <w:rsid w:val="00974ED1"/>
    <w:rsid w:val="0097511D"/>
    <w:rsid w:val="00975221"/>
    <w:rsid w:val="00975479"/>
    <w:rsid w:val="0097547E"/>
    <w:rsid w:val="009756BE"/>
    <w:rsid w:val="009758CD"/>
    <w:rsid w:val="009758FA"/>
    <w:rsid w:val="009759DB"/>
    <w:rsid w:val="00975C15"/>
    <w:rsid w:val="00975CFB"/>
    <w:rsid w:val="00975F3B"/>
    <w:rsid w:val="00975FB8"/>
    <w:rsid w:val="00975FC5"/>
    <w:rsid w:val="00976291"/>
    <w:rsid w:val="009762EA"/>
    <w:rsid w:val="009763A7"/>
    <w:rsid w:val="009764A2"/>
    <w:rsid w:val="00976584"/>
    <w:rsid w:val="0097687B"/>
    <w:rsid w:val="009768C2"/>
    <w:rsid w:val="00976B47"/>
    <w:rsid w:val="00976C2F"/>
    <w:rsid w:val="00976E2E"/>
    <w:rsid w:val="009771CF"/>
    <w:rsid w:val="009773C6"/>
    <w:rsid w:val="00977474"/>
    <w:rsid w:val="0097775A"/>
    <w:rsid w:val="00977828"/>
    <w:rsid w:val="0097790D"/>
    <w:rsid w:val="00977B06"/>
    <w:rsid w:val="00977B90"/>
    <w:rsid w:val="00977C26"/>
    <w:rsid w:val="00977E9E"/>
    <w:rsid w:val="00977F6F"/>
    <w:rsid w:val="00977FCE"/>
    <w:rsid w:val="00980109"/>
    <w:rsid w:val="009803A8"/>
    <w:rsid w:val="009804CF"/>
    <w:rsid w:val="009805D5"/>
    <w:rsid w:val="00980743"/>
    <w:rsid w:val="009807B0"/>
    <w:rsid w:val="0098080D"/>
    <w:rsid w:val="00980AB0"/>
    <w:rsid w:val="00980B4C"/>
    <w:rsid w:val="00980C19"/>
    <w:rsid w:val="00980C90"/>
    <w:rsid w:val="00980DDB"/>
    <w:rsid w:val="00980EA8"/>
    <w:rsid w:val="00980F13"/>
    <w:rsid w:val="00980F47"/>
    <w:rsid w:val="00980FBB"/>
    <w:rsid w:val="00981055"/>
    <w:rsid w:val="0098108F"/>
    <w:rsid w:val="009810BE"/>
    <w:rsid w:val="0098112D"/>
    <w:rsid w:val="00981369"/>
    <w:rsid w:val="00981414"/>
    <w:rsid w:val="009814F1"/>
    <w:rsid w:val="009815E5"/>
    <w:rsid w:val="009816C3"/>
    <w:rsid w:val="009816FD"/>
    <w:rsid w:val="009817A3"/>
    <w:rsid w:val="009817AC"/>
    <w:rsid w:val="009818DB"/>
    <w:rsid w:val="009818DF"/>
    <w:rsid w:val="00981AA8"/>
    <w:rsid w:val="00981AAD"/>
    <w:rsid w:val="00981D56"/>
    <w:rsid w:val="00981EB5"/>
    <w:rsid w:val="009821AC"/>
    <w:rsid w:val="0098237B"/>
    <w:rsid w:val="009823AC"/>
    <w:rsid w:val="009824A3"/>
    <w:rsid w:val="009824F4"/>
    <w:rsid w:val="00982500"/>
    <w:rsid w:val="0098262A"/>
    <w:rsid w:val="00982666"/>
    <w:rsid w:val="00982672"/>
    <w:rsid w:val="009829B5"/>
    <w:rsid w:val="009829CE"/>
    <w:rsid w:val="00982A3E"/>
    <w:rsid w:val="00982C1F"/>
    <w:rsid w:val="00982D8C"/>
    <w:rsid w:val="00982F6D"/>
    <w:rsid w:val="00983021"/>
    <w:rsid w:val="00983064"/>
    <w:rsid w:val="00983108"/>
    <w:rsid w:val="009831B3"/>
    <w:rsid w:val="009832A6"/>
    <w:rsid w:val="0098334E"/>
    <w:rsid w:val="0098374A"/>
    <w:rsid w:val="009837A5"/>
    <w:rsid w:val="009838DD"/>
    <w:rsid w:val="00983942"/>
    <w:rsid w:val="009839A8"/>
    <w:rsid w:val="00983AAA"/>
    <w:rsid w:val="00983B57"/>
    <w:rsid w:val="00983B74"/>
    <w:rsid w:val="00983C54"/>
    <w:rsid w:val="00983EB4"/>
    <w:rsid w:val="00983FB0"/>
    <w:rsid w:val="0098404C"/>
    <w:rsid w:val="0098407B"/>
    <w:rsid w:val="0098419E"/>
    <w:rsid w:val="009843DC"/>
    <w:rsid w:val="00984522"/>
    <w:rsid w:val="00984665"/>
    <w:rsid w:val="009846E7"/>
    <w:rsid w:val="0098495D"/>
    <w:rsid w:val="00984A4A"/>
    <w:rsid w:val="00984BFF"/>
    <w:rsid w:val="00984C7F"/>
    <w:rsid w:val="009850CC"/>
    <w:rsid w:val="00985157"/>
    <w:rsid w:val="00985191"/>
    <w:rsid w:val="009852CA"/>
    <w:rsid w:val="00985576"/>
    <w:rsid w:val="009855E5"/>
    <w:rsid w:val="009855FB"/>
    <w:rsid w:val="00985608"/>
    <w:rsid w:val="00985619"/>
    <w:rsid w:val="00985837"/>
    <w:rsid w:val="00985A11"/>
    <w:rsid w:val="00985D19"/>
    <w:rsid w:val="00985E36"/>
    <w:rsid w:val="00985F76"/>
    <w:rsid w:val="00986061"/>
    <w:rsid w:val="009861AD"/>
    <w:rsid w:val="009861E5"/>
    <w:rsid w:val="0098628D"/>
    <w:rsid w:val="00986338"/>
    <w:rsid w:val="00986393"/>
    <w:rsid w:val="00986447"/>
    <w:rsid w:val="009864FF"/>
    <w:rsid w:val="00986603"/>
    <w:rsid w:val="009867E2"/>
    <w:rsid w:val="00986887"/>
    <w:rsid w:val="00986896"/>
    <w:rsid w:val="0098690B"/>
    <w:rsid w:val="00986A7B"/>
    <w:rsid w:val="00986B7B"/>
    <w:rsid w:val="00986E16"/>
    <w:rsid w:val="00986E68"/>
    <w:rsid w:val="00986F01"/>
    <w:rsid w:val="0098714F"/>
    <w:rsid w:val="0098717D"/>
    <w:rsid w:val="00987507"/>
    <w:rsid w:val="009875E7"/>
    <w:rsid w:val="009875F0"/>
    <w:rsid w:val="009876A8"/>
    <w:rsid w:val="009876BE"/>
    <w:rsid w:val="0098779B"/>
    <w:rsid w:val="00987A3F"/>
    <w:rsid w:val="00987C24"/>
    <w:rsid w:val="00987C66"/>
    <w:rsid w:val="00987CD6"/>
    <w:rsid w:val="00987DE8"/>
    <w:rsid w:val="00987F4B"/>
    <w:rsid w:val="00990112"/>
    <w:rsid w:val="00990147"/>
    <w:rsid w:val="0099015B"/>
    <w:rsid w:val="0099028A"/>
    <w:rsid w:val="009907EB"/>
    <w:rsid w:val="009908C8"/>
    <w:rsid w:val="009908F2"/>
    <w:rsid w:val="00990A84"/>
    <w:rsid w:val="00990B59"/>
    <w:rsid w:val="00990C30"/>
    <w:rsid w:val="00990D8E"/>
    <w:rsid w:val="00990F6E"/>
    <w:rsid w:val="00990F85"/>
    <w:rsid w:val="00990F86"/>
    <w:rsid w:val="00990FE5"/>
    <w:rsid w:val="009910A7"/>
    <w:rsid w:val="009911AA"/>
    <w:rsid w:val="009911CD"/>
    <w:rsid w:val="00991231"/>
    <w:rsid w:val="00991447"/>
    <w:rsid w:val="00991452"/>
    <w:rsid w:val="0099149E"/>
    <w:rsid w:val="009914A6"/>
    <w:rsid w:val="009914D0"/>
    <w:rsid w:val="009915D7"/>
    <w:rsid w:val="0099165B"/>
    <w:rsid w:val="009919A0"/>
    <w:rsid w:val="009919E0"/>
    <w:rsid w:val="00991B00"/>
    <w:rsid w:val="00991BA5"/>
    <w:rsid w:val="00991D7D"/>
    <w:rsid w:val="00991E51"/>
    <w:rsid w:val="00991E5F"/>
    <w:rsid w:val="00991FA3"/>
    <w:rsid w:val="00992100"/>
    <w:rsid w:val="0099224D"/>
    <w:rsid w:val="009922E2"/>
    <w:rsid w:val="00992439"/>
    <w:rsid w:val="009924B6"/>
    <w:rsid w:val="00992574"/>
    <w:rsid w:val="0099259C"/>
    <w:rsid w:val="009925E4"/>
    <w:rsid w:val="00992615"/>
    <w:rsid w:val="00992823"/>
    <w:rsid w:val="009928AE"/>
    <w:rsid w:val="00992902"/>
    <w:rsid w:val="0099290D"/>
    <w:rsid w:val="00992B8A"/>
    <w:rsid w:val="00992C0D"/>
    <w:rsid w:val="00992EC1"/>
    <w:rsid w:val="00992EE9"/>
    <w:rsid w:val="0099313E"/>
    <w:rsid w:val="0099360B"/>
    <w:rsid w:val="0099372E"/>
    <w:rsid w:val="00993AF6"/>
    <w:rsid w:val="00993B9D"/>
    <w:rsid w:val="00993BDE"/>
    <w:rsid w:val="00993C12"/>
    <w:rsid w:val="00993C95"/>
    <w:rsid w:val="00993F39"/>
    <w:rsid w:val="00993FDE"/>
    <w:rsid w:val="00994004"/>
    <w:rsid w:val="00994108"/>
    <w:rsid w:val="00994369"/>
    <w:rsid w:val="009944D1"/>
    <w:rsid w:val="009945AD"/>
    <w:rsid w:val="009946A4"/>
    <w:rsid w:val="00994739"/>
    <w:rsid w:val="00994A43"/>
    <w:rsid w:val="00994AFD"/>
    <w:rsid w:val="00994B5D"/>
    <w:rsid w:val="00994B71"/>
    <w:rsid w:val="00994BC8"/>
    <w:rsid w:val="00994CCB"/>
    <w:rsid w:val="00994D9F"/>
    <w:rsid w:val="00994DC7"/>
    <w:rsid w:val="00994DEA"/>
    <w:rsid w:val="00994FE1"/>
    <w:rsid w:val="00995037"/>
    <w:rsid w:val="00995066"/>
    <w:rsid w:val="00995105"/>
    <w:rsid w:val="00995241"/>
    <w:rsid w:val="00995262"/>
    <w:rsid w:val="009953CE"/>
    <w:rsid w:val="0099541F"/>
    <w:rsid w:val="00995455"/>
    <w:rsid w:val="0099549A"/>
    <w:rsid w:val="009954CE"/>
    <w:rsid w:val="00995635"/>
    <w:rsid w:val="00995702"/>
    <w:rsid w:val="00995742"/>
    <w:rsid w:val="0099584A"/>
    <w:rsid w:val="0099594F"/>
    <w:rsid w:val="009959D0"/>
    <w:rsid w:val="00995AD5"/>
    <w:rsid w:val="00995AFE"/>
    <w:rsid w:val="00995C04"/>
    <w:rsid w:val="00995C6C"/>
    <w:rsid w:val="00995EA2"/>
    <w:rsid w:val="0099603C"/>
    <w:rsid w:val="00996074"/>
    <w:rsid w:val="009963B3"/>
    <w:rsid w:val="0099661A"/>
    <w:rsid w:val="0099668E"/>
    <w:rsid w:val="00996767"/>
    <w:rsid w:val="009967E3"/>
    <w:rsid w:val="00996844"/>
    <w:rsid w:val="009969DC"/>
    <w:rsid w:val="00996A46"/>
    <w:rsid w:val="00996C6E"/>
    <w:rsid w:val="00996F1E"/>
    <w:rsid w:val="00996F33"/>
    <w:rsid w:val="00997308"/>
    <w:rsid w:val="0099732D"/>
    <w:rsid w:val="009973AD"/>
    <w:rsid w:val="00997563"/>
    <w:rsid w:val="009977CD"/>
    <w:rsid w:val="00997832"/>
    <w:rsid w:val="00997839"/>
    <w:rsid w:val="009978BD"/>
    <w:rsid w:val="0099790B"/>
    <w:rsid w:val="00997A26"/>
    <w:rsid w:val="00997B05"/>
    <w:rsid w:val="009A003F"/>
    <w:rsid w:val="009A0090"/>
    <w:rsid w:val="009A02C2"/>
    <w:rsid w:val="009A02FF"/>
    <w:rsid w:val="009A0309"/>
    <w:rsid w:val="009A0378"/>
    <w:rsid w:val="009A06CB"/>
    <w:rsid w:val="009A06DF"/>
    <w:rsid w:val="009A073A"/>
    <w:rsid w:val="009A07A4"/>
    <w:rsid w:val="009A0A3E"/>
    <w:rsid w:val="009A0B2F"/>
    <w:rsid w:val="009A0B65"/>
    <w:rsid w:val="009A0D3E"/>
    <w:rsid w:val="009A11F6"/>
    <w:rsid w:val="009A12FA"/>
    <w:rsid w:val="009A136B"/>
    <w:rsid w:val="009A142A"/>
    <w:rsid w:val="009A1483"/>
    <w:rsid w:val="009A148E"/>
    <w:rsid w:val="009A1636"/>
    <w:rsid w:val="009A1707"/>
    <w:rsid w:val="009A18E9"/>
    <w:rsid w:val="009A1968"/>
    <w:rsid w:val="009A1994"/>
    <w:rsid w:val="009A1A70"/>
    <w:rsid w:val="009A1AF0"/>
    <w:rsid w:val="009A1EF8"/>
    <w:rsid w:val="009A1F72"/>
    <w:rsid w:val="009A217A"/>
    <w:rsid w:val="009A21AE"/>
    <w:rsid w:val="009A250D"/>
    <w:rsid w:val="009A2675"/>
    <w:rsid w:val="009A2678"/>
    <w:rsid w:val="009A270E"/>
    <w:rsid w:val="009A2872"/>
    <w:rsid w:val="009A2993"/>
    <w:rsid w:val="009A2A7D"/>
    <w:rsid w:val="009A2ABB"/>
    <w:rsid w:val="009A2AF3"/>
    <w:rsid w:val="009A2AFC"/>
    <w:rsid w:val="009A2BEC"/>
    <w:rsid w:val="009A2C64"/>
    <w:rsid w:val="009A2D5C"/>
    <w:rsid w:val="009A2D6F"/>
    <w:rsid w:val="009A303F"/>
    <w:rsid w:val="009A3064"/>
    <w:rsid w:val="009A31E8"/>
    <w:rsid w:val="009A3279"/>
    <w:rsid w:val="009A337D"/>
    <w:rsid w:val="009A3392"/>
    <w:rsid w:val="009A367F"/>
    <w:rsid w:val="009A36BA"/>
    <w:rsid w:val="009A371E"/>
    <w:rsid w:val="009A374E"/>
    <w:rsid w:val="009A39C6"/>
    <w:rsid w:val="009A3A48"/>
    <w:rsid w:val="009A3D3F"/>
    <w:rsid w:val="009A3D45"/>
    <w:rsid w:val="009A3D53"/>
    <w:rsid w:val="009A3D98"/>
    <w:rsid w:val="009A3E6F"/>
    <w:rsid w:val="009A3F5E"/>
    <w:rsid w:val="009A40A7"/>
    <w:rsid w:val="009A413A"/>
    <w:rsid w:val="009A4161"/>
    <w:rsid w:val="009A441F"/>
    <w:rsid w:val="009A45E1"/>
    <w:rsid w:val="009A47E5"/>
    <w:rsid w:val="009A4888"/>
    <w:rsid w:val="009A49A7"/>
    <w:rsid w:val="009A4A11"/>
    <w:rsid w:val="009A4AC3"/>
    <w:rsid w:val="009A4E87"/>
    <w:rsid w:val="009A50B4"/>
    <w:rsid w:val="009A512E"/>
    <w:rsid w:val="009A5414"/>
    <w:rsid w:val="009A5615"/>
    <w:rsid w:val="009A57F1"/>
    <w:rsid w:val="009A58DB"/>
    <w:rsid w:val="009A5B7F"/>
    <w:rsid w:val="009A5B89"/>
    <w:rsid w:val="009A5C3F"/>
    <w:rsid w:val="009A5E38"/>
    <w:rsid w:val="009A5F42"/>
    <w:rsid w:val="009A5F77"/>
    <w:rsid w:val="009A615B"/>
    <w:rsid w:val="009A631B"/>
    <w:rsid w:val="009A6330"/>
    <w:rsid w:val="009A6423"/>
    <w:rsid w:val="009A6575"/>
    <w:rsid w:val="009A6614"/>
    <w:rsid w:val="009A6633"/>
    <w:rsid w:val="009A6663"/>
    <w:rsid w:val="009A6694"/>
    <w:rsid w:val="009A6786"/>
    <w:rsid w:val="009A697C"/>
    <w:rsid w:val="009A6A0C"/>
    <w:rsid w:val="009A6C0A"/>
    <w:rsid w:val="009A6D5B"/>
    <w:rsid w:val="009A6E64"/>
    <w:rsid w:val="009A6F5D"/>
    <w:rsid w:val="009A7114"/>
    <w:rsid w:val="009A7226"/>
    <w:rsid w:val="009A74C1"/>
    <w:rsid w:val="009A7546"/>
    <w:rsid w:val="009A7553"/>
    <w:rsid w:val="009A77F0"/>
    <w:rsid w:val="009A78CC"/>
    <w:rsid w:val="009A793B"/>
    <w:rsid w:val="009A7BB7"/>
    <w:rsid w:val="009A7EB3"/>
    <w:rsid w:val="009B0025"/>
    <w:rsid w:val="009B0164"/>
    <w:rsid w:val="009B043B"/>
    <w:rsid w:val="009B04DF"/>
    <w:rsid w:val="009B04FC"/>
    <w:rsid w:val="009B06C2"/>
    <w:rsid w:val="009B06ED"/>
    <w:rsid w:val="009B07E4"/>
    <w:rsid w:val="009B0931"/>
    <w:rsid w:val="009B11F6"/>
    <w:rsid w:val="009B1447"/>
    <w:rsid w:val="009B1546"/>
    <w:rsid w:val="009B191C"/>
    <w:rsid w:val="009B1A44"/>
    <w:rsid w:val="009B1A8C"/>
    <w:rsid w:val="009B1AFE"/>
    <w:rsid w:val="009B1BAA"/>
    <w:rsid w:val="009B1D64"/>
    <w:rsid w:val="009B1E5D"/>
    <w:rsid w:val="009B1E8F"/>
    <w:rsid w:val="009B1EC8"/>
    <w:rsid w:val="009B1FC3"/>
    <w:rsid w:val="009B2103"/>
    <w:rsid w:val="009B23E8"/>
    <w:rsid w:val="009B242A"/>
    <w:rsid w:val="009B2519"/>
    <w:rsid w:val="009B28A0"/>
    <w:rsid w:val="009B2944"/>
    <w:rsid w:val="009B294E"/>
    <w:rsid w:val="009B298F"/>
    <w:rsid w:val="009B2A58"/>
    <w:rsid w:val="009B2CF8"/>
    <w:rsid w:val="009B2D0E"/>
    <w:rsid w:val="009B2DB7"/>
    <w:rsid w:val="009B2E83"/>
    <w:rsid w:val="009B2F27"/>
    <w:rsid w:val="009B2FA8"/>
    <w:rsid w:val="009B2FC5"/>
    <w:rsid w:val="009B3065"/>
    <w:rsid w:val="009B3139"/>
    <w:rsid w:val="009B3164"/>
    <w:rsid w:val="009B3394"/>
    <w:rsid w:val="009B354F"/>
    <w:rsid w:val="009B3651"/>
    <w:rsid w:val="009B3679"/>
    <w:rsid w:val="009B367C"/>
    <w:rsid w:val="009B36DB"/>
    <w:rsid w:val="009B3783"/>
    <w:rsid w:val="009B3917"/>
    <w:rsid w:val="009B3B88"/>
    <w:rsid w:val="009B3D16"/>
    <w:rsid w:val="009B3D43"/>
    <w:rsid w:val="009B3E8E"/>
    <w:rsid w:val="009B40B6"/>
    <w:rsid w:val="009B41C9"/>
    <w:rsid w:val="009B424F"/>
    <w:rsid w:val="009B428A"/>
    <w:rsid w:val="009B42B0"/>
    <w:rsid w:val="009B438F"/>
    <w:rsid w:val="009B442A"/>
    <w:rsid w:val="009B4555"/>
    <w:rsid w:val="009B45B3"/>
    <w:rsid w:val="009B45BC"/>
    <w:rsid w:val="009B45D6"/>
    <w:rsid w:val="009B46CA"/>
    <w:rsid w:val="009B479B"/>
    <w:rsid w:val="009B489C"/>
    <w:rsid w:val="009B48AA"/>
    <w:rsid w:val="009B4D11"/>
    <w:rsid w:val="009B5200"/>
    <w:rsid w:val="009B5264"/>
    <w:rsid w:val="009B55BF"/>
    <w:rsid w:val="009B5654"/>
    <w:rsid w:val="009B56BA"/>
    <w:rsid w:val="009B59CF"/>
    <w:rsid w:val="009B5A53"/>
    <w:rsid w:val="009B5EDA"/>
    <w:rsid w:val="009B5EFA"/>
    <w:rsid w:val="009B6408"/>
    <w:rsid w:val="009B64B7"/>
    <w:rsid w:val="009B671B"/>
    <w:rsid w:val="009B68FD"/>
    <w:rsid w:val="009B6923"/>
    <w:rsid w:val="009B6A4A"/>
    <w:rsid w:val="009B6A73"/>
    <w:rsid w:val="009B6B6C"/>
    <w:rsid w:val="009B6B8B"/>
    <w:rsid w:val="009B6EAF"/>
    <w:rsid w:val="009B6FBD"/>
    <w:rsid w:val="009B7040"/>
    <w:rsid w:val="009B71A9"/>
    <w:rsid w:val="009B71B2"/>
    <w:rsid w:val="009B7219"/>
    <w:rsid w:val="009B724A"/>
    <w:rsid w:val="009B7B12"/>
    <w:rsid w:val="009B7B5B"/>
    <w:rsid w:val="009B7B95"/>
    <w:rsid w:val="009B7F1B"/>
    <w:rsid w:val="009B7FF6"/>
    <w:rsid w:val="009C00A7"/>
    <w:rsid w:val="009C04B3"/>
    <w:rsid w:val="009C06F8"/>
    <w:rsid w:val="009C0785"/>
    <w:rsid w:val="009C0860"/>
    <w:rsid w:val="009C0913"/>
    <w:rsid w:val="009C0A73"/>
    <w:rsid w:val="009C0D02"/>
    <w:rsid w:val="009C0DFD"/>
    <w:rsid w:val="009C1088"/>
    <w:rsid w:val="009C10E6"/>
    <w:rsid w:val="009C14FF"/>
    <w:rsid w:val="009C1608"/>
    <w:rsid w:val="009C1657"/>
    <w:rsid w:val="009C1A3D"/>
    <w:rsid w:val="009C1B82"/>
    <w:rsid w:val="009C1BAF"/>
    <w:rsid w:val="009C1C7B"/>
    <w:rsid w:val="009C1CCB"/>
    <w:rsid w:val="009C1DAD"/>
    <w:rsid w:val="009C1F93"/>
    <w:rsid w:val="009C211F"/>
    <w:rsid w:val="009C218C"/>
    <w:rsid w:val="009C23A7"/>
    <w:rsid w:val="009C2469"/>
    <w:rsid w:val="009C25B7"/>
    <w:rsid w:val="009C260A"/>
    <w:rsid w:val="009C2621"/>
    <w:rsid w:val="009C2659"/>
    <w:rsid w:val="009C2779"/>
    <w:rsid w:val="009C27AE"/>
    <w:rsid w:val="009C291F"/>
    <w:rsid w:val="009C2921"/>
    <w:rsid w:val="009C29A5"/>
    <w:rsid w:val="009C2CD3"/>
    <w:rsid w:val="009C336D"/>
    <w:rsid w:val="009C339A"/>
    <w:rsid w:val="009C33F0"/>
    <w:rsid w:val="009C3552"/>
    <w:rsid w:val="009C35F5"/>
    <w:rsid w:val="009C3633"/>
    <w:rsid w:val="009C36AE"/>
    <w:rsid w:val="009C3894"/>
    <w:rsid w:val="009C38AB"/>
    <w:rsid w:val="009C3AF2"/>
    <w:rsid w:val="009C3CE6"/>
    <w:rsid w:val="009C416B"/>
    <w:rsid w:val="009C423A"/>
    <w:rsid w:val="009C425F"/>
    <w:rsid w:val="009C4300"/>
    <w:rsid w:val="009C4495"/>
    <w:rsid w:val="009C4532"/>
    <w:rsid w:val="009C46AE"/>
    <w:rsid w:val="009C46F4"/>
    <w:rsid w:val="009C4E6E"/>
    <w:rsid w:val="009C4FE1"/>
    <w:rsid w:val="009C5402"/>
    <w:rsid w:val="009C547E"/>
    <w:rsid w:val="009C5590"/>
    <w:rsid w:val="009C55B2"/>
    <w:rsid w:val="009C5810"/>
    <w:rsid w:val="009C58A6"/>
    <w:rsid w:val="009C5A2A"/>
    <w:rsid w:val="009C5A57"/>
    <w:rsid w:val="009C5ABF"/>
    <w:rsid w:val="009C5B58"/>
    <w:rsid w:val="009C5F17"/>
    <w:rsid w:val="009C620C"/>
    <w:rsid w:val="009C6217"/>
    <w:rsid w:val="009C6798"/>
    <w:rsid w:val="009C67ED"/>
    <w:rsid w:val="009C6852"/>
    <w:rsid w:val="009C68C2"/>
    <w:rsid w:val="009C6948"/>
    <w:rsid w:val="009C698C"/>
    <w:rsid w:val="009C6AB4"/>
    <w:rsid w:val="009C6AE2"/>
    <w:rsid w:val="009C6B61"/>
    <w:rsid w:val="009C6BAB"/>
    <w:rsid w:val="009C6E22"/>
    <w:rsid w:val="009C6E53"/>
    <w:rsid w:val="009C6ED2"/>
    <w:rsid w:val="009C7446"/>
    <w:rsid w:val="009C7701"/>
    <w:rsid w:val="009C77F7"/>
    <w:rsid w:val="009C79CF"/>
    <w:rsid w:val="009C7DF6"/>
    <w:rsid w:val="009C7E39"/>
    <w:rsid w:val="009C7EDC"/>
    <w:rsid w:val="009C7EF4"/>
    <w:rsid w:val="009C7F6B"/>
    <w:rsid w:val="009D0269"/>
    <w:rsid w:val="009D0284"/>
    <w:rsid w:val="009D0350"/>
    <w:rsid w:val="009D039A"/>
    <w:rsid w:val="009D040B"/>
    <w:rsid w:val="009D0420"/>
    <w:rsid w:val="009D060C"/>
    <w:rsid w:val="009D06AF"/>
    <w:rsid w:val="009D0790"/>
    <w:rsid w:val="009D084E"/>
    <w:rsid w:val="009D0854"/>
    <w:rsid w:val="009D08D9"/>
    <w:rsid w:val="009D095E"/>
    <w:rsid w:val="009D09A6"/>
    <w:rsid w:val="009D09F2"/>
    <w:rsid w:val="009D0B1F"/>
    <w:rsid w:val="009D0B41"/>
    <w:rsid w:val="009D0D58"/>
    <w:rsid w:val="009D0EFA"/>
    <w:rsid w:val="009D1131"/>
    <w:rsid w:val="009D1238"/>
    <w:rsid w:val="009D1317"/>
    <w:rsid w:val="009D1572"/>
    <w:rsid w:val="009D1696"/>
    <w:rsid w:val="009D1764"/>
    <w:rsid w:val="009D1C4B"/>
    <w:rsid w:val="009D1E6E"/>
    <w:rsid w:val="009D1E8B"/>
    <w:rsid w:val="009D2094"/>
    <w:rsid w:val="009D234A"/>
    <w:rsid w:val="009D295C"/>
    <w:rsid w:val="009D2988"/>
    <w:rsid w:val="009D2B92"/>
    <w:rsid w:val="009D2BEB"/>
    <w:rsid w:val="009D2D55"/>
    <w:rsid w:val="009D2E44"/>
    <w:rsid w:val="009D2FD2"/>
    <w:rsid w:val="009D3173"/>
    <w:rsid w:val="009D3248"/>
    <w:rsid w:val="009D34FA"/>
    <w:rsid w:val="009D359C"/>
    <w:rsid w:val="009D3891"/>
    <w:rsid w:val="009D3A7A"/>
    <w:rsid w:val="009D3BA9"/>
    <w:rsid w:val="009D3C4B"/>
    <w:rsid w:val="009D3D33"/>
    <w:rsid w:val="009D4063"/>
    <w:rsid w:val="009D4263"/>
    <w:rsid w:val="009D433E"/>
    <w:rsid w:val="009D4443"/>
    <w:rsid w:val="009D44A5"/>
    <w:rsid w:val="009D45C2"/>
    <w:rsid w:val="009D4738"/>
    <w:rsid w:val="009D48F0"/>
    <w:rsid w:val="009D4920"/>
    <w:rsid w:val="009D493B"/>
    <w:rsid w:val="009D497E"/>
    <w:rsid w:val="009D4C05"/>
    <w:rsid w:val="009D4DBA"/>
    <w:rsid w:val="009D4DDC"/>
    <w:rsid w:val="009D4EA6"/>
    <w:rsid w:val="009D50D6"/>
    <w:rsid w:val="009D5189"/>
    <w:rsid w:val="009D51F4"/>
    <w:rsid w:val="009D5291"/>
    <w:rsid w:val="009D5360"/>
    <w:rsid w:val="009D5394"/>
    <w:rsid w:val="009D547E"/>
    <w:rsid w:val="009D55D9"/>
    <w:rsid w:val="009D57F4"/>
    <w:rsid w:val="009D5902"/>
    <w:rsid w:val="009D59E2"/>
    <w:rsid w:val="009D5BF7"/>
    <w:rsid w:val="009D5E4D"/>
    <w:rsid w:val="009D6223"/>
    <w:rsid w:val="009D62A8"/>
    <w:rsid w:val="009D635E"/>
    <w:rsid w:val="009D6452"/>
    <w:rsid w:val="009D6610"/>
    <w:rsid w:val="009D680C"/>
    <w:rsid w:val="009D693B"/>
    <w:rsid w:val="009D6A50"/>
    <w:rsid w:val="009D6CFE"/>
    <w:rsid w:val="009D6DA6"/>
    <w:rsid w:val="009D6F49"/>
    <w:rsid w:val="009D6F63"/>
    <w:rsid w:val="009D6F90"/>
    <w:rsid w:val="009D7096"/>
    <w:rsid w:val="009D7142"/>
    <w:rsid w:val="009D7259"/>
    <w:rsid w:val="009D731C"/>
    <w:rsid w:val="009D7729"/>
    <w:rsid w:val="009D7865"/>
    <w:rsid w:val="009D7909"/>
    <w:rsid w:val="009D7A08"/>
    <w:rsid w:val="009D7AA8"/>
    <w:rsid w:val="009E0172"/>
    <w:rsid w:val="009E01AF"/>
    <w:rsid w:val="009E05EE"/>
    <w:rsid w:val="009E0653"/>
    <w:rsid w:val="009E0743"/>
    <w:rsid w:val="009E07B9"/>
    <w:rsid w:val="009E08EE"/>
    <w:rsid w:val="009E0991"/>
    <w:rsid w:val="009E0AB0"/>
    <w:rsid w:val="009E0C90"/>
    <w:rsid w:val="009E0EB4"/>
    <w:rsid w:val="009E11D3"/>
    <w:rsid w:val="009E128D"/>
    <w:rsid w:val="009E12EB"/>
    <w:rsid w:val="009E141C"/>
    <w:rsid w:val="009E167B"/>
    <w:rsid w:val="009E170C"/>
    <w:rsid w:val="009E174D"/>
    <w:rsid w:val="009E1995"/>
    <w:rsid w:val="009E19BE"/>
    <w:rsid w:val="009E1E67"/>
    <w:rsid w:val="009E1E78"/>
    <w:rsid w:val="009E1EFF"/>
    <w:rsid w:val="009E2085"/>
    <w:rsid w:val="009E2185"/>
    <w:rsid w:val="009E22C4"/>
    <w:rsid w:val="009E25D4"/>
    <w:rsid w:val="009E26E0"/>
    <w:rsid w:val="009E2764"/>
    <w:rsid w:val="009E2819"/>
    <w:rsid w:val="009E2C94"/>
    <w:rsid w:val="009E2D82"/>
    <w:rsid w:val="009E3090"/>
    <w:rsid w:val="009E311A"/>
    <w:rsid w:val="009E32FF"/>
    <w:rsid w:val="009E3323"/>
    <w:rsid w:val="009E33E2"/>
    <w:rsid w:val="009E3632"/>
    <w:rsid w:val="009E378F"/>
    <w:rsid w:val="009E37F1"/>
    <w:rsid w:val="009E3807"/>
    <w:rsid w:val="009E3A2F"/>
    <w:rsid w:val="009E3A92"/>
    <w:rsid w:val="009E3BF6"/>
    <w:rsid w:val="009E3C05"/>
    <w:rsid w:val="009E3DB7"/>
    <w:rsid w:val="009E3DB9"/>
    <w:rsid w:val="009E3E0F"/>
    <w:rsid w:val="009E4013"/>
    <w:rsid w:val="009E4017"/>
    <w:rsid w:val="009E43F8"/>
    <w:rsid w:val="009E443D"/>
    <w:rsid w:val="009E4519"/>
    <w:rsid w:val="009E45A5"/>
    <w:rsid w:val="009E477D"/>
    <w:rsid w:val="009E4B5F"/>
    <w:rsid w:val="009E4BEA"/>
    <w:rsid w:val="009E4D88"/>
    <w:rsid w:val="009E4EFC"/>
    <w:rsid w:val="009E508E"/>
    <w:rsid w:val="009E5166"/>
    <w:rsid w:val="009E51EF"/>
    <w:rsid w:val="009E5535"/>
    <w:rsid w:val="009E59BD"/>
    <w:rsid w:val="009E59C6"/>
    <w:rsid w:val="009E5AF3"/>
    <w:rsid w:val="009E5BEC"/>
    <w:rsid w:val="009E5BFF"/>
    <w:rsid w:val="009E5C72"/>
    <w:rsid w:val="009E5E7B"/>
    <w:rsid w:val="009E5F48"/>
    <w:rsid w:val="009E60EF"/>
    <w:rsid w:val="009E6140"/>
    <w:rsid w:val="009E616F"/>
    <w:rsid w:val="009E6173"/>
    <w:rsid w:val="009E6252"/>
    <w:rsid w:val="009E627A"/>
    <w:rsid w:val="009E6607"/>
    <w:rsid w:val="009E6985"/>
    <w:rsid w:val="009E69EE"/>
    <w:rsid w:val="009E6EB8"/>
    <w:rsid w:val="009E6EC2"/>
    <w:rsid w:val="009E6EEA"/>
    <w:rsid w:val="009E6F05"/>
    <w:rsid w:val="009E718E"/>
    <w:rsid w:val="009E742E"/>
    <w:rsid w:val="009E7443"/>
    <w:rsid w:val="009E74C7"/>
    <w:rsid w:val="009E74EE"/>
    <w:rsid w:val="009E779A"/>
    <w:rsid w:val="009E78D1"/>
    <w:rsid w:val="009E78F3"/>
    <w:rsid w:val="009E7AA3"/>
    <w:rsid w:val="009E7B3B"/>
    <w:rsid w:val="009E7C3D"/>
    <w:rsid w:val="009E7CC7"/>
    <w:rsid w:val="009E7DA1"/>
    <w:rsid w:val="009E7E7F"/>
    <w:rsid w:val="009E7EF0"/>
    <w:rsid w:val="009F0074"/>
    <w:rsid w:val="009F00EF"/>
    <w:rsid w:val="009F014B"/>
    <w:rsid w:val="009F0502"/>
    <w:rsid w:val="009F061F"/>
    <w:rsid w:val="009F0639"/>
    <w:rsid w:val="009F0680"/>
    <w:rsid w:val="009F08A1"/>
    <w:rsid w:val="009F0A37"/>
    <w:rsid w:val="009F0A72"/>
    <w:rsid w:val="009F0B15"/>
    <w:rsid w:val="009F0B68"/>
    <w:rsid w:val="009F0BA0"/>
    <w:rsid w:val="009F0D30"/>
    <w:rsid w:val="009F0D3B"/>
    <w:rsid w:val="009F0DB6"/>
    <w:rsid w:val="009F0ED7"/>
    <w:rsid w:val="009F1203"/>
    <w:rsid w:val="009F12A5"/>
    <w:rsid w:val="009F12B5"/>
    <w:rsid w:val="009F12D6"/>
    <w:rsid w:val="009F1410"/>
    <w:rsid w:val="009F14DC"/>
    <w:rsid w:val="009F155A"/>
    <w:rsid w:val="009F15B4"/>
    <w:rsid w:val="009F1754"/>
    <w:rsid w:val="009F17ED"/>
    <w:rsid w:val="009F17FC"/>
    <w:rsid w:val="009F1883"/>
    <w:rsid w:val="009F1BD2"/>
    <w:rsid w:val="009F1C5A"/>
    <w:rsid w:val="009F1CD6"/>
    <w:rsid w:val="009F1D1E"/>
    <w:rsid w:val="009F1D48"/>
    <w:rsid w:val="009F20AA"/>
    <w:rsid w:val="009F21BC"/>
    <w:rsid w:val="009F25C6"/>
    <w:rsid w:val="009F25FF"/>
    <w:rsid w:val="009F26C3"/>
    <w:rsid w:val="009F276D"/>
    <w:rsid w:val="009F2811"/>
    <w:rsid w:val="009F28A8"/>
    <w:rsid w:val="009F2A87"/>
    <w:rsid w:val="009F2C4A"/>
    <w:rsid w:val="009F2CE2"/>
    <w:rsid w:val="009F2D2F"/>
    <w:rsid w:val="009F2DFF"/>
    <w:rsid w:val="009F2F50"/>
    <w:rsid w:val="009F3120"/>
    <w:rsid w:val="009F329F"/>
    <w:rsid w:val="009F336B"/>
    <w:rsid w:val="009F3517"/>
    <w:rsid w:val="009F353C"/>
    <w:rsid w:val="009F3734"/>
    <w:rsid w:val="009F3AC9"/>
    <w:rsid w:val="009F3AD8"/>
    <w:rsid w:val="009F3C33"/>
    <w:rsid w:val="009F3C36"/>
    <w:rsid w:val="009F3CEA"/>
    <w:rsid w:val="009F3EF7"/>
    <w:rsid w:val="009F3F7A"/>
    <w:rsid w:val="009F3FA5"/>
    <w:rsid w:val="009F3FF7"/>
    <w:rsid w:val="009F42BF"/>
    <w:rsid w:val="009F4463"/>
    <w:rsid w:val="009F4510"/>
    <w:rsid w:val="009F4592"/>
    <w:rsid w:val="009F46FD"/>
    <w:rsid w:val="009F48E1"/>
    <w:rsid w:val="009F4A94"/>
    <w:rsid w:val="009F4D2A"/>
    <w:rsid w:val="009F4D3D"/>
    <w:rsid w:val="009F4E0C"/>
    <w:rsid w:val="009F4E4D"/>
    <w:rsid w:val="009F4E5D"/>
    <w:rsid w:val="009F4E73"/>
    <w:rsid w:val="009F4F18"/>
    <w:rsid w:val="009F500D"/>
    <w:rsid w:val="009F5205"/>
    <w:rsid w:val="009F553C"/>
    <w:rsid w:val="009F556F"/>
    <w:rsid w:val="009F575A"/>
    <w:rsid w:val="009F581C"/>
    <w:rsid w:val="009F5869"/>
    <w:rsid w:val="009F5966"/>
    <w:rsid w:val="009F5E2C"/>
    <w:rsid w:val="009F5F97"/>
    <w:rsid w:val="009F61FF"/>
    <w:rsid w:val="009F629D"/>
    <w:rsid w:val="009F6B34"/>
    <w:rsid w:val="009F6CAF"/>
    <w:rsid w:val="009F6CB5"/>
    <w:rsid w:val="009F6E28"/>
    <w:rsid w:val="009F6E82"/>
    <w:rsid w:val="009F6F6F"/>
    <w:rsid w:val="009F6F87"/>
    <w:rsid w:val="009F701C"/>
    <w:rsid w:val="009F70F0"/>
    <w:rsid w:val="009F72B3"/>
    <w:rsid w:val="009F74B5"/>
    <w:rsid w:val="009F755D"/>
    <w:rsid w:val="009F7696"/>
    <w:rsid w:val="009F7830"/>
    <w:rsid w:val="009F78A1"/>
    <w:rsid w:val="009F78A3"/>
    <w:rsid w:val="009F7997"/>
    <w:rsid w:val="009F7A5C"/>
    <w:rsid w:val="009F7B14"/>
    <w:rsid w:val="009F7CE6"/>
    <w:rsid w:val="009F7D8F"/>
    <w:rsid w:val="009F7E97"/>
    <w:rsid w:val="009F7EF3"/>
    <w:rsid w:val="009F7F77"/>
    <w:rsid w:val="009F7F9F"/>
    <w:rsid w:val="009F7FA9"/>
    <w:rsid w:val="00A001D1"/>
    <w:rsid w:val="00A00281"/>
    <w:rsid w:val="00A002E5"/>
    <w:rsid w:val="00A0078B"/>
    <w:rsid w:val="00A0085A"/>
    <w:rsid w:val="00A00979"/>
    <w:rsid w:val="00A00BFB"/>
    <w:rsid w:val="00A00C4C"/>
    <w:rsid w:val="00A00CB1"/>
    <w:rsid w:val="00A00D6E"/>
    <w:rsid w:val="00A010AE"/>
    <w:rsid w:val="00A0134C"/>
    <w:rsid w:val="00A01483"/>
    <w:rsid w:val="00A01724"/>
    <w:rsid w:val="00A0183C"/>
    <w:rsid w:val="00A0187E"/>
    <w:rsid w:val="00A01C87"/>
    <w:rsid w:val="00A01F07"/>
    <w:rsid w:val="00A01FEE"/>
    <w:rsid w:val="00A0203B"/>
    <w:rsid w:val="00A0216D"/>
    <w:rsid w:val="00A0217A"/>
    <w:rsid w:val="00A0239C"/>
    <w:rsid w:val="00A02430"/>
    <w:rsid w:val="00A02459"/>
    <w:rsid w:val="00A024A7"/>
    <w:rsid w:val="00A02505"/>
    <w:rsid w:val="00A026C6"/>
    <w:rsid w:val="00A02888"/>
    <w:rsid w:val="00A028CE"/>
    <w:rsid w:val="00A028DB"/>
    <w:rsid w:val="00A02AF1"/>
    <w:rsid w:val="00A02DBC"/>
    <w:rsid w:val="00A02E83"/>
    <w:rsid w:val="00A02EAC"/>
    <w:rsid w:val="00A02F83"/>
    <w:rsid w:val="00A0336D"/>
    <w:rsid w:val="00A033D4"/>
    <w:rsid w:val="00A034BA"/>
    <w:rsid w:val="00A0398D"/>
    <w:rsid w:val="00A03B57"/>
    <w:rsid w:val="00A03BD1"/>
    <w:rsid w:val="00A03C9D"/>
    <w:rsid w:val="00A03DFE"/>
    <w:rsid w:val="00A03E34"/>
    <w:rsid w:val="00A03FD1"/>
    <w:rsid w:val="00A03FD8"/>
    <w:rsid w:val="00A03FDF"/>
    <w:rsid w:val="00A0416A"/>
    <w:rsid w:val="00A04389"/>
    <w:rsid w:val="00A04483"/>
    <w:rsid w:val="00A044F7"/>
    <w:rsid w:val="00A0453A"/>
    <w:rsid w:val="00A0454A"/>
    <w:rsid w:val="00A045E3"/>
    <w:rsid w:val="00A04678"/>
    <w:rsid w:val="00A04795"/>
    <w:rsid w:val="00A047EA"/>
    <w:rsid w:val="00A04831"/>
    <w:rsid w:val="00A04AD7"/>
    <w:rsid w:val="00A04BF2"/>
    <w:rsid w:val="00A04D87"/>
    <w:rsid w:val="00A04D9C"/>
    <w:rsid w:val="00A04F36"/>
    <w:rsid w:val="00A04FE4"/>
    <w:rsid w:val="00A0507F"/>
    <w:rsid w:val="00A05170"/>
    <w:rsid w:val="00A051A2"/>
    <w:rsid w:val="00A053E7"/>
    <w:rsid w:val="00A05790"/>
    <w:rsid w:val="00A05800"/>
    <w:rsid w:val="00A0582B"/>
    <w:rsid w:val="00A0593D"/>
    <w:rsid w:val="00A05D2A"/>
    <w:rsid w:val="00A06119"/>
    <w:rsid w:val="00A061BF"/>
    <w:rsid w:val="00A0635B"/>
    <w:rsid w:val="00A065B1"/>
    <w:rsid w:val="00A066DE"/>
    <w:rsid w:val="00A06745"/>
    <w:rsid w:val="00A0680D"/>
    <w:rsid w:val="00A06A8B"/>
    <w:rsid w:val="00A06E32"/>
    <w:rsid w:val="00A06F30"/>
    <w:rsid w:val="00A06F44"/>
    <w:rsid w:val="00A07050"/>
    <w:rsid w:val="00A0706C"/>
    <w:rsid w:val="00A07143"/>
    <w:rsid w:val="00A073A3"/>
    <w:rsid w:val="00A0780C"/>
    <w:rsid w:val="00A07C8D"/>
    <w:rsid w:val="00A07D79"/>
    <w:rsid w:val="00A103C5"/>
    <w:rsid w:val="00A10475"/>
    <w:rsid w:val="00A104F2"/>
    <w:rsid w:val="00A105EC"/>
    <w:rsid w:val="00A10613"/>
    <w:rsid w:val="00A10678"/>
    <w:rsid w:val="00A107B7"/>
    <w:rsid w:val="00A10895"/>
    <w:rsid w:val="00A1099F"/>
    <w:rsid w:val="00A11053"/>
    <w:rsid w:val="00A111B4"/>
    <w:rsid w:val="00A1133B"/>
    <w:rsid w:val="00A11468"/>
    <w:rsid w:val="00A117B7"/>
    <w:rsid w:val="00A11858"/>
    <w:rsid w:val="00A1185A"/>
    <w:rsid w:val="00A11AB8"/>
    <w:rsid w:val="00A11B6C"/>
    <w:rsid w:val="00A11B9F"/>
    <w:rsid w:val="00A11BCE"/>
    <w:rsid w:val="00A11C43"/>
    <w:rsid w:val="00A11D70"/>
    <w:rsid w:val="00A11D88"/>
    <w:rsid w:val="00A11DE9"/>
    <w:rsid w:val="00A11EB2"/>
    <w:rsid w:val="00A11EF8"/>
    <w:rsid w:val="00A1205E"/>
    <w:rsid w:val="00A12111"/>
    <w:rsid w:val="00A12130"/>
    <w:rsid w:val="00A12163"/>
    <w:rsid w:val="00A121DB"/>
    <w:rsid w:val="00A1227E"/>
    <w:rsid w:val="00A122D6"/>
    <w:rsid w:val="00A12306"/>
    <w:rsid w:val="00A1240C"/>
    <w:rsid w:val="00A125C3"/>
    <w:rsid w:val="00A126F6"/>
    <w:rsid w:val="00A129CE"/>
    <w:rsid w:val="00A12B9C"/>
    <w:rsid w:val="00A12C7F"/>
    <w:rsid w:val="00A12E38"/>
    <w:rsid w:val="00A13041"/>
    <w:rsid w:val="00A13123"/>
    <w:rsid w:val="00A13168"/>
    <w:rsid w:val="00A13233"/>
    <w:rsid w:val="00A1328D"/>
    <w:rsid w:val="00A13298"/>
    <w:rsid w:val="00A13507"/>
    <w:rsid w:val="00A13526"/>
    <w:rsid w:val="00A135BF"/>
    <w:rsid w:val="00A135E4"/>
    <w:rsid w:val="00A13708"/>
    <w:rsid w:val="00A138CB"/>
    <w:rsid w:val="00A139CF"/>
    <w:rsid w:val="00A139F5"/>
    <w:rsid w:val="00A13BEA"/>
    <w:rsid w:val="00A13E58"/>
    <w:rsid w:val="00A13EA1"/>
    <w:rsid w:val="00A13F68"/>
    <w:rsid w:val="00A13FBF"/>
    <w:rsid w:val="00A14064"/>
    <w:rsid w:val="00A14175"/>
    <w:rsid w:val="00A143D8"/>
    <w:rsid w:val="00A1459C"/>
    <w:rsid w:val="00A14756"/>
    <w:rsid w:val="00A149CD"/>
    <w:rsid w:val="00A14B48"/>
    <w:rsid w:val="00A14B74"/>
    <w:rsid w:val="00A14BA9"/>
    <w:rsid w:val="00A14C88"/>
    <w:rsid w:val="00A14D7F"/>
    <w:rsid w:val="00A14E27"/>
    <w:rsid w:val="00A14F5A"/>
    <w:rsid w:val="00A15031"/>
    <w:rsid w:val="00A151DC"/>
    <w:rsid w:val="00A15412"/>
    <w:rsid w:val="00A154C9"/>
    <w:rsid w:val="00A15606"/>
    <w:rsid w:val="00A158B3"/>
    <w:rsid w:val="00A158FB"/>
    <w:rsid w:val="00A159A9"/>
    <w:rsid w:val="00A15C68"/>
    <w:rsid w:val="00A15D3F"/>
    <w:rsid w:val="00A15E53"/>
    <w:rsid w:val="00A15F93"/>
    <w:rsid w:val="00A16020"/>
    <w:rsid w:val="00A1615F"/>
    <w:rsid w:val="00A161FC"/>
    <w:rsid w:val="00A16435"/>
    <w:rsid w:val="00A16456"/>
    <w:rsid w:val="00A1649D"/>
    <w:rsid w:val="00A164F9"/>
    <w:rsid w:val="00A16549"/>
    <w:rsid w:val="00A165E5"/>
    <w:rsid w:val="00A16617"/>
    <w:rsid w:val="00A166C1"/>
    <w:rsid w:val="00A167C5"/>
    <w:rsid w:val="00A1682D"/>
    <w:rsid w:val="00A16866"/>
    <w:rsid w:val="00A1699E"/>
    <w:rsid w:val="00A16B00"/>
    <w:rsid w:val="00A16B4E"/>
    <w:rsid w:val="00A1706D"/>
    <w:rsid w:val="00A173E6"/>
    <w:rsid w:val="00A1778C"/>
    <w:rsid w:val="00A177B4"/>
    <w:rsid w:val="00A177C0"/>
    <w:rsid w:val="00A177E8"/>
    <w:rsid w:val="00A17958"/>
    <w:rsid w:val="00A17BBE"/>
    <w:rsid w:val="00A17E06"/>
    <w:rsid w:val="00A17F76"/>
    <w:rsid w:val="00A17FA4"/>
    <w:rsid w:val="00A20172"/>
    <w:rsid w:val="00A201C8"/>
    <w:rsid w:val="00A201DF"/>
    <w:rsid w:val="00A20389"/>
    <w:rsid w:val="00A2054F"/>
    <w:rsid w:val="00A20715"/>
    <w:rsid w:val="00A2089F"/>
    <w:rsid w:val="00A20977"/>
    <w:rsid w:val="00A209C4"/>
    <w:rsid w:val="00A20A7C"/>
    <w:rsid w:val="00A20B79"/>
    <w:rsid w:val="00A20BEC"/>
    <w:rsid w:val="00A20C33"/>
    <w:rsid w:val="00A20C71"/>
    <w:rsid w:val="00A20E76"/>
    <w:rsid w:val="00A20F63"/>
    <w:rsid w:val="00A2102B"/>
    <w:rsid w:val="00A21051"/>
    <w:rsid w:val="00A2114A"/>
    <w:rsid w:val="00A212A1"/>
    <w:rsid w:val="00A215AE"/>
    <w:rsid w:val="00A21647"/>
    <w:rsid w:val="00A216C1"/>
    <w:rsid w:val="00A21932"/>
    <w:rsid w:val="00A21C67"/>
    <w:rsid w:val="00A21CF1"/>
    <w:rsid w:val="00A22042"/>
    <w:rsid w:val="00A221F6"/>
    <w:rsid w:val="00A223D4"/>
    <w:rsid w:val="00A22464"/>
    <w:rsid w:val="00A224AA"/>
    <w:rsid w:val="00A224F6"/>
    <w:rsid w:val="00A2252F"/>
    <w:rsid w:val="00A22578"/>
    <w:rsid w:val="00A22679"/>
    <w:rsid w:val="00A226A8"/>
    <w:rsid w:val="00A22801"/>
    <w:rsid w:val="00A22986"/>
    <w:rsid w:val="00A22A7E"/>
    <w:rsid w:val="00A22AC2"/>
    <w:rsid w:val="00A22D2F"/>
    <w:rsid w:val="00A22F30"/>
    <w:rsid w:val="00A2302E"/>
    <w:rsid w:val="00A23276"/>
    <w:rsid w:val="00A236B4"/>
    <w:rsid w:val="00A23B0C"/>
    <w:rsid w:val="00A23C67"/>
    <w:rsid w:val="00A23E78"/>
    <w:rsid w:val="00A23F0D"/>
    <w:rsid w:val="00A23FEA"/>
    <w:rsid w:val="00A240A1"/>
    <w:rsid w:val="00A2411B"/>
    <w:rsid w:val="00A24136"/>
    <w:rsid w:val="00A24285"/>
    <w:rsid w:val="00A2437F"/>
    <w:rsid w:val="00A245BB"/>
    <w:rsid w:val="00A247BD"/>
    <w:rsid w:val="00A2482C"/>
    <w:rsid w:val="00A248E3"/>
    <w:rsid w:val="00A24A49"/>
    <w:rsid w:val="00A24DCB"/>
    <w:rsid w:val="00A24DDB"/>
    <w:rsid w:val="00A24E01"/>
    <w:rsid w:val="00A24E2F"/>
    <w:rsid w:val="00A24EA7"/>
    <w:rsid w:val="00A24F1F"/>
    <w:rsid w:val="00A24FC1"/>
    <w:rsid w:val="00A24FCB"/>
    <w:rsid w:val="00A25014"/>
    <w:rsid w:val="00A25085"/>
    <w:rsid w:val="00A250AA"/>
    <w:rsid w:val="00A2561F"/>
    <w:rsid w:val="00A2564E"/>
    <w:rsid w:val="00A25665"/>
    <w:rsid w:val="00A25764"/>
    <w:rsid w:val="00A25814"/>
    <w:rsid w:val="00A25860"/>
    <w:rsid w:val="00A2597D"/>
    <w:rsid w:val="00A259A8"/>
    <w:rsid w:val="00A259B7"/>
    <w:rsid w:val="00A25C7E"/>
    <w:rsid w:val="00A25CE6"/>
    <w:rsid w:val="00A25CEA"/>
    <w:rsid w:val="00A25D91"/>
    <w:rsid w:val="00A25E18"/>
    <w:rsid w:val="00A25E97"/>
    <w:rsid w:val="00A263DA"/>
    <w:rsid w:val="00A269DD"/>
    <w:rsid w:val="00A26C75"/>
    <w:rsid w:val="00A26CB9"/>
    <w:rsid w:val="00A26EF2"/>
    <w:rsid w:val="00A27298"/>
    <w:rsid w:val="00A274A7"/>
    <w:rsid w:val="00A274B2"/>
    <w:rsid w:val="00A27648"/>
    <w:rsid w:val="00A27895"/>
    <w:rsid w:val="00A279E6"/>
    <w:rsid w:val="00A27D37"/>
    <w:rsid w:val="00A27D64"/>
    <w:rsid w:val="00A27E73"/>
    <w:rsid w:val="00A27E85"/>
    <w:rsid w:val="00A3035F"/>
    <w:rsid w:val="00A3037D"/>
    <w:rsid w:val="00A30561"/>
    <w:rsid w:val="00A305C4"/>
    <w:rsid w:val="00A30FF3"/>
    <w:rsid w:val="00A3112E"/>
    <w:rsid w:val="00A311C9"/>
    <w:rsid w:val="00A31375"/>
    <w:rsid w:val="00A31A85"/>
    <w:rsid w:val="00A31B0C"/>
    <w:rsid w:val="00A31F9B"/>
    <w:rsid w:val="00A322A5"/>
    <w:rsid w:val="00A322EE"/>
    <w:rsid w:val="00A32441"/>
    <w:rsid w:val="00A3246E"/>
    <w:rsid w:val="00A3263C"/>
    <w:rsid w:val="00A32657"/>
    <w:rsid w:val="00A32665"/>
    <w:rsid w:val="00A32A31"/>
    <w:rsid w:val="00A32C83"/>
    <w:rsid w:val="00A32D61"/>
    <w:rsid w:val="00A32ED4"/>
    <w:rsid w:val="00A33042"/>
    <w:rsid w:val="00A330C6"/>
    <w:rsid w:val="00A33283"/>
    <w:rsid w:val="00A332DF"/>
    <w:rsid w:val="00A334D5"/>
    <w:rsid w:val="00A33596"/>
    <w:rsid w:val="00A3368A"/>
    <w:rsid w:val="00A3378B"/>
    <w:rsid w:val="00A33848"/>
    <w:rsid w:val="00A338A5"/>
    <w:rsid w:val="00A339C3"/>
    <w:rsid w:val="00A33C9D"/>
    <w:rsid w:val="00A33F39"/>
    <w:rsid w:val="00A33FE2"/>
    <w:rsid w:val="00A341F4"/>
    <w:rsid w:val="00A3457B"/>
    <w:rsid w:val="00A345B6"/>
    <w:rsid w:val="00A3478E"/>
    <w:rsid w:val="00A34C40"/>
    <w:rsid w:val="00A34CC9"/>
    <w:rsid w:val="00A34F82"/>
    <w:rsid w:val="00A34FA3"/>
    <w:rsid w:val="00A352EA"/>
    <w:rsid w:val="00A3540F"/>
    <w:rsid w:val="00A35654"/>
    <w:rsid w:val="00A356CE"/>
    <w:rsid w:val="00A356F0"/>
    <w:rsid w:val="00A35A41"/>
    <w:rsid w:val="00A35ACA"/>
    <w:rsid w:val="00A35B22"/>
    <w:rsid w:val="00A35F31"/>
    <w:rsid w:val="00A3627B"/>
    <w:rsid w:val="00A3629B"/>
    <w:rsid w:val="00A362E6"/>
    <w:rsid w:val="00A36537"/>
    <w:rsid w:val="00A3653E"/>
    <w:rsid w:val="00A36547"/>
    <w:rsid w:val="00A3677B"/>
    <w:rsid w:val="00A367A8"/>
    <w:rsid w:val="00A3684F"/>
    <w:rsid w:val="00A36906"/>
    <w:rsid w:val="00A36999"/>
    <w:rsid w:val="00A369B8"/>
    <w:rsid w:val="00A36AAC"/>
    <w:rsid w:val="00A36AEB"/>
    <w:rsid w:val="00A36CBA"/>
    <w:rsid w:val="00A36D95"/>
    <w:rsid w:val="00A36DA4"/>
    <w:rsid w:val="00A36EE4"/>
    <w:rsid w:val="00A36F1D"/>
    <w:rsid w:val="00A36F9D"/>
    <w:rsid w:val="00A370AC"/>
    <w:rsid w:val="00A3726B"/>
    <w:rsid w:val="00A3731C"/>
    <w:rsid w:val="00A376AA"/>
    <w:rsid w:val="00A37703"/>
    <w:rsid w:val="00A3788B"/>
    <w:rsid w:val="00A3790F"/>
    <w:rsid w:val="00A37973"/>
    <w:rsid w:val="00A37A1B"/>
    <w:rsid w:val="00A37B90"/>
    <w:rsid w:val="00A37CA3"/>
    <w:rsid w:val="00A37DFE"/>
    <w:rsid w:val="00A40058"/>
    <w:rsid w:val="00A405E1"/>
    <w:rsid w:val="00A408FE"/>
    <w:rsid w:val="00A409F9"/>
    <w:rsid w:val="00A40A80"/>
    <w:rsid w:val="00A40D7B"/>
    <w:rsid w:val="00A40D99"/>
    <w:rsid w:val="00A40DF1"/>
    <w:rsid w:val="00A40E7B"/>
    <w:rsid w:val="00A40F13"/>
    <w:rsid w:val="00A40FEE"/>
    <w:rsid w:val="00A4106C"/>
    <w:rsid w:val="00A411F1"/>
    <w:rsid w:val="00A41305"/>
    <w:rsid w:val="00A4130A"/>
    <w:rsid w:val="00A41349"/>
    <w:rsid w:val="00A413A8"/>
    <w:rsid w:val="00A413B4"/>
    <w:rsid w:val="00A41548"/>
    <w:rsid w:val="00A41556"/>
    <w:rsid w:val="00A415C6"/>
    <w:rsid w:val="00A4174B"/>
    <w:rsid w:val="00A41869"/>
    <w:rsid w:val="00A41985"/>
    <w:rsid w:val="00A419AE"/>
    <w:rsid w:val="00A41ACF"/>
    <w:rsid w:val="00A41B1F"/>
    <w:rsid w:val="00A41C5A"/>
    <w:rsid w:val="00A41CE8"/>
    <w:rsid w:val="00A41E54"/>
    <w:rsid w:val="00A41FEB"/>
    <w:rsid w:val="00A42004"/>
    <w:rsid w:val="00A42206"/>
    <w:rsid w:val="00A4260A"/>
    <w:rsid w:val="00A42624"/>
    <w:rsid w:val="00A42744"/>
    <w:rsid w:val="00A42884"/>
    <w:rsid w:val="00A42AD5"/>
    <w:rsid w:val="00A42B48"/>
    <w:rsid w:val="00A42BA4"/>
    <w:rsid w:val="00A42E3E"/>
    <w:rsid w:val="00A42E5F"/>
    <w:rsid w:val="00A42EC4"/>
    <w:rsid w:val="00A42FCD"/>
    <w:rsid w:val="00A42FEF"/>
    <w:rsid w:val="00A43027"/>
    <w:rsid w:val="00A430B5"/>
    <w:rsid w:val="00A43241"/>
    <w:rsid w:val="00A432A8"/>
    <w:rsid w:val="00A432AF"/>
    <w:rsid w:val="00A43322"/>
    <w:rsid w:val="00A43782"/>
    <w:rsid w:val="00A437F2"/>
    <w:rsid w:val="00A4387A"/>
    <w:rsid w:val="00A43CA9"/>
    <w:rsid w:val="00A43CEA"/>
    <w:rsid w:val="00A43D94"/>
    <w:rsid w:val="00A440A6"/>
    <w:rsid w:val="00A44291"/>
    <w:rsid w:val="00A443F4"/>
    <w:rsid w:val="00A44402"/>
    <w:rsid w:val="00A444AF"/>
    <w:rsid w:val="00A44643"/>
    <w:rsid w:val="00A447E1"/>
    <w:rsid w:val="00A44869"/>
    <w:rsid w:val="00A448BB"/>
    <w:rsid w:val="00A44968"/>
    <w:rsid w:val="00A44DEF"/>
    <w:rsid w:val="00A44E9F"/>
    <w:rsid w:val="00A44FDB"/>
    <w:rsid w:val="00A452DD"/>
    <w:rsid w:val="00A453C9"/>
    <w:rsid w:val="00A45404"/>
    <w:rsid w:val="00A45534"/>
    <w:rsid w:val="00A455D8"/>
    <w:rsid w:val="00A45C3A"/>
    <w:rsid w:val="00A45DEA"/>
    <w:rsid w:val="00A45E12"/>
    <w:rsid w:val="00A45FBE"/>
    <w:rsid w:val="00A46006"/>
    <w:rsid w:val="00A46123"/>
    <w:rsid w:val="00A4628C"/>
    <w:rsid w:val="00A462C4"/>
    <w:rsid w:val="00A46331"/>
    <w:rsid w:val="00A46B58"/>
    <w:rsid w:val="00A47025"/>
    <w:rsid w:val="00A47087"/>
    <w:rsid w:val="00A47129"/>
    <w:rsid w:val="00A4728E"/>
    <w:rsid w:val="00A47361"/>
    <w:rsid w:val="00A474B6"/>
    <w:rsid w:val="00A47590"/>
    <w:rsid w:val="00A47731"/>
    <w:rsid w:val="00A4780C"/>
    <w:rsid w:val="00A47815"/>
    <w:rsid w:val="00A47857"/>
    <w:rsid w:val="00A478C5"/>
    <w:rsid w:val="00A47B12"/>
    <w:rsid w:val="00A47B62"/>
    <w:rsid w:val="00A47D93"/>
    <w:rsid w:val="00A47F07"/>
    <w:rsid w:val="00A50149"/>
    <w:rsid w:val="00A501B9"/>
    <w:rsid w:val="00A501EE"/>
    <w:rsid w:val="00A50270"/>
    <w:rsid w:val="00A50316"/>
    <w:rsid w:val="00A5046C"/>
    <w:rsid w:val="00A5047C"/>
    <w:rsid w:val="00A505FE"/>
    <w:rsid w:val="00A50693"/>
    <w:rsid w:val="00A506A0"/>
    <w:rsid w:val="00A5075B"/>
    <w:rsid w:val="00A507D2"/>
    <w:rsid w:val="00A508E8"/>
    <w:rsid w:val="00A508F2"/>
    <w:rsid w:val="00A509B5"/>
    <w:rsid w:val="00A50DAF"/>
    <w:rsid w:val="00A50EB5"/>
    <w:rsid w:val="00A50FE0"/>
    <w:rsid w:val="00A51050"/>
    <w:rsid w:val="00A511CF"/>
    <w:rsid w:val="00A51621"/>
    <w:rsid w:val="00A51953"/>
    <w:rsid w:val="00A51A09"/>
    <w:rsid w:val="00A51B8A"/>
    <w:rsid w:val="00A51C11"/>
    <w:rsid w:val="00A51C43"/>
    <w:rsid w:val="00A51C82"/>
    <w:rsid w:val="00A51FDC"/>
    <w:rsid w:val="00A52049"/>
    <w:rsid w:val="00A5214D"/>
    <w:rsid w:val="00A5243E"/>
    <w:rsid w:val="00A5281B"/>
    <w:rsid w:val="00A52850"/>
    <w:rsid w:val="00A5288F"/>
    <w:rsid w:val="00A52A01"/>
    <w:rsid w:val="00A52A6D"/>
    <w:rsid w:val="00A52B9D"/>
    <w:rsid w:val="00A52C41"/>
    <w:rsid w:val="00A52CF1"/>
    <w:rsid w:val="00A52ED3"/>
    <w:rsid w:val="00A52F24"/>
    <w:rsid w:val="00A52F63"/>
    <w:rsid w:val="00A52F91"/>
    <w:rsid w:val="00A52FC3"/>
    <w:rsid w:val="00A5316D"/>
    <w:rsid w:val="00A5322B"/>
    <w:rsid w:val="00A532CA"/>
    <w:rsid w:val="00A53912"/>
    <w:rsid w:val="00A53971"/>
    <w:rsid w:val="00A53C25"/>
    <w:rsid w:val="00A53F31"/>
    <w:rsid w:val="00A53FAB"/>
    <w:rsid w:val="00A53FE5"/>
    <w:rsid w:val="00A540D0"/>
    <w:rsid w:val="00A54191"/>
    <w:rsid w:val="00A5419D"/>
    <w:rsid w:val="00A541E4"/>
    <w:rsid w:val="00A54353"/>
    <w:rsid w:val="00A54381"/>
    <w:rsid w:val="00A543B5"/>
    <w:rsid w:val="00A54466"/>
    <w:rsid w:val="00A54573"/>
    <w:rsid w:val="00A546B9"/>
    <w:rsid w:val="00A54749"/>
    <w:rsid w:val="00A548CB"/>
    <w:rsid w:val="00A54D01"/>
    <w:rsid w:val="00A54DB0"/>
    <w:rsid w:val="00A55059"/>
    <w:rsid w:val="00A553C8"/>
    <w:rsid w:val="00A5569D"/>
    <w:rsid w:val="00A55723"/>
    <w:rsid w:val="00A5575D"/>
    <w:rsid w:val="00A557B8"/>
    <w:rsid w:val="00A558A3"/>
    <w:rsid w:val="00A5591F"/>
    <w:rsid w:val="00A55C2E"/>
    <w:rsid w:val="00A55FF9"/>
    <w:rsid w:val="00A55FFD"/>
    <w:rsid w:val="00A560C2"/>
    <w:rsid w:val="00A56136"/>
    <w:rsid w:val="00A56463"/>
    <w:rsid w:val="00A565C5"/>
    <w:rsid w:val="00A56629"/>
    <w:rsid w:val="00A568B5"/>
    <w:rsid w:val="00A5693D"/>
    <w:rsid w:val="00A56987"/>
    <w:rsid w:val="00A56E12"/>
    <w:rsid w:val="00A56E7A"/>
    <w:rsid w:val="00A56F1F"/>
    <w:rsid w:val="00A56F42"/>
    <w:rsid w:val="00A57080"/>
    <w:rsid w:val="00A570EA"/>
    <w:rsid w:val="00A571D3"/>
    <w:rsid w:val="00A575BE"/>
    <w:rsid w:val="00A57760"/>
    <w:rsid w:val="00A57762"/>
    <w:rsid w:val="00A5779A"/>
    <w:rsid w:val="00A579C2"/>
    <w:rsid w:val="00A57A9B"/>
    <w:rsid w:val="00A57B74"/>
    <w:rsid w:val="00A57CCF"/>
    <w:rsid w:val="00A57F2F"/>
    <w:rsid w:val="00A57FA7"/>
    <w:rsid w:val="00A57FF0"/>
    <w:rsid w:val="00A57FFA"/>
    <w:rsid w:val="00A600E3"/>
    <w:rsid w:val="00A6018B"/>
    <w:rsid w:val="00A6025C"/>
    <w:rsid w:val="00A6033A"/>
    <w:rsid w:val="00A6040B"/>
    <w:rsid w:val="00A6048C"/>
    <w:rsid w:val="00A60742"/>
    <w:rsid w:val="00A607E8"/>
    <w:rsid w:val="00A609B8"/>
    <w:rsid w:val="00A60B8D"/>
    <w:rsid w:val="00A60C97"/>
    <w:rsid w:val="00A60D8B"/>
    <w:rsid w:val="00A611C4"/>
    <w:rsid w:val="00A614EF"/>
    <w:rsid w:val="00A6161D"/>
    <w:rsid w:val="00A61684"/>
    <w:rsid w:val="00A6178E"/>
    <w:rsid w:val="00A61885"/>
    <w:rsid w:val="00A61891"/>
    <w:rsid w:val="00A618E6"/>
    <w:rsid w:val="00A61D31"/>
    <w:rsid w:val="00A61DDD"/>
    <w:rsid w:val="00A61E09"/>
    <w:rsid w:val="00A61E9D"/>
    <w:rsid w:val="00A61F91"/>
    <w:rsid w:val="00A62015"/>
    <w:rsid w:val="00A620CE"/>
    <w:rsid w:val="00A62213"/>
    <w:rsid w:val="00A6224C"/>
    <w:rsid w:val="00A623C7"/>
    <w:rsid w:val="00A62478"/>
    <w:rsid w:val="00A6270C"/>
    <w:rsid w:val="00A62910"/>
    <w:rsid w:val="00A6298A"/>
    <w:rsid w:val="00A62B7E"/>
    <w:rsid w:val="00A62D90"/>
    <w:rsid w:val="00A62FA8"/>
    <w:rsid w:val="00A630EA"/>
    <w:rsid w:val="00A63258"/>
    <w:rsid w:val="00A63397"/>
    <w:rsid w:val="00A633D7"/>
    <w:rsid w:val="00A634D1"/>
    <w:rsid w:val="00A63915"/>
    <w:rsid w:val="00A63923"/>
    <w:rsid w:val="00A63945"/>
    <w:rsid w:val="00A63957"/>
    <w:rsid w:val="00A63A51"/>
    <w:rsid w:val="00A63AB0"/>
    <w:rsid w:val="00A63C0C"/>
    <w:rsid w:val="00A63CB8"/>
    <w:rsid w:val="00A63E27"/>
    <w:rsid w:val="00A63EC6"/>
    <w:rsid w:val="00A63FEF"/>
    <w:rsid w:val="00A64257"/>
    <w:rsid w:val="00A642AE"/>
    <w:rsid w:val="00A645B1"/>
    <w:rsid w:val="00A647BF"/>
    <w:rsid w:val="00A6483E"/>
    <w:rsid w:val="00A64BE9"/>
    <w:rsid w:val="00A64FD1"/>
    <w:rsid w:val="00A65045"/>
    <w:rsid w:val="00A651B7"/>
    <w:rsid w:val="00A651EB"/>
    <w:rsid w:val="00A6521F"/>
    <w:rsid w:val="00A65263"/>
    <w:rsid w:val="00A65277"/>
    <w:rsid w:val="00A65454"/>
    <w:rsid w:val="00A659DB"/>
    <w:rsid w:val="00A65DEF"/>
    <w:rsid w:val="00A65EAA"/>
    <w:rsid w:val="00A65F45"/>
    <w:rsid w:val="00A65F84"/>
    <w:rsid w:val="00A662D2"/>
    <w:rsid w:val="00A662FE"/>
    <w:rsid w:val="00A66656"/>
    <w:rsid w:val="00A66724"/>
    <w:rsid w:val="00A6683D"/>
    <w:rsid w:val="00A66B63"/>
    <w:rsid w:val="00A66BA9"/>
    <w:rsid w:val="00A66C20"/>
    <w:rsid w:val="00A66C8D"/>
    <w:rsid w:val="00A66CBC"/>
    <w:rsid w:val="00A66D57"/>
    <w:rsid w:val="00A66E61"/>
    <w:rsid w:val="00A66EFD"/>
    <w:rsid w:val="00A66F4F"/>
    <w:rsid w:val="00A66FAA"/>
    <w:rsid w:val="00A66FAB"/>
    <w:rsid w:val="00A670BD"/>
    <w:rsid w:val="00A670C3"/>
    <w:rsid w:val="00A671AC"/>
    <w:rsid w:val="00A67272"/>
    <w:rsid w:val="00A672F0"/>
    <w:rsid w:val="00A6733F"/>
    <w:rsid w:val="00A674D1"/>
    <w:rsid w:val="00A675AA"/>
    <w:rsid w:val="00A678B0"/>
    <w:rsid w:val="00A678ED"/>
    <w:rsid w:val="00A67BE7"/>
    <w:rsid w:val="00A67D62"/>
    <w:rsid w:val="00A67DEF"/>
    <w:rsid w:val="00A67E11"/>
    <w:rsid w:val="00A67E9C"/>
    <w:rsid w:val="00A67EDF"/>
    <w:rsid w:val="00A67F00"/>
    <w:rsid w:val="00A7023F"/>
    <w:rsid w:val="00A7051F"/>
    <w:rsid w:val="00A70544"/>
    <w:rsid w:val="00A705C3"/>
    <w:rsid w:val="00A7073B"/>
    <w:rsid w:val="00A707B8"/>
    <w:rsid w:val="00A70911"/>
    <w:rsid w:val="00A70989"/>
    <w:rsid w:val="00A709F5"/>
    <w:rsid w:val="00A70DA0"/>
    <w:rsid w:val="00A70E9B"/>
    <w:rsid w:val="00A70EFC"/>
    <w:rsid w:val="00A70F09"/>
    <w:rsid w:val="00A7111A"/>
    <w:rsid w:val="00A71159"/>
    <w:rsid w:val="00A7115D"/>
    <w:rsid w:val="00A711F2"/>
    <w:rsid w:val="00A714E1"/>
    <w:rsid w:val="00A7151D"/>
    <w:rsid w:val="00A71641"/>
    <w:rsid w:val="00A71700"/>
    <w:rsid w:val="00A7194C"/>
    <w:rsid w:val="00A71B8F"/>
    <w:rsid w:val="00A71BBC"/>
    <w:rsid w:val="00A71BCE"/>
    <w:rsid w:val="00A71C1A"/>
    <w:rsid w:val="00A71C22"/>
    <w:rsid w:val="00A71D68"/>
    <w:rsid w:val="00A7215C"/>
    <w:rsid w:val="00A721CD"/>
    <w:rsid w:val="00A721D4"/>
    <w:rsid w:val="00A72267"/>
    <w:rsid w:val="00A724A7"/>
    <w:rsid w:val="00A7257A"/>
    <w:rsid w:val="00A72583"/>
    <w:rsid w:val="00A7263A"/>
    <w:rsid w:val="00A72654"/>
    <w:rsid w:val="00A726C4"/>
    <w:rsid w:val="00A727AF"/>
    <w:rsid w:val="00A727BF"/>
    <w:rsid w:val="00A72B70"/>
    <w:rsid w:val="00A72BBB"/>
    <w:rsid w:val="00A72CD5"/>
    <w:rsid w:val="00A72D3D"/>
    <w:rsid w:val="00A72DF9"/>
    <w:rsid w:val="00A72E0C"/>
    <w:rsid w:val="00A72EB0"/>
    <w:rsid w:val="00A72F33"/>
    <w:rsid w:val="00A731E4"/>
    <w:rsid w:val="00A73240"/>
    <w:rsid w:val="00A734CE"/>
    <w:rsid w:val="00A7380B"/>
    <w:rsid w:val="00A738C3"/>
    <w:rsid w:val="00A7399B"/>
    <w:rsid w:val="00A73D1E"/>
    <w:rsid w:val="00A73D31"/>
    <w:rsid w:val="00A73EDA"/>
    <w:rsid w:val="00A74033"/>
    <w:rsid w:val="00A740F1"/>
    <w:rsid w:val="00A741F5"/>
    <w:rsid w:val="00A74263"/>
    <w:rsid w:val="00A74311"/>
    <w:rsid w:val="00A745A5"/>
    <w:rsid w:val="00A7462E"/>
    <w:rsid w:val="00A7472A"/>
    <w:rsid w:val="00A7472D"/>
    <w:rsid w:val="00A74795"/>
    <w:rsid w:val="00A74854"/>
    <w:rsid w:val="00A74884"/>
    <w:rsid w:val="00A749E3"/>
    <w:rsid w:val="00A74AEB"/>
    <w:rsid w:val="00A74B1A"/>
    <w:rsid w:val="00A74CE5"/>
    <w:rsid w:val="00A74D1D"/>
    <w:rsid w:val="00A74DAD"/>
    <w:rsid w:val="00A750A1"/>
    <w:rsid w:val="00A750B9"/>
    <w:rsid w:val="00A7557A"/>
    <w:rsid w:val="00A7566F"/>
    <w:rsid w:val="00A756A1"/>
    <w:rsid w:val="00A758DD"/>
    <w:rsid w:val="00A75948"/>
    <w:rsid w:val="00A759A1"/>
    <w:rsid w:val="00A75A98"/>
    <w:rsid w:val="00A75B15"/>
    <w:rsid w:val="00A75B1F"/>
    <w:rsid w:val="00A75B49"/>
    <w:rsid w:val="00A75C13"/>
    <w:rsid w:val="00A75D36"/>
    <w:rsid w:val="00A7601E"/>
    <w:rsid w:val="00A76129"/>
    <w:rsid w:val="00A7615D"/>
    <w:rsid w:val="00A76210"/>
    <w:rsid w:val="00A762C2"/>
    <w:rsid w:val="00A76444"/>
    <w:rsid w:val="00A76491"/>
    <w:rsid w:val="00A764B6"/>
    <w:rsid w:val="00A764C8"/>
    <w:rsid w:val="00A765FC"/>
    <w:rsid w:val="00A7662B"/>
    <w:rsid w:val="00A76697"/>
    <w:rsid w:val="00A76771"/>
    <w:rsid w:val="00A768ED"/>
    <w:rsid w:val="00A7692C"/>
    <w:rsid w:val="00A76A66"/>
    <w:rsid w:val="00A76B74"/>
    <w:rsid w:val="00A76BEB"/>
    <w:rsid w:val="00A76E7F"/>
    <w:rsid w:val="00A76EED"/>
    <w:rsid w:val="00A76F06"/>
    <w:rsid w:val="00A76F83"/>
    <w:rsid w:val="00A770C3"/>
    <w:rsid w:val="00A770D2"/>
    <w:rsid w:val="00A771D0"/>
    <w:rsid w:val="00A77414"/>
    <w:rsid w:val="00A7745E"/>
    <w:rsid w:val="00A77717"/>
    <w:rsid w:val="00A777D3"/>
    <w:rsid w:val="00A77965"/>
    <w:rsid w:val="00A77975"/>
    <w:rsid w:val="00A779BB"/>
    <w:rsid w:val="00A77A9E"/>
    <w:rsid w:val="00A77D18"/>
    <w:rsid w:val="00A77D9F"/>
    <w:rsid w:val="00A77E45"/>
    <w:rsid w:val="00A80254"/>
    <w:rsid w:val="00A80326"/>
    <w:rsid w:val="00A80513"/>
    <w:rsid w:val="00A8067D"/>
    <w:rsid w:val="00A806FA"/>
    <w:rsid w:val="00A807AC"/>
    <w:rsid w:val="00A809C4"/>
    <w:rsid w:val="00A809F7"/>
    <w:rsid w:val="00A80B14"/>
    <w:rsid w:val="00A80CBF"/>
    <w:rsid w:val="00A80DC1"/>
    <w:rsid w:val="00A80E7A"/>
    <w:rsid w:val="00A812F6"/>
    <w:rsid w:val="00A81366"/>
    <w:rsid w:val="00A8136C"/>
    <w:rsid w:val="00A813E4"/>
    <w:rsid w:val="00A815A9"/>
    <w:rsid w:val="00A815F6"/>
    <w:rsid w:val="00A81673"/>
    <w:rsid w:val="00A8171B"/>
    <w:rsid w:val="00A81837"/>
    <w:rsid w:val="00A819D3"/>
    <w:rsid w:val="00A81AC6"/>
    <w:rsid w:val="00A81B68"/>
    <w:rsid w:val="00A81CDC"/>
    <w:rsid w:val="00A81D8F"/>
    <w:rsid w:val="00A81E67"/>
    <w:rsid w:val="00A81EAD"/>
    <w:rsid w:val="00A81ED6"/>
    <w:rsid w:val="00A81F26"/>
    <w:rsid w:val="00A81FFB"/>
    <w:rsid w:val="00A82022"/>
    <w:rsid w:val="00A82038"/>
    <w:rsid w:val="00A820E7"/>
    <w:rsid w:val="00A82207"/>
    <w:rsid w:val="00A82254"/>
    <w:rsid w:val="00A8225F"/>
    <w:rsid w:val="00A82282"/>
    <w:rsid w:val="00A822F4"/>
    <w:rsid w:val="00A8241B"/>
    <w:rsid w:val="00A8266B"/>
    <w:rsid w:val="00A82677"/>
    <w:rsid w:val="00A8271F"/>
    <w:rsid w:val="00A828ED"/>
    <w:rsid w:val="00A82947"/>
    <w:rsid w:val="00A82C16"/>
    <w:rsid w:val="00A82E08"/>
    <w:rsid w:val="00A82E2C"/>
    <w:rsid w:val="00A82ED6"/>
    <w:rsid w:val="00A82FF2"/>
    <w:rsid w:val="00A8301B"/>
    <w:rsid w:val="00A830D0"/>
    <w:rsid w:val="00A833A8"/>
    <w:rsid w:val="00A83459"/>
    <w:rsid w:val="00A835B7"/>
    <w:rsid w:val="00A8367F"/>
    <w:rsid w:val="00A83805"/>
    <w:rsid w:val="00A83A31"/>
    <w:rsid w:val="00A83E01"/>
    <w:rsid w:val="00A83EA0"/>
    <w:rsid w:val="00A83FAE"/>
    <w:rsid w:val="00A840E0"/>
    <w:rsid w:val="00A84123"/>
    <w:rsid w:val="00A845AC"/>
    <w:rsid w:val="00A84870"/>
    <w:rsid w:val="00A84961"/>
    <w:rsid w:val="00A84A72"/>
    <w:rsid w:val="00A84ADD"/>
    <w:rsid w:val="00A84BF2"/>
    <w:rsid w:val="00A84BFB"/>
    <w:rsid w:val="00A84D0A"/>
    <w:rsid w:val="00A84F4B"/>
    <w:rsid w:val="00A8509D"/>
    <w:rsid w:val="00A8514E"/>
    <w:rsid w:val="00A8521F"/>
    <w:rsid w:val="00A85315"/>
    <w:rsid w:val="00A8547F"/>
    <w:rsid w:val="00A8548B"/>
    <w:rsid w:val="00A8553A"/>
    <w:rsid w:val="00A855A3"/>
    <w:rsid w:val="00A855B9"/>
    <w:rsid w:val="00A8579A"/>
    <w:rsid w:val="00A857A0"/>
    <w:rsid w:val="00A85909"/>
    <w:rsid w:val="00A85A33"/>
    <w:rsid w:val="00A85A57"/>
    <w:rsid w:val="00A85AB7"/>
    <w:rsid w:val="00A85C4F"/>
    <w:rsid w:val="00A85CDE"/>
    <w:rsid w:val="00A85D5B"/>
    <w:rsid w:val="00A85EDC"/>
    <w:rsid w:val="00A85F6C"/>
    <w:rsid w:val="00A86541"/>
    <w:rsid w:val="00A865CC"/>
    <w:rsid w:val="00A8662A"/>
    <w:rsid w:val="00A866A9"/>
    <w:rsid w:val="00A86718"/>
    <w:rsid w:val="00A86B7C"/>
    <w:rsid w:val="00A86C6E"/>
    <w:rsid w:val="00A86ED5"/>
    <w:rsid w:val="00A87144"/>
    <w:rsid w:val="00A87200"/>
    <w:rsid w:val="00A87370"/>
    <w:rsid w:val="00A873ED"/>
    <w:rsid w:val="00A87485"/>
    <w:rsid w:val="00A87737"/>
    <w:rsid w:val="00A87889"/>
    <w:rsid w:val="00A87928"/>
    <w:rsid w:val="00A87B49"/>
    <w:rsid w:val="00A87C8C"/>
    <w:rsid w:val="00A90095"/>
    <w:rsid w:val="00A90371"/>
    <w:rsid w:val="00A9041B"/>
    <w:rsid w:val="00A90526"/>
    <w:rsid w:val="00A9057C"/>
    <w:rsid w:val="00A90634"/>
    <w:rsid w:val="00A9064F"/>
    <w:rsid w:val="00A906A7"/>
    <w:rsid w:val="00A906CA"/>
    <w:rsid w:val="00A9075D"/>
    <w:rsid w:val="00A908F5"/>
    <w:rsid w:val="00A90909"/>
    <w:rsid w:val="00A909F3"/>
    <w:rsid w:val="00A90A12"/>
    <w:rsid w:val="00A90A2D"/>
    <w:rsid w:val="00A90B59"/>
    <w:rsid w:val="00A90DE8"/>
    <w:rsid w:val="00A90FA7"/>
    <w:rsid w:val="00A91131"/>
    <w:rsid w:val="00A91183"/>
    <w:rsid w:val="00A91196"/>
    <w:rsid w:val="00A9122C"/>
    <w:rsid w:val="00A9130C"/>
    <w:rsid w:val="00A913C4"/>
    <w:rsid w:val="00A916B8"/>
    <w:rsid w:val="00A91867"/>
    <w:rsid w:val="00A91955"/>
    <w:rsid w:val="00A91A5B"/>
    <w:rsid w:val="00A91AB8"/>
    <w:rsid w:val="00A91B5C"/>
    <w:rsid w:val="00A91C26"/>
    <w:rsid w:val="00A91C47"/>
    <w:rsid w:val="00A91F06"/>
    <w:rsid w:val="00A92067"/>
    <w:rsid w:val="00A920A8"/>
    <w:rsid w:val="00A9214B"/>
    <w:rsid w:val="00A92241"/>
    <w:rsid w:val="00A922AE"/>
    <w:rsid w:val="00A923DB"/>
    <w:rsid w:val="00A9247C"/>
    <w:rsid w:val="00A92499"/>
    <w:rsid w:val="00A924C9"/>
    <w:rsid w:val="00A9256B"/>
    <w:rsid w:val="00A925C9"/>
    <w:rsid w:val="00A927FB"/>
    <w:rsid w:val="00A9294C"/>
    <w:rsid w:val="00A929FC"/>
    <w:rsid w:val="00A92A25"/>
    <w:rsid w:val="00A92BF2"/>
    <w:rsid w:val="00A92DA1"/>
    <w:rsid w:val="00A92E27"/>
    <w:rsid w:val="00A92F10"/>
    <w:rsid w:val="00A93090"/>
    <w:rsid w:val="00A930E4"/>
    <w:rsid w:val="00A9314F"/>
    <w:rsid w:val="00A9317B"/>
    <w:rsid w:val="00A93335"/>
    <w:rsid w:val="00A93388"/>
    <w:rsid w:val="00A93424"/>
    <w:rsid w:val="00A935A4"/>
    <w:rsid w:val="00A935E2"/>
    <w:rsid w:val="00A93832"/>
    <w:rsid w:val="00A93851"/>
    <w:rsid w:val="00A93E36"/>
    <w:rsid w:val="00A93E41"/>
    <w:rsid w:val="00A93FBC"/>
    <w:rsid w:val="00A9442F"/>
    <w:rsid w:val="00A94603"/>
    <w:rsid w:val="00A946B6"/>
    <w:rsid w:val="00A947AC"/>
    <w:rsid w:val="00A94CC3"/>
    <w:rsid w:val="00A94CDB"/>
    <w:rsid w:val="00A94D73"/>
    <w:rsid w:val="00A94EAE"/>
    <w:rsid w:val="00A94F60"/>
    <w:rsid w:val="00A94F86"/>
    <w:rsid w:val="00A94FEB"/>
    <w:rsid w:val="00A9537F"/>
    <w:rsid w:val="00A9588A"/>
    <w:rsid w:val="00A95BCD"/>
    <w:rsid w:val="00A95CC1"/>
    <w:rsid w:val="00A95EAC"/>
    <w:rsid w:val="00A9648D"/>
    <w:rsid w:val="00A9649C"/>
    <w:rsid w:val="00A96550"/>
    <w:rsid w:val="00A96607"/>
    <w:rsid w:val="00A967AA"/>
    <w:rsid w:val="00A9692D"/>
    <w:rsid w:val="00A9693D"/>
    <w:rsid w:val="00A96993"/>
    <w:rsid w:val="00A969AC"/>
    <w:rsid w:val="00A96A8E"/>
    <w:rsid w:val="00A96AB3"/>
    <w:rsid w:val="00A96B1F"/>
    <w:rsid w:val="00A96C6D"/>
    <w:rsid w:val="00A96CF0"/>
    <w:rsid w:val="00A96F0F"/>
    <w:rsid w:val="00A9729C"/>
    <w:rsid w:val="00A9732D"/>
    <w:rsid w:val="00A97451"/>
    <w:rsid w:val="00A97583"/>
    <w:rsid w:val="00A976D8"/>
    <w:rsid w:val="00A97979"/>
    <w:rsid w:val="00A97A07"/>
    <w:rsid w:val="00A97B32"/>
    <w:rsid w:val="00AA00C9"/>
    <w:rsid w:val="00AA025B"/>
    <w:rsid w:val="00AA0299"/>
    <w:rsid w:val="00AA0451"/>
    <w:rsid w:val="00AA0904"/>
    <w:rsid w:val="00AA0971"/>
    <w:rsid w:val="00AA0A3B"/>
    <w:rsid w:val="00AA0B44"/>
    <w:rsid w:val="00AA0B99"/>
    <w:rsid w:val="00AA0C77"/>
    <w:rsid w:val="00AA0D5F"/>
    <w:rsid w:val="00AA0FEA"/>
    <w:rsid w:val="00AA0FF2"/>
    <w:rsid w:val="00AA11A3"/>
    <w:rsid w:val="00AA1259"/>
    <w:rsid w:val="00AA17FD"/>
    <w:rsid w:val="00AA19DD"/>
    <w:rsid w:val="00AA1C10"/>
    <w:rsid w:val="00AA1C5A"/>
    <w:rsid w:val="00AA1D37"/>
    <w:rsid w:val="00AA1DE7"/>
    <w:rsid w:val="00AA1EED"/>
    <w:rsid w:val="00AA1F67"/>
    <w:rsid w:val="00AA20FB"/>
    <w:rsid w:val="00AA2144"/>
    <w:rsid w:val="00AA214F"/>
    <w:rsid w:val="00AA22A9"/>
    <w:rsid w:val="00AA22C5"/>
    <w:rsid w:val="00AA22E9"/>
    <w:rsid w:val="00AA22EC"/>
    <w:rsid w:val="00AA235E"/>
    <w:rsid w:val="00AA2388"/>
    <w:rsid w:val="00AA2587"/>
    <w:rsid w:val="00AA2654"/>
    <w:rsid w:val="00AA269E"/>
    <w:rsid w:val="00AA2840"/>
    <w:rsid w:val="00AA286E"/>
    <w:rsid w:val="00AA2901"/>
    <w:rsid w:val="00AA2B5D"/>
    <w:rsid w:val="00AA2CE7"/>
    <w:rsid w:val="00AA2DE8"/>
    <w:rsid w:val="00AA2E55"/>
    <w:rsid w:val="00AA2EB0"/>
    <w:rsid w:val="00AA2EC5"/>
    <w:rsid w:val="00AA304F"/>
    <w:rsid w:val="00AA3118"/>
    <w:rsid w:val="00AA3181"/>
    <w:rsid w:val="00AA33E7"/>
    <w:rsid w:val="00AA352B"/>
    <w:rsid w:val="00AA3552"/>
    <w:rsid w:val="00AA35BD"/>
    <w:rsid w:val="00AA35CB"/>
    <w:rsid w:val="00AA36AF"/>
    <w:rsid w:val="00AA3772"/>
    <w:rsid w:val="00AA3ABB"/>
    <w:rsid w:val="00AA3CD7"/>
    <w:rsid w:val="00AA3FAB"/>
    <w:rsid w:val="00AA4211"/>
    <w:rsid w:val="00AA42D2"/>
    <w:rsid w:val="00AA42F2"/>
    <w:rsid w:val="00AA43E9"/>
    <w:rsid w:val="00AA471C"/>
    <w:rsid w:val="00AA4A3B"/>
    <w:rsid w:val="00AA4A99"/>
    <w:rsid w:val="00AA4B8F"/>
    <w:rsid w:val="00AA4C09"/>
    <w:rsid w:val="00AA4C64"/>
    <w:rsid w:val="00AA4D77"/>
    <w:rsid w:val="00AA4DEC"/>
    <w:rsid w:val="00AA4E41"/>
    <w:rsid w:val="00AA4E42"/>
    <w:rsid w:val="00AA4F54"/>
    <w:rsid w:val="00AA4FD6"/>
    <w:rsid w:val="00AA50C1"/>
    <w:rsid w:val="00AA50ED"/>
    <w:rsid w:val="00AA5740"/>
    <w:rsid w:val="00AA575F"/>
    <w:rsid w:val="00AA5775"/>
    <w:rsid w:val="00AA57A4"/>
    <w:rsid w:val="00AA586A"/>
    <w:rsid w:val="00AA5888"/>
    <w:rsid w:val="00AA58BF"/>
    <w:rsid w:val="00AA595F"/>
    <w:rsid w:val="00AA5AD4"/>
    <w:rsid w:val="00AA5B37"/>
    <w:rsid w:val="00AA5BCC"/>
    <w:rsid w:val="00AA5C56"/>
    <w:rsid w:val="00AA5C7B"/>
    <w:rsid w:val="00AA5CE2"/>
    <w:rsid w:val="00AA5D96"/>
    <w:rsid w:val="00AA5DA0"/>
    <w:rsid w:val="00AA6032"/>
    <w:rsid w:val="00AA6176"/>
    <w:rsid w:val="00AA61F9"/>
    <w:rsid w:val="00AA63B4"/>
    <w:rsid w:val="00AA63F7"/>
    <w:rsid w:val="00AA64F4"/>
    <w:rsid w:val="00AA6575"/>
    <w:rsid w:val="00AA66DC"/>
    <w:rsid w:val="00AA686C"/>
    <w:rsid w:val="00AA6A07"/>
    <w:rsid w:val="00AA6B31"/>
    <w:rsid w:val="00AA6C35"/>
    <w:rsid w:val="00AA6C7B"/>
    <w:rsid w:val="00AA6DF1"/>
    <w:rsid w:val="00AA6E6F"/>
    <w:rsid w:val="00AA7017"/>
    <w:rsid w:val="00AA75CA"/>
    <w:rsid w:val="00AA762C"/>
    <w:rsid w:val="00AA7723"/>
    <w:rsid w:val="00AA7807"/>
    <w:rsid w:val="00AA78F2"/>
    <w:rsid w:val="00AA79B1"/>
    <w:rsid w:val="00AA7ABC"/>
    <w:rsid w:val="00AA7B44"/>
    <w:rsid w:val="00AB018D"/>
    <w:rsid w:val="00AB02A6"/>
    <w:rsid w:val="00AB06DC"/>
    <w:rsid w:val="00AB09FA"/>
    <w:rsid w:val="00AB0AD5"/>
    <w:rsid w:val="00AB0CA5"/>
    <w:rsid w:val="00AB0D35"/>
    <w:rsid w:val="00AB10AB"/>
    <w:rsid w:val="00AB1256"/>
    <w:rsid w:val="00AB12AB"/>
    <w:rsid w:val="00AB15C7"/>
    <w:rsid w:val="00AB16D5"/>
    <w:rsid w:val="00AB1753"/>
    <w:rsid w:val="00AB176B"/>
    <w:rsid w:val="00AB17A2"/>
    <w:rsid w:val="00AB193C"/>
    <w:rsid w:val="00AB19AB"/>
    <w:rsid w:val="00AB1BE4"/>
    <w:rsid w:val="00AB1D76"/>
    <w:rsid w:val="00AB1D79"/>
    <w:rsid w:val="00AB223C"/>
    <w:rsid w:val="00AB2332"/>
    <w:rsid w:val="00AB2391"/>
    <w:rsid w:val="00AB244B"/>
    <w:rsid w:val="00AB24FE"/>
    <w:rsid w:val="00AB2647"/>
    <w:rsid w:val="00AB26F0"/>
    <w:rsid w:val="00AB273B"/>
    <w:rsid w:val="00AB288E"/>
    <w:rsid w:val="00AB295E"/>
    <w:rsid w:val="00AB2A07"/>
    <w:rsid w:val="00AB2A3D"/>
    <w:rsid w:val="00AB2AFE"/>
    <w:rsid w:val="00AB2B27"/>
    <w:rsid w:val="00AB2DF0"/>
    <w:rsid w:val="00AB2E54"/>
    <w:rsid w:val="00AB2E67"/>
    <w:rsid w:val="00AB2EDD"/>
    <w:rsid w:val="00AB303B"/>
    <w:rsid w:val="00AB32ED"/>
    <w:rsid w:val="00AB347D"/>
    <w:rsid w:val="00AB34F6"/>
    <w:rsid w:val="00AB3560"/>
    <w:rsid w:val="00AB3846"/>
    <w:rsid w:val="00AB38B5"/>
    <w:rsid w:val="00AB393E"/>
    <w:rsid w:val="00AB3A06"/>
    <w:rsid w:val="00AB3A24"/>
    <w:rsid w:val="00AB3AFA"/>
    <w:rsid w:val="00AB3FE9"/>
    <w:rsid w:val="00AB4102"/>
    <w:rsid w:val="00AB4279"/>
    <w:rsid w:val="00AB4281"/>
    <w:rsid w:val="00AB44E9"/>
    <w:rsid w:val="00AB4516"/>
    <w:rsid w:val="00AB454D"/>
    <w:rsid w:val="00AB4552"/>
    <w:rsid w:val="00AB4658"/>
    <w:rsid w:val="00AB468E"/>
    <w:rsid w:val="00AB48D5"/>
    <w:rsid w:val="00AB49EB"/>
    <w:rsid w:val="00AB4A0D"/>
    <w:rsid w:val="00AB4A7C"/>
    <w:rsid w:val="00AB4CF2"/>
    <w:rsid w:val="00AB4FC9"/>
    <w:rsid w:val="00AB508F"/>
    <w:rsid w:val="00AB5313"/>
    <w:rsid w:val="00AB533F"/>
    <w:rsid w:val="00AB55C1"/>
    <w:rsid w:val="00AB56B9"/>
    <w:rsid w:val="00AB5835"/>
    <w:rsid w:val="00AB5B13"/>
    <w:rsid w:val="00AB5E9A"/>
    <w:rsid w:val="00AB60FE"/>
    <w:rsid w:val="00AB6158"/>
    <w:rsid w:val="00AB6293"/>
    <w:rsid w:val="00AB62CD"/>
    <w:rsid w:val="00AB6379"/>
    <w:rsid w:val="00AB6462"/>
    <w:rsid w:val="00AB65EA"/>
    <w:rsid w:val="00AB67A0"/>
    <w:rsid w:val="00AB6A38"/>
    <w:rsid w:val="00AB6B60"/>
    <w:rsid w:val="00AB6D19"/>
    <w:rsid w:val="00AB6D2D"/>
    <w:rsid w:val="00AB6D99"/>
    <w:rsid w:val="00AB6DE9"/>
    <w:rsid w:val="00AB6F26"/>
    <w:rsid w:val="00AB7075"/>
    <w:rsid w:val="00AB7387"/>
    <w:rsid w:val="00AB7612"/>
    <w:rsid w:val="00AB787F"/>
    <w:rsid w:val="00AB78BF"/>
    <w:rsid w:val="00AB78C5"/>
    <w:rsid w:val="00AB7A79"/>
    <w:rsid w:val="00AB7AC6"/>
    <w:rsid w:val="00AB7B00"/>
    <w:rsid w:val="00AB7DAA"/>
    <w:rsid w:val="00AB7E38"/>
    <w:rsid w:val="00AB7EAB"/>
    <w:rsid w:val="00AB7F10"/>
    <w:rsid w:val="00AB7FD3"/>
    <w:rsid w:val="00AC03E0"/>
    <w:rsid w:val="00AC058A"/>
    <w:rsid w:val="00AC0624"/>
    <w:rsid w:val="00AC068C"/>
    <w:rsid w:val="00AC06CD"/>
    <w:rsid w:val="00AC07D5"/>
    <w:rsid w:val="00AC088F"/>
    <w:rsid w:val="00AC0AAA"/>
    <w:rsid w:val="00AC0B98"/>
    <w:rsid w:val="00AC0D5D"/>
    <w:rsid w:val="00AC0E41"/>
    <w:rsid w:val="00AC0ECF"/>
    <w:rsid w:val="00AC118E"/>
    <w:rsid w:val="00AC138F"/>
    <w:rsid w:val="00AC141F"/>
    <w:rsid w:val="00AC1532"/>
    <w:rsid w:val="00AC167F"/>
    <w:rsid w:val="00AC16E6"/>
    <w:rsid w:val="00AC1823"/>
    <w:rsid w:val="00AC1990"/>
    <w:rsid w:val="00AC1EEB"/>
    <w:rsid w:val="00AC1F84"/>
    <w:rsid w:val="00AC2020"/>
    <w:rsid w:val="00AC216D"/>
    <w:rsid w:val="00AC21B8"/>
    <w:rsid w:val="00AC2231"/>
    <w:rsid w:val="00AC226D"/>
    <w:rsid w:val="00AC25C9"/>
    <w:rsid w:val="00AC2723"/>
    <w:rsid w:val="00AC2795"/>
    <w:rsid w:val="00AC2AD3"/>
    <w:rsid w:val="00AC2BC5"/>
    <w:rsid w:val="00AC2E49"/>
    <w:rsid w:val="00AC2E50"/>
    <w:rsid w:val="00AC2F48"/>
    <w:rsid w:val="00AC2F54"/>
    <w:rsid w:val="00AC31EB"/>
    <w:rsid w:val="00AC32FE"/>
    <w:rsid w:val="00AC3318"/>
    <w:rsid w:val="00AC3372"/>
    <w:rsid w:val="00AC3465"/>
    <w:rsid w:val="00AC390B"/>
    <w:rsid w:val="00AC3A45"/>
    <w:rsid w:val="00AC3AD8"/>
    <w:rsid w:val="00AC3C39"/>
    <w:rsid w:val="00AC3CE4"/>
    <w:rsid w:val="00AC3D31"/>
    <w:rsid w:val="00AC3F85"/>
    <w:rsid w:val="00AC4010"/>
    <w:rsid w:val="00AC406C"/>
    <w:rsid w:val="00AC40B1"/>
    <w:rsid w:val="00AC41A1"/>
    <w:rsid w:val="00AC421E"/>
    <w:rsid w:val="00AC427D"/>
    <w:rsid w:val="00AC42B7"/>
    <w:rsid w:val="00AC4557"/>
    <w:rsid w:val="00AC45B2"/>
    <w:rsid w:val="00AC49F2"/>
    <w:rsid w:val="00AC4A00"/>
    <w:rsid w:val="00AC4A21"/>
    <w:rsid w:val="00AC4AB8"/>
    <w:rsid w:val="00AC4B36"/>
    <w:rsid w:val="00AC4E14"/>
    <w:rsid w:val="00AC4E8E"/>
    <w:rsid w:val="00AC506E"/>
    <w:rsid w:val="00AC5192"/>
    <w:rsid w:val="00AC51B2"/>
    <w:rsid w:val="00AC51E9"/>
    <w:rsid w:val="00AC51F2"/>
    <w:rsid w:val="00AC5210"/>
    <w:rsid w:val="00AC5286"/>
    <w:rsid w:val="00AC551C"/>
    <w:rsid w:val="00AC5682"/>
    <w:rsid w:val="00AC5685"/>
    <w:rsid w:val="00AC581E"/>
    <w:rsid w:val="00AC59F5"/>
    <w:rsid w:val="00AC5A87"/>
    <w:rsid w:val="00AC5AAC"/>
    <w:rsid w:val="00AC5B82"/>
    <w:rsid w:val="00AC5C32"/>
    <w:rsid w:val="00AC5D04"/>
    <w:rsid w:val="00AC6205"/>
    <w:rsid w:val="00AC6437"/>
    <w:rsid w:val="00AC667C"/>
    <w:rsid w:val="00AC67D9"/>
    <w:rsid w:val="00AC6838"/>
    <w:rsid w:val="00AC68C5"/>
    <w:rsid w:val="00AC692D"/>
    <w:rsid w:val="00AC6A5F"/>
    <w:rsid w:val="00AC6A64"/>
    <w:rsid w:val="00AC6AD4"/>
    <w:rsid w:val="00AC6B0F"/>
    <w:rsid w:val="00AC6C06"/>
    <w:rsid w:val="00AC6D8C"/>
    <w:rsid w:val="00AC7021"/>
    <w:rsid w:val="00AC7069"/>
    <w:rsid w:val="00AC71C6"/>
    <w:rsid w:val="00AC7207"/>
    <w:rsid w:val="00AC72EA"/>
    <w:rsid w:val="00AC7303"/>
    <w:rsid w:val="00AC7332"/>
    <w:rsid w:val="00AC73FD"/>
    <w:rsid w:val="00AC7AED"/>
    <w:rsid w:val="00AC7BE6"/>
    <w:rsid w:val="00AC7D6C"/>
    <w:rsid w:val="00AD01B2"/>
    <w:rsid w:val="00AD0257"/>
    <w:rsid w:val="00AD0401"/>
    <w:rsid w:val="00AD040B"/>
    <w:rsid w:val="00AD057B"/>
    <w:rsid w:val="00AD0616"/>
    <w:rsid w:val="00AD062F"/>
    <w:rsid w:val="00AD06A8"/>
    <w:rsid w:val="00AD0821"/>
    <w:rsid w:val="00AD0927"/>
    <w:rsid w:val="00AD09E0"/>
    <w:rsid w:val="00AD0A2F"/>
    <w:rsid w:val="00AD0B38"/>
    <w:rsid w:val="00AD0D5A"/>
    <w:rsid w:val="00AD0E9C"/>
    <w:rsid w:val="00AD1026"/>
    <w:rsid w:val="00AD1047"/>
    <w:rsid w:val="00AD1252"/>
    <w:rsid w:val="00AD132A"/>
    <w:rsid w:val="00AD136C"/>
    <w:rsid w:val="00AD1390"/>
    <w:rsid w:val="00AD13EE"/>
    <w:rsid w:val="00AD158B"/>
    <w:rsid w:val="00AD15A0"/>
    <w:rsid w:val="00AD1A8C"/>
    <w:rsid w:val="00AD1AAF"/>
    <w:rsid w:val="00AD1D67"/>
    <w:rsid w:val="00AD1D93"/>
    <w:rsid w:val="00AD1E5E"/>
    <w:rsid w:val="00AD20B2"/>
    <w:rsid w:val="00AD20ED"/>
    <w:rsid w:val="00AD222D"/>
    <w:rsid w:val="00AD23B9"/>
    <w:rsid w:val="00AD248B"/>
    <w:rsid w:val="00AD25CE"/>
    <w:rsid w:val="00AD268C"/>
    <w:rsid w:val="00AD2752"/>
    <w:rsid w:val="00AD2792"/>
    <w:rsid w:val="00AD27BF"/>
    <w:rsid w:val="00AD281A"/>
    <w:rsid w:val="00AD2AA1"/>
    <w:rsid w:val="00AD2C2F"/>
    <w:rsid w:val="00AD3064"/>
    <w:rsid w:val="00AD31E1"/>
    <w:rsid w:val="00AD3299"/>
    <w:rsid w:val="00AD329A"/>
    <w:rsid w:val="00AD3333"/>
    <w:rsid w:val="00AD3593"/>
    <w:rsid w:val="00AD365A"/>
    <w:rsid w:val="00AD3AEE"/>
    <w:rsid w:val="00AD3B35"/>
    <w:rsid w:val="00AD3B42"/>
    <w:rsid w:val="00AD3BBA"/>
    <w:rsid w:val="00AD3C57"/>
    <w:rsid w:val="00AD3C88"/>
    <w:rsid w:val="00AD3D06"/>
    <w:rsid w:val="00AD3D4F"/>
    <w:rsid w:val="00AD3D6F"/>
    <w:rsid w:val="00AD3ECB"/>
    <w:rsid w:val="00AD3F68"/>
    <w:rsid w:val="00AD405F"/>
    <w:rsid w:val="00AD414D"/>
    <w:rsid w:val="00AD41C5"/>
    <w:rsid w:val="00AD4236"/>
    <w:rsid w:val="00AD4269"/>
    <w:rsid w:val="00AD4285"/>
    <w:rsid w:val="00AD433F"/>
    <w:rsid w:val="00AD43BB"/>
    <w:rsid w:val="00AD45E1"/>
    <w:rsid w:val="00AD45E2"/>
    <w:rsid w:val="00AD483F"/>
    <w:rsid w:val="00AD4C55"/>
    <w:rsid w:val="00AD4C78"/>
    <w:rsid w:val="00AD4CF6"/>
    <w:rsid w:val="00AD4D22"/>
    <w:rsid w:val="00AD4FF0"/>
    <w:rsid w:val="00AD5030"/>
    <w:rsid w:val="00AD50BE"/>
    <w:rsid w:val="00AD5184"/>
    <w:rsid w:val="00AD51AA"/>
    <w:rsid w:val="00AD5383"/>
    <w:rsid w:val="00AD59CC"/>
    <w:rsid w:val="00AD5A1B"/>
    <w:rsid w:val="00AD5A61"/>
    <w:rsid w:val="00AD5B30"/>
    <w:rsid w:val="00AD5B50"/>
    <w:rsid w:val="00AD5CC2"/>
    <w:rsid w:val="00AD6073"/>
    <w:rsid w:val="00AD6213"/>
    <w:rsid w:val="00AD62CD"/>
    <w:rsid w:val="00AD6404"/>
    <w:rsid w:val="00AD6485"/>
    <w:rsid w:val="00AD66EB"/>
    <w:rsid w:val="00AD68E1"/>
    <w:rsid w:val="00AD6963"/>
    <w:rsid w:val="00AD6B36"/>
    <w:rsid w:val="00AD6BF8"/>
    <w:rsid w:val="00AD6CA5"/>
    <w:rsid w:val="00AD6CC8"/>
    <w:rsid w:val="00AD6DDD"/>
    <w:rsid w:val="00AD7337"/>
    <w:rsid w:val="00AD736E"/>
    <w:rsid w:val="00AD7458"/>
    <w:rsid w:val="00AD74A1"/>
    <w:rsid w:val="00AD7568"/>
    <w:rsid w:val="00AD7878"/>
    <w:rsid w:val="00AD78CC"/>
    <w:rsid w:val="00AD7929"/>
    <w:rsid w:val="00AD7C0F"/>
    <w:rsid w:val="00AD7EBB"/>
    <w:rsid w:val="00AD7FAA"/>
    <w:rsid w:val="00AE00E9"/>
    <w:rsid w:val="00AE0172"/>
    <w:rsid w:val="00AE047C"/>
    <w:rsid w:val="00AE04B4"/>
    <w:rsid w:val="00AE0805"/>
    <w:rsid w:val="00AE089A"/>
    <w:rsid w:val="00AE0985"/>
    <w:rsid w:val="00AE0BF6"/>
    <w:rsid w:val="00AE0E32"/>
    <w:rsid w:val="00AE0FB4"/>
    <w:rsid w:val="00AE1192"/>
    <w:rsid w:val="00AE119F"/>
    <w:rsid w:val="00AE121A"/>
    <w:rsid w:val="00AE1257"/>
    <w:rsid w:val="00AE1294"/>
    <w:rsid w:val="00AE132E"/>
    <w:rsid w:val="00AE1334"/>
    <w:rsid w:val="00AE144B"/>
    <w:rsid w:val="00AE1964"/>
    <w:rsid w:val="00AE198B"/>
    <w:rsid w:val="00AE1AB1"/>
    <w:rsid w:val="00AE1B77"/>
    <w:rsid w:val="00AE1B8C"/>
    <w:rsid w:val="00AE1BEF"/>
    <w:rsid w:val="00AE1CBE"/>
    <w:rsid w:val="00AE1DEC"/>
    <w:rsid w:val="00AE1E69"/>
    <w:rsid w:val="00AE1F69"/>
    <w:rsid w:val="00AE20F6"/>
    <w:rsid w:val="00AE23A0"/>
    <w:rsid w:val="00AE24F3"/>
    <w:rsid w:val="00AE2655"/>
    <w:rsid w:val="00AE2681"/>
    <w:rsid w:val="00AE26BB"/>
    <w:rsid w:val="00AE2E6E"/>
    <w:rsid w:val="00AE2E85"/>
    <w:rsid w:val="00AE2EF9"/>
    <w:rsid w:val="00AE2F1A"/>
    <w:rsid w:val="00AE2F70"/>
    <w:rsid w:val="00AE3009"/>
    <w:rsid w:val="00AE301B"/>
    <w:rsid w:val="00AE3611"/>
    <w:rsid w:val="00AE39F1"/>
    <w:rsid w:val="00AE3A5D"/>
    <w:rsid w:val="00AE3D2A"/>
    <w:rsid w:val="00AE3DD2"/>
    <w:rsid w:val="00AE4042"/>
    <w:rsid w:val="00AE404B"/>
    <w:rsid w:val="00AE4107"/>
    <w:rsid w:val="00AE410D"/>
    <w:rsid w:val="00AE4148"/>
    <w:rsid w:val="00AE41F7"/>
    <w:rsid w:val="00AE4223"/>
    <w:rsid w:val="00AE432F"/>
    <w:rsid w:val="00AE43C0"/>
    <w:rsid w:val="00AE46FB"/>
    <w:rsid w:val="00AE4772"/>
    <w:rsid w:val="00AE485D"/>
    <w:rsid w:val="00AE4893"/>
    <w:rsid w:val="00AE489F"/>
    <w:rsid w:val="00AE496D"/>
    <w:rsid w:val="00AE4A33"/>
    <w:rsid w:val="00AE4AB5"/>
    <w:rsid w:val="00AE4B57"/>
    <w:rsid w:val="00AE4BDF"/>
    <w:rsid w:val="00AE4FA9"/>
    <w:rsid w:val="00AE526F"/>
    <w:rsid w:val="00AE53C9"/>
    <w:rsid w:val="00AE57AF"/>
    <w:rsid w:val="00AE5807"/>
    <w:rsid w:val="00AE581C"/>
    <w:rsid w:val="00AE5987"/>
    <w:rsid w:val="00AE5A10"/>
    <w:rsid w:val="00AE5A9A"/>
    <w:rsid w:val="00AE5DEA"/>
    <w:rsid w:val="00AE5E43"/>
    <w:rsid w:val="00AE5F45"/>
    <w:rsid w:val="00AE6047"/>
    <w:rsid w:val="00AE62E3"/>
    <w:rsid w:val="00AE638F"/>
    <w:rsid w:val="00AE6620"/>
    <w:rsid w:val="00AE66AC"/>
    <w:rsid w:val="00AE66AF"/>
    <w:rsid w:val="00AE67DE"/>
    <w:rsid w:val="00AE6A5B"/>
    <w:rsid w:val="00AE6C35"/>
    <w:rsid w:val="00AE6D08"/>
    <w:rsid w:val="00AE6E0B"/>
    <w:rsid w:val="00AE7103"/>
    <w:rsid w:val="00AE717F"/>
    <w:rsid w:val="00AE71B1"/>
    <w:rsid w:val="00AE7418"/>
    <w:rsid w:val="00AE74EE"/>
    <w:rsid w:val="00AE76A2"/>
    <w:rsid w:val="00AE770E"/>
    <w:rsid w:val="00AE7902"/>
    <w:rsid w:val="00AE79B8"/>
    <w:rsid w:val="00AE7CD8"/>
    <w:rsid w:val="00AF032C"/>
    <w:rsid w:val="00AF037C"/>
    <w:rsid w:val="00AF043D"/>
    <w:rsid w:val="00AF05D2"/>
    <w:rsid w:val="00AF065C"/>
    <w:rsid w:val="00AF066F"/>
    <w:rsid w:val="00AF0686"/>
    <w:rsid w:val="00AF06DC"/>
    <w:rsid w:val="00AF080E"/>
    <w:rsid w:val="00AF090D"/>
    <w:rsid w:val="00AF0ABA"/>
    <w:rsid w:val="00AF0E17"/>
    <w:rsid w:val="00AF0F23"/>
    <w:rsid w:val="00AF0FAF"/>
    <w:rsid w:val="00AF0FE4"/>
    <w:rsid w:val="00AF1008"/>
    <w:rsid w:val="00AF11C5"/>
    <w:rsid w:val="00AF12CC"/>
    <w:rsid w:val="00AF1340"/>
    <w:rsid w:val="00AF1542"/>
    <w:rsid w:val="00AF16F4"/>
    <w:rsid w:val="00AF18C3"/>
    <w:rsid w:val="00AF1A3C"/>
    <w:rsid w:val="00AF1ABB"/>
    <w:rsid w:val="00AF1BAD"/>
    <w:rsid w:val="00AF1BD1"/>
    <w:rsid w:val="00AF1CD6"/>
    <w:rsid w:val="00AF1D57"/>
    <w:rsid w:val="00AF201C"/>
    <w:rsid w:val="00AF20C6"/>
    <w:rsid w:val="00AF20D8"/>
    <w:rsid w:val="00AF224E"/>
    <w:rsid w:val="00AF2343"/>
    <w:rsid w:val="00AF236B"/>
    <w:rsid w:val="00AF2692"/>
    <w:rsid w:val="00AF2833"/>
    <w:rsid w:val="00AF28B0"/>
    <w:rsid w:val="00AF2A60"/>
    <w:rsid w:val="00AF2BBA"/>
    <w:rsid w:val="00AF2C41"/>
    <w:rsid w:val="00AF2FB9"/>
    <w:rsid w:val="00AF3303"/>
    <w:rsid w:val="00AF332E"/>
    <w:rsid w:val="00AF338B"/>
    <w:rsid w:val="00AF33B2"/>
    <w:rsid w:val="00AF33BE"/>
    <w:rsid w:val="00AF33D1"/>
    <w:rsid w:val="00AF33E9"/>
    <w:rsid w:val="00AF3479"/>
    <w:rsid w:val="00AF355F"/>
    <w:rsid w:val="00AF35E4"/>
    <w:rsid w:val="00AF35F9"/>
    <w:rsid w:val="00AF36F9"/>
    <w:rsid w:val="00AF3740"/>
    <w:rsid w:val="00AF386C"/>
    <w:rsid w:val="00AF38A0"/>
    <w:rsid w:val="00AF38BA"/>
    <w:rsid w:val="00AF38D9"/>
    <w:rsid w:val="00AF38E4"/>
    <w:rsid w:val="00AF39E8"/>
    <w:rsid w:val="00AF3A7B"/>
    <w:rsid w:val="00AF3B8A"/>
    <w:rsid w:val="00AF3D03"/>
    <w:rsid w:val="00AF3DED"/>
    <w:rsid w:val="00AF3E95"/>
    <w:rsid w:val="00AF3ED5"/>
    <w:rsid w:val="00AF4117"/>
    <w:rsid w:val="00AF41BA"/>
    <w:rsid w:val="00AF42B7"/>
    <w:rsid w:val="00AF43CC"/>
    <w:rsid w:val="00AF4430"/>
    <w:rsid w:val="00AF4515"/>
    <w:rsid w:val="00AF46F8"/>
    <w:rsid w:val="00AF47FE"/>
    <w:rsid w:val="00AF49B7"/>
    <w:rsid w:val="00AF49DF"/>
    <w:rsid w:val="00AF4B6B"/>
    <w:rsid w:val="00AF4C44"/>
    <w:rsid w:val="00AF4CD5"/>
    <w:rsid w:val="00AF4CDB"/>
    <w:rsid w:val="00AF4EDF"/>
    <w:rsid w:val="00AF5009"/>
    <w:rsid w:val="00AF50CE"/>
    <w:rsid w:val="00AF5186"/>
    <w:rsid w:val="00AF5283"/>
    <w:rsid w:val="00AF5289"/>
    <w:rsid w:val="00AF5389"/>
    <w:rsid w:val="00AF5392"/>
    <w:rsid w:val="00AF53B5"/>
    <w:rsid w:val="00AF540F"/>
    <w:rsid w:val="00AF55A1"/>
    <w:rsid w:val="00AF5662"/>
    <w:rsid w:val="00AF56D7"/>
    <w:rsid w:val="00AF5738"/>
    <w:rsid w:val="00AF575B"/>
    <w:rsid w:val="00AF57A3"/>
    <w:rsid w:val="00AF57F5"/>
    <w:rsid w:val="00AF5882"/>
    <w:rsid w:val="00AF5B66"/>
    <w:rsid w:val="00AF5CC4"/>
    <w:rsid w:val="00AF5ED0"/>
    <w:rsid w:val="00AF5F12"/>
    <w:rsid w:val="00AF61E5"/>
    <w:rsid w:val="00AF6449"/>
    <w:rsid w:val="00AF6639"/>
    <w:rsid w:val="00AF66B3"/>
    <w:rsid w:val="00AF66BA"/>
    <w:rsid w:val="00AF6856"/>
    <w:rsid w:val="00AF69A9"/>
    <w:rsid w:val="00AF69C1"/>
    <w:rsid w:val="00AF6CE7"/>
    <w:rsid w:val="00AF6CFA"/>
    <w:rsid w:val="00AF6D82"/>
    <w:rsid w:val="00AF6EB3"/>
    <w:rsid w:val="00AF7076"/>
    <w:rsid w:val="00AF708D"/>
    <w:rsid w:val="00AF70F0"/>
    <w:rsid w:val="00AF7218"/>
    <w:rsid w:val="00AF7468"/>
    <w:rsid w:val="00AF748C"/>
    <w:rsid w:val="00AF74C5"/>
    <w:rsid w:val="00AF776F"/>
    <w:rsid w:val="00AF778E"/>
    <w:rsid w:val="00AF77B8"/>
    <w:rsid w:val="00AF786D"/>
    <w:rsid w:val="00AF78CD"/>
    <w:rsid w:val="00AF791A"/>
    <w:rsid w:val="00AF7968"/>
    <w:rsid w:val="00AF7A86"/>
    <w:rsid w:val="00AF7AC5"/>
    <w:rsid w:val="00AF7B8B"/>
    <w:rsid w:val="00AF7CC4"/>
    <w:rsid w:val="00AF7D04"/>
    <w:rsid w:val="00AF7D84"/>
    <w:rsid w:val="00B0015C"/>
    <w:rsid w:val="00B001B5"/>
    <w:rsid w:val="00B00394"/>
    <w:rsid w:val="00B00642"/>
    <w:rsid w:val="00B0069E"/>
    <w:rsid w:val="00B008A5"/>
    <w:rsid w:val="00B008E7"/>
    <w:rsid w:val="00B008F1"/>
    <w:rsid w:val="00B00927"/>
    <w:rsid w:val="00B009AA"/>
    <w:rsid w:val="00B00A3F"/>
    <w:rsid w:val="00B00B56"/>
    <w:rsid w:val="00B00CE0"/>
    <w:rsid w:val="00B00D4E"/>
    <w:rsid w:val="00B00D84"/>
    <w:rsid w:val="00B00E08"/>
    <w:rsid w:val="00B00ECD"/>
    <w:rsid w:val="00B00EE7"/>
    <w:rsid w:val="00B013B2"/>
    <w:rsid w:val="00B01509"/>
    <w:rsid w:val="00B0150D"/>
    <w:rsid w:val="00B01516"/>
    <w:rsid w:val="00B015FA"/>
    <w:rsid w:val="00B016E2"/>
    <w:rsid w:val="00B017BC"/>
    <w:rsid w:val="00B01943"/>
    <w:rsid w:val="00B01956"/>
    <w:rsid w:val="00B01981"/>
    <w:rsid w:val="00B01A6C"/>
    <w:rsid w:val="00B01ADC"/>
    <w:rsid w:val="00B01BAF"/>
    <w:rsid w:val="00B01BF6"/>
    <w:rsid w:val="00B01F8F"/>
    <w:rsid w:val="00B01FE6"/>
    <w:rsid w:val="00B02143"/>
    <w:rsid w:val="00B0214B"/>
    <w:rsid w:val="00B02271"/>
    <w:rsid w:val="00B0229F"/>
    <w:rsid w:val="00B023BC"/>
    <w:rsid w:val="00B02557"/>
    <w:rsid w:val="00B02655"/>
    <w:rsid w:val="00B02891"/>
    <w:rsid w:val="00B028F9"/>
    <w:rsid w:val="00B02A55"/>
    <w:rsid w:val="00B02B78"/>
    <w:rsid w:val="00B02E2D"/>
    <w:rsid w:val="00B02E59"/>
    <w:rsid w:val="00B02EA8"/>
    <w:rsid w:val="00B030C4"/>
    <w:rsid w:val="00B032B8"/>
    <w:rsid w:val="00B03401"/>
    <w:rsid w:val="00B035E4"/>
    <w:rsid w:val="00B0360F"/>
    <w:rsid w:val="00B03674"/>
    <w:rsid w:val="00B03705"/>
    <w:rsid w:val="00B03742"/>
    <w:rsid w:val="00B037A3"/>
    <w:rsid w:val="00B039F0"/>
    <w:rsid w:val="00B03C67"/>
    <w:rsid w:val="00B03EF3"/>
    <w:rsid w:val="00B03FEE"/>
    <w:rsid w:val="00B044E4"/>
    <w:rsid w:val="00B044F6"/>
    <w:rsid w:val="00B0458F"/>
    <w:rsid w:val="00B04613"/>
    <w:rsid w:val="00B04653"/>
    <w:rsid w:val="00B0470A"/>
    <w:rsid w:val="00B04811"/>
    <w:rsid w:val="00B049DF"/>
    <w:rsid w:val="00B04AA9"/>
    <w:rsid w:val="00B04B46"/>
    <w:rsid w:val="00B0501D"/>
    <w:rsid w:val="00B0515F"/>
    <w:rsid w:val="00B052DE"/>
    <w:rsid w:val="00B054F8"/>
    <w:rsid w:val="00B056E5"/>
    <w:rsid w:val="00B0571C"/>
    <w:rsid w:val="00B0584B"/>
    <w:rsid w:val="00B0589F"/>
    <w:rsid w:val="00B05B83"/>
    <w:rsid w:val="00B05C3F"/>
    <w:rsid w:val="00B05E5F"/>
    <w:rsid w:val="00B05F13"/>
    <w:rsid w:val="00B05FA5"/>
    <w:rsid w:val="00B05FCA"/>
    <w:rsid w:val="00B0608A"/>
    <w:rsid w:val="00B06757"/>
    <w:rsid w:val="00B068AD"/>
    <w:rsid w:val="00B069DD"/>
    <w:rsid w:val="00B06BE3"/>
    <w:rsid w:val="00B06C7A"/>
    <w:rsid w:val="00B06C9F"/>
    <w:rsid w:val="00B06D42"/>
    <w:rsid w:val="00B06E6A"/>
    <w:rsid w:val="00B0704D"/>
    <w:rsid w:val="00B07271"/>
    <w:rsid w:val="00B073A1"/>
    <w:rsid w:val="00B0741A"/>
    <w:rsid w:val="00B07537"/>
    <w:rsid w:val="00B0754A"/>
    <w:rsid w:val="00B07741"/>
    <w:rsid w:val="00B07C10"/>
    <w:rsid w:val="00B07C9A"/>
    <w:rsid w:val="00B07CDC"/>
    <w:rsid w:val="00B07F56"/>
    <w:rsid w:val="00B07F8B"/>
    <w:rsid w:val="00B100B2"/>
    <w:rsid w:val="00B101D7"/>
    <w:rsid w:val="00B10356"/>
    <w:rsid w:val="00B103D4"/>
    <w:rsid w:val="00B103F6"/>
    <w:rsid w:val="00B10486"/>
    <w:rsid w:val="00B1054F"/>
    <w:rsid w:val="00B10711"/>
    <w:rsid w:val="00B10797"/>
    <w:rsid w:val="00B10BC9"/>
    <w:rsid w:val="00B10C1B"/>
    <w:rsid w:val="00B10C5B"/>
    <w:rsid w:val="00B10C60"/>
    <w:rsid w:val="00B10DED"/>
    <w:rsid w:val="00B10E10"/>
    <w:rsid w:val="00B10E9E"/>
    <w:rsid w:val="00B10F33"/>
    <w:rsid w:val="00B11025"/>
    <w:rsid w:val="00B110F1"/>
    <w:rsid w:val="00B111E5"/>
    <w:rsid w:val="00B1135F"/>
    <w:rsid w:val="00B11403"/>
    <w:rsid w:val="00B116A7"/>
    <w:rsid w:val="00B116D9"/>
    <w:rsid w:val="00B11783"/>
    <w:rsid w:val="00B117EC"/>
    <w:rsid w:val="00B11820"/>
    <w:rsid w:val="00B1185E"/>
    <w:rsid w:val="00B11A85"/>
    <w:rsid w:val="00B11C90"/>
    <w:rsid w:val="00B11CF2"/>
    <w:rsid w:val="00B11D50"/>
    <w:rsid w:val="00B11D69"/>
    <w:rsid w:val="00B11EA6"/>
    <w:rsid w:val="00B11FAE"/>
    <w:rsid w:val="00B12031"/>
    <w:rsid w:val="00B1224A"/>
    <w:rsid w:val="00B1244A"/>
    <w:rsid w:val="00B124DB"/>
    <w:rsid w:val="00B12662"/>
    <w:rsid w:val="00B126BC"/>
    <w:rsid w:val="00B126C0"/>
    <w:rsid w:val="00B12789"/>
    <w:rsid w:val="00B12799"/>
    <w:rsid w:val="00B1293C"/>
    <w:rsid w:val="00B12A63"/>
    <w:rsid w:val="00B12AFE"/>
    <w:rsid w:val="00B12B52"/>
    <w:rsid w:val="00B12B70"/>
    <w:rsid w:val="00B12C35"/>
    <w:rsid w:val="00B12C8E"/>
    <w:rsid w:val="00B12CA1"/>
    <w:rsid w:val="00B12D73"/>
    <w:rsid w:val="00B12E6E"/>
    <w:rsid w:val="00B12F5F"/>
    <w:rsid w:val="00B130F6"/>
    <w:rsid w:val="00B13104"/>
    <w:rsid w:val="00B131A9"/>
    <w:rsid w:val="00B13222"/>
    <w:rsid w:val="00B13393"/>
    <w:rsid w:val="00B13455"/>
    <w:rsid w:val="00B1345D"/>
    <w:rsid w:val="00B134FC"/>
    <w:rsid w:val="00B13559"/>
    <w:rsid w:val="00B13658"/>
    <w:rsid w:val="00B137E7"/>
    <w:rsid w:val="00B138FA"/>
    <w:rsid w:val="00B1399B"/>
    <w:rsid w:val="00B139FB"/>
    <w:rsid w:val="00B13AD5"/>
    <w:rsid w:val="00B13C07"/>
    <w:rsid w:val="00B13E08"/>
    <w:rsid w:val="00B14183"/>
    <w:rsid w:val="00B1419C"/>
    <w:rsid w:val="00B14221"/>
    <w:rsid w:val="00B14525"/>
    <w:rsid w:val="00B1461F"/>
    <w:rsid w:val="00B14627"/>
    <w:rsid w:val="00B1486B"/>
    <w:rsid w:val="00B149C8"/>
    <w:rsid w:val="00B14C7D"/>
    <w:rsid w:val="00B14D14"/>
    <w:rsid w:val="00B14E8A"/>
    <w:rsid w:val="00B14E93"/>
    <w:rsid w:val="00B14F7D"/>
    <w:rsid w:val="00B1511B"/>
    <w:rsid w:val="00B1512D"/>
    <w:rsid w:val="00B151A8"/>
    <w:rsid w:val="00B15285"/>
    <w:rsid w:val="00B15341"/>
    <w:rsid w:val="00B153AD"/>
    <w:rsid w:val="00B15597"/>
    <w:rsid w:val="00B15624"/>
    <w:rsid w:val="00B15714"/>
    <w:rsid w:val="00B15886"/>
    <w:rsid w:val="00B15AA5"/>
    <w:rsid w:val="00B15C90"/>
    <w:rsid w:val="00B15C96"/>
    <w:rsid w:val="00B15CDF"/>
    <w:rsid w:val="00B1615B"/>
    <w:rsid w:val="00B1672C"/>
    <w:rsid w:val="00B169A1"/>
    <w:rsid w:val="00B169D2"/>
    <w:rsid w:val="00B16DC7"/>
    <w:rsid w:val="00B17052"/>
    <w:rsid w:val="00B170B2"/>
    <w:rsid w:val="00B17308"/>
    <w:rsid w:val="00B17374"/>
    <w:rsid w:val="00B173A6"/>
    <w:rsid w:val="00B17464"/>
    <w:rsid w:val="00B17469"/>
    <w:rsid w:val="00B174A8"/>
    <w:rsid w:val="00B174BC"/>
    <w:rsid w:val="00B176F0"/>
    <w:rsid w:val="00B177A4"/>
    <w:rsid w:val="00B17908"/>
    <w:rsid w:val="00B17A26"/>
    <w:rsid w:val="00B17D84"/>
    <w:rsid w:val="00B17F26"/>
    <w:rsid w:val="00B17F28"/>
    <w:rsid w:val="00B17F86"/>
    <w:rsid w:val="00B203ED"/>
    <w:rsid w:val="00B2046B"/>
    <w:rsid w:val="00B204F0"/>
    <w:rsid w:val="00B206C1"/>
    <w:rsid w:val="00B2077F"/>
    <w:rsid w:val="00B207B8"/>
    <w:rsid w:val="00B20831"/>
    <w:rsid w:val="00B20895"/>
    <w:rsid w:val="00B2089A"/>
    <w:rsid w:val="00B20909"/>
    <w:rsid w:val="00B20B51"/>
    <w:rsid w:val="00B20B97"/>
    <w:rsid w:val="00B20E6F"/>
    <w:rsid w:val="00B20EC7"/>
    <w:rsid w:val="00B2121A"/>
    <w:rsid w:val="00B2131E"/>
    <w:rsid w:val="00B213BA"/>
    <w:rsid w:val="00B21527"/>
    <w:rsid w:val="00B2179E"/>
    <w:rsid w:val="00B21856"/>
    <w:rsid w:val="00B21876"/>
    <w:rsid w:val="00B21898"/>
    <w:rsid w:val="00B218CC"/>
    <w:rsid w:val="00B21A38"/>
    <w:rsid w:val="00B21B02"/>
    <w:rsid w:val="00B21BA4"/>
    <w:rsid w:val="00B21BAE"/>
    <w:rsid w:val="00B21C77"/>
    <w:rsid w:val="00B21E9F"/>
    <w:rsid w:val="00B21EC0"/>
    <w:rsid w:val="00B22195"/>
    <w:rsid w:val="00B223A9"/>
    <w:rsid w:val="00B223C2"/>
    <w:rsid w:val="00B227A9"/>
    <w:rsid w:val="00B22909"/>
    <w:rsid w:val="00B22BB6"/>
    <w:rsid w:val="00B22C00"/>
    <w:rsid w:val="00B22D70"/>
    <w:rsid w:val="00B22DEC"/>
    <w:rsid w:val="00B22E52"/>
    <w:rsid w:val="00B22F2B"/>
    <w:rsid w:val="00B23135"/>
    <w:rsid w:val="00B2324F"/>
    <w:rsid w:val="00B233BD"/>
    <w:rsid w:val="00B23426"/>
    <w:rsid w:val="00B234B5"/>
    <w:rsid w:val="00B234E6"/>
    <w:rsid w:val="00B235C6"/>
    <w:rsid w:val="00B2362E"/>
    <w:rsid w:val="00B23782"/>
    <w:rsid w:val="00B23A71"/>
    <w:rsid w:val="00B23AAD"/>
    <w:rsid w:val="00B23AD2"/>
    <w:rsid w:val="00B23B7F"/>
    <w:rsid w:val="00B23E9C"/>
    <w:rsid w:val="00B23EA5"/>
    <w:rsid w:val="00B23F0C"/>
    <w:rsid w:val="00B2425F"/>
    <w:rsid w:val="00B242C9"/>
    <w:rsid w:val="00B24406"/>
    <w:rsid w:val="00B2466C"/>
    <w:rsid w:val="00B246E6"/>
    <w:rsid w:val="00B24711"/>
    <w:rsid w:val="00B24779"/>
    <w:rsid w:val="00B24795"/>
    <w:rsid w:val="00B247CC"/>
    <w:rsid w:val="00B24968"/>
    <w:rsid w:val="00B24A41"/>
    <w:rsid w:val="00B24BA0"/>
    <w:rsid w:val="00B24C1D"/>
    <w:rsid w:val="00B24C5B"/>
    <w:rsid w:val="00B24DC2"/>
    <w:rsid w:val="00B24DDD"/>
    <w:rsid w:val="00B24DF5"/>
    <w:rsid w:val="00B25026"/>
    <w:rsid w:val="00B250A0"/>
    <w:rsid w:val="00B250EA"/>
    <w:rsid w:val="00B2515B"/>
    <w:rsid w:val="00B25312"/>
    <w:rsid w:val="00B255C5"/>
    <w:rsid w:val="00B25674"/>
    <w:rsid w:val="00B25A21"/>
    <w:rsid w:val="00B25AF1"/>
    <w:rsid w:val="00B25C11"/>
    <w:rsid w:val="00B25CEC"/>
    <w:rsid w:val="00B25D0C"/>
    <w:rsid w:val="00B25D6A"/>
    <w:rsid w:val="00B25E1F"/>
    <w:rsid w:val="00B25E4A"/>
    <w:rsid w:val="00B264EE"/>
    <w:rsid w:val="00B265D7"/>
    <w:rsid w:val="00B26848"/>
    <w:rsid w:val="00B269E2"/>
    <w:rsid w:val="00B26B46"/>
    <w:rsid w:val="00B26D6E"/>
    <w:rsid w:val="00B26E1D"/>
    <w:rsid w:val="00B26E85"/>
    <w:rsid w:val="00B26F6A"/>
    <w:rsid w:val="00B27207"/>
    <w:rsid w:val="00B275AD"/>
    <w:rsid w:val="00B276AE"/>
    <w:rsid w:val="00B279E8"/>
    <w:rsid w:val="00B27B18"/>
    <w:rsid w:val="00B27B8F"/>
    <w:rsid w:val="00B27C56"/>
    <w:rsid w:val="00B27D9F"/>
    <w:rsid w:val="00B27E30"/>
    <w:rsid w:val="00B27EE0"/>
    <w:rsid w:val="00B27F13"/>
    <w:rsid w:val="00B27F91"/>
    <w:rsid w:val="00B30073"/>
    <w:rsid w:val="00B300DB"/>
    <w:rsid w:val="00B30109"/>
    <w:rsid w:val="00B30187"/>
    <w:rsid w:val="00B306CA"/>
    <w:rsid w:val="00B30792"/>
    <w:rsid w:val="00B30951"/>
    <w:rsid w:val="00B30AB5"/>
    <w:rsid w:val="00B30AF6"/>
    <w:rsid w:val="00B30DE6"/>
    <w:rsid w:val="00B30EB2"/>
    <w:rsid w:val="00B3100C"/>
    <w:rsid w:val="00B310B4"/>
    <w:rsid w:val="00B310EB"/>
    <w:rsid w:val="00B31159"/>
    <w:rsid w:val="00B31191"/>
    <w:rsid w:val="00B3122B"/>
    <w:rsid w:val="00B312F8"/>
    <w:rsid w:val="00B31322"/>
    <w:rsid w:val="00B3148B"/>
    <w:rsid w:val="00B31633"/>
    <w:rsid w:val="00B3166D"/>
    <w:rsid w:val="00B31847"/>
    <w:rsid w:val="00B318A9"/>
    <w:rsid w:val="00B3192D"/>
    <w:rsid w:val="00B31B41"/>
    <w:rsid w:val="00B31CB2"/>
    <w:rsid w:val="00B31E28"/>
    <w:rsid w:val="00B31F03"/>
    <w:rsid w:val="00B31FCA"/>
    <w:rsid w:val="00B320F4"/>
    <w:rsid w:val="00B3235D"/>
    <w:rsid w:val="00B3253F"/>
    <w:rsid w:val="00B325FC"/>
    <w:rsid w:val="00B32670"/>
    <w:rsid w:val="00B326F1"/>
    <w:rsid w:val="00B32821"/>
    <w:rsid w:val="00B32876"/>
    <w:rsid w:val="00B3289C"/>
    <w:rsid w:val="00B32917"/>
    <w:rsid w:val="00B32930"/>
    <w:rsid w:val="00B329C0"/>
    <w:rsid w:val="00B32B1A"/>
    <w:rsid w:val="00B32E38"/>
    <w:rsid w:val="00B32F5F"/>
    <w:rsid w:val="00B32F61"/>
    <w:rsid w:val="00B331D7"/>
    <w:rsid w:val="00B33255"/>
    <w:rsid w:val="00B3335A"/>
    <w:rsid w:val="00B336DE"/>
    <w:rsid w:val="00B3376D"/>
    <w:rsid w:val="00B33866"/>
    <w:rsid w:val="00B339A6"/>
    <w:rsid w:val="00B33BCC"/>
    <w:rsid w:val="00B33C74"/>
    <w:rsid w:val="00B33CBB"/>
    <w:rsid w:val="00B33CEA"/>
    <w:rsid w:val="00B33E9D"/>
    <w:rsid w:val="00B33F5B"/>
    <w:rsid w:val="00B34181"/>
    <w:rsid w:val="00B345D8"/>
    <w:rsid w:val="00B345E1"/>
    <w:rsid w:val="00B3463C"/>
    <w:rsid w:val="00B34787"/>
    <w:rsid w:val="00B348A2"/>
    <w:rsid w:val="00B34B39"/>
    <w:rsid w:val="00B34B7A"/>
    <w:rsid w:val="00B34C73"/>
    <w:rsid w:val="00B34D64"/>
    <w:rsid w:val="00B34DAD"/>
    <w:rsid w:val="00B34EC6"/>
    <w:rsid w:val="00B34FA3"/>
    <w:rsid w:val="00B35111"/>
    <w:rsid w:val="00B35133"/>
    <w:rsid w:val="00B3518D"/>
    <w:rsid w:val="00B35272"/>
    <w:rsid w:val="00B35366"/>
    <w:rsid w:val="00B3536F"/>
    <w:rsid w:val="00B353A6"/>
    <w:rsid w:val="00B353CB"/>
    <w:rsid w:val="00B3564F"/>
    <w:rsid w:val="00B35650"/>
    <w:rsid w:val="00B358D1"/>
    <w:rsid w:val="00B359D7"/>
    <w:rsid w:val="00B35A8A"/>
    <w:rsid w:val="00B35ABC"/>
    <w:rsid w:val="00B35ABD"/>
    <w:rsid w:val="00B35C37"/>
    <w:rsid w:val="00B35D0D"/>
    <w:rsid w:val="00B35E46"/>
    <w:rsid w:val="00B3605E"/>
    <w:rsid w:val="00B3610B"/>
    <w:rsid w:val="00B364C5"/>
    <w:rsid w:val="00B364D8"/>
    <w:rsid w:val="00B36540"/>
    <w:rsid w:val="00B36649"/>
    <w:rsid w:val="00B36817"/>
    <w:rsid w:val="00B36D63"/>
    <w:rsid w:val="00B37074"/>
    <w:rsid w:val="00B37240"/>
    <w:rsid w:val="00B37251"/>
    <w:rsid w:val="00B37256"/>
    <w:rsid w:val="00B372B9"/>
    <w:rsid w:val="00B37570"/>
    <w:rsid w:val="00B37732"/>
    <w:rsid w:val="00B37769"/>
    <w:rsid w:val="00B37844"/>
    <w:rsid w:val="00B37928"/>
    <w:rsid w:val="00B37B4A"/>
    <w:rsid w:val="00B37CDB"/>
    <w:rsid w:val="00B37D39"/>
    <w:rsid w:val="00B37D64"/>
    <w:rsid w:val="00B37DEB"/>
    <w:rsid w:val="00B40027"/>
    <w:rsid w:val="00B400B9"/>
    <w:rsid w:val="00B4018C"/>
    <w:rsid w:val="00B401B0"/>
    <w:rsid w:val="00B4030D"/>
    <w:rsid w:val="00B40428"/>
    <w:rsid w:val="00B40617"/>
    <w:rsid w:val="00B40945"/>
    <w:rsid w:val="00B40C72"/>
    <w:rsid w:val="00B40D23"/>
    <w:rsid w:val="00B40DF8"/>
    <w:rsid w:val="00B410DF"/>
    <w:rsid w:val="00B4117B"/>
    <w:rsid w:val="00B412BA"/>
    <w:rsid w:val="00B414E3"/>
    <w:rsid w:val="00B41B33"/>
    <w:rsid w:val="00B41B3E"/>
    <w:rsid w:val="00B41FBD"/>
    <w:rsid w:val="00B420E6"/>
    <w:rsid w:val="00B421B2"/>
    <w:rsid w:val="00B4243D"/>
    <w:rsid w:val="00B42503"/>
    <w:rsid w:val="00B427CF"/>
    <w:rsid w:val="00B42924"/>
    <w:rsid w:val="00B42ACE"/>
    <w:rsid w:val="00B42B51"/>
    <w:rsid w:val="00B42BA7"/>
    <w:rsid w:val="00B42BC0"/>
    <w:rsid w:val="00B42BCD"/>
    <w:rsid w:val="00B4313F"/>
    <w:rsid w:val="00B43181"/>
    <w:rsid w:val="00B4323E"/>
    <w:rsid w:val="00B432BE"/>
    <w:rsid w:val="00B433CC"/>
    <w:rsid w:val="00B4355B"/>
    <w:rsid w:val="00B435DD"/>
    <w:rsid w:val="00B43619"/>
    <w:rsid w:val="00B43838"/>
    <w:rsid w:val="00B43A4C"/>
    <w:rsid w:val="00B43B6C"/>
    <w:rsid w:val="00B43B6D"/>
    <w:rsid w:val="00B43C34"/>
    <w:rsid w:val="00B442D7"/>
    <w:rsid w:val="00B44343"/>
    <w:rsid w:val="00B44405"/>
    <w:rsid w:val="00B44416"/>
    <w:rsid w:val="00B444A4"/>
    <w:rsid w:val="00B444F0"/>
    <w:rsid w:val="00B4466B"/>
    <w:rsid w:val="00B4476A"/>
    <w:rsid w:val="00B44BD7"/>
    <w:rsid w:val="00B44EA2"/>
    <w:rsid w:val="00B44EFF"/>
    <w:rsid w:val="00B45252"/>
    <w:rsid w:val="00B453AE"/>
    <w:rsid w:val="00B45423"/>
    <w:rsid w:val="00B45519"/>
    <w:rsid w:val="00B4569A"/>
    <w:rsid w:val="00B45BD6"/>
    <w:rsid w:val="00B45C0C"/>
    <w:rsid w:val="00B45E23"/>
    <w:rsid w:val="00B46070"/>
    <w:rsid w:val="00B46076"/>
    <w:rsid w:val="00B46347"/>
    <w:rsid w:val="00B46381"/>
    <w:rsid w:val="00B464D1"/>
    <w:rsid w:val="00B467FE"/>
    <w:rsid w:val="00B4686A"/>
    <w:rsid w:val="00B468E5"/>
    <w:rsid w:val="00B469F9"/>
    <w:rsid w:val="00B46A3B"/>
    <w:rsid w:val="00B46A5E"/>
    <w:rsid w:val="00B46A8C"/>
    <w:rsid w:val="00B46C2A"/>
    <w:rsid w:val="00B46C43"/>
    <w:rsid w:val="00B46CC6"/>
    <w:rsid w:val="00B46DAD"/>
    <w:rsid w:val="00B46FAF"/>
    <w:rsid w:val="00B472FA"/>
    <w:rsid w:val="00B47707"/>
    <w:rsid w:val="00B4781B"/>
    <w:rsid w:val="00B4788E"/>
    <w:rsid w:val="00B47916"/>
    <w:rsid w:val="00B47942"/>
    <w:rsid w:val="00B47A07"/>
    <w:rsid w:val="00B47A10"/>
    <w:rsid w:val="00B47AE3"/>
    <w:rsid w:val="00B47CAE"/>
    <w:rsid w:val="00B47DB2"/>
    <w:rsid w:val="00B47E0E"/>
    <w:rsid w:val="00B47EEE"/>
    <w:rsid w:val="00B500A5"/>
    <w:rsid w:val="00B501DC"/>
    <w:rsid w:val="00B5088B"/>
    <w:rsid w:val="00B50A7C"/>
    <w:rsid w:val="00B50ADD"/>
    <w:rsid w:val="00B50C82"/>
    <w:rsid w:val="00B50D1C"/>
    <w:rsid w:val="00B50D2D"/>
    <w:rsid w:val="00B51073"/>
    <w:rsid w:val="00B51194"/>
    <w:rsid w:val="00B5131E"/>
    <w:rsid w:val="00B51596"/>
    <w:rsid w:val="00B5163F"/>
    <w:rsid w:val="00B516F4"/>
    <w:rsid w:val="00B5178A"/>
    <w:rsid w:val="00B51836"/>
    <w:rsid w:val="00B51A77"/>
    <w:rsid w:val="00B51BE3"/>
    <w:rsid w:val="00B51CCB"/>
    <w:rsid w:val="00B52056"/>
    <w:rsid w:val="00B5227A"/>
    <w:rsid w:val="00B522E2"/>
    <w:rsid w:val="00B52385"/>
    <w:rsid w:val="00B523D9"/>
    <w:rsid w:val="00B52488"/>
    <w:rsid w:val="00B5254C"/>
    <w:rsid w:val="00B52577"/>
    <w:rsid w:val="00B52664"/>
    <w:rsid w:val="00B5284B"/>
    <w:rsid w:val="00B5297C"/>
    <w:rsid w:val="00B529C9"/>
    <w:rsid w:val="00B52B0E"/>
    <w:rsid w:val="00B52E52"/>
    <w:rsid w:val="00B53014"/>
    <w:rsid w:val="00B53089"/>
    <w:rsid w:val="00B53157"/>
    <w:rsid w:val="00B5329C"/>
    <w:rsid w:val="00B5333F"/>
    <w:rsid w:val="00B53363"/>
    <w:rsid w:val="00B535AE"/>
    <w:rsid w:val="00B535DC"/>
    <w:rsid w:val="00B53A8B"/>
    <w:rsid w:val="00B53CF9"/>
    <w:rsid w:val="00B53D1B"/>
    <w:rsid w:val="00B53D7F"/>
    <w:rsid w:val="00B53E51"/>
    <w:rsid w:val="00B53E66"/>
    <w:rsid w:val="00B54013"/>
    <w:rsid w:val="00B540C3"/>
    <w:rsid w:val="00B54113"/>
    <w:rsid w:val="00B542F5"/>
    <w:rsid w:val="00B5431D"/>
    <w:rsid w:val="00B543E0"/>
    <w:rsid w:val="00B54625"/>
    <w:rsid w:val="00B5468B"/>
    <w:rsid w:val="00B5480E"/>
    <w:rsid w:val="00B5491F"/>
    <w:rsid w:val="00B54B46"/>
    <w:rsid w:val="00B55052"/>
    <w:rsid w:val="00B552A8"/>
    <w:rsid w:val="00B55390"/>
    <w:rsid w:val="00B5563A"/>
    <w:rsid w:val="00B5599F"/>
    <w:rsid w:val="00B559A6"/>
    <w:rsid w:val="00B559D1"/>
    <w:rsid w:val="00B55A44"/>
    <w:rsid w:val="00B55A98"/>
    <w:rsid w:val="00B55AF7"/>
    <w:rsid w:val="00B55B6A"/>
    <w:rsid w:val="00B55FF2"/>
    <w:rsid w:val="00B56017"/>
    <w:rsid w:val="00B56047"/>
    <w:rsid w:val="00B560CC"/>
    <w:rsid w:val="00B561DD"/>
    <w:rsid w:val="00B56220"/>
    <w:rsid w:val="00B5647D"/>
    <w:rsid w:val="00B565A7"/>
    <w:rsid w:val="00B5666E"/>
    <w:rsid w:val="00B566A9"/>
    <w:rsid w:val="00B569EB"/>
    <w:rsid w:val="00B56C2E"/>
    <w:rsid w:val="00B56DEC"/>
    <w:rsid w:val="00B56E74"/>
    <w:rsid w:val="00B57168"/>
    <w:rsid w:val="00B571AF"/>
    <w:rsid w:val="00B57228"/>
    <w:rsid w:val="00B57435"/>
    <w:rsid w:val="00B57449"/>
    <w:rsid w:val="00B57664"/>
    <w:rsid w:val="00B5772A"/>
    <w:rsid w:val="00B57880"/>
    <w:rsid w:val="00B578D2"/>
    <w:rsid w:val="00B57D8A"/>
    <w:rsid w:val="00B57EB0"/>
    <w:rsid w:val="00B57F98"/>
    <w:rsid w:val="00B60343"/>
    <w:rsid w:val="00B60866"/>
    <w:rsid w:val="00B608FE"/>
    <w:rsid w:val="00B6098D"/>
    <w:rsid w:val="00B60DF7"/>
    <w:rsid w:val="00B60E46"/>
    <w:rsid w:val="00B61305"/>
    <w:rsid w:val="00B61400"/>
    <w:rsid w:val="00B61836"/>
    <w:rsid w:val="00B618BA"/>
    <w:rsid w:val="00B618F2"/>
    <w:rsid w:val="00B619F9"/>
    <w:rsid w:val="00B61A52"/>
    <w:rsid w:val="00B61C31"/>
    <w:rsid w:val="00B61CF6"/>
    <w:rsid w:val="00B61DB7"/>
    <w:rsid w:val="00B61E0A"/>
    <w:rsid w:val="00B61EF2"/>
    <w:rsid w:val="00B6207D"/>
    <w:rsid w:val="00B621ED"/>
    <w:rsid w:val="00B6223D"/>
    <w:rsid w:val="00B623B8"/>
    <w:rsid w:val="00B62576"/>
    <w:rsid w:val="00B62580"/>
    <w:rsid w:val="00B62786"/>
    <w:rsid w:val="00B629C9"/>
    <w:rsid w:val="00B62A13"/>
    <w:rsid w:val="00B62B5E"/>
    <w:rsid w:val="00B62C55"/>
    <w:rsid w:val="00B62CBE"/>
    <w:rsid w:val="00B62ECF"/>
    <w:rsid w:val="00B62FE1"/>
    <w:rsid w:val="00B63083"/>
    <w:rsid w:val="00B63518"/>
    <w:rsid w:val="00B635FC"/>
    <w:rsid w:val="00B63628"/>
    <w:rsid w:val="00B63740"/>
    <w:rsid w:val="00B638EC"/>
    <w:rsid w:val="00B63967"/>
    <w:rsid w:val="00B63991"/>
    <w:rsid w:val="00B63995"/>
    <w:rsid w:val="00B63ABB"/>
    <w:rsid w:val="00B63B05"/>
    <w:rsid w:val="00B63B06"/>
    <w:rsid w:val="00B63B19"/>
    <w:rsid w:val="00B63D9C"/>
    <w:rsid w:val="00B63DF5"/>
    <w:rsid w:val="00B63EED"/>
    <w:rsid w:val="00B640C6"/>
    <w:rsid w:val="00B6417E"/>
    <w:rsid w:val="00B64240"/>
    <w:rsid w:val="00B64284"/>
    <w:rsid w:val="00B64445"/>
    <w:rsid w:val="00B64556"/>
    <w:rsid w:val="00B64570"/>
    <w:rsid w:val="00B6470F"/>
    <w:rsid w:val="00B647E3"/>
    <w:rsid w:val="00B64B20"/>
    <w:rsid w:val="00B64D51"/>
    <w:rsid w:val="00B64D8C"/>
    <w:rsid w:val="00B64ED6"/>
    <w:rsid w:val="00B6518C"/>
    <w:rsid w:val="00B651F4"/>
    <w:rsid w:val="00B652A2"/>
    <w:rsid w:val="00B65525"/>
    <w:rsid w:val="00B65767"/>
    <w:rsid w:val="00B657FA"/>
    <w:rsid w:val="00B659CD"/>
    <w:rsid w:val="00B65A7B"/>
    <w:rsid w:val="00B65B3A"/>
    <w:rsid w:val="00B65CF9"/>
    <w:rsid w:val="00B65E5D"/>
    <w:rsid w:val="00B65E69"/>
    <w:rsid w:val="00B65F8E"/>
    <w:rsid w:val="00B66126"/>
    <w:rsid w:val="00B66216"/>
    <w:rsid w:val="00B66235"/>
    <w:rsid w:val="00B66541"/>
    <w:rsid w:val="00B66554"/>
    <w:rsid w:val="00B666B5"/>
    <w:rsid w:val="00B6673C"/>
    <w:rsid w:val="00B6674B"/>
    <w:rsid w:val="00B667C1"/>
    <w:rsid w:val="00B667DB"/>
    <w:rsid w:val="00B668C5"/>
    <w:rsid w:val="00B66A3C"/>
    <w:rsid w:val="00B66AB4"/>
    <w:rsid w:val="00B66BAF"/>
    <w:rsid w:val="00B66DED"/>
    <w:rsid w:val="00B67021"/>
    <w:rsid w:val="00B6716D"/>
    <w:rsid w:val="00B672C4"/>
    <w:rsid w:val="00B6741A"/>
    <w:rsid w:val="00B676E2"/>
    <w:rsid w:val="00B6770E"/>
    <w:rsid w:val="00B67837"/>
    <w:rsid w:val="00B6794F"/>
    <w:rsid w:val="00B679D9"/>
    <w:rsid w:val="00B679ED"/>
    <w:rsid w:val="00B67A36"/>
    <w:rsid w:val="00B67A8A"/>
    <w:rsid w:val="00B67D11"/>
    <w:rsid w:val="00B67D3C"/>
    <w:rsid w:val="00B70074"/>
    <w:rsid w:val="00B70102"/>
    <w:rsid w:val="00B70166"/>
    <w:rsid w:val="00B701F5"/>
    <w:rsid w:val="00B7042E"/>
    <w:rsid w:val="00B704D9"/>
    <w:rsid w:val="00B7056C"/>
    <w:rsid w:val="00B705B5"/>
    <w:rsid w:val="00B70604"/>
    <w:rsid w:val="00B7065B"/>
    <w:rsid w:val="00B70711"/>
    <w:rsid w:val="00B70729"/>
    <w:rsid w:val="00B707C5"/>
    <w:rsid w:val="00B7091C"/>
    <w:rsid w:val="00B70B25"/>
    <w:rsid w:val="00B70C68"/>
    <w:rsid w:val="00B70D95"/>
    <w:rsid w:val="00B70FAA"/>
    <w:rsid w:val="00B71184"/>
    <w:rsid w:val="00B71198"/>
    <w:rsid w:val="00B7125C"/>
    <w:rsid w:val="00B71343"/>
    <w:rsid w:val="00B713C3"/>
    <w:rsid w:val="00B714AE"/>
    <w:rsid w:val="00B71617"/>
    <w:rsid w:val="00B71630"/>
    <w:rsid w:val="00B719B1"/>
    <w:rsid w:val="00B71A69"/>
    <w:rsid w:val="00B71C8C"/>
    <w:rsid w:val="00B71D32"/>
    <w:rsid w:val="00B7216C"/>
    <w:rsid w:val="00B721F7"/>
    <w:rsid w:val="00B723E7"/>
    <w:rsid w:val="00B7242D"/>
    <w:rsid w:val="00B724B8"/>
    <w:rsid w:val="00B72A18"/>
    <w:rsid w:val="00B72AEA"/>
    <w:rsid w:val="00B72B29"/>
    <w:rsid w:val="00B72C56"/>
    <w:rsid w:val="00B72CEB"/>
    <w:rsid w:val="00B72D91"/>
    <w:rsid w:val="00B72EB8"/>
    <w:rsid w:val="00B72F2C"/>
    <w:rsid w:val="00B7326A"/>
    <w:rsid w:val="00B73270"/>
    <w:rsid w:val="00B7333E"/>
    <w:rsid w:val="00B7340A"/>
    <w:rsid w:val="00B734BF"/>
    <w:rsid w:val="00B7361B"/>
    <w:rsid w:val="00B73902"/>
    <w:rsid w:val="00B7393A"/>
    <w:rsid w:val="00B73DAF"/>
    <w:rsid w:val="00B73DFB"/>
    <w:rsid w:val="00B73EE5"/>
    <w:rsid w:val="00B73F89"/>
    <w:rsid w:val="00B73FD6"/>
    <w:rsid w:val="00B74136"/>
    <w:rsid w:val="00B74368"/>
    <w:rsid w:val="00B74422"/>
    <w:rsid w:val="00B744EA"/>
    <w:rsid w:val="00B7455C"/>
    <w:rsid w:val="00B7462F"/>
    <w:rsid w:val="00B747C5"/>
    <w:rsid w:val="00B74AA6"/>
    <w:rsid w:val="00B74BAF"/>
    <w:rsid w:val="00B74C26"/>
    <w:rsid w:val="00B74C53"/>
    <w:rsid w:val="00B74CBF"/>
    <w:rsid w:val="00B74D2B"/>
    <w:rsid w:val="00B74EE6"/>
    <w:rsid w:val="00B75043"/>
    <w:rsid w:val="00B7514E"/>
    <w:rsid w:val="00B7525B"/>
    <w:rsid w:val="00B754FF"/>
    <w:rsid w:val="00B755A4"/>
    <w:rsid w:val="00B7561D"/>
    <w:rsid w:val="00B757C1"/>
    <w:rsid w:val="00B757D5"/>
    <w:rsid w:val="00B7582F"/>
    <w:rsid w:val="00B75955"/>
    <w:rsid w:val="00B759E4"/>
    <w:rsid w:val="00B75CB5"/>
    <w:rsid w:val="00B75D38"/>
    <w:rsid w:val="00B75E18"/>
    <w:rsid w:val="00B75EFD"/>
    <w:rsid w:val="00B75F5E"/>
    <w:rsid w:val="00B7610E"/>
    <w:rsid w:val="00B76135"/>
    <w:rsid w:val="00B7614A"/>
    <w:rsid w:val="00B7615E"/>
    <w:rsid w:val="00B764A9"/>
    <w:rsid w:val="00B764B3"/>
    <w:rsid w:val="00B76518"/>
    <w:rsid w:val="00B76825"/>
    <w:rsid w:val="00B768BA"/>
    <w:rsid w:val="00B769DF"/>
    <w:rsid w:val="00B769FA"/>
    <w:rsid w:val="00B76B7B"/>
    <w:rsid w:val="00B76CAE"/>
    <w:rsid w:val="00B76DB6"/>
    <w:rsid w:val="00B76E2D"/>
    <w:rsid w:val="00B76E44"/>
    <w:rsid w:val="00B76F7D"/>
    <w:rsid w:val="00B76FE1"/>
    <w:rsid w:val="00B76FE8"/>
    <w:rsid w:val="00B7706C"/>
    <w:rsid w:val="00B772E9"/>
    <w:rsid w:val="00B77487"/>
    <w:rsid w:val="00B7765C"/>
    <w:rsid w:val="00B776BA"/>
    <w:rsid w:val="00B77773"/>
    <w:rsid w:val="00B777BD"/>
    <w:rsid w:val="00B778A7"/>
    <w:rsid w:val="00B77912"/>
    <w:rsid w:val="00B77A2F"/>
    <w:rsid w:val="00B77AE9"/>
    <w:rsid w:val="00B77CE8"/>
    <w:rsid w:val="00B77CEB"/>
    <w:rsid w:val="00B77D03"/>
    <w:rsid w:val="00B77DEE"/>
    <w:rsid w:val="00B77F9B"/>
    <w:rsid w:val="00B8003D"/>
    <w:rsid w:val="00B80093"/>
    <w:rsid w:val="00B800DE"/>
    <w:rsid w:val="00B800E4"/>
    <w:rsid w:val="00B800E6"/>
    <w:rsid w:val="00B8018E"/>
    <w:rsid w:val="00B8024C"/>
    <w:rsid w:val="00B803F4"/>
    <w:rsid w:val="00B80477"/>
    <w:rsid w:val="00B8057C"/>
    <w:rsid w:val="00B805ED"/>
    <w:rsid w:val="00B8073F"/>
    <w:rsid w:val="00B80841"/>
    <w:rsid w:val="00B8095B"/>
    <w:rsid w:val="00B80995"/>
    <w:rsid w:val="00B80BC2"/>
    <w:rsid w:val="00B80DC1"/>
    <w:rsid w:val="00B80F8B"/>
    <w:rsid w:val="00B810E8"/>
    <w:rsid w:val="00B81113"/>
    <w:rsid w:val="00B81201"/>
    <w:rsid w:val="00B8130A"/>
    <w:rsid w:val="00B8187E"/>
    <w:rsid w:val="00B81969"/>
    <w:rsid w:val="00B81BB0"/>
    <w:rsid w:val="00B81BE6"/>
    <w:rsid w:val="00B81CA1"/>
    <w:rsid w:val="00B81DC1"/>
    <w:rsid w:val="00B81EAE"/>
    <w:rsid w:val="00B822B5"/>
    <w:rsid w:val="00B82383"/>
    <w:rsid w:val="00B825BC"/>
    <w:rsid w:val="00B8277F"/>
    <w:rsid w:val="00B82DAC"/>
    <w:rsid w:val="00B82F9E"/>
    <w:rsid w:val="00B8300E"/>
    <w:rsid w:val="00B83199"/>
    <w:rsid w:val="00B83289"/>
    <w:rsid w:val="00B833D1"/>
    <w:rsid w:val="00B833D8"/>
    <w:rsid w:val="00B836B8"/>
    <w:rsid w:val="00B83B1F"/>
    <w:rsid w:val="00B83C51"/>
    <w:rsid w:val="00B83E08"/>
    <w:rsid w:val="00B83EAC"/>
    <w:rsid w:val="00B83EE4"/>
    <w:rsid w:val="00B83F06"/>
    <w:rsid w:val="00B83FBA"/>
    <w:rsid w:val="00B83FBC"/>
    <w:rsid w:val="00B84194"/>
    <w:rsid w:val="00B842D4"/>
    <w:rsid w:val="00B846DA"/>
    <w:rsid w:val="00B84824"/>
    <w:rsid w:val="00B848BF"/>
    <w:rsid w:val="00B84BF9"/>
    <w:rsid w:val="00B84F67"/>
    <w:rsid w:val="00B85015"/>
    <w:rsid w:val="00B85062"/>
    <w:rsid w:val="00B851C4"/>
    <w:rsid w:val="00B853F4"/>
    <w:rsid w:val="00B85411"/>
    <w:rsid w:val="00B854C2"/>
    <w:rsid w:val="00B85559"/>
    <w:rsid w:val="00B8586C"/>
    <w:rsid w:val="00B85D9E"/>
    <w:rsid w:val="00B85DB0"/>
    <w:rsid w:val="00B85E48"/>
    <w:rsid w:val="00B85EA1"/>
    <w:rsid w:val="00B8613B"/>
    <w:rsid w:val="00B8616A"/>
    <w:rsid w:val="00B86416"/>
    <w:rsid w:val="00B86525"/>
    <w:rsid w:val="00B86552"/>
    <w:rsid w:val="00B86631"/>
    <w:rsid w:val="00B86818"/>
    <w:rsid w:val="00B869C3"/>
    <w:rsid w:val="00B86B5B"/>
    <w:rsid w:val="00B86ECC"/>
    <w:rsid w:val="00B87004"/>
    <w:rsid w:val="00B87316"/>
    <w:rsid w:val="00B873A8"/>
    <w:rsid w:val="00B875C8"/>
    <w:rsid w:val="00B877DF"/>
    <w:rsid w:val="00B8785E"/>
    <w:rsid w:val="00B879D7"/>
    <w:rsid w:val="00B879F6"/>
    <w:rsid w:val="00B87B54"/>
    <w:rsid w:val="00B87B60"/>
    <w:rsid w:val="00B87D76"/>
    <w:rsid w:val="00B87DB7"/>
    <w:rsid w:val="00B87E11"/>
    <w:rsid w:val="00B87EA8"/>
    <w:rsid w:val="00B87FE2"/>
    <w:rsid w:val="00B90007"/>
    <w:rsid w:val="00B900B1"/>
    <w:rsid w:val="00B9022A"/>
    <w:rsid w:val="00B90356"/>
    <w:rsid w:val="00B9042F"/>
    <w:rsid w:val="00B904CD"/>
    <w:rsid w:val="00B905DF"/>
    <w:rsid w:val="00B90641"/>
    <w:rsid w:val="00B9089A"/>
    <w:rsid w:val="00B9098D"/>
    <w:rsid w:val="00B90C06"/>
    <w:rsid w:val="00B90E05"/>
    <w:rsid w:val="00B9110C"/>
    <w:rsid w:val="00B91120"/>
    <w:rsid w:val="00B91176"/>
    <w:rsid w:val="00B911E0"/>
    <w:rsid w:val="00B91238"/>
    <w:rsid w:val="00B916B1"/>
    <w:rsid w:val="00B91746"/>
    <w:rsid w:val="00B9177F"/>
    <w:rsid w:val="00B917FE"/>
    <w:rsid w:val="00B9197D"/>
    <w:rsid w:val="00B91CC5"/>
    <w:rsid w:val="00B91D67"/>
    <w:rsid w:val="00B91EF8"/>
    <w:rsid w:val="00B91EFF"/>
    <w:rsid w:val="00B91F02"/>
    <w:rsid w:val="00B91F0A"/>
    <w:rsid w:val="00B921E8"/>
    <w:rsid w:val="00B92350"/>
    <w:rsid w:val="00B9269F"/>
    <w:rsid w:val="00B9276F"/>
    <w:rsid w:val="00B92B32"/>
    <w:rsid w:val="00B92B79"/>
    <w:rsid w:val="00B92BEC"/>
    <w:rsid w:val="00B92D14"/>
    <w:rsid w:val="00B9302B"/>
    <w:rsid w:val="00B93039"/>
    <w:rsid w:val="00B93257"/>
    <w:rsid w:val="00B93271"/>
    <w:rsid w:val="00B932D5"/>
    <w:rsid w:val="00B9337D"/>
    <w:rsid w:val="00B9342A"/>
    <w:rsid w:val="00B934D3"/>
    <w:rsid w:val="00B9365B"/>
    <w:rsid w:val="00B9378A"/>
    <w:rsid w:val="00B938B1"/>
    <w:rsid w:val="00B939E4"/>
    <w:rsid w:val="00B93A1D"/>
    <w:rsid w:val="00B93A65"/>
    <w:rsid w:val="00B93B38"/>
    <w:rsid w:val="00B93BBC"/>
    <w:rsid w:val="00B93D56"/>
    <w:rsid w:val="00B93F54"/>
    <w:rsid w:val="00B9410A"/>
    <w:rsid w:val="00B9411C"/>
    <w:rsid w:val="00B9415F"/>
    <w:rsid w:val="00B9421B"/>
    <w:rsid w:val="00B94411"/>
    <w:rsid w:val="00B944BA"/>
    <w:rsid w:val="00B945AB"/>
    <w:rsid w:val="00B9490E"/>
    <w:rsid w:val="00B94A67"/>
    <w:rsid w:val="00B94CA6"/>
    <w:rsid w:val="00B94CF8"/>
    <w:rsid w:val="00B94E91"/>
    <w:rsid w:val="00B94F70"/>
    <w:rsid w:val="00B95087"/>
    <w:rsid w:val="00B951B4"/>
    <w:rsid w:val="00B9539E"/>
    <w:rsid w:val="00B9558F"/>
    <w:rsid w:val="00B955FD"/>
    <w:rsid w:val="00B95603"/>
    <w:rsid w:val="00B95682"/>
    <w:rsid w:val="00B9572B"/>
    <w:rsid w:val="00B958CB"/>
    <w:rsid w:val="00B95939"/>
    <w:rsid w:val="00B95A9B"/>
    <w:rsid w:val="00B95C39"/>
    <w:rsid w:val="00B95C7B"/>
    <w:rsid w:val="00B960A1"/>
    <w:rsid w:val="00B961F7"/>
    <w:rsid w:val="00B9625D"/>
    <w:rsid w:val="00B9627F"/>
    <w:rsid w:val="00B962FA"/>
    <w:rsid w:val="00B96479"/>
    <w:rsid w:val="00B964FD"/>
    <w:rsid w:val="00B965E4"/>
    <w:rsid w:val="00B96628"/>
    <w:rsid w:val="00B96B8B"/>
    <w:rsid w:val="00B96BB5"/>
    <w:rsid w:val="00B96BEF"/>
    <w:rsid w:val="00B96D74"/>
    <w:rsid w:val="00B96E32"/>
    <w:rsid w:val="00B96E7B"/>
    <w:rsid w:val="00B96EFF"/>
    <w:rsid w:val="00B970FC"/>
    <w:rsid w:val="00B97242"/>
    <w:rsid w:val="00B9742B"/>
    <w:rsid w:val="00B97558"/>
    <w:rsid w:val="00B977F5"/>
    <w:rsid w:val="00B978E3"/>
    <w:rsid w:val="00B978EC"/>
    <w:rsid w:val="00B97A19"/>
    <w:rsid w:val="00B97C63"/>
    <w:rsid w:val="00B97DE2"/>
    <w:rsid w:val="00B97E5D"/>
    <w:rsid w:val="00BA0060"/>
    <w:rsid w:val="00BA00DA"/>
    <w:rsid w:val="00BA043A"/>
    <w:rsid w:val="00BA04C2"/>
    <w:rsid w:val="00BA05BD"/>
    <w:rsid w:val="00BA0753"/>
    <w:rsid w:val="00BA0756"/>
    <w:rsid w:val="00BA0A7C"/>
    <w:rsid w:val="00BA0DE5"/>
    <w:rsid w:val="00BA0E1F"/>
    <w:rsid w:val="00BA0FED"/>
    <w:rsid w:val="00BA1215"/>
    <w:rsid w:val="00BA127D"/>
    <w:rsid w:val="00BA12AD"/>
    <w:rsid w:val="00BA12C7"/>
    <w:rsid w:val="00BA13AD"/>
    <w:rsid w:val="00BA15B0"/>
    <w:rsid w:val="00BA16CF"/>
    <w:rsid w:val="00BA19DE"/>
    <w:rsid w:val="00BA1AE2"/>
    <w:rsid w:val="00BA1AE4"/>
    <w:rsid w:val="00BA1AFD"/>
    <w:rsid w:val="00BA1B07"/>
    <w:rsid w:val="00BA2066"/>
    <w:rsid w:val="00BA207F"/>
    <w:rsid w:val="00BA226F"/>
    <w:rsid w:val="00BA2453"/>
    <w:rsid w:val="00BA254E"/>
    <w:rsid w:val="00BA2B97"/>
    <w:rsid w:val="00BA2CC9"/>
    <w:rsid w:val="00BA2DF0"/>
    <w:rsid w:val="00BA2E13"/>
    <w:rsid w:val="00BA2EBA"/>
    <w:rsid w:val="00BA2F1C"/>
    <w:rsid w:val="00BA31A8"/>
    <w:rsid w:val="00BA3359"/>
    <w:rsid w:val="00BA336D"/>
    <w:rsid w:val="00BA3522"/>
    <w:rsid w:val="00BA3526"/>
    <w:rsid w:val="00BA3624"/>
    <w:rsid w:val="00BA376D"/>
    <w:rsid w:val="00BA386D"/>
    <w:rsid w:val="00BA3A07"/>
    <w:rsid w:val="00BA3B21"/>
    <w:rsid w:val="00BA3BCA"/>
    <w:rsid w:val="00BA4084"/>
    <w:rsid w:val="00BA41CA"/>
    <w:rsid w:val="00BA4449"/>
    <w:rsid w:val="00BA448A"/>
    <w:rsid w:val="00BA46A2"/>
    <w:rsid w:val="00BA477F"/>
    <w:rsid w:val="00BA4806"/>
    <w:rsid w:val="00BA497B"/>
    <w:rsid w:val="00BA4B99"/>
    <w:rsid w:val="00BA4C61"/>
    <w:rsid w:val="00BA4EA5"/>
    <w:rsid w:val="00BA4F24"/>
    <w:rsid w:val="00BA500E"/>
    <w:rsid w:val="00BA5017"/>
    <w:rsid w:val="00BA522F"/>
    <w:rsid w:val="00BA525F"/>
    <w:rsid w:val="00BA5334"/>
    <w:rsid w:val="00BA5340"/>
    <w:rsid w:val="00BA534F"/>
    <w:rsid w:val="00BA54C2"/>
    <w:rsid w:val="00BA54E8"/>
    <w:rsid w:val="00BA55FE"/>
    <w:rsid w:val="00BA568A"/>
    <w:rsid w:val="00BA5816"/>
    <w:rsid w:val="00BA5948"/>
    <w:rsid w:val="00BA598C"/>
    <w:rsid w:val="00BA5C54"/>
    <w:rsid w:val="00BA5D64"/>
    <w:rsid w:val="00BA5DF0"/>
    <w:rsid w:val="00BA5F6F"/>
    <w:rsid w:val="00BA5F92"/>
    <w:rsid w:val="00BA5FD9"/>
    <w:rsid w:val="00BA603A"/>
    <w:rsid w:val="00BA60B5"/>
    <w:rsid w:val="00BA618B"/>
    <w:rsid w:val="00BA620D"/>
    <w:rsid w:val="00BA63C8"/>
    <w:rsid w:val="00BA63E6"/>
    <w:rsid w:val="00BA6569"/>
    <w:rsid w:val="00BA6700"/>
    <w:rsid w:val="00BA679E"/>
    <w:rsid w:val="00BA6A69"/>
    <w:rsid w:val="00BA6D39"/>
    <w:rsid w:val="00BA6DD9"/>
    <w:rsid w:val="00BA6E3C"/>
    <w:rsid w:val="00BA7305"/>
    <w:rsid w:val="00BA7674"/>
    <w:rsid w:val="00BA7A18"/>
    <w:rsid w:val="00BA7AC8"/>
    <w:rsid w:val="00BA7C22"/>
    <w:rsid w:val="00BA7C94"/>
    <w:rsid w:val="00BA7FC1"/>
    <w:rsid w:val="00BA7FC6"/>
    <w:rsid w:val="00BB006C"/>
    <w:rsid w:val="00BB04BE"/>
    <w:rsid w:val="00BB05FE"/>
    <w:rsid w:val="00BB0721"/>
    <w:rsid w:val="00BB0760"/>
    <w:rsid w:val="00BB0B4D"/>
    <w:rsid w:val="00BB0C6B"/>
    <w:rsid w:val="00BB0E14"/>
    <w:rsid w:val="00BB0F29"/>
    <w:rsid w:val="00BB10BE"/>
    <w:rsid w:val="00BB115C"/>
    <w:rsid w:val="00BB1279"/>
    <w:rsid w:val="00BB128C"/>
    <w:rsid w:val="00BB12A0"/>
    <w:rsid w:val="00BB12D9"/>
    <w:rsid w:val="00BB14B9"/>
    <w:rsid w:val="00BB1A8A"/>
    <w:rsid w:val="00BB1D1E"/>
    <w:rsid w:val="00BB1DB0"/>
    <w:rsid w:val="00BB204B"/>
    <w:rsid w:val="00BB20A4"/>
    <w:rsid w:val="00BB243D"/>
    <w:rsid w:val="00BB2495"/>
    <w:rsid w:val="00BB2647"/>
    <w:rsid w:val="00BB269D"/>
    <w:rsid w:val="00BB2749"/>
    <w:rsid w:val="00BB2AA6"/>
    <w:rsid w:val="00BB2AC2"/>
    <w:rsid w:val="00BB2B5F"/>
    <w:rsid w:val="00BB2C23"/>
    <w:rsid w:val="00BB2D89"/>
    <w:rsid w:val="00BB2DA8"/>
    <w:rsid w:val="00BB3159"/>
    <w:rsid w:val="00BB3210"/>
    <w:rsid w:val="00BB33B0"/>
    <w:rsid w:val="00BB3500"/>
    <w:rsid w:val="00BB36D6"/>
    <w:rsid w:val="00BB3831"/>
    <w:rsid w:val="00BB3973"/>
    <w:rsid w:val="00BB3BAF"/>
    <w:rsid w:val="00BB3C56"/>
    <w:rsid w:val="00BB3CA2"/>
    <w:rsid w:val="00BB3DB9"/>
    <w:rsid w:val="00BB3DC4"/>
    <w:rsid w:val="00BB3F30"/>
    <w:rsid w:val="00BB4050"/>
    <w:rsid w:val="00BB4113"/>
    <w:rsid w:val="00BB415E"/>
    <w:rsid w:val="00BB41D2"/>
    <w:rsid w:val="00BB4253"/>
    <w:rsid w:val="00BB427C"/>
    <w:rsid w:val="00BB45A9"/>
    <w:rsid w:val="00BB4647"/>
    <w:rsid w:val="00BB469D"/>
    <w:rsid w:val="00BB4713"/>
    <w:rsid w:val="00BB48AF"/>
    <w:rsid w:val="00BB49B1"/>
    <w:rsid w:val="00BB49EF"/>
    <w:rsid w:val="00BB4DFE"/>
    <w:rsid w:val="00BB4EC8"/>
    <w:rsid w:val="00BB5106"/>
    <w:rsid w:val="00BB53A1"/>
    <w:rsid w:val="00BB53D4"/>
    <w:rsid w:val="00BB5460"/>
    <w:rsid w:val="00BB54DC"/>
    <w:rsid w:val="00BB54F2"/>
    <w:rsid w:val="00BB56FD"/>
    <w:rsid w:val="00BB5726"/>
    <w:rsid w:val="00BB59DC"/>
    <w:rsid w:val="00BB59FE"/>
    <w:rsid w:val="00BB5A39"/>
    <w:rsid w:val="00BB5BB7"/>
    <w:rsid w:val="00BB5F37"/>
    <w:rsid w:val="00BB5FD9"/>
    <w:rsid w:val="00BB6057"/>
    <w:rsid w:val="00BB619B"/>
    <w:rsid w:val="00BB6256"/>
    <w:rsid w:val="00BB6303"/>
    <w:rsid w:val="00BB6379"/>
    <w:rsid w:val="00BB64C9"/>
    <w:rsid w:val="00BB68A4"/>
    <w:rsid w:val="00BB695F"/>
    <w:rsid w:val="00BB6964"/>
    <w:rsid w:val="00BB6AAC"/>
    <w:rsid w:val="00BB6B09"/>
    <w:rsid w:val="00BB6B3E"/>
    <w:rsid w:val="00BB6B8C"/>
    <w:rsid w:val="00BB6B9B"/>
    <w:rsid w:val="00BB6D4F"/>
    <w:rsid w:val="00BB6E09"/>
    <w:rsid w:val="00BB6EDA"/>
    <w:rsid w:val="00BB72EE"/>
    <w:rsid w:val="00BB7318"/>
    <w:rsid w:val="00BB7320"/>
    <w:rsid w:val="00BB754A"/>
    <w:rsid w:val="00BB75CB"/>
    <w:rsid w:val="00BB7607"/>
    <w:rsid w:val="00BB7781"/>
    <w:rsid w:val="00BB7C6A"/>
    <w:rsid w:val="00BB7CB3"/>
    <w:rsid w:val="00BB7CC6"/>
    <w:rsid w:val="00BB7D5A"/>
    <w:rsid w:val="00BB7E8E"/>
    <w:rsid w:val="00BB7F0A"/>
    <w:rsid w:val="00BC0077"/>
    <w:rsid w:val="00BC00BA"/>
    <w:rsid w:val="00BC00C8"/>
    <w:rsid w:val="00BC015F"/>
    <w:rsid w:val="00BC01CE"/>
    <w:rsid w:val="00BC02CE"/>
    <w:rsid w:val="00BC0453"/>
    <w:rsid w:val="00BC0571"/>
    <w:rsid w:val="00BC05F0"/>
    <w:rsid w:val="00BC064F"/>
    <w:rsid w:val="00BC09F9"/>
    <w:rsid w:val="00BC0D19"/>
    <w:rsid w:val="00BC0E3F"/>
    <w:rsid w:val="00BC0E71"/>
    <w:rsid w:val="00BC1294"/>
    <w:rsid w:val="00BC155D"/>
    <w:rsid w:val="00BC18C4"/>
    <w:rsid w:val="00BC1993"/>
    <w:rsid w:val="00BC1A94"/>
    <w:rsid w:val="00BC1B88"/>
    <w:rsid w:val="00BC1CCA"/>
    <w:rsid w:val="00BC1EB0"/>
    <w:rsid w:val="00BC1F66"/>
    <w:rsid w:val="00BC229E"/>
    <w:rsid w:val="00BC2476"/>
    <w:rsid w:val="00BC2541"/>
    <w:rsid w:val="00BC258A"/>
    <w:rsid w:val="00BC2718"/>
    <w:rsid w:val="00BC2757"/>
    <w:rsid w:val="00BC29A6"/>
    <w:rsid w:val="00BC2AB5"/>
    <w:rsid w:val="00BC2B70"/>
    <w:rsid w:val="00BC2C73"/>
    <w:rsid w:val="00BC2E4A"/>
    <w:rsid w:val="00BC2F01"/>
    <w:rsid w:val="00BC307D"/>
    <w:rsid w:val="00BC3392"/>
    <w:rsid w:val="00BC3529"/>
    <w:rsid w:val="00BC39AD"/>
    <w:rsid w:val="00BC39B6"/>
    <w:rsid w:val="00BC3B18"/>
    <w:rsid w:val="00BC3C62"/>
    <w:rsid w:val="00BC3E80"/>
    <w:rsid w:val="00BC3F1E"/>
    <w:rsid w:val="00BC4002"/>
    <w:rsid w:val="00BC4092"/>
    <w:rsid w:val="00BC4110"/>
    <w:rsid w:val="00BC4462"/>
    <w:rsid w:val="00BC4488"/>
    <w:rsid w:val="00BC4564"/>
    <w:rsid w:val="00BC4603"/>
    <w:rsid w:val="00BC4859"/>
    <w:rsid w:val="00BC48A1"/>
    <w:rsid w:val="00BC48DF"/>
    <w:rsid w:val="00BC4D77"/>
    <w:rsid w:val="00BC4E80"/>
    <w:rsid w:val="00BC4EA5"/>
    <w:rsid w:val="00BC5155"/>
    <w:rsid w:val="00BC517D"/>
    <w:rsid w:val="00BC544A"/>
    <w:rsid w:val="00BC54D0"/>
    <w:rsid w:val="00BC58B7"/>
    <w:rsid w:val="00BC5A31"/>
    <w:rsid w:val="00BC5A89"/>
    <w:rsid w:val="00BC5AB7"/>
    <w:rsid w:val="00BC5B0C"/>
    <w:rsid w:val="00BC5B54"/>
    <w:rsid w:val="00BC5C9B"/>
    <w:rsid w:val="00BC5DD8"/>
    <w:rsid w:val="00BC5F19"/>
    <w:rsid w:val="00BC5F6B"/>
    <w:rsid w:val="00BC5F88"/>
    <w:rsid w:val="00BC60C2"/>
    <w:rsid w:val="00BC6100"/>
    <w:rsid w:val="00BC64C7"/>
    <w:rsid w:val="00BC64CA"/>
    <w:rsid w:val="00BC6624"/>
    <w:rsid w:val="00BC6635"/>
    <w:rsid w:val="00BC67F2"/>
    <w:rsid w:val="00BC699A"/>
    <w:rsid w:val="00BC69BD"/>
    <w:rsid w:val="00BC6CAE"/>
    <w:rsid w:val="00BC71CB"/>
    <w:rsid w:val="00BC7228"/>
    <w:rsid w:val="00BC7257"/>
    <w:rsid w:val="00BC7287"/>
    <w:rsid w:val="00BC7478"/>
    <w:rsid w:val="00BC747A"/>
    <w:rsid w:val="00BC762F"/>
    <w:rsid w:val="00BC775E"/>
    <w:rsid w:val="00BC7817"/>
    <w:rsid w:val="00BC79CA"/>
    <w:rsid w:val="00BC7A16"/>
    <w:rsid w:val="00BC7B4A"/>
    <w:rsid w:val="00BC7CC5"/>
    <w:rsid w:val="00BC7CC9"/>
    <w:rsid w:val="00BC7D07"/>
    <w:rsid w:val="00BC7E3E"/>
    <w:rsid w:val="00BD0258"/>
    <w:rsid w:val="00BD02DF"/>
    <w:rsid w:val="00BD04ED"/>
    <w:rsid w:val="00BD0667"/>
    <w:rsid w:val="00BD0751"/>
    <w:rsid w:val="00BD0B43"/>
    <w:rsid w:val="00BD0DC2"/>
    <w:rsid w:val="00BD0E32"/>
    <w:rsid w:val="00BD0F8C"/>
    <w:rsid w:val="00BD0FA3"/>
    <w:rsid w:val="00BD12CB"/>
    <w:rsid w:val="00BD1368"/>
    <w:rsid w:val="00BD1492"/>
    <w:rsid w:val="00BD14BD"/>
    <w:rsid w:val="00BD15A6"/>
    <w:rsid w:val="00BD1615"/>
    <w:rsid w:val="00BD1776"/>
    <w:rsid w:val="00BD18C5"/>
    <w:rsid w:val="00BD1A62"/>
    <w:rsid w:val="00BD1BFF"/>
    <w:rsid w:val="00BD1CAE"/>
    <w:rsid w:val="00BD1D7D"/>
    <w:rsid w:val="00BD20C7"/>
    <w:rsid w:val="00BD21AD"/>
    <w:rsid w:val="00BD239F"/>
    <w:rsid w:val="00BD23D2"/>
    <w:rsid w:val="00BD2917"/>
    <w:rsid w:val="00BD2995"/>
    <w:rsid w:val="00BD2ACD"/>
    <w:rsid w:val="00BD2B98"/>
    <w:rsid w:val="00BD2CC6"/>
    <w:rsid w:val="00BD2FA3"/>
    <w:rsid w:val="00BD3195"/>
    <w:rsid w:val="00BD319B"/>
    <w:rsid w:val="00BD32B5"/>
    <w:rsid w:val="00BD339C"/>
    <w:rsid w:val="00BD346D"/>
    <w:rsid w:val="00BD35FD"/>
    <w:rsid w:val="00BD3711"/>
    <w:rsid w:val="00BD37DA"/>
    <w:rsid w:val="00BD38FF"/>
    <w:rsid w:val="00BD3924"/>
    <w:rsid w:val="00BD39ED"/>
    <w:rsid w:val="00BD3A83"/>
    <w:rsid w:val="00BD3B01"/>
    <w:rsid w:val="00BD3B5E"/>
    <w:rsid w:val="00BD4233"/>
    <w:rsid w:val="00BD428D"/>
    <w:rsid w:val="00BD4475"/>
    <w:rsid w:val="00BD44F9"/>
    <w:rsid w:val="00BD476C"/>
    <w:rsid w:val="00BD4798"/>
    <w:rsid w:val="00BD4838"/>
    <w:rsid w:val="00BD489A"/>
    <w:rsid w:val="00BD492F"/>
    <w:rsid w:val="00BD4962"/>
    <w:rsid w:val="00BD4A25"/>
    <w:rsid w:val="00BD4B37"/>
    <w:rsid w:val="00BD4BC0"/>
    <w:rsid w:val="00BD4E44"/>
    <w:rsid w:val="00BD5076"/>
    <w:rsid w:val="00BD51B0"/>
    <w:rsid w:val="00BD5362"/>
    <w:rsid w:val="00BD5465"/>
    <w:rsid w:val="00BD55CC"/>
    <w:rsid w:val="00BD5639"/>
    <w:rsid w:val="00BD5649"/>
    <w:rsid w:val="00BD5699"/>
    <w:rsid w:val="00BD57C0"/>
    <w:rsid w:val="00BD57CB"/>
    <w:rsid w:val="00BD58CA"/>
    <w:rsid w:val="00BD58ED"/>
    <w:rsid w:val="00BD591D"/>
    <w:rsid w:val="00BD598B"/>
    <w:rsid w:val="00BD5A35"/>
    <w:rsid w:val="00BD5C58"/>
    <w:rsid w:val="00BD5F98"/>
    <w:rsid w:val="00BD60BD"/>
    <w:rsid w:val="00BD6185"/>
    <w:rsid w:val="00BD61E5"/>
    <w:rsid w:val="00BD61EC"/>
    <w:rsid w:val="00BD642A"/>
    <w:rsid w:val="00BD644C"/>
    <w:rsid w:val="00BD658B"/>
    <w:rsid w:val="00BD66F3"/>
    <w:rsid w:val="00BD6710"/>
    <w:rsid w:val="00BD6849"/>
    <w:rsid w:val="00BD6C82"/>
    <w:rsid w:val="00BD6EC1"/>
    <w:rsid w:val="00BD6FE5"/>
    <w:rsid w:val="00BD7140"/>
    <w:rsid w:val="00BD7195"/>
    <w:rsid w:val="00BD758A"/>
    <w:rsid w:val="00BD768B"/>
    <w:rsid w:val="00BD770A"/>
    <w:rsid w:val="00BD785A"/>
    <w:rsid w:val="00BD78C3"/>
    <w:rsid w:val="00BD7AA2"/>
    <w:rsid w:val="00BD7B10"/>
    <w:rsid w:val="00BD7C45"/>
    <w:rsid w:val="00BD7FB3"/>
    <w:rsid w:val="00BE0199"/>
    <w:rsid w:val="00BE0303"/>
    <w:rsid w:val="00BE040B"/>
    <w:rsid w:val="00BE043F"/>
    <w:rsid w:val="00BE04B6"/>
    <w:rsid w:val="00BE05B3"/>
    <w:rsid w:val="00BE05CC"/>
    <w:rsid w:val="00BE064D"/>
    <w:rsid w:val="00BE0740"/>
    <w:rsid w:val="00BE07BD"/>
    <w:rsid w:val="00BE07DD"/>
    <w:rsid w:val="00BE08E1"/>
    <w:rsid w:val="00BE09F8"/>
    <w:rsid w:val="00BE0A13"/>
    <w:rsid w:val="00BE0D9C"/>
    <w:rsid w:val="00BE0E0B"/>
    <w:rsid w:val="00BE0E40"/>
    <w:rsid w:val="00BE0E73"/>
    <w:rsid w:val="00BE0F25"/>
    <w:rsid w:val="00BE116F"/>
    <w:rsid w:val="00BE13E5"/>
    <w:rsid w:val="00BE149A"/>
    <w:rsid w:val="00BE15F0"/>
    <w:rsid w:val="00BE1616"/>
    <w:rsid w:val="00BE165F"/>
    <w:rsid w:val="00BE1874"/>
    <w:rsid w:val="00BE18E9"/>
    <w:rsid w:val="00BE1950"/>
    <w:rsid w:val="00BE19D2"/>
    <w:rsid w:val="00BE1A9E"/>
    <w:rsid w:val="00BE1F12"/>
    <w:rsid w:val="00BE2028"/>
    <w:rsid w:val="00BE217C"/>
    <w:rsid w:val="00BE2B8F"/>
    <w:rsid w:val="00BE2F9F"/>
    <w:rsid w:val="00BE3064"/>
    <w:rsid w:val="00BE3065"/>
    <w:rsid w:val="00BE3358"/>
    <w:rsid w:val="00BE3540"/>
    <w:rsid w:val="00BE3753"/>
    <w:rsid w:val="00BE3A8E"/>
    <w:rsid w:val="00BE3BEC"/>
    <w:rsid w:val="00BE3BF2"/>
    <w:rsid w:val="00BE3CAA"/>
    <w:rsid w:val="00BE3CB3"/>
    <w:rsid w:val="00BE3CD1"/>
    <w:rsid w:val="00BE3D72"/>
    <w:rsid w:val="00BE3F7B"/>
    <w:rsid w:val="00BE4304"/>
    <w:rsid w:val="00BE439F"/>
    <w:rsid w:val="00BE4484"/>
    <w:rsid w:val="00BE474E"/>
    <w:rsid w:val="00BE4A21"/>
    <w:rsid w:val="00BE4A94"/>
    <w:rsid w:val="00BE4ACF"/>
    <w:rsid w:val="00BE4AFA"/>
    <w:rsid w:val="00BE4B09"/>
    <w:rsid w:val="00BE4BF3"/>
    <w:rsid w:val="00BE4CF4"/>
    <w:rsid w:val="00BE4D2F"/>
    <w:rsid w:val="00BE4DCA"/>
    <w:rsid w:val="00BE4ED9"/>
    <w:rsid w:val="00BE504C"/>
    <w:rsid w:val="00BE508B"/>
    <w:rsid w:val="00BE541E"/>
    <w:rsid w:val="00BE545D"/>
    <w:rsid w:val="00BE5535"/>
    <w:rsid w:val="00BE557F"/>
    <w:rsid w:val="00BE56A1"/>
    <w:rsid w:val="00BE572D"/>
    <w:rsid w:val="00BE575B"/>
    <w:rsid w:val="00BE588D"/>
    <w:rsid w:val="00BE5973"/>
    <w:rsid w:val="00BE5A51"/>
    <w:rsid w:val="00BE5B07"/>
    <w:rsid w:val="00BE5BC9"/>
    <w:rsid w:val="00BE5BF8"/>
    <w:rsid w:val="00BE5CBC"/>
    <w:rsid w:val="00BE5D71"/>
    <w:rsid w:val="00BE5D72"/>
    <w:rsid w:val="00BE5E5F"/>
    <w:rsid w:val="00BE5FCC"/>
    <w:rsid w:val="00BE6099"/>
    <w:rsid w:val="00BE60AB"/>
    <w:rsid w:val="00BE62E0"/>
    <w:rsid w:val="00BE62E5"/>
    <w:rsid w:val="00BE66B5"/>
    <w:rsid w:val="00BE674E"/>
    <w:rsid w:val="00BE6941"/>
    <w:rsid w:val="00BE69DF"/>
    <w:rsid w:val="00BE6A4F"/>
    <w:rsid w:val="00BE6C1B"/>
    <w:rsid w:val="00BE6C39"/>
    <w:rsid w:val="00BE6D89"/>
    <w:rsid w:val="00BE6F3C"/>
    <w:rsid w:val="00BE7035"/>
    <w:rsid w:val="00BE71D0"/>
    <w:rsid w:val="00BE7539"/>
    <w:rsid w:val="00BE77DD"/>
    <w:rsid w:val="00BE78EE"/>
    <w:rsid w:val="00BE79E4"/>
    <w:rsid w:val="00BE7F82"/>
    <w:rsid w:val="00BE7FB2"/>
    <w:rsid w:val="00BF00BD"/>
    <w:rsid w:val="00BF00DE"/>
    <w:rsid w:val="00BF0198"/>
    <w:rsid w:val="00BF0222"/>
    <w:rsid w:val="00BF0377"/>
    <w:rsid w:val="00BF0433"/>
    <w:rsid w:val="00BF04A9"/>
    <w:rsid w:val="00BF0564"/>
    <w:rsid w:val="00BF067F"/>
    <w:rsid w:val="00BF07D0"/>
    <w:rsid w:val="00BF0A42"/>
    <w:rsid w:val="00BF0BC3"/>
    <w:rsid w:val="00BF0D17"/>
    <w:rsid w:val="00BF0DC8"/>
    <w:rsid w:val="00BF0E76"/>
    <w:rsid w:val="00BF0F9A"/>
    <w:rsid w:val="00BF0FB8"/>
    <w:rsid w:val="00BF0FEF"/>
    <w:rsid w:val="00BF1112"/>
    <w:rsid w:val="00BF1405"/>
    <w:rsid w:val="00BF17C8"/>
    <w:rsid w:val="00BF1813"/>
    <w:rsid w:val="00BF1934"/>
    <w:rsid w:val="00BF193D"/>
    <w:rsid w:val="00BF1DB0"/>
    <w:rsid w:val="00BF1DB9"/>
    <w:rsid w:val="00BF1E13"/>
    <w:rsid w:val="00BF2033"/>
    <w:rsid w:val="00BF2141"/>
    <w:rsid w:val="00BF2451"/>
    <w:rsid w:val="00BF24B1"/>
    <w:rsid w:val="00BF2573"/>
    <w:rsid w:val="00BF27C3"/>
    <w:rsid w:val="00BF2843"/>
    <w:rsid w:val="00BF28F4"/>
    <w:rsid w:val="00BF28FB"/>
    <w:rsid w:val="00BF2935"/>
    <w:rsid w:val="00BF298D"/>
    <w:rsid w:val="00BF2E7D"/>
    <w:rsid w:val="00BF2E90"/>
    <w:rsid w:val="00BF2F15"/>
    <w:rsid w:val="00BF2F67"/>
    <w:rsid w:val="00BF30B5"/>
    <w:rsid w:val="00BF30DD"/>
    <w:rsid w:val="00BF3121"/>
    <w:rsid w:val="00BF33AF"/>
    <w:rsid w:val="00BF372B"/>
    <w:rsid w:val="00BF3866"/>
    <w:rsid w:val="00BF399D"/>
    <w:rsid w:val="00BF3BA9"/>
    <w:rsid w:val="00BF3D38"/>
    <w:rsid w:val="00BF403B"/>
    <w:rsid w:val="00BF4081"/>
    <w:rsid w:val="00BF4289"/>
    <w:rsid w:val="00BF4328"/>
    <w:rsid w:val="00BF470C"/>
    <w:rsid w:val="00BF4849"/>
    <w:rsid w:val="00BF492B"/>
    <w:rsid w:val="00BF4979"/>
    <w:rsid w:val="00BF4A94"/>
    <w:rsid w:val="00BF4AED"/>
    <w:rsid w:val="00BF4B51"/>
    <w:rsid w:val="00BF4D0D"/>
    <w:rsid w:val="00BF53DE"/>
    <w:rsid w:val="00BF5469"/>
    <w:rsid w:val="00BF5856"/>
    <w:rsid w:val="00BF58D6"/>
    <w:rsid w:val="00BF5F54"/>
    <w:rsid w:val="00BF6021"/>
    <w:rsid w:val="00BF60B6"/>
    <w:rsid w:val="00BF61AF"/>
    <w:rsid w:val="00BF620A"/>
    <w:rsid w:val="00BF63EE"/>
    <w:rsid w:val="00BF66F9"/>
    <w:rsid w:val="00BF673A"/>
    <w:rsid w:val="00BF6744"/>
    <w:rsid w:val="00BF676F"/>
    <w:rsid w:val="00BF697D"/>
    <w:rsid w:val="00BF69DF"/>
    <w:rsid w:val="00BF6CAF"/>
    <w:rsid w:val="00BF6D04"/>
    <w:rsid w:val="00BF6D24"/>
    <w:rsid w:val="00BF6FEF"/>
    <w:rsid w:val="00BF746C"/>
    <w:rsid w:val="00BF74B4"/>
    <w:rsid w:val="00BF74F6"/>
    <w:rsid w:val="00BF7720"/>
    <w:rsid w:val="00BF77F1"/>
    <w:rsid w:val="00BF7931"/>
    <w:rsid w:val="00BF7949"/>
    <w:rsid w:val="00BF7AB2"/>
    <w:rsid w:val="00BF7BBB"/>
    <w:rsid w:val="00C000E5"/>
    <w:rsid w:val="00C001C8"/>
    <w:rsid w:val="00C00247"/>
    <w:rsid w:val="00C0025E"/>
    <w:rsid w:val="00C00271"/>
    <w:rsid w:val="00C00318"/>
    <w:rsid w:val="00C00617"/>
    <w:rsid w:val="00C0063E"/>
    <w:rsid w:val="00C00644"/>
    <w:rsid w:val="00C00709"/>
    <w:rsid w:val="00C00C99"/>
    <w:rsid w:val="00C00CD3"/>
    <w:rsid w:val="00C00D12"/>
    <w:rsid w:val="00C00D63"/>
    <w:rsid w:val="00C00FFD"/>
    <w:rsid w:val="00C01041"/>
    <w:rsid w:val="00C01120"/>
    <w:rsid w:val="00C01276"/>
    <w:rsid w:val="00C01C56"/>
    <w:rsid w:val="00C01C98"/>
    <w:rsid w:val="00C01D23"/>
    <w:rsid w:val="00C01DBA"/>
    <w:rsid w:val="00C021D3"/>
    <w:rsid w:val="00C0233D"/>
    <w:rsid w:val="00C02572"/>
    <w:rsid w:val="00C026C7"/>
    <w:rsid w:val="00C0274F"/>
    <w:rsid w:val="00C029E8"/>
    <w:rsid w:val="00C02C21"/>
    <w:rsid w:val="00C02D24"/>
    <w:rsid w:val="00C02E2F"/>
    <w:rsid w:val="00C030E7"/>
    <w:rsid w:val="00C03169"/>
    <w:rsid w:val="00C033A6"/>
    <w:rsid w:val="00C0354E"/>
    <w:rsid w:val="00C03794"/>
    <w:rsid w:val="00C037E6"/>
    <w:rsid w:val="00C0398D"/>
    <w:rsid w:val="00C039A8"/>
    <w:rsid w:val="00C03A05"/>
    <w:rsid w:val="00C03A6E"/>
    <w:rsid w:val="00C03AC6"/>
    <w:rsid w:val="00C03B24"/>
    <w:rsid w:val="00C03BA0"/>
    <w:rsid w:val="00C03CA4"/>
    <w:rsid w:val="00C03E9E"/>
    <w:rsid w:val="00C03EA6"/>
    <w:rsid w:val="00C040BF"/>
    <w:rsid w:val="00C04147"/>
    <w:rsid w:val="00C042D9"/>
    <w:rsid w:val="00C04389"/>
    <w:rsid w:val="00C0457F"/>
    <w:rsid w:val="00C0470F"/>
    <w:rsid w:val="00C04845"/>
    <w:rsid w:val="00C04910"/>
    <w:rsid w:val="00C04911"/>
    <w:rsid w:val="00C049E9"/>
    <w:rsid w:val="00C04A9A"/>
    <w:rsid w:val="00C04ACD"/>
    <w:rsid w:val="00C04AF9"/>
    <w:rsid w:val="00C04B53"/>
    <w:rsid w:val="00C04BA4"/>
    <w:rsid w:val="00C04BF6"/>
    <w:rsid w:val="00C04BFF"/>
    <w:rsid w:val="00C04CF3"/>
    <w:rsid w:val="00C04F92"/>
    <w:rsid w:val="00C0503B"/>
    <w:rsid w:val="00C050E4"/>
    <w:rsid w:val="00C051D9"/>
    <w:rsid w:val="00C05477"/>
    <w:rsid w:val="00C056DF"/>
    <w:rsid w:val="00C0573D"/>
    <w:rsid w:val="00C0592F"/>
    <w:rsid w:val="00C0594D"/>
    <w:rsid w:val="00C05A44"/>
    <w:rsid w:val="00C05B44"/>
    <w:rsid w:val="00C05CAB"/>
    <w:rsid w:val="00C06181"/>
    <w:rsid w:val="00C06439"/>
    <w:rsid w:val="00C064C2"/>
    <w:rsid w:val="00C064EB"/>
    <w:rsid w:val="00C064EC"/>
    <w:rsid w:val="00C06878"/>
    <w:rsid w:val="00C06C92"/>
    <w:rsid w:val="00C06CFD"/>
    <w:rsid w:val="00C06EFC"/>
    <w:rsid w:val="00C06F66"/>
    <w:rsid w:val="00C0718A"/>
    <w:rsid w:val="00C07339"/>
    <w:rsid w:val="00C075B6"/>
    <w:rsid w:val="00C075B7"/>
    <w:rsid w:val="00C076B0"/>
    <w:rsid w:val="00C0777E"/>
    <w:rsid w:val="00C07B58"/>
    <w:rsid w:val="00C07CB0"/>
    <w:rsid w:val="00C07E6B"/>
    <w:rsid w:val="00C07E70"/>
    <w:rsid w:val="00C07E83"/>
    <w:rsid w:val="00C101FD"/>
    <w:rsid w:val="00C106CF"/>
    <w:rsid w:val="00C10712"/>
    <w:rsid w:val="00C10789"/>
    <w:rsid w:val="00C10865"/>
    <w:rsid w:val="00C10881"/>
    <w:rsid w:val="00C10A41"/>
    <w:rsid w:val="00C10A9D"/>
    <w:rsid w:val="00C10BBB"/>
    <w:rsid w:val="00C10E36"/>
    <w:rsid w:val="00C10E84"/>
    <w:rsid w:val="00C10EA9"/>
    <w:rsid w:val="00C10F4E"/>
    <w:rsid w:val="00C1100A"/>
    <w:rsid w:val="00C11018"/>
    <w:rsid w:val="00C11082"/>
    <w:rsid w:val="00C110B6"/>
    <w:rsid w:val="00C112C5"/>
    <w:rsid w:val="00C112DB"/>
    <w:rsid w:val="00C11308"/>
    <w:rsid w:val="00C11393"/>
    <w:rsid w:val="00C11404"/>
    <w:rsid w:val="00C11491"/>
    <w:rsid w:val="00C11563"/>
    <w:rsid w:val="00C11626"/>
    <w:rsid w:val="00C116CE"/>
    <w:rsid w:val="00C11827"/>
    <w:rsid w:val="00C11986"/>
    <w:rsid w:val="00C11B29"/>
    <w:rsid w:val="00C11B4D"/>
    <w:rsid w:val="00C11BC7"/>
    <w:rsid w:val="00C11BE5"/>
    <w:rsid w:val="00C11D34"/>
    <w:rsid w:val="00C11D39"/>
    <w:rsid w:val="00C11EF5"/>
    <w:rsid w:val="00C12196"/>
    <w:rsid w:val="00C121C8"/>
    <w:rsid w:val="00C121E2"/>
    <w:rsid w:val="00C12350"/>
    <w:rsid w:val="00C123CF"/>
    <w:rsid w:val="00C124F2"/>
    <w:rsid w:val="00C1252D"/>
    <w:rsid w:val="00C1257F"/>
    <w:rsid w:val="00C1267B"/>
    <w:rsid w:val="00C12709"/>
    <w:rsid w:val="00C12748"/>
    <w:rsid w:val="00C127B4"/>
    <w:rsid w:val="00C12AAC"/>
    <w:rsid w:val="00C12B62"/>
    <w:rsid w:val="00C12DB7"/>
    <w:rsid w:val="00C12DE4"/>
    <w:rsid w:val="00C1303E"/>
    <w:rsid w:val="00C131EA"/>
    <w:rsid w:val="00C13239"/>
    <w:rsid w:val="00C13353"/>
    <w:rsid w:val="00C13624"/>
    <w:rsid w:val="00C13737"/>
    <w:rsid w:val="00C13745"/>
    <w:rsid w:val="00C138C9"/>
    <w:rsid w:val="00C13953"/>
    <w:rsid w:val="00C13A64"/>
    <w:rsid w:val="00C13B98"/>
    <w:rsid w:val="00C13F51"/>
    <w:rsid w:val="00C13FFB"/>
    <w:rsid w:val="00C14063"/>
    <w:rsid w:val="00C140AD"/>
    <w:rsid w:val="00C1414C"/>
    <w:rsid w:val="00C142FF"/>
    <w:rsid w:val="00C144A9"/>
    <w:rsid w:val="00C145A2"/>
    <w:rsid w:val="00C148D7"/>
    <w:rsid w:val="00C149A9"/>
    <w:rsid w:val="00C14A42"/>
    <w:rsid w:val="00C14ACE"/>
    <w:rsid w:val="00C14D34"/>
    <w:rsid w:val="00C14EB8"/>
    <w:rsid w:val="00C150A4"/>
    <w:rsid w:val="00C15144"/>
    <w:rsid w:val="00C153CE"/>
    <w:rsid w:val="00C153D8"/>
    <w:rsid w:val="00C1542C"/>
    <w:rsid w:val="00C1555A"/>
    <w:rsid w:val="00C15663"/>
    <w:rsid w:val="00C1577F"/>
    <w:rsid w:val="00C157FC"/>
    <w:rsid w:val="00C15945"/>
    <w:rsid w:val="00C15BD8"/>
    <w:rsid w:val="00C15CDA"/>
    <w:rsid w:val="00C15E75"/>
    <w:rsid w:val="00C16158"/>
    <w:rsid w:val="00C1615F"/>
    <w:rsid w:val="00C16167"/>
    <w:rsid w:val="00C16259"/>
    <w:rsid w:val="00C16261"/>
    <w:rsid w:val="00C162B4"/>
    <w:rsid w:val="00C1632F"/>
    <w:rsid w:val="00C1640B"/>
    <w:rsid w:val="00C166DA"/>
    <w:rsid w:val="00C16B7B"/>
    <w:rsid w:val="00C16B96"/>
    <w:rsid w:val="00C16BE1"/>
    <w:rsid w:val="00C16C4D"/>
    <w:rsid w:val="00C16C71"/>
    <w:rsid w:val="00C16E98"/>
    <w:rsid w:val="00C171A1"/>
    <w:rsid w:val="00C176A0"/>
    <w:rsid w:val="00C17751"/>
    <w:rsid w:val="00C177F5"/>
    <w:rsid w:val="00C17A7C"/>
    <w:rsid w:val="00C17A80"/>
    <w:rsid w:val="00C17FA2"/>
    <w:rsid w:val="00C20077"/>
    <w:rsid w:val="00C201A5"/>
    <w:rsid w:val="00C20428"/>
    <w:rsid w:val="00C20569"/>
    <w:rsid w:val="00C2059B"/>
    <w:rsid w:val="00C2071A"/>
    <w:rsid w:val="00C20725"/>
    <w:rsid w:val="00C20764"/>
    <w:rsid w:val="00C207CC"/>
    <w:rsid w:val="00C2087B"/>
    <w:rsid w:val="00C20883"/>
    <w:rsid w:val="00C20C63"/>
    <w:rsid w:val="00C20C77"/>
    <w:rsid w:val="00C20DB4"/>
    <w:rsid w:val="00C20DD5"/>
    <w:rsid w:val="00C20F0E"/>
    <w:rsid w:val="00C20FD1"/>
    <w:rsid w:val="00C20FFE"/>
    <w:rsid w:val="00C21004"/>
    <w:rsid w:val="00C2107E"/>
    <w:rsid w:val="00C21167"/>
    <w:rsid w:val="00C2118B"/>
    <w:rsid w:val="00C211F2"/>
    <w:rsid w:val="00C2143F"/>
    <w:rsid w:val="00C21518"/>
    <w:rsid w:val="00C215EF"/>
    <w:rsid w:val="00C215F9"/>
    <w:rsid w:val="00C217D1"/>
    <w:rsid w:val="00C21828"/>
    <w:rsid w:val="00C21A4A"/>
    <w:rsid w:val="00C21B89"/>
    <w:rsid w:val="00C21FDD"/>
    <w:rsid w:val="00C222A4"/>
    <w:rsid w:val="00C2241F"/>
    <w:rsid w:val="00C2246E"/>
    <w:rsid w:val="00C22475"/>
    <w:rsid w:val="00C225CF"/>
    <w:rsid w:val="00C22657"/>
    <w:rsid w:val="00C2266A"/>
    <w:rsid w:val="00C226DB"/>
    <w:rsid w:val="00C22717"/>
    <w:rsid w:val="00C22729"/>
    <w:rsid w:val="00C227FD"/>
    <w:rsid w:val="00C2280E"/>
    <w:rsid w:val="00C2287B"/>
    <w:rsid w:val="00C22956"/>
    <w:rsid w:val="00C22A0D"/>
    <w:rsid w:val="00C22A76"/>
    <w:rsid w:val="00C22AD4"/>
    <w:rsid w:val="00C22C0B"/>
    <w:rsid w:val="00C22D33"/>
    <w:rsid w:val="00C22EEC"/>
    <w:rsid w:val="00C22F99"/>
    <w:rsid w:val="00C23017"/>
    <w:rsid w:val="00C232C5"/>
    <w:rsid w:val="00C232E6"/>
    <w:rsid w:val="00C2330D"/>
    <w:rsid w:val="00C23359"/>
    <w:rsid w:val="00C2335B"/>
    <w:rsid w:val="00C2338F"/>
    <w:rsid w:val="00C234AC"/>
    <w:rsid w:val="00C23718"/>
    <w:rsid w:val="00C23766"/>
    <w:rsid w:val="00C237AA"/>
    <w:rsid w:val="00C23A2D"/>
    <w:rsid w:val="00C23C3D"/>
    <w:rsid w:val="00C23F99"/>
    <w:rsid w:val="00C2408A"/>
    <w:rsid w:val="00C240FC"/>
    <w:rsid w:val="00C24249"/>
    <w:rsid w:val="00C24535"/>
    <w:rsid w:val="00C2473F"/>
    <w:rsid w:val="00C2477F"/>
    <w:rsid w:val="00C2491C"/>
    <w:rsid w:val="00C24984"/>
    <w:rsid w:val="00C24AA9"/>
    <w:rsid w:val="00C24B03"/>
    <w:rsid w:val="00C24BD6"/>
    <w:rsid w:val="00C24DD4"/>
    <w:rsid w:val="00C24E17"/>
    <w:rsid w:val="00C24E95"/>
    <w:rsid w:val="00C24EAD"/>
    <w:rsid w:val="00C24F13"/>
    <w:rsid w:val="00C250A9"/>
    <w:rsid w:val="00C250D8"/>
    <w:rsid w:val="00C25254"/>
    <w:rsid w:val="00C2580A"/>
    <w:rsid w:val="00C25847"/>
    <w:rsid w:val="00C259C5"/>
    <w:rsid w:val="00C25C1F"/>
    <w:rsid w:val="00C25D3B"/>
    <w:rsid w:val="00C26093"/>
    <w:rsid w:val="00C26127"/>
    <w:rsid w:val="00C261CD"/>
    <w:rsid w:val="00C2639B"/>
    <w:rsid w:val="00C263CA"/>
    <w:rsid w:val="00C2649F"/>
    <w:rsid w:val="00C264DD"/>
    <w:rsid w:val="00C2656E"/>
    <w:rsid w:val="00C265A4"/>
    <w:rsid w:val="00C265AD"/>
    <w:rsid w:val="00C265DB"/>
    <w:rsid w:val="00C268DB"/>
    <w:rsid w:val="00C2699A"/>
    <w:rsid w:val="00C26BB6"/>
    <w:rsid w:val="00C26BEE"/>
    <w:rsid w:val="00C26C3E"/>
    <w:rsid w:val="00C26DE8"/>
    <w:rsid w:val="00C26E19"/>
    <w:rsid w:val="00C26EA3"/>
    <w:rsid w:val="00C26EC0"/>
    <w:rsid w:val="00C272F8"/>
    <w:rsid w:val="00C2730C"/>
    <w:rsid w:val="00C273DB"/>
    <w:rsid w:val="00C27400"/>
    <w:rsid w:val="00C27414"/>
    <w:rsid w:val="00C2747E"/>
    <w:rsid w:val="00C27517"/>
    <w:rsid w:val="00C27552"/>
    <w:rsid w:val="00C27630"/>
    <w:rsid w:val="00C276BF"/>
    <w:rsid w:val="00C277B5"/>
    <w:rsid w:val="00C2782D"/>
    <w:rsid w:val="00C27933"/>
    <w:rsid w:val="00C2798D"/>
    <w:rsid w:val="00C2799A"/>
    <w:rsid w:val="00C27A42"/>
    <w:rsid w:val="00C27B54"/>
    <w:rsid w:val="00C27C2F"/>
    <w:rsid w:val="00C27C48"/>
    <w:rsid w:val="00C27CE3"/>
    <w:rsid w:val="00C27E2F"/>
    <w:rsid w:val="00C27E3B"/>
    <w:rsid w:val="00C27E7F"/>
    <w:rsid w:val="00C27EB9"/>
    <w:rsid w:val="00C30113"/>
    <w:rsid w:val="00C30225"/>
    <w:rsid w:val="00C30345"/>
    <w:rsid w:val="00C303B1"/>
    <w:rsid w:val="00C303F6"/>
    <w:rsid w:val="00C3045B"/>
    <w:rsid w:val="00C3047E"/>
    <w:rsid w:val="00C30929"/>
    <w:rsid w:val="00C309C5"/>
    <w:rsid w:val="00C30A81"/>
    <w:rsid w:val="00C30AB6"/>
    <w:rsid w:val="00C30CA1"/>
    <w:rsid w:val="00C30D59"/>
    <w:rsid w:val="00C30DB8"/>
    <w:rsid w:val="00C30E4D"/>
    <w:rsid w:val="00C30F60"/>
    <w:rsid w:val="00C310C9"/>
    <w:rsid w:val="00C311B8"/>
    <w:rsid w:val="00C311C3"/>
    <w:rsid w:val="00C316A0"/>
    <w:rsid w:val="00C316A3"/>
    <w:rsid w:val="00C316F5"/>
    <w:rsid w:val="00C31797"/>
    <w:rsid w:val="00C317B8"/>
    <w:rsid w:val="00C3184B"/>
    <w:rsid w:val="00C3193C"/>
    <w:rsid w:val="00C31A34"/>
    <w:rsid w:val="00C31A6A"/>
    <w:rsid w:val="00C31AAC"/>
    <w:rsid w:val="00C31B08"/>
    <w:rsid w:val="00C31B10"/>
    <w:rsid w:val="00C31BFF"/>
    <w:rsid w:val="00C31C37"/>
    <w:rsid w:val="00C31E1D"/>
    <w:rsid w:val="00C31E37"/>
    <w:rsid w:val="00C31F49"/>
    <w:rsid w:val="00C3201D"/>
    <w:rsid w:val="00C3202F"/>
    <w:rsid w:val="00C320A9"/>
    <w:rsid w:val="00C323BD"/>
    <w:rsid w:val="00C3243D"/>
    <w:rsid w:val="00C32821"/>
    <w:rsid w:val="00C328B7"/>
    <w:rsid w:val="00C32925"/>
    <w:rsid w:val="00C32A51"/>
    <w:rsid w:val="00C32B1A"/>
    <w:rsid w:val="00C32C9B"/>
    <w:rsid w:val="00C32E0F"/>
    <w:rsid w:val="00C32F87"/>
    <w:rsid w:val="00C32FFE"/>
    <w:rsid w:val="00C330AD"/>
    <w:rsid w:val="00C3313B"/>
    <w:rsid w:val="00C331C9"/>
    <w:rsid w:val="00C331CC"/>
    <w:rsid w:val="00C33200"/>
    <w:rsid w:val="00C33356"/>
    <w:rsid w:val="00C33A3C"/>
    <w:rsid w:val="00C33B7F"/>
    <w:rsid w:val="00C33C8A"/>
    <w:rsid w:val="00C33CFB"/>
    <w:rsid w:val="00C33ED6"/>
    <w:rsid w:val="00C34108"/>
    <w:rsid w:val="00C3414B"/>
    <w:rsid w:val="00C34499"/>
    <w:rsid w:val="00C344C4"/>
    <w:rsid w:val="00C344C8"/>
    <w:rsid w:val="00C3463F"/>
    <w:rsid w:val="00C34796"/>
    <w:rsid w:val="00C3487B"/>
    <w:rsid w:val="00C34ADB"/>
    <w:rsid w:val="00C34DAC"/>
    <w:rsid w:val="00C350F0"/>
    <w:rsid w:val="00C350F8"/>
    <w:rsid w:val="00C351FE"/>
    <w:rsid w:val="00C3541F"/>
    <w:rsid w:val="00C35490"/>
    <w:rsid w:val="00C35559"/>
    <w:rsid w:val="00C3563B"/>
    <w:rsid w:val="00C35749"/>
    <w:rsid w:val="00C35837"/>
    <w:rsid w:val="00C358FA"/>
    <w:rsid w:val="00C35B0B"/>
    <w:rsid w:val="00C35BC7"/>
    <w:rsid w:val="00C35C47"/>
    <w:rsid w:val="00C35F06"/>
    <w:rsid w:val="00C35F54"/>
    <w:rsid w:val="00C35F80"/>
    <w:rsid w:val="00C36084"/>
    <w:rsid w:val="00C36227"/>
    <w:rsid w:val="00C36498"/>
    <w:rsid w:val="00C3666C"/>
    <w:rsid w:val="00C3680F"/>
    <w:rsid w:val="00C368AC"/>
    <w:rsid w:val="00C36B57"/>
    <w:rsid w:val="00C36B6B"/>
    <w:rsid w:val="00C36BC9"/>
    <w:rsid w:val="00C36BF5"/>
    <w:rsid w:val="00C36C08"/>
    <w:rsid w:val="00C36D36"/>
    <w:rsid w:val="00C36E23"/>
    <w:rsid w:val="00C36E3E"/>
    <w:rsid w:val="00C372D4"/>
    <w:rsid w:val="00C372EF"/>
    <w:rsid w:val="00C3730C"/>
    <w:rsid w:val="00C3731F"/>
    <w:rsid w:val="00C3746C"/>
    <w:rsid w:val="00C37706"/>
    <w:rsid w:val="00C37901"/>
    <w:rsid w:val="00C379E2"/>
    <w:rsid w:val="00C37A0D"/>
    <w:rsid w:val="00C37A35"/>
    <w:rsid w:val="00C37A91"/>
    <w:rsid w:val="00C37BCC"/>
    <w:rsid w:val="00C37CA1"/>
    <w:rsid w:val="00C37D03"/>
    <w:rsid w:val="00C37DDF"/>
    <w:rsid w:val="00C37DF9"/>
    <w:rsid w:val="00C40123"/>
    <w:rsid w:val="00C40125"/>
    <w:rsid w:val="00C40139"/>
    <w:rsid w:val="00C401A7"/>
    <w:rsid w:val="00C402D7"/>
    <w:rsid w:val="00C40354"/>
    <w:rsid w:val="00C40415"/>
    <w:rsid w:val="00C40506"/>
    <w:rsid w:val="00C407CC"/>
    <w:rsid w:val="00C40807"/>
    <w:rsid w:val="00C408C7"/>
    <w:rsid w:val="00C4093B"/>
    <w:rsid w:val="00C409F6"/>
    <w:rsid w:val="00C40ACA"/>
    <w:rsid w:val="00C40C18"/>
    <w:rsid w:val="00C40CB2"/>
    <w:rsid w:val="00C40D11"/>
    <w:rsid w:val="00C40D24"/>
    <w:rsid w:val="00C40DDE"/>
    <w:rsid w:val="00C40E94"/>
    <w:rsid w:val="00C40FA4"/>
    <w:rsid w:val="00C40FA9"/>
    <w:rsid w:val="00C40FC1"/>
    <w:rsid w:val="00C41032"/>
    <w:rsid w:val="00C4105F"/>
    <w:rsid w:val="00C4128E"/>
    <w:rsid w:val="00C41374"/>
    <w:rsid w:val="00C414AB"/>
    <w:rsid w:val="00C41652"/>
    <w:rsid w:val="00C41662"/>
    <w:rsid w:val="00C416E9"/>
    <w:rsid w:val="00C41724"/>
    <w:rsid w:val="00C419FD"/>
    <w:rsid w:val="00C41BFE"/>
    <w:rsid w:val="00C41C66"/>
    <w:rsid w:val="00C41E09"/>
    <w:rsid w:val="00C41E97"/>
    <w:rsid w:val="00C41F93"/>
    <w:rsid w:val="00C420D5"/>
    <w:rsid w:val="00C421CF"/>
    <w:rsid w:val="00C423E3"/>
    <w:rsid w:val="00C423F1"/>
    <w:rsid w:val="00C42402"/>
    <w:rsid w:val="00C42418"/>
    <w:rsid w:val="00C424A0"/>
    <w:rsid w:val="00C425F2"/>
    <w:rsid w:val="00C42648"/>
    <w:rsid w:val="00C428B0"/>
    <w:rsid w:val="00C42E63"/>
    <w:rsid w:val="00C42F9C"/>
    <w:rsid w:val="00C42FC9"/>
    <w:rsid w:val="00C43000"/>
    <w:rsid w:val="00C4316C"/>
    <w:rsid w:val="00C431F3"/>
    <w:rsid w:val="00C4330A"/>
    <w:rsid w:val="00C433AA"/>
    <w:rsid w:val="00C4341E"/>
    <w:rsid w:val="00C4353C"/>
    <w:rsid w:val="00C43A82"/>
    <w:rsid w:val="00C43B57"/>
    <w:rsid w:val="00C43B64"/>
    <w:rsid w:val="00C43F02"/>
    <w:rsid w:val="00C43FB2"/>
    <w:rsid w:val="00C440D6"/>
    <w:rsid w:val="00C4440B"/>
    <w:rsid w:val="00C44439"/>
    <w:rsid w:val="00C44613"/>
    <w:rsid w:val="00C4466C"/>
    <w:rsid w:val="00C44683"/>
    <w:rsid w:val="00C44768"/>
    <w:rsid w:val="00C44855"/>
    <w:rsid w:val="00C4485D"/>
    <w:rsid w:val="00C448E2"/>
    <w:rsid w:val="00C44A6D"/>
    <w:rsid w:val="00C44BE2"/>
    <w:rsid w:val="00C44C70"/>
    <w:rsid w:val="00C44E61"/>
    <w:rsid w:val="00C44F27"/>
    <w:rsid w:val="00C44F6E"/>
    <w:rsid w:val="00C452EC"/>
    <w:rsid w:val="00C4579E"/>
    <w:rsid w:val="00C45979"/>
    <w:rsid w:val="00C459BB"/>
    <w:rsid w:val="00C45ACB"/>
    <w:rsid w:val="00C45B17"/>
    <w:rsid w:val="00C45B95"/>
    <w:rsid w:val="00C45E4F"/>
    <w:rsid w:val="00C4600A"/>
    <w:rsid w:val="00C4617E"/>
    <w:rsid w:val="00C46329"/>
    <w:rsid w:val="00C4645B"/>
    <w:rsid w:val="00C46505"/>
    <w:rsid w:val="00C46566"/>
    <w:rsid w:val="00C4660D"/>
    <w:rsid w:val="00C46A04"/>
    <w:rsid w:val="00C46A11"/>
    <w:rsid w:val="00C46A12"/>
    <w:rsid w:val="00C46CEC"/>
    <w:rsid w:val="00C46E05"/>
    <w:rsid w:val="00C4704F"/>
    <w:rsid w:val="00C4715C"/>
    <w:rsid w:val="00C4732D"/>
    <w:rsid w:val="00C4737D"/>
    <w:rsid w:val="00C47458"/>
    <w:rsid w:val="00C474A3"/>
    <w:rsid w:val="00C475C4"/>
    <w:rsid w:val="00C475EB"/>
    <w:rsid w:val="00C47607"/>
    <w:rsid w:val="00C47873"/>
    <w:rsid w:val="00C478AD"/>
    <w:rsid w:val="00C47D09"/>
    <w:rsid w:val="00C47FE2"/>
    <w:rsid w:val="00C500A5"/>
    <w:rsid w:val="00C500CF"/>
    <w:rsid w:val="00C50211"/>
    <w:rsid w:val="00C50487"/>
    <w:rsid w:val="00C50511"/>
    <w:rsid w:val="00C50668"/>
    <w:rsid w:val="00C507C1"/>
    <w:rsid w:val="00C50840"/>
    <w:rsid w:val="00C50877"/>
    <w:rsid w:val="00C509F6"/>
    <w:rsid w:val="00C50A12"/>
    <w:rsid w:val="00C50B11"/>
    <w:rsid w:val="00C50B4E"/>
    <w:rsid w:val="00C50C03"/>
    <w:rsid w:val="00C50FE5"/>
    <w:rsid w:val="00C50FE9"/>
    <w:rsid w:val="00C51036"/>
    <w:rsid w:val="00C510CC"/>
    <w:rsid w:val="00C51427"/>
    <w:rsid w:val="00C51521"/>
    <w:rsid w:val="00C51575"/>
    <w:rsid w:val="00C51648"/>
    <w:rsid w:val="00C516E6"/>
    <w:rsid w:val="00C5195A"/>
    <w:rsid w:val="00C51B60"/>
    <w:rsid w:val="00C51C19"/>
    <w:rsid w:val="00C51C93"/>
    <w:rsid w:val="00C51E0E"/>
    <w:rsid w:val="00C51E22"/>
    <w:rsid w:val="00C51F79"/>
    <w:rsid w:val="00C51FE6"/>
    <w:rsid w:val="00C52156"/>
    <w:rsid w:val="00C5243B"/>
    <w:rsid w:val="00C52443"/>
    <w:rsid w:val="00C524BF"/>
    <w:rsid w:val="00C526C9"/>
    <w:rsid w:val="00C5270C"/>
    <w:rsid w:val="00C52842"/>
    <w:rsid w:val="00C5296A"/>
    <w:rsid w:val="00C529B3"/>
    <w:rsid w:val="00C52BCB"/>
    <w:rsid w:val="00C52D27"/>
    <w:rsid w:val="00C52D46"/>
    <w:rsid w:val="00C52EB1"/>
    <w:rsid w:val="00C52EDD"/>
    <w:rsid w:val="00C531EC"/>
    <w:rsid w:val="00C53338"/>
    <w:rsid w:val="00C533EB"/>
    <w:rsid w:val="00C534A7"/>
    <w:rsid w:val="00C537A6"/>
    <w:rsid w:val="00C53909"/>
    <w:rsid w:val="00C53A01"/>
    <w:rsid w:val="00C53C39"/>
    <w:rsid w:val="00C53CC4"/>
    <w:rsid w:val="00C53DDB"/>
    <w:rsid w:val="00C53E33"/>
    <w:rsid w:val="00C53E36"/>
    <w:rsid w:val="00C53EBF"/>
    <w:rsid w:val="00C5406C"/>
    <w:rsid w:val="00C54306"/>
    <w:rsid w:val="00C544B4"/>
    <w:rsid w:val="00C54530"/>
    <w:rsid w:val="00C54572"/>
    <w:rsid w:val="00C547E0"/>
    <w:rsid w:val="00C54A81"/>
    <w:rsid w:val="00C54AA2"/>
    <w:rsid w:val="00C54AF7"/>
    <w:rsid w:val="00C54BC8"/>
    <w:rsid w:val="00C54CA2"/>
    <w:rsid w:val="00C54D28"/>
    <w:rsid w:val="00C54D99"/>
    <w:rsid w:val="00C54E5C"/>
    <w:rsid w:val="00C54ECE"/>
    <w:rsid w:val="00C54EE3"/>
    <w:rsid w:val="00C54F5C"/>
    <w:rsid w:val="00C54F7D"/>
    <w:rsid w:val="00C54F91"/>
    <w:rsid w:val="00C55038"/>
    <w:rsid w:val="00C5517E"/>
    <w:rsid w:val="00C551A7"/>
    <w:rsid w:val="00C55474"/>
    <w:rsid w:val="00C554E3"/>
    <w:rsid w:val="00C554FC"/>
    <w:rsid w:val="00C55574"/>
    <w:rsid w:val="00C5594B"/>
    <w:rsid w:val="00C55A58"/>
    <w:rsid w:val="00C55ACE"/>
    <w:rsid w:val="00C55BA9"/>
    <w:rsid w:val="00C55BF8"/>
    <w:rsid w:val="00C55BFF"/>
    <w:rsid w:val="00C55C35"/>
    <w:rsid w:val="00C55CC9"/>
    <w:rsid w:val="00C55E68"/>
    <w:rsid w:val="00C55F5C"/>
    <w:rsid w:val="00C56399"/>
    <w:rsid w:val="00C564BB"/>
    <w:rsid w:val="00C565E6"/>
    <w:rsid w:val="00C565E8"/>
    <w:rsid w:val="00C566F8"/>
    <w:rsid w:val="00C567B2"/>
    <w:rsid w:val="00C567C4"/>
    <w:rsid w:val="00C56885"/>
    <w:rsid w:val="00C568B3"/>
    <w:rsid w:val="00C568C9"/>
    <w:rsid w:val="00C569F6"/>
    <w:rsid w:val="00C56A9C"/>
    <w:rsid w:val="00C56DAC"/>
    <w:rsid w:val="00C56F64"/>
    <w:rsid w:val="00C5700D"/>
    <w:rsid w:val="00C57052"/>
    <w:rsid w:val="00C573EA"/>
    <w:rsid w:val="00C57561"/>
    <w:rsid w:val="00C57657"/>
    <w:rsid w:val="00C5774F"/>
    <w:rsid w:val="00C57787"/>
    <w:rsid w:val="00C57855"/>
    <w:rsid w:val="00C57A6A"/>
    <w:rsid w:val="00C57A74"/>
    <w:rsid w:val="00C57DE6"/>
    <w:rsid w:val="00C57E7E"/>
    <w:rsid w:val="00C6003E"/>
    <w:rsid w:val="00C6021E"/>
    <w:rsid w:val="00C60250"/>
    <w:rsid w:val="00C602CF"/>
    <w:rsid w:val="00C6072C"/>
    <w:rsid w:val="00C60872"/>
    <w:rsid w:val="00C608FD"/>
    <w:rsid w:val="00C609D7"/>
    <w:rsid w:val="00C60AD4"/>
    <w:rsid w:val="00C60F02"/>
    <w:rsid w:val="00C60F6F"/>
    <w:rsid w:val="00C6105B"/>
    <w:rsid w:val="00C61082"/>
    <w:rsid w:val="00C61093"/>
    <w:rsid w:val="00C61310"/>
    <w:rsid w:val="00C613FA"/>
    <w:rsid w:val="00C61611"/>
    <w:rsid w:val="00C616C9"/>
    <w:rsid w:val="00C6172E"/>
    <w:rsid w:val="00C61770"/>
    <w:rsid w:val="00C619AA"/>
    <w:rsid w:val="00C61AE5"/>
    <w:rsid w:val="00C61B1E"/>
    <w:rsid w:val="00C61B48"/>
    <w:rsid w:val="00C61D59"/>
    <w:rsid w:val="00C61F4D"/>
    <w:rsid w:val="00C61F8A"/>
    <w:rsid w:val="00C6201D"/>
    <w:rsid w:val="00C620FA"/>
    <w:rsid w:val="00C621A5"/>
    <w:rsid w:val="00C622B6"/>
    <w:rsid w:val="00C6243A"/>
    <w:rsid w:val="00C6263E"/>
    <w:rsid w:val="00C62776"/>
    <w:rsid w:val="00C6285C"/>
    <w:rsid w:val="00C628EE"/>
    <w:rsid w:val="00C62AC7"/>
    <w:rsid w:val="00C62AFA"/>
    <w:rsid w:val="00C62C10"/>
    <w:rsid w:val="00C62CE5"/>
    <w:rsid w:val="00C62DCF"/>
    <w:rsid w:val="00C62FFD"/>
    <w:rsid w:val="00C63298"/>
    <w:rsid w:val="00C633E7"/>
    <w:rsid w:val="00C6343D"/>
    <w:rsid w:val="00C63488"/>
    <w:rsid w:val="00C63551"/>
    <w:rsid w:val="00C63614"/>
    <w:rsid w:val="00C636A9"/>
    <w:rsid w:val="00C63756"/>
    <w:rsid w:val="00C63871"/>
    <w:rsid w:val="00C6393A"/>
    <w:rsid w:val="00C63C28"/>
    <w:rsid w:val="00C63C9D"/>
    <w:rsid w:val="00C63CB0"/>
    <w:rsid w:val="00C63D6A"/>
    <w:rsid w:val="00C6418E"/>
    <w:rsid w:val="00C6472D"/>
    <w:rsid w:val="00C6493E"/>
    <w:rsid w:val="00C64A1C"/>
    <w:rsid w:val="00C64A76"/>
    <w:rsid w:val="00C64BDC"/>
    <w:rsid w:val="00C64C40"/>
    <w:rsid w:val="00C64C60"/>
    <w:rsid w:val="00C64D4D"/>
    <w:rsid w:val="00C64F8E"/>
    <w:rsid w:val="00C650BF"/>
    <w:rsid w:val="00C651C9"/>
    <w:rsid w:val="00C65310"/>
    <w:rsid w:val="00C65377"/>
    <w:rsid w:val="00C653AA"/>
    <w:rsid w:val="00C65494"/>
    <w:rsid w:val="00C65555"/>
    <w:rsid w:val="00C6556E"/>
    <w:rsid w:val="00C6575B"/>
    <w:rsid w:val="00C65770"/>
    <w:rsid w:val="00C657EB"/>
    <w:rsid w:val="00C657ED"/>
    <w:rsid w:val="00C65930"/>
    <w:rsid w:val="00C6595A"/>
    <w:rsid w:val="00C659B6"/>
    <w:rsid w:val="00C65D08"/>
    <w:rsid w:val="00C65E9B"/>
    <w:rsid w:val="00C66012"/>
    <w:rsid w:val="00C66060"/>
    <w:rsid w:val="00C660A3"/>
    <w:rsid w:val="00C660ED"/>
    <w:rsid w:val="00C66286"/>
    <w:rsid w:val="00C663AB"/>
    <w:rsid w:val="00C665E3"/>
    <w:rsid w:val="00C6672F"/>
    <w:rsid w:val="00C667BD"/>
    <w:rsid w:val="00C6687B"/>
    <w:rsid w:val="00C66881"/>
    <w:rsid w:val="00C668C4"/>
    <w:rsid w:val="00C6693B"/>
    <w:rsid w:val="00C66AEC"/>
    <w:rsid w:val="00C66BDD"/>
    <w:rsid w:val="00C66C5D"/>
    <w:rsid w:val="00C66F80"/>
    <w:rsid w:val="00C66F98"/>
    <w:rsid w:val="00C670E1"/>
    <w:rsid w:val="00C671E0"/>
    <w:rsid w:val="00C67277"/>
    <w:rsid w:val="00C6754C"/>
    <w:rsid w:val="00C675D7"/>
    <w:rsid w:val="00C675E4"/>
    <w:rsid w:val="00C6769A"/>
    <w:rsid w:val="00C677DC"/>
    <w:rsid w:val="00C6781D"/>
    <w:rsid w:val="00C679F7"/>
    <w:rsid w:val="00C67B6B"/>
    <w:rsid w:val="00C67B95"/>
    <w:rsid w:val="00C67DFB"/>
    <w:rsid w:val="00C7003A"/>
    <w:rsid w:val="00C7014A"/>
    <w:rsid w:val="00C7029A"/>
    <w:rsid w:val="00C70414"/>
    <w:rsid w:val="00C7053B"/>
    <w:rsid w:val="00C70595"/>
    <w:rsid w:val="00C7059A"/>
    <w:rsid w:val="00C705FF"/>
    <w:rsid w:val="00C70766"/>
    <w:rsid w:val="00C7082B"/>
    <w:rsid w:val="00C708A9"/>
    <w:rsid w:val="00C708B4"/>
    <w:rsid w:val="00C709B6"/>
    <w:rsid w:val="00C70C12"/>
    <w:rsid w:val="00C70CB8"/>
    <w:rsid w:val="00C70F36"/>
    <w:rsid w:val="00C70FD6"/>
    <w:rsid w:val="00C710E8"/>
    <w:rsid w:val="00C71210"/>
    <w:rsid w:val="00C71289"/>
    <w:rsid w:val="00C712DA"/>
    <w:rsid w:val="00C714AE"/>
    <w:rsid w:val="00C714D9"/>
    <w:rsid w:val="00C71593"/>
    <w:rsid w:val="00C7169B"/>
    <w:rsid w:val="00C717F0"/>
    <w:rsid w:val="00C71819"/>
    <w:rsid w:val="00C71853"/>
    <w:rsid w:val="00C71E35"/>
    <w:rsid w:val="00C71E65"/>
    <w:rsid w:val="00C71EDD"/>
    <w:rsid w:val="00C7208C"/>
    <w:rsid w:val="00C721F1"/>
    <w:rsid w:val="00C72246"/>
    <w:rsid w:val="00C722E0"/>
    <w:rsid w:val="00C72516"/>
    <w:rsid w:val="00C725AB"/>
    <w:rsid w:val="00C72609"/>
    <w:rsid w:val="00C72785"/>
    <w:rsid w:val="00C72970"/>
    <w:rsid w:val="00C72B75"/>
    <w:rsid w:val="00C72B9E"/>
    <w:rsid w:val="00C72BF5"/>
    <w:rsid w:val="00C72CC6"/>
    <w:rsid w:val="00C73070"/>
    <w:rsid w:val="00C7317F"/>
    <w:rsid w:val="00C731C6"/>
    <w:rsid w:val="00C7330C"/>
    <w:rsid w:val="00C7332F"/>
    <w:rsid w:val="00C733E7"/>
    <w:rsid w:val="00C7355F"/>
    <w:rsid w:val="00C73994"/>
    <w:rsid w:val="00C73B2E"/>
    <w:rsid w:val="00C73C37"/>
    <w:rsid w:val="00C73EA5"/>
    <w:rsid w:val="00C73F1D"/>
    <w:rsid w:val="00C73F2D"/>
    <w:rsid w:val="00C741B9"/>
    <w:rsid w:val="00C74446"/>
    <w:rsid w:val="00C745C4"/>
    <w:rsid w:val="00C74728"/>
    <w:rsid w:val="00C74A69"/>
    <w:rsid w:val="00C74C4D"/>
    <w:rsid w:val="00C74CB2"/>
    <w:rsid w:val="00C74D66"/>
    <w:rsid w:val="00C74DF0"/>
    <w:rsid w:val="00C74E10"/>
    <w:rsid w:val="00C74F97"/>
    <w:rsid w:val="00C75099"/>
    <w:rsid w:val="00C75154"/>
    <w:rsid w:val="00C751CC"/>
    <w:rsid w:val="00C753A4"/>
    <w:rsid w:val="00C75452"/>
    <w:rsid w:val="00C754ED"/>
    <w:rsid w:val="00C75A1D"/>
    <w:rsid w:val="00C75B32"/>
    <w:rsid w:val="00C75B72"/>
    <w:rsid w:val="00C75DE1"/>
    <w:rsid w:val="00C75E6C"/>
    <w:rsid w:val="00C75FD2"/>
    <w:rsid w:val="00C76580"/>
    <w:rsid w:val="00C765B2"/>
    <w:rsid w:val="00C7660E"/>
    <w:rsid w:val="00C76654"/>
    <w:rsid w:val="00C7676A"/>
    <w:rsid w:val="00C76C23"/>
    <w:rsid w:val="00C76CCE"/>
    <w:rsid w:val="00C76D2B"/>
    <w:rsid w:val="00C76D5C"/>
    <w:rsid w:val="00C76FAF"/>
    <w:rsid w:val="00C7708F"/>
    <w:rsid w:val="00C770D8"/>
    <w:rsid w:val="00C7736D"/>
    <w:rsid w:val="00C773DE"/>
    <w:rsid w:val="00C773F7"/>
    <w:rsid w:val="00C773F8"/>
    <w:rsid w:val="00C77491"/>
    <w:rsid w:val="00C777F3"/>
    <w:rsid w:val="00C77A3A"/>
    <w:rsid w:val="00C77BAF"/>
    <w:rsid w:val="00C77C9D"/>
    <w:rsid w:val="00C77E1C"/>
    <w:rsid w:val="00C77E82"/>
    <w:rsid w:val="00C77FE4"/>
    <w:rsid w:val="00C803EC"/>
    <w:rsid w:val="00C80452"/>
    <w:rsid w:val="00C805A0"/>
    <w:rsid w:val="00C808D8"/>
    <w:rsid w:val="00C8096C"/>
    <w:rsid w:val="00C80ADD"/>
    <w:rsid w:val="00C80BE6"/>
    <w:rsid w:val="00C80CE3"/>
    <w:rsid w:val="00C80E8B"/>
    <w:rsid w:val="00C80EBD"/>
    <w:rsid w:val="00C80EBF"/>
    <w:rsid w:val="00C80EFD"/>
    <w:rsid w:val="00C80F72"/>
    <w:rsid w:val="00C80FE4"/>
    <w:rsid w:val="00C81147"/>
    <w:rsid w:val="00C81175"/>
    <w:rsid w:val="00C8136A"/>
    <w:rsid w:val="00C813F9"/>
    <w:rsid w:val="00C8149F"/>
    <w:rsid w:val="00C816A7"/>
    <w:rsid w:val="00C8174A"/>
    <w:rsid w:val="00C8177E"/>
    <w:rsid w:val="00C81839"/>
    <w:rsid w:val="00C81879"/>
    <w:rsid w:val="00C81BC4"/>
    <w:rsid w:val="00C81C22"/>
    <w:rsid w:val="00C81C96"/>
    <w:rsid w:val="00C81D5F"/>
    <w:rsid w:val="00C8205E"/>
    <w:rsid w:val="00C82063"/>
    <w:rsid w:val="00C8239B"/>
    <w:rsid w:val="00C823B2"/>
    <w:rsid w:val="00C82450"/>
    <w:rsid w:val="00C8261B"/>
    <w:rsid w:val="00C82630"/>
    <w:rsid w:val="00C82647"/>
    <w:rsid w:val="00C826A3"/>
    <w:rsid w:val="00C826FA"/>
    <w:rsid w:val="00C827F7"/>
    <w:rsid w:val="00C82AC2"/>
    <w:rsid w:val="00C82ACD"/>
    <w:rsid w:val="00C82C31"/>
    <w:rsid w:val="00C82EB3"/>
    <w:rsid w:val="00C82FC9"/>
    <w:rsid w:val="00C83005"/>
    <w:rsid w:val="00C83051"/>
    <w:rsid w:val="00C83147"/>
    <w:rsid w:val="00C83229"/>
    <w:rsid w:val="00C83450"/>
    <w:rsid w:val="00C8346C"/>
    <w:rsid w:val="00C83483"/>
    <w:rsid w:val="00C83617"/>
    <w:rsid w:val="00C83A3C"/>
    <w:rsid w:val="00C83A75"/>
    <w:rsid w:val="00C83B55"/>
    <w:rsid w:val="00C83C34"/>
    <w:rsid w:val="00C83C99"/>
    <w:rsid w:val="00C83F0E"/>
    <w:rsid w:val="00C83F85"/>
    <w:rsid w:val="00C84063"/>
    <w:rsid w:val="00C8413E"/>
    <w:rsid w:val="00C84168"/>
    <w:rsid w:val="00C842DB"/>
    <w:rsid w:val="00C8432A"/>
    <w:rsid w:val="00C843C0"/>
    <w:rsid w:val="00C84548"/>
    <w:rsid w:val="00C845A2"/>
    <w:rsid w:val="00C84646"/>
    <w:rsid w:val="00C84774"/>
    <w:rsid w:val="00C847FF"/>
    <w:rsid w:val="00C84910"/>
    <w:rsid w:val="00C84A3F"/>
    <w:rsid w:val="00C84A84"/>
    <w:rsid w:val="00C84AB6"/>
    <w:rsid w:val="00C84AED"/>
    <w:rsid w:val="00C84B02"/>
    <w:rsid w:val="00C84B5B"/>
    <w:rsid w:val="00C84B9F"/>
    <w:rsid w:val="00C84C83"/>
    <w:rsid w:val="00C84D3A"/>
    <w:rsid w:val="00C85095"/>
    <w:rsid w:val="00C8509D"/>
    <w:rsid w:val="00C8515B"/>
    <w:rsid w:val="00C85372"/>
    <w:rsid w:val="00C8540B"/>
    <w:rsid w:val="00C855C8"/>
    <w:rsid w:val="00C856B2"/>
    <w:rsid w:val="00C856D9"/>
    <w:rsid w:val="00C85724"/>
    <w:rsid w:val="00C857DE"/>
    <w:rsid w:val="00C85AA1"/>
    <w:rsid w:val="00C85CB2"/>
    <w:rsid w:val="00C85CC5"/>
    <w:rsid w:val="00C85D74"/>
    <w:rsid w:val="00C85DC6"/>
    <w:rsid w:val="00C86154"/>
    <w:rsid w:val="00C86204"/>
    <w:rsid w:val="00C8621E"/>
    <w:rsid w:val="00C86401"/>
    <w:rsid w:val="00C86475"/>
    <w:rsid w:val="00C8647C"/>
    <w:rsid w:val="00C86609"/>
    <w:rsid w:val="00C86732"/>
    <w:rsid w:val="00C8676B"/>
    <w:rsid w:val="00C868BC"/>
    <w:rsid w:val="00C86A97"/>
    <w:rsid w:val="00C86B1C"/>
    <w:rsid w:val="00C86BC6"/>
    <w:rsid w:val="00C86D98"/>
    <w:rsid w:val="00C86DFB"/>
    <w:rsid w:val="00C86E8D"/>
    <w:rsid w:val="00C86FFA"/>
    <w:rsid w:val="00C87115"/>
    <w:rsid w:val="00C871B3"/>
    <w:rsid w:val="00C87261"/>
    <w:rsid w:val="00C873BB"/>
    <w:rsid w:val="00C8756A"/>
    <w:rsid w:val="00C87617"/>
    <w:rsid w:val="00C87800"/>
    <w:rsid w:val="00C87979"/>
    <w:rsid w:val="00C8797A"/>
    <w:rsid w:val="00C879D0"/>
    <w:rsid w:val="00C87D85"/>
    <w:rsid w:val="00C87E02"/>
    <w:rsid w:val="00C87E83"/>
    <w:rsid w:val="00C87F74"/>
    <w:rsid w:val="00C90300"/>
    <w:rsid w:val="00C903C4"/>
    <w:rsid w:val="00C90700"/>
    <w:rsid w:val="00C90879"/>
    <w:rsid w:val="00C90C9A"/>
    <w:rsid w:val="00C90CD1"/>
    <w:rsid w:val="00C90D72"/>
    <w:rsid w:val="00C90DC4"/>
    <w:rsid w:val="00C90F3D"/>
    <w:rsid w:val="00C90F97"/>
    <w:rsid w:val="00C911FF"/>
    <w:rsid w:val="00C91573"/>
    <w:rsid w:val="00C91667"/>
    <w:rsid w:val="00C91816"/>
    <w:rsid w:val="00C918C0"/>
    <w:rsid w:val="00C91A4D"/>
    <w:rsid w:val="00C91AEC"/>
    <w:rsid w:val="00C91B0F"/>
    <w:rsid w:val="00C921F3"/>
    <w:rsid w:val="00C9222B"/>
    <w:rsid w:val="00C925DC"/>
    <w:rsid w:val="00C92623"/>
    <w:rsid w:val="00C92662"/>
    <w:rsid w:val="00C926EC"/>
    <w:rsid w:val="00C928F6"/>
    <w:rsid w:val="00C92B69"/>
    <w:rsid w:val="00C92C73"/>
    <w:rsid w:val="00C92E50"/>
    <w:rsid w:val="00C92E5D"/>
    <w:rsid w:val="00C92FF1"/>
    <w:rsid w:val="00C9310F"/>
    <w:rsid w:val="00C9342D"/>
    <w:rsid w:val="00C9360F"/>
    <w:rsid w:val="00C93734"/>
    <w:rsid w:val="00C93BF0"/>
    <w:rsid w:val="00C93E28"/>
    <w:rsid w:val="00C93F4B"/>
    <w:rsid w:val="00C940C6"/>
    <w:rsid w:val="00C94181"/>
    <w:rsid w:val="00C941ED"/>
    <w:rsid w:val="00C942EB"/>
    <w:rsid w:val="00C9431E"/>
    <w:rsid w:val="00C943A8"/>
    <w:rsid w:val="00C943AD"/>
    <w:rsid w:val="00C94778"/>
    <w:rsid w:val="00C94817"/>
    <w:rsid w:val="00C9483A"/>
    <w:rsid w:val="00C94A26"/>
    <w:rsid w:val="00C94A71"/>
    <w:rsid w:val="00C94B89"/>
    <w:rsid w:val="00C94BFB"/>
    <w:rsid w:val="00C94CB9"/>
    <w:rsid w:val="00C94D95"/>
    <w:rsid w:val="00C95074"/>
    <w:rsid w:val="00C9516C"/>
    <w:rsid w:val="00C9517D"/>
    <w:rsid w:val="00C9518D"/>
    <w:rsid w:val="00C95380"/>
    <w:rsid w:val="00C95396"/>
    <w:rsid w:val="00C954E5"/>
    <w:rsid w:val="00C9567F"/>
    <w:rsid w:val="00C95691"/>
    <w:rsid w:val="00C958C9"/>
    <w:rsid w:val="00C958D5"/>
    <w:rsid w:val="00C95A32"/>
    <w:rsid w:val="00C95C27"/>
    <w:rsid w:val="00C95DAE"/>
    <w:rsid w:val="00C95DE5"/>
    <w:rsid w:val="00C95E58"/>
    <w:rsid w:val="00C95F8B"/>
    <w:rsid w:val="00C960C7"/>
    <w:rsid w:val="00C9618D"/>
    <w:rsid w:val="00C96394"/>
    <w:rsid w:val="00C965FC"/>
    <w:rsid w:val="00C96793"/>
    <w:rsid w:val="00C96880"/>
    <w:rsid w:val="00C9689F"/>
    <w:rsid w:val="00C969EF"/>
    <w:rsid w:val="00C96C46"/>
    <w:rsid w:val="00C96D35"/>
    <w:rsid w:val="00C96DCC"/>
    <w:rsid w:val="00C96E6D"/>
    <w:rsid w:val="00C96EA0"/>
    <w:rsid w:val="00C96F0E"/>
    <w:rsid w:val="00C9725A"/>
    <w:rsid w:val="00C9762A"/>
    <w:rsid w:val="00C976F6"/>
    <w:rsid w:val="00C9776E"/>
    <w:rsid w:val="00C97857"/>
    <w:rsid w:val="00C97B18"/>
    <w:rsid w:val="00C97D30"/>
    <w:rsid w:val="00C97FF2"/>
    <w:rsid w:val="00CA00E8"/>
    <w:rsid w:val="00CA02EE"/>
    <w:rsid w:val="00CA0360"/>
    <w:rsid w:val="00CA03AD"/>
    <w:rsid w:val="00CA0471"/>
    <w:rsid w:val="00CA0492"/>
    <w:rsid w:val="00CA04AE"/>
    <w:rsid w:val="00CA0729"/>
    <w:rsid w:val="00CA07CA"/>
    <w:rsid w:val="00CA0AB5"/>
    <w:rsid w:val="00CA0D66"/>
    <w:rsid w:val="00CA13C4"/>
    <w:rsid w:val="00CA16C7"/>
    <w:rsid w:val="00CA180C"/>
    <w:rsid w:val="00CA18C5"/>
    <w:rsid w:val="00CA1AB2"/>
    <w:rsid w:val="00CA1CFF"/>
    <w:rsid w:val="00CA1D2A"/>
    <w:rsid w:val="00CA1E06"/>
    <w:rsid w:val="00CA1EDD"/>
    <w:rsid w:val="00CA1F32"/>
    <w:rsid w:val="00CA1F9F"/>
    <w:rsid w:val="00CA2054"/>
    <w:rsid w:val="00CA20E7"/>
    <w:rsid w:val="00CA222E"/>
    <w:rsid w:val="00CA22F8"/>
    <w:rsid w:val="00CA242F"/>
    <w:rsid w:val="00CA264A"/>
    <w:rsid w:val="00CA27E6"/>
    <w:rsid w:val="00CA2877"/>
    <w:rsid w:val="00CA2951"/>
    <w:rsid w:val="00CA2C08"/>
    <w:rsid w:val="00CA2CDC"/>
    <w:rsid w:val="00CA2EE5"/>
    <w:rsid w:val="00CA2F78"/>
    <w:rsid w:val="00CA303C"/>
    <w:rsid w:val="00CA3083"/>
    <w:rsid w:val="00CA3133"/>
    <w:rsid w:val="00CA3184"/>
    <w:rsid w:val="00CA348A"/>
    <w:rsid w:val="00CA358F"/>
    <w:rsid w:val="00CA3667"/>
    <w:rsid w:val="00CA3A19"/>
    <w:rsid w:val="00CA3A59"/>
    <w:rsid w:val="00CA3C7C"/>
    <w:rsid w:val="00CA4372"/>
    <w:rsid w:val="00CA4386"/>
    <w:rsid w:val="00CA464E"/>
    <w:rsid w:val="00CA46CE"/>
    <w:rsid w:val="00CA4C34"/>
    <w:rsid w:val="00CA503A"/>
    <w:rsid w:val="00CA5107"/>
    <w:rsid w:val="00CA510B"/>
    <w:rsid w:val="00CA5159"/>
    <w:rsid w:val="00CA563E"/>
    <w:rsid w:val="00CA56B4"/>
    <w:rsid w:val="00CA5C3D"/>
    <w:rsid w:val="00CA5CD9"/>
    <w:rsid w:val="00CA5D24"/>
    <w:rsid w:val="00CA5DF8"/>
    <w:rsid w:val="00CA5E0A"/>
    <w:rsid w:val="00CA603B"/>
    <w:rsid w:val="00CA6134"/>
    <w:rsid w:val="00CA6380"/>
    <w:rsid w:val="00CA64FC"/>
    <w:rsid w:val="00CA689E"/>
    <w:rsid w:val="00CA69D3"/>
    <w:rsid w:val="00CA6AE3"/>
    <w:rsid w:val="00CA6B44"/>
    <w:rsid w:val="00CA726F"/>
    <w:rsid w:val="00CA743D"/>
    <w:rsid w:val="00CA754D"/>
    <w:rsid w:val="00CA7705"/>
    <w:rsid w:val="00CA7734"/>
    <w:rsid w:val="00CA775E"/>
    <w:rsid w:val="00CA792F"/>
    <w:rsid w:val="00CA7A17"/>
    <w:rsid w:val="00CA7A76"/>
    <w:rsid w:val="00CA7B99"/>
    <w:rsid w:val="00CA7BBD"/>
    <w:rsid w:val="00CA7C9E"/>
    <w:rsid w:val="00CA7F09"/>
    <w:rsid w:val="00CB0100"/>
    <w:rsid w:val="00CB012C"/>
    <w:rsid w:val="00CB0189"/>
    <w:rsid w:val="00CB03A9"/>
    <w:rsid w:val="00CB0481"/>
    <w:rsid w:val="00CB0525"/>
    <w:rsid w:val="00CB057E"/>
    <w:rsid w:val="00CB05B3"/>
    <w:rsid w:val="00CB05D8"/>
    <w:rsid w:val="00CB0617"/>
    <w:rsid w:val="00CB0683"/>
    <w:rsid w:val="00CB07E5"/>
    <w:rsid w:val="00CB0E87"/>
    <w:rsid w:val="00CB0FA8"/>
    <w:rsid w:val="00CB106F"/>
    <w:rsid w:val="00CB10D2"/>
    <w:rsid w:val="00CB11B4"/>
    <w:rsid w:val="00CB11CC"/>
    <w:rsid w:val="00CB1218"/>
    <w:rsid w:val="00CB13BA"/>
    <w:rsid w:val="00CB1463"/>
    <w:rsid w:val="00CB1609"/>
    <w:rsid w:val="00CB16D2"/>
    <w:rsid w:val="00CB1911"/>
    <w:rsid w:val="00CB19EA"/>
    <w:rsid w:val="00CB1AB9"/>
    <w:rsid w:val="00CB1D4F"/>
    <w:rsid w:val="00CB1DA5"/>
    <w:rsid w:val="00CB1DB5"/>
    <w:rsid w:val="00CB1DCF"/>
    <w:rsid w:val="00CB1E4C"/>
    <w:rsid w:val="00CB1E85"/>
    <w:rsid w:val="00CB1F05"/>
    <w:rsid w:val="00CB2065"/>
    <w:rsid w:val="00CB2344"/>
    <w:rsid w:val="00CB246D"/>
    <w:rsid w:val="00CB2B60"/>
    <w:rsid w:val="00CB2B88"/>
    <w:rsid w:val="00CB2BD0"/>
    <w:rsid w:val="00CB2BE0"/>
    <w:rsid w:val="00CB2C16"/>
    <w:rsid w:val="00CB2D18"/>
    <w:rsid w:val="00CB2DF6"/>
    <w:rsid w:val="00CB2EC5"/>
    <w:rsid w:val="00CB2F27"/>
    <w:rsid w:val="00CB30BD"/>
    <w:rsid w:val="00CB3149"/>
    <w:rsid w:val="00CB33C8"/>
    <w:rsid w:val="00CB34D6"/>
    <w:rsid w:val="00CB367E"/>
    <w:rsid w:val="00CB3704"/>
    <w:rsid w:val="00CB3869"/>
    <w:rsid w:val="00CB38AC"/>
    <w:rsid w:val="00CB3955"/>
    <w:rsid w:val="00CB3B0C"/>
    <w:rsid w:val="00CB3C4D"/>
    <w:rsid w:val="00CB3CB6"/>
    <w:rsid w:val="00CB3D52"/>
    <w:rsid w:val="00CB3D72"/>
    <w:rsid w:val="00CB3E97"/>
    <w:rsid w:val="00CB3F30"/>
    <w:rsid w:val="00CB40AA"/>
    <w:rsid w:val="00CB43CA"/>
    <w:rsid w:val="00CB443B"/>
    <w:rsid w:val="00CB4488"/>
    <w:rsid w:val="00CB46DE"/>
    <w:rsid w:val="00CB4702"/>
    <w:rsid w:val="00CB4758"/>
    <w:rsid w:val="00CB47B7"/>
    <w:rsid w:val="00CB486B"/>
    <w:rsid w:val="00CB4AE2"/>
    <w:rsid w:val="00CB4B79"/>
    <w:rsid w:val="00CB4DD4"/>
    <w:rsid w:val="00CB4E3A"/>
    <w:rsid w:val="00CB4F57"/>
    <w:rsid w:val="00CB4FF4"/>
    <w:rsid w:val="00CB5039"/>
    <w:rsid w:val="00CB50C7"/>
    <w:rsid w:val="00CB50EA"/>
    <w:rsid w:val="00CB51EA"/>
    <w:rsid w:val="00CB524E"/>
    <w:rsid w:val="00CB535B"/>
    <w:rsid w:val="00CB53AD"/>
    <w:rsid w:val="00CB5450"/>
    <w:rsid w:val="00CB55FC"/>
    <w:rsid w:val="00CB5627"/>
    <w:rsid w:val="00CB5724"/>
    <w:rsid w:val="00CB5768"/>
    <w:rsid w:val="00CB5B20"/>
    <w:rsid w:val="00CB5B41"/>
    <w:rsid w:val="00CB5CE7"/>
    <w:rsid w:val="00CB5E88"/>
    <w:rsid w:val="00CB5EFE"/>
    <w:rsid w:val="00CB6063"/>
    <w:rsid w:val="00CB61B4"/>
    <w:rsid w:val="00CB6475"/>
    <w:rsid w:val="00CB6732"/>
    <w:rsid w:val="00CB67E7"/>
    <w:rsid w:val="00CB68C4"/>
    <w:rsid w:val="00CB6B37"/>
    <w:rsid w:val="00CB6E1B"/>
    <w:rsid w:val="00CB6E69"/>
    <w:rsid w:val="00CB71B6"/>
    <w:rsid w:val="00CB71C3"/>
    <w:rsid w:val="00CB728F"/>
    <w:rsid w:val="00CB72CD"/>
    <w:rsid w:val="00CB73AA"/>
    <w:rsid w:val="00CB743F"/>
    <w:rsid w:val="00CB7449"/>
    <w:rsid w:val="00CB782F"/>
    <w:rsid w:val="00CB7AF7"/>
    <w:rsid w:val="00CB7DEC"/>
    <w:rsid w:val="00CB7E0F"/>
    <w:rsid w:val="00CB7E30"/>
    <w:rsid w:val="00CB7EA7"/>
    <w:rsid w:val="00CB7F7B"/>
    <w:rsid w:val="00CC0016"/>
    <w:rsid w:val="00CC0025"/>
    <w:rsid w:val="00CC009C"/>
    <w:rsid w:val="00CC00D9"/>
    <w:rsid w:val="00CC01B0"/>
    <w:rsid w:val="00CC02C1"/>
    <w:rsid w:val="00CC03A9"/>
    <w:rsid w:val="00CC047D"/>
    <w:rsid w:val="00CC049A"/>
    <w:rsid w:val="00CC0520"/>
    <w:rsid w:val="00CC0706"/>
    <w:rsid w:val="00CC07A4"/>
    <w:rsid w:val="00CC0954"/>
    <w:rsid w:val="00CC09FB"/>
    <w:rsid w:val="00CC0D4D"/>
    <w:rsid w:val="00CC0D64"/>
    <w:rsid w:val="00CC0EA0"/>
    <w:rsid w:val="00CC0F32"/>
    <w:rsid w:val="00CC0FFB"/>
    <w:rsid w:val="00CC1026"/>
    <w:rsid w:val="00CC106E"/>
    <w:rsid w:val="00CC11EB"/>
    <w:rsid w:val="00CC1292"/>
    <w:rsid w:val="00CC1298"/>
    <w:rsid w:val="00CC1321"/>
    <w:rsid w:val="00CC1392"/>
    <w:rsid w:val="00CC13ED"/>
    <w:rsid w:val="00CC14CF"/>
    <w:rsid w:val="00CC154A"/>
    <w:rsid w:val="00CC1580"/>
    <w:rsid w:val="00CC159F"/>
    <w:rsid w:val="00CC1644"/>
    <w:rsid w:val="00CC16E8"/>
    <w:rsid w:val="00CC1944"/>
    <w:rsid w:val="00CC1AAE"/>
    <w:rsid w:val="00CC1AE1"/>
    <w:rsid w:val="00CC200C"/>
    <w:rsid w:val="00CC2484"/>
    <w:rsid w:val="00CC251C"/>
    <w:rsid w:val="00CC2573"/>
    <w:rsid w:val="00CC26AC"/>
    <w:rsid w:val="00CC278A"/>
    <w:rsid w:val="00CC27A8"/>
    <w:rsid w:val="00CC2BA8"/>
    <w:rsid w:val="00CC2BD5"/>
    <w:rsid w:val="00CC2C65"/>
    <w:rsid w:val="00CC2E87"/>
    <w:rsid w:val="00CC2F57"/>
    <w:rsid w:val="00CC2FDC"/>
    <w:rsid w:val="00CC3030"/>
    <w:rsid w:val="00CC303E"/>
    <w:rsid w:val="00CC3067"/>
    <w:rsid w:val="00CC30CA"/>
    <w:rsid w:val="00CC3144"/>
    <w:rsid w:val="00CC34DD"/>
    <w:rsid w:val="00CC353F"/>
    <w:rsid w:val="00CC359F"/>
    <w:rsid w:val="00CC36E0"/>
    <w:rsid w:val="00CC3B75"/>
    <w:rsid w:val="00CC3BBA"/>
    <w:rsid w:val="00CC3CF2"/>
    <w:rsid w:val="00CC3D4D"/>
    <w:rsid w:val="00CC3E25"/>
    <w:rsid w:val="00CC3EA9"/>
    <w:rsid w:val="00CC3F0D"/>
    <w:rsid w:val="00CC3FDB"/>
    <w:rsid w:val="00CC4204"/>
    <w:rsid w:val="00CC42DF"/>
    <w:rsid w:val="00CC42EB"/>
    <w:rsid w:val="00CC4447"/>
    <w:rsid w:val="00CC44D2"/>
    <w:rsid w:val="00CC453A"/>
    <w:rsid w:val="00CC4717"/>
    <w:rsid w:val="00CC472E"/>
    <w:rsid w:val="00CC4789"/>
    <w:rsid w:val="00CC4A1A"/>
    <w:rsid w:val="00CC4B4A"/>
    <w:rsid w:val="00CC4B60"/>
    <w:rsid w:val="00CC4C26"/>
    <w:rsid w:val="00CC4CD4"/>
    <w:rsid w:val="00CC4D69"/>
    <w:rsid w:val="00CC4E42"/>
    <w:rsid w:val="00CC4E94"/>
    <w:rsid w:val="00CC4FF4"/>
    <w:rsid w:val="00CC50D0"/>
    <w:rsid w:val="00CC519C"/>
    <w:rsid w:val="00CC5656"/>
    <w:rsid w:val="00CC56D8"/>
    <w:rsid w:val="00CC56F3"/>
    <w:rsid w:val="00CC5721"/>
    <w:rsid w:val="00CC5BA5"/>
    <w:rsid w:val="00CC5C88"/>
    <w:rsid w:val="00CC5E8F"/>
    <w:rsid w:val="00CC6017"/>
    <w:rsid w:val="00CC6267"/>
    <w:rsid w:val="00CC63A1"/>
    <w:rsid w:val="00CC63EC"/>
    <w:rsid w:val="00CC6450"/>
    <w:rsid w:val="00CC651B"/>
    <w:rsid w:val="00CC66E2"/>
    <w:rsid w:val="00CC67FD"/>
    <w:rsid w:val="00CC689C"/>
    <w:rsid w:val="00CC6935"/>
    <w:rsid w:val="00CC6971"/>
    <w:rsid w:val="00CC6A36"/>
    <w:rsid w:val="00CC6ABC"/>
    <w:rsid w:val="00CC6BC8"/>
    <w:rsid w:val="00CC6FBF"/>
    <w:rsid w:val="00CC6FCD"/>
    <w:rsid w:val="00CC72A8"/>
    <w:rsid w:val="00CC72B1"/>
    <w:rsid w:val="00CC7614"/>
    <w:rsid w:val="00CC76A3"/>
    <w:rsid w:val="00CC7751"/>
    <w:rsid w:val="00CC79A1"/>
    <w:rsid w:val="00CC7A9E"/>
    <w:rsid w:val="00CC7BF8"/>
    <w:rsid w:val="00CC7D5C"/>
    <w:rsid w:val="00CC7EF8"/>
    <w:rsid w:val="00CD0147"/>
    <w:rsid w:val="00CD0181"/>
    <w:rsid w:val="00CD042E"/>
    <w:rsid w:val="00CD05E1"/>
    <w:rsid w:val="00CD0896"/>
    <w:rsid w:val="00CD08AE"/>
    <w:rsid w:val="00CD08E6"/>
    <w:rsid w:val="00CD099C"/>
    <w:rsid w:val="00CD09F8"/>
    <w:rsid w:val="00CD0A0D"/>
    <w:rsid w:val="00CD0B44"/>
    <w:rsid w:val="00CD0BF3"/>
    <w:rsid w:val="00CD0C1D"/>
    <w:rsid w:val="00CD0C6A"/>
    <w:rsid w:val="00CD0D3A"/>
    <w:rsid w:val="00CD0EF5"/>
    <w:rsid w:val="00CD107A"/>
    <w:rsid w:val="00CD10B7"/>
    <w:rsid w:val="00CD10E5"/>
    <w:rsid w:val="00CD12A0"/>
    <w:rsid w:val="00CD130E"/>
    <w:rsid w:val="00CD131E"/>
    <w:rsid w:val="00CD133A"/>
    <w:rsid w:val="00CD174C"/>
    <w:rsid w:val="00CD17D7"/>
    <w:rsid w:val="00CD18EA"/>
    <w:rsid w:val="00CD1A07"/>
    <w:rsid w:val="00CD1A5D"/>
    <w:rsid w:val="00CD1BD7"/>
    <w:rsid w:val="00CD1C89"/>
    <w:rsid w:val="00CD1CC2"/>
    <w:rsid w:val="00CD1D1D"/>
    <w:rsid w:val="00CD1D28"/>
    <w:rsid w:val="00CD1E4F"/>
    <w:rsid w:val="00CD1ED4"/>
    <w:rsid w:val="00CD216D"/>
    <w:rsid w:val="00CD2251"/>
    <w:rsid w:val="00CD2453"/>
    <w:rsid w:val="00CD24AF"/>
    <w:rsid w:val="00CD25F0"/>
    <w:rsid w:val="00CD2792"/>
    <w:rsid w:val="00CD2829"/>
    <w:rsid w:val="00CD2920"/>
    <w:rsid w:val="00CD2A5E"/>
    <w:rsid w:val="00CD2F15"/>
    <w:rsid w:val="00CD3290"/>
    <w:rsid w:val="00CD32D0"/>
    <w:rsid w:val="00CD3338"/>
    <w:rsid w:val="00CD341F"/>
    <w:rsid w:val="00CD3738"/>
    <w:rsid w:val="00CD38E1"/>
    <w:rsid w:val="00CD391F"/>
    <w:rsid w:val="00CD39F2"/>
    <w:rsid w:val="00CD3C7E"/>
    <w:rsid w:val="00CD3D8B"/>
    <w:rsid w:val="00CD3E63"/>
    <w:rsid w:val="00CD3E88"/>
    <w:rsid w:val="00CD3EF4"/>
    <w:rsid w:val="00CD406E"/>
    <w:rsid w:val="00CD4110"/>
    <w:rsid w:val="00CD42B7"/>
    <w:rsid w:val="00CD4335"/>
    <w:rsid w:val="00CD43B7"/>
    <w:rsid w:val="00CD4B77"/>
    <w:rsid w:val="00CD4B96"/>
    <w:rsid w:val="00CD4D30"/>
    <w:rsid w:val="00CD4D3E"/>
    <w:rsid w:val="00CD4D89"/>
    <w:rsid w:val="00CD4DAF"/>
    <w:rsid w:val="00CD50A6"/>
    <w:rsid w:val="00CD50D3"/>
    <w:rsid w:val="00CD526A"/>
    <w:rsid w:val="00CD52B7"/>
    <w:rsid w:val="00CD5372"/>
    <w:rsid w:val="00CD538D"/>
    <w:rsid w:val="00CD5390"/>
    <w:rsid w:val="00CD5428"/>
    <w:rsid w:val="00CD5476"/>
    <w:rsid w:val="00CD558F"/>
    <w:rsid w:val="00CD575E"/>
    <w:rsid w:val="00CD5865"/>
    <w:rsid w:val="00CD5C54"/>
    <w:rsid w:val="00CD5FE7"/>
    <w:rsid w:val="00CD66C1"/>
    <w:rsid w:val="00CD6957"/>
    <w:rsid w:val="00CD695A"/>
    <w:rsid w:val="00CD69FA"/>
    <w:rsid w:val="00CD6A04"/>
    <w:rsid w:val="00CD6BF6"/>
    <w:rsid w:val="00CD6DD4"/>
    <w:rsid w:val="00CD6DD7"/>
    <w:rsid w:val="00CD6DE8"/>
    <w:rsid w:val="00CD6E41"/>
    <w:rsid w:val="00CD6F9E"/>
    <w:rsid w:val="00CD7145"/>
    <w:rsid w:val="00CD72D3"/>
    <w:rsid w:val="00CD761C"/>
    <w:rsid w:val="00CD767A"/>
    <w:rsid w:val="00CD76AD"/>
    <w:rsid w:val="00CD76B8"/>
    <w:rsid w:val="00CD7812"/>
    <w:rsid w:val="00CD7835"/>
    <w:rsid w:val="00CD794E"/>
    <w:rsid w:val="00CD7AB8"/>
    <w:rsid w:val="00CD7D0C"/>
    <w:rsid w:val="00CD7F6A"/>
    <w:rsid w:val="00CE0131"/>
    <w:rsid w:val="00CE0255"/>
    <w:rsid w:val="00CE02A1"/>
    <w:rsid w:val="00CE03D0"/>
    <w:rsid w:val="00CE05BD"/>
    <w:rsid w:val="00CE0A0D"/>
    <w:rsid w:val="00CE0A34"/>
    <w:rsid w:val="00CE0C6D"/>
    <w:rsid w:val="00CE0DA9"/>
    <w:rsid w:val="00CE0DBA"/>
    <w:rsid w:val="00CE0E18"/>
    <w:rsid w:val="00CE0ECE"/>
    <w:rsid w:val="00CE115A"/>
    <w:rsid w:val="00CE116F"/>
    <w:rsid w:val="00CE1171"/>
    <w:rsid w:val="00CE1197"/>
    <w:rsid w:val="00CE127C"/>
    <w:rsid w:val="00CE1668"/>
    <w:rsid w:val="00CE17DF"/>
    <w:rsid w:val="00CE1803"/>
    <w:rsid w:val="00CE1896"/>
    <w:rsid w:val="00CE1AF3"/>
    <w:rsid w:val="00CE1BEC"/>
    <w:rsid w:val="00CE1BF6"/>
    <w:rsid w:val="00CE1D49"/>
    <w:rsid w:val="00CE1D6B"/>
    <w:rsid w:val="00CE1D80"/>
    <w:rsid w:val="00CE1EC3"/>
    <w:rsid w:val="00CE1EEE"/>
    <w:rsid w:val="00CE1F7B"/>
    <w:rsid w:val="00CE2034"/>
    <w:rsid w:val="00CE20D7"/>
    <w:rsid w:val="00CE20FC"/>
    <w:rsid w:val="00CE232A"/>
    <w:rsid w:val="00CE2357"/>
    <w:rsid w:val="00CE2398"/>
    <w:rsid w:val="00CE2618"/>
    <w:rsid w:val="00CE2639"/>
    <w:rsid w:val="00CE2AAF"/>
    <w:rsid w:val="00CE2D0B"/>
    <w:rsid w:val="00CE2D3F"/>
    <w:rsid w:val="00CE2FA6"/>
    <w:rsid w:val="00CE3086"/>
    <w:rsid w:val="00CE3151"/>
    <w:rsid w:val="00CE320A"/>
    <w:rsid w:val="00CE32D9"/>
    <w:rsid w:val="00CE34DD"/>
    <w:rsid w:val="00CE3666"/>
    <w:rsid w:val="00CE37E5"/>
    <w:rsid w:val="00CE392C"/>
    <w:rsid w:val="00CE3ABA"/>
    <w:rsid w:val="00CE3B52"/>
    <w:rsid w:val="00CE3CB7"/>
    <w:rsid w:val="00CE3D27"/>
    <w:rsid w:val="00CE3D92"/>
    <w:rsid w:val="00CE3ECB"/>
    <w:rsid w:val="00CE3F81"/>
    <w:rsid w:val="00CE40B5"/>
    <w:rsid w:val="00CE433F"/>
    <w:rsid w:val="00CE438B"/>
    <w:rsid w:val="00CE43E5"/>
    <w:rsid w:val="00CE4610"/>
    <w:rsid w:val="00CE46DF"/>
    <w:rsid w:val="00CE47D9"/>
    <w:rsid w:val="00CE47DB"/>
    <w:rsid w:val="00CE47F2"/>
    <w:rsid w:val="00CE48F5"/>
    <w:rsid w:val="00CE4B52"/>
    <w:rsid w:val="00CE4C6C"/>
    <w:rsid w:val="00CE4E46"/>
    <w:rsid w:val="00CE5023"/>
    <w:rsid w:val="00CE508E"/>
    <w:rsid w:val="00CE50AB"/>
    <w:rsid w:val="00CE50FF"/>
    <w:rsid w:val="00CE52D1"/>
    <w:rsid w:val="00CE52DA"/>
    <w:rsid w:val="00CE5314"/>
    <w:rsid w:val="00CE56A3"/>
    <w:rsid w:val="00CE56B9"/>
    <w:rsid w:val="00CE578E"/>
    <w:rsid w:val="00CE57CA"/>
    <w:rsid w:val="00CE58D5"/>
    <w:rsid w:val="00CE5A54"/>
    <w:rsid w:val="00CE5B6B"/>
    <w:rsid w:val="00CE5BAC"/>
    <w:rsid w:val="00CE5C16"/>
    <w:rsid w:val="00CE6002"/>
    <w:rsid w:val="00CE602B"/>
    <w:rsid w:val="00CE60E7"/>
    <w:rsid w:val="00CE635F"/>
    <w:rsid w:val="00CE63D0"/>
    <w:rsid w:val="00CE6556"/>
    <w:rsid w:val="00CE660A"/>
    <w:rsid w:val="00CE67B1"/>
    <w:rsid w:val="00CE6D3A"/>
    <w:rsid w:val="00CE6D3B"/>
    <w:rsid w:val="00CE7256"/>
    <w:rsid w:val="00CE729E"/>
    <w:rsid w:val="00CE7416"/>
    <w:rsid w:val="00CE7587"/>
    <w:rsid w:val="00CE7699"/>
    <w:rsid w:val="00CE76AC"/>
    <w:rsid w:val="00CE7BD5"/>
    <w:rsid w:val="00CE7E46"/>
    <w:rsid w:val="00CE7E50"/>
    <w:rsid w:val="00CE7E85"/>
    <w:rsid w:val="00CE7F39"/>
    <w:rsid w:val="00CE7F84"/>
    <w:rsid w:val="00CE7FD7"/>
    <w:rsid w:val="00CF00A1"/>
    <w:rsid w:val="00CF0149"/>
    <w:rsid w:val="00CF04CD"/>
    <w:rsid w:val="00CF0565"/>
    <w:rsid w:val="00CF05BC"/>
    <w:rsid w:val="00CF0623"/>
    <w:rsid w:val="00CF077E"/>
    <w:rsid w:val="00CF0833"/>
    <w:rsid w:val="00CF085B"/>
    <w:rsid w:val="00CF0863"/>
    <w:rsid w:val="00CF08F4"/>
    <w:rsid w:val="00CF0A43"/>
    <w:rsid w:val="00CF0AF1"/>
    <w:rsid w:val="00CF0AF6"/>
    <w:rsid w:val="00CF0CBE"/>
    <w:rsid w:val="00CF0D45"/>
    <w:rsid w:val="00CF0E71"/>
    <w:rsid w:val="00CF0F57"/>
    <w:rsid w:val="00CF0FAF"/>
    <w:rsid w:val="00CF115E"/>
    <w:rsid w:val="00CF1193"/>
    <w:rsid w:val="00CF12FB"/>
    <w:rsid w:val="00CF132D"/>
    <w:rsid w:val="00CF1339"/>
    <w:rsid w:val="00CF1471"/>
    <w:rsid w:val="00CF14E8"/>
    <w:rsid w:val="00CF159A"/>
    <w:rsid w:val="00CF168D"/>
    <w:rsid w:val="00CF16E1"/>
    <w:rsid w:val="00CF16FC"/>
    <w:rsid w:val="00CF17C7"/>
    <w:rsid w:val="00CF182B"/>
    <w:rsid w:val="00CF18E8"/>
    <w:rsid w:val="00CF1A66"/>
    <w:rsid w:val="00CF1B22"/>
    <w:rsid w:val="00CF1BF6"/>
    <w:rsid w:val="00CF1C28"/>
    <w:rsid w:val="00CF1E6D"/>
    <w:rsid w:val="00CF1E6E"/>
    <w:rsid w:val="00CF2052"/>
    <w:rsid w:val="00CF20A4"/>
    <w:rsid w:val="00CF212A"/>
    <w:rsid w:val="00CF21AF"/>
    <w:rsid w:val="00CF21F4"/>
    <w:rsid w:val="00CF2383"/>
    <w:rsid w:val="00CF23A8"/>
    <w:rsid w:val="00CF2432"/>
    <w:rsid w:val="00CF2450"/>
    <w:rsid w:val="00CF25BA"/>
    <w:rsid w:val="00CF25CB"/>
    <w:rsid w:val="00CF261D"/>
    <w:rsid w:val="00CF264E"/>
    <w:rsid w:val="00CF2700"/>
    <w:rsid w:val="00CF27D3"/>
    <w:rsid w:val="00CF29FF"/>
    <w:rsid w:val="00CF2A9D"/>
    <w:rsid w:val="00CF2CA0"/>
    <w:rsid w:val="00CF2D4B"/>
    <w:rsid w:val="00CF2F0C"/>
    <w:rsid w:val="00CF3025"/>
    <w:rsid w:val="00CF3057"/>
    <w:rsid w:val="00CF309B"/>
    <w:rsid w:val="00CF3278"/>
    <w:rsid w:val="00CF3629"/>
    <w:rsid w:val="00CF36DD"/>
    <w:rsid w:val="00CF37A0"/>
    <w:rsid w:val="00CF3800"/>
    <w:rsid w:val="00CF3A1D"/>
    <w:rsid w:val="00CF3A44"/>
    <w:rsid w:val="00CF3A57"/>
    <w:rsid w:val="00CF3B3F"/>
    <w:rsid w:val="00CF3DFF"/>
    <w:rsid w:val="00CF3F21"/>
    <w:rsid w:val="00CF3FA2"/>
    <w:rsid w:val="00CF3FB3"/>
    <w:rsid w:val="00CF425A"/>
    <w:rsid w:val="00CF447F"/>
    <w:rsid w:val="00CF44BC"/>
    <w:rsid w:val="00CF4517"/>
    <w:rsid w:val="00CF4576"/>
    <w:rsid w:val="00CF45D6"/>
    <w:rsid w:val="00CF45E6"/>
    <w:rsid w:val="00CF4743"/>
    <w:rsid w:val="00CF490A"/>
    <w:rsid w:val="00CF4CDE"/>
    <w:rsid w:val="00CF4D81"/>
    <w:rsid w:val="00CF4EFE"/>
    <w:rsid w:val="00CF4FD2"/>
    <w:rsid w:val="00CF50C1"/>
    <w:rsid w:val="00CF5187"/>
    <w:rsid w:val="00CF5372"/>
    <w:rsid w:val="00CF558D"/>
    <w:rsid w:val="00CF579D"/>
    <w:rsid w:val="00CF5980"/>
    <w:rsid w:val="00CF59B6"/>
    <w:rsid w:val="00CF5AB0"/>
    <w:rsid w:val="00CF5B8C"/>
    <w:rsid w:val="00CF5B9F"/>
    <w:rsid w:val="00CF5BE6"/>
    <w:rsid w:val="00CF5BFE"/>
    <w:rsid w:val="00CF5C99"/>
    <w:rsid w:val="00CF5DD1"/>
    <w:rsid w:val="00CF60B1"/>
    <w:rsid w:val="00CF6524"/>
    <w:rsid w:val="00CF669C"/>
    <w:rsid w:val="00CF66C1"/>
    <w:rsid w:val="00CF671A"/>
    <w:rsid w:val="00CF691E"/>
    <w:rsid w:val="00CF6A13"/>
    <w:rsid w:val="00CF6AC5"/>
    <w:rsid w:val="00CF6DB6"/>
    <w:rsid w:val="00CF6DFF"/>
    <w:rsid w:val="00CF6FFF"/>
    <w:rsid w:val="00CF7092"/>
    <w:rsid w:val="00CF70E4"/>
    <w:rsid w:val="00CF71E0"/>
    <w:rsid w:val="00CF728F"/>
    <w:rsid w:val="00CF7409"/>
    <w:rsid w:val="00CF746E"/>
    <w:rsid w:val="00CF75D6"/>
    <w:rsid w:val="00CF7726"/>
    <w:rsid w:val="00CF7B8C"/>
    <w:rsid w:val="00CF7BFF"/>
    <w:rsid w:val="00CF7DB1"/>
    <w:rsid w:val="00CF7DF3"/>
    <w:rsid w:val="00CF7E36"/>
    <w:rsid w:val="00CF7F35"/>
    <w:rsid w:val="00D000D0"/>
    <w:rsid w:val="00D003D1"/>
    <w:rsid w:val="00D00425"/>
    <w:rsid w:val="00D00644"/>
    <w:rsid w:val="00D00698"/>
    <w:rsid w:val="00D00855"/>
    <w:rsid w:val="00D00AAB"/>
    <w:rsid w:val="00D00C68"/>
    <w:rsid w:val="00D00E28"/>
    <w:rsid w:val="00D0111D"/>
    <w:rsid w:val="00D013DF"/>
    <w:rsid w:val="00D013E8"/>
    <w:rsid w:val="00D01528"/>
    <w:rsid w:val="00D016DC"/>
    <w:rsid w:val="00D01919"/>
    <w:rsid w:val="00D01999"/>
    <w:rsid w:val="00D01A8B"/>
    <w:rsid w:val="00D01B93"/>
    <w:rsid w:val="00D01C06"/>
    <w:rsid w:val="00D01F37"/>
    <w:rsid w:val="00D01F43"/>
    <w:rsid w:val="00D0209F"/>
    <w:rsid w:val="00D020CF"/>
    <w:rsid w:val="00D020DC"/>
    <w:rsid w:val="00D02133"/>
    <w:rsid w:val="00D023B8"/>
    <w:rsid w:val="00D02557"/>
    <w:rsid w:val="00D02601"/>
    <w:rsid w:val="00D02623"/>
    <w:rsid w:val="00D0273A"/>
    <w:rsid w:val="00D0282A"/>
    <w:rsid w:val="00D028F1"/>
    <w:rsid w:val="00D02A1E"/>
    <w:rsid w:val="00D02AC9"/>
    <w:rsid w:val="00D02C97"/>
    <w:rsid w:val="00D02D2F"/>
    <w:rsid w:val="00D02D48"/>
    <w:rsid w:val="00D02E31"/>
    <w:rsid w:val="00D02E9A"/>
    <w:rsid w:val="00D02F55"/>
    <w:rsid w:val="00D03071"/>
    <w:rsid w:val="00D03076"/>
    <w:rsid w:val="00D03112"/>
    <w:rsid w:val="00D03181"/>
    <w:rsid w:val="00D031ED"/>
    <w:rsid w:val="00D03395"/>
    <w:rsid w:val="00D03411"/>
    <w:rsid w:val="00D03465"/>
    <w:rsid w:val="00D035F9"/>
    <w:rsid w:val="00D0369D"/>
    <w:rsid w:val="00D037FD"/>
    <w:rsid w:val="00D0381C"/>
    <w:rsid w:val="00D03840"/>
    <w:rsid w:val="00D038F2"/>
    <w:rsid w:val="00D0395D"/>
    <w:rsid w:val="00D03DEB"/>
    <w:rsid w:val="00D03ECB"/>
    <w:rsid w:val="00D03F20"/>
    <w:rsid w:val="00D03F4B"/>
    <w:rsid w:val="00D04097"/>
    <w:rsid w:val="00D04178"/>
    <w:rsid w:val="00D042F3"/>
    <w:rsid w:val="00D04320"/>
    <w:rsid w:val="00D0457F"/>
    <w:rsid w:val="00D0459A"/>
    <w:rsid w:val="00D045E9"/>
    <w:rsid w:val="00D0462A"/>
    <w:rsid w:val="00D046F6"/>
    <w:rsid w:val="00D0473A"/>
    <w:rsid w:val="00D04825"/>
    <w:rsid w:val="00D04910"/>
    <w:rsid w:val="00D04933"/>
    <w:rsid w:val="00D0493D"/>
    <w:rsid w:val="00D04BA5"/>
    <w:rsid w:val="00D04D99"/>
    <w:rsid w:val="00D04DB0"/>
    <w:rsid w:val="00D04E2F"/>
    <w:rsid w:val="00D04E4F"/>
    <w:rsid w:val="00D04F47"/>
    <w:rsid w:val="00D04F4D"/>
    <w:rsid w:val="00D05234"/>
    <w:rsid w:val="00D05246"/>
    <w:rsid w:val="00D05363"/>
    <w:rsid w:val="00D053E1"/>
    <w:rsid w:val="00D054BB"/>
    <w:rsid w:val="00D055A8"/>
    <w:rsid w:val="00D0566C"/>
    <w:rsid w:val="00D056EC"/>
    <w:rsid w:val="00D05758"/>
    <w:rsid w:val="00D05831"/>
    <w:rsid w:val="00D05A57"/>
    <w:rsid w:val="00D05BD0"/>
    <w:rsid w:val="00D05C73"/>
    <w:rsid w:val="00D05CA3"/>
    <w:rsid w:val="00D05D2B"/>
    <w:rsid w:val="00D05E4C"/>
    <w:rsid w:val="00D05EA4"/>
    <w:rsid w:val="00D05EA8"/>
    <w:rsid w:val="00D05F38"/>
    <w:rsid w:val="00D06092"/>
    <w:rsid w:val="00D063C4"/>
    <w:rsid w:val="00D06475"/>
    <w:rsid w:val="00D064B1"/>
    <w:rsid w:val="00D064B8"/>
    <w:rsid w:val="00D0651D"/>
    <w:rsid w:val="00D065D5"/>
    <w:rsid w:val="00D066F2"/>
    <w:rsid w:val="00D067BD"/>
    <w:rsid w:val="00D067D5"/>
    <w:rsid w:val="00D0698B"/>
    <w:rsid w:val="00D069FB"/>
    <w:rsid w:val="00D06A6B"/>
    <w:rsid w:val="00D06AFE"/>
    <w:rsid w:val="00D06C2E"/>
    <w:rsid w:val="00D06D07"/>
    <w:rsid w:val="00D06D79"/>
    <w:rsid w:val="00D06EE6"/>
    <w:rsid w:val="00D06F12"/>
    <w:rsid w:val="00D0700E"/>
    <w:rsid w:val="00D0725F"/>
    <w:rsid w:val="00D074A0"/>
    <w:rsid w:val="00D074CA"/>
    <w:rsid w:val="00D07506"/>
    <w:rsid w:val="00D0789D"/>
    <w:rsid w:val="00D07989"/>
    <w:rsid w:val="00D07B12"/>
    <w:rsid w:val="00D07C7D"/>
    <w:rsid w:val="00D07D06"/>
    <w:rsid w:val="00D07E7B"/>
    <w:rsid w:val="00D07F73"/>
    <w:rsid w:val="00D100F1"/>
    <w:rsid w:val="00D100FE"/>
    <w:rsid w:val="00D101A6"/>
    <w:rsid w:val="00D1026D"/>
    <w:rsid w:val="00D10274"/>
    <w:rsid w:val="00D10310"/>
    <w:rsid w:val="00D10494"/>
    <w:rsid w:val="00D10690"/>
    <w:rsid w:val="00D10809"/>
    <w:rsid w:val="00D10848"/>
    <w:rsid w:val="00D10880"/>
    <w:rsid w:val="00D108CC"/>
    <w:rsid w:val="00D10900"/>
    <w:rsid w:val="00D109B3"/>
    <w:rsid w:val="00D10C76"/>
    <w:rsid w:val="00D10DEA"/>
    <w:rsid w:val="00D10E17"/>
    <w:rsid w:val="00D10E54"/>
    <w:rsid w:val="00D11186"/>
    <w:rsid w:val="00D1122C"/>
    <w:rsid w:val="00D11329"/>
    <w:rsid w:val="00D1132D"/>
    <w:rsid w:val="00D11502"/>
    <w:rsid w:val="00D11605"/>
    <w:rsid w:val="00D1163C"/>
    <w:rsid w:val="00D116C5"/>
    <w:rsid w:val="00D11748"/>
    <w:rsid w:val="00D118C4"/>
    <w:rsid w:val="00D118FC"/>
    <w:rsid w:val="00D11A59"/>
    <w:rsid w:val="00D11BF3"/>
    <w:rsid w:val="00D11C99"/>
    <w:rsid w:val="00D12045"/>
    <w:rsid w:val="00D12237"/>
    <w:rsid w:val="00D12429"/>
    <w:rsid w:val="00D12521"/>
    <w:rsid w:val="00D125DC"/>
    <w:rsid w:val="00D128FD"/>
    <w:rsid w:val="00D12944"/>
    <w:rsid w:val="00D1294E"/>
    <w:rsid w:val="00D129AF"/>
    <w:rsid w:val="00D129B0"/>
    <w:rsid w:val="00D12A1D"/>
    <w:rsid w:val="00D12A61"/>
    <w:rsid w:val="00D12A85"/>
    <w:rsid w:val="00D12B5F"/>
    <w:rsid w:val="00D12BB2"/>
    <w:rsid w:val="00D12C17"/>
    <w:rsid w:val="00D12E57"/>
    <w:rsid w:val="00D12EEB"/>
    <w:rsid w:val="00D12FA6"/>
    <w:rsid w:val="00D13105"/>
    <w:rsid w:val="00D133B9"/>
    <w:rsid w:val="00D13724"/>
    <w:rsid w:val="00D137F3"/>
    <w:rsid w:val="00D1386D"/>
    <w:rsid w:val="00D13983"/>
    <w:rsid w:val="00D13D15"/>
    <w:rsid w:val="00D13D21"/>
    <w:rsid w:val="00D13F94"/>
    <w:rsid w:val="00D14066"/>
    <w:rsid w:val="00D1423C"/>
    <w:rsid w:val="00D142AF"/>
    <w:rsid w:val="00D142F9"/>
    <w:rsid w:val="00D14450"/>
    <w:rsid w:val="00D14754"/>
    <w:rsid w:val="00D14CCE"/>
    <w:rsid w:val="00D150D3"/>
    <w:rsid w:val="00D15164"/>
    <w:rsid w:val="00D1516B"/>
    <w:rsid w:val="00D151DC"/>
    <w:rsid w:val="00D152CB"/>
    <w:rsid w:val="00D1530F"/>
    <w:rsid w:val="00D15395"/>
    <w:rsid w:val="00D15832"/>
    <w:rsid w:val="00D1590B"/>
    <w:rsid w:val="00D15956"/>
    <w:rsid w:val="00D1598A"/>
    <w:rsid w:val="00D159F5"/>
    <w:rsid w:val="00D15C09"/>
    <w:rsid w:val="00D15C62"/>
    <w:rsid w:val="00D15C65"/>
    <w:rsid w:val="00D15D18"/>
    <w:rsid w:val="00D15D3B"/>
    <w:rsid w:val="00D15E18"/>
    <w:rsid w:val="00D15FA1"/>
    <w:rsid w:val="00D1605D"/>
    <w:rsid w:val="00D1618A"/>
    <w:rsid w:val="00D162B4"/>
    <w:rsid w:val="00D1646E"/>
    <w:rsid w:val="00D164F8"/>
    <w:rsid w:val="00D16591"/>
    <w:rsid w:val="00D1661E"/>
    <w:rsid w:val="00D16763"/>
    <w:rsid w:val="00D167DA"/>
    <w:rsid w:val="00D1689A"/>
    <w:rsid w:val="00D17052"/>
    <w:rsid w:val="00D17111"/>
    <w:rsid w:val="00D17253"/>
    <w:rsid w:val="00D17298"/>
    <w:rsid w:val="00D1744C"/>
    <w:rsid w:val="00D17823"/>
    <w:rsid w:val="00D17A3E"/>
    <w:rsid w:val="00D17B2F"/>
    <w:rsid w:val="00D17B54"/>
    <w:rsid w:val="00D17B64"/>
    <w:rsid w:val="00D17B81"/>
    <w:rsid w:val="00D17C27"/>
    <w:rsid w:val="00D17CAD"/>
    <w:rsid w:val="00D17EEB"/>
    <w:rsid w:val="00D17F58"/>
    <w:rsid w:val="00D20498"/>
    <w:rsid w:val="00D204C6"/>
    <w:rsid w:val="00D20791"/>
    <w:rsid w:val="00D2088E"/>
    <w:rsid w:val="00D208E1"/>
    <w:rsid w:val="00D2090B"/>
    <w:rsid w:val="00D20935"/>
    <w:rsid w:val="00D20955"/>
    <w:rsid w:val="00D209A6"/>
    <w:rsid w:val="00D20A14"/>
    <w:rsid w:val="00D20AC0"/>
    <w:rsid w:val="00D20CFB"/>
    <w:rsid w:val="00D20DF6"/>
    <w:rsid w:val="00D20E56"/>
    <w:rsid w:val="00D20E5F"/>
    <w:rsid w:val="00D20E62"/>
    <w:rsid w:val="00D20FCA"/>
    <w:rsid w:val="00D21105"/>
    <w:rsid w:val="00D212D2"/>
    <w:rsid w:val="00D212DF"/>
    <w:rsid w:val="00D21397"/>
    <w:rsid w:val="00D21411"/>
    <w:rsid w:val="00D21798"/>
    <w:rsid w:val="00D219DA"/>
    <w:rsid w:val="00D219F5"/>
    <w:rsid w:val="00D21B7A"/>
    <w:rsid w:val="00D21BEF"/>
    <w:rsid w:val="00D21C54"/>
    <w:rsid w:val="00D21DBD"/>
    <w:rsid w:val="00D21EF3"/>
    <w:rsid w:val="00D22022"/>
    <w:rsid w:val="00D2230D"/>
    <w:rsid w:val="00D22382"/>
    <w:rsid w:val="00D2245A"/>
    <w:rsid w:val="00D224C5"/>
    <w:rsid w:val="00D22593"/>
    <w:rsid w:val="00D22928"/>
    <w:rsid w:val="00D22951"/>
    <w:rsid w:val="00D22A75"/>
    <w:rsid w:val="00D22C58"/>
    <w:rsid w:val="00D22C73"/>
    <w:rsid w:val="00D22C7A"/>
    <w:rsid w:val="00D22D01"/>
    <w:rsid w:val="00D22D3D"/>
    <w:rsid w:val="00D22E15"/>
    <w:rsid w:val="00D231AF"/>
    <w:rsid w:val="00D23318"/>
    <w:rsid w:val="00D23353"/>
    <w:rsid w:val="00D23386"/>
    <w:rsid w:val="00D233B0"/>
    <w:rsid w:val="00D23489"/>
    <w:rsid w:val="00D235B8"/>
    <w:rsid w:val="00D238B5"/>
    <w:rsid w:val="00D23945"/>
    <w:rsid w:val="00D23997"/>
    <w:rsid w:val="00D239B5"/>
    <w:rsid w:val="00D23A26"/>
    <w:rsid w:val="00D23B9D"/>
    <w:rsid w:val="00D23BCC"/>
    <w:rsid w:val="00D23CD3"/>
    <w:rsid w:val="00D23D97"/>
    <w:rsid w:val="00D24138"/>
    <w:rsid w:val="00D241B7"/>
    <w:rsid w:val="00D2448E"/>
    <w:rsid w:val="00D244C2"/>
    <w:rsid w:val="00D24523"/>
    <w:rsid w:val="00D246ED"/>
    <w:rsid w:val="00D24A37"/>
    <w:rsid w:val="00D24B5C"/>
    <w:rsid w:val="00D24D48"/>
    <w:rsid w:val="00D24DCF"/>
    <w:rsid w:val="00D24DD4"/>
    <w:rsid w:val="00D25048"/>
    <w:rsid w:val="00D251DF"/>
    <w:rsid w:val="00D25205"/>
    <w:rsid w:val="00D252C1"/>
    <w:rsid w:val="00D25345"/>
    <w:rsid w:val="00D25369"/>
    <w:rsid w:val="00D25535"/>
    <w:rsid w:val="00D255DB"/>
    <w:rsid w:val="00D255E7"/>
    <w:rsid w:val="00D256B0"/>
    <w:rsid w:val="00D256FE"/>
    <w:rsid w:val="00D25840"/>
    <w:rsid w:val="00D25882"/>
    <w:rsid w:val="00D2594A"/>
    <w:rsid w:val="00D25AC6"/>
    <w:rsid w:val="00D25F7D"/>
    <w:rsid w:val="00D26003"/>
    <w:rsid w:val="00D26448"/>
    <w:rsid w:val="00D264D6"/>
    <w:rsid w:val="00D26579"/>
    <w:rsid w:val="00D26621"/>
    <w:rsid w:val="00D26659"/>
    <w:rsid w:val="00D267EF"/>
    <w:rsid w:val="00D2692D"/>
    <w:rsid w:val="00D2694F"/>
    <w:rsid w:val="00D26A77"/>
    <w:rsid w:val="00D26BD9"/>
    <w:rsid w:val="00D26BFF"/>
    <w:rsid w:val="00D26C8F"/>
    <w:rsid w:val="00D26FC1"/>
    <w:rsid w:val="00D27018"/>
    <w:rsid w:val="00D273BF"/>
    <w:rsid w:val="00D27429"/>
    <w:rsid w:val="00D27485"/>
    <w:rsid w:val="00D277BF"/>
    <w:rsid w:val="00D27866"/>
    <w:rsid w:val="00D2790F"/>
    <w:rsid w:val="00D27928"/>
    <w:rsid w:val="00D2794F"/>
    <w:rsid w:val="00D27ABE"/>
    <w:rsid w:val="00D27B08"/>
    <w:rsid w:val="00D27C23"/>
    <w:rsid w:val="00D27E8B"/>
    <w:rsid w:val="00D30148"/>
    <w:rsid w:val="00D3015D"/>
    <w:rsid w:val="00D3023A"/>
    <w:rsid w:val="00D30243"/>
    <w:rsid w:val="00D302EF"/>
    <w:rsid w:val="00D304A0"/>
    <w:rsid w:val="00D304AA"/>
    <w:rsid w:val="00D30765"/>
    <w:rsid w:val="00D307CF"/>
    <w:rsid w:val="00D30856"/>
    <w:rsid w:val="00D3089B"/>
    <w:rsid w:val="00D30948"/>
    <w:rsid w:val="00D30A8B"/>
    <w:rsid w:val="00D30AAD"/>
    <w:rsid w:val="00D30BD7"/>
    <w:rsid w:val="00D30C21"/>
    <w:rsid w:val="00D30CE6"/>
    <w:rsid w:val="00D3101B"/>
    <w:rsid w:val="00D3101F"/>
    <w:rsid w:val="00D3108C"/>
    <w:rsid w:val="00D311F4"/>
    <w:rsid w:val="00D31744"/>
    <w:rsid w:val="00D31941"/>
    <w:rsid w:val="00D319D6"/>
    <w:rsid w:val="00D319EB"/>
    <w:rsid w:val="00D31C50"/>
    <w:rsid w:val="00D31CCC"/>
    <w:rsid w:val="00D31EAF"/>
    <w:rsid w:val="00D31F11"/>
    <w:rsid w:val="00D32040"/>
    <w:rsid w:val="00D3227C"/>
    <w:rsid w:val="00D322FF"/>
    <w:rsid w:val="00D330EB"/>
    <w:rsid w:val="00D33327"/>
    <w:rsid w:val="00D33396"/>
    <w:rsid w:val="00D334DE"/>
    <w:rsid w:val="00D3359C"/>
    <w:rsid w:val="00D33605"/>
    <w:rsid w:val="00D33840"/>
    <w:rsid w:val="00D338DC"/>
    <w:rsid w:val="00D339C1"/>
    <w:rsid w:val="00D33AF3"/>
    <w:rsid w:val="00D33B54"/>
    <w:rsid w:val="00D33C61"/>
    <w:rsid w:val="00D33CD4"/>
    <w:rsid w:val="00D33CD5"/>
    <w:rsid w:val="00D3407A"/>
    <w:rsid w:val="00D34152"/>
    <w:rsid w:val="00D342B4"/>
    <w:rsid w:val="00D343F5"/>
    <w:rsid w:val="00D34546"/>
    <w:rsid w:val="00D345D4"/>
    <w:rsid w:val="00D345F3"/>
    <w:rsid w:val="00D34819"/>
    <w:rsid w:val="00D34A2C"/>
    <w:rsid w:val="00D34A5B"/>
    <w:rsid w:val="00D34D06"/>
    <w:rsid w:val="00D34E72"/>
    <w:rsid w:val="00D34FD9"/>
    <w:rsid w:val="00D35123"/>
    <w:rsid w:val="00D352D3"/>
    <w:rsid w:val="00D354FF"/>
    <w:rsid w:val="00D3553A"/>
    <w:rsid w:val="00D35715"/>
    <w:rsid w:val="00D3599C"/>
    <w:rsid w:val="00D359AC"/>
    <w:rsid w:val="00D359D5"/>
    <w:rsid w:val="00D35C48"/>
    <w:rsid w:val="00D35CDD"/>
    <w:rsid w:val="00D35D85"/>
    <w:rsid w:val="00D35F3F"/>
    <w:rsid w:val="00D36123"/>
    <w:rsid w:val="00D36301"/>
    <w:rsid w:val="00D3653E"/>
    <w:rsid w:val="00D366DF"/>
    <w:rsid w:val="00D367E5"/>
    <w:rsid w:val="00D36965"/>
    <w:rsid w:val="00D36EEA"/>
    <w:rsid w:val="00D36FCA"/>
    <w:rsid w:val="00D37399"/>
    <w:rsid w:val="00D376C0"/>
    <w:rsid w:val="00D3786D"/>
    <w:rsid w:val="00D378C8"/>
    <w:rsid w:val="00D3794C"/>
    <w:rsid w:val="00D37976"/>
    <w:rsid w:val="00D37996"/>
    <w:rsid w:val="00D37A38"/>
    <w:rsid w:val="00D37A51"/>
    <w:rsid w:val="00D37AE7"/>
    <w:rsid w:val="00D37CED"/>
    <w:rsid w:val="00D37CFC"/>
    <w:rsid w:val="00D37EFB"/>
    <w:rsid w:val="00D37F73"/>
    <w:rsid w:val="00D40054"/>
    <w:rsid w:val="00D40128"/>
    <w:rsid w:val="00D40181"/>
    <w:rsid w:val="00D40287"/>
    <w:rsid w:val="00D402BC"/>
    <w:rsid w:val="00D40340"/>
    <w:rsid w:val="00D40416"/>
    <w:rsid w:val="00D404A2"/>
    <w:rsid w:val="00D404FB"/>
    <w:rsid w:val="00D4055E"/>
    <w:rsid w:val="00D4056D"/>
    <w:rsid w:val="00D40697"/>
    <w:rsid w:val="00D4083B"/>
    <w:rsid w:val="00D40918"/>
    <w:rsid w:val="00D4098C"/>
    <w:rsid w:val="00D40A85"/>
    <w:rsid w:val="00D40C99"/>
    <w:rsid w:val="00D40D33"/>
    <w:rsid w:val="00D40E4A"/>
    <w:rsid w:val="00D40E83"/>
    <w:rsid w:val="00D40EBC"/>
    <w:rsid w:val="00D41081"/>
    <w:rsid w:val="00D410A4"/>
    <w:rsid w:val="00D41148"/>
    <w:rsid w:val="00D4119D"/>
    <w:rsid w:val="00D4134B"/>
    <w:rsid w:val="00D41354"/>
    <w:rsid w:val="00D4160C"/>
    <w:rsid w:val="00D417E5"/>
    <w:rsid w:val="00D4189A"/>
    <w:rsid w:val="00D41905"/>
    <w:rsid w:val="00D419D5"/>
    <w:rsid w:val="00D41D67"/>
    <w:rsid w:val="00D42020"/>
    <w:rsid w:val="00D420CB"/>
    <w:rsid w:val="00D421CE"/>
    <w:rsid w:val="00D42354"/>
    <w:rsid w:val="00D423D7"/>
    <w:rsid w:val="00D4254A"/>
    <w:rsid w:val="00D4257D"/>
    <w:rsid w:val="00D4259E"/>
    <w:rsid w:val="00D42810"/>
    <w:rsid w:val="00D42A4D"/>
    <w:rsid w:val="00D42A8C"/>
    <w:rsid w:val="00D42A8F"/>
    <w:rsid w:val="00D42B02"/>
    <w:rsid w:val="00D42BC2"/>
    <w:rsid w:val="00D42C01"/>
    <w:rsid w:val="00D42CC0"/>
    <w:rsid w:val="00D42DF5"/>
    <w:rsid w:val="00D42DFB"/>
    <w:rsid w:val="00D42E14"/>
    <w:rsid w:val="00D42F1E"/>
    <w:rsid w:val="00D431C1"/>
    <w:rsid w:val="00D433A1"/>
    <w:rsid w:val="00D433B0"/>
    <w:rsid w:val="00D4363B"/>
    <w:rsid w:val="00D43A3E"/>
    <w:rsid w:val="00D43B0E"/>
    <w:rsid w:val="00D43B6F"/>
    <w:rsid w:val="00D43B79"/>
    <w:rsid w:val="00D43BC3"/>
    <w:rsid w:val="00D43F9B"/>
    <w:rsid w:val="00D44121"/>
    <w:rsid w:val="00D44127"/>
    <w:rsid w:val="00D4416B"/>
    <w:rsid w:val="00D44302"/>
    <w:rsid w:val="00D44324"/>
    <w:rsid w:val="00D4463F"/>
    <w:rsid w:val="00D44676"/>
    <w:rsid w:val="00D4481C"/>
    <w:rsid w:val="00D4483D"/>
    <w:rsid w:val="00D44983"/>
    <w:rsid w:val="00D44BA1"/>
    <w:rsid w:val="00D44D75"/>
    <w:rsid w:val="00D44F36"/>
    <w:rsid w:val="00D450D1"/>
    <w:rsid w:val="00D450F6"/>
    <w:rsid w:val="00D45142"/>
    <w:rsid w:val="00D4521D"/>
    <w:rsid w:val="00D4524D"/>
    <w:rsid w:val="00D45316"/>
    <w:rsid w:val="00D454A1"/>
    <w:rsid w:val="00D45705"/>
    <w:rsid w:val="00D45711"/>
    <w:rsid w:val="00D457D3"/>
    <w:rsid w:val="00D4580A"/>
    <w:rsid w:val="00D45C4D"/>
    <w:rsid w:val="00D45C6F"/>
    <w:rsid w:val="00D45DD6"/>
    <w:rsid w:val="00D45EB3"/>
    <w:rsid w:val="00D4606F"/>
    <w:rsid w:val="00D460D6"/>
    <w:rsid w:val="00D4615E"/>
    <w:rsid w:val="00D46179"/>
    <w:rsid w:val="00D46195"/>
    <w:rsid w:val="00D461E8"/>
    <w:rsid w:val="00D46225"/>
    <w:rsid w:val="00D46283"/>
    <w:rsid w:val="00D464A7"/>
    <w:rsid w:val="00D464C2"/>
    <w:rsid w:val="00D465E2"/>
    <w:rsid w:val="00D466B4"/>
    <w:rsid w:val="00D466B5"/>
    <w:rsid w:val="00D46741"/>
    <w:rsid w:val="00D46838"/>
    <w:rsid w:val="00D46841"/>
    <w:rsid w:val="00D46A19"/>
    <w:rsid w:val="00D46A28"/>
    <w:rsid w:val="00D46B28"/>
    <w:rsid w:val="00D46BFD"/>
    <w:rsid w:val="00D46FD9"/>
    <w:rsid w:val="00D46FFA"/>
    <w:rsid w:val="00D4712C"/>
    <w:rsid w:val="00D47229"/>
    <w:rsid w:val="00D473D2"/>
    <w:rsid w:val="00D474B7"/>
    <w:rsid w:val="00D4760B"/>
    <w:rsid w:val="00D47729"/>
    <w:rsid w:val="00D47787"/>
    <w:rsid w:val="00D477D5"/>
    <w:rsid w:val="00D477EA"/>
    <w:rsid w:val="00D478C1"/>
    <w:rsid w:val="00D47985"/>
    <w:rsid w:val="00D479E3"/>
    <w:rsid w:val="00D47A44"/>
    <w:rsid w:val="00D47F41"/>
    <w:rsid w:val="00D500D9"/>
    <w:rsid w:val="00D50237"/>
    <w:rsid w:val="00D503E3"/>
    <w:rsid w:val="00D5048F"/>
    <w:rsid w:val="00D505AE"/>
    <w:rsid w:val="00D5067B"/>
    <w:rsid w:val="00D5084B"/>
    <w:rsid w:val="00D50A00"/>
    <w:rsid w:val="00D50A50"/>
    <w:rsid w:val="00D50AB6"/>
    <w:rsid w:val="00D50B29"/>
    <w:rsid w:val="00D50C95"/>
    <w:rsid w:val="00D50CDE"/>
    <w:rsid w:val="00D50D4E"/>
    <w:rsid w:val="00D50D58"/>
    <w:rsid w:val="00D50E6B"/>
    <w:rsid w:val="00D511B2"/>
    <w:rsid w:val="00D513D6"/>
    <w:rsid w:val="00D5146A"/>
    <w:rsid w:val="00D51493"/>
    <w:rsid w:val="00D514B8"/>
    <w:rsid w:val="00D5164A"/>
    <w:rsid w:val="00D519AC"/>
    <w:rsid w:val="00D519E4"/>
    <w:rsid w:val="00D51A61"/>
    <w:rsid w:val="00D51A88"/>
    <w:rsid w:val="00D51A93"/>
    <w:rsid w:val="00D51B23"/>
    <w:rsid w:val="00D51BF2"/>
    <w:rsid w:val="00D521AC"/>
    <w:rsid w:val="00D52455"/>
    <w:rsid w:val="00D524B4"/>
    <w:rsid w:val="00D52613"/>
    <w:rsid w:val="00D5272B"/>
    <w:rsid w:val="00D52795"/>
    <w:rsid w:val="00D527D8"/>
    <w:rsid w:val="00D52888"/>
    <w:rsid w:val="00D52B77"/>
    <w:rsid w:val="00D52BAB"/>
    <w:rsid w:val="00D52D18"/>
    <w:rsid w:val="00D52D2E"/>
    <w:rsid w:val="00D52D79"/>
    <w:rsid w:val="00D52EFC"/>
    <w:rsid w:val="00D5309F"/>
    <w:rsid w:val="00D533C1"/>
    <w:rsid w:val="00D53584"/>
    <w:rsid w:val="00D53636"/>
    <w:rsid w:val="00D538B4"/>
    <w:rsid w:val="00D5397D"/>
    <w:rsid w:val="00D53ECE"/>
    <w:rsid w:val="00D53F27"/>
    <w:rsid w:val="00D540CA"/>
    <w:rsid w:val="00D540E5"/>
    <w:rsid w:val="00D54113"/>
    <w:rsid w:val="00D5440E"/>
    <w:rsid w:val="00D54511"/>
    <w:rsid w:val="00D546C4"/>
    <w:rsid w:val="00D548FA"/>
    <w:rsid w:val="00D54C09"/>
    <w:rsid w:val="00D54C7C"/>
    <w:rsid w:val="00D54CBF"/>
    <w:rsid w:val="00D55009"/>
    <w:rsid w:val="00D550D9"/>
    <w:rsid w:val="00D55349"/>
    <w:rsid w:val="00D55494"/>
    <w:rsid w:val="00D554CD"/>
    <w:rsid w:val="00D555D7"/>
    <w:rsid w:val="00D555E8"/>
    <w:rsid w:val="00D55617"/>
    <w:rsid w:val="00D556CC"/>
    <w:rsid w:val="00D557C9"/>
    <w:rsid w:val="00D558A1"/>
    <w:rsid w:val="00D559E3"/>
    <w:rsid w:val="00D55F33"/>
    <w:rsid w:val="00D56063"/>
    <w:rsid w:val="00D560AD"/>
    <w:rsid w:val="00D56371"/>
    <w:rsid w:val="00D5657C"/>
    <w:rsid w:val="00D565DA"/>
    <w:rsid w:val="00D56708"/>
    <w:rsid w:val="00D569BA"/>
    <w:rsid w:val="00D56A55"/>
    <w:rsid w:val="00D56CD2"/>
    <w:rsid w:val="00D56E4C"/>
    <w:rsid w:val="00D56EB5"/>
    <w:rsid w:val="00D56EC0"/>
    <w:rsid w:val="00D56F6B"/>
    <w:rsid w:val="00D56FDD"/>
    <w:rsid w:val="00D57058"/>
    <w:rsid w:val="00D57085"/>
    <w:rsid w:val="00D57133"/>
    <w:rsid w:val="00D5716E"/>
    <w:rsid w:val="00D57325"/>
    <w:rsid w:val="00D5738B"/>
    <w:rsid w:val="00D573F9"/>
    <w:rsid w:val="00D574B5"/>
    <w:rsid w:val="00D57620"/>
    <w:rsid w:val="00D578A1"/>
    <w:rsid w:val="00D578E9"/>
    <w:rsid w:val="00D579DB"/>
    <w:rsid w:val="00D57C1A"/>
    <w:rsid w:val="00D57E33"/>
    <w:rsid w:val="00D57F14"/>
    <w:rsid w:val="00D6004C"/>
    <w:rsid w:val="00D60196"/>
    <w:rsid w:val="00D604F1"/>
    <w:rsid w:val="00D605D2"/>
    <w:rsid w:val="00D606B4"/>
    <w:rsid w:val="00D6071B"/>
    <w:rsid w:val="00D60769"/>
    <w:rsid w:val="00D60899"/>
    <w:rsid w:val="00D60AFB"/>
    <w:rsid w:val="00D60DC6"/>
    <w:rsid w:val="00D60FFE"/>
    <w:rsid w:val="00D610D3"/>
    <w:rsid w:val="00D61282"/>
    <w:rsid w:val="00D613FD"/>
    <w:rsid w:val="00D6143F"/>
    <w:rsid w:val="00D6144D"/>
    <w:rsid w:val="00D61593"/>
    <w:rsid w:val="00D615AE"/>
    <w:rsid w:val="00D615B0"/>
    <w:rsid w:val="00D615C1"/>
    <w:rsid w:val="00D616A2"/>
    <w:rsid w:val="00D617A6"/>
    <w:rsid w:val="00D618B9"/>
    <w:rsid w:val="00D6191E"/>
    <w:rsid w:val="00D61930"/>
    <w:rsid w:val="00D6198D"/>
    <w:rsid w:val="00D619EE"/>
    <w:rsid w:val="00D61A63"/>
    <w:rsid w:val="00D61A76"/>
    <w:rsid w:val="00D61DC6"/>
    <w:rsid w:val="00D62027"/>
    <w:rsid w:val="00D621A4"/>
    <w:rsid w:val="00D621BB"/>
    <w:rsid w:val="00D6223A"/>
    <w:rsid w:val="00D6250E"/>
    <w:rsid w:val="00D6264E"/>
    <w:rsid w:val="00D628C0"/>
    <w:rsid w:val="00D62AC6"/>
    <w:rsid w:val="00D62BA6"/>
    <w:rsid w:val="00D62C2B"/>
    <w:rsid w:val="00D62D5A"/>
    <w:rsid w:val="00D62D68"/>
    <w:rsid w:val="00D62D82"/>
    <w:rsid w:val="00D630F3"/>
    <w:rsid w:val="00D63232"/>
    <w:rsid w:val="00D63258"/>
    <w:rsid w:val="00D63363"/>
    <w:rsid w:val="00D636AC"/>
    <w:rsid w:val="00D63931"/>
    <w:rsid w:val="00D63C6C"/>
    <w:rsid w:val="00D63E7F"/>
    <w:rsid w:val="00D641A4"/>
    <w:rsid w:val="00D641CF"/>
    <w:rsid w:val="00D64484"/>
    <w:rsid w:val="00D64539"/>
    <w:rsid w:val="00D6453B"/>
    <w:rsid w:val="00D646F2"/>
    <w:rsid w:val="00D64785"/>
    <w:rsid w:val="00D647EA"/>
    <w:rsid w:val="00D6483E"/>
    <w:rsid w:val="00D648DF"/>
    <w:rsid w:val="00D64914"/>
    <w:rsid w:val="00D64A6F"/>
    <w:rsid w:val="00D64B82"/>
    <w:rsid w:val="00D64DB2"/>
    <w:rsid w:val="00D64E05"/>
    <w:rsid w:val="00D64F54"/>
    <w:rsid w:val="00D65029"/>
    <w:rsid w:val="00D6507F"/>
    <w:rsid w:val="00D65093"/>
    <w:rsid w:val="00D6546A"/>
    <w:rsid w:val="00D65648"/>
    <w:rsid w:val="00D656A1"/>
    <w:rsid w:val="00D657BB"/>
    <w:rsid w:val="00D657E0"/>
    <w:rsid w:val="00D658CE"/>
    <w:rsid w:val="00D658D0"/>
    <w:rsid w:val="00D65A75"/>
    <w:rsid w:val="00D65D14"/>
    <w:rsid w:val="00D6631A"/>
    <w:rsid w:val="00D664D5"/>
    <w:rsid w:val="00D664E4"/>
    <w:rsid w:val="00D6695A"/>
    <w:rsid w:val="00D66971"/>
    <w:rsid w:val="00D66A0C"/>
    <w:rsid w:val="00D66AF2"/>
    <w:rsid w:val="00D66C25"/>
    <w:rsid w:val="00D66D5C"/>
    <w:rsid w:val="00D66E4C"/>
    <w:rsid w:val="00D670CF"/>
    <w:rsid w:val="00D67130"/>
    <w:rsid w:val="00D67187"/>
    <w:rsid w:val="00D671EC"/>
    <w:rsid w:val="00D6737B"/>
    <w:rsid w:val="00D675A5"/>
    <w:rsid w:val="00D67A22"/>
    <w:rsid w:val="00D67AF5"/>
    <w:rsid w:val="00D67B84"/>
    <w:rsid w:val="00D67CDA"/>
    <w:rsid w:val="00D67CDD"/>
    <w:rsid w:val="00D67ED6"/>
    <w:rsid w:val="00D70056"/>
    <w:rsid w:val="00D700D1"/>
    <w:rsid w:val="00D70124"/>
    <w:rsid w:val="00D70147"/>
    <w:rsid w:val="00D703A7"/>
    <w:rsid w:val="00D7042F"/>
    <w:rsid w:val="00D70644"/>
    <w:rsid w:val="00D70937"/>
    <w:rsid w:val="00D709EB"/>
    <w:rsid w:val="00D70AFD"/>
    <w:rsid w:val="00D70B5F"/>
    <w:rsid w:val="00D70BEC"/>
    <w:rsid w:val="00D70CCA"/>
    <w:rsid w:val="00D70D72"/>
    <w:rsid w:val="00D70D9B"/>
    <w:rsid w:val="00D70DBC"/>
    <w:rsid w:val="00D70E09"/>
    <w:rsid w:val="00D70F89"/>
    <w:rsid w:val="00D7111A"/>
    <w:rsid w:val="00D7119B"/>
    <w:rsid w:val="00D71223"/>
    <w:rsid w:val="00D71232"/>
    <w:rsid w:val="00D71431"/>
    <w:rsid w:val="00D714A2"/>
    <w:rsid w:val="00D7150C"/>
    <w:rsid w:val="00D7157E"/>
    <w:rsid w:val="00D7166A"/>
    <w:rsid w:val="00D71803"/>
    <w:rsid w:val="00D71A86"/>
    <w:rsid w:val="00D71B06"/>
    <w:rsid w:val="00D71C03"/>
    <w:rsid w:val="00D71C52"/>
    <w:rsid w:val="00D71CCD"/>
    <w:rsid w:val="00D71D24"/>
    <w:rsid w:val="00D71E5D"/>
    <w:rsid w:val="00D71F26"/>
    <w:rsid w:val="00D720DA"/>
    <w:rsid w:val="00D72133"/>
    <w:rsid w:val="00D72202"/>
    <w:rsid w:val="00D7245B"/>
    <w:rsid w:val="00D724E5"/>
    <w:rsid w:val="00D7268F"/>
    <w:rsid w:val="00D72793"/>
    <w:rsid w:val="00D7292E"/>
    <w:rsid w:val="00D729BF"/>
    <w:rsid w:val="00D72A52"/>
    <w:rsid w:val="00D72A69"/>
    <w:rsid w:val="00D72AB7"/>
    <w:rsid w:val="00D72AD9"/>
    <w:rsid w:val="00D72B2A"/>
    <w:rsid w:val="00D72C55"/>
    <w:rsid w:val="00D72CB8"/>
    <w:rsid w:val="00D72CE9"/>
    <w:rsid w:val="00D72E03"/>
    <w:rsid w:val="00D72E4F"/>
    <w:rsid w:val="00D72E5F"/>
    <w:rsid w:val="00D73474"/>
    <w:rsid w:val="00D73499"/>
    <w:rsid w:val="00D73533"/>
    <w:rsid w:val="00D7355F"/>
    <w:rsid w:val="00D73786"/>
    <w:rsid w:val="00D738A5"/>
    <w:rsid w:val="00D738DC"/>
    <w:rsid w:val="00D73908"/>
    <w:rsid w:val="00D73BF3"/>
    <w:rsid w:val="00D73D02"/>
    <w:rsid w:val="00D73F36"/>
    <w:rsid w:val="00D74192"/>
    <w:rsid w:val="00D74238"/>
    <w:rsid w:val="00D742DE"/>
    <w:rsid w:val="00D744CC"/>
    <w:rsid w:val="00D74965"/>
    <w:rsid w:val="00D74A23"/>
    <w:rsid w:val="00D74AE5"/>
    <w:rsid w:val="00D74BDC"/>
    <w:rsid w:val="00D74BE3"/>
    <w:rsid w:val="00D74F7D"/>
    <w:rsid w:val="00D75081"/>
    <w:rsid w:val="00D750C3"/>
    <w:rsid w:val="00D75176"/>
    <w:rsid w:val="00D752BF"/>
    <w:rsid w:val="00D7554B"/>
    <w:rsid w:val="00D755FE"/>
    <w:rsid w:val="00D75655"/>
    <w:rsid w:val="00D7581D"/>
    <w:rsid w:val="00D75832"/>
    <w:rsid w:val="00D75873"/>
    <w:rsid w:val="00D75A0A"/>
    <w:rsid w:val="00D75A32"/>
    <w:rsid w:val="00D75BB4"/>
    <w:rsid w:val="00D75BBE"/>
    <w:rsid w:val="00D75C4B"/>
    <w:rsid w:val="00D75D00"/>
    <w:rsid w:val="00D75DF2"/>
    <w:rsid w:val="00D75FDA"/>
    <w:rsid w:val="00D76159"/>
    <w:rsid w:val="00D7619B"/>
    <w:rsid w:val="00D76337"/>
    <w:rsid w:val="00D7664C"/>
    <w:rsid w:val="00D76775"/>
    <w:rsid w:val="00D768E1"/>
    <w:rsid w:val="00D76913"/>
    <w:rsid w:val="00D76A3B"/>
    <w:rsid w:val="00D76C34"/>
    <w:rsid w:val="00D76C37"/>
    <w:rsid w:val="00D7737B"/>
    <w:rsid w:val="00D773AF"/>
    <w:rsid w:val="00D775A0"/>
    <w:rsid w:val="00D77639"/>
    <w:rsid w:val="00D77829"/>
    <w:rsid w:val="00D77AB2"/>
    <w:rsid w:val="00D77B43"/>
    <w:rsid w:val="00D77C0E"/>
    <w:rsid w:val="00D77C2F"/>
    <w:rsid w:val="00D77D03"/>
    <w:rsid w:val="00D77DEA"/>
    <w:rsid w:val="00D77ECE"/>
    <w:rsid w:val="00D77F47"/>
    <w:rsid w:val="00D80093"/>
    <w:rsid w:val="00D802DF"/>
    <w:rsid w:val="00D8030D"/>
    <w:rsid w:val="00D80327"/>
    <w:rsid w:val="00D8048B"/>
    <w:rsid w:val="00D80788"/>
    <w:rsid w:val="00D8086F"/>
    <w:rsid w:val="00D80880"/>
    <w:rsid w:val="00D809E9"/>
    <w:rsid w:val="00D80A65"/>
    <w:rsid w:val="00D80BAB"/>
    <w:rsid w:val="00D80C19"/>
    <w:rsid w:val="00D80D02"/>
    <w:rsid w:val="00D80D14"/>
    <w:rsid w:val="00D80FED"/>
    <w:rsid w:val="00D810CF"/>
    <w:rsid w:val="00D811A0"/>
    <w:rsid w:val="00D812C4"/>
    <w:rsid w:val="00D813AE"/>
    <w:rsid w:val="00D8151B"/>
    <w:rsid w:val="00D8170A"/>
    <w:rsid w:val="00D81812"/>
    <w:rsid w:val="00D818D4"/>
    <w:rsid w:val="00D81B11"/>
    <w:rsid w:val="00D81BD2"/>
    <w:rsid w:val="00D81E14"/>
    <w:rsid w:val="00D81F8B"/>
    <w:rsid w:val="00D820DB"/>
    <w:rsid w:val="00D82171"/>
    <w:rsid w:val="00D8246B"/>
    <w:rsid w:val="00D8269D"/>
    <w:rsid w:val="00D826A8"/>
    <w:rsid w:val="00D827E1"/>
    <w:rsid w:val="00D82911"/>
    <w:rsid w:val="00D82978"/>
    <w:rsid w:val="00D82A37"/>
    <w:rsid w:val="00D82A96"/>
    <w:rsid w:val="00D82E5C"/>
    <w:rsid w:val="00D82EC3"/>
    <w:rsid w:val="00D82F49"/>
    <w:rsid w:val="00D83353"/>
    <w:rsid w:val="00D8346A"/>
    <w:rsid w:val="00D83843"/>
    <w:rsid w:val="00D8398F"/>
    <w:rsid w:val="00D839C7"/>
    <w:rsid w:val="00D83B1D"/>
    <w:rsid w:val="00D83C33"/>
    <w:rsid w:val="00D83C69"/>
    <w:rsid w:val="00D83CD1"/>
    <w:rsid w:val="00D8401B"/>
    <w:rsid w:val="00D84342"/>
    <w:rsid w:val="00D84451"/>
    <w:rsid w:val="00D844D0"/>
    <w:rsid w:val="00D84614"/>
    <w:rsid w:val="00D846AD"/>
    <w:rsid w:val="00D84787"/>
    <w:rsid w:val="00D84A5A"/>
    <w:rsid w:val="00D84B91"/>
    <w:rsid w:val="00D84BBB"/>
    <w:rsid w:val="00D84BED"/>
    <w:rsid w:val="00D84C47"/>
    <w:rsid w:val="00D84D0F"/>
    <w:rsid w:val="00D84F35"/>
    <w:rsid w:val="00D850B1"/>
    <w:rsid w:val="00D850C0"/>
    <w:rsid w:val="00D85229"/>
    <w:rsid w:val="00D852DF"/>
    <w:rsid w:val="00D852FE"/>
    <w:rsid w:val="00D8542A"/>
    <w:rsid w:val="00D85918"/>
    <w:rsid w:val="00D85956"/>
    <w:rsid w:val="00D85A25"/>
    <w:rsid w:val="00D85BD6"/>
    <w:rsid w:val="00D85BF1"/>
    <w:rsid w:val="00D85C84"/>
    <w:rsid w:val="00D85D04"/>
    <w:rsid w:val="00D85E75"/>
    <w:rsid w:val="00D85EBA"/>
    <w:rsid w:val="00D8603B"/>
    <w:rsid w:val="00D86303"/>
    <w:rsid w:val="00D86378"/>
    <w:rsid w:val="00D863BE"/>
    <w:rsid w:val="00D86752"/>
    <w:rsid w:val="00D86893"/>
    <w:rsid w:val="00D86959"/>
    <w:rsid w:val="00D869E6"/>
    <w:rsid w:val="00D86D03"/>
    <w:rsid w:val="00D86D93"/>
    <w:rsid w:val="00D8707B"/>
    <w:rsid w:val="00D870DC"/>
    <w:rsid w:val="00D871AE"/>
    <w:rsid w:val="00D87305"/>
    <w:rsid w:val="00D8759D"/>
    <w:rsid w:val="00D876C3"/>
    <w:rsid w:val="00D87872"/>
    <w:rsid w:val="00D87A57"/>
    <w:rsid w:val="00D87BAA"/>
    <w:rsid w:val="00D87C22"/>
    <w:rsid w:val="00D87FB9"/>
    <w:rsid w:val="00D90059"/>
    <w:rsid w:val="00D90083"/>
    <w:rsid w:val="00D9025D"/>
    <w:rsid w:val="00D90340"/>
    <w:rsid w:val="00D90470"/>
    <w:rsid w:val="00D9052F"/>
    <w:rsid w:val="00D90774"/>
    <w:rsid w:val="00D9089D"/>
    <w:rsid w:val="00D908F5"/>
    <w:rsid w:val="00D90A1D"/>
    <w:rsid w:val="00D90AD8"/>
    <w:rsid w:val="00D90B04"/>
    <w:rsid w:val="00D90BA9"/>
    <w:rsid w:val="00D90C11"/>
    <w:rsid w:val="00D90D33"/>
    <w:rsid w:val="00D90DE2"/>
    <w:rsid w:val="00D90EF3"/>
    <w:rsid w:val="00D91002"/>
    <w:rsid w:val="00D9119F"/>
    <w:rsid w:val="00D914B3"/>
    <w:rsid w:val="00D914D2"/>
    <w:rsid w:val="00D91671"/>
    <w:rsid w:val="00D91804"/>
    <w:rsid w:val="00D91949"/>
    <w:rsid w:val="00D919B7"/>
    <w:rsid w:val="00D91AAE"/>
    <w:rsid w:val="00D91AB6"/>
    <w:rsid w:val="00D91AD8"/>
    <w:rsid w:val="00D91B50"/>
    <w:rsid w:val="00D91BB9"/>
    <w:rsid w:val="00D91BCA"/>
    <w:rsid w:val="00D91D1D"/>
    <w:rsid w:val="00D91F36"/>
    <w:rsid w:val="00D920A5"/>
    <w:rsid w:val="00D92329"/>
    <w:rsid w:val="00D923E3"/>
    <w:rsid w:val="00D924E5"/>
    <w:rsid w:val="00D92531"/>
    <w:rsid w:val="00D92546"/>
    <w:rsid w:val="00D92575"/>
    <w:rsid w:val="00D925BC"/>
    <w:rsid w:val="00D925FD"/>
    <w:rsid w:val="00D927C9"/>
    <w:rsid w:val="00D92956"/>
    <w:rsid w:val="00D92D54"/>
    <w:rsid w:val="00D92DDE"/>
    <w:rsid w:val="00D92E15"/>
    <w:rsid w:val="00D92F83"/>
    <w:rsid w:val="00D93080"/>
    <w:rsid w:val="00D93153"/>
    <w:rsid w:val="00D9320B"/>
    <w:rsid w:val="00D934D1"/>
    <w:rsid w:val="00D936C8"/>
    <w:rsid w:val="00D937EA"/>
    <w:rsid w:val="00D93956"/>
    <w:rsid w:val="00D93969"/>
    <w:rsid w:val="00D93A21"/>
    <w:rsid w:val="00D93A3C"/>
    <w:rsid w:val="00D93D49"/>
    <w:rsid w:val="00D93E95"/>
    <w:rsid w:val="00D93F6C"/>
    <w:rsid w:val="00D94465"/>
    <w:rsid w:val="00D944F5"/>
    <w:rsid w:val="00D946B7"/>
    <w:rsid w:val="00D946F1"/>
    <w:rsid w:val="00D947D9"/>
    <w:rsid w:val="00D948FC"/>
    <w:rsid w:val="00D94A31"/>
    <w:rsid w:val="00D94A5D"/>
    <w:rsid w:val="00D94AB7"/>
    <w:rsid w:val="00D94B34"/>
    <w:rsid w:val="00D94F81"/>
    <w:rsid w:val="00D951D1"/>
    <w:rsid w:val="00D951F1"/>
    <w:rsid w:val="00D95217"/>
    <w:rsid w:val="00D952B9"/>
    <w:rsid w:val="00D95461"/>
    <w:rsid w:val="00D955F3"/>
    <w:rsid w:val="00D95615"/>
    <w:rsid w:val="00D95659"/>
    <w:rsid w:val="00D958E5"/>
    <w:rsid w:val="00D9594C"/>
    <w:rsid w:val="00D95D0F"/>
    <w:rsid w:val="00D95DE4"/>
    <w:rsid w:val="00D96028"/>
    <w:rsid w:val="00D96099"/>
    <w:rsid w:val="00D960A1"/>
    <w:rsid w:val="00D96175"/>
    <w:rsid w:val="00D961B5"/>
    <w:rsid w:val="00D96345"/>
    <w:rsid w:val="00D96347"/>
    <w:rsid w:val="00D963DA"/>
    <w:rsid w:val="00D9679D"/>
    <w:rsid w:val="00D969ED"/>
    <w:rsid w:val="00D96A34"/>
    <w:rsid w:val="00D96A56"/>
    <w:rsid w:val="00D96A8C"/>
    <w:rsid w:val="00D96AB0"/>
    <w:rsid w:val="00D96B29"/>
    <w:rsid w:val="00D96CAA"/>
    <w:rsid w:val="00D96D3B"/>
    <w:rsid w:val="00D96D5B"/>
    <w:rsid w:val="00D97158"/>
    <w:rsid w:val="00D973AF"/>
    <w:rsid w:val="00D97588"/>
    <w:rsid w:val="00D975B4"/>
    <w:rsid w:val="00D975F2"/>
    <w:rsid w:val="00D9766E"/>
    <w:rsid w:val="00D97705"/>
    <w:rsid w:val="00D978C7"/>
    <w:rsid w:val="00D97EBA"/>
    <w:rsid w:val="00D97F80"/>
    <w:rsid w:val="00DA006A"/>
    <w:rsid w:val="00DA006B"/>
    <w:rsid w:val="00DA018F"/>
    <w:rsid w:val="00DA0268"/>
    <w:rsid w:val="00DA03BA"/>
    <w:rsid w:val="00DA04E3"/>
    <w:rsid w:val="00DA051C"/>
    <w:rsid w:val="00DA053C"/>
    <w:rsid w:val="00DA06F0"/>
    <w:rsid w:val="00DA0999"/>
    <w:rsid w:val="00DA0D71"/>
    <w:rsid w:val="00DA1161"/>
    <w:rsid w:val="00DA12F2"/>
    <w:rsid w:val="00DA1594"/>
    <w:rsid w:val="00DA184C"/>
    <w:rsid w:val="00DA18B1"/>
    <w:rsid w:val="00DA18B3"/>
    <w:rsid w:val="00DA1B3C"/>
    <w:rsid w:val="00DA1BAE"/>
    <w:rsid w:val="00DA1BDA"/>
    <w:rsid w:val="00DA1C15"/>
    <w:rsid w:val="00DA1CD4"/>
    <w:rsid w:val="00DA1F4D"/>
    <w:rsid w:val="00DA22A1"/>
    <w:rsid w:val="00DA2382"/>
    <w:rsid w:val="00DA24C5"/>
    <w:rsid w:val="00DA2B3D"/>
    <w:rsid w:val="00DA2C71"/>
    <w:rsid w:val="00DA2CE0"/>
    <w:rsid w:val="00DA2CF1"/>
    <w:rsid w:val="00DA2D1B"/>
    <w:rsid w:val="00DA2F4F"/>
    <w:rsid w:val="00DA3265"/>
    <w:rsid w:val="00DA3311"/>
    <w:rsid w:val="00DA33A6"/>
    <w:rsid w:val="00DA33FB"/>
    <w:rsid w:val="00DA3496"/>
    <w:rsid w:val="00DA3770"/>
    <w:rsid w:val="00DA3AF6"/>
    <w:rsid w:val="00DA3FF9"/>
    <w:rsid w:val="00DA4547"/>
    <w:rsid w:val="00DA4703"/>
    <w:rsid w:val="00DA4A24"/>
    <w:rsid w:val="00DA4B5C"/>
    <w:rsid w:val="00DA4EF2"/>
    <w:rsid w:val="00DA4FE7"/>
    <w:rsid w:val="00DA4FF5"/>
    <w:rsid w:val="00DA58EB"/>
    <w:rsid w:val="00DA59EC"/>
    <w:rsid w:val="00DA5A30"/>
    <w:rsid w:val="00DA5A47"/>
    <w:rsid w:val="00DA5C67"/>
    <w:rsid w:val="00DA5FD1"/>
    <w:rsid w:val="00DA6195"/>
    <w:rsid w:val="00DA61A9"/>
    <w:rsid w:val="00DA627C"/>
    <w:rsid w:val="00DA62AC"/>
    <w:rsid w:val="00DA62AF"/>
    <w:rsid w:val="00DA62FF"/>
    <w:rsid w:val="00DA6338"/>
    <w:rsid w:val="00DA6357"/>
    <w:rsid w:val="00DA6366"/>
    <w:rsid w:val="00DA63C7"/>
    <w:rsid w:val="00DA643B"/>
    <w:rsid w:val="00DA644D"/>
    <w:rsid w:val="00DA6602"/>
    <w:rsid w:val="00DA668E"/>
    <w:rsid w:val="00DA699D"/>
    <w:rsid w:val="00DA6A10"/>
    <w:rsid w:val="00DA6A23"/>
    <w:rsid w:val="00DA6A2F"/>
    <w:rsid w:val="00DA6A75"/>
    <w:rsid w:val="00DA6BDD"/>
    <w:rsid w:val="00DA6C65"/>
    <w:rsid w:val="00DA6D04"/>
    <w:rsid w:val="00DA6E17"/>
    <w:rsid w:val="00DA6F86"/>
    <w:rsid w:val="00DA72C9"/>
    <w:rsid w:val="00DA74F9"/>
    <w:rsid w:val="00DA7506"/>
    <w:rsid w:val="00DA7556"/>
    <w:rsid w:val="00DA78C5"/>
    <w:rsid w:val="00DA79C6"/>
    <w:rsid w:val="00DA7AAC"/>
    <w:rsid w:val="00DA7B52"/>
    <w:rsid w:val="00DA7C60"/>
    <w:rsid w:val="00DA7DA3"/>
    <w:rsid w:val="00DA7FAF"/>
    <w:rsid w:val="00DB02B0"/>
    <w:rsid w:val="00DB05B9"/>
    <w:rsid w:val="00DB05F6"/>
    <w:rsid w:val="00DB074F"/>
    <w:rsid w:val="00DB07DA"/>
    <w:rsid w:val="00DB0819"/>
    <w:rsid w:val="00DB088B"/>
    <w:rsid w:val="00DB0939"/>
    <w:rsid w:val="00DB0951"/>
    <w:rsid w:val="00DB0A20"/>
    <w:rsid w:val="00DB0A79"/>
    <w:rsid w:val="00DB0A95"/>
    <w:rsid w:val="00DB0B49"/>
    <w:rsid w:val="00DB0D55"/>
    <w:rsid w:val="00DB1069"/>
    <w:rsid w:val="00DB13B6"/>
    <w:rsid w:val="00DB1443"/>
    <w:rsid w:val="00DB1483"/>
    <w:rsid w:val="00DB154B"/>
    <w:rsid w:val="00DB1573"/>
    <w:rsid w:val="00DB16EA"/>
    <w:rsid w:val="00DB1B2D"/>
    <w:rsid w:val="00DB1BB8"/>
    <w:rsid w:val="00DB1C47"/>
    <w:rsid w:val="00DB1C8A"/>
    <w:rsid w:val="00DB1CC8"/>
    <w:rsid w:val="00DB1F57"/>
    <w:rsid w:val="00DB2097"/>
    <w:rsid w:val="00DB254B"/>
    <w:rsid w:val="00DB25BF"/>
    <w:rsid w:val="00DB2639"/>
    <w:rsid w:val="00DB2D21"/>
    <w:rsid w:val="00DB2FE1"/>
    <w:rsid w:val="00DB313D"/>
    <w:rsid w:val="00DB398D"/>
    <w:rsid w:val="00DB398F"/>
    <w:rsid w:val="00DB3C83"/>
    <w:rsid w:val="00DB3CD1"/>
    <w:rsid w:val="00DB3D14"/>
    <w:rsid w:val="00DB3E0A"/>
    <w:rsid w:val="00DB41A3"/>
    <w:rsid w:val="00DB43AA"/>
    <w:rsid w:val="00DB44E2"/>
    <w:rsid w:val="00DB47EF"/>
    <w:rsid w:val="00DB4837"/>
    <w:rsid w:val="00DB4838"/>
    <w:rsid w:val="00DB48CC"/>
    <w:rsid w:val="00DB4B59"/>
    <w:rsid w:val="00DB4B7B"/>
    <w:rsid w:val="00DB4BAC"/>
    <w:rsid w:val="00DB4C35"/>
    <w:rsid w:val="00DB4CF1"/>
    <w:rsid w:val="00DB4E13"/>
    <w:rsid w:val="00DB4EE3"/>
    <w:rsid w:val="00DB5150"/>
    <w:rsid w:val="00DB51FE"/>
    <w:rsid w:val="00DB546A"/>
    <w:rsid w:val="00DB5502"/>
    <w:rsid w:val="00DB5825"/>
    <w:rsid w:val="00DB5BCB"/>
    <w:rsid w:val="00DB5CE7"/>
    <w:rsid w:val="00DB5D0A"/>
    <w:rsid w:val="00DB5DDB"/>
    <w:rsid w:val="00DB5E2E"/>
    <w:rsid w:val="00DB5E76"/>
    <w:rsid w:val="00DB5F1C"/>
    <w:rsid w:val="00DB6007"/>
    <w:rsid w:val="00DB601F"/>
    <w:rsid w:val="00DB608D"/>
    <w:rsid w:val="00DB6167"/>
    <w:rsid w:val="00DB616D"/>
    <w:rsid w:val="00DB61DC"/>
    <w:rsid w:val="00DB62E7"/>
    <w:rsid w:val="00DB6551"/>
    <w:rsid w:val="00DB65A5"/>
    <w:rsid w:val="00DB6600"/>
    <w:rsid w:val="00DB661C"/>
    <w:rsid w:val="00DB675E"/>
    <w:rsid w:val="00DB67D7"/>
    <w:rsid w:val="00DB695B"/>
    <w:rsid w:val="00DB69C6"/>
    <w:rsid w:val="00DB6BC5"/>
    <w:rsid w:val="00DB6CBB"/>
    <w:rsid w:val="00DB6D14"/>
    <w:rsid w:val="00DB6F26"/>
    <w:rsid w:val="00DB6F5C"/>
    <w:rsid w:val="00DB7250"/>
    <w:rsid w:val="00DB746B"/>
    <w:rsid w:val="00DB7483"/>
    <w:rsid w:val="00DB74A5"/>
    <w:rsid w:val="00DB7561"/>
    <w:rsid w:val="00DB75BE"/>
    <w:rsid w:val="00DB77D6"/>
    <w:rsid w:val="00DB7AB1"/>
    <w:rsid w:val="00DB7B6F"/>
    <w:rsid w:val="00DB7D65"/>
    <w:rsid w:val="00DB7D8C"/>
    <w:rsid w:val="00DB7F97"/>
    <w:rsid w:val="00DB7FFD"/>
    <w:rsid w:val="00DC027A"/>
    <w:rsid w:val="00DC0320"/>
    <w:rsid w:val="00DC03D9"/>
    <w:rsid w:val="00DC0442"/>
    <w:rsid w:val="00DC046C"/>
    <w:rsid w:val="00DC0476"/>
    <w:rsid w:val="00DC05F1"/>
    <w:rsid w:val="00DC0805"/>
    <w:rsid w:val="00DC095A"/>
    <w:rsid w:val="00DC0987"/>
    <w:rsid w:val="00DC09AA"/>
    <w:rsid w:val="00DC0A3F"/>
    <w:rsid w:val="00DC0B23"/>
    <w:rsid w:val="00DC0B25"/>
    <w:rsid w:val="00DC0EEC"/>
    <w:rsid w:val="00DC1014"/>
    <w:rsid w:val="00DC1029"/>
    <w:rsid w:val="00DC112C"/>
    <w:rsid w:val="00DC125D"/>
    <w:rsid w:val="00DC1502"/>
    <w:rsid w:val="00DC1C9A"/>
    <w:rsid w:val="00DC1D20"/>
    <w:rsid w:val="00DC1EA5"/>
    <w:rsid w:val="00DC2003"/>
    <w:rsid w:val="00DC20DA"/>
    <w:rsid w:val="00DC21F0"/>
    <w:rsid w:val="00DC21F8"/>
    <w:rsid w:val="00DC2315"/>
    <w:rsid w:val="00DC2425"/>
    <w:rsid w:val="00DC2430"/>
    <w:rsid w:val="00DC246F"/>
    <w:rsid w:val="00DC255C"/>
    <w:rsid w:val="00DC256D"/>
    <w:rsid w:val="00DC2577"/>
    <w:rsid w:val="00DC25CC"/>
    <w:rsid w:val="00DC2792"/>
    <w:rsid w:val="00DC27C2"/>
    <w:rsid w:val="00DC28BB"/>
    <w:rsid w:val="00DC2976"/>
    <w:rsid w:val="00DC2A38"/>
    <w:rsid w:val="00DC2D2F"/>
    <w:rsid w:val="00DC2D81"/>
    <w:rsid w:val="00DC2E4D"/>
    <w:rsid w:val="00DC2ED4"/>
    <w:rsid w:val="00DC2F4C"/>
    <w:rsid w:val="00DC3512"/>
    <w:rsid w:val="00DC351C"/>
    <w:rsid w:val="00DC36D5"/>
    <w:rsid w:val="00DC370E"/>
    <w:rsid w:val="00DC374F"/>
    <w:rsid w:val="00DC377D"/>
    <w:rsid w:val="00DC3971"/>
    <w:rsid w:val="00DC3BCE"/>
    <w:rsid w:val="00DC3C12"/>
    <w:rsid w:val="00DC3C99"/>
    <w:rsid w:val="00DC3E8A"/>
    <w:rsid w:val="00DC3EA3"/>
    <w:rsid w:val="00DC4191"/>
    <w:rsid w:val="00DC422A"/>
    <w:rsid w:val="00DC4235"/>
    <w:rsid w:val="00DC4320"/>
    <w:rsid w:val="00DC44CD"/>
    <w:rsid w:val="00DC44F9"/>
    <w:rsid w:val="00DC4605"/>
    <w:rsid w:val="00DC48D9"/>
    <w:rsid w:val="00DC4A4E"/>
    <w:rsid w:val="00DC4AA7"/>
    <w:rsid w:val="00DC4B17"/>
    <w:rsid w:val="00DC4B4F"/>
    <w:rsid w:val="00DC4C7A"/>
    <w:rsid w:val="00DC4D59"/>
    <w:rsid w:val="00DC5129"/>
    <w:rsid w:val="00DC517F"/>
    <w:rsid w:val="00DC521F"/>
    <w:rsid w:val="00DC5628"/>
    <w:rsid w:val="00DC5955"/>
    <w:rsid w:val="00DC5B04"/>
    <w:rsid w:val="00DC5F9D"/>
    <w:rsid w:val="00DC6095"/>
    <w:rsid w:val="00DC6119"/>
    <w:rsid w:val="00DC61DF"/>
    <w:rsid w:val="00DC63BB"/>
    <w:rsid w:val="00DC63CD"/>
    <w:rsid w:val="00DC6402"/>
    <w:rsid w:val="00DC646F"/>
    <w:rsid w:val="00DC648B"/>
    <w:rsid w:val="00DC6533"/>
    <w:rsid w:val="00DC6674"/>
    <w:rsid w:val="00DC66EA"/>
    <w:rsid w:val="00DC6945"/>
    <w:rsid w:val="00DC6B38"/>
    <w:rsid w:val="00DC6F97"/>
    <w:rsid w:val="00DC7075"/>
    <w:rsid w:val="00DC7240"/>
    <w:rsid w:val="00DC72AB"/>
    <w:rsid w:val="00DC72E1"/>
    <w:rsid w:val="00DC76C5"/>
    <w:rsid w:val="00DC76EF"/>
    <w:rsid w:val="00DC788B"/>
    <w:rsid w:val="00DC78F1"/>
    <w:rsid w:val="00DC7B0E"/>
    <w:rsid w:val="00DC7B18"/>
    <w:rsid w:val="00DC7B58"/>
    <w:rsid w:val="00DC7CBB"/>
    <w:rsid w:val="00DC7DA1"/>
    <w:rsid w:val="00DC7E35"/>
    <w:rsid w:val="00DC7F02"/>
    <w:rsid w:val="00DC7F6D"/>
    <w:rsid w:val="00DC7F75"/>
    <w:rsid w:val="00DD0114"/>
    <w:rsid w:val="00DD05B6"/>
    <w:rsid w:val="00DD05BD"/>
    <w:rsid w:val="00DD05D8"/>
    <w:rsid w:val="00DD083D"/>
    <w:rsid w:val="00DD08ED"/>
    <w:rsid w:val="00DD09E5"/>
    <w:rsid w:val="00DD1668"/>
    <w:rsid w:val="00DD167E"/>
    <w:rsid w:val="00DD1732"/>
    <w:rsid w:val="00DD1A88"/>
    <w:rsid w:val="00DD1B01"/>
    <w:rsid w:val="00DD1B58"/>
    <w:rsid w:val="00DD1C82"/>
    <w:rsid w:val="00DD1F1A"/>
    <w:rsid w:val="00DD2063"/>
    <w:rsid w:val="00DD20E1"/>
    <w:rsid w:val="00DD23D1"/>
    <w:rsid w:val="00DD2441"/>
    <w:rsid w:val="00DD25CF"/>
    <w:rsid w:val="00DD270C"/>
    <w:rsid w:val="00DD278C"/>
    <w:rsid w:val="00DD2916"/>
    <w:rsid w:val="00DD2925"/>
    <w:rsid w:val="00DD2966"/>
    <w:rsid w:val="00DD29BB"/>
    <w:rsid w:val="00DD2CE1"/>
    <w:rsid w:val="00DD2F32"/>
    <w:rsid w:val="00DD3271"/>
    <w:rsid w:val="00DD334E"/>
    <w:rsid w:val="00DD3618"/>
    <w:rsid w:val="00DD3649"/>
    <w:rsid w:val="00DD3755"/>
    <w:rsid w:val="00DD3803"/>
    <w:rsid w:val="00DD3832"/>
    <w:rsid w:val="00DD3ADB"/>
    <w:rsid w:val="00DD3B50"/>
    <w:rsid w:val="00DD3BC7"/>
    <w:rsid w:val="00DD3BDE"/>
    <w:rsid w:val="00DD3DD0"/>
    <w:rsid w:val="00DD3E8D"/>
    <w:rsid w:val="00DD3F74"/>
    <w:rsid w:val="00DD3FF9"/>
    <w:rsid w:val="00DD4167"/>
    <w:rsid w:val="00DD438C"/>
    <w:rsid w:val="00DD44EC"/>
    <w:rsid w:val="00DD4527"/>
    <w:rsid w:val="00DD486F"/>
    <w:rsid w:val="00DD4A88"/>
    <w:rsid w:val="00DD4B7B"/>
    <w:rsid w:val="00DD4BE7"/>
    <w:rsid w:val="00DD4DEE"/>
    <w:rsid w:val="00DD50D3"/>
    <w:rsid w:val="00DD51CC"/>
    <w:rsid w:val="00DD51E2"/>
    <w:rsid w:val="00DD526D"/>
    <w:rsid w:val="00DD53B4"/>
    <w:rsid w:val="00DD53E5"/>
    <w:rsid w:val="00DD5416"/>
    <w:rsid w:val="00DD541B"/>
    <w:rsid w:val="00DD5486"/>
    <w:rsid w:val="00DD550D"/>
    <w:rsid w:val="00DD5546"/>
    <w:rsid w:val="00DD567A"/>
    <w:rsid w:val="00DD5743"/>
    <w:rsid w:val="00DD5885"/>
    <w:rsid w:val="00DD5968"/>
    <w:rsid w:val="00DD5BFE"/>
    <w:rsid w:val="00DD5F07"/>
    <w:rsid w:val="00DD5FC6"/>
    <w:rsid w:val="00DD6017"/>
    <w:rsid w:val="00DD619E"/>
    <w:rsid w:val="00DD6377"/>
    <w:rsid w:val="00DD6390"/>
    <w:rsid w:val="00DD6453"/>
    <w:rsid w:val="00DD649F"/>
    <w:rsid w:val="00DD64FE"/>
    <w:rsid w:val="00DD65FE"/>
    <w:rsid w:val="00DD6655"/>
    <w:rsid w:val="00DD6869"/>
    <w:rsid w:val="00DD6C02"/>
    <w:rsid w:val="00DD6CB7"/>
    <w:rsid w:val="00DD6CFD"/>
    <w:rsid w:val="00DD6D08"/>
    <w:rsid w:val="00DD6DEB"/>
    <w:rsid w:val="00DD6F0A"/>
    <w:rsid w:val="00DD720F"/>
    <w:rsid w:val="00DD7294"/>
    <w:rsid w:val="00DD731E"/>
    <w:rsid w:val="00DD73EE"/>
    <w:rsid w:val="00DD789D"/>
    <w:rsid w:val="00DD7A99"/>
    <w:rsid w:val="00DD7B4B"/>
    <w:rsid w:val="00DD7B8B"/>
    <w:rsid w:val="00DD7BED"/>
    <w:rsid w:val="00DD7F82"/>
    <w:rsid w:val="00DE0336"/>
    <w:rsid w:val="00DE0389"/>
    <w:rsid w:val="00DE05FF"/>
    <w:rsid w:val="00DE0629"/>
    <w:rsid w:val="00DE07C2"/>
    <w:rsid w:val="00DE07FA"/>
    <w:rsid w:val="00DE09B7"/>
    <w:rsid w:val="00DE0A98"/>
    <w:rsid w:val="00DE0AFA"/>
    <w:rsid w:val="00DE0B4C"/>
    <w:rsid w:val="00DE0C10"/>
    <w:rsid w:val="00DE0C54"/>
    <w:rsid w:val="00DE0E7C"/>
    <w:rsid w:val="00DE0F90"/>
    <w:rsid w:val="00DE119C"/>
    <w:rsid w:val="00DE1242"/>
    <w:rsid w:val="00DE147D"/>
    <w:rsid w:val="00DE15A2"/>
    <w:rsid w:val="00DE1611"/>
    <w:rsid w:val="00DE1821"/>
    <w:rsid w:val="00DE1880"/>
    <w:rsid w:val="00DE18CB"/>
    <w:rsid w:val="00DE1947"/>
    <w:rsid w:val="00DE19AB"/>
    <w:rsid w:val="00DE1AE8"/>
    <w:rsid w:val="00DE1D57"/>
    <w:rsid w:val="00DE1DA2"/>
    <w:rsid w:val="00DE1DC4"/>
    <w:rsid w:val="00DE1DD6"/>
    <w:rsid w:val="00DE1DD9"/>
    <w:rsid w:val="00DE1F31"/>
    <w:rsid w:val="00DE211C"/>
    <w:rsid w:val="00DE21D3"/>
    <w:rsid w:val="00DE2311"/>
    <w:rsid w:val="00DE2314"/>
    <w:rsid w:val="00DE2397"/>
    <w:rsid w:val="00DE2427"/>
    <w:rsid w:val="00DE2470"/>
    <w:rsid w:val="00DE2557"/>
    <w:rsid w:val="00DE2646"/>
    <w:rsid w:val="00DE277D"/>
    <w:rsid w:val="00DE2817"/>
    <w:rsid w:val="00DE2B1C"/>
    <w:rsid w:val="00DE2B3A"/>
    <w:rsid w:val="00DE2B7D"/>
    <w:rsid w:val="00DE2C38"/>
    <w:rsid w:val="00DE2D1A"/>
    <w:rsid w:val="00DE2DDF"/>
    <w:rsid w:val="00DE2F1A"/>
    <w:rsid w:val="00DE2F6C"/>
    <w:rsid w:val="00DE2FD6"/>
    <w:rsid w:val="00DE312C"/>
    <w:rsid w:val="00DE3481"/>
    <w:rsid w:val="00DE3501"/>
    <w:rsid w:val="00DE3918"/>
    <w:rsid w:val="00DE39BE"/>
    <w:rsid w:val="00DE3CE3"/>
    <w:rsid w:val="00DE3E0E"/>
    <w:rsid w:val="00DE3ED0"/>
    <w:rsid w:val="00DE40B4"/>
    <w:rsid w:val="00DE40ED"/>
    <w:rsid w:val="00DE4229"/>
    <w:rsid w:val="00DE4245"/>
    <w:rsid w:val="00DE4301"/>
    <w:rsid w:val="00DE45BF"/>
    <w:rsid w:val="00DE4640"/>
    <w:rsid w:val="00DE4671"/>
    <w:rsid w:val="00DE485F"/>
    <w:rsid w:val="00DE4946"/>
    <w:rsid w:val="00DE4B33"/>
    <w:rsid w:val="00DE4BFA"/>
    <w:rsid w:val="00DE4C62"/>
    <w:rsid w:val="00DE4FBF"/>
    <w:rsid w:val="00DE521A"/>
    <w:rsid w:val="00DE52CD"/>
    <w:rsid w:val="00DE54B3"/>
    <w:rsid w:val="00DE59D9"/>
    <w:rsid w:val="00DE5BFF"/>
    <w:rsid w:val="00DE5C15"/>
    <w:rsid w:val="00DE5CC3"/>
    <w:rsid w:val="00DE5DF8"/>
    <w:rsid w:val="00DE642A"/>
    <w:rsid w:val="00DE6590"/>
    <w:rsid w:val="00DE65D6"/>
    <w:rsid w:val="00DE69F2"/>
    <w:rsid w:val="00DE6B1A"/>
    <w:rsid w:val="00DE6C00"/>
    <w:rsid w:val="00DE6E01"/>
    <w:rsid w:val="00DE6EBD"/>
    <w:rsid w:val="00DE7171"/>
    <w:rsid w:val="00DE721A"/>
    <w:rsid w:val="00DE72EC"/>
    <w:rsid w:val="00DE73AE"/>
    <w:rsid w:val="00DE73E9"/>
    <w:rsid w:val="00DE74CD"/>
    <w:rsid w:val="00DE751C"/>
    <w:rsid w:val="00DE765A"/>
    <w:rsid w:val="00DE766D"/>
    <w:rsid w:val="00DE76A7"/>
    <w:rsid w:val="00DE76F5"/>
    <w:rsid w:val="00DE77C3"/>
    <w:rsid w:val="00DE78D6"/>
    <w:rsid w:val="00DE7B5B"/>
    <w:rsid w:val="00DE7BF5"/>
    <w:rsid w:val="00DE7D06"/>
    <w:rsid w:val="00DE7DAF"/>
    <w:rsid w:val="00DE7E9D"/>
    <w:rsid w:val="00DE7F97"/>
    <w:rsid w:val="00DF0091"/>
    <w:rsid w:val="00DF00E2"/>
    <w:rsid w:val="00DF01CF"/>
    <w:rsid w:val="00DF0259"/>
    <w:rsid w:val="00DF05DC"/>
    <w:rsid w:val="00DF0618"/>
    <w:rsid w:val="00DF098F"/>
    <w:rsid w:val="00DF09A7"/>
    <w:rsid w:val="00DF0B05"/>
    <w:rsid w:val="00DF0D66"/>
    <w:rsid w:val="00DF0E71"/>
    <w:rsid w:val="00DF0FDD"/>
    <w:rsid w:val="00DF116E"/>
    <w:rsid w:val="00DF1279"/>
    <w:rsid w:val="00DF1371"/>
    <w:rsid w:val="00DF1579"/>
    <w:rsid w:val="00DF15D9"/>
    <w:rsid w:val="00DF16F1"/>
    <w:rsid w:val="00DF18ED"/>
    <w:rsid w:val="00DF18EE"/>
    <w:rsid w:val="00DF1974"/>
    <w:rsid w:val="00DF198D"/>
    <w:rsid w:val="00DF1A0C"/>
    <w:rsid w:val="00DF1B50"/>
    <w:rsid w:val="00DF1B7B"/>
    <w:rsid w:val="00DF1BEA"/>
    <w:rsid w:val="00DF1D22"/>
    <w:rsid w:val="00DF1D4A"/>
    <w:rsid w:val="00DF1E4B"/>
    <w:rsid w:val="00DF1F1F"/>
    <w:rsid w:val="00DF2002"/>
    <w:rsid w:val="00DF213D"/>
    <w:rsid w:val="00DF2357"/>
    <w:rsid w:val="00DF28C3"/>
    <w:rsid w:val="00DF28D0"/>
    <w:rsid w:val="00DF293F"/>
    <w:rsid w:val="00DF2CFA"/>
    <w:rsid w:val="00DF2EBA"/>
    <w:rsid w:val="00DF2F13"/>
    <w:rsid w:val="00DF32A0"/>
    <w:rsid w:val="00DF339C"/>
    <w:rsid w:val="00DF35F9"/>
    <w:rsid w:val="00DF3756"/>
    <w:rsid w:val="00DF37C9"/>
    <w:rsid w:val="00DF37DB"/>
    <w:rsid w:val="00DF3857"/>
    <w:rsid w:val="00DF3A97"/>
    <w:rsid w:val="00DF3D23"/>
    <w:rsid w:val="00DF3DB7"/>
    <w:rsid w:val="00DF3F73"/>
    <w:rsid w:val="00DF4075"/>
    <w:rsid w:val="00DF4164"/>
    <w:rsid w:val="00DF43E8"/>
    <w:rsid w:val="00DF446F"/>
    <w:rsid w:val="00DF44F7"/>
    <w:rsid w:val="00DF4513"/>
    <w:rsid w:val="00DF45AE"/>
    <w:rsid w:val="00DF4668"/>
    <w:rsid w:val="00DF4695"/>
    <w:rsid w:val="00DF4DB6"/>
    <w:rsid w:val="00DF5076"/>
    <w:rsid w:val="00DF5271"/>
    <w:rsid w:val="00DF5581"/>
    <w:rsid w:val="00DF5587"/>
    <w:rsid w:val="00DF57A0"/>
    <w:rsid w:val="00DF5AA2"/>
    <w:rsid w:val="00DF5D0C"/>
    <w:rsid w:val="00DF5E81"/>
    <w:rsid w:val="00DF60E1"/>
    <w:rsid w:val="00DF60FB"/>
    <w:rsid w:val="00DF6175"/>
    <w:rsid w:val="00DF619F"/>
    <w:rsid w:val="00DF620A"/>
    <w:rsid w:val="00DF647C"/>
    <w:rsid w:val="00DF653D"/>
    <w:rsid w:val="00DF6577"/>
    <w:rsid w:val="00DF6970"/>
    <w:rsid w:val="00DF69A3"/>
    <w:rsid w:val="00DF6A45"/>
    <w:rsid w:val="00DF6BCB"/>
    <w:rsid w:val="00DF6CDE"/>
    <w:rsid w:val="00DF6D08"/>
    <w:rsid w:val="00DF6D8A"/>
    <w:rsid w:val="00DF6DC2"/>
    <w:rsid w:val="00DF6E8B"/>
    <w:rsid w:val="00DF6FF1"/>
    <w:rsid w:val="00DF7792"/>
    <w:rsid w:val="00DF77A0"/>
    <w:rsid w:val="00DF7869"/>
    <w:rsid w:val="00DF7A11"/>
    <w:rsid w:val="00DF7FBE"/>
    <w:rsid w:val="00E00193"/>
    <w:rsid w:val="00E001D7"/>
    <w:rsid w:val="00E002A8"/>
    <w:rsid w:val="00E003FC"/>
    <w:rsid w:val="00E005E3"/>
    <w:rsid w:val="00E00648"/>
    <w:rsid w:val="00E00741"/>
    <w:rsid w:val="00E007E5"/>
    <w:rsid w:val="00E0098A"/>
    <w:rsid w:val="00E009C4"/>
    <w:rsid w:val="00E00B94"/>
    <w:rsid w:val="00E00BCC"/>
    <w:rsid w:val="00E00CCA"/>
    <w:rsid w:val="00E00DF9"/>
    <w:rsid w:val="00E01170"/>
    <w:rsid w:val="00E0119B"/>
    <w:rsid w:val="00E01389"/>
    <w:rsid w:val="00E016B8"/>
    <w:rsid w:val="00E0188C"/>
    <w:rsid w:val="00E0190C"/>
    <w:rsid w:val="00E01A25"/>
    <w:rsid w:val="00E01A7D"/>
    <w:rsid w:val="00E01D13"/>
    <w:rsid w:val="00E02041"/>
    <w:rsid w:val="00E020D6"/>
    <w:rsid w:val="00E022B2"/>
    <w:rsid w:val="00E023B3"/>
    <w:rsid w:val="00E023F7"/>
    <w:rsid w:val="00E0251C"/>
    <w:rsid w:val="00E0251E"/>
    <w:rsid w:val="00E0259E"/>
    <w:rsid w:val="00E02631"/>
    <w:rsid w:val="00E02651"/>
    <w:rsid w:val="00E0297F"/>
    <w:rsid w:val="00E02CC6"/>
    <w:rsid w:val="00E02D96"/>
    <w:rsid w:val="00E02DEA"/>
    <w:rsid w:val="00E02E64"/>
    <w:rsid w:val="00E0305B"/>
    <w:rsid w:val="00E03422"/>
    <w:rsid w:val="00E0342C"/>
    <w:rsid w:val="00E03658"/>
    <w:rsid w:val="00E0366B"/>
    <w:rsid w:val="00E037E6"/>
    <w:rsid w:val="00E0399B"/>
    <w:rsid w:val="00E03C1E"/>
    <w:rsid w:val="00E03D17"/>
    <w:rsid w:val="00E03DE0"/>
    <w:rsid w:val="00E03EA5"/>
    <w:rsid w:val="00E040D6"/>
    <w:rsid w:val="00E043A4"/>
    <w:rsid w:val="00E043BC"/>
    <w:rsid w:val="00E04593"/>
    <w:rsid w:val="00E0461F"/>
    <w:rsid w:val="00E04657"/>
    <w:rsid w:val="00E0489A"/>
    <w:rsid w:val="00E04926"/>
    <w:rsid w:val="00E04CF4"/>
    <w:rsid w:val="00E04DED"/>
    <w:rsid w:val="00E04E9C"/>
    <w:rsid w:val="00E04FD1"/>
    <w:rsid w:val="00E0502A"/>
    <w:rsid w:val="00E05487"/>
    <w:rsid w:val="00E05703"/>
    <w:rsid w:val="00E05878"/>
    <w:rsid w:val="00E05917"/>
    <w:rsid w:val="00E05BD4"/>
    <w:rsid w:val="00E05CB7"/>
    <w:rsid w:val="00E05CF4"/>
    <w:rsid w:val="00E06106"/>
    <w:rsid w:val="00E06233"/>
    <w:rsid w:val="00E062E2"/>
    <w:rsid w:val="00E06696"/>
    <w:rsid w:val="00E066C6"/>
    <w:rsid w:val="00E066D9"/>
    <w:rsid w:val="00E0680F"/>
    <w:rsid w:val="00E06825"/>
    <w:rsid w:val="00E068E0"/>
    <w:rsid w:val="00E069F0"/>
    <w:rsid w:val="00E06B72"/>
    <w:rsid w:val="00E06E8A"/>
    <w:rsid w:val="00E07131"/>
    <w:rsid w:val="00E07220"/>
    <w:rsid w:val="00E07294"/>
    <w:rsid w:val="00E0729D"/>
    <w:rsid w:val="00E07418"/>
    <w:rsid w:val="00E0760F"/>
    <w:rsid w:val="00E0786A"/>
    <w:rsid w:val="00E07E7F"/>
    <w:rsid w:val="00E07F9D"/>
    <w:rsid w:val="00E07FB7"/>
    <w:rsid w:val="00E100E1"/>
    <w:rsid w:val="00E1070B"/>
    <w:rsid w:val="00E1076E"/>
    <w:rsid w:val="00E10DA9"/>
    <w:rsid w:val="00E10F42"/>
    <w:rsid w:val="00E11066"/>
    <w:rsid w:val="00E113E7"/>
    <w:rsid w:val="00E1142A"/>
    <w:rsid w:val="00E116D3"/>
    <w:rsid w:val="00E1176A"/>
    <w:rsid w:val="00E11ACF"/>
    <w:rsid w:val="00E11BD2"/>
    <w:rsid w:val="00E11D26"/>
    <w:rsid w:val="00E11F64"/>
    <w:rsid w:val="00E11FC5"/>
    <w:rsid w:val="00E12009"/>
    <w:rsid w:val="00E12066"/>
    <w:rsid w:val="00E12311"/>
    <w:rsid w:val="00E127D4"/>
    <w:rsid w:val="00E12821"/>
    <w:rsid w:val="00E12895"/>
    <w:rsid w:val="00E12B8C"/>
    <w:rsid w:val="00E12BA6"/>
    <w:rsid w:val="00E12BD7"/>
    <w:rsid w:val="00E12D23"/>
    <w:rsid w:val="00E12FB7"/>
    <w:rsid w:val="00E131D3"/>
    <w:rsid w:val="00E132FE"/>
    <w:rsid w:val="00E13359"/>
    <w:rsid w:val="00E133C0"/>
    <w:rsid w:val="00E133F6"/>
    <w:rsid w:val="00E13501"/>
    <w:rsid w:val="00E1373E"/>
    <w:rsid w:val="00E13B54"/>
    <w:rsid w:val="00E13C08"/>
    <w:rsid w:val="00E13E14"/>
    <w:rsid w:val="00E142B4"/>
    <w:rsid w:val="00E1438E"/>
    <w:rsid w:val="00E14496"/>
    <w:rsid w:val="00E14897"/>
    <w:rsid w:val="00E148D2"/>
    <w:rsid w:val="00E148F8"/>
    <w:rsid w:val="00E1498B"/>
    <w:rsid w:val="00E149F2"/>
    <w:rsid w:val="00E14FAE"/>
    <w:rsid w:val="00E14FC2"/>
    <w:rsid w:val="00E151E2"/>
    <w:rsid w:val="00E15224"/>
    <w:rsid w:val="00E152A1"/>
    <w:rsid w:val="00E15383"/>
    <w:rsid w:val="00E1539E"/>
    <w:rsid w:val="00E15577"/>
    <w:rsid w:val="00E15743"/>
    <w:rsid w:val="00E159C4"/>
    <w:rsid w:val="00E159F6"/>
    <w:rsid w:val="00E15A73"/>
    <w:rsid w:val="00E1623D"/>
    <w:rsid w:val="00E16370"/>
    <w:rsid w:val="00E163D0"/>
    <w:rsid w:val="00E164A9"/>
    <w:rsid w:val="00E165E2"/>
    <w:rsid w:val="00E168F7"/>
    <w:rsid w:val="00E1690B"/>
    <w:rsid w:val="00E16984"/>
    <w:rsid w:val="00E16A0D"/>
    <w:rsid w:val="00E16A20"/>
    <w:rsid w:val="00E16A6C"/>
    <w:rsid w:val="00E16BE8"/>
    <w:rsid w:val="00E16C36"/>
    <w:rsid w:val="00E16D9D"/>
    <w:rsid w:val="00E16E69"/>
    <w:rsid w:val="00E1702C"/>
    <w:rsid w:val="00E171D6"/>
    <w:rsid w:val="00E17215"/>
    <w:rsid w:val="00E1729A"/>
    <w:rsid w:val="00E17480"/>
    <w:rsid w:val="00E17623"/>
    <w:rsid w:val="00E177D9"/>
    <w:rsid w:val="00E17810"/>
    <w:rsid w:val="00E17859"/>
    <w:rsid w:val="00E17AF8"/>
    <w:rsid w:val="00E17D90"/>
    <w:rsid w:val="00E17E64"/>
    <w:rsid w:val="00E17FA9"/>
    <w:rsid w:val="00E20018"/>
    <w:rsid w:val="00E200B8"/>
    <w:rsid w:val="00E2015F"/>
    <w:rsid w:val="00E2021B"/>
    <w:rsid w:val="00E2029F"/>
    <w:rsid w:val="00E20391"/>
    <w:rsid w:val="00E2045E"/>
    <w:rsid w:val="00E20572"/>
    <w:rsid w:val="00E20580"/>
    <w:rsid w:val="00E207BF"/>
    <w:rsid w:val="00E209FC"/>
    <w:rsid w:val="00E20A6A"/>
    <w:rsid w:val="00E20E4D"/>
    <w:rsid w:val="00E210B8"/>
    <w:rsid w:val="00E211DA"/>
    <w:rsid w:val="00E212B1"/>
    <w:rsid w:val="00E212C1"/>
    <w:rsid w:val="00E21347"/>
    <w:rsid w:val="00E21379"/>
    <w:rsid w:val="00E214F6"/>
    <w:rsid w:val="00E21875"/>
    <w:rsid w:val="00E21AB0"/>
    <w:rsid w:val="00E21AE9"/>
    <w:rsid w:val="00E21BA0"/>
    <w:rsid w:val="00E21BC3"/>
    <w:rsid w:val="00E21C66"/>
    <w:rsid w:val="00E21D52"/>
    <w:rsid w:val="00E21D58"/>
    <w:rsid w:val="00E21DD7"/>
    <w:rsid w:val="00E22007"/>
    <w:rsid w:val="00E22101"/>
    <w:rsid w:val="00E221F1"/>
    <w:rsid w:val="00E22296"/>
    <w:rsid w:val="00E223A2"/>
    <w:rsid w:val="00E22504"/>
    <w:rsid w:val="00E2250F"/>
    <w:rsid w:val="00E2251F"/>
    <w:rsid w:val="00E22572"/>
    <w:rsid w:val="00E225FF"/>
    <w:rsid w:val="00E227B8"/>
    <w:rsid w:val="00E229ED"/>
    <w:rsid w:val="00E22B22"/>
    <w:rsid w:val="00E22BA2"/>
    <w:rsid w:val="00E22BF3"/>
    <w:rsid w:val="00E22C45"/>
    <w:rsid w:val="00E22CA8"/>
    <w:rsid w:val="00E2324B"/>
    <w:rsid w:val="00E2334F"/>
    <w:rsid w:val="00E2336E"/>
    <w:rsid w:val="00E23370"/>
    <w:rsid w:val="00E2356E"/>
    <w:rsid w:val="00E2359E"/>
    <w:rsid w:val="00E235AC"/>
    <w:rsid w:val="00E236DD"/>
    <w:rsid w:val="00E23853"/>
    <w:rsid w:val="00E23977"/>
    <w:rsid w:val="00E239E3"/>
    <w:rsid w:val="00E23A85"/>
    <w:rsid w:val="00E23AD0"/>
    <w:rsid w:val="00E23AEE"/>
    <w:rsid w:val="00E23C25"/>
    <w:rsid w:val="00E23D01"/>
    <w:rsid w:val="00E24011"/>
    <w:rsid w:val="00E24154"/>
    <w:rsid w:val="00E242B9"/>
    <w:rsid w:val="00E243F4"/>
    <w:rsid w:val="00E2450E"/>
    <w:rsid w:val="00E24539"/>
    <w:rsid w:val="00E24543"/>
    <w:rsid w:val="00E245A2"/>
    <w:rsid w:val="00E24661"/>
    <w:rsid w:val="00E2467D"/>
    <w:rsid w:val="00E24999"/>
    <w:rsid w:val="00E249DE"/>
    <w:rsid w:val="00E24A9B"/>
    <w:rsid w:val="00E24AA1"/>
    <w:rsid w:val="00E24C23"/>
    <w:rsid w:val="00E24C69"/>
    <w:rsid w:val="00E24CB6"/>
    <w:rsid w:val="00E24CCE"/>
    <w:rsid w:val="00E24D72"/>
    <w:rsid w:val="00E24F96"/>
    <w:rsid w:val="00E25001"/>
    <w:rsid w:val="00E25224"/>
    <w:rsid w:val="00E25515"/>
    <w:rsid w:val="00E25A85"/>
    <w:rsid w:val="00E25C90"/>
    <w:rsid w:val="00E25CD2"/>
    <w:rsid w:val="00E25CDF"/>
    <w:rsid w:val="00E25EA4"/>
    <w:rsid w:val="00E25F99"/>
    <w:rsid w:val="00E26418"/>
    <w:rsid w:val="00E264D8"/>
    <w:rsid w:val="00E266FF"/>
    <w:rsid w:val="00E26851"/>
    <w:rsid w:val="00E268E9"/>
    <w:rsid w:val="00E269C5"/>
    <w:rsid w:val="00E26A16"/>
    <w:rsid w:val="00E26B25"/>
    <w:rsid w:val="00E26B38"/>
    <w:rsid w:val="00E26B56"/>
    <w:rsid w:val="00E26D55"/>
    <w:rsid w:val="00E26D6E"/>
    <w:rsid w:val="00E26EF3"/>
    <w:rsid w:val="00E26F4A"/>
    <w:rsid w:val="00E27156"/>
    <w:rsid w:val="00E271FA"/>
    <w:rsid w:val="00E27287"/>
    <w:rsid w:val="00E2736A"/>
    <w:rsid w:val="00E27466"/>
    <w:rsid w:val="00E274CC"/>
    <w:rsid w:val="00E275FA"/>
    <w:rsid w:val="00E27613"/>
    <w:rsid w:val="00E27617"/>
    <w:rsid w:val="00E27973"/>
    <w:rsid w:val="00E279EF"/>
    <w:rsid w:val="00E27A76"/>
    <w:rsid w:val="00E27AF7"/>
    <w:rsid w:val="00E27AFA"/>
    <w:rsid w:val="00E27BA3"/>
    <w:rsid w:val="00E27D54"/>
    <w:rsid w:val="00E27DE6"/>
    <w:rsid w:val="00E27F0B"/>
    <w:rsid w:val="00E27F5D"/>
    <w:rsid w:val="00E27FB5"/>
    <w:rsid w:val="00E3004D"/>
    <w:rsid w:val="00E30352"/>
    <w:rsid w:val="00E30428"/>
    <w:rsid w:val="00E30457"/>
    <w:rsid w:val="00E305F5"/>
    <w:rsid w:val="00E30665"/>
    <w:rsid w:val="00E30755"/>
    <w:rsid w:val="00E30899"/>
    <w:rsid w:val="00E308FE"/>
    <w:rsid w:val="00E309DE"/>
    <w:rsid w:val="00E30B34"/>
    <w:rsid w:val="00E30C5E"/>
    <w:rsid w:val="00E30D25"/>
    <w:rsid w:val="00E30DCA"/>
    <w:rsid w:val="00E30E4E"/>
    <w:rsid w:val="00E30F01"/>
    <w:rsid w:val="00E30FF9"/>
    <w:rsid w:val="00E3130C"/>
    <w:rsid w:val="00E31358"/>
    <w:rsid w:val="00E313FA"/>
    <w:rsid w:val="00E315AC"/>
    <w:rsid w:val="00E31815"/>
    <w:rsid w:val="00E31A49"/>
    <w:rsid w:val="00E31DC5"/>
    <w:rsid w:val="00E31E47"/>
    <w:rsid w:val="00E31EB6"/>
    <w:rsid w:val="00E31F52"/>
    <w:rsid w:val="00E3229E"/>
    <w:rsid w:val="00E32353"/>
    <w:rsid w:val="00E32374"/>
    <w:rsid w:val="00E32383"/>
    <w:rsid w:val="00E325D5"/>
    <w:rsid w:val="00E32605"/>
    <w:rsid w:val="00E3265D"/>
    <w:rsid w:val="00E326A8"/>
    <w:rsid w:val="00E3272C"/>
    <w:rsid w:val="00E32767"/>
    <w:rsid w:val="00E3292D"/>
    <w:rsid w:val="00E32A10"/>
    <w:rsid w:val="00E32A23"/>
    <w:rsid w:val="00E32A28"/>
    <w:rsid w:val="00E32E77"/>
    <w:rsid w:val="00E330DB"/>
    <w:rsid w:val="00E330F9"/>
    <w:rsid w:val="00E33186"/>
    <w:rsid w:val="00E33525"/>
    <w:rsid w:val="00E33583"/>
    <w:rsid w:val="00E335C1"/>
    <w:rsid w:val="00E33987"/>
    <w:rsid w:val="00E33BD6"/>
    <w:rsid w:val="00E33BE5"/>
    <w:rsid w:val="00E33C76"/>
    <w:rsid w:val="00E33D56"/>
    <w:rsid w:val="00E33E24"/>
    <w:rsid w:val="00E33E33"/>
    <w:rsid w:val="00E33E55"/>
    <w:rsid w:val="00E33FEF"/>
    <w:rsid w:val="00E340D3"/>
    <w:rsid w:val="00E34108"/>
    <w:rsid w:val="00E3410D"/>
    <w:rsid w:val="00E34192"/>
    <w:rsid w:val="00E34195"/>
    <w:rsid w:val="00E34338"/>
    <w:rsid w:val="00E34473"/>
    <w:rsid w:val="00E345B3"/>
    <w:rsid w:val="00E346FD"/>
    <w:rsid w:val="00E34747"/>
    <w:rsid w:val="00E347CB"/>
    <w:rsid w:val="00E34A10"/>
    <w:rsid w:val="00E34C19"/>
    <w:rsid w:val="00E34EC0"/>
    <w:rsid w:val="00E34F2C"/>
    <w:rsid w:val="00E34F63"/>
    <w:rsid w:val="00E35009"/>
    <w:rsid w:val="00E3504C"/>
    <w:rsid w:val="00E35359"/>
    <w:rsid w:val="00E35531"/>
    <w:rsid w:val="00E3556C"/>
    <w:rsid w:val="00E3557C"/>
    <w:rsid w:val="00E358AD"/>
    <w:rsid w:val="00E358CE"/>
    <w:rsid w:val="00E35A23"/>
    <w:rsid w:val="00E35B4C"/>
    <w:rsid w:val="00E35B58"/>
    <w:rsid w:val="00E35CAC"/>
    <w:rsid w:val="00E35DAA"/>
    <w:rsid w:val="00E35DF2"/>
    <w:rsid w:val="00E35EBD"/>
    <w:rsid w:val="00E35FA8"/>
    <w:rsid w:val="00E361BE"/>
    <w:rsid w:val="00E36255"/>
    <w:rsid w:val="00E36321"/>
    <w:rsid w:val="00E364B3"/>
    <w:rsid w:val="00E3656B"/>
    <w:rsid w:val="00E36671"/>
    <w:rsid w:val="00E367F5"/>
    <w:rsid w:val="00E36854"/>
    <w:rsid w:val="00E36B92"/>
    <w:rsid w:val="00E36CE6"/>
    <w:rsid w:val="00E36E5C"/>
    <w:rsid w:val="00E36E5F"/>
    <w:rsid w:val="00E36F3C"/>
    <w:rsid w:val="00E370FA"/>
    <w:rsid w:val="00E372AB"/>
    <w:rsid w:val="00E374A5"/>
    <w:rsid w:val="00E37558"/>
    <w:rsid w:val="00E375BC"/>
    <w:rsid w:val="00E3772D"/>
    <w:rsid w:val="00E3779A"/>
    <w:rsid w:val="00E37887"/>
    <w:rsid w:val="00E37AA3"/>
    <w:rsid w:val="00E37AB9"/>
    <w:rsid w:val="00E37BFB"/>
    <w:rsid w:val="00E37C78"/>
    <w:rsid w:val="00E37D6F"/>
    <w:rsid w:val="00E37DD6"/>
    <w:rsid w:val="00E37E90"/>
    <w:rsid w:val="00E37FE7"/>
    <w:rsid w:val="00E4000A"/>
    <w:rsid w:val="00E40062"/>
    <w:rsid w:val="00E401AE"/>
    <w:rsid w:val="00E4020C"/>
    <w:rsid w:val="00E4032D"/>
    <w:rsid w:val="00E403B0"/>
    <w:rsid w:val="00E40731"/>
    <w:rsid w:val="00E4073C"/>
    <w:rsid w:val="00E4077F"/>
    <w:rsid w:val="00E40DC4"/>
    <w:rsid w:val="00E41006"/>
    <w:rsid w:val="00E411A1"/>
    <w:rsid w:val="00E41335"/>
    <w:rsid w:val="00E4134B"/>
    <w:rsid w:val="00E414B1"/>
    <w:rsid w:val="00E416A7"/>
    <w:rsid w:val="00E41893"/>
    <w:rsid w:val="00E41A21"/>
    <w:rsid w:val="00E41AAB"/>
    <w:rsid w:val="00E41B10"/>
    <w:rsid w:val="00E41B55"/>
    <w:rsid w:val="00E41E78"/>
    <w:rsid w:val="00E421FB"/>
    <w:rsid w:val="00E4247E"/>
    <w:rsid w:val="00E424C1"/>
    <w:rsid w:val="00E42685"/>
    <w:rsid w:val="00E4272C"/>
    <w:rsid w:val="00E42892"/>
    <w:rsid w:val="00E429E4"/>
    <w:rsid w:val="00E42FD1"/>
    <w:rsid w:val="00E43088"/>
    <w:rsid w:val="00E430FA"/>
    <w:rsid w:val="00E431F4"/>
    <w:rsid w:val="00E43220"/>
    <w:rsid w:val="00E4324D"/>
    <w:rsid w:val="00E432F2"/>
    <w:rsid w:val="00E4338A"/>
    <w:rsid w:val="00E434C1"/>
    <w:rsid w:val="00E434CE"/>
    <w:rsid w:val="00E43861"/>
    <w:rsid w:val="00E43902"/>
    <w:rsid w:val="00E43B42"/>
    <w:rsid w:val="00E43B61"/>
    <w:rsid w:val="00E43B66"/>
    <w:rsid w:val="00E4414F"/>
    <w:rsid w:val="00E44512"/>
    <w:rsid w:val="00E44543"/>
    <w:rsid w:val="00E44578"/>
    <w:rsid w:val="00E44580"/>
    <w:rsid w:val="00E44582"/>
    <w:rsid w:val="00E446E4"/>
    <w:rsid w:val="00E44833"/>
    <w:rsid w:val="00E4495B"/>
    <w:rsid w:val="00E44A27"/>
    <w:rsid w:val="00E44A3E"/>
    <w:rsid w:val="00E44B88"/>
    <w:rsid w:val="00E44BC6"/>
    <w:rsid w:val="00E44C2A"/>
    <w:rsid w:val="00E44C5B"/>
    <w:rsid w:val="00E44D98"/>
    <w:rsid w:val="00E44E34"/>
    <w:rsid w:val="00E45073"/>
    <w:rsid w:val="00E45166"/>
    <w:rsid w:val="00E451BB"/>
    <w:rsid w:val="00E45417"/>
    <w:rsid w:val="00E4549C"/>
    <w:rsid w:val="00E454F2"/>
    <w:rsid w:val="00E45537"/>
    <w:rsid w:val="00E45668"/>
    <w:rsid w:val="00E456BC"/>
    <w:rsid w:val="00E45DB6"/>
    <w:rsid w:val="00E45DDC"/>
    <w:rsid w:val="00E45E4B"/>
    <w:rsid w:val="00E46200"/>
    <w:rsid w:val="00E4628F"/>
    <w:rsid w:val="00E462A5"/>
    <w:rsid w:val="00E4630B"/>
    <w:rsid w:val="00E46448"/>
    <w:rsid w:val="00E467A6"/>
    <w:rsid w:val="00E4690F"/>
    <w:rsid w:val="00E46978"/>
    <w:rsid w:val="00E469DE"/>
    <w:rsid w:val="00E46B1A"/>
    <w:rsid w:val="00E46B57"/>
    <w:rsid w:val="00E46DF9"/>
    <w:rsid w:val="00E46E9A"/>
    <w:rsid w:val="00E46F62"/>
    <w:rsid w:val="00E470F4"/>
    <w:rsid w:val="00E47100"/>
    <w:rsid w:val="00E47203"/>
    <w:rsid w:val="00E47395"/>
    <w:rsid w:val="00E476F1"/>
    <w:rsid w:val="00E477D9"/>
    <w:rsid w:val="00E47A5E"/>
    <w:rsid w:val="00E47AA7"/>
    <w:rsid w:val="00E47BAC"/>
    <w:rsid w:val="00E47E04"/>
    <w:rsid w:val="00E47EF4"/>
    <w:rsid w:val="00E47FA6"/>
    <w:rsid w:val="00E47FBD"/>
    <w:rsid w:val="00E50338"/>
    <w:rsid w:val="00E50367"/>
    <w:rsid w:val="00E503CF"/>
    <w:rsid w:val="00E503FB"/>
    <w:rsid w:val="00E50554"/>
    <w:rsid w:val="00E506EA"/>
    <w:rsid w:val="00E50942"/>
    <w:rsid w:val="00E50A64"/>
    <w:rsid w:val="00E50A8A"/>
    <w:rsid w:val="00E50BDD"/>
    <w:rsid w:val="00E50C88"/>
    <w:rsid w:val="00E50DAC"/>
    <w:rsid w:val="00E50E10"/>
    <w:rsid w:val="00E50F7B"/>
    <w:rsid w:val="00E511CC"/>
    <w:rsid w:val="00E5129A"/>
    <w:rsid w:val="00E5147E"/>
    <w:rsid w:val="00E515EC"/>
    <w:rsid w:val="00E516A7"/>
    <w:rsid w:val="00E516B0"/>
    <w:rsid w:val="00E51842"/>
    <w:rsid w:val="00E51BCD"/>
    <w:rsid w:val="00E51F1D"/>
    <w:rsid w:val="00E51F89"/>
    <w:rsid w:val="00E51FDF"/>
    <w:rsid w:val="00E5202F"/>
    <w:rsid w:val="00E524B2"/>
    <w:rsid w:val="00E52553"/>
    <w:rsid w:val="00E526E9"/>
    <w:rsid w:val="00E52905"/>
    <w:rsid w:val="00E52940"/>
    <w:rsid w:val="00E52A6F"/>
    <w:rsid w:val="00E52A82"/>
    <w:rsid w:val="00E52AF3"/>
    <w:rsid w:val="00E52B34"/>
    <w:rsid w:val="00E52CE1"/>
    <w:rsid w:val="00E52E89"/>
    <w:rsid w:val="00E533C0"/>
    <w:rsid w:val="00E5363F"/>
    <w:rsid w:val="00E5378D"/>
    <w:rsid w:val="00E53A8B"/>
    <w:rsid w:val="00E53BB3"/>
    <w:rsid w:val="00E53BDA"/>
    <w:rsid w:val="00E53F4C"/>
    <w:rsid w:val="00E54006"/>
    <w:rsid w:val="00E5401F"/>
    <w:rsid w:val="00E5406D"/>
    <w:rsid w:val="00E5418E"/>
    <w:rsid w:val="00E541FC"/>
    <w:rsid w:val="00E542D2"/>
    <w:rsid w:val="00E5446C"/>
    <w:rsid w:val="00E545F9"/>
    <w:rsid w:val="00E54BAB"/>
    <w:rsid w:val="00E54BD3"/>
    <w:rsid w:val="00E54BDE"/>
    <w:rsid w:val="00E54E8F"/>
    <w:rsid w:val="00E54F7F"/>
    <w:rsid w:val="00E55071"/>
    <w:rsid w:val="00E55072"/>
    <w:rsid w:val="00E55155"/>
    <w:rsid w:val="00E5519F"/>
    <w:rsid w:val="00E551D8"/>
    <w:rsid w:val="00E551DF"/>
    <w:rsid w:val="00E5526D"/>
    <w:rsid w:val="00E55279"/>
    <w:rsid w:val="00E552A5"/>
    <w:rsid w:val="00E552B6"/>
    <w:rsid w:val="00E556C5"/>
    <w:rsid w:val="00E55786"/>
    <w:rsid w:val="00E557E6"/>
    <w:rsid w:val="00E5585C"/>
    <w:rsid w:val="00E55889"/>
    <w:rsid w:val="00E559EC"/>
    <w:rsid w:val="00E55C6C"/>
    <w:rsid w:val="00E55D6F"/>
    <w:rsid w:val="00E565EB"/>
    <w:rsid w:val="00E566BB"/>
    <w:rsid w:val="00E56702"/>
    <w:rsid w:val="00E56747"/>
    <w:rsid w:val="00E56844"/>
    <w:rsid w:val="00E56877"/>
    <w:rsid w:val="00E568DB"/>
    <w:rsid w:val="00E56B37"/>
    <w:rsid w:val="00E56B74"/>
    <w:rsid w:val="00E56BAF"/>
    <w:rsid w:val="00E56BD5"/>
    <w:rsid w:val="00E56D5C"/>
    <w:rsid w:val="00E56DE2"/>
    <w:rsid w:val="00E56EA0"/>
    <w:rsid w:val="00E56F03"/>
    <w:rsid w:val="00E57047"/>
    <w:rsid w:val="00E5706E"/>
    <w:rsid w:val="00E57121"/>
    <w:rsid w:val="00E571F5"/>
    <w:rsid w:val="00E571F9"/>
    <w:rsid w:val="00E5741B"/>
    <w:rsid w:val="00E574DC"/>
    <w:rsid w:val="00E5777E"/>
    <w:rsid w:val="00E5778D"/>
    <w:rsid w:val="00E578A1"/>
    <w:rsid w:val="00E57942"/>
    <w:rsid w:val="00E57960"/>
    <w:rsid w:val="00E57971"/>
    <w:rsid w:val="00E57B12"/>
    <w:rsid w:val="00E57C62"/>
    <w:rsid w:val="00E57C7F"/>
    <w:rsid w:val="00E57D05"/>
    <w:rsid w:val="00E57DB4"/>
    <w:rsid w:val="00E601B8"/>
    <w:rsid w:val="00E604CE"/>
    <w:rsid w:val="00E60551"/>
    <w:rsid w:val="00E60735"/>
    <w:rsid w:val="00E607C8"/>
    <w:rsid w:val="00E6094E"/>
    <w:rsid w:val="00E60A18"/>
    <w:rsid w:val="00E60B20"/>
    <w:rsid w:val="00E60F82"/>
    <w:rsid w:val="00E61250"/>
    <w:rsid w:val="00E616A4"/>
    <w:rsid w:val="00E616B6"/>
    <w:rsid w:val="00E61700"/>
    <w:rsid w:val="00E61717"/>
    <w:rsid w:val="00E61AC5"/>
    <w:rsid w:val="00E61B73"/>
    <w:rsid w:val="00E61C67"/>
    <w:rsid w:val="00E61CCA"/>
    <w:rsid w:val="00E61DCE"/>
    <w:rsid w:val="00E61EA0"/>
    <w:rsid w:val="00E61ED2"/>
    <w:rsid w:val="00E6226D"/>
    <w:rsid w:val="00E6234C"/>
    <w:rsid w:val="00E624CB"/>
    <w:rsid w:val="00E6272C"/>
    <w:rsid w:val="00E6277C"/>
    <w:rsid w:val="00E628E7"/>
    <w:rsid w:val="00E62AC8"/>
    <w:rsid w:val="00E62CAE"/>
    <w:rsid w:val="00E62CD9"/>
    <w:rsid w:val="00E62D27"/>
    <w:rsid w:val="00E62DBD"/>
    <w:rsid w:val="00E62DE4"/>
    <w:rsid w:val="00E62EA1"/>
    <w:rsid w:val="00E62EC0"/>
    <w:rsid w:val="00E63013"/>
    <w:rsid w:val="00E63046"/>
    <w:rsid w:val="00E63139"/>
    <w:rsid w:val="00E6323D"/>
    <w:rsid w:val="00E633AC"/>
    <w:rsid w:val="00E6366E"/>
    <w:rsid w:val="00E637CA"/>
    <w:rsid w:val="00E637F8"/>
    <w:rsid w:val="00E642D0"/>
    <w:rsid w:val="00E642E1"/>
    <w:rsid w:val="00E644B6"/>
    <w:rsid w:val="00E64833"/>
    <w:rsid w:val="00E64CC8"/>
    <w:rsid w:val="00E64D71"/>
    <w:rsid w:val="00E64F20"/>
    <w:rsid w:val="00E65016"/>
    <w:rsid w:val="00E650E3"/>
    <w:rsid w:val="00E6518C"/>
    <w:rsid w:val="00E653E7"/>
    <w:rsid w:val="00E65798"/>
    <w:rsid w:val="00E6588E"/>
    <w:rsid w:val="00E658F7"/>
    <w:rsid w:val="00E65964"/>
    <w:rsid w:val="00E6598A"/>
    <w:rsid w:val="00E65993"/>
    <w:rsid w:val="00E659C2"/>
    <w:rsid w:val="00E65A75"/>
    <w:rsid w:val="00E65A98"/>
    <w:rsid w:val="00E65C1D"/>
    <w:rsid w:val="00E65C3F"/>
    <w:rsid w:val="00E65C61"/>
    <w:rsid w:val="00E65C72"/>
    <w:rsid w:val="00E65F02"/>
    <w:rsid w:val="00E65F54"/>
    <w:rsid w:val="00E6606E"/>
    <w:rsid w:val="00E663AC"/>
    <w:rsid w:val="00E668E4"/>
    <w:rsid w:val="00E66B7B"/>
    <w:rsid w:val="00E66C8C"/>
    <w:rsid w:val="00E66DA0"/>
    <w:rsid w:val="00E66E31"/>
    <w:rsid w:val="00E66E91"/>
    <w:rsid w:val="00E6705A"/>
    <w:rsid w:val="00E671CE"/>
    <w:rsid w:val="00E67258"/>
    <w:rsid w:val="00E67357"/>
    <w:rsid w:val="00E673E8"/>
    <w:rsid w:val="00E67426"/>
    <w:rsid w:val="00E674C4"/>
    <w:rsid w:val="00E67556"/>
    <w:rsid w:val="00E67799"/>
    <w:rsid w:val="00E67859"/>
    <w:rsid w:val="00E678D8"/>
    <w:rsid w:val="00E6792A"/>
    <w:rsid w:val="00E67B9E"/>
    <w:rsid w:val="00E67DD8"/>
    <w:rsid w:val="00E67E57"/>
    <w:rsid w:val="00E67E6E"/>
    <w:rsid w:val="00E67FFA"/>
    <w:rsid w:val="00E7015C"/>
    <w:rsid w:val="00E70163"/>
    <w:rsid w:val="00E7018A"/>
    <w:rsid w:val="00E7034B"/>
    <w:rsid w:val="00E7094A"/>
    <w:rsid w:val="00E70B7C"/>
    <w:rsid w:val="00E70BA8"/>
    <w:rsid w:val="00E70F59"/>
    <w:rsid w:val="00E70F7F"/>
    <w:rsid w:val="00E70FA4"/>
    <w:rsid w:val="00E70FE3"/>
    <w:rsid w:val="00E71132"/>
    <w:rsid w:val="00E71136"/>
    <w:rsid w:val="00E71265"/>
    <w:rsid w:val="00E7132B"/>
    <w:rsid w:val="00E7134C"/>
    <w:rsid w:val="00E71787"/>
    <w:rsid w:val="00E717E9"/>
    <w:rsid w:val="00E71883"/>
    <w:rsid w:val="00E71ACD"/>
    <w:rsid w:val="00E71B74"/>
    <w:rsid w:val="00E71BCB"/>
    <w:rsid w:val="00E71C0A"/>
    <w:rsid w:val="00E71D27"/>
    <w:rsid w:val="00E71E16"/>
    <w:rsid w:val="00E721FB"/>
    <w:rsid w:val="00E72224"/>
    <w:rsid w:val="00E722DA"/>
    <w:rsid w:val="00E72499"/>
    <w:rsid w:val="00E7250B"/>
    <w:rsid w:val="00E7268A"/>
    <w:rsid w:val="00E72862"/>
    <w:rsid w:val="00E7294A"/>
    <w:rsid w:val="00E72A2D"/>
    <w:rsid w:val="00E72ABD"/>
    <w:rsid w:val="00E72B22"/>
    <w:rsid w:val="00E72C62"/>
    <w:rsid w:val="00E72D79"/>
    <w:rsid w:val="00E72EFB"/>
    <w:rsid w:val="00E73039"/>
    <w:rsid w:val="00E73345"/>
    <w:rsid w:val="00E733AD"/>
    <w:rsid w:val="00E73435"/>
    <w:rsid w:val="00E7353E"/>
    <w:rsid w:val="00E735AC"/>
    <w:rsid w:val="00E73737"/>
    <w:rsid w:val="00E739FA"/>
    <w:rsid w:val="00E7404C"/>
    <w:rsid w:val="00E74411"/>
    <w:rsid w:val="00E74561"/>
    <w:rsid w:val="00E745CC"/>
    <w:rsid w:val="00E74664"/>
    <w:rsid w:val="00E7468E"/>
    <w:rsid w:val="00E7479C"/>
    <w:rsid w:val="00E747BD"/>
    <w:rsid w:val="00E748C0"/>
    <w:rsid w:val="00E7490D"/>
    <w:rsid w:val="00E74AAC"/>
    <w:rsid w:val="00E74B21"/>
    <w:rsid w:val="00E74C68"/>
    <w:rsid w:val="00E74D67"/>
    <w:rsid w:val="00E74EE9"/>
    <w:rsid w:val="00E74F8D"/>
    <w:rsid w:val="00E74FA3"/>
    <w:rsid w:val="00E74FB9"/>
    <w:rsid w:val="00E74FF0"/>
    <w:rsid w:val="00E750DE"/>
    <w:rsid w:val="00E751CF"/>
    <w:rsid w:val="00E75321"/>
    <w:rsid w:val="00E7532E"/>
    <w:rsid w:val="00E753CA"/>
    <w:rsid w:val="00E754AA"/>
    <w:rsid w:val="00E7555C"/>
    <w:rsid w:val="00E75775"/>
    <w:rsid w:val="00E758C9"/>
    <w:rsid w:val="00E7598B"/>
    <w:rsid w:val="00E759A2"/>
    <w:rsid w:val="00E75A56"/>
    <w:rsid w:val="00E75B09"/>
    <w:rsid w:val="00E75CA8"/>
    <w:rsid w:val="00E75D95"/>
    <w:rsid w:val="00E75E37"/>
    <w:rsid w:val="00E76002"/>
    <w:rsid w:val="00E7609B"/>
    <w:rsid w:val="00E76297"/>
    <w:rsid w:val="00E762AB"/>
    <w:rsid w:val="00E764F8"/>
    <w:rsid w:val="00E76500"/>
    <w:rsid w:val="00E76583"/>
    <w:rsid w:val="00E765E6"/>
    <w:rsid w:val="00E766EC"/>
    <w:rsid w:val="00E767AC"/>
    <w:rsid w:val="00E76843"/>
    <w:rsid w:val="00E76C63"/>
    <w:rsid w:val="00E76CBF"/>
    <w:rsid w:val="00E76CC7"/>
    <w:rsid w:val="00E76D9C"/>
    <w:rsid w:val="00E76E3C"/>
    <w:rsid w:val="00E770B7"/>
    <w:rsid w:val="00E771F5"/>
    <w:rsid w:val="00E77235"/>
    <w:rsid w:val="00E77270"/>
    <w:rsid w:val="00E772CE"/>
    <w:rsid w:val="00E773B6"/>
    <w:rsid w:val="00E773D4"/>
    <w:rsid w:val="00E77432"/>
    <w:rsid w:val="00E774B7"/>
    <w:rsid w:val="00E774D5"/>
    <w:rsid w:val="00E774D8"/>
    <w:rsid w:val="00E7751B"/>
    <w:rsid w:val="00E776CE"/>
    <w:rsid w:val="00E776DD"/>
    <w:rsid w:val="00E7782C"/>
    <w:rsid w:val="00E778A8"/>
    <w:rsid w:val="00E77BA8"/>
    <w:rsid w:val="00E77C5F"/>
    <w:rsid w:val="00E77C87"/>
    <w:rsid w:val="00E77D0E"/>
    <w:rsid w:val="00E77DA4"/>
    <w:rsid w:val="00E77EC2"/>
    <w:rsid w:val="00E80002"/>
    <w:rsid w:val="00E800CE"/>
    <w:rsid w:val="00E80410"/>
    <w:rsid w:val="00E80538"/>
    <w:rsid w:val="00E805E2"/>
    <w:rsid w:val="00E80661"/>
    <w:rsid w:val="00E807EA"/>
    <w:rsid w:val="00E80930"/>
    <w:rsid w:val="00E80961"/>
    <w:rsid w:val="00E80D6D"/>
    <w:rsid w:val="00E80DC2"/>
    <w:rsid w:val="00E80E49"/>
    <w:rsid w:val="00E812A9"/>
    <w:rsid w:val="00E813A0"/>
    <w:rsid w:val="00E814AA"/>
    <w:rsid w:val="00E814DA"/>
    <w:rsid w:val="00E816C8"/>
    <w:rsid w:val="00E816E0"/>
    <w:rsid w:val="00E81974"/>
    <w:rsid w:val="00E81AC5"/>
    <w:rsid w:val="00E81BA7"/>
    <w:rsid w:val="00E81C66"/>
    <w:rsid w:val="00E81CCD"/>
    <w:rsid w:val="00E81CD2"/>
    <w:rsid w:val="00E82013"/>
    <w:rsid w:val="00E8205C"/>
    <w:rsid w:val="00E8209F"/>
    <w:rsid w:val="00E8211B"/>
    <w:rsid w:val="00E82246"/>
    <w:rsid w:val="00E82386"/>
    <w:rsid w:val="00E82480"/>
    <w:rsid w:val="00E82507"/>
    <w:rsid w:val="00E82669"/>
    <w:rsid w:val="00E826B7"/>
    <w:rsid w:val="00E826BA"/>
    <w:rsid w:val="00E82761"/>
    <w:rsid w:val="00E827A6"/>
    <w:rsid w:val="00E82884"/>
    <w:rsid w:val="00E82961"/>
    <w:rsid w:val="00E82C6F"/>
    <w:rsid w:val="00E82C7C"/>
    <w:rsid w:val="00E82E55"/>
    <w:rsid w:val="00E82FB8"/>
    <w:rsid w:val="00E83013"/>
    <w:rsid w:val="00E83231"/>
    <w:rsid w:val="00E832AF"/>
    <w:rsid w:val="00E8330C"/>
    <w:rsid w:val="00E8341F"/>
    <w:rsid w:val="00E839A3"/>
    <w:rsid w:val="00E83B8A"/>
    <w:rsid w:val="00E83D5C"/>
    <w:rsid w:val="00E83FA7"/>
    <w:rsid w:val="00E84043"/>
    <w:rsid w:val="00E84079"/>
    <w:rsid w:val="00E840F8"/>
    <w:rsid w:val="00E84487"/>
    <w:rsid w:val="00E8451B"/>
    <w:rsid w:val="00E84674"/>
    <w:rsid w:val="00E84780"/>
    <w:rsid w:val="00E84A4F"/>
    <w:rsid w:val="00E84B94"/>
    <w:rsid w:val="00E84C9E"/>
    <w:rsid w:val="00E84DDF"/>
    <w:rsid w:val="00E84E61"/>
    <w:rsid w:val="00E84F23"/>
    <w:rsid w:val="00E85141"/>
    <w:rsid w:val="00E8522A"/>
    <w:rsid w:val="00E8523E"/>
    <w:rsid w:val="00E85484"/>
    <w:rsid w:val="00E85500"/>
    <w:rsid w:val="00E8579F"/>
    <w:rsid w:val="00E857DE"/>
    <w:rsid w:val="00E8580B"/>
    <w:rsid w:val="00E85891"/>
    <w:rsid w:val="00E85997"/>
    <w:rsid w:val="00E85A74"/>
    <w:rsid w:val="00E85C08"/>
    <w:rsid w:val="00E85D4D"/>
    <w:rsid w:val="00E85F2A"/>
    <w:rsid w:val="00E85FB5"/>
    <w:rsid w:val="00E8613E"/>
    <w:rsid w:val="00E861F7"/>
    <w:rsid w:val="00E86201"/>
    <w:rsid w:val="00E86216"/>
    <w:rsid w:val="00E8621E"/>
    <w:rsid w:val="00E86322"/>
    <w:rsid w:val="00E86347"/>
    <w:rsid w:val="00E86383"/>
    <w:rsid w:val="00E863BD"/>
    <w:rsid w:val="00E86479"/>
    <w:rsid w:val="00E86688"/>
    <w:rsid w:val="00E86866"/>
    <w:rsid w:val="00E86B24"/>
    <w:rsid w:val="00E86C36"/>
    <w:rsid w:val="00E86C7C"/>
    <w:rsid w:val="00E86C9C"/>
    <w:rsid w:val="00E86CFC"/>
    <w:rsid w:val="00E86E22"/>
    <w:rsid w:val="00E86E7C"/>
    <w:rsid w:val="00E86F16"/>
    <w:rsid w:val="00E86FFB"/>
    <w:rsid w:val="00E8702A"/>
    <w:rsid w:val="00E8706F"/>
    <w:rsid w:val="00E870D5"/>
    <w:rsid w:val="00E87129"/>
    <w:rsid w:val="00E871BF"/>
    <w:rsid w:val="00E87677"/>
    <w:rsid w:val="00E877BB"/>
    <w:rsid w:val="00E87998"/>
    <w:rsid w:val="00E87A4B"/>
    <w:rsid w:val="00E87B57"/>
    <w:rsid w:val="00E87EC6"/>
    <w:rsid w:val="00E87EE3"/>
    <w:rsid w:val="00E90145"/>
    <w:rsid w:val="00E90356"/>
    <w:rsid w:val="00E90387"/>
    <w:rsid w:val="00E9055A"/>
    <w:rsid w:val="00E90796"/>
    <w:rsid w:val="00E908E1"/>
    <w:rsid w:val="00E908F0"/>
    <w:rsid w:val="00E9095F"/>
    <w:rsid w:val="00E90AD2"/>
    <w:rsid w:val="00E90BBF"/>
    <w:rsid w:val="00E90C47"/>
    <w:rsid w:val="00E90C64"/>
    <w:rsid w:val="00E90D77"/>
    <w:rsid w:val="00E90E70"/>
    <w:rsid w:val="00E90F76"/>
    <w:rsid w:val="00E91076"/>
    <w:rsid w:val="00E91202"/>
    <w:rsid w:val="00E91238"/>
    <w:rsid w:val="00E91251"/>
    <w:rsid w:val="00E91254"/>
    <w:rsid w:val="00E9155C"/>
    <w:rsid w:val="00E9168D"/>
    <w:rsid w:val="00E919CC"/>
    <w:rsid w:val="00E91B4C"/>
    <w:rsid w:val="00E91C06"/>
    <w:rsid w:val="00E91C95"/>
    <w:rsid w:val="00E921C5"/>
    <w:rsid w:val="00E92298"/>
    <w:rsid w:val="00E9231F"/>
    <w:rsid w:val="00E92431"/>
    <w:rsid w:val="00E924C3"/>
    <w:rsid w:val="00E924ED"/>
    <w:rsid w:val="00E926AC"/>
    <w:rsid w:val="00E92839"/>
    <w:rsid w:val="00E92A28"/>
    <w:rsid w:val="00E92BBB"/>
    <w:rsid w:val="00E92C2F"/>
    <w:rsid w:val="00E92DCD"/>
    <w:rsid w:val="00E92E7C"/>
    <w:rsid w:val="00E92F99"/>
    <w:rsid w:val="00E930DB"/>
    <w:rsid w:val="00E931DE"/>
    <w:rsid w:val="00E93255"/>
    <w:rsid w:val="00E932D5"/>
    <w:rsid w:val="00E9348C"/>
    <w:rsid w:val="00E934FB"/>
    <w:rsid w:val="00E939EA"/>
    <w:rsid w:val="00E93DEB"/>
    <w:rsid w:val="00E93E02"/>
    <w:rsid w:val="00E93E0C"/>
    <w:rsid w:val="00E93EF4"/>
    <w:rsid w:val="00E9407C"/>
    <w:rsid w:val="00E9466E"/>
    <w:rsid w:val="00E947D8"/>
    <w:rsid w:val="00E949A0"/>
    <w:rsid w:val="00E949E2"/>
    <w:rsid w:val="00E94B0D"/>
    <w:rsid w:val="00E94C53"/>
    <w:rsid w:val="00E94ECA"/>
    <w:rsid w:val="00E9533E"/>
    <w:rsid w:val="00E9533F"/>
    <w:rsid w:val="00E953B4"/>
    <w:rsid w:val="00E956F2"/>
    <w:rsid w:val="00E95770"/>
    <w:rsid w:val="00E95910"/>
    <w:rsid w:val="00E959A5"/>
    <w:rsid w:val="00E95C35"/>
    <w:rsid w:val="00E95E04"/>
    <w:rsid w:val="00E95EB2"/>
    <w:rsid w:val="00E9604B"/>
    <w:rsid w:val="00E96152"/>
    <w:rsid w:val="00E96280"/>
    <w:rsid w:val="00E966D4"/>
    <w:rsid w:val="00E9677E"/>
    <w:rsid w:val="00E9677F"/>
    <w:rsid w:val="00E96A2E"/>
    <w:rsid w:val="00E96B9F"/>
    <w:rsid w:val="00E96BA9"/>
    <w:rsid w:val="00E96DBF"/>
    <w:rsid w:val="00E96F42"/>
    <w:rsid w:val="00E96F9D"/>
    <w:rsid w:val="00E96FA0"/>
    <w:rsid w:val="00E97045"/>
    <w:rsid w:val="00E9706D"/>
    <w:rsid w:val="00E971C5"/>
    <w:rsid w:val="00E9725C"/>
    <w:rsid w:val="00E97271"/>
    <w:rsid w:val="00E974A4"/>
    <w:rsid w:val="00E97564"/>
    <w:rsid w:val="00E97743"/>
    <w:rsid w:val="00E978D8"/>
    <w:rsid w:val="00E9790A"/>
    <w:rsid w:val="00E97A65"/>
    <w:rsid w:val="00E97D25"/>
    <w:rsid w:val="00E97E9B"/>
    <w:rsid w:val="00EA0139"/>
    <w:rsid w:val="00EA0436"/>
    <w:rsid w:val="00EA05A6"/>
    <w:rsid w:val="00EA08E5"/>
    <w:rsid w:val="00EA09AB"/>
    <w:rsid w:val="00EA0A4E"/>
    <w:rsid w:val="00EA0C91"/>
    <w:rsid w:val="00EA109F"/>
    <w:rsid w:val="00EA10BD"/>
    <w:rsid w:val="00EA114A"/>
    <w:rsid w:val="00EA1151"/>
    <w:rsid w:val="00EA131D"/>
    <w:rsid w:val="00EA1436"/>
    <w:rsid w:val="00EA1627"/>
    <w:rsid w:val="00EA1653"/>
    <w:rsid w:val="00EA178C"/>
    <w:rsid w:val="00EA17BB"/>
    <w:rsid w:val="00EA1A59"/>
    <w:rsid w:val="00EA1B10"/>
    <w:rsid w:val="00EA1B4B"/>
    <w:rsid w:val="00EA1B9D"/>
    <w:rsid w:val="00EA1C4C"/>
    <w:rsid w:val="00EA1C74"/>
    <w:rsid w:val="00EA1D83"/>
    <w:rsid w:val="00EA1DD0"/>
    <w:rsid w:val="00EA1EA2"/>
    <w:rsid w:val="00EA2267"/>
    <w:rsid w:val="00EA2281"/>
    <w:rsid w:val="00EA261E"/>
    <w:rsid w:val="00EA2676"/>
    <w:rsid w:val="00EA267B"/>
    <w:rsid w:val="00EA2772"/>
    <w:rsid w:val="00EA2B09"/>
    <w:rsid w:val="00EA2B28"/>
    <w:rsid w:val="00EA2CA7"/>
    <w:rsid w:val="00EA2CB4"/>
    <w:rsid w:val="00EA2FB6"/>
    <w:rsid w:val="00EA3066"/>
    <w:rsid w:val="00EA3186"/>
    <w:rsid w:val="00EA3187"/>
    <w:rsid w:val="00EA326C"/>
    <w:rsid w:val="00EA32AC"/>
    <w:rsid w:val="00EA34DC"/>
    <w:rsid w:val="00EA3637"/>
    <w:rsid w:val="00EA381C"/>
    <w:rsid w:val="00EA38BB"/>
    <w:rsid w:val="00EA39C6"/>
    <w:rsid w:val="00EA3B24"/>
    <w:rsid w:val="00EA3BAB"/>
    <w:rsid w:val="00EA3DE5"/>
    <w:rsid w:val="00EA3DF8"/>
    <w:rsid w:val="00EA409E"/>
    <w:rsid w:val="00EA4111"/>
    <w:rsid w:val="00EA4189"/>
    <w:rsid w:val="00EA41DE"/>
    <w:rsid w:val="00EA43DE"/>
    <w:rsid w:val="00EA4429"/>
    <w:rsid w:val="00EA45F0"/>
    <w:rsid w:val="00EA4715"/>
    <w:rsid w:val="00EA4747"/>
    <w:rsid w:val="00EA478B"/>
    <w:rsid w:val="00EA4CF2"/>
    <w:rsid w:val="00EA4E33"/>
    <w:rsid w:val="00EA4FA9"/>
    <w:rsid w:val="00EA4FFC"/>
    <w:rsid w:val="00EA508E"/>
    <w:rsid w:val="00EA5111"/>
    <w:rsid w:val="00EA52BA"/>
    <w:rsid w:val="00EA535C"/>
    <w:rsid w:val="00EA55F4"/>
    <w:rsid w:val="00EA5630"/>
    <w:rsid w:val="00EA5B45"/>
    <w:rsid w:val="00EA5B71"/>
    <w:rsid w:val="00EA5C3E"/>
    <w:rsid w:val="00EA5C6D"/>
    <w:rsid w:val="00EA5CA2"/>
    <w:rsid w:val="00EA5D7D"/>
    <w:rsid w:val="00EA5E6A"/>
    <w:rsid w:val="00EA5ED3"/>
    <w:rsid w:val="00EA5EE3"/>
    <w:rsid w:val="00EA5FC0"/>
    <w:rsid w:val="00EA5FE4"/>
    <w:rsid w:val="00EA6162"/>
    <w:rsid w:val="00EA626A"/>
    <w:rsid w:val="00EA629E"/>
    <w:rsid w:val="00EA6349"/>
    <w:rsid w:val="00EA63A5"/>
    <w:rsid w:val="00EA63E4"/>
    <w:rsid w:val="00EA63FF"/>
    <w:rsid w:val="00EA6652"/>
    <w:rsid w:val="00EA6756"/>
    <w:rsid w:val="00EA6F4E"/>
    <w:rsid w:val="00EA752F"/>
    <w:rsid w:val="00EA75FE"/>
    <w:rsid w:val="00EA765A"/>
    <w:rsid w:val="00EA76DA"/>
    <w:rsid w:val="00EA7735"/>
    <w:rsid w:val="00EA78A6"/>
    <w:rsid w:val="00EA78B3"/>
    <w:rsid w:val="00EA79E8"/>
    <w:rsid w:val="00EA7D03"/>
    <w:rsid w:val="00EA7D11"/>
    <w:rsid w:val="00EA7D93"/>
    <w:rsid w:val="00EA7F6E"/>
    <w:rsid w:val="00EB011A"/>
    <w:rsid w:val="00EB01E0"/>
    <w:rsid w:val="00EB0359"/>
    <w:rsid w:val="00EB04AA"/>
    <w:rsid w:val="00EB0701"/>
    <w:rsid w:val="00EB075A"/>
    <w:rsid w:val="00EB0766"/>
    <w:rsid w:val="00EB0A6C"/>
    <w:rsid w:val="00EB0A95"/>
    <w:rsid w:val="00EB0D75"/>
    <w:rsid w:val="00EB0E8F"/>
    <w:rsid w:val="00EB10D9"/>
    <w:rsid w:val="00EB118D"/>
    <w:rsid w:val="00EB135D"/>
    <w:rsid w:val="00EB1392"/>
    <w:rsid w:val="00EB17A7"/>
    <w:rsid w:val="00EB17DB"/>
    <w:rsid w:val="00EB195D"/>
    <w:rsid w:val="00EB1972"/>
    <w:rsid w:val="00EB19C1"/>
    <w:rsid w:val="00EB1A0C"/>
    <w:rsid w:val="00EB1BF6"/>
    <w:rsid w:val="00EB1CB2"/>
    <w:rsid w:val="00EB1DBD"/>
    <w:rsid w:val="00EB1FD9"/>
    <w:rsid w:val="00EB2107"/>
    <w:rsid w:val="00EB2108"/>
    <w:rsid w:val="00EB217B"/>
    <w:rsid w:val="00EB2244"/>
    <w:rsid w:val="00EB232D"/>
    <w:rsid w:val="00EB248B"/>
    <w:rsid w:val="00EB24AE"/>
    <w:rsid w:val="00EB2672"/>
    <w:rsid w:val="00EB27B0"/>
    <w:rsid w:val="00EB29DE"/>
    <w:rsid w:val="00EB2ABE"/>
    <w:rsid w:val="00EB2FB2"/>
    <w:rsid w:val="00EB3099"/>
    <w:rsid w:val="00EB3160"/>
    <w:rsid w:val="00EB31C3"/>
    <w:rsid w:val="00EB3203"/>
    <w:rsid w:val="00EB3378"/>
    <w:rsid w:val="00EB3435"/>
    <w:rsid w:val="00EB3591"/>
    <w:rsid w:val="00EB3711"/>
    <w:rsid w:val="00EB3728"/>
    <w:rsid w:val="00EB3968"/>
    <w:rsid w:val="00EB396B"/>
    <w:rsid w:val="00EB3996"/>
    <w:rsid w:val="00EB39F6"/>
    <w:rsid w:val="00EB3B2B"/>
    <w:rsid w:val="00EB3CB2"/>
    <w:rsid w:val="00EB3D7C"/>
    <w:rsid w:val="00EB3D81"/>
    <w:rsid w:val="00EB3F8D"/>
    <w:rsid w:val="00EB4060"/>
    <w:rsid w:val="00EB40A1"/>
    <w:rsid w:val="00EB4183"/>
    <w:rsid w:val="00EB41BE"/>
    <w:rsid w:val="00EB4235"/>
    <w:rsid w:val="00EB42C9"/>
    <w:rsid w:val="00EB4325"/>
    <w:rsid w:val="00EB436D"/>
    <w:rsid w:val="00EB43D8"/>
    <w:rsid w:val="00EB4423"/>
    <w:rsid w:val="00EB4527"/>
    <w:rsid w:val="00EB4698"/>
    <w:rsid w:val="00EB4721"/>
    <w:rsid w:val="00EB479F"/>
    <w:rsid w:val="00EB4A48"/>
    <w:rsid w:val="00EB4D09"/>
    <w:rsid w:val="00EB5004"/>
    <w:rsid w:val="00EB50EF"/>
    <w:rsid w:val="00EB511F"/>
    <w:rsid w:val="00EB51D0"/>
    <w:rsid w:val="00EB546F"/>
    <w:rsid w:val="00EB551C"/>
    <w:rsid w:val="00EB553E"/>
    <w:rsid w:val="00EB5869"/>
    <w:rsid w:val="00EB58CF"/>
    <w:rsid w:val="00EB592A"/>
    <w:rsid w:val="00EB5BBB"/>
    <w:rsid w:val="00EB5C1A"/>
    <w:rsid w:val="00EB5C24"/>
    <w:rsid w:val="00EB5CC1"/>
    <w:rsid w:val="00EB5D94"/>
    <w:rsid w:val="00EB5EC7"/>
    <w:rsid w:val="00EB5F77"/>
    <w:rsid w:val="00EB60CE"/>
    <w:rsid w:val="00EB6374"/>
    <w:rsid w:val="00EB664F"/>
    <w:rsid w:val="00EB66B0"/>
    <w:rsid w:val="00EB680A"/>
    <w:rsid w:val="00EB6833"/>
    <w:rsid w:val="00EB6AB8"/>
    <w:rsid w:val="00EB6AC9"/>
    <w:rsid w:val="00EB6B12"/>
    <w:rsid w:val="00EB6BDD"/>
    <w:rsid w:val="00EB6C18"/>
    <w:rsid w:val="00EB6DCC"/>
    <w:rsid w:val="00EB6E99"/>
    <w:rsid w:val="00EB6F2A"/>
    <w:rsid w:val="00EB7038"/>
    <w:rsid w:val="00EB70EF"/>
    <w:rsid w:val="00EB7198"/>
    <w:rsid w:val="00EB72CE"/>
    <w:rsid w:val="00EB7610"/>
    <w:rsid w:val="00EB76A1"/>
    <w:rsid w:val="00EB782D"/>
    <w:rsid w:val="00EB7881"/>
    <w:rsid w:val="00EB78C0"/>
    <w:rsid w:val="00EB794A"/>
    <w:rsid w:val="00EB79E3"/>
    <w:rsid w:val="00EB7B46"/>
    <w:rsid w:val="00EB7EA1"/>
    <w:rsid w:val="00EC003F"/>
    <w:rsid w:val="00EC01BF"/>
    <w:rsid w:val="00EC02FA"/>
    <w:rsid w:val="00EC03FA"/>
    <w:rsid w:val="00EC0448"/>
    <w:rsid w:val="00EC04AB"/>
    <w:rsid w:val="00EC052D"/>
    <w:rsid w:val="00EC06AB"/>
    <w:rsid w:val="00EC071C"/>
    <w:rsid w:val="00EC072A"/>
    <w:rsid w:val="00EC0796"/>
    <w:rsid w:val="00EC0A40"/>
    <w:rsid w:val="00EC0A4B"/>
    <w:rsid w:val="00EC0AA1"/>
    <w:rsid w:val="00EC0BC7"/>
    <w:rsid w:val="00EC0F1D"/>
    <w:rsid w:val="00EC1296"/>
    <w:rsid w:val="00EC134D"/>
    <w:rsid w:val="00EC1390"/>
    <w:rsid w:val="00EC161C"/>
    <w:rsid w:val="00EC17E2"/>
    <w:rsid w:val="00EC190B"/>
    <w:rsid w:val="00EC19DA"/>
    <w:rsid w:val="00EC1E8E"/>
    <w:rsid w:val="00EC1EA0"/>
    <w:rsid w:val="00EC1F80"/>
    <w:rsid w:val="00EC206E"/>
    <w:rsid w:val="00EC22DD"/>
    <w:rsid w:val="00EC24FA"/>
    <w:rsid w:val="00EC28FF"/>
    <w:rsid w:val="00EC2AA6"/>
    <w:rsid w:val="00EC2B4D"/>
    <w:rsid w:val="00EC2BA2"/>
    <w:rsid w:val="00EC2BEA"/>
    <w:rsid w:val="00EC2CF8"/>
    <w:rsid w:val="00EC2E8E"/>
    <w:rsid w:val="00EC2ED8"/>
    <w:rsid w:val="00EC320E"/>
    <w:rsid w:val="00EC32F0"/>
    <w:rsid w:val="00EC3382"/>
    <w:rsid w:val="00EC34ED"/>
    <w:rsid w:val="00EC3571"/>
    <w:rsid w:val="00EC361B"/>
    <w:rsid w:val="00EC3799"/>
    <w:rsid w:val="00EC37AA"/>
    <w:rsid w:val="00EC3A5B"/>
    <w:rsid w:val="00EC3BE7"/>
    <w:rsid w:val="00EC3DEE"/>
    <w:rsid w:val="00EC3EB1"/>
    <w:rsid w:val="00EC3FC0"/>
    <w:rsid w:val="00EC3FE8"/>
    <w:rsid w:val="00EC4187"/>
    <w:rsid w:val="00EC4197"/>
    <w:rsid w:val="00EC424A"/>
    <w:rsid w:val="00EC431B"/>
    <w:rsid w:val="00EC435F"/>
    <w:rsid w:val="00EC4382"/>
    <w:rsid w:val="00EC43C0"/>
    <w:rsid w:val="00EC45B2"/>
    <w:rsid w:val="00EC49D0"/>
    <w:rsid w:val="00EC4A1C"/>
    <w:rsid w:val="00EC4AC5"/>
    <w:rsid w:val="00EC4B50"/>
    <w:rsid w:val="00EC4BC7"/>
    <w:rsid w:val="00EC4EEA"/>
    <w:rsid w:val="00EC4F13"/>
    <w:rsid w:val="00EC5084"/>
    <w:rsid w:val="00EC50B3"/>
    <w:rsid w:val="00EC5150"/>
    <w:rsid w:val="00EC516B"/>
    <w:rsid w:val="00EC53A8"/>
    <w:rsid w:val="00EC5456"/>
    <w:rsid w:val="00EC5775"/>
    <w:rsid w:val="00EC5B4D"/>
    <w:rsid w:val="00EC5CA5"/>
    <w:rsid w:val="00EC5EE5"/>
    <w:rsid w:val="00EC5F4F"/>
    <w:rsid w:val="00EC6135"/>
    <w:rsid w:val="00EC622C"/>
    <w:rsid w:val="00EC63CF"/>
    <w:rsid w:val="00EC63D9"/>
    <w:rsid w:val="00EC644B"/>
    <w:rsid w:val="00EC669F"/>
    <w:rsid w:val="00EC6870"/>
    <w:rsid w:val="00EC6878"/>
    <w:rsid w:val="00EC6880"/>
    <w:rsid w:val="00EC6C36"/>
    <w:rsid w:val="00EC6E84"/>
    <w:rsid w:val="00EC6ECC"/>
    <w:rsid w:val="00EC6F92"/>
    <w:rsid w:val="00EC6F99"/>
    <w:rsid w:val="00EC70A0"/>
    <w:rsid w:val="00EC70F8"/>
    <w:rsid w:val="00EC7193"/>
    <w:rsid w:val="00EC71B5"/>
    <w:rsid w:val="00EC7551"/>
    <w:rsid w:val="00EC7629"/>
    <w:rsid w:val="00EC7663"/>
    <w:rsid w:val="00EC76F6"/>
    <w:rsid w:val="00EC773D"/>
    <w:rsid w:val="00EC7869"/>
    <w:rsid w:val="00EC7AB3"/>
    <w:rsid w:val="00EC7E1F"/>
    <w:rsid w:val="00ED00AE"/>
    <w:rsid w:val="00ED00D5"/>
    <w:rsid w:val="00ED01E2"/>
    <w:rsid w:val="00ED0294"/>
    <w:rsid w:val="00ED0345"/>
    <w:rsid w:val="00ED035A"/>
    <w:rsid w:val="00ED0428"/>
    <w:rsid w:val="00ED04BF"/>
    <w:rsid w:val="00ED05CC"/>
    <w:rsid w:val="00ED05E1"/>
    <w:rsid w:val="00ED064D"/>
    <w:rsid w:val="00ED0657"/>
    <w:rsid w:val="00ED0756"/>
    <w:rsid w:val="00ED0A94"/>
    <w:rsid w:val="00ED0CC9"/>
    <w:rsid w:val="00ED0D46"/>
    <w:rsid w:val="00ED0E65"/>
    <w:rsid w:val="00ED0F81"/>
    <w:rsid w:val="00ED10A7"/>
    <w:rsid w:val="00ED11DC"/>
    <w:rsid w:val="00ED172B"/>
    <w:rsid w:val="00ED173C"/>
    <w:rsid w:val="00ED1788"/>
    <w:rsid w:val="00ED1933"/>
    <w:rsid w:val="00ED1AF6"/>
    <w:rsid w:val="00ED1B6F"/>
    <w:rsid w:val="00ED1CAC"/>
    <w:rsid w:val="00ED1D1D"/>
    <w:rsid w:val="00ED1E11"/>
    <w:rsid w:val="00ED1E48"/>
    <w:rsid w:val="00ED1ECE"/>
    <w:rsid w:val="00ED1F0F"/>
    <w:rsid w:val="00ED1F11"/>
    <w:rsid w:val="00ED1FAF"/>
    <w:rsid w:val="00ED20DC"/>
    <w:rsid w:val="00ED22D1"/>
    <w:rsid w:val="00ED257E"/>
    <w:rsid w:val="00ED26BA"/>
    <w:rsid w:val="00ED274D"/>
    <w:rsid w:val="00ED274F"/>
    <w:rsid w:val="00ED2A78"/>
    <w:rsid w:val="00ED2AA8"/>
    <w:rsid w:val="00ED2B65"/>
    <w:rsid w:val="00ED2BE5"/>
    <w:rsid w:val="00ED2BFE"/>
    <w:rsid w:val="00ED2C58"/>
    <w:rsid w:val="00ED2FE6"/>
    <w:rsid w:val="00ED3027"/>
    <w:rsid w:val="00ED3029"/>
    <w:rsid w:val="00ED31D0"/>
    <w:rsid w:val="00ED332E"/>
    <w:rsid w:val="00ED35F5"/>
    <w:rsid w:val="00ED366A"/>
    <w:rsid w:val="00ED3740"/>
    <w:rsid w:val="00ED3774"/>
    <w:rsid w:val="00ED38A0"/>
    <w:rsid w:val="00ED3AB0"/>
    <w:rsid w:val="00ED3AB3"/>
    <w:rsid w:val="00ED3BE5"/>
    <w:rsid w:val="00ED3C61"/>
    <w:rsid w:val="00ED3D1A"/>
    <w:rsid w:val="00ED3D50"/>
    <w:rsid w:val="00ED3FD8"/>
    <w:rsid w:val="00ED419B"/>
    <w:rsid w:val="00ED441C"/>
    <w:rsid w:val="00ED4520"/>
    <w:rsid w:val="00ED458E"/>
    <w:rsid w:val="00ED468F"/>
    <w:rsid w:val="00ED46CC"/>
    <w:rsid w:val="00ED470C"/>
    <w:rsid w:val="00ED4926"/>
    <w:rsid w:val="00ED49AE"/>
    <w:rsid w:val="00ED49FE"/>
    <w:rsid w:val="00ED4A1F"/>
    <w:rsid w:val="00ED4A57"/>
    <w:rsid w:val="00ED50C2"/>
    <w:rsid w:val="00ED50FE"/>
    <w:rsid w:val="00ED511E"/>
    <w:rsid w:val="00ED5141"/>
    <w:rsid w:val="00ED51E3"/>
    <w:rsid w:val="00ED5258"/>
    <w:rsid w:val="00ED52E8"/>
    <w:rsid w:val="00ED5404"/>
    <w:rsid w:val="00ED546D"/>
    <w:rsid w:val="00ED559C"/>
    <w:rsid w:val="00ED55CF"/>
    <w:rsid w:val="00ED5655"/>
    <w:rsid w:val="00ED5974"/>
    <w:rsid w:val="00ED5A06"/>
    <w:rsid w:val="00ED5CEF"/>
    <w:rsid w:val="00ED5E39"/>
    <w:rsid w:val="00ED5E91"/>
    <w:rsid w:val="00ED5F9B"/>
    <w:rsid w:val="00ED613A"/>
    <w:rsid w:val="00ED6175"/>
    <w:rsid w:val="00ED6181"/>
    <w:rsid w:val="00ED61B5"/>
    <w:rsid w:val="00ED6230"/>
    <w:rsid w:val="00ED64F7"/>
    <w:rsid w:val="00ED65AD"/>
    <w:rsid w:val="00ED6865"/>
    <w:rsid w:val="00ED68AE"/>
    <w:rsid w:val="00ED69B5"/>
    <w:rsid w:val="00ED6A1D"/>
    <w:rsid w:val="00ED6B52"/>
    <w:rsid w:val="00ED6BB6"/>
    <w:rsid w:val="00ED6D2C"/>
    <w:rsid w:val="00ED6D4C"/>
    <w:rsid w:val="00ED6D6C"/>
    <w:rsid w:val="00ED6D7F"/>
    <w:rsid w:val="00ED6E0D"/>
    <w:rsid w:val="00ED7208"/>
    <w:rsid w:val="00ED743A"/>
    <w:rsid w:val="00ED7521"/>
    <w:rsid w:val="00ED7610"/>
    <w:rsid w:val="00ED7623"/>
    <w:rsid w:val="00ED767B"/>
    <w:rsid w:val="00ED77AA"/>
    <w:rsid w:val="00ED788B"/>
    <w:rsid w:val="00ED7BB4"/>
    <w:rsid w:val="00ED7CA1"/>
    <w:rsid w:val="00ED7FE2"/>
    <w:rsid w:val="00EE006E"/>
    <w:rsid w:val="00EE00C2"/>
    <w:rsid w:val="00EE0249"/>
    <w:rsid w:val="00EE0303"/>
    <w:rsid w:val="00EE038D"/>
    <w:rsid w:val="00EE04FA"/>
    <w:rsid w:val="00EE059C"/>
    <w:rsid w:val="00EE06C8"/>
    <w:rsid w:val="00EE076E"/>
    <w:rsid w:val="00EE0851"/>
    <w:rsid w:val="00EE092F"/>
    <w:rsid w:val="00EE0A85"/>
    <w:rsid w:val="00EE0AE4"/>
    <w:rsid w:val="00EE0E4A"/>
    <w:rsid w:val="00EE0F44"/>
    <w:rsid w:val="00EE1000"/>
    <w:rsid w:val="00EE136E"/>
    <w:rsid w:val="00EE1371"/>
    <w:rsid w:val="00EE1397"/>
    <w:rsid w:val="00EE1475"/>
    <w:rsid w:val="00EE156F"/>
    <w:rsid w:val="00EE15AB"/>
    <w:rsid w:val="00EE15D9"/>
    <w:rsid w:val="00EE1947"/>
    <w:rsid w:val="00EE1A31"/>
    <w:rsid w:val="00EE1A7F"/>
    <w:rsid w:val="00EE1C10"/>
    <w:rsid w:val="00EE1C28"/>
    <w:rsid w:val="00EE1CA1"/>
    <w:rsid w:val="00EE1EE6"/>
    <w:rsid w:val="00EE1EF6"/>
    <w:rsid w:val="00EE1F4F"/>
    <w:rsid w:val="00EE22DD"/>
    <w:rsid w:val="00EE23B7"/>
    <w:rsid w:val="00EE2508"/>
    <w:rsid w:val="00EE26F3"/>
    <w:rsid w:val="00EE2831"/>
    <w:rsid w:val="00EE28C6"/>
    <w:rsid w:val="00EE292E"/>
    <w:rsid w:val="00EE2B94"/>
    <w:rsid w:val="00EE2BEB"/>
    <w:rsid w:val="00EE2D74"/>
    <w:rsid w:val="00EE2E24"/>
    <w:rsid w:val="00EE2F94"/>
    <w:rsid w:val="00EE33D1"/>
    <w:rsid w:val="00EE33EC"/>
    <w:rsid w:val="00EE34D6"/>
    <w:rsid w:val="00EE351A"/>
    <w:rsid w:val="00EE38C6"/>
    <w:rsid w:val="00EE396E"/>
    <w:rsid w:val="00EE39DE"/>
    <w:rsid w:val="00EE3ADF"/>
    <w:rsid w:val="00EE3B07"/>
    <w:rsid w:val="00EE3B08"/>
    <w:rsid w:val="00EE3B53"/>
    <w:rsid w:val="00EE3FA4"/>
    <w:rsid w:val="00EE4038"/>
    <w:rsid w:val="00EE4112"/>
    <w:rsid w:val="00EE4132"/>
    <w:rsid w:val="00EE4298"/>
    <w:rsid w:val="00EE43AD"/>
    <w:rsid w:val="00EE447E"/>
    <w:rsid w:val="00EE45BB"/>
    <w:rsid w:val="00EE471E"/>
    <w:rsid w:val="00EE4754"/>
    <w:rsid w:val="00EE47F2"/>
    <w:rsid w:val="00EE4970"/>
    <w:rsid w:val="00EE4A1C"/>
    <w:rsid w:val="00EE4AAF"/>
    <w:rsid w:val="00EE4ABC"/>
    <w:rsid w:val="00EE4B28"/>
    <w:rsid w:val="00EE4D2B"/>
    <w:rsid w:val="00EE4D9E"/>
    <w:rsid w:val="00EE4EC0"/>
    <w:rsid w:val="00EE4FCD"/>
    <w:rsid w:val="00EE503C"/>
    <w:rsid w:val="00EE5240"/>
    <w:rsid w:val="00EE5649"/>
    <w:rsid w:val="00EE5950"/>
    <w:rsid w:val="00EE5B80"/>
    <w:rsid w:val="00EE5BC3"/>
    <w:rsid w:val="00EE5BED"/>
    <w:rsid w:val="00EE5C96"/>
    <w:rsid w:val="00EE6059"/>
    <w:rsid w:val="00EE61F2"/>
    <w:rsid w:val="00EE63CA"/>
    <w:rsid w:val="00EE63E2"/>
    <w:rsid w:val="00EE63F2"/>
    <w:rsid w:val="00EE6427"/>
    <w:rsid w:val="00EE64D1"/>
    <w:rsid w:val="00EE65C9"/>
    <w:rsid w:val="00EE66BE"/>
    <w:rsid w:val="00EE6882"/>
    <w:rsid w:val="00EE699D"/>
    <w:rsid w:val="00EE6A0A"/>
    <w:rsid w:val="00EE6B53"/>
    <w:rsid w:val="00EE6C04"/>
    <w:rsid w:val="00EE6D1F"/>
    <w:rsid w:val="00EE6D50"/>
    <w:rsid w:val="00EE6E37"/>
    <w:rsid w:val="00EE70F7"/>
    <w:rsid w:val="00EE7312"/>
    <w:rsid w:val="00EE752F"/>
    <w:rsid w:val="00EE75B0"/>
    <w:rsid w:val="00EE7BE6"/>
    <w:rsid w:val="00EE7C70"/>
    <w:rsid w:val="00EE7D5E"/>
    <w:rsid w:val="00EE7D99"/>
    <w:rsid w:val="00EE7E2F"/>
    <w:rsid w:val="00EE7EAE"/>
    <w:rsid w:val="00EF0136"/>
    <w:rsid w:val="00EF03EF"/>
    <w:rsid w:val="00EF0613"/>
    <w:rsid w:val="00EF07A0"/>
    <w:rsid w:val="00EF07F6"/>
    <w:rsid w:val="00EF086A"/>
    <w:rsid w:val="00EF0A56"/>
    <w:rsid w:val="00EF0A5D"/>
    <w:rsid w:val="00EF0AB8"/>
    <w:rsid w:val="00EF0C08"/>
    <w:rsid w:val="00EF0DC8"/>
    <w:rsid w:val="00EF0E35"/>
    <w:rsid w:val="00EF0E5B"/>
    <w:rsid w:val="00EF0FA5"/>
    <w:rsid w:val="00EF1364"/>
    <w:rsid w:val="00EF13B1"/>
    <w:rsid w:val="00EF1610"/>
    <w:rsid w:val="00EF1677"/>
    <w:rsid w:val="00EF1716"/>
    <w:rsid w:val="00EF17AD"/>
    <w:rsid w:val="00EF17AF"/>
    <w:rsid w:val="00EF1808"/>
    <w:rsid w:val="00EF1BB7"/>
    <w:rsid w:val="00EF201F"/>
    <w:rsid w:val="00EF2099"/>
    <w:rsid w:val="00EF2213"/>
    <w:rsid w:val="00EF234C"/>
    <w:rsid w:val="00EF2399"/>
    <w:rsid w:val="00EF24D6"/>
    <w:rsid w:val="00EF250C"/>
    <w:rsid w:val="00EF2545"/>
    <w:rsid w:val="00EF2675"/>
    <w:rsid w:val="00EF26B5"/>
    <w:rsid w:val="00EF2814"/>
    <w:rsid w:val="00EF2A20"/>
    <w:rsid w:val="00EF2AD1"/>
    <w:rsid w:val="00EF2CA9"/>
    <w:rsid w:val="00EF2CB4"/>
    <w:rsid w:val="00EF2D42"/>
    <w:rsid w:val="00EF2DFB"/>
    <w:rsid w:val="00EF2FF9"/>
    <w:rsid w:val="00EF344E"/>
    <w:rsid w:val="00EF344F"/>
    <w:rsid w:val="00EF34B6"/>
    <w:rsid w:val="00EF3656"/>
    <w:rsid w:val="00EF38FC"/>
    <w:rsid w:val="00EF3916"/>
    <w:rsid w:val="00EF39A5"/>
    <w:rsid w:val="00EF3B82"/>
    <w:rsid w:val="00EF3B91"/>
    <w:rsid w:val="00EF3DBD"/>
    <w:rsid w:val="00EF407B"/>
    <w:rsid w:val="00EF42DE"/>
    <w:rsid w:val="00EF4764"/>
    <w:rsid w:val="00EF4875"/>
    <w:rsid w:val="00EF4A9A"/>
    <w:rsid w:val="00EF4E93"/>
    <w:rsid w:val="00EF4F3E"/>
    <w:rsid w:val="00EF4F92"/>
    <w:rsid w:val="00EF4FF4"/>
    <w:rsid w:val="00EF5010"/>
    <w:rsid w:val="00EF502A"/>
    <w:rsid w:val="00EF512A"/>
    <w:rsid w:val="00EF51FA"/>
    <w:rsid w:val="00EF523B"/>
    <w:rsid w:val="00EF523F"/>
    <w:rsid w:val="00EF529F"/>
    <w:rsid w:val="00EF53B6"/>
    <w:rsid w:val="00EF565F"/>
    <w:rsid w:val="00EF574F"/>
    <w:rsid w:val="00EF58BE"/>
    <w:rsid w:val="00EF5B18"/>
    <w:rsid w:val="00EF5C08"/>
    <w:rsid w:val="00EF5C2B"/>
    <w:rsid w:val="00EF5DE4"/>
    <w:rsid w:val="00EF5E98"/>
    <w:rsid w:val="00EF5F31"/>
    <w:rsid w:val="00EF5F8A"/>
    <w:rsid w:val="00EF5FBE"/>
    <w:rsid w:val="00EF5FC3"/>
    <w:rsid w:val="00EF6003"/>
    <w:rsid w:val="00EF62F0"/>
    <w:rsid w:val="00EF63F6"/>
    <w:rsid w:val="00EF647F"/>
    <w:rsid w:val="00EF6502"/>
    <w:rsid w:val="00EF6515"/>
    <w:rsid w:val="00EF6594"/>
    <w:rsid w:val="00EF65D7"/>
    <w:rsid w:val="00EF65E1"/>
    <w:rsid w:val="00EF68F5"/>
    <w:rsid w:val="00EF6A7A"/>
    <w:rsid w:val="00EF6BC0"/>
    <w:rsid w:val="00EF6D50"/>
    <w:rsid w:val="00EF6DB8"/>
    <w:rsid w:val="00EF6DD0"/>
    <w:rsid w:val="00EF6E01"/>
    <w:rsid w:val="00EF7035"/>
    <w:rsid w:val="00EF731D"/>
    <w:rsid w:val="00EF74E7"/>
    <w:rsid w:val="00EF74ED"/>
    <w:rsid w:val="00EF751F"/>
    <w:rsid w:val="00EF75B2"/>
    <w:rsid w:val="00EF76EB"/>
    <w:rsid w:val="00EF77A5"/>
    <w:rsid w:val="00EF78DC"/>
    <w:rsid w:val="00EF7A0E"/>
    <w:rsid w:val="00EF7A19"/>
    <w:rsid w:val="00EF7A67"/>
    <w:rsid w:val="00EF7AED"/>
    <w:rsid w:val="00EF7B2D"/>
    <w:rsid w:val="00EF7BEC"/>
    <w:rsid w:val="00EF7CE1"/>
    <w:rsid w:val="00EF7DBC"/>
    <w:rsid w:val="00EF7E37"/>
    <w:rsid w:val="00EF7F5F"/>
    <w:rsid w:val="00F002C1"/>
    <w:rsid w:val="00F00305"/>
    <w:rsid w:val="00F00380"/>
    <w:rsid w:val="00F00434"/>
    <w:rsid w:val="00F00568"/>
    <w:rsid w:val="00F005AF"/>
    <w:rsid w:val="00F005D5"/>
    <w:rsid w:val="00F00603"/>
    <w:rsid w:val="00F0070C"/>
    <w:rsid w:val="00F008BE"/>
    <w:rsid w:val="00F00B3F"/>
    <w:rsid w:val="00F00D34"/>
    <w:rsid w:val="00F00DC7"/>
    <w:rsid w:val="00F00E1E"/>
    <w:rsid w:val="00F00EE6"/>
    <w:rsid w:val="00F01038"/>
    <w:rsid w:val="00F011B0"/>
    <w:rsid w:val="00F01223"/>
    <w:rsid w:val="00F01231"/>
    <w:rsid w:val="00F01260"/>
    <w:rsid w:val="00F014D9"/>
    <w:rsid w:val="00F01510"/>
    <w:rsid w:val="00F0187B"/>
    <w:rsid w:val="00F018AE"/>
    <w:rsid w:val="00F01986"/>
    <w:rsid w:val="00F019E9"/>
    <w:rsid w:val="00F01A8F"/>
    <w:rsid w:val="00F01B5F"/>
    <w:rsid w:val="00F01D14"/>
    <w:rsid w:val="00F01DFB"/>
    <w:rsid w:val="00F01F7B"/>
    <w:rsid w:val="00F02120"/>
    <w:rsid w:val="00F021B2"/>
    <w:rsid w:val="00F022A3"/>
    <w:rsid w:val="00F02425"/>
    <w:rsid w:val="00F02521"/>
    <w:rsid w:val="00F025AC"/>
    <w:rsid w:val="00F028B2"/>
    <w:rsid w:val="00F02A66"/>
    <w:rsid w:val="00F02B72"/>
    <w:rsid w:val="00F02CD6"/>
    <w:rsid w:val="00F02F6A"/>
    <w:rsid w:val="00F030FD"/>
    <w:rsid w:val="00F03171"/>
    <w:rsid w:val="00F031E7"/>
    <w:rsid w:val="00F03225"/>
    <w:rsid w:val="00F0322A"/>
    <w:rsid w:val="00F032A2"/>
    <w:rsid w:val="00F032FA"/>
    <w:rsid w:val="00F03587"/>
    <w:rsid w:val="00F0367B"/>
    <w:rsid w:val="00F03715"/>
    <w:rsid w:val="00F03780"/>
    <w:rsid w:val="00F03805"/>
    <w:rsid w:val="00F0382E"/>
    <w:rsid w:val="00F03AA7"/>
    <w:rsid w:val="00F03AE0"/>
    <w:rsid w:val="00F03C13"/>
    <w:rsid w:val="00F03CC2"/>
    <w:rsid w:val="00F03D43"/>
    <w:rsid w:val="00F03D63"/>
    <w:rsid w:val="00F04234"/>
    <w:rsid w:val="00F04336"/>
    <w:rsid w:val="00F0435A"/>
    <w:rsid w:val="00F04806"/>
    <w:rsid w:val="00F04827"/>
    <w:rsid w:val="00F04859"/>
    <w:rsid w:val="00F04874"/>
    <w:rsid w:val="00F04955"/>
    <w:rsid w:val="00F0497E"/>
    <w:rsid w:val="00F04AE1"/>
    <w:rsid w:val="00F04B8A"/>
    <w:rsid w:val="00F04C67"/>
    <w:rsid w:val="00F04E17"/>
    <w:rsid w:val="00F04E9C"/>
    <w:rsid w:val="00F04F02"/>
    <w:rsid w:val="00F05045"/>
    <w:rsid w:val="00F0511E"/>
    <w:rsid w:val="00F051EE"/>
    <w:rsid w:val="00F05306"/>
    <w:rsid w:val="00F053F5"/>
    <w:rsid w:val="00F057D9"/>
    <w:rsid w:val="00F05C8F"/>
    <w:rsid w:val="00F05CD5"/>
    <w:rsid w:val="00F060DD"/>
    <w:rsid w:val="00F0611D"/>
    <w:rsid w:val="00F06124"/>
    <w:rsid w:val="00F0624E"/>
    <w:rsid w:val="00F063A8"/>
    <w:rsid w:val="00F06676"/>
    <w:rsid w:val="00F066E3"/>
    <w:rsid w:val="00F066F0"/>
    <w:rsid w:val="00F06702"/>
    <w:rsid w:val="00F067CE"/>
    <w:rsid w:val="00F068D2"/>
    <w:rsid w:val="00F0692F"/>
    <w:rsid w:val="00F0698B"/>
    <w:rsid w:val="00F06CD2"/>
    <w:rsid w:val="00F06DD7"/>
    <w:rsid w:val="00F06EFF"/>
    <w:rsid w:val="00F070A6"/>
    <w:rsid w:val="00F070C2"/>
    <w:rsid w:val="00F0716A"/>
    <w:rsid w:val="00F073F3"/>
    <w:rsid w:val="00F0787D"/>
    <w:rsid w:val="00F079B3"/>
    <w:rsid w:val="00F079D6"/>
    <w:rsid w:val="00F07B47"/>
    <w:rsid w:val="00F07D95"/>
    <w:rsid w:val="00F07ED0"/>
    <w:rsid w:val="00F07EEB"/>
    <w:rsid w:val="00F10024"/>
    <w:rsid w:val="00F100E5"/>
    <w:rsid w:val="00F10396"/>
    <w:rsid w:val="00F10862"/>
    <w:rsid w:val="00F10989"/>
    <w:rsid w:val="00F10A7D"/>
    <w:rsid w:val="00F10AE8"/>
    <w:rsid w:val="00F10B15"/>
    <w:rsid w:val="00F10BCA"/>
    <w:rsid w:val="00F10C46"/>
    <w:rsid w:val="00F10E0C"/>
    <w:rsid w:val="00F10F78"/>
    <w:rsid w:val="00F11056"/>
    <w:rsid w:val="00F1109A"/>
    <w:rsid w:val="00F1142B"/>
    <w:rsid w:val="00F11504"/>
    <w:rsid w:val="00F11566"/>
    <w:rsid w:val="00F11572"/>
    <w:rsid w:val="00F116C9"/>
    <w:rsid w:val="00F11784"/>
    <w:rsid w:val="00F11855"/>
    <w:rsid w:val="00F119AC"/>
    <w:rsid w:val="00F11A0A"/>
    <w:rsid w:val="00F11A37"/>
    <w:rsid w:val="00F11BA0"/>
    <w:rsid w:val="00F11C2A"/>
    <w:rsid w:val="00F11F72"/>
    <w:rsid w:val="00F12000"/>
    <w:rsid w:val="00F120A6"/>
    <w:rsid w:val="00F120C0"/>
    <w:rsid w:val="00F1213C"/>
    <w:rsid w:val="00F122C3"/>
    <w:rsid w:val="00F124D9"/>
    <w:rsid w:val="00F124E3"/>
    <w:rsid w:val="00F1265F"/>
    <w:rsid w:val="00F12668"/>
    <w:rsid w:val="00F126EB"/>
    <w:rsid w:val="00F127B7"/>
    <w:rsid w:val="00F12961"/>
    <w:rsid w:val="00F12B90"/>
    <w:rsid w:val="00F12CFF"/>
    <w:rsid w:val="00F12D93"/>
    <w:rsid w:val="00F12DB9"/>
    <w:rsid w:val="00F12FBD"/>
    <w:rsid w:val="00F13033"/>
    <w:rsid w:val="00F13078"/>
    <w:rsid w:val="00F13259"/>
    <w:rsid w:val="00F133C9"/>
    <w:rsid w:val="00F134BA"/>
    <w:rsid w:val="00F13756"/>
    <w:rsid w:val="00F13785"/>
    <w:rsid w:val="00F137BA"/>
    <w:rsid w:val="00F13811"/>
    <w:rsid w:val="00F1381F"/>
    <w:rsid w:val="00F1398D"/>
    <w:rsid w:val="00F139B0"/>
    <w:rsid w:val="00F13AAC"/>
    <w:rsid w:val="00F13B93"/>
    <w:rsid w:val="00F13BB2"/>
    <w:rsid w:val="00F13E2B"/>
    <w:rsid w:val="00F13E48"/>
    <w:rsid w:val="00F14134"/>
    <w:rsid w:val="00F146E1"/>
    <w:rsid w:val="00F148C0"/>
    <w:rsid w:val="00F1490B"/>
    <w:rsid w:val="00F1491F"/>
    <w:rsid w:val="00F14A0A"/>
    <w:rsid w:val="00F14A47"/>
    <w:rsid w:val="00F14C91"/>
    <w:rsid w:val="00F14EE5"/>
    <w:rsid w:val="00F1518C"/>
    <w:rsid w:val="00F152AC"/>
    <w:rsid w:val="00F1530E"/>
    <w:rsid w:val="00F15347"/>
    <w:rsid w:val="00F153AE"/>
    <w:rsid w:val="00F153F1"/>
    <w:rsid w:val="00F15794"/>
    <w:rsid w:val="00F158F3"/>
    <w:rsid w:val="00F15987"/>
    <w:rsid w:val="00F15B47"/>
    <w:rsid w:val="00F15EF0"/>
    <w:rsid w:val="00F15FCA"/>
    <w:rsid w:val="00F15FF7"/>
    <w:rsid w:val="00F16009"/>
    <w:rsid w:val="00F16027"/>
    <w:rsid w:val="00F16293"/>
    <w:rsid w:val="00F16657"/>
    <w:rsid w:val="00F167F5"/>
    <w:rsid w:val="00F16852"/>
    <w:rsid w:val="00F16978"/>
    <w:rsid w:val="00F16B0F"/>
    <w:rsid w:val="00F16B1C"/>
    <w:rsid w:val="00F16C15"/>
    <w:rsid w:val="00F16FD6"/>
    <w:rsid w:val="00F1708E"/>
    <w:rsid w:val="00F17123"/>
    <w:rsid w:val="00F171D8"/>
    <w:rsid w:val="00F17312"/>
    <w:rsid w:val="00F17459"/>
    <w:rsid w:val="00F17569"/>
    <w:rsid w:val="00F1774E"/>
    <w:rsid w:val="00F178B4"/>
    <w:rsid w:val="00F17ABF"/>
    <w:rsid w:val="00F17B02"/>
    <w:rsid w:val="00F17C2A"/>
    <w:rsid w:val="00F17C34"/>
    <w:rsid w:val="00F17CE9"/>
    <w:rsid w:val="00F17E48"/>
    <w:rsid w:val="00F17FA3"/>
    <w:rsid w:val="00F2003B"/>
    <w:rsid w:val="00F2020B"/>
    <w:rsid w:val="00F20228"/>
    <w:rsid w:val="00F203DC"/>
    <w:rsid w:val="00F20738"/>
    <w:rsid w:val="00F207B4"/>
    <w:rsid w:val="00F20804"/>
    <w:rsid w:val="00F208E6"/>
    <w:rsid w:val="00F209CA"/>
    <w:rsid w:val="00F209F8"/>
    <w:rsid w:val="00F20B4D"/>
    <w:rsid w:val="00F20D38"/>
    <w:rsid w:val="00F20E8C"/>
    <w:rsid w:val="00F20F4E"/>
    <w:rsid w:val="00F21054"/>
    <w:rsid w:val="00F21244"/>
    <w:rsid w:val="00F213F8"/>
    <w:rsid w:val="00F214FB"/>
    <w:rsid w:val="00F21569"/>
    <w:rsid w:val="00F217C5"/>
    <w:rsid w:val="00F217DF"/>
    <w:rsid w:val="00F21AF1"/>
    <w:rsid w:val="00F21B08"/>
    <w:rsid w:val="00F21DB4"/>
    <w:rsid w:val="00F21DEE"/>
    <w:rsid w:val="00F21DFC"/>
    <w:rsid w:val="00F2203E"/>
    <w:rsid w:val="00F22058"/>
    <w:rsid w:val="00F2241D"/>
    <w:rsid w:val="00F224A7"/>
    <w:rsid w:val="00F227DF"/>
    <w:rsid w:val="00F22919"/>
    <w:rsid w:val="00F22B0F"/>
    <w:rsid w:val="00F22F58"/>
    <w:rsid w:val="00F230D7"/>
    <w:rsid w:val="00F23124"/>
    <w:rsid w:val="00F23388"/>
    <w:rsid w:val="00F235E6"/>
    <w:rsid w:val="00F237B7"/>
    <w:rsid w:val="00F239BC"/>
    <w:rsid w:val="00F23B29"/>
    <w:rsid w:val="00F23CA7"/>
    <w:rsid w:val="00F23D6D"/>
    <w:rsid w:val="00F23D79"/>
    <w:rsid w:val="00F24370"/>
    <w:rsid w:val="00F243A5"/>
    <w:rsid w:val="00F24571"/>
    <w:rsid w:val="00F248C6"/>
    <w:rsid w:val="00F24AD1"/>
    <w:rsid w:val="00F24B83"/>
    <w:rsid w:val="00F24B9D"/>
    <w:rsid w:val="00F24BE1"/>
    <w:rsid w:val="00F24C74"/>
    <w:rsid w:val="00F24D5A"/>
    <w:rsid w:val="00F24E11"/>
    <w:rsid w:val="00F24E24"/>
    <w:rsid w:val="00F24E9D"/>
    <w:rsid w:val="00F25111"/>
    <w:rsid w:val="00F2521C"/>
    <w:rsid w:val="00F2534D"/>
    <w:rsid w:val="00F253B1"/>
    <w:rsid w:val="00F254C2"/>
    <w:rsid w:val="00F254D0"/>
    <w:rsid w:val="00F255CE"/>
    <w:rsid w:val="00F255FD"/>
    <w:rsid w:val="00F25B90"/>
    <w:rsid w:val="00F25BE4"/>
    <w:rsid w:val="00F25C7A"/>
    <w:rsid w:val="00F25D10"/>
    <w:rsid w:val="00F25D9C"/>
    <w:rsid w:val="00F25DCB"/>
    <w:rsid w:val="00F2604E"/>
    <w:rsid w:val="00F2608E"/>
    <w:rsid w:val="00F261DF"/>
    <w:rsid w:val="00F262C6"/>
    <w:rsid w:val="00F262F3"/>
    <w:rsid w:val="00F263AD"/>
    <w:rsid w:val="00F264CB"/>
    <w:rsid w:val="00F26547"/>
    <w:rsid w:val="00F267A4"/>
    <w:rsid w:val="00F2680B"/>
    <w:rsid w:val="00F269CB"/>
    <w:rsid w:val="00F269D7"/>
    <w:rsid w:val="00F26B07"/>
    <w:rsid w:val="00F26B0D"/>
    <w:rsid w:val="00F26CA5"/>
    <w:rsid w:val="00F26CED"/>
    <w:rsid w:val="00F26ECB"/>
    <w:rsid w:val="00F27163"/>
    <w:rsid w:val="00F272A1"/>
    <w:rsid w:val="00F27478"/>
    <w:rsid w:val="00F2752F"/>
    <w:rsid w:val="00F2753D"/>
    <w:rsid w:val="00F27546"/>
    <w:rsid w:val="00F2771B"/>
    <w:rsid w:val="00F277E4"/>
    <w:rsid w:val="00F278DA"/>
    <w:rsid w:val="00F2790F"/>
    <w:rsid w:val="00F27B14"/>
    <w:rsid w:val="00F27BD5"/>
    <w:rsid w:val="00F27D0C"/>
    <w:rsid w:val="00F27DAA"/>
    <w:rsid w:val="00F27E08"/>
    <w:rsid w:val="00F3002D"/>
    <w:rsid w:val="00F301B9"/>
    <w:rsid w:val="00F3025B"/>
    <w:rsid w:val="00F30348"/>
    <w:rsid w:val="00F3034E"/>
    <w:rsid w:val="00F303A3"/>
    <w:rsid w:val="00F303D1"/>
    <w:rsid w:val="00F30539"/>
    <w:rsid w:val="00F30583"/>
    <w:rsid w:val="00F30617"/>
    <w:rsid w:val="00F306B0"/>
    <w:rsid w:val="00F309E5"/>
    <w:rsid w:val="00F30A53"/>
    <w:rsid w:val="00F30BD1"/>
    <w:rsid w:val="00F30C49"/>
    <w:rsid w:val="00F30D0D"/>
    <w:rsid w:val="00F30D4B"/>
    <w:rsid w:val="00F30D8E"/>
    <w:rsid w:val="00F30F09"/>
    <w:rsid w:val="00F31290"/>
    <w:rsid w:val="00F312AE"/>
    <w:rsid w:val="00F312F1"/>
    <w:rsid w:val="00F314F4"/>
    <w:rsid w:val="00F31598"/>
    <w:rsid w:val="00F31A8E"/>
    <w:rsid w:val="00F31AB1"/>
    <w:rsid w:val="00F31D81"/>
    <w:rsid w:val="00F31ED8"/>
    <w:rsid w:val="00F31FBA"/>
    <w:rsid w:val="00F32231"/>
    <w:rsid w:val="00F32309"/>
    <w:rsid w:val="00F3238C"/>
    <w:rsid w:val="00F32467"/>
    <w:rsid w:val="00F324EB"/>
    <w:rsid w:val="00F32522"/>
    <w:rsid w:val="00F32737"/>
    <w:rsid w:val="00F327EB"/>
    <w:rsid w:val="00F3282C"/>
    <w:rsid w:val="00F329C0"/>
    <w:rsid w:val="00F32A71"/>
    <w:rsid w:val="00F32B7D"/>
    <w:rsid w:val="00F32F53"/>
    <w:rsid w:val="00F33109"/>
    <w:rsid w:val="00F33419"/>
    <w:rsid w:val="00F335E5"/>
    <w:rsid w:val="00F3364C"/>
    <w:rsid w:val="00F338AC"/>
    <w:rsid w:val="00F338B6"/>
    <w:rsid w:val="00F3393F"/>
    <w:rsid w:val="00F33AED"/>
    <w:rsid w:val="00F33B8A"/>
    <w:rsid w:val="00F33C3E"/>
    <w:rsid w:val="00F33DDB"/>
    <w:rsid w:val="00F33E06"/>
    <w:rsid w:val="00F3429E"/>
    <w:rsid w:val="00F3458D"/>
    <w:rsid w:val="00F34594"/>
    <w:rsid w:val="00F3477C"/>
    <w:rsid w:val="00F3491F"/>
    <w:rsid w:val="00F34A13"/>
    <w:rsid w:val="00F34A9F"/>
    <w:rsid w:val="00F34BB6"/>
    <w:rsid w:val="00F34DFB"/>
    <w:rsid w:val="00F34EB7"/>
    <w:rsid w:val="00F34FB3"/>
    <w:rsid w:val="00F3518A"/>
    <w:rsid w:val="00F3528A"/>
    <w:rsid w:val="00F355D8"/>
    <w:rsid w:val="00F3560D"/>
    <w:rsid w:val="00F356F1"/>
    <w:rsid w:val="00F35813"/>
    <w:rsid w:val="00F3582F"/>
    <w:rsid w:val="00F35A02"/>
    <w:rsid w:val="00F35AF0"/>
    <w:rsid w:val="00F35B3C"/>
    <w:rsid w:val="00F35B64"/>
    <w:rsid w:val="00F35D51"/>
    <w:rsid w:val="00F35E86"/>
    <w:rsid w:val="00F360C9"/>
    <w:rsid w:val="00F36328"/>
    <w:rsid w:val="00F3634D"/>
    <w:rsid w:val="00F363D9"/>
    <w:rsid w:val="00F36AFB"/>
    <w:rsid w:val="00F36B8A"/>
    <w:rsid w:val="00F36CD7"/>
    <w:rsid w:val="00F36EAB"/>
    <w:rsid w:val="00F36F88"/>
    <w:rsid w:val="00F370AC"/>
    <w:rsid w:val="00F370C5"/>
    <w:rsid w:val="00F372CB"/>
    <w:rsid w:val="00F37428"/>
    <w:rsid w:val="00F375D3"/>
    <w:rsid w:val="00F3768B"/>
    <w:rsid w:val="00F377E3"/>
    <w:rsid w:val="00F37932"/>
    <w:rsid w:val="00F379A5"/>
    <w:rsid w:val="00F37A07"/>
    <w:rsid w:val="00F37A23"/>
    <w:rsid w:val="00F37B20"/>
    <w:rsid w:val="00F37B88"/>
    <w:rsid w:val="00F37BB3"/>
    <w:rsid w:val="00F37CBE"/>
    <w:rsid w:val="00F37D98"/>
    <w:rsid w:val="00F37E26"/>
    <w:rsid w:val="00F37FC4"/>
    <w:rsid w:val="00F401A3"/>
    <w:rsid w:val="00F401D0"/>
    <w:rsid w:val="00F401E3"/>
    <w:rsid w:val="00F40264"/>
    <w:rsid w:val="00F402D9"/>
    <w:rsid w:val="00F404CF"/>
    <w:rsid w:val="00F406E4"/>
    <w:rsid w:val="00F40AB8"/>
    <w:rsid w:val="00F40C6C"/>
    <w:rsid w:val="00F40D05"/>
    <w:rsid w:val="00F4102D"/>
    <w:rsid w:val="00F411E0"/>
    <w:rsid w:val="00F413AE"/>
    <w:rsid w:val="00F4155C"/>
    <w:rsid w:val="00F41624"/>
    <w:rsid w:val="00F416B3"/>
    <w:rsid w:val="00F41714"/>
    <w:rsid w:val="00F417A1"/>
    <w:rsid w:val="00F41937"/>
    <w:rsid w:val="00F4197E"/>
    <w:rsid w:val="00F41A7A"/>
    <w:rsid w:val="00F41AF7"/>
    <w:rsid w:val="00F41C77"/>
    <w:rsid w:val="00F41C8A"/>
    <w:rsid w:val="00F41DE7"/>
    <w:rsid w:val="00F41EC3"/>
    <w:rsid w:val="00F41F67"/>
    <w:rsid w:val="00F42180"/>
    <w:rsid w:val="00F422A1"/>
    <w:rsid w:val="00F422DC"/>
    <w:rsid w:val="00F423BF"/>
    <w:rsid w:val="00F42405"/>
    <w:rsid w:val="00F424F9"/>
    <w:rsid w:val="00F426D8"/>
    <w:rsid w:val="00F4270B"/>
    <w:rsid w:val="00F428E0"/>
    <w:rsid w:val="00F42B65"/>
    <w:rsid w:val="00F42C4E"/>
    <w:rsid w:val="00F42EDE"/>
    <w:rsid w:val="00F4312B"/>
    <w:rsid w:val="00F434F9"/>
    <w:rsid w:val="00F43520"/>
    <w:rsid w:val="00F435B5"/>
    <w:rsid w:val="00F437C6"/>
    <w:rsid w:val="00F4385A"/>
    <w:rsid w:val="00F43880"/>
    <w:rsid w:val="00F4390D"/>
    <w:rsid w:val="00F43928"/>
    <w:rsid w:val="00F43967"/>
    <w:rsid w:val="00F4397A"/>
    <w:rsid w:val="00F43A55"/>
    <w:rsid w:val="00F43AD1"/>
    <w:rsid w:val="00F43E66"/>
    <w:rsid w:val="00F43E8D"/>
    <w:rsid w:val="00F4405C"/>
    <w:rsid w:val="00F44139"/>
    <w:rsid w:val="00F441E8"/>
    <w:rsid w:val="00F44545"/>
    <w:rsid w:val="00F44551"/>
    <w:rsid w:val="00F44566"/>
    <w:rsid w:val="00F446C5"/>
    <w:rsid w:val="00F447BC"/>
    <w:rsid w:val="00F4487C"/>
    <w:rsid w:val="00F44A1E"/>
    <w:rsid w:val="00F44A9B"/>
    <w:rsid w:val="00F44AA9"/>
    <w:rsid w:val="00F44AD3"/>
    <w:rsid w:val="00F44B50"/>
    <w:rsid w:val="00F44C49"/>
    <w:rsid w:val="00F44C5C"/>
    <w:rsid w:val="00F44C91"/>
    <w:rsid w:val="00F44C9B"/>
    <w:rsid w:val="00F44D5E"/>
    <w:rsid w:val="00F44DD8"/>
    <w:rsid w:val="00F44E8B"/>
    <w:rsid w:val="00F44E95"/>
    <w:rsid w:val="00F45215"/>
    <w:rsid w:val="00F4544E"/>
    <w:rsid w:val="00F4548D"/>
    <w:rsid w:val="00F4569B"/>
    <w:rsid w:val="00F4569E"/>
    <w:rsid w:val="00F457C5"/>
    <w:rsid w:val="00F457C7"/>
    <w:rsid w:val="00F457E2"/>
    <w:rsid w:val="00F4587C"/>
    <w:rsid w:val="00F45969"/>
    <w:rsid w:val="00F45A91"/>
    <w:rsid w:val="00F45C35"/>
    <w:rsid w:val="00F45ECA"/>
    <w:rsid w:val="00F45F5C"/>
    <w:rsid w:val="00F45FD7"/>
    <w:rsid w:val="00F46065"/>
    <w:rsid w:val="00F460C8"/>
    <w:rsid w:val="00F4620E"/>
    <w:rsid w:val="00F46422"/>
    <w:rsid w:val="00F465D1"/>
    <w:rsid w:val="00F4681C"/>
    <w:rsid w:val="00F46AD1"/>
    <w:rsid w:val="00F46C99"/>
    <w:rsid w:val="00F46EC1"/>
    <w:rsid w:val="00F46ED2"/>
    <w:rsid w:val="00F470EC"/>
    <w:rsid w:val="00F471AA"/>
    <w:rsid w:val="00F47215"/>
    <w:rsid w:val="00F474D2"/>
    <w:rsid w:val="00F47521"/>
    <w:rsid w:val="00F476CF"/>
    <w:rsid w:val="00F4779B"/>
    <w:rsid w:val="00F4781F"/>
    <w:rsid w:val="00F4790F"/>
    <w:rsid w:val="00F479D0"/>
    <w:rsid w:val="00F47AC9"/>
    <w:rsid w:val="00F47B6B"/>
    <w:rsid w:val="00F47B72"/>
    <w:rsid w:val="00F47CAB"/>
    <w:rsid w:val="00F47CB3"/>
    <w:rsid w:val="00F47F40"/>
    <w:rsid w:val="00F47F8A"/>
    <w:rsid w:val="00F50027"/>
    <w:rsid w:val="00F5012F"/>
    <w:rsid w:val="00F5015C"/>
    <w:rsid w:val="00F5037E"/>
    <w:rsid w:val="00F503EA"/>
    <w:rsid w:val="00F50477"/>
    <w:rsid w:val="00F505BE"/>
    <w:rsid w:val="00F506DE"/>
    <w:rsid w:val="00F508F4"/>
    <w:rsid w:val="00F50E25"/>
    <w:rsid w:val="00F51001"/>
    <w:rsid w:val="00F51106"/>
    <w:rsid w:val="00F51191"/>
    <w:rsid w:val="00F511EE"/>
    <w:rsid w:val="00F5122A"/>
    <w:rsid w:val="00F512A3"/>
    <w:rsid w:val="00F512CF"/>
    <w:rsid w:val="00F51418"/>
    <w:rsid w:val="00F51509"/>
    <w:rsid w:val="00F515BA"/>
    <w:rsid w:val="00F51686"/>
    <w:rsid w:val="00F516EA"/>
    <w:rsid w:val="00F519C2"/>
    <w:rsid w:val="00F51A65"/>
    <w:rsid w:val="00F51D40"/>
    <w:rsid w:val="00F51D54"/>
    <w:rsid w:val="00F51D84"/>
    <w:rsid w:val="00F51E75"/>
    <w:rsid w:val="00F52087"/>
    <w:rsid w:val="00F520C1"/>
    <w:rsid w:val="00F52110"/>
    <w:rsid w:val="00F521BE"/>
    <w:rsid w:val="00F5251A"/>
    <w:rsid w:val="00F5267D"/>
    <w:rsid w:val="00F528D3"/>
    <w:rsid w:val="00F5296C"/>
    <w:rsid w:val="00F52A57"/>
    <w:rsid w:val="00F52A82"/>
    <w:rsid w:val="00F52B94"/>
    <w:rsid w:val="00F52D57"/>
    <w:rsid w:val="00F52E2D"/>
    <w:rsid w:val="00F52E6E"/>
    <w:rsid w:val="00F52E93"/>
    <w:rsid w:val="00F52F5F"/>
    <w:rsid w:val="00F5311B"/>
    <w:rsid w:val="00F5317B"/>
    <w:rsid w:val="00F5322B"/>
    <w:rsid w:val="00F53309"/>
    <w:rsid w:val="00F5346A"/>
    <w:rsid w:val="00F535F7"/>
    <w:rsid w:val="00F539B0"/>
    <w:rsid w:val="00F53DD1"/>
    <w:rsid w:val="00F5400B"/>
    <w:rsid w:val="00F540AA"/>
    <w:rsid w:val="00F54189"/>
    <w:rsid w:val="00F54236"/>
    <w:rsid w:val="00F543F6"/>
    <w:rsid w:val="00F5448E"/>
    <w:rsid w:val="00F544D1"/>
    <w:rsid w:val="00F546D7"/>
    <w:rsid w:val="00F54A08"/>
    <w:rsid w:val="00F54AEB"/>
    <w:rsid w:val="00F54F53"/>
    <w:rsid w:val="00F55081"/>
    <w:rsid w:val="00F5508D"/>
    <w:rsid w:val="00F55097"/>
    <w:rsid w:val="00F550E2"/>
    <w:rsid w:val="00F55209"/>
    <w:rsid w:val="00F5522F"/>
    <w:rsid w:val="00F553E5"/>
    <w:rsid w:val="00F554CF"/>
    <w:rsid w:val="00F55549"/>
    <w:rsid w:val="00F5568A"/>
    <w:rsid w:val="00F556FF"/>
    <w:rsid w:val="00F55715"/>
    <w:rsid w:val="00F5589E"/>
    <w:rsid w:val="00F558B4"/>
    <w:rsid w:val="00F55F74"/>
    <w:rsid w:val="00F56064"/>
    <w:rsid w:val="00F560BF"/>
    <w:rsid w:val="00F561DD"/>
    <w:rsid w:val="00F5629E"/>
    <w:rsid w:val="00F5637E"/>
    <w:rsid w:val="00F5666D"/>
    <w:rsid w:val="00F567F5"/>
    <w:rsid w:val="00F56956"/>
    <w:rsid w:val="00F56A16"/>
    <w:rsid w:val="00F56A6B"/>
    <w:rsid w:val="00F56C06"/>
    <w:rsid w:val="00F56DB5"/>
    <w:rsid w:val="00F56E57"/>
    <w:rsid w:val="00F570A8"/>
    <w:rsid w:val="00F5716E"/>
    <w:rsid w:val="00F57248"/>
    <w:rsid w:val="00F57266"/>
    <w:rsid w:val="00F57288"/>
    <w:rsid w:val="00F572E1"/>
    <w:rsid w:val="00F5730F"/>
    <w:rsid w:val="00F5732D"/>
    <w:rsid w:val="00F575EC"/>
    <w:rsid w:val="00F575FD"/>
    <w:rsid w:val="00F575FE"/>
    <w:rsid w:val="00F575FF"/>
    <w:rsid w:val="00F5775E"/>
    <w:rsid w:val="00F57769"/>
    <w:rsid w:val="00F57782"/>
    <w:rsid w:val="00F577BB"/>
    <w:rsid w:val="00F57804"/>
    <w:rsid w:val="00F578A9"/>
    <w:rsid w:val="00F5791C"/>
    <w:rsid w:val="00F57C5A"/>
    <w:rsid w:val="00F57DDA"/>
    <w:rsid w:val="00F57F70"/>
    <w:rsid w:val="00F6011D"/>
    <w:rsid w:val="00F60164"/>
    <w:rsid w:val="00F60224"/>
    <w:rsid w:val="00F60243"/>
    <w:rsid w:val="00F60863"/>
    <w:rsid w:val="00F60A84"/>
    <w:rsid w:val="00F60CC4"/>
    <w:rsid w:val="00F60D55"/>
    <w:rsid w:val="00F60D9F"/>
    <w:rsid w:val="00F60DD3"/>
    <w:rsid w:val="00F60DEC"/>
    <w:rsid w:val="00F60E11"/>
    <w:rsid w:val="00F60F21"/>
    <w:rsid w:val="00F60F85"/>
    <w:rsid w:val="00F60FAC"/>
    <w:rsid w:val="00F61016"/>
    <w:rsid w:val="00F610DC"/>
    <w:rsid w:val="00F61166"/>
    <w:rsid w:val="00F611A0"/>
    <w:rsid w:val="00F61239"/>
    <w:rsid w:val="00F61314"/>
    <w:rsid w:val="00F61325"/>
    <w:rsid w:val="00F61562"/>
    <w:rsid w:val="00F616A0"/>
    <w:rsid w:val="00F61920"/>
    <w:rsid w:val="00F61933"/>
    <w:rsid w:val="00F619E5"/>
    <w:rsid w:val="00F61BE9"/>
    <w:rsid w:val="00F61C08"/>
    <w:rsid w:val="00F61D8C"/>
    <w:rsid w:val="00F61E93"/>
    <w:rsid w:val="00F61F48"/>
    <w:rsid w:val="00F61F6D"/>
    <w:rsid w:val="00F62028"/>
    <w:rsid w:val="00F620A8"/>
    <w:rsid w:val="00F6217D"/>
    <w:rsid w:val="00F62338"/>
    <w:rsid w:val="00F62407"/>
    <w:rsid w:val="00F62519"/>
    <w:rsid w:val="00F62596"/>
    <w:rsid w:val="00F6261C"/>
    <w:rsid w:val="00F629DD"/>
    <w:rsid w:val="00F62ADD"/>
    <w:rsid w:val="00F62D6E"/>
    <w:rsid w:val="00F62E46"/>
    <w:rsid w:val="00F62E4E"/>
    <w:rsid w:val="00F62F09"/>
    <w:rsid w:val="00F631EB"/>
    <w:rsid w:val="00F633AB"/>
    <w:rsid w:val="00F63427"/>
    <w:rsid w:val="00F6349E"/>
    <w:rsid w:val="00F63545"/>
    <w:rsid w:val="00F6362C"/>
    <w:rsid w:val="00F639F8"/>
    <w:rsid w:val="00F63B88"/>
    <w:rsid w:val="00F63E44"/>
    <w:rsid w:val="00F63EBB"/>
    <w:rsid w:val="00F63F2E"/>
    <w:rsid w:val="00F64445"/>
    <w:rsid w:val="00F6456E"/>
    <w:rsid w:val="00F6464C"/>
    <w:rsid w:val="00F64845"/>
    <w:rsid w:val="00F648AF"/>
    <w:rsid w:val="00F64B3B"/>
    <w:rsid w:val="00F64BB7"/>
    <w:rsid w:val="00F64FE2"/>
    <w:rsid w:val="00F65284"/>
    <w:rsid w:val="00F6537B"/>
    <w:rsid w:val="00F6548F"/>
    <w:rsid w:val="00F655CC"/>
    <w:rsid w:val="00F65686"/>
    <w:rsid w:val="00F65690"/>
    <w:rsid w:val="00F658DF"/>
    <w:rsid w:val="00F658FB"/>
    <w:rsid w:val="00F659A0"/>
    <w:rsid w:val="00F659B0"/>
    <w:rsid w:val="00F659F2"/>
    <w:rsid w:val="00F65BBD"/>
    <w:rsid w:val="00F65C9F"/>
    <w:rsid w:val="00F65D4F"/>
    <w:rsid w:val="00F65D79"/>
    <w:rsid w:val="00F65DC6"/>
    <w:rsid w:val="00F65DD9"/>
    <w:rsid w:val="00F66010"/>
    <w:rsid w:val="00F66183"/>
    <w:rsid w:val="00F6628D"/>
    <w:rsid w:val="00F6629F"/>
    <w:rsid w:val="00F666B3"/>
    <w:rsid w:val="00F666BE"/>
    <w:rsid w:val="00F667CB"/>
    <w:rsid w:val="00F66855"/>
    <w:rsid w:val="00F669ED"/>
    <w:rsid w:val="00F66B3D"/>
    <w:rsid w:val="00F66B41"/>
    <w:rsid w:val="00F66C13"/>
    <w:rsid w:val="00F66C88"/>
    <w:rsid w:val="00F66F15"/>
    <w:rsid w:val="00F67054"/>
    <w:rsid w:val="00F6713A"/>
    <w:rsid w:val="00F671A8"/>
    <w:rsid w:val="00F6730D"/>
    <w:rsid w:val="00F674ED"/>
    <w:rsid w:val="00F67572"/>
    <w:rsid w:val="00F67602"/>
    <w:rsid w:val="00F67625"/>
    <w:rsid w:val="00F677B2"/>
    <w:rsid w:val="00F6782F"/>
    <w:rsid w:val="00F67995"/>
    <w:rsid w:val="00F67AA7"/>
    <w:rsid w:val="00F67B86"/>
    <w:rsid w:val="00F67E20"/>
    <w:rsid w:val="00F67F0B"/>
    <w:rsid w:val="00F67FCA"/>
    <w:rsid w:val="00F700D0"/>
    <w:rsid w:val="00F70241"/>
    <w:rsid w:val="00F702E9"/>
    <w:rsid w:val="00F70392"/>
    <w:rsid w:val="00F70486"/>
    <w:rsid w:val="00F70695"/>
    <w:rsid w:val="00F706BF"/>
    <w:rsid w:val="00F70794"/>
    <w:rsid w:val="00F707F1"/>
    <w:rsid w:val="00F70885"/>
    <w:rsid w:val="00F70946"/>
    <w:rsid w:val="00F70A1D"/>
    <w:rsid w:val="00F70A42"/>
    <w:rsid w:val="00F70A5C"/>
    <w:rsid w:val="00F70DB5"/>
    <w:rsid w:val="00F70F70"/>
    <w:rsid w:val="00F70FFE"/>
    <w:rsid w:val="00F711E2"/>
    <w:rsid w:val="00F71310"/>
    <w:rsid w:val="00F7131A"/>
    <w:rsid w:val="00F7134F"/>
    <w:rsid w:val="00F713B0"/>
    <w:rsid w:val="00F71507"/>
    <w:rsid w:val="00F71804"/>
    <w:rsid w:val="00F71975"/>
    <w:rsid w:val="00F71998"/>
    <w:rsid w:val="00F719B4"/>
    <w:rsid w:val="00F71CA5"/>
    <w:rsid w:val="00F71CB9"/>
    <w:rsid w:val="00F71DA2"/>
    <w:rsid w:val="00F7201C"/>
    <w:rsid w:val="00F7208C"/>
    <w:rsid w:val="00F72123"/>
    <w:rsid w:val="00F72183"/>
    <w:rsid w:val="00F7219F"/>
    <w:rsid w:val="00F72245"/>
    <w:rsid w:val="00F7224F"/>
    <w:rsid w:val="00F722CB"/>
    <w:rsid w:val="00F7249C"/>
    <w:rsid w:val="00F724EA"/>
    <w:rsid w:val="00F7259E"/>
    <w:rsid w:val="00F725AB"/>
    <w:rsid w:val="00F726AB"/>
    <w:rsid w:val="00F727F1"/>
    <w:rsid w:val="00F7280D"/>
    <w:rsid w:val="00F7295A"/>
    <w:rsid w:val="00F729FD"/>
    <w:rsid w:val="00F72AEE"/>
    <w:rsid w:val="00F72B34"/>
    <w:rsid w:val="00F72B64"/>
    <w:rsid w:val="00F72C52"/>
    <w:rsid w:val="00F72D05"/>
    <w:rsid w:val="00F72E0A"/>
    <w:rsid w:val="00F72F9D"/>
    <w:rsid w:val="00F72FA0"/>
    <w:rsid w:val="00F731A3"/>
    <w:rsid w:val="00F731F3"/>
    <w:rsid w:val="00F73213"/>
    <w:rsid w:val="00F73332"/>
    <w:rsid w:val="00F73858"/>
    <w:rsid w:val="00F73872"/>
    <w:rsid w:val="00F73B26"/>
    <w:rsid w:val="00F73B5C"/>
    <w:rsid w:val="00F73E1B"/>
    <w:rsid w:val="00F74102"/>
    <w:rsid w:val="00F74124"/>
    <w:rsid w:val="00F744B1"/>
    <w:rsid w:val="00F74596"/>
    <w:rsid w:val="00F745B1"/>
    <w:rsid w:val="00F746A8"/>
    <w:rsid w:val="00F7476E"/>
    <w:rsid w:val="00F7499D"/>
    <w:rsid w:val="00F74A9B"/>
    <w:rsid w:val="00F74BFE"/>
    <w:rsid w:val="00F74D8F"/>
    <w:rsid w:val="00F74F5A"/>
    <w:rsid w:val="00F74F8F"/>
    <w:rsid w:val="00F7513B"/>
    <w:rsid w:val="00F75196"/>
    <w:rsid w:val="00F7520C"/>
    <w:rsid w:val="00F75329"/>
    <w:rsid w:val="00F753A7"/>
    <w:rsid w:val="00F754B5"/>
    <w:rsid w:val="00F75524"/>
    <w:rsid w:val="00F7577F"/>
    <w:rsid w:val="00F75966"/>
    <w:rsid w:val="00F75970"/>
    <w:rsid w:val="00F759B5"/>
    <w:rsid w:val="00F75A50"/>
    <w:rsid w:val="00F75AD2"/>
    <w:rsid w:val="00F75B2E"/>
    <w:rsid w:val="00F75C6E"/>
    <w:rsid w:val="00F75CC9"/>
    <w:rsid w:val="00F75DBB"/>
    <w:rsid w:val="00F75F86"/>
    <w:rsid w:val="00F75F9F"/>
    <w:rsid w:val="00F76029"/>
    <w:rsid w:val="00F7623C"/>
    <w:rsid w:val="00F76371"/>
    <w:rsid w:val="00F76421"/>
    <w:rsid w:val="00F76511"/>
    <w:rsid w:val="00F7665F"/>
    <w:rsid w:val="00F7669B"/>
    <w:rsid w:val="00F7673D"/>
    <w:rsid w:val="00F767CD"/>
    <w:rsid w:val="00F767D0"/>
    <w:rsid w:val="00F76938"/>
    <w:rsid w:val="00F7698F"/>
    <w:rsid w:val="00F76BC1"/>
    <w:rsid w:val="00F76DA5"/>
    <w:rsid w:val="00F76E21"/>
    <w:rsid w:val="00F76FED"/>
    <w:rsid w:val="00F771B7"/>
    <w:rsid w:val="00F7724C"/>
    <w:rsid w:val="00F7764B"/>
    <w:rsid w:val="00F77933"/>
    <w:rsid w:val="00F77943"/>
    <w:rsid w:val="00F77AD7"/>
    <w:rsid w:val="00F77B77"/>
    <w:rsid w:val="00F77F51"/>
    <w:rsid w:val="00F800AC"/>
    <w:rsid w:val="00F80130"/>
    <w:rsid w:val="00F8021D"/>
    <w:rsid w:val="00F8022E"/>
    <w:rsid w:val="00F8069A"/>
    <w:rsid w:val="00F806CC"/>
    <w:rsid w:val="00F807BC"/>
    <w:rsid w:val="00F80857"/>
    <w:rsid w:val="00F80C2C"/>
    <w:rsid w:val="00F80C86"/>
    <w:rsid w:val="00F80D76"/>
    <w:rsid w:val="00F80D7A"/>
    <w:rsid w:val="00F80DD2"/>
    <w:rsid w:val="00F8101E"/>
    <w:rsid w:val="00F813EC"/>
    <w:rsid w:val="00F81465"/>
    <w:rsid w:val="00F816CF"/>
    <w:rsid w:val="00F81755"/>
    <w:rsid w:val="00F817CB"/>
    <w:rsid w:val="00F81AD4"/>
    <w:rsid w:val="00F81B88"/>
    <w:rsid w:val="00F81CE7"/>
    <w:rsid w:val="00F81EF9"/>
    <w:rsid w:val="00F81F02"/>
    <w:rsid w:val="00F81F50"/>
    <w:rsid w:val="00F821C8"/>
    <w:rsid w:val="00F8236C"/>
    <w:rsid w:val="00F823CF"/>
    <w:rsid w:val="00F82476"/>
    <w:rsid w:val="00F824AB"/>
    <w:rsid w:val="00F8250D"/>
    <w:rsid w:val="00F82570"/>
    <w:rsid w:val="00F825FC"/>
    <w:rsid w:val="00F82762"/>
    <w:rsid w:val="00F82933"/>
    <w:rsid w:val="00F82B2B"/>
    <w:rsid w:val="00F82E21"/>
    <w:rsid w:val="00F82E2A"/>
    <w:rsid w:val="00F82EAF"/>
    <w:rsid w:val="00F82FB7"/>
    <w:rsid w:val="00F830FE"/>
    <w:rsid w:val="00F8316C"/>
    <w:rsid w:val="00F83449"/>
    <w:rsid w:val="00F835BA"/>
    <w:rsid w:val="00F835F4"/>
    <w:rsid w:val="00F83657"/>
    <w:rsid w:val="00F8376C"/>
    <w:rsid w:val="00F837D0"/>
    <w:rsid w:val="00F838D7"/>
    <w:rsid w:val="00F83900"/>
    <w:rsid w:val="00F83A72"/>
    <w:rsid w:val="00F83C22"/>
    <w:rsid w:val="00F83DE5"/>
    <w:rsid w:val="00F83E93"/>
    <w:rsid w:val="00F83F87"/>
    <w:rsid w:val="00F83FC1"/>
    <w:rsid w:val="00F83FC2"/>
    <w:rsid w:val="00F84054"/>
    <w:rsid w:val="00F8426E"/>
    <w:rsid w:val="00F84292"/>
    <w:rsid w:val="00F84311"/>
    <w:rsid w:val="00F84376"/>
    <w:rsid w:val="00F8439F"/>
    <w:rsid w:val="00F843C5"/>
    <w:rsid w:val="00F843EA"/>
    <w:rsid w:val="00F84408"/>
    <w:rsid w:val="00F844A2"/>
    <w:rsid w:val="00F844E6"/>
    <w:rsid w:val="00F84967"/>
    <w:rsid w:val="00F84999"/>
    <w:rsid w:val="00F849E1"/>
    <w:rsid w:val="00F84AC9"/>
    <w:rsid w:val="00F84ADD"/>
    <w:rsid w:val="00F84DC7"/>
    <w:rsid w:val="00F85039"/>
    <w:rsid w:val="00F85115"/>
    <w:rsid w:val="00F85142"/>
    <w:rsid w:val="00F85602"/>
    <w:rsid w:val="00F85758"/>
    <w:rsid w:val="00F85902"/>
    <w:rsid w:val="00F85917"/>
    <w:rsid w:val="00F85918"/>
    <w:rsid w:val="00F85D28"/>
    <w:rsid w:val="00F85DB1"/>
    <w:rsid w:val="00F8618E"/>
    <w:rsid w:val="00F86276"/>
    <w:rsid w:val="00F86315"/>
    <w:rsid w:val="00F86742"/>
    <w:rsid w:val="00F8685F"/>
    <w:rsid w:val="00F86879"/>
    <w:rsid w:val="00F86911"/>
    <w:rsid w:val="00F869AC"/>
    <w:rsid w:val="00F86A4F"/>
    <w:rsid w:val="00F86B3C"/>
    <w:rsid w:val="00F86BA0"/>
    <w:rsid w:val="00F86DD2"/>
    <w:rsid w:val="00F86F21"/>
    <w:rsid w:val="00F86F78"/>
    <w:rsid w:val="00F870CE"/>
    <w:rsid w:val="00F87410"/>
    <w:rsid w:val="00F87484"/>
    <w:rsid w:val="00F874B2"/>
    <w:rsid w:val="00F87734"/>
    <w:rsid w:val="00F8786A"/>
    <w:rsid w:val="00F87DD2"/>
    <w:rsid w:val="00F87DF6"/>
    <w:rsid w:val="00F87E09"/>
    <w:rsid w:val="00F9001D"/>
    <w:rsid w:val="00F90027"/>
    <w:rsid w:val="00F9013D"/>
    <w:rsid w:val="00F902BD"/>
    <w:rsid w:val="00F90392"/>
    <w:rsid w:val="00F90432"/>
    <w:rsid w:val="00F9046B"/>
    <w:rsid w:val="00F904CD"/>
    <w:rsid w:val="00F9056B"/>
    <w:rsid w:val="00F905B6"/>
    <w:rsid w:val="00F907C5"/>
    <w:rsid w:val="00F90905"/>
    <w:rsid w:val="00F90B79"/>
    <w:rsid w:val="00F90C15"/>
    <w:rsid w:val="00F90DD2"/>
    <w:rsid w:val="00F90EBE"/>
    <w:rsid w:val="00F910F3"/>
    <w:rsid w:val="00F91224"/>
    <w:rsid w:val="00F9135A"/>
    <w:rsid w:val="00F91492"/>
    <w:rsid w:val="00F9162A"/>
    <w:rsid w:val="00F9180A"/>
    <w:rsid w:val="00F918A8"/>
    <w:rsid w:val="00F91A10"/>
    <w:rsid w:val="00F91C38"/>
    <w:rsid w:val="00F91E3F"/>
    <w:rsid w:val="00F91E6B"/>
    <w:rsid w:val="00F91F75"/>
    <w:rsid w:val="00F92026"/>
    <w:rsid w:val="00F9216C"/>
    <w:rsid w:val="00F9234D"/>
    <w:rsid w:val="00F9253A"/>
    <w:rsid w:val="00F92596"/>
    <w:rsid w:val="00F926FF"/>
    <w:rsid w:val="00F92CC7"/>
    <w:rsid w:val="00F92F5C"/>
    <w:rsid w:val="00F92F91"/>
    <w:rsid w:val="00F92FBB"/>
    <w:rsid w:val="00F931D3"/>
    <w:rsid w:val="00F93457"/>
    <w:rsid w:val="00F9348C"/>
    <w:rsid w:val="00F934C2"/>
    <w:rsid w:val="00F9354F"/>
    <w:rsid w:val="00F93784"/>
    <w:rsid w:val="00F93914"/>
    <w:rsid w:val="00F93BF6"/>
    <w:rsid w:val="00F93D10"/>
    <w:rsid w:val="00F93EB7"/>
    <w:rsid w:val="00F94007"/>
    <w:rsid w:val="00F9405A"/>
    <w:rsid w:val="00F94115"/>
    <w:rsid w:val="00F94144"/>
    <w:rsid w:val="00F94251"/>
    <w:rsid w:val="00F9427E"/>
    <w:rsid w:val="00F94355"/>
    <w:rsid w:val="00F9479B"/>
    <w:rsid w:val="00F947D9"/>
    <w:rsid w:val="00F947F7"/>
    <w:rsid w:val="00F94982"/>
    <w:rsid w:val="00F94D93"/>
    <w:rsid w:val="00F94EC8"/>
    <w:rsid w:val="00F94F90"/>
    <w:rsid w:val="00F94F98"/>
    <w:rsid w:val="00F95075"/>
    <w:rsid w:val="00F95280"/>
    <w:rsid w:val="00F956C1"/>
    <w:rsid w:val="00F95705"/>
    <w:rsid w:val="00F957F6"/>
    <w:rsid w:val="00F95830"/>
    <w:rsid w:val="00F958C9"/>
    <w:rsid w:val="00F9592F"/>
    <w:rsid w:val="00F95B54"/>
    <w:rsid w:val="00F95BAA"/>
    <w:rsid w:val="00F95BB1"/>
    <w:rsid w:val="00F95C9D"/>
    <w:rsid w:val="00F95E7C"/>
    <w:rsid w:val="00F95F7F"/>
    <w:rsid w:val="00F95FED"/>
    <w:rsid w:val="00F96107"/>
    <w:rsid w:val="00F9622C"/>
    <w:rsid w:val="00F96265"/>
    <w:rsid w:val="00F9627B"/>
    <w:rsid w:val="00F962E8"/>
    <w:rsid w:val="00F964DE"/>
    <w:rsid w:val="00F96550"/>
    <w:rsid w:val="00F96568"/>
    <w:rsid w:val="00F968F5"/>
    <w:rsid w:val="00F9695D"/>
    <w:rsid w:val="00F96A8B"/>
    <w:rsid w:val="00F96A9D"/>
    <w:rsid w:val="00F96B5A"/>
    <w:rsid w:val="00F96B72"/>
    <w:rsid w:val="00F96D1E"/>
    <w:rsid w:val="00F96D66"/>
    <w:rsid w:val="00F96DEC"/>
    <w:rsid w:val="00F96DFD"/>
    <w:rsid w:val="00F96EFE"/>
    <w:rsid w:val="00F96F56"/>
    <w:rsid w:val="00F9705A"/>
    <w:rsid w:val="00F97083"/>
    <w:rsid w:val="00F97251"/>
    <w:rsid w:val="00F9731D"/>
    <w:rsid w:val="00F97452"/>
    <w:rsid w:val="00F97494"/>
    <w:rsid w:val="00F975F7"/>
    <w:rsid w:val="00F97758"/>
    <w:rsid w:val="00F97825"/>
    <w:rsid w:val="00F97836"/>
    <w:rsid w:val="00F97B91"/>
    <w:rsid w:val="00F97C2B"/>
    <w:rsid w:val="00F97C39"/>
    <w:rsid w:val="00F97C88"/>
    <w:rsid w:val="00FA012C"/>
    <w:rsid w:val="00FA01C4"/>
    <w:rsid w:val="00FA0676"/>
    <w:rsid w:val="00FA069E"/>
    <w:rsid w:val="00FA06BE"/>
    <w:rsid w:val="00FA078E"/>
    <w:rsid w:val="00FA0B64"/>
    <w:rsid w:val="00FA0CC3"/>
    <w:rsid w:val="00FA10FB"/>
    <w:rsid w:val="00FA1398"/>
    <w:rsid w:val="00FA141E"/>
    <w:rsid w:val="00FA1490"/>
    <w:rsid w:val="00FA16F5"/>
    <w:rsid w:val="00FA19D0"/>
    <w:rsid w:val="00FA1A86"/>
    <w:rsid w:val="00FA1B69"/>
    <w:rsid w:val="00FA1CBB"/>
    <w:rsid w:val="00FA1E4E"/>
    <w:rsid w:val="00FA1EE4"/>
    <w:rsid w:val="00FA200D"/>
    <w:rsid w:val="00FA2063"/>
    <w:rsid w:val="00FA20CE"/>
    <w:rsid w:val="00FA21B0"/>
    <w:rsid w:val="00FA2483"/>
    <w:rsid w:val="00FA2528"/>
    <w:rsid w:val="00FA280B"/>
    <w:rsid w:val="00FA2842"/>
    <w:rsid w:val="00FA2A2D"/>
    <w:rsid w:val="00FA2A5C"/>
    <w:rsid w:val="00FA2AC4"/>
    <w:rsid w:val="00FA2D47"/>
    <w:rsid w:val="00FA2DA7"/>
    <w:rsid w:val="00FA2DA8"/>
    <w:rsid w:val="00FA30EF"/>
    <w:rsid w:val="00FA341D"/>
    <w:rsid w:val="00FA354D"/>
    <w:rsid w:val="00FA35A0"/>
    <w:rsid w:val="00FA3A78"/>
    <w:rsid w:val="00FA3ADE"/>
    <w:rsid w:val="00FA3C9D"/>
    <w:rsid w:val="00FA3D23"/>
    <w:rsid w:val="00FA3D50"/>
    <w:rsid w:val="00FA3DE7"/>
    <w:rsid w:val="00FA3E7F"/>
    <w:rsid w:val="00FA3FAD"/>
    <w:rsid w:val="00FA404D"/>
    <w:rsid w:val="00FA4079"/>
    <w:rsid w:val="00FA4094"/>
    <w:rsid w:val="00FA418D"/>
    <w:rsid w:val="00FA41A2"/>
    <w:rsid w:val="00FA42AE"/>
    <w:rsid w:val="00FA431D"/>
    <w:rsid w:val="00FA44D1"/>
    <w:rsid w:val="00FA4565"/>
    <w:rsid w:val="00FA46B2"/>
    <w:rsid w:val="00FA46C2"/>
    <w:rsid w:val="00FA46EF"/>
    <w:rsid w:val="00FA4797"/>
    <w:rsid w:val="00FA47F0"/>
    <w:rsid w:val="00FA48CD"/>
    <w:rsid w:val="00FA4A28"/>
    <w:rsid w:val="00FA4B96"/>
    <w:rsid w:val="00FA4BC7"/>
    <w:rsid w:val="00FA4C34"/>
    <w:rsid w:val="00FA4E11"/>
    <w:rsid w:val="00FA4E6A"/>
    <w:rsid w:val="00FA5677"/>
    <w:rsid w:val="00FA576E"/>
    <w:rsid w:val="00FA5B5A"/>
    <w:rsid w:val="00FA5D34"/>
    <w:rsid w:val="00FA5EB6"/>
    <w:rsid w:val="00FA6132"/>
    <w:rsid w:val="00FA618D"/>
    <w:rsid w:val="00FA61A9"/>
    <w:rsid w:val="00FA61DE"/>
    <w:rsid w:val="00FA61EF"/>
    <w:rsid w:val="00FA62B1"/>
    <w:rsid w:val="00FA6347"/>
    <w:rsid w:val="00FA642E"/>
    <w:rsid w:val="00FA651B"/>
    <w:rsid w:val="00FA6542"/>
    <w:rsid w:val="00FA657B"/>
    <w:rsid w:val="00FA67AA"/>
    <w:rsid w:val="00FA6954"/>
    <w:rsid w:val="00FA69A2"/>
    <w:rsid w:val="00FA6A88"/>
    <w:rsid w:val="00FA6B24"/>
    <w:rsid w:val="00FA6EDD"/>
    <w:rsid w:val="00FA6F1F"/>
    <w:rsid w:val="00FA6F7C"/>
    <w:rsid w:val="00FA7083"/>
    <w:rsid w:val="00FA7244"/>
    <w:rsid w:val="00FA7300"/>
    <w:rsid w:val="00FA74D6"/>
    <w:rsid w:val="00FA79B9"/>
    <w:rsid w:val="00FA7A48"/>
    <w:rsid w:val="00FA7C3B"/>
    <w:rsid w:val="00FA7C48"/>
    <w:rsid w:val="00FA7D2B"/>
    <w:rsid w:val="00FA7DBF"/>
    <w:rsid w:val="00FB04D9"/>
    <w:rsid w:val="00FB05DE"/>
    <w:rsid w:val="00FB0986"/>
    <w:rsid w:val="00FB0AB8"/>
    <w:rsid w:val="00FB0ABA"/>
    <w:rsid w:val="00FB0C04"/>
    <w:rsid w:val="00FB0D51"/>
    <w:rsid w:val="00FB1162"/>
    <w:rsid w:val="00FB1279"/>
    <w:rsid w:val="00FB12A4"/>
    <w:rsid w:val="00FB13C8"/>
    <w:rsid w:val="00FB1486"/>
    <w:rsid w:val="00FB14A4"/>
    <w:rsid w:val="00FB15FA"/>
    <w:rsid w:val="00FB16A2"/>
    <w:rsid w:val="00FB16A7"/>
    <w:rsid w:val="00FB1715"/>
    <w:rsid w:val="00FB1750"/>
    <w:rsid w:val="00FB17AE"/>
    <w:rsid w:val="00FB19BD"/>
    <w:rsid w:val="00FB19FB"/>
    <w:rsid w:val="00FB1A59"/>
    <w:rsid w:val="00FB1AA3"/>
    <w:rsid w:val="00FB1AAD"/>
    <w:rsid w:val="00FB1C80"/>
    <w:rsid w:val="00FB1D38"/>
    <w:rsid w:val="00FB1D7C"/>
    <w:rsid w:val="00FB216B"/>
    <w:rsid w:val="00FB22B3"/>
    <w:rsid w:val="00FB2411"/>
    <w:rsid w:val="00FB24B1"/>
    <w:rsid w:val="00FB25BC"/>
    <w:rsid w:val="00FB264F"/>
    <w:rsid w:val="00FB2668"/>
    <w:rsid w:val="00FB26A8"/>
    <w:rsid w:val="00FB27E6"/>
    <w:rsid w:val="00FB2AC4"/>
    <w:rsid w:val="00FB2BEB"/>
    <w:rsid w:val="00FB2D0F"/>
    <w:rsid w:val="00FB2F50"/>
    <w:rsid w:val="00FB2FA6"/>
    <w:rsid w:val="00FB3395"/>
    <w:rsid w:val="00FB339B"/>
    <w:rsid w:val="00FB341C"/>
    <w:rsid w:val="00FB3431"/>
    <w:rsid w:val="00FB3457"/>
    <w:rsid w:val="00FB35AE"/>
    <w:rsid w:val="00FB3750"/>
    <w:rsid w:val="00FB3C9E"/>
    <w:rsid w:val="00FB4009"/>
    <w:rsid w:val="00FB40F3"/>
    <w:rsid w:val="00FB41F8"/>
    <w:rsid w:val="00FB4251"/>
    <w:rsid w:val="00FB4427"/>
    <w:rsid w:val="00FB4432"/>
    <w:rsid w:val="00FB449D"/>
    <w:rsid w:val="00FB4503"/>
    <w:rsid w:val="00FB462B"/>
    <w:rsid w:val="00FB4665"/>
    <w:rsid w:val="00FB497D"/>
    <w:rsid w:val="00FB4BB0"/>
    <w:rsid w:val="00FB4EA1"/>
    <w:rsid w:val="00FB4EB2"/>
    <w:rsid w:val="00FB4EEA"/>
    <w:rsid w:val="00FB506B"/>
    <w:rsid w:val="00FB5102"/>
    <w:rsid w:val="00FB5106"/>
    <w:rsid w:val="00FB5136"/>
    <w:rsid w:val="00FB5145"/>
    <w:rsid w:val="00FB51E5"/>
    <w:rsid w:val="00FB5421"/>
    <w:rsid w:val="00FB56C7"/>
    <w:rsid w:val="00FB5745"/>
    <w:rsid w:val="00FB593F"/>
    <w:rsid w:val="00FB5A4D"/>
    <w:rsid w:val="00FB653D"/>
    <w:rsid w:val="00FB6568"/>
    <w:rsid w:val="00FB65B3"/>
    <w:rsid w:val="00FB6607"/>
    <w:rsid w:val="00FB678E"/>
    <w:rsid w:val="00FB6996"/>
    <w:rsid w:val="00FB6C77"/>
    <w:rsid w:val="00FB6C88"/>
    <w:rsid w:val="00FB6CDD"/>
    <w:rsid w:val="00FB7073"/>
    <w:rsid w:val="00FB70B7"/>
    <w:rsid w:val="00FB7236"/>
    <w:rsid w:val="00FB73DB"/>
    <w:rsid w:val="00FB74B0"/>
    <w:rsid w:val="00FB7551"/>
    <w:rsid w:val="00FB75BB"/>
    <w:rsid w:val="00FB7651"/>
    <w:rsid w:val="00FB770A"/>
    <w:rsid w:val="00FB7725"/>
    <w:rsid w:val="00FB77A7"/>
    <w:rsid w:val="00FB796A"/>
    <w:rsid w:val="00FB7B18"/>
    <w:rsid w:val="00FB7F24"/>
    <w:rsid w:val="00FC0026"/>
    <w:rsid w:val="00FC02C6"/>
    <w:rsid w:val="00FC02D2"/>
    <w:rsid w:val="00FC0431"/>
    <w:rsid w:val="00FC052A"/>
    <w:rsid w:val="00FC08BF"/>
    <w:rsid w:val="00FC09B6"/>
    <w:rsid w:val="00FC0A3F"/>
    <w:rsid w:val="00FC0AAA"/>
    <w:rsid w:val="00FC0BE9"/>
    <w:rsid w:val="00FC0C49"/>
    <w:rsid w:val="00FC0C7A"/>
    <w:rsid w:val="00FC0D58"/>
    <w:rsid w:val="00FC0E90"/>
    <w:rsid w:val="00FC1085"/>
    <w:rsid w:val="00FC10D2"/>
    <w:rsid w:val="00FC1308"/>
    <w:rsid w:val="00FC1364"/>
    <w:rsid w:val="00FC1442"/>
    <w:rsid w:val="00FC1593"/>
    <w:rsid w:val="00FC182B"/>
    <w:rsid w:val="00FC1833"/>
    <w:rsid w:val="00FC1841"/>
    <w:rsid w:val="00FC18D8"/>
    <w:rsid w:val="00FC18FE"/>
    <w:rsid w:val="00FC1994"/>
    <w:rsid w:val="00FC1AE6"/>
    <w:rsid w:val="00FC1B30"/>
    <w:rsid w:val="00FC1B46"/>
    <w:rsid w:val="00FC1BEE"/>
    <w:rsid w:val="00FC1BF0"/>
    <w:rsid w:val="00FC1CB1"/>
    <w:rsid w:val="00FC1D9F"/>
    <w:rsid w:val="00FC1F71"/>
    <w:rsid w:val="00FC1F74"/>
    <w:rsid w:val="00FC2041"/>
    <w:rsid w:val="00FC2046"/>
    <w:rsid w:val="00FC20D4"/>
    <w:rsid w:val="00FC224D"/>
    <w:rsid w:val="00FC2299"/>
    <w:rsid w:val="00FC24B0"/>
    <w:rsid w:val="00FC2581"/>
    <w:rsid w:val="00FC262B"/>
    <w:rsid w:val="00FC2913"/>
    <w:rsid w:val="00FC2B35"/>
    <w:rsid w:val="00FC2C0E"/>
    <w:rsid w:val="00FC2C32"/>
    <w:rsid w:val="00FC2F11"/>
    <w:rsid w:val="00FC305D"/>
    <w:rsid w:val="00FC34D3"/>
    <w:rsid w:val="00FC35E1"/>
    <w:rsid w:val="00FC381C"/>
    <w:rsid w:val="00FC3987"/>
    <w:rsid w:val="00FC39C5"/>
    <w:rsid w:val="00FC3B70"/>
    <w:rsid w:val="00FC3B9F"/>
    <w:rsid w:val="00FC3C96"/>
    <w:rsid w:val="00FC3C9F"/>
    <w:rsid w:val="00FC3D0E"/>
    <w:rsid w:val="00FC3D7F"/>
    <w:rsid w:val="00FC4116"/>
    <w:rsid w:val="00FC41AC"/>
    <w:rsid w:val="00FC438E"/>
    <w:rsid w:val="00FC43CB"/>
    <w:rsid w:val="00FC43F1"/>
    <w:rsid w:val="00FC44C3"/>
    <w:rsid w:val="00FC4548"/>
    <w:rsid w:val="00FC4637"/>
    <w:rsid w:val="00FC4732"/>
    <w:rsid w:val="00FC484C"/>
    <w:rsid w:val="00FC499F"/>
    <w:rsid w:val="00FC49BA"/>
    <w:rsid w:val="00FC4A73"/>
    <w:rsid w:val="00FC4A90"/>
    <w:rsid w:val="00FC4B40"/>
    <w:rsid w:val="00FC4BA1"/>
    <w:rsid w:val="00FC4DA3"/>
    <w:rsid w:val="00FC4E03"/>
    <w:rsid w:val="00FC4E36"/>
    <w:rsid w:val="00FC4E42"/>
    <w:rsid w:val="00FC4FBE"/>
    <w:rsid w:val="00FC506E"/>
    <w:rsid w:val="00FC538B"/>
    <w:rsid w:val="00FC54A0"/>
    <w:rsid w:val="00FC55D3"/>
    <w:rsid w:val="00FC5609"/>
    <w:rsid w:val="00FC57D6"/>
    <w:rsid w:val="00FC5870"/>
    <w:rsid w:val="00FC59F8"/>
    <w:rsid w:val="00FC5A31"/>
    <w:rsid w:val="00FC5C89"/>
    <w:rsid w:val="00FC5D3D"/>
    <w:rsid w:val="00FC5E90"/>
    <w:rsid w:val="00FC5ED2"/>
    <w:rsid w:val="00FC5F8B"/>
    <w:rsid w:val="00FC6032"/>
    <w:rsid w:val="00FC609A"/>
    <w:rsid w:val="00FC60A8"/>
    <w:rsid w:val="00FC6462"/>
    <w:rsid w:val="00FC658A"/>
    <w:rsid w:val="00FC662A"/>
    <w:rsid w:val="00FC6663"/>
    <w:rsid w:val="00FC671B"/>
    <w:rsid w:val="00FC6886"/>
    <w:rsid w:val="00FC68B3"/>
    <w:rsid w:val="00FC69C5"/>
    <w:rsid w:val="00FC69D6"/>
    <w:rsid w:val="00FC6CA2"/>
    <w:rsid w:val="00FC6CD4"/>
    <w:rsid w:val="00FC6E25"/>
    <w:rsid w:val="00FC6E78"/>
    <w:rsid w:val="00FC6E9F"/>
    <w:rsid w:val="00FC7061"/>
    <w:rsid w:val="00FC749A"/>
    <w:rsid w:val="00FC751F"/>
    <w:rsid w:val="00FC765A"/>
    <w:rsid w:val="00FC79A1"/>
    <w:rsid w:val="00FC7A8E"/>
    <w:rsid w:val="00FC7AE2"/>
    <w:rsid w:val="00FC7E2B"/>
    <w:rsid w:val="00FD0070"/>
    <w:rsid w:val="00FD00EF"/>
    <w:rsid w:val="00FD029F"/>
    <w:rsid w:val="00FD02DF"/>
    <w:rsid w:val="00FD0772"/>
    <w:rsid w:val="00FD0842"/>
    <w:rsid w:val="00FD0BDE"/>
    <w:rsid w:val="00FD0CF6"/>
    <w:rsid w:val="00FD0D83"/>
    <w:rsid w:val="00FD0F0E"/>
    <w:rsid w:val="00FD114E"/>
    <w:rsid w:val="00FD11A2"/>
    <w:rsid w:val="00FD11F3"/>
    <w:rsid w:val="00FD1273"/>
    <w:rsid w:val="00FD14DE"/>
    <w:rsid w:val="00FD183B"/>
    <w:rsid w:val="00FD1CB6"/>
    <w:rsid w:val="00FD1D25"/>
    <w:rsid w:val="00FD1DD6"/>
    <w:rsid w:val="00FD1E63"/>
    <w:rsid w:val="00FD1EC4"/>
    <w:rsid w:val="00FD1F7D"/>
    <w:rsid w:val="00FD21AD"/>
    <w:rsid w:val="00FD21DF"/>
    <w:rsid w:val="00FD242C"/>
    <w:rsid w:val="00FD25E8"/>
    <w:rsid w:val="00FD268C"/>
    <w:rsid w:val="00FD26DF"/>
    <w:rsid w:val="00FD29E4"/>
    <w:rsid w:val="00FD2BE5"/>
    <w:rsid w:val="00FD2C6E"/>
    <w:rsid w:val="00FD2DB2"/>
    <w:rsid w:val="00FD3002"/>
    <w:rsid w:val="00FD31B3"/>
    <w:rsid w:val="00FD320B"/>
    <w:rsid w:val="00FD33F5"/>
    <w:rsid w:val="00FD34DE"/>
    <w:rsid w:val="00FD3696"/>
    <w:rsid w:val="00FD3766"/>
    <w:rsid w:val="00FD3A31"/>
    <w:rsid w:val="00FD3A6F"/>
    <w:rsid w:val="00FD3C2D"/>
    <w:rsid w:val="00FD3C4F"/>
    <w:rsid w:val="00FD3C51"/>
    <w:rsid w:val="00FD3DD2"/>
    <w:rsid w:val="00FD3E56"/>
    <w:rsid w:val="00FD3EA3"/>
    <w:rsid w:val="00FD4029"/>
    <w:rsid w:val="00FD408E"/>
    <w:rsid w:val="00FD416F"/>
    <w:rsid w:val="00FD4175"/>
    <w:rsid w:val="00FD43CC"/>
    <w:rsid w:val="00FD454E"/>
    <w:rsid w:val="00FD46E3"/>
    <w:rsid w:val="00FD4A65"/>
    <w:rsid w:val="00FD4C3C"/>
    <w:rsid w:val="00FD4D23"/>
    <w:rsid w:val="00FD4EF7"/>
    <w:rsid w:val="00FD5173"/>
    <w:rsid w:val="00FD537B"/>
    <w:rsid w:val="00FD56EB"/>
    <w:rsid w:val="00FD5734"/>
    <w:rsid w:val="00FD5864"/>
    <w:rsid w:val="00FD58B8"/>
    <w:rsid w:val="00FD5A82"/>
    <w:rsid w:val="00FD5AC4"/>
    <w:rsid w:val="00FD5CBA"/>
    <w:rsid w:val="00FD5CD7"/>
    <w:rsid w:val="00FD5D24"/>
    <w:rsid w:val="00FD5EAD"/>
    <w:rsid w:val="00FD6078"/>
    <w:rsid w:val="00FD617A"/>
    <w:rsid w:val="00FD632B"/>
    <w:rsid w:val="00FD6421"/>
    <w:rsid w:val="00FD64F6"/>
    <w:rsid w:val="00FD669C"/>
    <w:rsid w:val="00FD67C5"/>
    <w:rsid w:val="00FD6973"/>
    <w:rsid w:val="00FD6A08"/>
    <w:rsid w:val="00FD6D37"/>
    <w:rsid w:val="00FD6D4C"/>
    <w:rsid w:val="00FD6E07"/>
    <w:rsid w:val="00FD7070"/>
    <w:rsid w:val="00FD734D"/>
    <w:rsid w:val="00FD740A"/>
    <w:rsid w:val="00FD7548"/>
    <w:rsid w:val="00FD7661"/>
    <w:rsid w:val="00FD777D"/>
    <w:rsid w:val="00FD77D1"/>
    <w:rsid w:val="00FD7BC6"/>
    <w:rsid w:val="00FD7D79"/>
    <w:rsid w:val="00FE0079"/>
    <w:rsid w:val="00FE0127"/>
    <w:rsid w:val="00FE0146"/>
    <w:rsid w:val="00FE01DC"/>
    <w:rsid w:val="00FE0240"/>
    <w:rsid w:val="00FE03DB"/>
    <w:rsid w:val="00FE0535"/>
    <w:rsid w:val="00FE05F8"/>
    <w:rsid w:val="00FE0AB7"/>
    <w:rsid w:val="00FE0AD3"/>
    <w:rsid w:val="00FE0B13"/>
    <w:rsid w:val="00FE0CA4"/>
    <w:rsid w:val="00FE1262"/>
    <w:rsid w:val="00FE127B"/>
    <w:rsid w:val="00FE1299"/>
    <w:rsid w:val="00FE148B"/>
    <w:rsid w:val="00FE164C"/>
    <w:rsid w:val="00FE16A1"/>
    <w:rsid w:val="00FE1888"/>
    <w:rsid w:val="00FE19F5"/>
    <w:rsid w:val="00FE1D03"/>
    <w:rsid w:val="00FE1F68"/>
    <w:rsid w:val="00FE2182"/>
    <w:rsid w:val="00FE2322"/>
    <w:rsid w:val="00FE2436"/>
    <w:rsid w:val="00FE252F"/>
    <w:rsid w:val="00FE25A4"/>
    <w:rsid w:val="00FE2660"/>
    <w:rsid w:val="00FE2A40"/>
    <w:rsid w:val="00FE316E"/>
    <w:rsid w:val="00FE3182"/>
    <w:rsid w:val="00FE31AA"/>
    <w:rsid w:val="00FE3235"/>
    <w:rsid w:val="00FE3306"/>
    <w:rsid w:val="00FE34EC"/>
    <w:rsid w:val="00FE35D7"/>
    <w:rsid w:val="00FE363E"/>
    <w:rsid w:val="00FE366E"/>
    <w:rsid w:val="00FE3686"/>
    <w:rsid w:val="00FE37DD"/>
    <w:rsid w:val="00FE39AE"/>
    <w:rsid w:val="00FE3A9D"/>
    <w:rsid w:val="00FE3D72"/>
    <w:rsid w:val="00FE3E9D"/>
    <w:rsid w:val="00FE3F50"/>
    <w:rsid w:val="00FE4270"/>
    <w:rsid w:val="00FE43D1"/>
    <w:rsid w:val="00FE4535"/>
    <w:rsid w:val="00FE4561"/>
    <w:rsid w:val="00FE4588"/>
    <w:rsid w:val="00FE46C3"/>
    <w:rsid w:val="00FE46DE"/>
    <w:rsid w:val="00FE46F3"/>
    <w:rsid w:val="00FE4723"/>
    <w:rsid w:val="00FE4829"/>
    <w:rsid w:val="00FE4840"/>
    <w:rsid w:val="00FE48F6"/>
    <w:rsid w:val="00FE4A5F"/>
    <w:rsid w:val="00FE4B11"/>
    <w:rsid w:val="00FE4B5F"/>
    <w:rsid w:val="00FE4BD2"/>
    <w:rsid w:val="00FE4FBA"/>
    <w:rsid w:val="00FE501C"/>
    <w:rsid w:val="00FE513A"/>
    <w:rsid w:val="00FE54F8"/>
    <w:rsid w:val="00FE55B7"/>
    <w:rsid w:val="00FE56C6"/>
    <w:rsid w:val="00FE59B8"/>
    <w:rsid w:val="00FE5A5C"/>
    <w:rsid w:val="00FE5B02"/>
    <w:rsid w:val="00FE5CE7"/>
    <w:rsid w:val="00FE5D77"/>
    <w:rsid w:val="00FE5EC0"/>
    <w:rsid w:val="00FE6120"/>
    <w:rsid w:val="00FE61D5"/>
    <w:rsid w:val="00FE6302"/>
    <w:rsid w:val="00FE67AA"/>
    <w:rsid w:val="00FE67B7"/>
    <w:rsid w:val="00FE6869"/>
    <w:rsid w:val="00FE6928"/>
    <w:rsid w:val="00FE69A3"/>
    <w:rsid w:val="00FE6B55"/>
    <w:rsid w:val="00FE6BF4"/>
    <w:rsid w:val="00FE6C61"/>
    <w:rsid w:val="00FE6C8B"/>
    <w:rsid w:val="00FE6D5A"/>
    <w:rsid w:val="00FE6E29"/>
    <w:rsid w:val="00FE6EA3"/>
    <w:rsid w:val="00FE6FBD"/>
    <w:rsid w:val="00FE7239"/>
    <w:rsid w:val="00FE74E0"/>
    <w:rsid w:val="00FE74FD"/>
    <w:rsid w:val="00FE75BC"/>
    <w:rsid w:val="00FE7655"/>
    <w:rsid w:val="00FE7C60"/>
    <w:rsid w:val="00FE7C97"/>
    <w:rsid w:val="00FE7D61"/>
    <w:rsid w:val="00FE7E06"/>
    <w:rsid w:val="00FE7F06"/>
    <w:rsid w:val="00FE7F86"/>
    <w:rsid w:val="00FF00F1"/>
    <w:rsid w:val="00FF01E3"/>
    <w:rsid w:val="00FF01FF"/>
    <w:rsid w:val="00FF03A6"/>
    <w:rsid w:val="00FF03BA"/>
    <w:rsid w:val="00FF069A"/>
    <w:rsid w:val="00FF06BB"/>
    <w:rsid w:val="00FF081C"/>
    <w:rsid w:val="00FF0912"/>
    <w:rsid w:val="00FF09B2"/>
    <w:rsid w:val="00FF0B46"/>
    <w:rsid w:val="00FF0B5C"/>
    <w:rsid w:val="00FF0C8E"/>
    <w:rsid w:val="00FF0D88"/>
    <w:rsid w:val="00FF0DC6"/>
    <w:rsid w:val="00FF0E43"/>
    <w:rsid w:val="00FF0EB1"/>
    <w:rsid w:val="00FF0F07"/>
    <w:rsid w:val="00FF100F"/>
    <w:rsid w:val="00FF103B"/>
    <w:rsid w:val="00FF12A0"/>
    <w:rsid w:val="00FF133D"/>
    <w:rsid w:val="00FF13B2"/>
    <w:rsid w:val="00FF13D9"/>
    <w:rsid w:val="00FF1596"/>
    <w:rsid w:val="00FF15E8"/>
    <w:rsid w:val="00FF172C"/>
    <w:rsid w:val="00FF190C"/>
    <w:rsid w:val="00FF1AEE"/>
    <w:rsid w:val="00FF1B54"/>
    <w:rsid w:val="00FF1CF8"/>
    <w:rsid w:val="00FF1DC4"/>
    <w:rsid w:val="00FF1E28"/>
    <w:rsid w:val="00FF1FAA"/>
    <w:rsid w:val="00FF20ED"/>
    <w:rsid w:val="00FF2143"/>
    <w:rsid w:val="00FF2534"/>
    <w:rsid w:val="00FF26DA"/>
    <w:rsid w:val="00FF289A"/>
    <w:rsid w:val="00FF29AD"/>
    <w:rsid w:val="00FF2A44"/>
    <w:rsid w:val="00FF2D89"/>
    <w:rsid w:val="00FF2E4C"/>
    <w:rsid w:val="00FF2EBD"/>
    <w:rsid w:val="00FF30D9"/>
    <w:rsid w:val="00FF324B"/>
    <w:rsid w:val="00FF32DC"/>
    <w:rsid w:val="00FF3511"/>
    <w:rsid w:val="00FF35AA"/>
    <w:rsid w:val="00FF3672"/>
    <w:rsid w:val="00FF39FF"/>
    <w:rsid w:val="00FF3A06"/>
    <w:rsid w:val="00FF3A4E"/>
    <w:rsid w:val="00FF3B02"/>
    <w:rsid w:val="00FF3B44"/>
    <w:rsid w:val="00FF3CF9"/>
    <w:rsid w:val="00FF3DE3"/>
    <w:rsid w:val="00FF3DEC"/>
    <w:rsid w:val="00FF3E6F"/>
    <w:rsid w:val="00FF4069"/>
    <w:rsid w:val="00FF4185"/>
    <w:rsid w:val="00FF418F"/>
    <w:rsid w:val="00FF466B"/>
    <w:rsid w:val="00FF4674"/>
    <w:rsid w:val="00FF46B2"/>
    <w:rsid w:val="00FF46C0"/>
    <w:rsid w:val="00FF4714"/>
    <w:rsid w:val="00FF476E"/>
    <w:rsid w:val="00FF4792"/>
    <w:rsid w:val="00FF4887"/>
    <w:rsid w:val="00FF4CF1"/>
    <w:rsid w:val="00FF4E1A"/>
    <w:rsid w:val="00FF4E51"/>
    <w:rsid w:val="00FF4EAD"/>
    <w:rsid w:val="00FF5064"/>
    <w:rsid w:val="00FF50A8"/>
    <w:rsid w:val="00FF5371"/>
    <w:rsid w:val="00FF5373"/>
    <w:rsid w:val="00FF5583"/>
    <w:rsid w:val="00FF56FB"/>
    <w:rsid w:val="00FF57D8"/>
    <w:rsid w:val="00FF58B5"/>
    <w:rsid w:val="00FF593E"/>
    <w:rsid w:val="00FF5A09"/>
    <w:rsid w:val="00FF5AE2"/>
    <w:rsid w:val="00FF5C17"/>
    <w:rsid w:val="00FF5D26"/>
    <w:rsid w:val="00FF5D63"/>
    <w:rsid w:val="00FF5E0B"/>
    <w:rsid w:val="00FF5EF2"/>
    <w:rsid w:val="00FF6088"/>
    <w:rsid w:val="00FF618F"/>
    <w:rsid w:val="00FF61A4"/>
    <w:rsid w:val="00FF6344"/>
    <w:rsid w:val="00FF6740"/>
    <w:rsid w:val="00FF6AF4"/>
    <w:rsid w:val="00FF6B18"/>
    <w:rsid w:val="00FF6B37"/>
    <w:rsid w:val="00FF6D11"/>
    <w:rsid w:val="00FF6DFC"/>
    <w:rsid w:val="00FF6E16"/>
    <w:rsid w:val="00FF6E6A"/>
    <w:rsid w:val="00FF7034"/>
    <w:rsid w:val="00FF73D7"/>
    <w:rsid w:val="00FF7679"/>
    <w:rsid w:val="00FF773A"/>
    <w:rsid w:val="00FF77A5"/>
    <w:rsid w:val="00FF7BC2"/>
    <w:rsid w:val="00FF7CFB"/>
    <w:rsid w:val="00FF7D5D"/>
    <w:rsid w:val="00FF7E61"/>
    <w:rsid w:val="00FF7EA9"/>
    <w:rsid w:val="00FF7EC2"/>
    <w:rsid w:val="019A0597"/>
    <w:rsid w:val="01D7CF8B"/>
    <w:rsid w:val="02D7B4C0"/>
    <w:rsid w:val="041C425E"/>
    <w:rsid w:val="0448DE79"/>
    <w:rsid w:val="058FF121"/>
    <w:rsid w:val="06550F71"/>
    <w:rsid w:val="068EC624"/>
    <w:rsid w:val="06AB54C1"/>
    <w:rsid w:val="075558C4"/>
    <w:rsid w:val="091877FD"/>
    <w:rsid w:val="0A2D15DC"/>
    <w:rsid w:val="0E3F25B6"/>
    <w:rsid w:val="1119BF61"/>
    <w:rsid w:val="120B4997"/>
    <w:rsid w:val="13A5D87C"/>
    <w:rsid w:val="13AD49AC"/>
    <w:rsid w:val="1455AFB0"/>
    <w:rsid w:val="14CC1CA8"/>
    <w:rsid w:val="15F331F4"/>
    <w:rsid w:val="17475D64"/>
    <w:rsid w:val="1A89904C"/>
    <w:rsid w:val="1A92D88F"/>
    <w:rsid w:val="1E83D4DB"/>
    <w:rsid w:val="22BFC1EA"/>
    <w:rsid w:val="22C74FF2"/>
    <w:rsid w:val="23F88B7C"/>
    <w:rsid w:val="24810A60"/>
    <w:rsid w:val="2501C5B9"/>
    <w:rsid w:val="25048407"/>
    <w:rsid w:val="259D73E7"/>
    <w:rsid w:val="26C099D6"/>
    <w:rsid w:val="26FD4220"/>
    <w:rsid w:val="29984382"/>
    <w:rsid w:val="2A1E4B36"/>
    <w:rsid w:val="2D44EAC4"/>
    <w:rsid w:val="2FCF1976"/>
    <w:rsid w:val="30160A8F"/>
    <w:rsid w:val="30226320"/>
    <w:rsid w:val="3056461A"/>
    <w:rsid w:val="31E6CC8C"/>
    <w:rsid w:val="3303C784"/>
    <w:rsid w:val="331174C4"/>
    <w:rsid w:val="3402E8A5"/>
    <w:rsid w:val="35A73893"/>
    <w:rsid w:val="35CE352B"/>
    <w:rsid w:val="3774D53E"/>
    <w:rsid w:val="38775EB3"/>
    <w:rsid w:val="39574DE4"/>
    <w:rsid w:val="39893C0D"/>
    <w:rsid w:val="3BF2B348"/>
    <w:rsid w:val="3C1A9AF2"/>
    <w:rsid w:val="3FF301FB"/>
    <w:rsid w:val="41D04F71"/>
    <w:rsid w:val="431D829D"/>
    <w:rsid w:val="4380F9D5"/>
    <w:rsid w:val="44D147C8"/>
    <w:rsid w:val="46779682"/>
    <w:rsid w:val="47B54A3B"/>
    <w:rsid w:val="4CFCA908"/>
    <w:rsid w:val="4D039974"/>
    <w:rsid w:val="4EEE4C1E"/>
    <w:rsid w:val="4F37D003"/>
    <w:rsid w:val="4F731A90"/>
    <w:rsid w:val="5046BB18"/>
    <w:rsid w:val="53DBE5C4"/>
    <w:rsid w:val="55D166CA"/>
    <w:rsid w:val="569C983E"/>
    <w:rsid w:val="58AD144A"/>
    <w:rsid w:val="5A30DE1B"/>
    <w:rsid w:val="5BD7E7E1"/>
    <w:rsid w:val="5C7B3779"/>
    <w:rsid w:val="5CE0DF16"/>
    <w:rsid w:val="5CE5CCAC"/>
    <w:rsid w:val="5F79B11C"/>
    <w:rsid w:val="5FB6561E"/>
    <w:rsid w:val="5FC07D12"/>
    <w:rsid w:val="5FC70B7B"/>
    <w:rsid w:val="60BC1297"/>
    <w:rsid w:val="61550AC5"/>
    <w:rsid w:val="66012F55"/>
    <w:rsid w:val="6692444A"/>
    <w:rsid w:val="6A33DF47"/>
    <w:rsid w:val="6B0659CE"/>
    <w:rsid w:val="6CCB0515"/>
    <w:rsid w:val="6EE8A060"/>
    <w:rsid w:val="714C767A"/>
    <w:rsid w:val="722AA1CA"/>
    <w:rsid w:val="7461C1F6"/>
    <w:rsid w:val="74E55F4E"/>
    <w:rsid w:val="7634A789"/>
    <w:rsid w:val="7753EB1A"/>
    <w:rsid w:val="794C5FF5"/>
    <w:rsid w:val="7B91FB41"/>
    <w:rsid w:val="7BCF42C4"/>
    <w:rsid w:val="7D07652E"/>
    <w:rsid w:val="7DD9896A"/>
    <w:rsid w:val="7E8381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3B3AC"/>
  <w15:chartTrackingRefBased/>
  <w15:docId w15:val="{9E57CD0A-00EF-4EDC-A0C8-74113EF1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link w:val="NormalparatextnonumbersChar"/>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48"/>
      </w:numPr>
      <w:spacing w:before="240" w:after="20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48"/>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link w:val="DashChar"/>
    <w:rsid w:val="00F22F58"/>
    <w:pPr>
      <w:numPr>
        <w:ilvl w:val="1"/>
        <w:numId w:val="25"/>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8"/>
      </w:numPr>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0">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125C2C"/>
    <w:pPr>
      <w:numPr>
        <w:ilvl w:val="1"/>
        <w:numId w:val="48"/>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paragraph" w:customStyle="1" w:styleId="base-text-paragraph">
    <w:name w:val="base-text-paragraph"/>
    <w:link w:val="base-text-paragraphChar"/>
    <w:rsid w:val="008054D3"/>
    <w:pPr>
      <w:numPr>
        <w:numId w:val="23"/>
      </w:numPr>
      <w:tabs>
        <w:tab w:val="clear" w:pos="1984"/>
        <w:tab w:val="num" w:pos="360"/>
        <w:tab w:val="num" w:pos="1276"/>
      </w:tabs>
      <w:spacing w:before="120" w:after="120" w:line="240" w:lineRule="auto"/>
      <w:ind w:left="709"/>
    </w:pPr>
    <w:rPr>
      <w:rFonts w:ascii="Times New Roman" w:eastAsia="Times New Roman" w:hAnsi="Times New Roman" w:cs="Times New Roman"/>
      <w:szCs w:val="20"/>
      <w:lang w:eastAsia="en-AU"/>
    </w:rPr>
  </w:style>
  <w:style w:type="character" w:customStyle="1" w:styleId="base-text-paragraphChar">
    <w:name w:val="base-text-paragraph Char"/>
    <w:basedOn w:val="DefaultParagraphFont"/>
    <w:link w:val="base-text-paragraph"/>
    <w:rsid w:val="008054D3"/>
    <w:rPr>
      <w:rFonts w:ascii="Times New Roman" w:eastAsia="Times New Roman" w:hAnsi="Times New Roman" w:cs="Times New Roman"/>
      <w:szCs w:val="20"/>
      <w:lang w:eastAsia="en-AU"/>
    </w:rPr>
  </w:style>
  <w:style w:type="paragraph" w:customStyle="1" w:styleId="dotpoint">
    <w:name w:val="dot point"/>
    <w:basedOn w:val="Normal"/>
    <w:rsid w:val="00461934"/>
    <w:pPr>
      <w:numPr>
        <w:numId w:val="24"/>
      </w:numPr>
      <w:tabs>
        <w:tab w:val="clear" w:pos="2268"/>
        <w:tab w:val="num" w:pos="1701"/>
      </w:tabs>
      <w:ind w:left="1701" w:hanging="425"/>
    </w:pPr>
    <w:rPr>
      <w:rFonts w:eastAsia="Times New Roman" w:cs="Times New Roman"/>
      <w:szCs w:val="20"/>
      <w:lang w:eastAsia="en-AU"/>
    </w:rPr>
  </w:style>
  <w:style w:type="paragraph" w:customStyle="1" w:styleId="dotpoint2">
    <w:name w:val="dot point 2"/>
    <w:basedOn w:val="Normal"/>
    <w:rsid w:val="00461934"/>
    <w:pPr>
      <w:numPr>
        <w:ilvl w:val="1"/>
        <w:numId w:val="24"/>
      </w:numPr>
      <w:tabs>
        <w:tab w:val="clear" w:pos="2625"/>
        <w:tab w:val="num" w:pos="2127"/>
      </w:tabs>
      <w:ind w:left="2127" w:hanging="426"/>
    </w:pPr>
    <w:rPr>
      <w:rFonts w:eastAsia="Times New Roman" w:cs="Times New Roman"/>
      <w:szCs w:val="20"/>
      <w:lang w:eastAsia="en-AU"/>
    </w:rPr>
  </w:style>
  <w:style w:type="character" w:styleId="CommentReference">
    <w:name w:val="annotation reference"/>
    <w:basedOn w:val="DefaultParagraphFont"/>
    <w:uiPriority w:val="99"/>
    <w:unhideWhenUsed/>
    <w:rsid w:val="00F61166"/>
    <w:rPr>
      <w:sz w:val="16"/>
      <w:szCs w:val="16"/>
    </w:rPr>
  </w:style>
  <w:style w:type="paragraph" w:styleId="CommentText">
    <w:name w:val="annotation text"/>
    <w:basedOn w:val="Normal"/>
    <w:link w:val="CommentTextChar"/>
    <w:uiPriority w:val="99"/>
    <w:unhideWhenUsed/>
    <w:rsid w:val="00F61166"/>
    <w:rPr>
      <w:sz w:val="20"/>
      <w:szCs w:val="20"/>
    </w:rPr>
  </w:style>
  <w:style w:type="character" w:customStyle="1" w:styleId="CommentTextChar">
    <w:name w:val="Comment Text Char"/>
    <w:basedOn w:val="DefaultParagraphFont"/>
    <w:link w:val="CommentText"/>
    <w:uiPriority w:val="99"/>
    <w:rsid w:val="00F6116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1166"/>
    <w:rPr>
      <w:b/>
      <w:bCs/>
    </w:rPr>
  </w:style>
  <w:style w:type="character" w:customStyle="1" w:styleId="CommentSubjectChar">
    <w:name w:val="Comment Subject Char"/>
    <w:basedOn w:val="CommentTextChar"/>
    <w:link w:val="CommentSubject"/>
    <w:uiPriority w:val="99"/>
    <w:semiHidden/>
    <w:rsid w:val="00F61166"/>
    <w:rPr>
      <w:rFonts w:ascii="Times New Roman" w:hAnsi="Times New Roman"/>
      <w:b/>
      <w:bCs/>
      <w:sz w:val="20"/>
      <w:szCs w:val="20"/>
    </w:rPr>
  </w:style>
  <w:style w:type="paragraph" w:customStyle="1" w:styleId="Bullet">
    <w:name w:val="Bullet"/>
    <w:basedOn w:val="Normal"/>
    <w:link w:val="BulletChar"/>
    <w:rsid w:val="001A313A"/>
    <w:pPr>
      <w:numPr>
        <w:numId w:val="25"/>
      </w:numPr>
    </w:pPr>
    <w:rPr>
      <w:sz w:val="20"/>
      <w:szCs w:val="20"/>
    </w:rPr>
  </w:style>
  <w:style w:type="character" w:customStyle="1" w:styleId="BulletChar">
    <w:name w:val="Bullet Char"/>
    <w:basedOn w:val="CommentTextChar"/>
    <w:link w:val="Bullet"/>
    <w:rsid w:val="001A313A"/>
    <w:rPr>
      <w:rFonts w:ascii="Times New Roman" w:hAnsi="Times New Roman"/>
      <w:sz w:val="20"/>
      <w:szCs w:val="20"/>
    </w:rPr>
  </w:style>
  <w:style w:type="paragraph" w:customStyle="1" w:styleId="DoubleDot">
    <w:name w:val="Double Dot"/>
    <w:basedOn w:val="Normal"/>
    <w:link w:val="DoubleDotChar"/>
    <w:rsid w:val="001A313A"/>
    <w:pPr>
      <w:numPr>
        <w:ilvl w:val="2"/>
        <w:numId w:val="25"/>
      </w:numPr>
    </w:pPr>
    <w:rPr>
      <w:sz w:val="20"/>
      <w:szCs w:val="20"/>
    </w:rPr>
  </w:style>
  <w:style w:type="character" w:customStyle="1" w:styleId="DoubleDotChar">
    <w:name w:val="Double Dot Char"/>
    <w:basedOn w:val="CommentTextChar"/>
    <w:link w:val="DoubleDot"/>
    <w:rsid w:val="001A313A"/>
    <w:rPr>
      <w:rFonts w:ascii="Times New Roman" w:hAnsi="Times New Roman"/>
      <w:sz w:val="20"/>
      <w:szCs w:val="20"/>
    </w:rPr>
  </w:style>
  <w:style w:type="paragraph" w:styleId="TOC4">
    <w:name w:val="toc 4"/>
    <w:basedOn w:val="Normal"/>
    <w:next w:val="Normal"/>
    <w:autoRedefine/>
    <w:uiPriority w:val="39"/>
    <w:semiHidden/>
    <w:unhideWhenUsed/>
    <w:rsid w:val="00844FD4"/>
    <w:pPr>
      <w:spacing w:after="100"/>
      <w:ind w:left="660"/>
    </w:pPr>
  </w:style>
  <w:style w:type="paragraph" w:styleId="TOC5">
    <w:name w:val="toc 5"/>
    <w:basedOn w:val="Normal"/>
    <w:next w:val="Normal"/>
    <w:autoRedefine/>
    <w:uiPriority w:val="39"/>
    <w:semiHidden/>
    <w:unhideWhenUsed/>
    <w:rsid w:val="00844FD4"/>
    <w:pPr>
      <w:spacing w:after="100"/>
      <w:ind w:left="880"/>
    </w:pPr>
  </w:style>
  <w:style w:type="paragraph" w:styleId="TOC6">
    <w:name w:val="toc 6"/>
    <w:basedOn w:val="Normal"/>
    <w:next w:val="Normal"/>
    <w:autoRedefine/>
    <w:uiPriority w:val="39"/>
    <w:semiHidden/>
    <w:unhideWhenUsed/>
    <w:rsid w:val="00844FD4"/>
    <w:pPr>
      <w:spacing w:after="100"/>
      <w:ind w:left="1100"/>
    </w:pPr>
  </w:style>
  <w:style w:type="paragraph" w:styleId="TOC7">
    <w:name w:val="toc 7"/>
    <w:basedOn w:val="Normal"/>
    <w:next w:val="Normal"/>
    <w:autoRedefine/>
    <w:uiPriority w:val="39"/>
    <w:semiHidden/>
    <w:unhideWhenUsed/>
    <w:rsid w:val="00844FD4"/>
    <w:pPr>
      <w:spacing w:after="100"/>
      <w:ind w:left="1320"/>
    </w:pPr>
  </w:style>
  <w:style w:type="paragraph" w:styleId="TOC8">
    <w:name w:val="toc 8"/>
    <w:basedOn w:val="Normal"/>
    <w:next w:val="Normal"/>
    <w:autoRedefine/>
    <w:uiPriority w:val="39"/>
    <w:semiHidden/>
    <w:unhideWhenUsed/>
    <w:rsid w:val="00844FD4"/>
    <w:pPr>
      <w:spacing w:after="100"/>
      <w:ind w:left="1540"/>
    </w:pPr>
  </w:style>
  <w:style w:type="paragraph" w:styleId="TOC9">
    <w:name w:val="toc 9"/>
    <w:basedOn w:val="Normal"/>
    <w:next w:val="Normal"/>
    <w:autoRedefine/>
    <w:uiPriority w:val="39"/>
    <w:semiHidden/>
    <w:unhideWhenUsed/>
    <w:rsid w:val="00844FD4"/>
    <w:pPr>
      <w:spacing w:after="100"/>
      <w:ind w:left="1760"/>
    </w:pPr>
  </w:style>
  <w:style w:type="paragraph" w:styleId="ListParagraph">
    <w:name w:val="List Paragraph"/>
    <w:basedOn w:val="Normal"/>
    <w:uiPriority w:val="34"/>
    <w:qFormat/>
    <w:rsid w:val="00D30148"/>
    <w:pPr>
      <w:spacing w:before="0" w:after="160" w:line="259" w:lineRule="auto"/>
      <w:ind w:left="720"/>
      <w:contextualSpacing/>
    </w:pPr>
    <w:rPr>
      <w:rFonts w:asciiTheme="minorHAnsi" w:hAnsiTheme="minorHAnsi"/>
    </w:rPr>
  </w:style>
  <w:style w:type="character" w:customStyle="1" w:styleId="DashChar">
    <w:name w:val="Dash Char"/>
    <w:basedOn w:val="base-text-paragraphChar"/>
    <w:link w:val="Dash"/>
    <w:rsid w:val="00D30148"/>
    <w:rPr>
      <w:rFonts w:ascii="Times New Roman" w:eastAsia="Times New Roman" w:hAnsi="Times New Roman" w:cs="Times New Roman"/>
      <w:szCs w:val="20"/>
      <w:lang w:eastAsia="en-AU"/>
    </w:rPr>
  </w:style>
  <w:style w:type="paragraph" w:customStyle="1" w:styleId="NoCtexttimesnewroman12">
    <w:name w:val="NoC text times new roman 12"/>
    <w:basedOn w:val="Normal"/>
    <w:link w:val="NoCtexttimesnewroman12Char"/>
    <w:qFormat/>
    <w:rsid w:val="008F2FA6"/>
    <w:pPr>
      <w:spacing w:before="240"/>
    </w:pPr>
    <w:rPr>
      <w:sz w:val="24"/>
    </w:rPr>
  </w:style>
  <w:style w:type="character" w:customStyle="1" w:styleId="NoCtexttimesnewroman12Char">
    <w:name w:val="NoC text times new roman 12 Char"/>
    <w:basedOn w:val="DefaultParagraphFont"/>
    <w:link w:val="NoCtexttimesnewroman12"/>
    <w:rsid w:val="008F2FA6"/>
    <w:rPr>
      <w:rFonts w:ascii="Times New Roman" w:hAnsi="Times New Roman"/>
      <w:sz w:val="24"/>
    </w:rPr>
  </w:style>
  <w:style w:type="character" w:customStyle="1" w:styleId="NormalparatextnonumbersChar">
    <w:name w:val="Normal para text (no numbers) Char"/>
    <w:basedOn w:val="DefaultParagraphFont"/>
    <w:link w:val="Normalparatextnonumbers"/>
    <w:rsid w:val="004C2A55"/>
    <w:rPr>
      <w:rFonts w:ascii="Times New Roman" w:hAnsi="Times New Roman"/>
    </w:rPr>
  </w:style>
  <w:style w:type="character" w:customStyle="1" w:styleId="NormalparatextwithnumbersChar">
    <w:name w:val="Normal para text (with numbers) Char"/>
    <w:basedOn w:val="DefaultParagraphFont"/>
    <w:link w:val="Normalparatextwithnumbers"/>
    <w:rsid w:val="00125C2C"/>
    <w:rPr>
      <w:rFonts w:ascii="Times New Roman" w:hAnsi="Times New Roman"/>
    </w:rPr>
  </w:style>
  <w:style w:type="table" w:customStyle="1" w:styleId="TableGrid1">
    <w:name w:val="Table Grid1"/>
    <w:basedOn w:val="TableNormal"/>
    <w:next w:val="TableGrid"/>
    <w:rsid w:val="00F46EC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064AE"/>
    <w:pPr>
      <w:spacing w:before="100" w:beforeAutospacing="1" w:after="100" w:afterAutospacing="1"/>
    </w:pPr>
    <w:rPr>
      <w:rFonts w:eastAsia="Times New Roman" w:cs="Times New Roman"/>
      <w:sz w:val="24"/>
      <w:szCs w:val="24"/>
      <w:lang w:eastAsia="en-AU"/>
    </w:rPr>
  </w:style>
  <w:style w:type="character" w:styleId="Mention">
    <w:name w:val="Mention"/>
    <w:basedOn w:val="DefaultParagraphFont"/>
    <w:uiPriority w:val="99"/>
    <w:unhideWhenUsed/>
    <w:rsid w:val="0038184D"/>
    <w:rPr>
      <w:color w:val="2B579A"/>
      <w:shd w:val="clear" w:color="auto" w:fill="E1DFDD"/>
    </w:rPr>
  </w:style>
  <w:style w:type="character" w:styleId="FollowedHyperlink">
    <w:name w:val="FollowedHyperlink"/>
    <w:basedOn w:val="DefaultParagraphFont"/>
    <w:uiPriority w:val="99"/>
    <w:semiHidden/>
    <w:unhideWhenUsed/>
    <w:rsid w:val="00866190"/>
    <w:rPr>
      <w:color w:val="954F72" w:themeColor="followedHyperlink"/>
      <w:u w:val="single"/>
    </w:rPr>
  </w:style>
  <w:style w:type="numbering" w:customStyle="1" w:styleId="Chapternumbering1">
    <w:name w:val="Chapter numbering1"/>
    <w:uiPriority w:val="99"/>
    <w:rsid w:val="007E3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556">
      <w:bodyDiv w:val="1"/>
      <w:marLeft w:val="0"/>
      <w:marRight w:val="0"/>
      <w:marTop w:val="0"/>
      <w:marBottom w:val="0"/>
      <w:divBdr>
        <w:top w:val="none" w:sz="0" w:space="0" w:color="auto"/>
        <w:left w:val="none" w:sz="0" w:space="0" w:color="auto"/>
        <w:bottom w:val="none" w:sz="0" w:space="0" w:color="auto"/>
        <w:right w:val="none" w:sz="0" w:space="0" w:color="auto"/>
      </w:divBdr>
    </w:div>
    <w:div w:id="117720503">
      <w:bodyDiv w:val="1"/>
      <w:marLeft w:val="0"/>
      <w:marRight w:val="0"/>
      <w:marTop w:val="0"/>
      <w:marBottom w:val="0"/>
      <w:divBdr>
        <w:top w:val="none" w:sz="0" w:space="0" w:color="auto"/>
        <w:left w:val="none" w:sz="0" w:space="0" w:color="auto"/>
        <w:bottom w:val="none" w:sz="0" w:space="0" w:color="auto"/>
        <w:right w:val="none" w:sz="0" w:space="0" w:color="auto"/>
      </w:divBdr>
    </w:div>
    <w:div w:id="123276072">
      <w:bodyDiv w:val="1"/>
      <w:marLeft w:val="0"/>
      <w:marRight w:val="0"/>
      <w:marTop w:val="0"/>
      <w:marBottom w:val="0"/>
      <w:divBdr>
        <w:top w:val="none" w:sz="0" w:space="0" w:color="auto"/>
        <w:left w:val="none" w:sz="0" w:space="0" w:color="auto"/>
        <w:bottom w:val="none" w:sz="0" w:space="0" w:color="auto"/>
        <w:right w:val="none" w:sz="0" w:space="0" w:color="auto"/>
      </w:divBdr>
    </w:div>
    <w:div w:id="260575699">
      <w:bodyDiv w:val="1"/>
      <w:marLeft w:val="0"/>
      <w:marRight w:val="0"/>
      <w:marTop w:val="0"/>
      <w:marBottom w:val="0"/>
      <w:divBdr>
        <w:top w:val="none" w:sz="0" w:space="0" w:color="auto"/>
        <w:left w:val="none" w:sz="0" w:space="0" w:color="auto"/>
        <w:bottom w:val="none" w:sz="0" w:space="0" w:color="auto"/>
        <w:right w:val="none" w:sz="0" w:space="0" w:color="auto"/>
      </w:divBdr>
      <w:divsChild>
        <w:div w:id="399984015">
          <w:marLeft w:val="0"/>
          <w:marRight w:val="0"/>
          <w:marTop w:val="0"/>
          <w:marBottom w:val="0"/>
          <w:divBdr>
            <w:top w:val="none" w:sz="0" w:space="0" w:color="auto"/>
            <w:left w:val="none" w:sz="0" w:space="0" w:color="auto"/>
            <w:bottom w:val="none" w:sz="0" w:space="0" w:color="auto"/>
            <w:right w:val="none" w:sz="0" w:space="0" w:color="auto"/>
          </w:divBdr>
        </w:div>
        <w:div w:id="911547514">
          <w:marLeft w:val="0"/>
          <w:marRight w:val="0"/>
          <w:marTop w:val="0"/>
          <w:marBottom w:val="0"/>
          <w:divBdr>
            <w:top w:val="none" w:sz="0" w:space="0" w:color="auto"/>
            <w:left w:val="none" w:sz="0" w:space="0" w:color="auto"/>
            <w:bottom w:val="none" w:sz="0" w:space="0" w:color="auto"/>
            <w:right w:val="none" w:sz="0" w:space="0" w:color="auto"/>
          </w:divBdr>
        </w:div>
        <w:div w:id="1139688302">
          <w:marLeft w:val="0"/>
          <w:marRight w:val="0"/>
          <w:marTop w:val="0"/>
          <w:marBottom w:val="0"/>
          <w:divBdr>
            <w:top w:val="none" w:sz="0" w:space="0" w:color="auto"/>
            <w:left w:val="none" w:sz="0" w:space="0" w:color="auto"/>
            <w:bottom w:val="none" w:sz="0" w:space="0" w:color="auto"/>
            <w:right w:val="none" w:sz="0" w:space="0" w:color="auto"/>
          </w:divBdr>
        </w:div>
        <w:div w:id="1234856743">
          <w:marLeft w:val="0"/>
          <w:marRight w:val="0"/>
          <w:marTop w:val="0"/>
          <w:marBottom w:val="0"/>
          <w:divBdr>
            <w:top w:val="none" w:sz="0" w:space="0" w:color="auto"/>
            <w:left w:val="none" w:sz="0" w:space="0" w:color="auto"/>
            <w:bottom w:val="none" w:sz="0" w:space="0" w:color="auto"/>
            <w:right w:val="none" w:sz="0" w:space="0" w:color="auto"/>
          </w:divBdr>
        </w:div>
        <w:div w:id="1344091568">
          <w:marLeft w:val="0"/>
          <w:marRight w:val="0"/>
          <w:marTop w:val="0"/>
          <w:marBottom w:val="0"/>
          <w:divBdr>
            <w:top w:val="none" w:sz="0" w:space="0" w:color="auto"/>
            <w:left w:val="none" w:sz="0" w:space="0" w:color="auto"/>
            <w:bottom w:val="none" w:sz="0" w:space="0" w:color="auto"/>
            <w:right w:val="none" w:sz="0" w:space="0" w:color="auto"/>
          </w:divBdr>
        </w:div>
        <w:div w:id="1367636438">
          <w:marLeft w:val="0"/>
          <w:marRight w:val="0"/>
          <w:marTop w:val="0"/>
          <w:marBottom w:val="0"/>
          <w:divBdr>
            <w:top w:val="none" w:sz="0" w:space="0" w:color="auto"/>
            <w:left w:val="none" w:sz="0" w:space="0" w:color="auto"/>
            <w:bottom w:val="none" w:sz="0" w:space="0" w:color="auto"/>
            <w:right w:val="none" w:sz="0" w:space="0" w:color="auto"/>
          </w:divBdr>
        </w:div>
        <w:div w:id="2111663230">
          <w:marLeft w:val="0"/>
          <w:marRight w:val="0"/>
          <w:marTop w:val="0"/>
          <w:marBottom w:val="0"/>
          <w:divBdr>
            <w:top w:val="none" w:sz="0" w:space="0" w:color="auto"/>
            <w:left w:val="none" w:sz="0" w:space="0" w:color="auto"/>
            <w:bottom w:val="none" w:sz="0" w:space="0" w:color="auto"/>
            <w:right w:val="none" w:sz="0" w:space="0" w:color="auto"/>
          </w:divBdr>
        </w:div>
      </w:divsChild>
    </w:div>
    <w:div w:id="333412310">
      <w:bodyDiv w:val="1"/>
      <w:marLeft w:val="0"/>
      <w:marRight w:val="0"/>
      <w:marTop w:val="0"/>
      <w:marBottom w:val="0"/>
      <w:divBdr>
        <w:top w:val="none" w:sz="0" w:space="0" w:color="auto"/>
        <w:left w:val="none" w:sz="0" w:space="0" w:color="auto"/>
        <w:bottom w:val="none" w:sz="0" w:space="0" w:color="auto"/>
        <w:right w:val="none" w:sz="0" w:space="0" w:color="auto"/>
      </w:divBdr>
    </w:div>
    <w:div w:id="401294799">
      <w:bodyDiv w:val="1"/>
      <w:marLeft w:val="0"/>
      <w:marRight w:val="0"/>
      <w:marTop w:val="0"/>
      <w:marBottom w:val="0"/>
      <w:divBdr>
        <w:top w:val="none" w:sz="0" w:space="0" w:color="auto"/>
        <w:left w:val="none" w:sz="0" w:space="0" w:color="auto"/>
        <w:bottom w:val="none" w:sz="0" w:space="0" w:color="auto"/>
        <w:right w:val="none" w:sz="0" w:space="0" w:color="auto"/>
      </w:divBdr>
    </w:div>
    <w:div w:id="405227960">
      <w:bodyDiv w:val="1"/>
      <w:marLeft w:val="0"/>
      <w:marRight w:val="0"/>
      <w:marTop w:val="0"/>
      <w:marBottom w:val="0"/>
      <w:divBdr>
        <w:top w:val="none" w:sz="0" w:space="0" w:color="auto"/>
        <w:left w:val="none" w:sz="0" w:space="0" w:color="auto"/>
        <w:bottom w:val="none" w:sz="0" w:space="0" w:color="auto"/>
        <w:right w:val="none" w:sz="0" w:space="0" w:color="auto"/>
      </w:divBdr>
    </w:div>
    <w:div w:id="499076617">
      <w:bodyDiv w:val="1"/>
      <w:marLeft w:val="0"/>
      <w:marRight w:val="0"/>
      <w:marTop w:val="0"/>
      <w:marBottom w:val="0"/>
      <w:divBdr>
        <w:top w:val="none" w:sz="0" w:space="0" w:color="auto"/>
        <w:left w:val="none" w:sz="0" w:space="0" w:color="auto"/>
        <w:bottom w:val="none" w:sz="0" w:space="0" w:color="auto"/>
        <w:right w:val="none" w:sz="0" w:space="0" w:color="auto"/>
      </w:divBdr>
    </w:div>
    <w:div w:id="517235721">
      <w:bodyDiv w:val="1"/>
      <w:marLeft w:val="0"/>
      <w:marRight w:val="0"/>
      <w:marTop w:val="0"/>
      <w:marBottom w:val="0"/>
      <w:divBdr>
        <w:top w:val="none" w:sz="0" w:space="0" w:color="auto"/>
        <w:left w:val="none" w:sz="0" w:space="0" w:color="auto"/>
        <w:bottom w:val="none" w:sz="0" w:space="0" w:color="auto"/>
        <w:right w:val="none" w:sz="0" w:space="0" w:color="auto"/>
      </w:divBdr>
    </w:div>
    <w:div w:id="535317483">
      <w:bodyDiv w:val="1"/>
      <w:marLeft w:val="0"/>
      <w:marRight w:val="0"/>
      <w:marTop w:val="0"/>
      <w:marBottom w:val="0"/>
      <w:divBdr>
        <w:top w:val="none" w:sz="0" w:space="0" w:color="auto"/>
        <w:left w:val="none" w:sz="0" w:space="0" w:color="auto"/>
        <w:bottom w:val="none" w:sz="0" w:space="0" w:color="auto"/>
        <w:right w:val="none" w:sz="0" w:space="0" w:color="auto"/>
      </w:divBdr>
    </w:div>
    <w:div w:id="556286808">
      <w:bodyDiv w:val="1"/>
      <w:marLeft w:val="0"/>
      <w:marRight w:val="0"/>
      <w:marTop w:val="0"/>
      <w:marBottom w:val="0"/>
      <w:divBdr>
        <w:top w:val="none" w:sz="0" w:space="0" w:color="auto"/>
        <w:left w:val="none" w:sz="0" w:space="0" w:color="auto"/>
        <w:bottom w:val="none" w:sz="0" w:space="0" w:color="auto"/>
        <w:right w:val="none" w:sz="0" w:space="0" w:color="auto"/>
      </w:divBdr>
    </w:div>
    <w:div w:id="578367028">
      <w:bodyDiv w:val="1"/>
      <w:marLeft w:val="0"/>
      <w:marRight w:val="0"/>
      <w:marTop w:val="0"/>
      <w:marBottom w:val="0"/>
      <w:divBdr>
        <w:top w:val="none" w:sz="0" w:space="0" w:color="auto"/>
        <w:left w:val="none" w:sz="0" w:space="0" w:color="auto"/>
        <w:bottom w:val="none" w:sz="0" w:space="0" w:color="auto"/>
        <w:right w:val="none" w:sz="0" w:space="0" w:color="auto"/>
      </w:divBdr>
    </w:div>
    <w:div w:id="587734678">
      <w:bodyDiv w:val="1"/>
      <w:marLeft w:val="0"/>
      <w:marRight w:val="0"/>
      <w:marTop w:val="0"/>
      <w:marBottom w:val="0"/>
      <w:divBdr>
        <w:top w:val="none" w:sz="0" w:space="0" w:color="auto"/>
        <w:left w:val="none" w:sz="0" w:space="0" w:color="auto"/>
        <w:bottom w:val="none" w:sz="0" w:space="0" w:color="auto"/>
        <w:right w:val="none" w:sz="0" w:space="0" w:color="auto"/>
      </w:divBdr>
    </w:div>
    <w:div w:id="646979127">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905918032">
      <w:bodyDiv w:val="1"/>
      <w:marLeft w:val="0"/>
      <w:marRight w:val="0"/>
      <w:marTop w:val="0"/>
      <w:marBottom w:val="0"/>
      <w:divBdr>
        <w:top w:val="none" w:sz="0" w:space="0" w:color="auto"/>
        <w:left w:val="none" w:sz="0" w:space="0" w:color="auto"/>
        <w:bottom w:val="none" w:sz="0" w:space="0" w:color="auto"/>
        <w:right w:val="none" w:sz="0" w:space="0" w:color="auto"/>
      </w:divBdr>
    </w:div>
    <w:div w:id="913854988">
      <w:bodyDiv w:val="1"/>
      <w:marLeft w:val="0"/>
      <w:marRight w:val="0"/>
      <w:marTop w:val="0"/>
      <w:marBottom w:val="0"/>
      <w:divBdr>
        <w:top w:val="none" w:sz="0" w:space="0" w:color="auto"/>
        <w:left w:val="none" w:sz="0" w:space="0" w:color="auto"/>
        <w:bottom w:val="none" w:sz="0" w:space="0" w:color="auto"/>
        <w:right w:val="none" w:sz="0" w:space="0" w:color="auto"/>
      </w:divBdr>
    </w:div>
    <w:div w:id="970020456">
      <w:bodyDiv w:val="1"/>
      <w:marLeft w:val="0"/>
      <w:marRight w:val="0"/>
      <w:marTop w:val="0"/>
      <w:marBottom w:val="0"/>
      <w:divBdr>
        <w:top w:val="none" w:sz="0" w:space="0" w:color="auto"/>
        <w:left w:val="none" w:sz="0" w:space="0" w:color="auto"/>
        <w:bottom w:val="none" w:sz="0" w:space="0" w:color="auto"/>
        <w:right w:val="none" w:sz="0" w:space="0" w:color="auto"/>
      </w:divBdr>
    </w:div>
    <w:div w:id="976909903">
      <w:bodyDiv w:val="1"/>
      <w:marLeft w:val="0"/>
      <w:marRight w:val="0"/>
      <w:marTop w:val="0"/>
      <w:marBottom w:val="0"/>
      <w:divBdr>
        <w:top w:val="none" w:sz="0" w:space="0" w:color="auto"/>
        <w:left w:val="none" w:sz="0" w:space="0" w:color="auto"/>
        <w:bottom w:val="none" w:sz="0" w:space="0" w:color="auto"/>
        <w:right w:val="none" w:sz="0" w:space="0" w:color="auto"/>
      </w:divBdr>
    </w:div>
    <w:div w:id="1044870155">
      <w:bodyDiv w:val="1"/>
      <w:marLeft w:val="0"/>
      <w:marRight w:val="0"/>
      <w:marTop w:val="0"/>
      <w:marBottom w:val="0"/>
      <w:divBdr>
        <w:top w:val="none" w:sz="0" w:space="0" w:color="auto"/>
        <w:left w:val="none" w:sz="0" w:space="0" w:color="auto"/>
        <w:bottom w:val="none" w:sz="0" w:space="0" w:color="auto"/>
        <w:right w:val="none" w:sz="0" w:space="0" w:color="auto"/>
      </w:divBdr>
    </w:div>
    <w:div w:id="1048845235">
      <w:bodyDiv w:val="1"/>
      <w:marLeft w:val="0"/>
      <w:marRight w:val="0"/>
      <w:marTop w:val="0"/>
      <w:marBottom w:val="0"/>
      <w:divBdr>
        <w:top w:val="none" w:sz="0" w:space="0" w:color="auto"/>
        <w:left w:val="none" w:sz="0" w:space="0" w:color="auto"/>
        <w:bottom w:val="none" w:sz="0" w:space="0" w:color="auto"/>
        <w:right w:val="none" w:sz="0" w:space="0" w:color="auto"/>
      </w:divBdr>
    </w:div>
    <w:div w:id="1058822929">
      <w:bodyDiv w:val="1"/>
      <w:marLeft w:val="0"/>
      <w:marRight w:val="0"/>
      <w:marTop w:val="0"/>
      <w:marBottom w:val="0"/>
      <w:divBdr>
        <w:top w:val="none" w:sz="0" w:space="0" w:color="auto"/>
        <w:left w:val="none" w:sz="0" w:space="0" w:color="auto"/>
        <w:bottom w:val="none" w:sz="0" w:space="0" w:color="auto"/>
        <w:right w:val="none" w:sz="0" w:space="0" w:color="auto"/>
      </w:divBdr>
    </w:div>
    <w:div w:id="1165130291">
      <w:bodyDiv w:val="1"/>
      <w:marLeft w:val="0"/>
      <w:marRight w:val="0"/>
      <w:marTop w:val="0"/>
      <w:marBottom w:val="0"/>
      <w:divBdr>
        <w:top w:val="none" w:sz="0" w:space="0" w:color="auto"/>
        <w:left w:val="none" w:sz="0" w:space="0" w:color="auto"/>
        <w:bottom w:val="none" w:sz="0" w:space="0" w:color="auto"/>
        <w:right w:val="none" w:sz="0" w:space="0" w:color="auto"/>
      </w:divBdr>
    </w:div>
    <w:div w:id="1187208451">
      <w:bodyDiv w:val="1"/>
      <w:marLeft w:val="0"/>
      <w:marRight w:val="0"/>
      <w:marTop w:val="0"/>
      <w:marBottom w:val="0"/>
      <w:divBdr>
        <w:top w:val="none" w:sz="0" w:space="0" w:color="auto"/>
        <w:left w:val="none" w:sz="0" w:space="0" w:color="auto"/>
        <w:bottom w:val="none" w:sz="0" w:space="0" w:color="auto"/>
        <w:right w:val="none" w:sz="0" w:space="0" w:color="auto"/>
      </w:divBdr>
    </w:div>
    <w:div w:id="1224369477">
      <w:bodyDiv w:val="1"/>
      <w:marLeft w:val="0"/>
      <w:marRight w:val="0"/>
      <w:marTop w:val="0"/>
      <w:marBottom w:val="0"/>
      <w:divBdr>
        <w:top w:val="none" w:sz="0" w:space="0" w:color="auto"/>
        <w:left w:val="none" w:sz="0" w:space="0" w:color="auto"/>
        <w:bottom w:val="none" w:sz="0" w:space="0" w:color="auto"/>
        <w:right w:val="none" w:sz="0" w:space="0" w:color="auto"/>
      </w:divBdr>
    </w:div>
    <w:div w:id="1511068621">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575386521">
      <w:bodyDiv w:val="1"/>
      <w:marLeft w:val="0"/>
      <w:marRight w:val="0"/>
      <w:marTop w:val="0"/>
      <w:marBottom w:val="0"/>
      <w:divBdr>
        <w:top w:val="none" w:sz="0" w:space="0" w:color="auto"/>
        <w:left w:val="none" w:sz="0" w:space="0" w:color="auto"/>
        <w:bottom w:val="none" w:sz="0" w:space="0" w:color="auto"/>
        <w:right w:val="none" w:sz="0" w:space="0" w:color="auto"/>
      </w:divBdr>
    </w:div>
    <w:div w:id="1603223725">
      <w:bodyDiv w:val="1"/>
      <w:marLeft w:val="0"/>
      <w:marRight w:val="0"/>
      <w:marTop w:val="0"/>
      <w:marBottom w:val="0"/>
      <w:divBdr>
        <w:top w:val="none" w:sz="0" w:space="0" w:color="auto"/>
        <w:left w:val="none" w:sz="0" w:space="0" w:color="auto"/>
        <w:bottom w:val="none" w:sz="0" w:space="0" w:color="auto"/>
        <w:right w:val="none" w:sz="0" w:space="0" w:color="auto"/>
      </w:divBdr>
    </w:div>
    <w:div w:id="1649896286">
      <w:bodyDiv w:val="1"/>
      <w:marLeft w:val="0"/>
      <w:marRight w:val="0"/>
      <w:marTop w:val="0"/>
      <w:marBottom w:val="0"/>
      <w:divBdr>
        <w:top w:val="none" w:sz="0" w:space="0" w:color="auto"/>
        <w:left w:val="none" w:sz="0" w:space="0" w:color="auto"/>
        <w:bottom w:val="none" w:sz="0" w:space="0" w:color="auto"/>
        <w:right w:val="none" w:sz="0" w:space="0" w:color="auto"/>
      </w:divBdr>
    </w:div>
    <w:div w:id="1687826400">
      <w:bodyDiv w:val="1"/>
      <w:marLeft w:val="0"/>
      <w:marRight w:val="0"/>
      <w:marTop w:val="0"/>
      <w:marBottom w:val="0"/>
      <w:divBdr>
        <w:top w:val="none" w:sz="0" w:space="0" w:color="auto"/>
        <w:left w:val="none" w:sz="0" w:space="0" w:color="auto"/>
        <w:bottom w:val="none" w:sz="0" w:space="0" w:color="auto"/>
        <w:right w:val="none" w:sz="0" w:space="0" w:color="auto"/>
      </w:divBdr>
    </w:div>
    <w:div w:id="1710449067">
      <w:bodyDiv w:val="1"/>
      <w:marLeft w:val="0"/>
      <w:marRight w:val="0"/>
      <w:marTop w:val="0"/>
      <w:marBottom w:val="0"/>
      <w:divBdr>
        <w:top w:val="none" w:sz="0" w:space="0" w:color="auto"/>
        <w:left w:val="none" w:sz="0" w:space="0" w:color="auto"/>
        <w:bottom w:val="none" w:sz="0" w:space="0" w:color="auto"/>
        <w:right w:val="none" w:sz="0" w:space="0" w:color="auto"/>
      </w:divBdr>
    </w:div>
    <w:div w:id="1833334604">
      <w:bodyDiv w:val="1"/>
      <w:marLeft w:val="0"/>
      <w:marRight w:val="0"/>
      <w:marTop w:val="0"/>
      <w:marBottom w:val="0"/>
      <w:divBdr>
        <w:top w:val="none" w:sz="0" w:space="0" w:color="auto"/>
        <w:left w:val="none" w:sz="0" w:space="0" w:color="auto"/>
        <w:bottom w:val="none" w:sz="0" w:space="0" w:color="auto"/>
        <w:right w:val="none" w:sz="0" w:space="0" w:color="auto"/>
      </w:divBdr>
    </w:div>
    <w:div w:id="1863736263">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 w:id="1950120685">
      <w:bodyDiv w:val="1"/>
      <w:marLeft w:val="0"/>
      <w:marRight w:val="0"/>
      <w:marTop w:val="0"/>
      <w:marBottom w:val="0"/>
      <w:divBdr>
        <w:top w:val="none" w:sz="0" w:space="0" w:color="auto"/>
        <w:left w:val="none" w:sz="0" w:space="0" w:color="auto"/>
        <w:bottom w:val="none" w:sz="0" w:space="0" w:color="auto"/>
        <w:right w:val="none" w:sz="0" w:space="0" w:color="auto"/>
      </w:divBdr>
    </w:div>
    <w:div w:id="1964655110">
      <w:bodyDiv w:val="1"/>
      <w:marLeft w:val="0"/>
      <w:marRight w:val="0"/>
      <w:marTop w:val="0"/>
      <w:marBottom w:val="0"/>
      <w:divBdr>
        <w:top w:val="none" w:sz="0" w:space="0" w:color="auto"/>
        <w:left w:val="none" w:sz="0" w:space="0" w:color="auto"/>
        <w:bottom w:val="none" w:sz="0" w:space="0" w:color="auto"/>
        <w:right w:val="none" w:sz="0" w:space="0" w:color="auto"/>
      </w:divBdr>
    </w:div>
    <w:div w:id="1982953888">
      <w:bodyDiv w:val="1"/>
      <w:marLeft w:val="0"/>
      <w:marRight w:val="0"/>
      <w:marTop w:val="0"/>
      <w:marBottom w:val="0"/>
      <w:divBdr>
        <w:top w:val="none" w:sz="0" w:space="0" w:color="auto"/>
        <w:left w:val="none" w:sz="0" w:space="0" w:color="auto"/>
        <w:bottom w:val="none" w:sz="0" w:space="0" w:color="auto"/>
        <w:right w:val="none" w:sz="0" w:space="0" w:color="auto"/>
      </w:divBdr>
    </w:div>
    <w:div w:id="2010522784">
      <w:bodyDiv w:val="1"/>
      <w:marLeft w:val="0"/>
      <w:marRight w:val="0"/>
      <w:marTop w:val="0"/>
      <w:marBottom w:val="0"/>
      <w:divBdr>
        <w:top w:val="none" w:sz="0" w:space="0" w:color="auto"/>
        <w:left w:val="none" w:sz="0" w:space="0" w:color="auto"/>
        <w:bottom w:val="none" w:sz="0" w:space="0" w:color="auto"/>
        <w:right w:val="none" w:sz="0" w:space="0" w:color="auto"/>
      </w:divBdr>
    </w:div>
    <w:div w:id="2055275064">
      <w:bodyDiv w:val="1"/>
      <w:marLeft w:val="0"/>
      <w:marRight w:val="0"/>
      <w:marTop w:val="0"/>
      <w:marBottom w:val="0"/>
      <w:divBdr>
        <w:top w:val="none" w:sz="0" w:space="0" w:color="auto"/>
        <w:left w:val="none" w:sz="0" w:space="0" w:color="auto"/>
        <w:bottom w:val="none" w:sz="0" w:space="0" w:color="auto"/>
        <w:right w:val="none" w:sz="0" w:space="0" w:color="auto"/>
      </w:divBdr>
    </w:div>
    <w:div w:id="2061466889">
      <w:bodyDiv w:val="1"/>
      <w:marLeft w:val="0"/>
      <w:marRight w:val="0"/>
      <w:marTop w:val="0"/>
      <w:marBottom w:val="0"/>
      <w:divBdr>
        <w:top w:val="none" w:sz="0" w:space="0" w:color="auto"/>
        <w:left w:val="none" w:sz="0" w:space="0" w:color="auto"/>
        <w:bottom w:val="none" w:sz="0" w:space="0" w:color="auto"/>
        <w:right w:val="none" w:sz="0" w:space="0" w:color="auto"/>
      </w:divBdr>
    </w:div>
    <w:div w:id="2087023238">
      <w:bodyDiv w:val="1"/>
      <w:marLeft w:val="0"/>
      <w:marRight w:val="0"/>
      <w:marTop w:val="0"/>
      <w:marBottom w:val="0"/>
      <w:divBdr>
        <w:top w:val="none" w:sz="0" w:space="0" w:color="auto"/>
        <w:left w:val="none" w:sz="0" w:space="0" w:color="auto"/>
        <w:bottom w:val="none" w:sz="0" w:space="0" w:color="auto"/>
        <w:right w:val="none" w:sz="0" w:space="0" w:color="auto"/>
      </w:divBdr>
    </w:div>
    <w:div w:id="2113814605">
      <w:bodyDiv w:val="1"/>
      <w:marLeft w:val="0"/>
      <w:marRight w:val="0"/>
      <w:marTop w:val="0"/>
      <w:marBottom w:val="0"/>
      <w:divBdr>
        <w:top w:val="none" w:sz="0" w:space="0" w:color="auto"/>
        <w:left w:val="none" w:sz="0" w:space="0" w:color="auto"/>
        <w:bottom w:val="none" w:sz="0" w:space="0" w:color="auto"/>
        <w:right w:val="none" w:sz="0" w:space="0" w:color="auto"/>
      </w:divBdr>
    </w:div>
    <w:div w:id="2117286074">
      <w:bodyDiv w:val="1"/>
      <w:marLeft w:val="0"/>
      <w:marRight w:val="0"/>
      <w:marTop w:val="0"/>
      <w:marBottom w:val="0"/>
      <w:divBdr>
        <w:top w:val="none" w:sz="0" w:space="0" w:color="auto"/>
        <w:left w:val="none" w:sz="0" w:space="0" w:color="auto"/>
        <w:bottom w:val="none" w:sz="0" w:space="0" w:color="auto"/>
        <w:right w:val="none" w:sz="0" w:space="0" w:color="auto"/>
      </w:divBdr>
    </w:div>
    <w:div w:id="212114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21" Type="http://schemas.openxmlformats.org/officeDocument/2006/relationships/footer" Target="footer4.xml"/><Relationship Id="rId34" Type="http://schemas.openxmlformats.org/officeDocument/2006/relationships/header" Target="header1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5.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4.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5D7SUYYWNZQE-1616336108-126</_dlc_DocId>
    <TaxCatchAll xmlns="ff38c824-6e29-4496-8487-69f397e7ed29">
      <Value>90</Value>
      <Value>3</Value>
      <Value>153</Value>
      <Value>1</Value>
      <Value>28</Value>
    </TaxCatchAll>
    <_dlc_DocIdUrl xmlns="fe39d773-a83d-4623-ae74-f25711a76616">
      <Url>https://austreasury.sharepoint.com/sites/leg-meas-function/_layouts/15/DocIdRedir.aspx?ID=5D7SUYYWNZQE-1616336108-126</Url>
      <Description>5D7SUYYWNZQE-1616336108-126</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MailIn-Reply-To xmlns="fe39d773-a83d-4623-ae74-f25711a76616" xsi:nil="true"/>
    <Cc xmlns="fe39d773-a83d-4623-ae74-f25711a76616" xsi:nil="true"/>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Financial Services Inquiry</Measureorigin>
    <PT_x002f_Measure_x0020_No. xmlns="ff38c824-6e29-4496-8487-69f397e7ed29">TSY/45/350</PT_x002f_Measure_x0020_No.>
    <From1 xmlns="fe39d773-a83d-4623-ae74-f25711a76616" xsi:nil="true"/>
    <MailSubject xmlns="fe39d773-a83d-4623-ae74-f25711a76616" xsi:nil="true"/>
    <Keydoc xmlns="a289cb20-8bb9-401f-8d7b-706fb1a2988d" xsi:nil="true"/>
    <Act_x0028_s_x0029_beingamended xmlns="a289cb20-8bb9-401f-8d7b-706fb1a2988d">Corporations Act 2001</Act_x0028_s_x0029_beingamended>
    <Date12 xmlns="fe39d773-a83d-4623-ae74-f25711a76616" xsi:nil="true"/>
    <MailReferences xmlns="fe39d773-a83d-4623-ae74-f25711a76616" xsi:nil="true"/>
    <OriginalSubject xmlns="fe39d773-a83d-4623-ae74-f25711a76616" xsi:nil="true"/>
    <Projectname xmlns="a289cb20-8bb9-401f-8d7b-706fb1a2988d">Clearing and Settlement Reforms</Projectname>
    <oae75e2df9d943898d59cb03ca0993c5 xmlns="fe39d773-a83d-4623-ae74-f25711a76616"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EmailAttachments xmlns="fe39d773-a83d-4623-ae74-f25711a76616">false</EmailAttachments>
    <MailTo xmlns="fe39d773-a83d-4623-ae74-f25711a76616" xsi:nil="true"/>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Corporations Law</TermName>
          <TermId xmlns="http://schemas.microsoft.com/office/infopath/2007/PartnerControls">272b01ba-7d50-447b-a0f2-c5e953189886</TermId>
        </TermInfo>
      </Terms>
    </gfba5f33532c49208d2320ce38cc3c2b>
  </documentManagement>
</p:properties>
</file>

<file path=customXml/item4.xml><?xml version="1.0" encoding="utf-8"?>
<ct:contentTypeSchema xmlns:ct="http://schemas.microsoft.com/office/2006/metadata/contentType" xmlns:ma="http://schemas.microsoft.com/office/2006/metadata/properties/metaAttributes" ct:_="" ma:_="" ma:contentTypeName="Email" ma:contentTypeID="0x0101003ECC5A3B3DB5EC46B1D76B9A37FC826900565A6EB58B4E9349A9567C79E3155304" ma:contentTypeVersion="40" ma:contentTypeDescription="" ma:contentTypeScope="" ma:versionID="1fa0f2efa8301b7e072f0a5614f390b9">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targetNamespace="http://schemas.microsoft.com/office/2006/metadata/properties" ma:root="true" ma:fieldsID="d85aeb6df59fe51b70f177c63d25dc67" ns1:_="" ns2:_="" ns3:_="" ns4:_="">
    <xsd:import namespace="http://schemas.microsoft.com/sharepoint/v3"/>
    <xsd:import namespace="ff38c824-6e29-4496-8487-69f397e7ed29"/>
    <xsd:import namespace="fe39d773-a83d-4623-ae74-f25711a76616"/>
    <xsd:import namespace="a289cb20-8bb9-401f-8d7b-706fb1a2988d"/>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a48f371a4a874164b16a8c4aab488f5c"/>
                <xsd:element ref="ns3:kfc39f3e4e2747ae990d3c8bb74a5a64"/>
                <xsd:element ref="ns3:ge25bdd0d6464e36b066695d9e81d63d" minOccurs="0"/>
                <xsd:element ref="ns3:_dlc_DocId" minOccurs="0"/>
                <xsd:element ref="ns2:TaxCatchAll" minOccurs="0"/>
                <xsd:element ref="ns3:gfba5f33532c49208d2320ce38cc3c2b"/>
                <xsd:element ref="ns3:_dlc_DocIdPersistId" minOccurs="0"/>
                <xsd:element ref="ns3:e4fe7dcdd1c0411bbf19a4de3665191f"/>
                <xsd:element ref="ns3:_dlc_DocIdUrl" minOccurs="0"/>
                <xsd:element ref="ns2:TaxCatchAllLabel" minOccurs="0"/>
                <xsd:element ref="ns3:oae75e2df9d943898d59cb03ca0993c5"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8"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37" nillable="true" ma:displayName="PT/Measure No." ma:internalName="PT_x002F_Measure_x0020_No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7" nillable="true" ma:displayName="Cc" ma:internalName="Cc" ma:readOnly="false">
      <xsd:simpleType>
        <xsd:restriction base="dms:Note">
          <xsd:maxLength value="255"/>
        </xsd:restriction>
      </xsd:simpleType>
    </xsd:element>
    <xsd:element name="Date12" ma:index="8" nillable="true" ma:displayName="Date" ma:description="The date and time when the message was sent" ma:format="DateTime" ma:internalName="Date12" ma:readOnly="false">
      <xsd:simpleType>
        <xsd:restriction base="dms:DateTime"/>
      </xsd:simpleType>
    </xsd:element>
    <xsd:element name="EmailAttachments" ma:index="9" nillable="true" ma:displayName="EmailAttachments" ma:default="0" ma:description="Indicates if the e-mail message contains one or more attachments" ma:internalName="EmailAttachments" ma:readOnly="false">
      <xsd:simpleType>
        <xsd:restriction base="dms:Boolean"/>
      </xsd:simpleType>
    </xsd:element>
    <xsd:element name="From1" ma:index="10" nillable="true" ma:displayName="From" ma:description="The identity of the person who sent the message." ma:internalName="From1" ma:readOnly="false">
      <xsd:simpleType>
        <xsd:restriction base="dms:Text">
          <xsd:maxLength value="255"/>
        </xsd:restriction>
      </xsd:simpleType>
    </xsd:element>
    <xsd:element name="MailIn-Reply-To" ma:index="11"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12"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3" nillable="true" ma:displayName="MailSubject" ma:description="A summary of the message" ma:internalName="MailSubject" ma:readOnly="false">
      <xsd:simpleType>
        <xsd:restriction base="dms:Text">
          <xsd:maxLength value="255"/>
        </xsd:restriction>
      </xsd:simpleType>
    </xsd:element>
    <xsd:element name="MailTo" ma:index="14" nillable="true" ma:displayName="MailTo" ma:internalName="MailTo" ma:readOnly="false">
      <xsd:simpleType>
        <xsd:restriction base="dms:Note">
          <xsd:maxLength value="255"/>
        </xsd:restriction>
      </xsd:simpleType>
    </xsd:element>
    <xsd:element name="OriginalSubject" ma:index="15" nillable="true" ma:displayName="OriginalSubject" ma:internalName="OriginalSubject" ma:readOnly="false">
      <xsd:simpleType>
        <xsd:restriction base="dms:Text">
          <xsd:maxLength value="255"/>
        </xsd:restriction>
      </xsd:simpleType>
    </xsd:element>
    <xsd:element name="a48f371a4a874164b16a8c4aab488f5c" ma:index="17"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0"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gfba5f33532c49208d2320ce38cc3c2b" ma:index="2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e4fe7dcdd1c0411bbf19a4de3665191f" ma:index="29"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32"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Keydoc" ma:index="33"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34"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35"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36"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2.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3.xml><?xml version="1.0" encoding="utf-8"?>
<ds:datastoreItem xmlns:ds="http://schemas.openxmlformats.org/officeDocument/2006/customXml" ds:itemID="{6AB365E2-A817-49FA-9295-CAB62986032D}">
  <ds:schemaRefs>
    <ds:schemaRef ds:uri="a289cb20-8bb9-401f-8d7b-706fb1a2988d"/>
    <ds:schemaRef ds:uri="ff38c824-6e29-4496-8487-69f397e7ed29"/>
    <ds:schemaRef ds:uri="http://purl.org/dc/elements/1.1/"/>
    <ds:schemaRef ds:uri="http://purl.org/dc/terms/"/>
    <ds:schemaRef ds:uri="http://schemas.microsoft.com/office/infopath/2007/PartnerControls"/>
    <ds:schemaRef ds:uri="fe39d773-a83d-4623-ae74-f25711a76616"/>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sharepoint/v3"/>
    <ds:schemaRef ds:uri="http://www.w3.org/XML/1998/namespace"/>
  </ds:schemaRefs>
</ds:datastoreItem>
</file>

<file path=customXml/itemProps4.xml><?xml version="1.0" encoding="utf-8"?>
<ds:datastoreItem xmlns:ds="http://schemas.openxmlformats.org/officeDocument/2006/customXml" ds:itemID="{736FC835-30FD-4F25-847E-565451C5F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A9DA00-5D22-424A-B8CE-FD1BCC38651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Pri-EM.dotx</Template>
  <TotalTime>9</TotalTime>
  <Pages>116</Pages>
  <Words>41393</Words>
  <Characters>215367</Characters>
  <Application>Microsoft Office Word</Application>
  <DocSecurity>0</DocSecurity>
  <Lines>4374</Lines>
  <Paragraphs>1477</Paragraphs>
  <ScaleCrop>false</ScaleCrop>
  <HeadingPairs>
    <vt:vector size="2" baseType="variant">
      <vt:variant>
        <vt:lpstr>Title</vt:lpstr>
      </vt:variant>
      <vt:variant>
        <vt:i4>1</vt:i4>
      </vt:variant>
    </vt:vector>
  </HeadingPairs>
  <TitlesOfParts>
    <vt:vector size="1" baseType="lpstr">
      <vt:lpstr>Exposure Draft Explanatory Materials: Financial Sector Reform (Financial Market Infrastructure) Bill 2022</vt:lpstr>
    </vt:vector>
  </TitlesOfParts>
  <Company/>
  <LinksUpToDate>false</LinksUpToDate>
  <CharactersWithSpaces>256618</CharactersWithSpaces>
  <SharedDoc>false</SharedDoc>
  <HLinks>
    <vt:vector size="90" baseType="variant">
      <vt:variant>
        <vt:i4>7864376</vt:i4>
      </vt:variant>
      <vt:variant>
        <vt:i4>42</vt:i4>
      </vt:variant>
      <vt:variant>
        <vt:i4>0</vt:i4>
      </vt:variant>
      <vt:variant>
        <vt:i4>5</vt:i4>
      </vt:variant>
      <vt:variant>
        <vt:lpwstr>https://austreasury.sharepoint.com/:w:/r/sites/leg-meas-function/measure1/FMI_Crisis_Resolution_Toolkit/230629_FMI_Exposure Draft_Explanatory Statement.docx?d=w35eb474892514a079f6cdf81abd60b63&amp;csf=1&amp;web=1&amp;e=chAAmY</vt:lpwstr>
      </vt:variant>
      <vt:variant>
        <vt:lpwstr/>
      </vt:variant>
      <vt:variant>
        <vt:i4>4653172</vt:i4>
      </vt:variant>
      <vt:variant>
        <vt:i4>39</vt:i4>
      </vt:variant>
      <vt:variant>
        <vt:i4>0</vt:i4>
      </vt:variant>
      <vt:variant>
        <vt:i4>5</vt:i4>
      </vt:variant>
      <vt:variant>
        <vt:lpwstr>mailto:Michelle.Wang@TREASURY.GOV.AU</vt:lpwstr>
      </vt:variant>
      <vt:variant>
        <vt:lpwstr/>
      </vt:variant>
      <vt:variant>
        <vt:i4>1703973</vt:i4>
      </vt:variant>
      <vt:variant>
        <vt:i4>36</vt:i4>
      </vt:variant>
      <vt:variant>
        <vt:i4>0</vt:i4>
      </vt:variant>
      <vt:variant>
        <vt:i4>5</vt:i4>
      </vt:variant>
      <vt:variant>
        <vt:lpwstr>mailto:Isabella.Pearson@TREASURY.GOV.AU</vt:lpwstr>
      </vt:variant>
      <vt:variant>
        <vt:lpwstr/>
      </vt:variant>
      <vt:variant>
        <vt:i4>4653172</vt:i4>
      </vt:variant>
      <vt:variant>
        <vt:i4>33</vt:i4>
      </vt:variant>
      <vt:variant>
        <vt:i4>0</vt:i4>
      </vt:variant>
      <vt:variant>
        <vt:i4>5</vt:i4>
      </vt:variant>
      <vt:variant>
        <vt:lpwstr>mailto:Michelle.Wang@TREASURY.GOV.AU</vt:lpwstr>
      </vt:variant>
      <vt:variant>
        <vt:lpwstr/>
      </vt:variant>
      <vt:variant>
        <vt:i4>4194419</vt:i4>
      </vt:variant>
      <vt:variant>
        <vt:i4>30</vt:i4>
      </vt:variant>
      <vt:variant>
        <vt:i4>0</vt:i4>
      </vt:variant>
      <vt:variant>
        <vt:i4>5</vt:i4>
      </vt:variant>
      <vt:variant>
        <vt:lpwstr>mailto:Maddison.Bell@TREASURY.GOV.AU</vt:lpwstr>
      </vt:variant>
      <vt:variant>
        <vt:lpwstr/>
      </vt:variant>
      <vt:variant>
        <vt:i4>1900561</vt:i4>
      </vt:variant>
      <vt:variant>
        <vt:i4>27</vt:i4>
      </vt:variant>
      <vt:variant>
        <vt:i4>0</vt:i4>
      </vt:variant>
      <vt:variant>
        <vt:i4>5</vt:i4>
      </vt:variant>
      <vt:variant>
        <vt:lpwstr>https://www.legislation.gov.au/Details/F2013L01537/Explanatory Statement/Text</vt:lpwstr>
      </vt:variant>
      <vt:variant>
        <vt:lpwstr/>
      </vt:variant>
      <vt:variant>
        <vt:i4>4194419</vt:i4>
      </vt:variant>
      <vt:variant>
        <vt:i4>24</vt:i4>
      </vt:variant>
      <vt:variant>
        <vt:i4>0</vt:i4>
      </vt:variant>
      <vt:variant>
        <vt:i4>5</vt:i4>
      </vt:variant>
      <vt:variant>
        <vt:lpwstr>mailto:Maddison.Bell@TREASURY.GOV.AU</vt:lpwstr>
      </vt:variant>
      <vt:variant>
        <vt:lpwstr/>
      </vt:variant>
      <vt:variant>
        <vt:i4>4194419</vt:i4>
      </vt:variant>
      <vt:variant>
        <vt:i4>21</vt:i4>
      </vt:variant>
      <vt:variant>
        <vt:i4>0</vt:i4>
      </vt:variant>
      <vt:variant>
        <vt:i4>5</vt:i4>
      </vt:variant>
      <vt:variant>
        <vt:lpwstr>mailto:Maddison.Bell@TREASURY.GOV.AU</vt:lpwstr>
      </vt:variant>
      <vt:variant>
        <vt:lpwstr/>
      </vt:variant>
      <vt:variant>
        <vt:i4>1835027</vt:i4>
      </vt:variant>
      <vt:variant>
        <vt:i4>18</vt:i4>
      </vt:variant>
      <vt:variant>
        <vt:i4>0</vt:i4>
      </vt:variant>
      <vt:variant>
        <vt:i4>5</vt:i4>
      </vt:variant>
      <vt:variant>
        <vt:lpwstr>https://www.ag.gov.au/sites/default/files/2020-03/A Guide to Framing Cth Offences.pdf</vt:lpwstr>
      </vt:variant>
      <vt:variant>
        <vt:lpwstr/>
      </vt:variant>
      <vt:variant>
        <vt:i4>4194419</vt:i4>
      </vt:variant>
      <vt:variant>
        <vt:i4>15</vt:i4>
      </vt:variant>
      <vt:variant>
        <vt:i4>0</vt:i4>
      </vt:variant>
      <vt:variant>
        <vt:i4>5</vt:i4>
      </vt:variant>
      <vt:variant>
        <vt:lpwstr>mailto:Maddison.Bell@TREASURY.GOV.AU</vt:lpwstr>
      </vt:variant>
      <vt:variant>
        <vt:lpwstr/>
      </vt:variant>
      <vt:variant>
        <vt:i4>1114153</vt:i4>
      </vt:variant>
      <vt:variant>
        <vt:i4>12</vt:i4>
      </vt:variant>
      <vt:variant>
        <vt:i4>0</vt:i4>
      </vt:variant>
      <vt:variant>
        <vt:i4>5</vt:i4>
      </vt:variant>
      <vt:variant>
        <vt:lpwstr>mailto:Lauren.Hogan@TREASURY.GOV.AU</vt:lpwstr>
      </vt:variant>
      <vt:variant>
        <vt:lpwstr/>
      </vt:variant>
      <vt:variant>
        <vt:i4>7667774</vt:i4>
      </vt:variant>
      <vt:variant>
        <vt:i4>9</vt:i4>
      </vt:variant>
      <vt:variant>
        <vt:i4>0</vt:i4>
      </vt:variant>
      <vt:variant>
        <vt:i4>5</vt:i4>
      </vt:variant>
      <vt:variant>
        <vt:lpwstr>https://www.ag.gov.au/legal-system/administrative-law/administrative-review-council-publications/what-decisions-should-be-subject-merit-review-1999</vt:lpwstr>
      </vt:variant>
      <vt:variant>
        <vt:lpwstr/>
      </vt:variant>
      <vt:variant>
        <vt:i4>3080254</vt:i4>
      </vt:variant>
      <vt:variant>
        <vt:i4>6</vt:i4>
      </vt:variant>
      <vt:variant>
        <vt:i4>0</vt:i4>
      </vt:variant>
      <vt:variant>
        <vt:i4>5</vt:i4>
      </vt:variant>
      <vt:variant>
        <vt:lpwstr>https://www.legislation.gov.au/Details/C2004B00956/Explanatory Memorandum/Text</vt:lpwstr>
      </vt:variant>
      <vt:variant>
        <vt:lpwstr/>
      </vt:variant>
      <vt:variant>
        <vt:i4>2097203</vt:i4>
      </vt:variant>
      <vt:variant>
        <vt:i4>3</vt:i4>
      </vt:variant>
      <vt:variant>
        <vt:i4>0</vt:i4>
      </vt:variant>
      <vt:variant>
        <vt:i4>5</vt:i4>
      </vt:variant>
      <vt:variant>
        <vt:lpwstr>https://www.legislation.gov.au/Details/C2017B00192/Explanatory Memorandum/Text</vt:lpwstr>
      </vt:variant>
      <vt:variant>
        <vt:lpwstr/>
      </vt:variant>
      <vt:variant>
        <vt:i4>5242889</vt:i4>
      </vt:variant>
      <vt:variant>
        <vt:i4>0</vt:i4>
      </vt:variant>
      <vt:variant>
        <vt:i4>0</vt:i4>
      </vt:variant>
      <vt:variant>
        <vt:i4>5</vt:i4>
      </vt:variant>
      <vt:variant>
        <vt:lpwstr>https://download.asic.gov.au/media/5702563/rg211-published-18-december-2012-20200727.pdf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Financial Sector Reform (Financial Market Infrastructure) Bill 2022</dc:title>
  <dc:subject/>
  <dc:creator>Treasury</dc:creator>
  <cp:keywords/>
  <dc:description/>
  <cp:lastModifiedBy>Kuek, Amanda</cp:lastModifiedBy>
  <cp:revision>9</cp:revision>
  <cp:lastPrinted>2023-12-07T05:56:00Z</cp:lastPrinted>
  <dcterms:created xsi:type="dcterms:W3CDTF">2023-12-07T05:53:00Z</dcterms:created>
  <dcterms:modified xsi:type="dcterms:W3CDTF">2023-12-13T05:00:00Z</dcterms:modified>
</cp:coreProperties>
</file>