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E2DFF" w14:textId="6A9FF8AA" w:rsidR="008B4B4D" w:rsidRDefault="00DE7614" w:rsidP="00A3073D">
      <w:r>
        <w:rPr>
          <w:noProof/>
        </w:rPr>
        <w:drawing>
          <wp:anchor distT="0" distB="0" distL="114300" distR="114300" simplePos="0" relativeHeight="251658240" behindDoc="1" locked="0" layoutInCell="1" allowOverlap="1" wp14:anchorId="67CF6633" wp14:editId="772AFEA3">
            <wp:simplePos x="0" y="0"/>
            <wp:positionH relativeFrom="margin">
              <wp:posOffset>-892303</wp:posOffset>
            </wp:positionH>
            <wp:positionV relativeFrom="page">
              <wp:posOffset>-17780</wp:posOffset>
            </wp:positionV>
            <wp:extent cx="7570800" cy="1070901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id w:val="-1442289537"/>
        <w:docPartObj>
          <w:docPartGallery w:val="Cover Pages"/>
          <w:docPartUnique/>
        </w:docPartObj>
      </w:sdtPr>
      <w:sdtEndPr/>
      <w:sdtContent>
        <w:p w14:paraId="267BDDFD" w14:textId="4AAFB720" w:rsidR="00A97160" w:rsidRPr="006D0240" w:rsidRDefault="00A97160" w:rsidP="006469CC">
          <w:pPr>
            <w:pStyle w:val="ListParagraph"/>
          </w:pPr>
        </w:p>
        <w:p w14:paraId="79000C4C" w14:textId="77777777" w:rsidR="00A97160" w:rsidRPr="006D0240" w:rsidRDefault="00A97160" w:rsidP="00301755">
          <w:pPr>
            <w:pStyle w:val="Header"/>
            <w:spacing w:after="1200"/>
          </w:pPr>
        </w:p>
        <w:p w14:paraId="11E4B433" w14:textId="574BA4F2" w:rsidR="00A97160" w:rsidRPr="006923DF" w:rsidRDefault="00385D0B" w:rsidP="00494F1F">
          <w:pPr>
            <w:pStyle w:val="Title"/>
            <w:tabs>
              <w:tab w:val="left" w:pos="6379"/>
            </w:tabs>
            <w:spacing w:after="240" w:line="720" w:lineRule="exact"/>
            <w:ind w:right="1985"/>
          </w:pPr>
          <w:r>
            <w:t>Background Note</w:t>
          </w:r>
        </w:p>
        <w:p w14:paraId="0DE1D449" w14:textId="06DA29E2" w:rsidR="00A97160" w:rsidRPr="00494F1F" w:rsidRDefault="00E35935" w:rsidP="00494F1F">
          <w:pPr>
            <w:pStyle w:val="Subtitle"/>
            <w:spacing w:before="0" w:after="240"/>
            <w:rPr>
              <w:color w:val="5D779D" w:themeColor="accent3"/>
            </w:rPr>
          </w:pPr>
          <w:r w:rsidRPr="00E35935">
            <w:rPr>
              <w:color w:val="5D779D" w:themeColor="accent3"/>
            </w:rPr>
            <w:t>Economic literature relevant to mergers</w:t>
          </w:r>
        </w:p>
        <w:p w14:paraId="2B999A23" w14:textId="186C4784" w:rsidR="00A97160" w:rsidRPr="00586605" w:rsidRDefault="0067536B" w:rsidP="006923DF">
          <w:pPr>
            <w:pStyle w:val="ReportDate"/>
          </w:pPr>
          <w:r w:rsidRPr="00F061AF">
            <w:rPr>
              <w:rStyle w:val="ReportDateChar"/>
            </w:rPr>
            <w:t>November</w:t>
          </w:r>
          <w:r w:rsidR="00843F12" w:rsidRPr="00F061AF">
            <w:rPr>
              <w:rStyle w:val="ReportDateChar"/>
            </w:rPr>
            <w:t xml:space="preserve"> 2023</w:t>
          </w:r>
        </w:p>
        <w:p w14:paraId="3EBAEB3C" w14:textId="59E03F8E" w:rsidR="00A97160" w:rsidRDefault="00CB33E1" w:rsidP="00E35935">
          <w:pPr>
            <w:tabs>
              <w:tab w:val="left" w:pos="3567"/>
            </w:tabs>
            <w:spacing w:before="0" w:after="160" w:line="259" w:lineRule="auto"/>
            <w:rPr>
              <w:noProof/>
            </w:rPr>
          </w:pPr>
          <w:r>
            <w:rPr>
              <w:noProof/>
            </w:rPr>
            <w:tab/>
          </w:r>
        </w:p>
        <w:p w14:paraId="06783E3F" w14:textId="4145B586" w:rsidR="00B775EE" w:rsidRDefault="00A97160">
          <w:pPr>
            <w:spacing w:before="0" w:after="160" w:line="259" w:lineRule="auto"/>
          </w:pPr>
          <w:r>
            <w:br w:type="page"/>
          </w:r>
        </w:p>
      </w:sdtContent>
    </w:sdt>
    <w:p w14:paraId="01983F6E" w14:textId="77777777" w:rsidR="00F836F9" w:rsidRDefault="00F836F9" w:rsidP="000E0B74">
      <w:pPr>
        <w:pStyle w:val="Heading1"/>
        <w:sectPr w:rsidR="00F836F9" w:rsidSect="00A97160">
          <w:pgSz w:w="11906" w:h="16838" w:code="9"/>
          <w:pgMar w:top="1843" w:right="1418" w:bottom="1418" w:left="1418" w:header="709" w:footer="709" w:gutter="0"/>
          <w:pgNumType w:fmt="lowerRoman" w:start="0"/>
          <w:cols w:space="708"/>
          <w:titlePg/>
          <w:docGrid w:linePitch="360"/>
        </w:sectPr>
      </w:pPr>
    </w:p>
    <w:p w14:paraId="77CB6CA2" w14:textId="646FDAB9" w:rsidR="00417E9B" w:rsidRDefault="00417E9B" w:rsidP="00417E9B">
      <w:pPr>
        <w:pStyle w:val="Heading1"/>
      </w:pPr>
      <w:bookmarkStart w:id="0" w:name="_Toc149824784"/>
      <w:bookmarkStart w:id="1" w:name="_Toc149833688"/>
      <w:bookmarkStart w:id="2" w:name="_Toc150852242"/>
      <w:r>
        <w:lastRenderedPageBreak/>
        <w:t>Economic literature relevant to mergers</w:t>
      </w:r>
      <w:bookmarkEnd w:id="0"/>
      <w:bookmarkEnd w:id="1"/>
      <w:bookmarkEnd w:id="2"/>
    </w:p>
    <w:p w14:paraId="5EA4219F" w14:textId="20C4ED22" w:rsidR="0043050D" w:rsidRDefault="0043050D" w:rsidP="0043050D">
      <w:pPr>
        <w:pStyle w:val="Heading2"/>
      </w:pPr>
      <w:bookmarkStart w:id="3" w:name="_Toc150852243"/>
      <w:r>
        <w:t xml:space="preserve">Industry concentration is increasing </w:t>
      </w:r>
      <w:r w:rsidR="00A43C7F">
        <w:t xml:space="preserve">in </w:t>
      </w:r>
      <w:proofErr w:type="gramStart"/>
      <w:r>
        <w:t>Australia</w:t>
      </w:r>
      <w:bookmarkEnd w:id="3"/>
      <w:proofErr w:type="gramEnd"/>
    </w:p>
    <w:p w14:paraId="59AAB29E" w14:textId="77777777" w:rsidR="0043050D" w:rsidRPr="008234CB" w:rsidRDefault="0043050D" w:rsidP="0043050D">
      <w:pPr>
        <w:rPr>
          <w:rFonts w:cs="Calibri Light"/>
        </w:rPr>
      </w:pPr>
      <w:r w:rsidRPr="008234CB">
        <w:rPr>
          <w:rFonts w:cs="Calibri Light"/>
        </w:rPr>
        <w:t>In Australia, productivity growth and dynamism has slowed.</w:t>
      </w:r>
      <w:r w:rsidRPr="008234CB">
        <w:rPr>
          <w:rStyle w:val="FootnoteReference"/>
          <w:rFonts w:cs="Calibri Light"/>
          <w:vertAlign w:val="superscript"/>
        </w:rPr>
        <w:footnoteReference w:id="2"/>
      </w:r>
    </w:p>
    <w:p w14:paraId="049339C9" w14:textId="53CE14E2" w:rsidR="0043050D" w:rsidRPr="008234CB" w:rsidRDefault="0043050D" w:rsidP="0043050D">
      <w:pPr>
        <w:rPr>
          <w:rFonts w:cs="Calibri Light"/>
        </w:rPr>
      </w:pPr>
      <w:r w:rsidRPr="008234CB">
        <w:rPr>
          <w:rFonts w:cs="Calibri Light"/>
        </w:rPr>
        <w:t>There is some evidence that Australian industries have become more concentrated which might be indicative of rising market power:</w:t>
      </w:r>
      <w:r w:rsidR="000862D9" w:rsidRPr="000862D9">
        <w:rPr>
          <w:rStyle w:val="FootnoteReference"/>
          <w:rFonts w:cs="Calibri Light"/>
          <w:vertAlign w:val="superscript"/>
        </w:rPr>
        <w:t xml:space="preserve"> </w:t>
      </w:r>
      <w:r w:rsidR="000862D9" w:rsidRPr="00E7501C">
        <w:rPr>
          <w:rStyle w:val="FootnoteReference"/>
          <w:rFonts w:cs="Calibri Light"/>
          <w:vertAlign w:val="superscript"/>
        </w:rPr>
        <w:footnoteReference w:id="3"/>
      </w:r>
    </w:p>
    <w:p w14:paraId="219E664E" w14:textId="77777777" w:rsidR="0043050D" w:rsidRPr="008234CB" w:rsidRDefault="0043050D" w:rsidP="00E35935">
      <w:pPr>
        <w:pStyle w:val="Dotpoint"/>
        <w:rPr>
          <w:rFonts w:cs="Calibri Light"/>
        </w:rPr>
      </w:pPr>
      <w:r w:rsidRPr="008234CB">
        <w:rPr>
          <w:rFonts w:cs="Calibri Light"/>
        </w:rPr>
        <w:t>Average industry concentration, measured by share of sales of the largest four firms, increased from 41 per cent in 2001-02 to 43 per cent in 2018</w:t>
      </w:r>
      <w:r w:rsidRPr="008234CB">
        <w:rPr>
          <w:rFonts w:cs="Calibri Light"/>
        </w:rPr>
        <w:noBreakHyphen/>
        <w:t>19.</w:t>
      </w:r>
    </w:p>
    <w:p w14:paraId="54C790E8" w14:textId="1DEB6496" w:rsidR="0043050D" w:rsidRPr="008234CB" w:rsidRDefault="0043050D" w:rsidP="00E35935">
      <w:pPr>
        <w:pStyle w:val="Dotpoint"/>
        <w:rPr>
          <w:rFonts w:cs="Calibri Light"/>
        </w:rPr>
      </w:pPr>
      <w:r w:rsidRPr="008234CB">
        <w:rPr>
          <w:rFonts w:cs="Calibri Light"/>
        </w:rPr>
        <w:t>In 2001-02, 71 per cent of the top four firms were still in the top four two years later; in 2016</w:t>
      </w:r>
      <w:r w:rsidR="00FF095C">
        <w:rPr>
          <w:rFonts w:cs="Calibri Light"/>
        </w:rPr>
        <w:noBreakHyphen/>
      </w:r>
      <w:r w:rsidRPr="008234CB">
        <w:rPr>
          <w:rFonts w:cs="Calibri Light"/>
        </w:rPr>
        <w:t xml:space="preserve">17, this had increased to 75 per cent. </w:t>
      </w:r>
    </w:p>
    <w:p w14:paraId="070EF491" w14:textId="310E23F9" w:rsidR="0043050D" w:rsidRPr="008234CB" w:rsidRDefault="0043050D" w:rsidP="00E35935">
      <w:pPr>
        <w:pStyle w:val="Dash"/>
        <w:rPr>
          <w:rFonts w:cs="Calibri Light"/>
        </w:rPr>
      </w:pPr>
      <w:r w:rsidRPr="008234CB">
        <w:rPr>
          <w:rFonts w:cs="Calibri Light"/>
        </w:rPr>
        <w:t xml:space="preserve">Similarly, in 2014-15, 65 per cent of the top four firms were still in the top four </w:t>
      </w:r>
      <w:r w:rsidR="00AD1816" w:rsidRPr="008234CB">
        <w:rPr>
          <w:rFonts w:cs="Calibri Light"/>
        </w:rPr>
        <w:t>years later</w:t>
      </w:r>
      <w:r w:rsidRPr="008234CB">
        <w:rPr>
          <w:rFonts w:cs="Calibri Light"/>
        </w:rPr>
        <w:t>, compared to 56 percent in 2001-02.</w:t>
      </w:r>
    </w:p>
    <w:p w14:paraId="63C921CF" w14:textId="6A7E8231" w:rsidR="0043050D" w:rsidRPr="008234CB" w:rsidRDefault="0043050D" w:rsidP="00E35935">
      <w:pPr>
        <w:pStyle w:val="Dotpoint"/>
        <w:rPr>
          <w:rFonts w:cs="Calibri Light"/>
        </w:rPr>
      </w:pPr>
      <w:r w:rsidRPr="008234CB">
        <w:rPr>
          <w:rFonts w:cs="Calibri Light"/>
        </w:rPr>
        <w:t>Industry average price markups increased by around 6 per cent between 2003-04 and 2016</w:t>
      </w:r>
      <w:r w:rsidR="00E97B5A">
        <w:rPr>
          <w:rFonts w:cs="Calibri Light"/>
        </w:rPr>
        <w:noBreakHyphen/>
      </w:r>
      <w:r w:rsidRPr="008234CB">
        <w:rPr>
          <w:rFonts w:cs="Calibri Light"/>
        </w:rPr>
        <w:t xml:space="preserve">17. </w:t>
      </w:r>
    </w:p>
    <w:p w14:paraId="3622F8D0" w14:textId="77777777" w:rsidR="0043050D" w:rsidRDefault="0043050D" w:rsidP="00E35935">
      <w:pPr>
        <w:pStyle w:val="Dash"/>
        <w:rPr>
          <w:rFonts w:cs="Calibri Light"/>
        </w:rPr>
      </w:pPr>
      <w:r w:rsidRPr="008234CB">
        <w:rPr>
          <w:rFonts w:cs="Calibri Light"/>
        </w:rPr>
        <w:t xml:space="preserve">Markups for the most digitally intensive firms increased by 12 per cent compared with 4 per cent for all other firms. </w:t>
      </w:r>
    </w:p>
    <w:p w14:paraId="2509C2DA" w14:textId="07C1EDAB" w:rsidR="00C51862" w:rsidRDefault="00C51862" w:rsidP="00E35935">
      <w:pPr>
        <w:pStyle w:val="Dash"/>
        <w:rPr>
          <w:rFonts w:cs="Calibri Light"/>
        </w:rPr>
      </w:pPr>
      <w:r>
        <w:rPr>
          <w:rFonts w:cs="Calibri Light"/>
        </w:rPr>
        <w:t>Hambur (2019) considered that higher markups were symptomatic of less competitive pressures</w:t>
      </w:r>
      <w:r w:rsidR="00765912">
        <w:rPr>
          <w:rFonts w:cs="Calibri Light"/>
        </w:rPr>
        <w:t xml:space="preserve"> </w:t>
      </w:r>
      <w:r>
        <w:rPr>
          <w:rFonts w:cs="Calibri Light"/>
        </w:rPr>
        <w:t>as they are associated with weaker (within-industry) productivity-enhancing labour reallocation:</w:t>
      </w:r>
    </w:p>
    <w:p w14:paraId="748D8E93" w14:textId="5BFC1488" w:rsidR="00C51862" w:rsidRPr="000862D9" w:rsidRDefault="00C51862" w:rsidP="000862D9">
      <w:pPr>
        <w:pStyle w:val="Quote"/>
      </w:pPr>
      <w:r w:rsidRPr="00A73784">
        <w:t xml:space="preserve">This has significant implications for aggregate productivity growth, with a simple counterfactual exercise suggesting that higher mark-ups, and associated slower </w:t>
      </w:r>
      <w:r w:rsidR="00765912" w:rsidRPr="00A73784">
        <w:t>reallocation, can explain on-fifth of the slowdown in non-financial market sector labour productivity growth</w:t>
      </w:r>
      <w:r w:rsidR="008A61AB" w:rsidRPr="00A73784">
        <w:t>. Declining competitive pressures are also likely to have weighted on productivity through de</w:t>
      </w:r>
      <w:r w:rsidR="00A73784" w:rsidRPr="00A73784">
        <w:t>c</w:t>
      </w:r>
      <w:r w:rsidR="008A61AB" w:rsidRPr="00A73784">
        <w:t>reased incentives to innovate, invest and adopt world-leading technologies</w:t>
      </w:r>
      <w:r w:rsidR="008A61AB" w:rsidRPr="000862D9">
        <w:t>…</w:t>
      </w:r>
      <w:r w:rsidR="00765912" w:rsidRPr="006B4DCC">
        <w:rPr>
          <w:rStyle w:val="FootnoteReference"/>
          <w:sz w:val="22"/>
          <w:vertAlign w:val="superscript"/>
        </w:rPr>
        <w:footnoteReference w:id="4"/>
      </w:r>
    </w:p>
    <w:p w14:paraId="76B00BA4" w14:textId="77777777" w:rsidR="0043050D" w:rsidRPr="008234CB" w:rsidRDefault="0043050D" w:rsidP="00E35935">
      <w:pPr>
        <w:pStyle w:val="Dotpoint"/>
        <w:rPr>
          <w:rFonts w:cs="Calibri Light"/>
        </w:rPr>
      </w:pPr>
      <w:r w:rsidRPr="00E35935">
        <w:rPr>
          <w:rStyle w:val="DotpointChar"/>
        </w:rPr>
        <w:t>Recent research on the effect of labour market concentration on wage growth (Hambur 2023) suggests that</w:t>
      </w:r>
      <w:r w:rsidRPr="008234CB">
        <w:rPr>
          <w:rFonts w:cs="Calibri Light"/>
        </w:rPr>
        <w:t xml:space="preserve">: </w:t>
      </w:r>
    </w:p>
    <w:p w14:paraId="5ABB88BD" w14:textId="77777777" w:rsidR="0043050D" w:rsidRPr="008234CB" w:rsidRDefault="0043050D" w:rsidP="00E35935">
      <w:pPr>
        <w:pStyle w:val="Dash"/>
        <w:rPr>
          <w:rFonts w:cs="Calibri Light"/>
        </w:rPr>
      </w:pPr>
      <w:r w:rsidRPr="008234CB">
        <w:rPr>
          <w:rFonts w:cs="Calibri Light"/>
        </w:rPr>
        <w:t>Wages tend to be lower in more concentrated markets, all else equal.</w:t>
      </w:r>
    </w:p>
    <w:p w14:paraId="6779A5BB" w14:textId="77777777" w:rsidR="0043050D" w:rsidRPr="008234CB" w:rsidRDefault="0043050D" w:rsidP="00E35935">
      <w:pPr>
        <w:pStyle w:val="Dash"/>
        <w:rPr>
          <w:rFonts w:cs="Calibri Light"/>
        </w:rPr>
      </w:pPr>
      <w:r w:rsidRPr="008234CB">
        <w:rPr>
          <w:rFonts w:cs="Calibri Light"/>
        </w:rPr>
        <w:t>Larger firms tend to exert more market power and set lower wages (after accounting for differences in productivity).</w:t>
      </w:r>
    </w:p>
    <w:p w14:paraId="40D7E66D" w14:textId="77777777" w:rsidR="0043050D" w:rsidRPr="008234CB" w:rsidRDefault="0043050D" w:rsidP="00E35935">
      <w:pPr>
        <w:pStyle w:val="Dotpoint"/>
        <w:rPr>
          <w:rFonts w:cs="Calibri Light"/>
        </w:rPr>
      </w:pPr>
      <w:r w:rsidRPr="008234CB">
        <w:rPr>
          <w:rFonts w:cs="Calibri Light"/>
        </w:rPr>
        <w:lastRenderedPageBreak/>
        <w:t xml:space="preserve">The impact of concentration on wages appears to have increased over time – for any given level of concentration, its impact on wages has more than doubled compared to the mid-2000s. </w:t>
      </w:r>
    </w:p>
    <w:p w14:paraId="35AFC83A" w14:textId="6CA6A906" w:rsidR="0043050D" w:rsidRPr="008234CB" w:rsidRDefault="0043050D" w:rsidP="00E35935">
      <w:pPr>
        <w:pStyle w:val="Dash"/>
        <w:rPr>
          <w:rFonts w:cs="Calibri Light"/>
        </w:rPr>
      </w:pPr>
      <w:r w:rsidRPr="008234CB">
        <w:rPr>
          <w:rFonts w:cs="Calibri Light"/>
        </w:rPr>
        <w:t xml:space="preserve">Estimates suggest wages were a little under 1 per cent lower on average from 2011 to 2015 than they would have been had the impact of concentration not increased. </w:t>
      </w:r>
    </w:p>
    <w:p w14:paraId="49D78A11" w14:textId="1D745CCE" w:rsidR="0043050D" w:rsidRPr="00A43C7F" w:rsidRDefault="0043050D" w:rsidP="00E35935">
      <w:pPr>
        <w:pStyle w:val="Dash"/>
        <w:rPr>
          <w:rFonts w:cs="Calibri Light"/>
        </w:rPr>
      </w:pPr>
      <w:r w:rsidRPr="008234CB">
        <w:rPr>
          <w:rFonts w:cs="Calibri Light"/>
        </w:rPr>
        <w:t xml:space="preserve">Declining firm dynamism and entry rates over the 2010s is the most important factor, as incumbents faced less competition from new firms for workers. </w:t>
      </w:r>
    </w:p>
    <w:p w14:paraId="20A80032" w14:textId="24E2291A" w:rsidR="004D0522" w:rsidRPr="00E35935" w:rsidRDefault="0043050D" w:rsidP="00E35935">
      <w:pPr>
        <w:pStyle w:val="Dotpoint"/>
      </w:pPr>
      <w:r w:rsidRPr="00E35935">
        <w:t xml:space="preserve">The Grattan Institute </w:t>
      </w:r>
      <w:r w:rsidR="004D0522" w:rsidRPr="00E35935">
        <w:t>(2017)</w:t>
      </w:r>
      <w:r w:rsidR="00830E7B" w:rsidRPr="00B32949">
        <w:rPr>
          <w:vertAlign w:val="superscript"/>
        </w:rPr>
        <w:footnoteReference w:id="5"/>
      </w:r>
      <w:r w:rsidR="004D0522" w:rsidRPr="00E35935">
        <w:rPr>
          <w:vertAlign w:val="superscript"/>
        </w:rPr>
        <w:t xml:space="preserve"> </w:t>
      </w:r>
      <w:r w:rsidRPr="00E35935">
        <w:t>found</w:t>
      </w:r>
      <w:r w:rsidR="004D0522" w:rsidRPr="00E35935">
        <w:t>:</w:t>
      </w:r>
    </w:p>
    <w:p w14:paraId="0B8111D1" w14:textId="77945B8D" w:rsidR="008B2C1C" w:rsidRPr="00E35935" w:rsidRDefault="00BE431B" w:rsidP="00E35935">
      <w:pPr>
        <w:pStyle w:val="Dash"/>
      </w:pPr>
      <w:r w:rsidRPr="00E35935">
        <w:t xml:space="preserve">Most of the Australian economy has </w:t>
      </w:r>
      <w:r w:rsidR="000B686A" w:rsidRPr="00E35935">
        <w:t>low barriers to entr</w:t>
      </w:r>
      <w:r w:rsidR="000D6C11" w:rsidRPr="00E35935">
        <w:t>y</w:t>
      </w:r>
      <w:r w:rsidRPr="00E35935">
        <w:t>, is trade</w:t>
      </w:r>
      <w:r w:rsidR="0076477E" w:rsidRPr="00E35935">
        <w:t>-</w:t>
      </w:r>
      <w:r w:rsidRPr="00E35935">
        <w:t xml:space="preserve">exposed or </w:t>
      </w:r>
      <w:r w:rsidR="00845660" w:rsidRPr="0076477E">
        <w:rPr>
          <w:rStyle w:val="normaltextrun"/>
          <w:rFonts w:cs="Calibri Light"/>
        </w:rPr>
        <w:t>is mostly publicly provide</w:t>
      </w:r>
      <w:r w:rsidR="00845660">
        <w:rPr>
          <w:rStyle w:val="normaltextrun"/>
          <w:rFonts w:cs="Calibri Light"/>
        </w:rPr>
        <w:t>d.</w:t>
      </w:r>
    </w:p>
    <w:p w14:paraId="329F7B63" w14:textId="6B1B3C84" w:rsidR="00BE431B" w:rsidRPr="00E35935" w:rsidRDefault="00A04322" w:rsidP="00E35935">
      <w:pPr>
        <w:pStyle w:val="Dash"/>
      </w:pPr>
      <w:r w:rsidRPr="00E35935">
        <w:t xml:space="preserve">Sectors </w:t>
      </w:r>
      <w:r w:rsidR="00A92E2D" w:rsidRPr="0076477E">
        <w:rPr>
          <w:rStyle w:val="normaltextrun"/>
          <w:rFonts w:cs="Calibri Light"/>
        </w:rPr>
        <w:t>wi</w:t>
      </w:r>
      <w:r w:rsidR="00A92E2D">
        <w:rPr>
          <w:rStyle w:val="normaltextrun"/>
          <w:rFonts w:cs="Calibri Light"/>
        </w:rPr>
        <w:t>t</w:t>
      </w:r>
      <w:r w:rsidR="00A92E2D" w:rsidRPr="0076477E">
        <w:rPr>
          <w:rStyle w:val="normaltextrun"/>
          <w:rFonts w:cs="Calibri Light"/>
        </w:rPr>
        <w:t>h</w:t>
      </w:r>
      <w:r w:rsidRPr="00E35935">
        <w:t xml:space="preserve"> barriers to entry </w:t>
      </w:r>
      <w:r w:rsidR="008B2C1C" w:rsidRPr="00E35935">
        <w:t>were quite a small part of the Australian economy – around 15 per cent of the total in 201</w:t>
      </w:r>
      <w:r w:rsidR="007C27C3" w:rsidRPr="00E35935">
        <w:t>6-1</w:t>
      </w:r>
      <w:r w:rsidR="008B2C1C" w:rsidRPr="00E35935">
        <w:t xml:space="preserve">7. </w:t>
      </w:r>
      <w:r w:rsidR="00D8615A" w:rsidRPr="00E35935">
        <w:t xml:space="preserve">‘Barriers to entry’ included where there were natural monopolies, scale economies, </w:t>
      </w:r>
      <w:r w:rsidR="000B686A" w:rsidRPr="00E35935">
        <w:t>and heavily regulated sectors.</w:t>
      </w:r>
    </w:p>
    <w:p w14:paraId="63042F2B" w14:textId="73F7EE43" w:rsidR="00AD2251" w:rsidRPr="00E35935" w:rsidRDefault="00AD2251" w:rsidP="00E35935">
      <w:pPr>
        <w:pStyle w:val="Dash"/>
      </w:pPr>
      <w:r w:rsidRPr="00E35935">
        <w:t xml:space="preserve">Around 75 per cent of sectors </w:t>
      </w:r>
      <w:r w:rsidR="00036676">
        <w:rPr>
          <w:rStyle w:val="normaltextrun"/>
          <w:rFonts w:cs="Calibri Light"/>
        </w:rPr>
        <w:t>with</w:t>
      </w:r>
      <w:r w:rsidRPr="00E35935">
        <w:t xml:space="preserve"> barriers to entry earned above the cost of equity (when sectors are weighted by the amount of equity</w:t>
      </w:r>
      <w:r w:rsidR="008A0A3D" w:rsidRPr="00E35935">
        <w:t>), and 20 per cent earned more than 5</w:t>
      </w:r>
      <w:r w:rsidR="007714E0">
        <w:t> </w:t>
      </w:r>
      <w:r w:rsidR="008A0A3D" w:rsidRPr="00E35935">
        <w:t xml:space="preserve">percentage points above the cost of </w:t>
      </w:r>
      <w:r w:rsidR="006D469A" w:rsidRPr="00E35935">
        <w:t xml:space="preserve">equity. </w:t>
      </w:r>
      <w:r w:rsidRPr="00E35935">
        <w:t xml:space="preserve"> </w:t>
      </w:r>
    </w:p>
    <w:p w14:paraId="60D23F77" w14:textId="097C760E" w:rsidR="00422FD2" w:rsidRPr="00E35935" w:rsidRDefault="00422FD2" w:rsidP="00E35935">
      <w:pPr>
        <w:pStyle w:val="Dash"/>
      </w:pPr>
      <w:r w:rsidRPr="00E35935">
        <w:t xml:space="preserve">Australia’s largest firms had held a steady revenue-share of the economy for more </w:t>
      </w:r>
      <w:proofErr w:type="spellStart"/>
      <w:r w:rsidRPr="00E35935">
        <w:t>then</w:t>
      </w:r>
      <w:proofErr w:type="spellEnd"/>
      <w:r w:rsidRPr="00E35935">
        <w:t xml:space="preserve"> 20</w:t>
      </w:r>
      <w:r w:rsidR="007714E0">
        <w:t> </w:t>
      </w:r>
      <w:r w:rsidRPr="00E35935">
        <w:t xml:space="preserve">years. Over the past 20 years the average profitability of firms, </w:t>
      </w:r>
      <w:r w:rsidR="005D2C10">
        <w:rPr>
          <w:rStyle w:val="normaltextrun"/>
          <w:rFonts w:cs="Calibri Light"/>
        </w:rPr>
        <w:t>and highly profitable firms</w:t>
      </w:r>
      <w:r w:rsidRPr="00E35935">
        <w:t>, had not changed much.</w:t>
      </w:r>
    </w:p>
    <w:p w14:paraId="36D04D1E" w14:textId="03B21031" w:rsidR="000B686A" w:rsidRPr="00E35935" w:rsidRDefault="00FF201C" w:rsidP="00E35935">
      <w:pPr>
        <w:pStyle w:val="Dash"/>
      </w:pPr>
      <w:r w:rsidRPr="00E35935">
        <w:t xml:space="preserve">A few major sectors had become more concentrated, including banks and (earlier in the 2000s) insurers. Some major sectors had become less concentrated, such as supermarkets and fuel retailing, </w:t>
      </w:r>
      <w:r w:rsidR="006565D3" w:rsidRPr="00E35935">
        <w:t xml:space="preserve">but </w:t>
      </w:r>
      <w:r w:rsidR="0048782A">
        <w:rPr>
          <w:rStyle w:val="normaltextrun"/>
          <w:rFonts w:cs="Calibri Light"/>
        </w:rPr>
        <w:t>remained</w:t>
      </w:r>
      <w:r w:rsidR="006565D3" w:rsidRPr="00E35935">
        <w:t xml:space="preserve"> highly concentrated despite this.</w:t>
      </w:r>
    </w:p>
    <w:p w14:paraId="2FC1E110" w14:textId="77777777" w:rsidR="00325F8D" w:rsidRDefault="00325F8D" w:rsidP="00325F8D">
      <w:pPr>
        <w:pStyle w:val="Heading2"/>
      </w:pPr>
      <w:bookmarkStart w:id="4" w:name="_Toc150852244"/>
      <w:bookmarkStart w:id="5" w:name="_Toc150852245"/>
      <w:r>
        <w:t>International retrospective econometric studies on the impact of mergers</w:t>
      </w:r>
      <w:bookmarkEnd w:id="4"/>
    </w:p>
    <w:p w14:paraId="3BE3DF5B" w14:textId="77777777" w:rsidR="00325F8D" w:rsidRPr="008234CB" w:rsidRDefault="00325F8D" w:rsidP="00325F8D">
      <w:pPr>
        <w:rPr>
          <w:b/>
        </w:rPr>
      </w:pPr>
      <w:r w:rsidRPr="008234CB">
        <w:t>Mergers can in principle be either anti- or pro-competitive depending on the specific features of the merger parties (</w:t>
      </w:r>
      <w:proofErr w:type="spellStart"/>
      <w:r w:rsidRPr="008234CB">
        <w:t>e.g</w:t>
      </w:r>
      <w:proofErr w:type="spellEnd"/>
      <w:r w:rsidRPr="008234CB">
        <w:t xml:space="preserve">, the scope for economies of scale), the structure of the market (e.g., the number of remaining competitors) and the wider economic environment. </w:t>
      </w:r>
    </w:p>
    <w:p w14:paraId="2FFC76E8" w14:textId="77777777" w:rsidR="00325F8D" w:rsidRPr="008234CB" w:rsidRDefault="00325F8D" w:rsidP="00325F8D">
      <w:r w:rsidRPr="008234CB">
        <w:t>A natural question to ask is whether completed mergers have tended to promote or lessen competition. This can shed light on the related question of whether merger control regimes have struck the right balance in not blocking pro-competitive mergers (</w:t>
      </w:r>
      <w:r w:rsidRPr="008234CB">
        <w:rPr>
          <w:rFonts w:cs="Calibri Light"/>
          <w:bCs/>
        </w:rPr>
        <w:t xml:space="preserve">avoiding </w:t>
      </w:r>
      <w:r>
        <w:rPr>
          <w:rFonts w:cs="Calibri Light"/>
          <w:bCs/>
        </w:rPr>
        <w:t>t</w:t>
      </w:r>
      <w:r w:rsidRPr="008234CB">
        <w:rPr>
          <w:rFonts w:cs="Calibri Light"/>
          <w:bCs/>
        </w:rPr>
        <w:t>ype I errors</w:t>
      </w:r>
      <w:r w:rsidRPr="008234CB">
        <w:t>) and preventing anti-competitive mergers from proceeding (</w:t>
      </w:r>
      <w:r w:rsidRPr="008234CB">
        <w:rPr>
          <w:rFonts w:cs="Calibri Light"/>
          <w:bCs/>
        </w:rPr>
        <w:t xml:space="preserve">avoiding </w:t>
      </w:r>
      <w:r>
        <w:rPr>
          <w:rFonts w:cs="Calibri Light"/>
          <w:bCs/>
        </w:rPr>
        <w:t>t</w:t>
      </w:r>
      <w:r w:rsidRPr="008234CB">
        <w:rPr>
          <w:rFonts w:cs="Calibri Light"/>
          <w:bCs/>
        </w:rPr>
        <w:t>ype II errors</w:t>
      </w:r>
      <w:r w:rsidRPr="008234CB">
        <w:t xml:space="preserve">). </w:t>
      </w:r>
    </w:p>
    <w:p w14:paraId="036A7BC0" w14:textId="77777777" w:rsidR="00325F8D" w:rsidRPr="008234CB" w:rsidRDefault="00325F8D" w:rsidP="00325F8D">
      <w:r w:rsidRPr="008234CB">
        <w:t xml:space="preserve">Our capacity to answer these questions is much better than even a decade ago, thanks to a growing body of retrospective studies across OECD countries that use econometric techniques to isolate the impact of completed mergers on prices and quantities in affected markets. Many of these studies take advantage of newly available, large and high-quality micro datasets. </w:t>
      </w:r>
    </w:p>
    <w:p w14:paraId="271A2395" w14:textId="0D388B90" w:rsidR="00325F8D" w:rsidRPr="008234CB" w:rsidRDefault="00325F8D" w:rsidP="00325F8D">
      <w:r w:rsidRPr="008234CB">
        <w:t xml:space="preserve">Taken as whole, these </w:t>
      </w:r>
      <w:r>
        <w:t xml:space="preserve">international </w:t>
      </w:r>
      <w:r w:rsidRPr="008234CB">
        <w:t>studies find that</w:t>
      </w:r>
      <w:r w:rsidR="001E412D">
        <w:t xml:space="preserve"> </w:t>
      </w:r>
      <w:r w:rsidR="00A4526F">
        <w:t xml:space="preserve">many, </w:t>
      </w:r>
      <w:r w:rsidR="002167A0">
        <w:t xml:space="preserve">perhaps even most, </w:t>
      </w:r>
      <w:r w:rsidRPr="008234CB">
        <w:t>merger</w:t>
      </w:r>
      <w:r w:rsidR="002167A0">
        <w:t>s</w:t>
      </w:r>
      <w:r w:rsidRPr="008234CB">
        <w:t xml:space="preserve"> increased market prices and</w:t>
      </w:r>
      <w:r w:rsidR="004813EF">
        <w:t>/or</w:t>
      </w:r>
      <w:r w:rsidRPr="008234CB">
        <w:t xml:space="preserve"> reduced output, with little evidence of efficiency gains. Put differently, </w:t>
      </w:r>
      <w:r w:rsidR="008563DB">
        <w:t>a surpris</w:t>
      </w:r>
      <w:r w:rsidR="00B95E25">
        <w:t>i</w:t>
      </w:r>
      <w:r w:rsidR="008563DB">
        <w:t>ngly large portion of</w:t>
      </w:r>
      <w:r w:rsidR="008563DB" w:rsidRPr="008234CB">
        <w:t xml:space="preserve"> </w:t>
      </w:r>
      <w:r w:rsidRPr="008234CB">
        <w:t>merger</w:t>
      </w:r>
      <w:r w:rsidR="008563DB">
        <w:t>s</w:t>
      </w:r>
      <w:r w:rsidRPr="008234CB">
        <w:t xml:space="preserve"> </w:t>
      </w:r>
      <w:r w:rsidR="008563DB">
        <w:t xml:space="preserve">were </w:t>
      </w:r>
      <w:r w:rsidRPr="008234CB">
        <w:t>found to be anti-competitive</w:t>
      </w:r>
      <w:r w:rsidR="001E412D">
        <w:t xml:space="preserve"> given the presence of </w:t>
      </w:r>
      <w:r w:rsidR="00A4526F">
        <w:t>well</w:t>
      </w:r>
      <w:r w:rsidR="001E412D">
        <w:t xml:space="preserve">-established merger control regimes in most of the countries </w:t>
      </w:r>
      <w:r w:rsidR="004813EF">
        <w:t xml:space="preserve">under </w:t>
      </w:r>
      <w:r w:rsidR="00A4526F">
        <w:t>stud</w:t>
      </w:r>
      <w:r w:rsidR="004813EF">
        <w:t>y</w:t>
      </w:r>
      <w:r w:rsidRPr="008234CB">
        <w:t xml:space="preserve">. </w:t>
      </w:r>
    </w:p>
    <w:p w14:paraId="30D3D2C3" w14:textId="77777777" w:rsidR="00325F8D" w:rsidRPr="008234CB" w:rsidRDefault="00325F8D" w:rsidP="00CC2B2A">
      <w:pPr>
        <w:pStyle w:val="Bullet"/>
        <w:keepNext/>
        <w:numPr>
          <w:ilvl w:val="0"/>
          <w:numId w:val="0"/>
        </w:numPr>
        <w:spacing w:before="96" w:after="96"/>
        <w:rPr>
          <w:rFonts w:cs="Calibri Light"/>
          <w:b/>
          <w:bCs/>
        </w:rPr>
      </w:pPr>
      <w:r w:rsidRPr="00DB23E5">
        <w:lastRenderedPageBreak/>
        <w:t>Selected</w:t>
      </w:r>
      <w:r w:rsidRPr="00830E7B">
        <w:rPr>
          <w:rStyle w:val="FootnoteReference"/>
          <w:rFonts w:cs="Calibri Light"/>
          <w:bCs/>
          <w:vertAlign w:val="superscript"/>
        </w:rPr>
        <w:footnoteReference w:id="6"/>
      </w:r>
      <w:r w:rsidRPr="008234CB">
        <w:rPr>
          <w:rFonts w:cs="Calibri Light"/>
          <w:bCs/>
        </w:rPr>
        <w:t xml:space="preserve"> </w:t>
      </w:r>
      <w:r w:rsidRPr="00DB23E5">
        <w:t>international studies include:</w:t>
      </w:r>
    </w:p>
    <w:p w14:paraId="49494F31" w14:textId="77777777" w:rsidR="00325F8D" w:rsidRPr="008234CB" w:rsidRDefault="00325F8D" w:rsidP="00325F8D">
      <w:pPr>
        <w:pStyle w:val="Bullet"/>
        <w:numPr>
          <w:ilvl w:val="0"/>
          <w:numId w:val="26"/>
        </w:numPr>
        <w:tabs>
          <w:tab w:val="clear" w:pos="720"/>
        </w:tabs>
        <w:spacing w:before="96" w:after="96" w:line="240" w:lineRule="auto"/>
        <w:rPr>
          <w:rFonts w:cs="Calibri Light"/>
        </w:rPr>
      </w:pPr>
      <w:r w:rsidRPr="00E35935">
        <w:rPr>
          <w:rStyle w:val="DotpointChar"/>
        </w:rPr>
        <w:t>Bhattacharya et al (2023</w:t>
      </w:r>
      <w:r w:rsidRPr="008234CB">
        <w:rPr>
          <w:rFonts w:cs="Calibri Light"/>
        </w:rPr>
        <w:t>)</w:t>
      </w:r>
      <w:r w:rsidRPr="00E7501C">
        <w:rPr>
          <w:rStyle w:val="FootnoteReference"/>
          <w:rFonts w:cs="Calibri Light"/>
          <w:vertAlign w:val="superscript"/>
        </w:rPr>
        <w:footnoteReference w:id="7"/>
      </w:r>
      <w:r w:rsidRPr="008234CB">
        <w:rPr>
          <w:rFonts w:cs="Calibri Light"/>
        </w:rPr>
        <w:t xml:space="preserve"> </w:t>
      </w:r>
      <w:r w:rsidRPr="00E35935">
        <w:rPr>
          <w:rStyle w:val="DotpointChar"/>
        </w:rPr>
        <w:t>examined US retail mergers between 2006 to 2017 using detailed product-store scanner data. They found that even a modestly more stringent regime over this period would have resulted in lower prices and higher consumer welfare, by blocking more anti</w:t>
      </w:r>
      <w:r>
        <w:rPr>
          <w:rStyle w:val="DotpointChar"/>
        </w:rPr>
        <w:noBreakHyphen/>
      </w:r>
      <w:r w:rsidRPr="00E35935">
        <w:rPr>
          <w:rStyle w:val="DotpointChar"/>
        </w:rPr>
        <w:t xml:space="preserve">competitive mergers that </w:t>
      </w:r>
      <w:proofErr w:type="gramStart"/>
      <w:r w:rsidRPr="00E35935">
        <w:rPr>
          <w:rStyle w:val="DotpointChar"/>
        </w:rPr>
        <w:t>actually proceeded</w:t>
      </w:r>
      <w:proofErr w:type="gramEnd"/>
      <w:r w:rsidRPr="00E35935">
        <w:rPr>
          <w:rStyle w:val="DotpointChar"/>
        </w:rPr>
        <w:t xml:space="preserve"> but still allowing the bulk of pro-competitive mergers to have proceeded.</w:t>
      </w:r>
    </w:p>
    <w:p w14:paraId="1C6FE82A" w14:textId="77777777" w:rsidR="00325F8D" w:rsidRPr="00E35935" w:rsidRDefault="00325F8D" w:rsidP="00325F8D">
      <w:pPr>
        <w:pStyle w:val="Bullet"/>
        <w:numPr>
          <w:ilvl w:val="0"/>
          <w:numId w:val="26"/>
        </w:numPr>
        <w:tabs>
          <w:tab w:val="clear" w:pos="720"/>
        </w:tabs>
        <w:spacing w:before="96" w:after="96" w:line="240" w:lineRule="auto"/>
        <w:rPr>
          <w:rStyle w:val="DotpointChar"/>
        </w:rPr>
      </w:pPr>
      <w:proofErr w:type="spellStart"/>
      <w:r w:rsidRPr="00E35935">
        <w:rPr>
          <w:rStyle w:val="DotpointChar"/>
        </w:rPr>
        <w:t>Demirer</w:t>
      </w:r>
      <w:proofErr w:type="spellEnd"/>
      <w:r w:rsidRPr="00E35935">
        <w:rPr>
          <w:rStyle w:val="DotpointChar"/>
        </w:rPr>
        <w:t xml:space="preserve"> and </w:t>
      </w:r>
      <w:proofErr w:type="spellStart"/>
      <w:r w:rsidRPr="00E35935">
        <w:rPr>
          <w:rStyle w:val="DotpointChar"/>
        </w:rPr>
        <w:t>Karaduman</w:t>
      </w:r>
      <w:proofErr w:type="spellEnd"/>
      <w:r w:rsidRPr="00E35935">
        <w:rPr>
          <w:rStyle w:val="DotpointChar"/>
        </w:rPr>
        <w:t xml:space="preserve"> (2023</w:t>
      </w:r>
      <w:r w:rsidRPr="00C62E62">
        <w:rPr>
          <w:rFonts w:cs="Calibri Light"/>
        </w:rPr>
        <w:t>)</w:t>
      </w:r>
      <w:r w:rsidRPr="00FD50D3">
        <w:rPr>
          <w:rStyle w:val="FootnoteReference"/>
          <w:rFonts w:cs="Calibri Light"/>
          <w:vertAlign w:val="superscript"/>
        </w:rPr>
        <w:footnoteReference w:id="8"/>
      </w:r>
      <w:r w:rsidRPr="00C62E62">
        <w:rPr>
          <w:rFonts w:cs="Calibri Light"/>
        </w:rPr>
        <w:t xml:space="preserve"> </w:t>
      </w:r>
      <w:r w:rsidRPr="00E35935">
        <w:rPr>
          <w:rStyle w:val="DotpointChar"/>
        </w:rPr>
        <w:t>examined the US electricity generation industry between 2000 and 2020 and find that acquired power plants in the US experience an average of 4 per cent efficiency increase 5 to 8 months after acquisition.</w:t>
      </w:r>
    </w:p>
    <w:p w14:paraId="0C2A532D" w14:textId="77777777" w:rsidR="00325F8D" w:rsidRPr="00E35935" w:rsidRDefault="00325F8D" w:rsidP="00325F8D">
      <w:pPr>
        <w:pStyle w:val="Bullet"/>
        <w:numPr>
          <w:ilvl w:val="0"/>
          <w:numId w:val="26"/>
        </w:numPr>
        <w:tabs>
          <w:tab w:val="clear" w:pos="720"/>
        </w:tabs>
        <w:spacing w:before="96" w:after="96" w:line="240" w:lineRule="auto"/>
        <w:rPr>
          <w:rStyle w:val="DotpointChar"/>
        </w:rPr>
      </w:pPr>
      <w:proofErr w:type="spellStart"/>
      <w:r w:rsidRPr="00E35935">
        <w:rPr>
          <w:rStyle w:val="DotpointChar"/>
        </w:rPr>
        <w:t>Stiebale</w:t>
      </w:r>
      <w:proofErr w:type="spellEnd"/>
      <w:r w:rsidRPr="00E35935">
        <w:rPr>
          <w:rStyle w:val="DotpointChar"/>
        </w:rPr>
        <w:t xml:space="preserve"> and </w:t>
      </w:r>
      <w:proofErr w:type="spellStart"/>
      <w:r w:rsidRPr="00E35935">
        <w:rPr>
          <w:rStyle w:val="DotpointChar"/>
        </w:rPr>
        <w:t>Szücs</w:t>
      </w:r>
      <w:proofErr w:type="spellEnd"/>
      <w:r w:rsidRPr="00E35935">
        <w:rPr>
          <w:rStyle w:val="DotpointChar"/>
        </w:rPr>
        <w:t xml:space="preserve"> (2022</w:t>
      </w:r>
      <w:r w:rsidRPr="008234CB">
        <w:rPr>
          <w:rFonts w:cs="Calibri Light"/>
          <w:bCs/>
        </w:rPr>
        <w:t>)</w:t>
      </w:r>
      <w:r w:rsidRPr="00E7501C">
        <w:rPr>
          <w:rStyle w:val="FootnoteReference"/>
          <w:rFonts w:cs="Calibri Light"/>
          <w:bCs/>
          <w:vertAlign w:val="superscript"/>
        </w:rPr>
        <w:footnoteReference w:id="9"/>
      </w:r>
      <w:r w:rsidRPr="008234CB">
        <w:rPr>
          <w:rFonts w:cs="Calibri Light"/>
          <w:bCs/>
        </w:rPr>
        <w:t xml:space="preserve"> </w:t>
      </w:r>
      <w:r w:rsidRPr="00E35935">
        <w:rPr>
          <w:rStyle w:val="DotpointChar"/>
        </w:rPr>
        <w:t>studied the impact of mergers on rival firms’ markups across a broad set of industries in Europe and found that rivals increased their markups by between 2 and 4 per cent after mergers</w:t>
      </w:r>
      <w:r>
        <w:rPr>
          <w:rStyle w:val="DotpointChar"/>
        </w:rPr>
        <w:t>,</w:t>
      </w:r>
      <w:r w:rsidRPr="00E35935">
        <w:rPr>
          <w:rStyle w:val="DotpointChar"/>
        </w:rPr>
        <w:t xml:space="preserve"> with larger effects when market concentration was high and competitors few. Merger rivals also reduced their employment</w:t>
      </w:r>
      <w:r>
        <w:rPr>
          <w:rStyle w:val="DotpointChar"/>
        </w:rPr>
        <w:t xml:space="preserve"> and</w:t>
      </w:r>
      <w:r w:rsidRPr="00E35935">
        <w:rPr>
          <w:rStyle w:val="DotpointChar"/>
        </w:rPr>
        <w:t xml:space="preserve"> sales, while measures of innovative activity also declined. </w:t>
      </w:r>
    </w:p>
    <w:p w14:paraId="4EC59680" w14:textId="77777777" w:rsidR="00325F8D" w:rsidRPr="008234CB" w:rsidRDefault="00325F8D" w:rsidP="00325F8D">
      <w:pPr>
        <w:pStyle w:val="Bullet"/>
        <w:numPr>
          <w:ilvl w:val="0"/>
          <w:numId w:val="26"/>
        </w:numPr>
        <w:tabs>
          <w:tab w:val="clear" w:pos="720"/>
        </w:tabs>
        <w:spacing w:before="96" w:after="96" w:line="240" w:lineRule="auto"/>
        <w:rPr>
          <w:rFonts w:cs="Calibri Light"/>
          <w:b/>
          <w:bCs/>
        </w:rPr>
      </w:pPr>
      <w:r w:rsidRPr="00E35935">
        <w:rPr>
          <w:rStyle w:val="DotpointChar"/>
        </w:rPr>
        <w:t>Ganapati (2020)</w:t>
      </w:r>
      <w:r w:rsidRPr="00E7501C">
        <w:rPr>
          <w:rStyle w:val="FootnoteReference"/>
          <w:rFonts w:cs="Calibri Light"/>
          <w:bCs/>
          <w:vertAlign w:val="superscript"/>
        </w:rPr>
        <w:footnoteReference w:id="10"/>
      </w:r>
      <w:r>
        <w:rPr>
          <w:rFonts w:cs="Calibri Light"/>
          <w:bCs/>
        </w:rPr>
        <w:t xml:space="preserve"> </w:t>
      </w:r>
      <w:r w:rsidRPr="00E35935">
        <w:rPr>
          <w:rStyle w:val="DotpointChar"/>
        </w:rPr>
        <w:t xml:space="preserve">provided a useful descriptive examination of detailed firm-level census data, which showed that between 1972 and 2012 concentration increases are positively correlated with </w:t>
      </w:r>
      <w:r>
        <w:rPr>
          <w:rStyle w:val="DotpointChar"/>
        </w:rPr>
        <w:t xml:space="preserve">labour </w:t>
      </w:r>
      <w:r w:rsidRPr="00E35935">
        <w:rPr>
          <w:rStyle w:val="DotpointChar"/>
        </w:rPr>
        <w:t>productivity and real output growth</w:t>
      </w:r>
      <w:r>
        <w:rPr>
          <w:rStyle w:val="DotpointChar"/>
        </w:rPr>
        <w:t xml:space="preserve"> but </w:t>
      </w:r>
      <w:r w:rsidRPr="00E35935">
        <w:rPr>
          <w:rStyle w:val="DotpointChar"/>
        </w:rPr>
        <w:t>uncorrelated with price</w:t>
      </w:r>
      <w:r>
        <w:rPr>
          <w:rStyle w:val="DotpointChar"/>
        </w:rPr>
        <w:t xml:space="preserve"> changes</w:t>
      </w:r>
      <w:r w:rsidRPr="00E35935">
        <w:rPr>
          <w:rStyle w:val="DotpointChar"/>
        </w:rPr>
        <w:t>.</w:t>
      </w:r>
    </w:p>
    <w:p w14:paraId="0D2B8C56" w14:textId="4D38357F" w:rsidR="00325F8D" w:rsidRPr="008234CB" w:rsidRDefault="00325F8D" w:rsidP="00325F8D">
      <w:pPr>
        <w:pStyle w:val="Bullet"/>
        <w:numPr>
          <w:ilvl w:val="0"/>
          <w:numId w:val="26"/>
        </w:numPr>
        <w:tabs>
          <w:tab w:val="clear" w:pos="720"/>
        </w:tabs>
        <w:spacing w:before="96" w:after="96" w:line="240" w:lineRule="auto"/>
        <w:rPr>
          <w:rFonts w:cs="Calibri Light"/>
          <w:b/>
          <w:bCs/>
        </w:rPr>
      </w:pPr>
      <w:r w:rsidRPr="00E35935">
        <w:rPr>
          <w:rStyle w:val="DotpointChar"/>
        </w:rPr>
        <w:t xml:space="preserve">De </w:t>
      </w:r>
      <w:proofErr w:type="spellStart"/>
      <w:r w:rsidRPr="00E35935">
        <w:rPr>
          <w:rStyle w:val="DotpointChar"/>
        </w:rPr>
        <w:t>Loecker</w:t>
      </w:r>
      <w:proofErr w:type="spellEnd"/>
      <w:r w:rsidRPr="00E35935">
        <w:rPr>
          <w:rStyle w:val="DotpointChar"/>
        </w:rPr>
        <w:t xml:space="preserve"> et al. (2020)</w:t>
      </w:r>
      <w:r w:rsidRPr="00BB598B">
        <w:rPr>
          <w:rStyle w:val="FootnoteReference"/>
          <w:rFonts w:cs="Calibri Light"/>
          <w:bCs/>
          <w:vertAlign w:val="superscript"/>
        </w:rPr>
        <w:footnoteReference w:id="11"/>
      </w:r>
      <w:r w:rsidRPr="008234CB">
        <w:rPr>
          <w:rFonts w:cs="Calibri Light"/>
          <w:bCs/>
        </w:rPr>
        <w:t xml:space="preserve"> </w:t>
      </w:r>
      <w:r w:rsidRPr="00E35935">
        <w:rPr>
          <w:rStyle w:val="DotpointChar"/>
        </w:rPr>
        <w:t>estimated the revenue-weighted average markup of publicly</w:t>
      </w:r>
      <w:r>
        <w:rPr>
          <w:rStyle w:val="DotpointChar"/>
        </w:rPr>
        <w:t xml:space="preserve"> </w:t>
      </w:r>
      <w:r w:rsidRPr="00E35935">
        <w:rPr>
          <w:rStyle w:val="DotpointChar"/>
        </w:rPr>
        <w:t xml:space="preserve">listed firms in the United States from 1955 to 2016. They found that the change in average markup is largely driven by a few firms that currently have much higher markups than decades ago. They further found that the rise in markups exceeds the rise in </w:t>
      </w:r>
      <w:proofErr w:type="gramStart"/>
      <w:r w:rsidRPr="00E35935">
        <w:rPr>
          <w:rStyle w:val="DotpointChar"/>
        </w:rPr>
        <w:t>overheads, and</w:t>
      </w:r>
      <w:proofErr w:type="gramEnd"/>
      <w:r w:rsidRPr="00E35935">
        <w:rPr>
          <w:rStyle w:val="DotpointChar"/>
        </w:rPr>
        <w:t xml:space="preserve"> conclude the rise in markups is evidence of a rise in market power. Subsequent studies suggest these markup changes </w:t>
      </w:r>
      <w:r w:rsidRPr="00E35935" w:rsidDel="00D85237">
        <w:rPr>
          <w:rStyle w:val="DotpointChar"/>
        </w:rPr>
        <w:t xml:space="preserve">are </w:t>
      </w:r>
      <w:r w:rsidRPr="00E35935">
        <w:rPr>
          <w:rStyle w:val="DotpointChar"/>
        </w:rPr>
        <w:t>of a sufficient magnitude to contribute to broader aggregate effects</w:t>
      </w:r>
      <w:r w:rsidRPr="008234CB">
        <w:rPr>
          <w:rFonts w:cs="Calibri Light"/>
          <w:bCs/>
        </w:rPr>
        <w:t xml:space="preserve"> (Edmond et al. (2019)</w:t>
      </w:r>
      <w:r w:rsidR="00D522E8">
        <w:rPr>
          <w:rFonts w:cs="Calibri Light"/>
          <w:bCs/>
        </w:rPr>
        <w:t>.</w:t>
      </w:r>
      <w:r w:rsidRPr="00800FD6">
        <w:rPr>
          <w:rStyle w:val="FootnoteReference"/>
          <w:rFonts w:cs="Calibri Light"/>
          <w:bCs/>
          <w:vertAlign w:val="superscript"/>
        </w:rPr>
        <w:footnoteReference w:id="12"/>
      </w:r>
    </w:p>
    <w:p w14:paraId="5AB37EEE" w14:textId="1B39D1E3" w:rsidR="00325F8D" w:rsidRPr="00E35935" w:rsidRDefault="00325F8D" w:rsidP="00325F8D">
      <w:pPr>
        <w:pStyle w:val="Bullet"/>
        <w:numPr>
          <w:ilvl w:val="0"/>
          <w:numId w:val="26"/>
        </w:numPr>
        <w:tabs>
          <w:tab w:val="clear" w:pos="720"/>
        </w:tabs>
        <w:spacing w:before="96" w:after="96" w:line="240" w:lineRule="auto"/>
        <w:rPr>
          <w:rStyle w:val="DotpointChar"/>
        </w:rPr>
      </w:pPr>
      <w:proofErr w:type="spellStart"/>
      <w:r w:rsidRPr="00E35935">
        <w:rPr>
          <w:rStyle w:val="DotpointChar"/>
        </w:rPr>
        <w:t>Geurts</w:t>
      </w:r>
      <w:proofErr w:type="spellEnd"/>
      <w:r w:rsidRPr="00E35935">
        <w:rPr>
          <w:rStyle w:val="DotpointChar"/>
        </w:rPr>
        <w:t xml:space="preserve"> and Van </w:t>
      </w:r>
      <w:proofErr w:type="spellStart"/>
      <w:r w:rsidRPr="00E35935">
        <w:rPr>
          <w:rStyle w:val="DotpointChar"/>
        </w:rPr>
        <w:t>Biesebroeck</w:t>
      </w:r>
      <w:proofErr w:type="spellEnd"/>
      <w:r w:rsidRPr="00E35935">
        <w:rPr>
          <w:rStyle w:val="DotpointChar"/>
        </w:rPr>
        <w:t xml:space="preserve"> (2019</w:t>
      </w:r>
      <w:r w:rsidRPr="008234CB">
        <w:rPr>
          <w:rFonts w:cs="Calibri Light"/>
          <w:bCs/>
        </w:rPr>
        <w:t>)</w:t>
      </w:r>
      <w:r w:rsidRPr="00800FD6">
        <w:rPr>
          <w:rStyle w:val="FootnoteReference"/>
          <w:rFonts w:cs="Calibri Light"/>
          <w:bCs/>
          <w:vertAlign w:val="superscript"/>
        </w:rPr>
        <w:footnoteReference w:id="13"/>
      </w:r>
      <w:r w:rsidRPr="00800FD6">
        <w:rPr>
          <w:rFonts w:cs="Calibri Light"/>
          <w:bCs/>
          <w:vertAlign w:val="superscript"/>
        </w:rPr>
        <w:t xml:space="preserve"> </w:t>
      </w:r>
      <w:r w:rsidRPr="00E35935">
        <w:rPr>
          <w:rStyle w:val="DotpointChar"/>
        </w:rPr>
        <w:t>examined all Belgian mergers between 2005 and 2012</w:t>
      </w:r>
      <w:r w:rsidR="00C747F1">
        <w:rPr>
          <w:rStyle w:val="DotpointChar"/>
        </w:rPr>
        <w:t xml:space="preserve"> and found a persistent negative effect on employment on average</w:t>
      </w:r>
      <w:r w:rsidR="00834530">
        <w:rPr>
          <w:rStyle w:val="DotpointChar"/>
        </w:rPr>
        <w:t xml:space="preserve"> but also a wide diversity in merger outcomes</w:t>
      </w:r>
      <w:r w:rsidRPr="00E35935">
        <w:rPr>
          <w:rStyle w:val="DotpointChar"/>
        </w:rPr>
        <w:t>.</w:t>
      </w:r>
    </w:p>
    <w:p w14:paraId="33195970" w14:textId="77777777" w:rsidR="00325F8D" w:rsidRPr="008234CB" w:rsidRDefault="00325F8D" w:rsidP="00325F8D">
      <w:pPr>
        <w:pStyle w:val="Bullet"/>
        <w:numPr>
          <w:ilvl w:val="0"/>
          <w:numId w:val="26"/>
        </w:numPr>
        <w:tabs>
          <w:tab w:val="clear" w:pos="720"/>
        </w:tabs>
        <w:spacing w:before="96" w:after="96" w:line="240" w:lineRule="auto"/>
        <w:rPr>
          <w:rFonts w:cs="Calibri Light"/>
          <w:b/>
          <w:bCs/>
        </w:rPr>
      </w:pPr>
      <w:proofErr w:type="spellStart"/>
      <w:r w:rsidRPr="00E35935">
        <w:rPr>
          <w:rStyle w:val="DotpointChar"/>
        </w:rPr>
        <w:t>Blonigan</w:t>
      </w:r>
      <w:proofErr w:type="spellEnd"/>
      <w:r w:rsidRPr="00E35935">
        <w:rPr>
          <w:rStyle w:val="DotpointChar"/>
        </w:rPr>
        <w:t xml:space="preserve"> and Pierce (2016</w:t>
      </w:r>
      <w:r w:rsidRPr="008234CB">
        <w:rPr>
          <w:rFonts w:cs="Calibri Light"/>
          <w:bCs/>
        </w:rPr>
        <w:t>)</w:t>
      </w:r>
      <w:r w:rsidRPr="00553F36">
        <w:rPr>
          <w:rStyle w:val="FootnoteReference"/>
          <w:rFonts w:cs="Calibri Light"/>
          <w:bCs/>
          <w:vertAlign w:val="superscript"/>
        </w:rPr>
        <w:footnoteReference w:id="14"/>
      </w:r>
      <w:r w:rsidRPr="008234CB">
        <w:rPr>
          <w:rFonts w:cs="Calibri Light"/>
          <w:bCs/>
        </w:rPr>
        <w:t xml:space="preserve"> </w:t>
      </w:r>
      <w:r w:rsidRPr="00E35935">
        <w:rPr>
          <w:rStyle w:val="DotpointChar"/>
        </w:rPr>
        <w:t>used firm level data on the entire US manufacturing sector to evaluate the impact of mergers. They found that mergers were associated with increases in average markups but no boost in firm-level productivity.</w:t>
      </w:r>
      <w:r w:rsidRPr="008234CB">
        <w:rPr>
          <w:rFonts w:cs="Calibri Light"/>
          <w:bCs/>
        </w:rPr>
        <w:t xml:space="preserve"> </w:t>
      </w:r>
    </w:p>
    <w:p w14:paraId="6E88E385" w14:textId="4CD19F41" w:rsidR="00325F8D" w:rsidRPr="00E35935" w:rsidRDefault="00325F8D" w:rsidP="0075304A">
      <w:pPr>
        <w:pStyle w:val="Bullet"/>
        <w:keepNext/>
        <w:numPr>
          <w:ilvl w:val="0"/>
          <w:numId w:val="26"/>
        </w:numPr>
        <w:tabs>
          <w:tab w:val="clear" w:pos="720"/>
        </w:tabs>
        <w:spacing w:before="96" w:after="96" w:line="240" w:lineRule="auto"/>
        <w:ind w:left="522" w:hanging="522"/>
        <w:rPr>
          <w:rStyle w:val="DotpointChar"/>
        </w:rPr>
      </w:pPr>
      <w:proofErr w:type="spellStart"/>
      <w:r w:rsidRPr="00E35935">
        <w:rPr>
          <w:rStyle w:val="DotpointChar"/>
        </w:rPr>
        <w:lastRenderedPageBreak/>
        <w:t>Ashenfelter</w:t>
      </w:r>
      <w:proofErr w:type="spellEnd"/>
      <w:r w:rsidRPr="00E35935">
        <w:rPr>
          <w:rStyle w:val="DotpointChar"/>
        </w:rPr>
        <w:t xml:space="preserve"> (2014</w:t>
      </w:r>
      <w:r w:rsidRPr="008234CB">
        <w:rPr>
          <w:rFonts w:cs="Calibri Light"/>
          <w:bCs/>
        </w:rPr>
        <w:t>)</w:t>
      </w:r>
      <w:r w:rsidRPr="00E277A2">
        <w:rPr>
          <w:rStyle w:val="FootnoteReference"/>
          <w:rFonts w:cs="Calibri Light"/>
          <w:bCs/>
          <w:vertAlign w:val="superscript"/>
        </w:rPr>
        <w:footnoteReference w:id="15"/>
      </w:r>
      <w:r w:rsidRPr="008234CB">
        <w:rPr>
          <w:rFonts w:cs="Calibri Light"/>
          <w:bCs/>
        </w:rPr>
        <w:t xml:space="preserve"> </w:t>
      </w:r>
      <w:r w:rsidRPr="00E35935">
        <w:rPr>
          <w:rStyle w:val="DotpointChar"/>
        </w:rPr>
        <w:t xml:space="preserve">conducted a survey of case studies on the effect of horizontal mergers and found, of the 49 studies surveyed, 36 found evidence of </w:t>
      </w:r>
      <w:r w:rsidRPr="008234CB">
        <w:rPr>
          <w:rFonts w:cs="Calibri Light"/>
          <w:bCs/>
        </w:rPr>
        <w:t>merger</w:t>
      </w:r>
      <w:r>
        <w:rPr>
          <w:rFonts w:cs="Calibri Light"/>
          <w:bCs/>
        </w:rPr>
        <w:noBreakHyphen/>
      </w:r>
      <w:r w:rsidRPr="008234CB">
        <w:rPr>
          <w:rFonts w:cs="Calibri Light"/>
          <w:bCs/>
        </w:rPr>
        <w:t>induced</w:t>
      </w:r>
      <w:r w:rsidRPr="00E35935">
        <w:rPr>
          <w:rStyle w:val="DotpointChar"/>
        </w:rPr>
        <w:t xml:space="preserve"> price increases, including </w:t>
      </w:r>
      <w:proofErr w:type="gramStart"/>
      <w:r w:rsidRPr="00E35935">
        <w:rPr>
          <w:rStyle w:val="DotpointChar"/>
        </w:rPr>
        <w:t>all of</w:t>
      </w:r>
      <w:proofErr w:type="gramEnd"/>
      <w:r w:rsidRPr="00E35935">
        <w:rPr>
          <w:rStyle w:val="DotpointChar"/>
        </w:rPr>
        <w:t xml:space="preserve"> the airline and most of the banking and hospital industry studies. </w:t>
      </w:r>
      <w:proofErr w:type="gramStart"/>
      <w:r w:rsidRPr="00E35935">
        <w:rPr>
          <w:rStyle w:val="DotpointChar"/>
        </w:rPr>
        <w:t>In particular, the</w:t>
      </w:r>
      <w:r>
        <w:rPr>
          <w:rStyle w:val="DotpointChar"/>
        </w:rPr>
        <w:t>y</w:t>
      </w:r>
      <w:proofErr w:type="gramEnd"/>
      <w:r>
        <w:rPr>
          <w:rStyle w:val="DotpointChar"/>
        </w:rPr>
        <w:t xml:space="preserve"> concluded the</w:t>
      </w:r>
      <w:r w:rsidRPr="00E35935">
        <w:rPr>
          <w:rStyle w:val="DotpointChar"/>
        </w:rPr>
        <w:t xml:space="preserve"> evidence shows mergers in oligopolistic markets can result in economically meaningful price increases:</w:t>
      </w:r>
    </w:p>
    <w:p w14:paraId="148D4A3F" w14:textId="75D3231D" w:rsidR="00325F8D" w:rsidRPr="008234CB" w:rsidRDefault="00325F8D" w:rsidP="00325F8D">
      <w:pPr>
        <w:pStyle w:val="Quote"/>
        <w:rPr>
          <w:rFonts w:cs="Calibri Light"/>
        </w:rPr>
      </w:pPr>
      <w:r w:rsidRPr="008234CB">
        <w:rPr>
          <w:rFonts w:cs="Calibri Light"/>
        </w:rPr>
        <w:t xml:space="preserve">Ex-post evaluations of consummated mergers have found that prices can increase following mergers </w:t>
      </w:r>
      <w:r w:rsidR="00433C3E">
        <w:rPr>
          <w:rFonts w:cs="Calibri Light"/>
        </w:rPr>
        <w:t>leaving</w:t>
      </w:r>
      <w:r w:rsidRPr="008234CB">
        <w:rPr>
          <w:rFonts w:cs="Calibri Light"/>
        </w:rPr>
        <w:t xml:space="preserve"> only three or four major market participants. This implies that mergers within oligopolistic industries can lead to consequential increases in market power, even if they do not result in monopolies or dominant firms.</w:t>
      </w:r>
      <w:r w:rsidRPr="00E35935">
        <w:rPr>
          <w:rStyle w:val="FootnoteReference"/>
          <w:rFonts w:cs="Calibri Light"/>
          <w:vertAlign w:val="superscript"/>
        </w:rPr>
        <w:footnoteReference w:id="16"/>
      </w:r>
    </w:p>
    <w:p w14:paraId="0B662024" w14:textId="76DE78B6" w:rsidR="00325F8D" w:rsidRPr="008234CB" w:rsidRDefault="00325F8D" w:rsidP="00325F8D">
      <w:pPr>
        <w:pStyle w:val="Bullet"/>
        <w:numPr>
          <w:ilvl w:val="0"/>
          <w:numId w:val="26"/>
        </w:numPr>
        <w:tabs>
          <w:tab w:val="clear" w:pos="720"/>
        </w:tabs>
        <w:spacing w:before="96" w:after="96" w:line="240" w:lineRule="auto"/>
        <w:rPr>
          <w:rFonts w:cs="Calibri Light"/>
          <w:b/>
          <w:bCs/>
        </w:rPr>
      </w:pPr>
      <w:proofErr w:type="spellStart"/>
      <w:r w:rsidRPr="00E35935">
        <w:rPr>
          <w:rStyle w:val="DotpointChar"/>
        </w:rPr>
        <w:t>Kwoka</w:t>
      </w:r>
      <w:proofErr w:type="spellEnd"/>
      <w:r w:rsidRPr="00E35935">
        <w:rPr>
          <w:rStyle w:val="DotpointChar"/>
        </w:rPr>
        <w:t xml:space="preserve"> (2013) pooled the results of</w:t>
      </w:r>
      <w:r w:rsidR="00ED6D40">
        <w:rPr>
          <w:rStyle w:val="DotpointChar"/>
        </w:rPr>
        <w:t xml:space="preserve"> 60</w:t>
      </w:r>
      <w:r w:rsidRPr="00E35935">
        <w:rPr>
          <w:rStyle w:val="DotpointChar"/>
        </w:rPr>
        <w:t xml:space="preserve"> merger retrospectives in the US. Of the </w:t>
      </w:r>
      <w:r w:rsidR="00525AC1">
        <w:rPr>
          <w:rStyle w:val="DotpointChar"/>
        </w:rPr>
        <w:t xml:space="preserve">53 transactions, </w:t>
      </w:r>
      <w:r w:rsidR="00F77BEA">
        <w:rPr>
          <w:rStyle w:val="DotpointChar"/>
        </w:rPr>
        <w:t>40 result</w:t>
      </w:r>
      <w:r w:rsidR="00CA3D23">
        <w:rPr>
          <w:rStyle w:val="DotpointChar"/>
        </w:rPr>
        <w:t>ed</w:t>
      </w:r>
      <w:r w:rsidR="00F77BEA">
        <w:rPr>
          <w:rStyle w:val="DotpointChar"/>
        </w:rPr>
        <w:t xml:space="preserve"> in post-merger price increases and 13 result</w:t>
      </w:r>
      <w:r w:rsidR="00CA3D23">
        <w:rPr>
          <w:rStyle w:val="DotpointChar"/>
        </w:rPr>
        <w:t>ed</w:t>
      </w:r>
      <w:r w:rsidR="00F77BEA">
        <w:rPr>
          <w:rStyle w:val="DotpointChar"/>
        </w:rPr>
        <w:t xml:space="preserve"> in price decreases</w:t>
      </w:r>
      <w:r w:rsidR="00952E0A">
        <w:rPr>
          <w:rStyle w:val="DotpointChar"/>
        </w:rPr>
        <w:t xml:space="preserve"> with an overall average price change of </w:t>
      </w:r>
      <w:r w:rsidR="001F3D41">
        <w:rPr>
          <w:rStyle w:val="DotpointChar"/>
        </w:rPr>
        <w:t>6.04 per cent</w:t>
      </w:r>
      <w:r w:rsidR="00F77BEA">
        <w:rPr>
          <w:rStyle w:val="DotpointChar"/>
        </w:rPr>
        <w:t xml:space="preserve">. Of the </w:t>
      </w:r>
      <w:r w:rsidR="00D92317">
        <w:rPr>
          <w:rStyle w:val="DotpointChar"/>
        </w:rPr>
        <w:t>46</w:t>
      </w:r>
      <w:r w:rsidR="00F77BEA">
        <w:rPr>
          <w:rStyle w:val="DotpointChar"/>
        </w:rPr>
        <w:t xml:space="preserve"> true</w:t>
      </w:r>
      <w:r w:rsidR="009477BF">
        <w:rPr>
          <w:rStyle w:val="DotpointChar"/>
        </w:rPr>
        <w:t xml:space="preserve"> </w:t>
      </w:r>
      <w:r w:rsidRPr="00E35935">
        <w:rPr>
          <w:rStyle w:val="DotpointChar"/>
        </w:rPr>
        <w:t xml:space="preserve">mergers, </w:t>
      </w:r>
      <w:r w:rsidR="00296E7A">
        <w:rPr>
          <w:rStyle w:val="DotpointChar"/>
        </w:rPr>
        <w:t>38</w:t>
      </w:r>
      <w:r w:rsidRPr="00E35935">
        <w:rPr>
          <w:rStyle w:val="DotpointChar"/>
        </w:rPr>
        <w:t xml:space="preserve"> resulted in price increases </w:t>
      </w:r>
      <w:r w:rsidR="00296E7A">
        <w:rPr>
          <w:rStyle w:val="DotpointChar"/>
        </w:rPr>
        <w:t>and</w:t>
      </w:r>
      <w:r w:rsidR="00566CBF" w:rsidRPr="00E35935">
        <w:rPr>
          <w:rStyle w:val="DotpointChar"/>
        </w:rPr>
        <w:t xml:space="preserve"> </w:t>
      </w:r>
      <w:r w:rsidR="00566CBF">
        <w:rPr>
          <w:rStyle w:val="DotpointChar"/>
        </w:rPr>
        <w:t>8</w:t>
      </w:r>
      <w:r w:rsidR="00566CBF" w:rsidRPr="00E35935">
        <w:rPr>
          <w:rStyle w:val="DotpointChar"/>
        </w:rPr>
        <w:t xml:space="preserve"> </w:t>
      </w:r>
      <w:r w:rsidRPr="00E35935">
        <w:rPr>
          <w:rStyle w:val="DotpointChar"/>
        </w:rPr>
        <w:t>resulted in price decreases</w:t>
      </w:r>
      <w:r w:rsidR="001F3D41">
        <w:rPr>
          <w:rStyle w:val="DotpointChar"/>
        </w:rPr>
        <w:t xml:space="preserve"> with an overall average price change of </w:t>
      </w:r>
      <w:r w:rsidR="00E26A5A">
        <w:rPr>
          <w:rStyle w:val="DotpointChar"/>
        </w:rPr>
        <w:t>7.29 per cent</w:t>
      </w:r>
      <w:r w:rsidRPr="008234CB">
        <w:rPr>
          <w:rFonts w:cs="Calibri Light"/>
          <w:bCs/>
        </w:rPr>
        <w:t>.</w:t>
      </w:r>
      <w:r w:rsidRPr="00A268FC">
        <w:rPr>
          <w:rStyle w:val="FootnoteReference"/>
          <w:rFonts w:cs="Calibri Light"/>
          <w:bCs/>
          <w:vertAlign w:val="superscript"/>
        </w:rPr>
        <w:footnoteReference w:id="17"/>
      </w:r>
    </w:p>
    <w:p w14:paraId="67EBC2F7" w14:textId="05B457C8" w:rsidR="00325F8D" w:rsidRPr="008234CB" w:rsidRDefault="00325F8D" w:rsidP="00325F8D">
      <w:pPr>
        <w:pStyle w:val="Bullet"/>
        <w:numPr>
          <w:ilvl w:val="0"/>
          <w:numId w:val="26"/>
        </w:numPr>
        <w:tabs>
          <w:tab w:val="clear" w:pos="720"/>
        </w:tabs>
        <w:spacing w:before="96" w:after="96" w:line="240" w:lineRule="auto"/>
        <w:rPr>
          <w:rFonts w:cs="Calibri Light"/>
          <w:b/>
          <w:bCs/>
        </w:rPr>
      </w:pPr>
      <w:r w:rsidRPr="00E35935">
        <w:rPr>
          <w:rStyle w:val="DotpointChar"/>
        </w:rPr>
        <w:t xml:space="preserve">Panetta and </w:t>
      </w:r>
      <w:proofErr w:type="spellStart"/>
      <w:r w:rsidRPr="00E35935">
        <w:rPr>
          <w:rStyle w:val="DotpointChar"/>
        </w:rPr>
        <w:t>Focarelli</w:t>
      </w:r>
      <w:proofErr w:type="spellEnd"/>
      <w:r w:rsidRPr="00E35935">
        <w:rPr>
          <w:rStyle w:val="DotpointChar"/>
        </w:rPr>
        <w:t xml:space="preserve"> (2003) studied Italian banking mergers </w:t>
      </w:r>
      <w:r w:rsidR="001D01E9">
        <w:rPr>
          <w:rStyle w:val="DotpointChar"/>
        </w:rPr>
        <w:t xml:space="preserve">from </w:t>
      </w:r>
      <w:r w:rsidRPr="00E35935">
        <w:rPr>
          <w:rStyle w:val="DotpointChar"/>
        </w:rPr>
        <w:t>1990</w:t>
      </w:r>
      <w:r w:rsidR="001D01E9">
        <w:rPr>
          <w:rStyle w:val="DotpointChar"/>
        </w:rPr>
        <w:t xml:space="preserve"> to 1998</w:t>
      </w:r>
      <w:r w:rsidRPr="00E35935">
        <w:rPr>
          <w:rStyle w:val="DotpointChar"/>
        </w:rPr>
        <w:t>. They find that while deposit rates paid to consumers fall in the years directly following a merger, in later years deposit rates increase above pre-merger levels</w:t>
      </w:r>
      <w:r w:rsidRPr="008234CB">
        <w:rPr>
          <w:rFonts w:cs="Calibri Light"/>
          <w:bCs/>
        </w:rPr>
        <w:t>.</w:t>
      </w:r>
      <w:r w:rsidRPr="007A7B25">
        <w:rPr>
          <w:rStyle w:val="FootnoteReference"/>
          <w:rFonts w:cs="Calibri Light"/>
          <w:bCs/>
          <w:vertAlign w:val="superscript"/>
        </w:rPr>
        <w:footnoteReference w:id="18"/>
      </w:r>
    </w:p>
    <w:p w14:paraId="5AA37F48" w14:textId="77777777" w:rsidR="00325F8D" w:rsidRPr="008234CB" w:rsidRDefault="00325F8D" w:rsidP="00325F8D">
      <w:pPr>
        <w:pStyle w:val="Bullet"/>
        <w:numPr>
          <w:ilvl w:val="0"/>
          <w:numId w:val="26"/>
        </w:numPr>
        <w:tabs>
          <w:tab w:val="clear" w:pos="720"/>
        </w:tabs>
        <w:spacing w:before="96" w:after="96" w:line="240" w:lineRule="auto"/>
        <w:rPr>
          <w:rFonts w:cs="Calibri Light"/>
          <w:b/>
          <w:bCs/>
        </w:rPr>
      </w:pPr>
      <w:r w:rsidRPr="00E35935">
        <w:rPr>
          <w:rStyle w:val="DotpointChar"/>
        </w:rPr>
        <w:t>Prager and Hannan (1998) studied the effects of major horizontal mergers in the U.S. banking industry during the early 1990s and find that substantial horizontal mergers reduce the deposit interest rates offered by the merging banks</w:t>
      </w:r>
      <w:r w:rsidRPr="008234CB">
        <w:rPr>
          <w:rFonts w:cs="Calibri Light"/>
          <w:bCs/>
        </w:rPr>
        <w:t>.</w:t>
      </w:r>
      <w:r w:rsidRPr="000C5D73">
        <w:rPr>
          <w:rStyle w:val="FootnoteReference"/>
          <w:rFonts w:cs="Calibri Light"/>
          <w:bCs/>
          <w:vertAlign w:val="superscript"/>
        </w:rPr>
        <w:footnoteReference w:id="19"/>
      </w:r>
    </w:p>
    <w:p w14:paraId="4D56C92B" w14:textId="52A1BCE3" w:rsidR="00325F8D" w:rsidRPr="00C95A5D" w:rsidRDefault="00325F8D" w:rsidP="00325F8D">
      <w:pPr>
        <w:pStyle w:val="Bullet"/>
        <w:numPr>
          <w:ilvl w:val="0"/>
          <w:numId w:val="26"/>
        </w:numPr>
        <w:tabs>
          <w:tab w:val="clear" w:pos="720"/>
        </w:tabs>
        <w:spacing w:before="96" w:after="96" w:line="240" w:lineRule="auto"/>
        <w:rPr>
          <w:rFonts w:cs="Calibri Light"/>
          <w:b/>
          <w:bCs/>
        </w:rPr>
      </w:pPr>
      <w:r w:rsidRPr="00E35935">
        <w:rPr>
          <w:rStyle w:val="DotpointChar"/>
        </w:rPr>
        <w:t xml:space="preserve">Kim and </w:t>
      </w:r>
      <w:proofErr w:type="spellStart"/>
      <w:r w:rsidRPr="00E35935">
        <w:rPr>
          <w:rStyle w:val="DotpointChar"/>
        </w:rPr>
        <w:t>Singal</w:t>
      </w:r>
      <w:proofErr w:type="spellEnd"/>
      <w:r w:rsidRPr="00E35935">
        <w:rPr>
          <w:rStyle w:val="DotpointChar"/>
        </w:rPr>
        <w:t xml:space="preserve"> (1993) examined fourteen airline mergers from the mid-1980s and conclude any efficiency gains from mergers between rival firms were more than offset by enhanced market power, leading to fares that averaged 10 per cent higher </w:t>
      </w:r>
      <w:r w:rsidR="00526E6D">
        <w:rPr>
          <w:rStyle w:val="DotpointChar"/>
        </w:rPr>
        <w:t>from merging firms</w:t>
      </w:r>
      <w:r w:rsidRPr="008234CB">
        <w:rPr>
          <w:rFonts w:cs="Calibri Light"/>
          <w:bCs/>
        </w:rPr>
        <w:t>.</w:t>
      </w:r>
      <w:r w:rsidRPr="00696C79">
        <w:rPr>
          <w:rStyle w:val="FootnoteReference"/>
          <w:rFonts w:cs="Calibri Light"/>
          <w:vertAlign w:val="superscript"/>
        </w:rPr>
        <w:footnoteReference w:id="20"/>
      </w:r>
      <w:r w:rsidRPr="008234CB">
        <w:rPr>
          <w:rFonts w:cs="Calibri Light"/>
          <w:bCs/>
        </w:rPr>
        <w:t xml:space="preserve"> </w:t>
      </w:r>
    </w:p>
    <w:p w14:paraId="0180BD46" w14:textId="5705760E" w:rsidR="0043050D" w:rsidRDefault="008234CB" w:rsidP="0043050D">
      <w:pPr>
        <w:pStyle w:val="Heading2"/>
      </w:pPr>
      <w:r>
        <w:t>C</w:t>
      </w:r>
      <w:r w:rsidR="0043050D">
        <w:t>ase studies on the impact of mergers</w:t>
      </w:r>
      <w:bookmarkEnd w:id="5"/>
    </w:p>
    <w:p w14:paraId="42E9CB85" w14:textId="34FF4296" w:rsidR="0043050D" w:rsidRPr="008234CB" w:rsidRDefault="0043050D" w:rsidP="0043050D">
      <w:pPr>
        <w:rPr>
          <w:rFonts w:cs="Calibri Light"/>
        </w:rPr>
      </w:pPr>
      <w:r w:rsidRPr="008234CB">
        <w:rPr>
          <w:rFonts w:cs="Calibri Light"/>
        </w:rPr>
        <w:t>While these broad econometric studies provide useful insights for merger policy in general, they do not allow confident prediction of the effect of any individual merger (Sh</w:t>
      </w:r>
      <w:r w:rsidR="008234CB">
        <w:rPr>
          <w:rFonts w:cs="Calibri Light"/>
        </w:rPr>
        <w:t>a</w:t>
      </w:r>
      <w:r w:rsidRPr="008234CB">
        <w:rPr>
          <w:rFonts w:cs="Calibri Light"/>
        </w:rPr>
        <w:t>piro 2019). Selected</w:t>
      </w:r>
      <w:r w:rsidRPr="008234CB">
        <w:rPr>
          <w:rFonts w:cs="Calibri Light"/>
          <w:vertAlign w:val="superscript"/>
        </w:rPr>
        <w:footnoteReference w:id="21"/>
      </w:r>
      <w:r w:rsidRPr="008234CB">
        <w:rPr>
          <w:rFonts w:cs="Calibri Light"/>
        </w:rPr>
        <w:t xml:space="preserve"> </w:t>
      </w:r>
      <w:r w:rsidR="00637853">
        <w:rPr>
          <w:rFonts w:cs="Calibri Light"/>
        </w:rPr>
        <w:t>international</w:t>
      </w:r>
      <w:r w:rsidRPr="008234CB">
        <w:rPr>
          <w:rFonts w:cs="Calibri Light"/>
        </w:rPr>
        <w:t xml:space="preserve"> case studies are summarised below.</w:t>
      </w:r>
    </w:p>
    <w:p w14:paraId="1E3183CA" w14:textId="77777777" w:rsidR="0043050D" w:rsidRPr="008234CB" w:rsidRDefault="0043050D" w:rsidP="0043050D">
      <w:pPr>
        <w:spacing w:before="96" w:after="96"/>
        <w:rPr>
          <w:rFonts w:cs="Calibri Light"/>
          <w:b/>
          <w:bCs/>
          <w:u w:val="single"/>
        </w:rPr>
      </w:pPr>
      <w:r w:rsidRPr="008234CB">
        <w:rPr>
          <w:rFonts w:cs="Calibri Light"/>
          <w:bCs/>
          <w:u w:val="single"/>
        </w:rPr>
        <w:t>Horizontal mergers</w:t>
      </w:r>
    </w:p>
    <w:p w14:paraId="6014D397" w14:textId="26D38C63" w:rsidR="0043050D" w:rsidRPr="008234CB" w:rsidRDefault="0043050D" w:rsidP="0043050D">
      <w:pPr>
        <w:pStyle w:val="Bullet"/>
        <w:numPr>
          <w:ilvl w:val="0"/>
          <w:numId w:val="26"/>
        </w:numPr>
        <w:tabs>
          <w:tab w:val="clear" w:pos="720"/>
        </w:tabs>
        <w:spacing w:before="96" w:after="96" w:line="240" w:lineRule="auto"/>
        <w:rPr>
          <w:rFonts w:cs="Calibri Light"/>
          <w:b/>
          <w:bCs/>
          <w:u w:val="single"/>
        </w:rPr>
      </w:pPr>
      <w:r w:rsidRPr="00E35935">
        <w:rPr>
          <w:rStyle w:val="DotpointChar"/>
        </w:rPr>
        <w:lastRenderedPageBreak/>
        <w:t>Eliason et al. (2020)</w:t>
      </w:r>
      <w:r w:rsidR="008E4978" w:rsidRPr="00923836">
        <w:rPr>
          <w:rStyle w:val="FootnoteReference"/>
          <w:rFonts w:cs="Calibri Light"/>
          <w:bCs/>
          <w:vertAlign w:val="superscript"/>
        </w:rPr>
        <w:footnoteReference w:id="22"/>
      </w:r>
      <w:r w:rsidRPr="008234CB">
        <w:rPr>
          <w:rFonts w:cs="Calibri Light"/>
          <w:bCs/>
        </w:rPr>
        <w:t xml:space="preserve"> </w:t>
      </w:r>
      <w:r w:rsidRPr="00E35935">
        <w:rPr>
          <w:rStyle w:val="DotpointChar"/>
        </w:rPr>
        <w:t>present</w:t>
      </w:r>
      <w:r w:rsidR="00CC7365" w:rsidRPr="00E35935">
        <w:rPr>
          <w:rStyle w:val="DotpointChar"/>
        </w:rPr>
        <w:t>ed</w:t>
      </w:r>
      <w:r w:rsidRPr="00E35935">
        <w:rPr>
          <w:rStyle w:val="DotpointChar"/>
        </w:rPr>
        <w:t xml:space="preserve"> an analysis of dialysis mergers and find mergers lead to profitable changes in internal firms’ operations, albeit at the expense of the health outcomes of patients.</w:t>
      </w:r>
    </w:p>
    <w:p w14:paraId="7E59315C" w14:textId="3582C15F" w:rsidR="007625EE" w:rsidRPr="008234CB" w:rsidRDefault="007625EE" w:rsidP="007625EE">
      <w:pPr>
        <w:pStyle w:val="Bullet"/>
        <w:numPr>
          <w:ilvl w:val="0"/>
          <w:numId w:val="26"/>
        </w:numPr>
        <w:tabs>
          <w:tab w:val="clear" w:pos="720"/>
        </w:tabs>
        <w:spacing w:before="96" w:after="96" w:line="240" w:lineRule="auto"/>
        <w:rPr>
          <w:rFonts w:cs="Calibri Light"/>
          <w:b/>
          <w:bCs/>
        </w:rPr>
      </w:pPr>
      <w:proofErr w:type="gramStart"/>
      <w:r w:rsidRPr="00E35935">
        <w:rPr>
          <w:rStyle w:val="DotpointChar"/>
        </w:rPr>
        <w:t>An and</w:t>
      </w:r>
      <w:proofErr w:type="gramEnd"/>
      <w:r w:rsidRPr="00E35935">
        <w:rPr>
          <w:rStyle w:val="DotpointChar"/>
        </w:rPr>
        <w:t xml:space="preserve"> Zhao (2019</w:t>
      </w:r>
      <w:r w:rsidRPr="008234CB">
        <w:rPr>
          <w:rFonts w:cs="Calibri Light"/>
          <w:bCs/>
        </w:rPr>
        <w:t>)</w:t>
      </w:r>
      <w:r w:rsidRPr="009D6F7C">
        <w:rPr>
          <w:rStyle w:val="FootnoteReference"/>
          <w:rFonts w:cs="Calibri Light"/>
          <w:bCs/>
          <w:vertAlign w:val="superscript"/>
        </w:rPr>
        <w:footnoteReference w:id="23"/>
      </w:r>
      <w:r w:rsidRPr="009D6F7C">
        <w:rPr>
          <w:rFonts w:cs="Calibri Light"/>
          <w:bCs/>
          <w:vertAlign w:val="superscript"/>
        </w:rPr>
        <w:t xml:space="preserve"> </w:t>
      </w:r>
      <w:r w:rsidR="00CC7365" w:rsidRPr="00E35935">
        <w:rPr>
          <w:rStyle w:val="DotpointChar"/>
        </w:rPr>
        <w:t xml:space="preserve">studied </w:t>
      </w:r>
      <w:r w:rsidRPr="00E35935">
        <w:rPr>
          <w:rStyle w:val="DotpointChar"/>
        </w:rPr>
        <w:t>the 1997 Boeing-McDonnell Douglas merger in the wide-bodied aircraft manufacturing industry and find evidence of</w:t>
      </w:r>
      <w:r w:rsidR="0058333C">
        <w:rPr>
          <w:rStyle w:val="DotpointChar"/>
        </w:rPr>
        <w:t xml:space="preserve"> </w:t>
      </w:r>
      <w:r w:rsidR="009E3A3D">
        <w:rPr>
          <w:rStyle w:val="DotpointChar"/>
        </w:rPr>
        <w:t xml:space="preserve">efficiencies through </w:t>
      </w:r>
      <w:r w:rsidRPr="00E35935">
        <w:rPr>
          <w:rStyle w:val="DotpointChar"/>
        </w:rPr>
        <w:t>increased learning by doing due to the merger.</w:t>
      </w:r>
      <w:r w:rsidRPr="008234CB">
        <w:rPr>
          <w:rFonts w:cs="Calibri Light"/>
          <w:bCs/>
        </w:rPr>
        <w:t xml:space="preserve"> </w:t>
      </w:r>
    </w:p>
    <w:p w14:paraId="63F5C722" w14:textId="5045A375" w:rsidR="007625EE" w:rsidRPr="008234CB" w:rsidRDefault="007625EE" w:rsidP="007625EE">
      <w:pPr>
        <w:pStyle w:val="Bullet"/>
        <w:numPr>
          <w:ilvl w:val="0"/>
          <w:numId w:val="26"/>
        </w:numPr>
        <w:tabs>
          <w:tab w:val="clear" w:pos="720"/>
        </w:tabs>
        <w:spacing w:before="96" w:after="96" w:line="240" w:lineRule="auto"/>
        <w:rPr>
          <w:rFonts w:cs="Calibri Light"/>
          <w:b/>
          <w:bCs/>
          <w:u w:val="single"/>
        </w:rPr>
      </w:pPr>
      <w:proofErr w:type="spellStart"/>
      <w:r w:rsidRPr="00E35935">
        <w:rPr>
          <w:rStyle w:val="DotpointChar"/>
        </w:rPr>
        <w:t>Genakos</w:t>
      </w:r>
      <w:proofErr w:type="spellEnd"/>
      <w:r w:rsidRPr="00E35935">
        <w:rPr>
          <w:rStyle w:val="DotpointChar"/>
        </w:rPr>
        <w:t xml:space="preserve"> et al. (2018</w:t>
      </w:r>
      <w:r w:rsidR="00FD50D3" w:rsidRPr="00E35935">
        <w:rPr>
          <w:rStyle w:val="DotpointChar"/>
        </w:rPr>
        <w:t>)</w:t>
      </w:r>
      <w:r w:rsidR="00821C6A">
        <w:rPr>
          <w:rFonts w:cs="Calibri Light"/>
          <w:bCs/>
        </w:rPr>
        <w:t>,</w:t>
      </w:r>
      <w:r w:rsidR="000004FA" w:rsidRPr="00630E3A">
        <w:rPr>
          <w:rStyle w:val="FootnoteReference"/>
          <w:rFonts w:cs="Calibri Light"/>
          <w:bCs/>
          <w:vertAlign w:val="superscript"/>
        </w:rPr>
        <w:footnoteReference w:id="24"/>
      </w:r>
      <w:r w:rsidRPr="00630E3A">
        <w:rPr>
          <w:rFonts w:cs="Calibri Light"/>
          <w:bCs/>
          <w:vertAlign w:val="superscript"/>
        </w:rPr>
        <w:t xml:space="preserve"> </w:t>
      </w:r>
      <w:r w:rsidRPr="00E35935">
        <w:rPr>
          <w:rStyle w:val="DotpointChar"/>
        </w:rPr>
        <w:t xml:space="preserve">in the context of telecommunications mergers, </w:t>
      </w:r>
      <w:r w:rsidR="00CC7365" w:rsidRPr="00E35935">
        <w:rPr>
          <w:rStyle w:val="DotpointChar"/>
        </w:rPr>
        <w:t xml:space="preserve">found </w:t>
      </w:r>
      <w:r w:rsidRPr="00E35935">
        <w:rPr>
          <w:rStyle w:val="DotpointChar"/>
        </w:rPr>
        <w:t>evidence suggestive of increased investment</w:t>
      </w:r>
      <w:r w:rsidR="00C01829">
        <w:rPr>
          <w:rStyle w:val="DotpointChar"/>
        </w:rPr>
        <w:t xml:space="preserve"> per operator</w:t>
      </w:r>
      <w:r w:rsidRPr="00E35935">
        <w:rPr>
          <w:rStyle w:val="DotpointChar"/>
        </w:rPr>
        <w:t xml:space="preserve"> post-merger.</w:t>
      </w:r>
      <w:r w:rsidRPr="008234CB">
        <w:rPr>
          <w:rFonts w:cs="Calibri Light"/>
          <w:bCs/>
        </w:rPr>
        <w:t xml:space="preserve"> </w:t>
      </w:r>
    </w:p>
    <w:p w14:paraId="1A064118" w14:textId="3ECFA147" w:rsidR="0043050D" w:rsidRPr="008234CB" w:rsidRDefault="0043050D" w:rsidP="0043050D">
      <w:pPr>
        <w:pStyle w:val="Bullet"/>
        <w:numPr>
          <w:ilvl w:val="0"/>
          <w:numId w:val="26"/>
        </w:numPr>
        <w:tabs>
          <w:tab w:val="clear" w:pos="720"/>
        </w:tabs>
        <w:spacing w:before="96" w:after="96" w:line="240" w:lineRule="auto"/>
        <w:rPr>
          <w:rFonts w:cs="Calibri Light"/>
          <w:b/>
          <w:bCs/>
        </w:rPr>
      </w:pPr>
      <w:proofErr w:type="spellStart"/>
      <w:r w:rsidRPr="00E35935">
        <w:rPr>
          <w:rStyle w:val="DotpointChar"/>
        </w:rPr>
        <w:t>Grieco</w:t>
      </w:r>
      <w:proofErr w:type="spellEnd"/>
      <w:r w:rsidRPr="00E35935">
        <w:rPr>
          <w:rStyle w:val="DotpointChar"/>
        </w:rPr>
        <w:t xml:space="preserve"> et al. (2018)</w:t>
      </w:r>
      <w:r w:rsidR="00923836" w:rsidRPr="007625EE">
        <w:rPr>
          <w:rStyle w:val="FootnoteReference"/>
          <w:rFonts w:cs="Calibri Light"/>
          <w:bCs/>
          <w:vertAlign w:val="superscript"/>
        </w:rPr>
        <w:footnoteReference w:id="25"/>
      </w:r>
      <w:r w:rsidRPr="008234CB">
        <w:rPr>
          <w:rFonts w:cs="Calibri Light"/>
          <w:bCs/>
        </w:rPr>
        <w:t xml:space="preserve"> </w:t>
      </w:r>
      <w:r w:rsidR="00CC7365" w:rsidRPr="00E35935">
        <w:rPr>
          <w:rStyle w:val="DotpointChar"/>
        </w:rPr>
        <w:t xml:space="preserve">found </w:t>
      </w:r>
      <w:r w:rsidRPr="00E35935">
        <w:rPr>
          <w:rStyle w:val="DotpointChar"/>
        </w:rPr>
        <w:t>evidence of returns to scale in production which they translate into marginal cost reductions for the Molson and Coors merger.</w:t>
      </w:r>
    </w:p>
    <w:p w14:paraId="776BFEA4" w14:textId="27A71D77" w:rsidR="007625EE" w:rsidRPr="008234CB" w:rsidRDefault="007625EE" w:rsidP="007625EE">
      <w:pPr>
        <w:pStyle w:val="Bullet"/>
        <w:numPr>
          <w:ilvl w:val="0"/>
          <w:numId w:val="26"/>
        </w:numPr>
        <w:tabs>
          <w:tab w:val="clear" w:pos="720"/>
        </w:tabs>
        <w:spacing w:before="96" w:after="96" w:line="240" w:lineRule="auto"/>
        <w:rPr>
          <w:rFonts w:cs="Calibri Light"/>
          <w:b/>
          <w:bCs/>
        </w:rPr>
      </w:pPr>
      <w:proofErr w:type="spellStart"/>
      <w:r w:rsidRPr="00E35935">
        <w:rPr>
          <w:rStyle w:val="DotpointChar"/>
        </w:rPr>
        <w:t>Ashenfelter</w:t>
      </w:r>
      <w:proofErr w:type="spellEnd"/>
      <w:r w:rsidRPr="00E35935">
        <w:rPr>
          <w:rStyle w:val="DotpointChar"/>
        </w:rPr>
        <w:t xml:space="preserve"> et al. (2015</w:t>
      </w:r>
      <w:r w:rsidR="00CC7365" w:rsidRPr="008234CB">
        <w:rPr>
          <w:rFonts w:cs="Calibri Light"/>
          <w:bCs/>
        </w:rPr>
        <w:t>)</w:t>
      </w:r>
      <w:r w:rsidR="00CC7365" w:rsidRPr="00F12EFC">
        <w:rPr>
          <w:rStyle w:val="FootnoteReference"/>
          <w:rFonts w:cs="Calibri Light"/>
          <w:bCs/>
          <w:vertAlign w:val="superscript"/>
        </w:rPr>
        <w:footnoteReference w:id="26"/>
      </w:r>
      <w:r w:rsidR="00CC7365">
        <w:rPr>
          <w:rFonts w:cs="Calibri Light"/>
          <w:bCs/>
        </w:rPr>
        <w:t xml:space="preserve"> </w:t>
      </w:r>
      <w:r w:rsidR="00CC7365" w:rsidRPr="00E35935">
        <w:rPr>
          <w:rStyle w:val="DotpointChar"/>
        </w:rPr>
        <w:t>found that s</w:t>
      </w:r>
      <w:r w:rsidRPr="00E35935">
        <w:rPr>
          <w:rStyle w:val="DotpointChar"/>
        </w:rPr>
        <w:t>hipping costs reduced from the Miller-Coors merger but took two years to be passed on. Market power effects were realised much faster. Prices were higher in more concentrated markets and less high with smaller shipping distances.</w:t>
      </w:r>
      <w:r w:rsidRPr="008234CB">
        <w:rPr>
          <w:rFonts w:cs="Calibri Light"/>
          <w:bCs/>
        </w:rPr>
        <w:t xml:space="preserve"> </w:t>
      </w:r>
    </w:p>
    <w:p w14:paraId="0514E360" w14:textId="445EB420" w:rsidR="007625EE" w:rsidRPr="008234CB" w:rsidRDefault="007625EE" w:rsidP="007625EE">
      <w:pPr>
        <w:pStyle w:val="Bullet"/>
        <w:numPr>
          <w:ilvl w:val="0"/>
          <w:numId w:val="26"/>
        </w:numPr>
        <w:tabs>
          <w:tab w:val="clear" w:pos="720"/>
        </w:tabs>
        <w:spacing w:before="96" w:after="96" w:line="240" w:lineRule="auto"/>
        <w:rPr>
          <w:rFonts w:cs="Calibri Light"/>
          <w:b/>
          <w:bCs/>
        </w:rPr>
      </w:pPr>
      <w:proofErr w:type="spellStart"/>
      <w:r w:rsidRPr="00E35935">
        <w:rPr>
          <w:rStyle w:val="DotpointChar"/>
        </w:rPr>
        <w:t>Braguinsky</w:t>
      </w:r>
      <w:proofErr w:type="spellEnd"/>
      <w:r w:rsidRPr="00E35935">
        <w:rPr>
          <w:rStyle w:val="DotpointChar"/>
        </w:rPr>
        <w:t xml:space="preserve"> et al. (2015)</w:t>
      </w:r>
      <w:r w:rsidRPr="006E0455">
        <w:rPr>
          <w:rStyle w:val="FootnoteReference"/>
          <w:rFonts w:cs="Calibri Light"/>
          <w:bCs/>
          <w:vertAlign w:val="superscript"/>
        </w:rPr>
        <w:footnoteReference w:id="27"/>
      </w:r>
      <w:r w:rsidRPr="006E0455">
        <w:rPr>
          <w:rFonts w:cs="Calibri Light"/>
          <w:bCs/>
          <w:vertAlign w:val="superscript"/>
        </w:rPr>
        <w:t xml:space="preserve"> </w:t>
      </w:r>
      <w:r w:rsidRPr="00E35935">
        <w:rPr>
          <w:rStyle w:val="DotpointChar"/>
        </w:rPr>
        <w:t>examine</w:t>
      </w:r>
      <w:r w:rsidR="00CC7365" w:rsidRPr="00E35935">
        <w:rPr>
          <w:rStyle w:val="DotpointChar"/>
        </w:rPr>
        <w:t>d</w:t>
      </w:r>
      <w:r w:rsidRPr="00E35935">
        <w:rPr>
          <w:rStyle w:val="DotpointChar"/>
        </w:rPr>
        <w:t xml:space="preserve"> the Japanese cotton spinning industry from 1896 to 1920. More profitable firms bought less profitable firms. Market power did not increase profits. Firm productivity increased through better use of capital.</w:t>
      </w:r>
    </w:p>
    <w:p w14:paraId="7CFBE525" w14:textId="39081317" w:rsidR="0043050D" w:rsidRPr="00E35935" w:rsidRDefault="0043050D" w:rsidP="0043050D">
      <w:pPr>
        <w:pStyle w:val="Bullet"/>
        <w:numPr>
          <w:ilvl w:val="0"/>
          <w:numId w:val="26"/>
        </w:numPr>
        <w:tabs>
          <w:tab w:val="clear" w:pos="720"/>
        </w:tabs>
        <w:spacing w:before="96" w:after="96" w:line="240" w:lineRule="auto"/>
        <w:rPr>
          <w:rStyle w:val="DotpointChar"/>
        </w:rPr>
      </w:pPr>
      <w:r w:rsidRPr="00E35935">
        <w:rPr>
          <w:rStyle w:val="DotpointChar"/>
        </w:rPr>
        <w:t>Vita and Sacher (2001</w:t>
      </w:r>
      <w:r w:rsidRPr="008234CB">
        <w:rPr>
          <w:rFonts w:cs="Calibri Light"/>
          <w:bCs/>
        </w:rPr>
        <w:t>)</w:t>
      </w:r>
      <w:r w:rsidR="00082DBD" w:rsidRPr="00696C79">
        <w:rPr>
          <w:rStyle w:val="FootnoteReference"/>
          <w:rFonts w:cs="Calibri Light"/>
          <w:vertAlign w:val="superscript"/>
        </w:rPr>
        <w:footnoteReference w:id="28"/>
      </w:r>
      <w:r w:rsidRPr="008234CB">
        <w:rPr>
          <w:rFonts w:cs="Calibri Light"/>
          <w:bCs/>
        </w:rPr>
        <w:t xml:space="preserve"> </w:t>
      </w:r>
      <w:r w:rsidR="00CC7365" w:rsidRPr="00E35935">
        <w:rPr>
          <w:rStyle w:val="DotpointChar"/>
        </w:rPr>
        <w:t xml:space="preserve">found </w:t>
      </w:r>
      <w:r w:rsidRPr="00E35935">
        <w:rPr>
          <w:rStyle w:val="DotpointChar"/>
        </w:rPr>
        <w:t xml:space="preserve">large price </w:t>
      </w:r>
      <w:proofErr w:type="gramStart"/>
      <w:r w:rsidRPr="00E35935">
        <w:rPr>
          <w:rStyle w:val="DotpointChar"/>
        </w:rPr>
        <w:t>increases</w:t>
      </w:r>
      <w:proofErr w:type="gramEnd"/>
      <w:r w:rsidRPr="00E35935">
        <w:rPr>
          <w:rStyle w:val="DotpointChar"/>
        </w:rPr>
        <w:t xml:space="preserve"> not reflecting increases in service quality following a hospital merger in Santa Cruz, California.</w:t>
      </w:r>
    </w:p>
    <w:p w14:paraId="6692BBD1" w14:textId="77777777" w:rsidR="0043050D" w:rsidRPr="008234CB" w:rsidRDefault="0043050D" w:rsidP="0043050D">
      <w:pPr>
        <w:spacing w:before="96" w:after="96"/>
        <w:rPr>
          <w:rFonts w:cs="Calibri Light"/>
          <w:b/>
          <w:bCs/>
          <w:u w:val="single"/>
        </w:rPr>
      </w:pPr>
      <w:r w:rsidRPr="008234CB">
        <w:rPr>
          <w:rFonts w:cs="Calibri Light"/>
          <w:bCs/>
          <w:u w:val="single"/>
        </w:rPr>
        <w:t>Vertical mergers</w:t>
      </w:r>
    </w:p>
    <w:p w14:paraId="263C390A" w14:textId="05D11C0C" w:rsidR="0043050D" w:rsidRPr="008234CB" w:rsidRDefault="0043050D" w:rsidP="0043050D">
      <w:pPr>
        <w:pStyle w:val="Bullet"/>
        <w:numPr>
          <w:ilvl w:val="0"/>
          <w:numId w:val="26"/>
        </w:numPr>
        <w:tabs>
          <w:tab w:val="clear" w:pos="720"/>
        </w:tabs>
        <w:spacing w:before="96" w:after="96" w:line="240" w:lineRule="auto"/>
        <w:rPr>
          <w:rFonts w:cs="Calibri Light"/>
          <w:b/>
          <w:bCs/>
        </w:rPr>
      </w:pPr>
      <w:proofErr w:type="spellStart"/>
      <w:r w:rsidRPr="00E35935">
        <w:rPr>
          <w:rStyle w:val="DotpointChar"/>
        </w:rPr>
        <w:t>Luco</w:t>
      </w:r>
      <w:proofErr w:type="spellEnd"/>
      <w:r w:rsidRPr="00E35935">
        <w:rPr>
          <w:rStyle w:val="DotpointChar"/>
        </w:rPr>
        <w:t xml:space="preserve"> and Marshall (2020</w:t>
      </w:r>
      <w:r w:rsidRPr="008234CB">
        <w:rPr>
          <w:rFonts w:cs="Calibri Light"/>
          <w:bCs/>
        </w:rPr>
        <w:t>)</w:t>
      </w:r>
      <w:r w:rsidR="009C5337" w:rsidRPr="009C5337">
        <w:rPr>
          <w:rStyle w:val="FootnoteReference"/>
          <w:rFonts w:cs="Calibri Light"/>
          <w:bCs/>
          <w:vertAlign w:val="superscript"/>
        </w:rPr>
        <w:footnoteReference w:id="29"/>
      </w:r>
      <w:r w:rsidRPr="008234CB">
        <w:rPr>
          <w:rFonts w:cs="Calibri Light"/>
          <w:bCs/>
        </w:rPr>
        <w:t xml:space="preserve"> </w:t>
      </w:r>
      <w:r w:rsidRPr="00E35935">
        <w:rPr>
          <w:rStyle w:val="DotpointChar"/>
        </w:rPr>
        <w:t>found when Coca-Cola integrates with a bottler, the price of Coca-Cola products goes down and the price of Dr Pepper products (a non</w:t>
      </w:r>
      <w:r w:rsidR="000057CA">
        <w:rPr>
          <w:rFonts w:cs="Calibri Light"/>
          <w:bCs/>
        </w:rPr>
        <w:noBreakHyphen/>
      </w:r>
      <w:r w:rsidRPr="00E35935">
        <w:rPr>
          <w:rStyle w:val="DotpointChar"/>
        </w:rPr>
        <w:t>vertically integrated firm) goes up.</w:t>
      </w:r>
      <w:r w:rsidRPr="008234CB">
        <w:rPr>
          <w:rFonts w:cs="Calibri Light"/>
          <w:bCs/>
        </w:rPr>
        <w:t xml:space="preserve"> </w:t>
      </w:r>
    </w:p>
    <w:p w14:paraId="6F64EEA0" w14:textId="422D9ECC" w:rsidR="0043050D" w:rsidRPr="008234CB" w:rsidRDefault="0043050D" w:rsidP="0043050D">
      <w:pPr>
        <w:pStyle w:val="Bullet"/>
        <w:numPr>
          <w:ilvl w:val="0"/>
          <w:numId w:val="26"/>
        </w:numPr>
        <w:tabs>
          <w:tab w:val="clear" w:pos="720"/>
        </w:tabs>
        <w:spacing w:before="96" w:after="96" w:line="240" w:lineRule="auto"/>
        <w:rPr>
          <w:rFonts w:cs="Calibri Light"/>
          <w:b/>
          <w:bCs/>
        </w:rPr>
      </w:pPr>
      <w:r w:rsidRPr="008234CB">
        <w:rPr>
          <w:rFonts w:cs="Calibri Light"/>
          <w:bCs/>
        </w:rPr>
        <w:t>Crawford et al. (2018)</w:t>
      </w:r>
      <w:r w:rsidR="00224854" w:rsidRPr="00A97E6D">
        <w:rPr>
          <w:rStyle w:val="FootnoteReference"/>
          <w:rFonts w:cs="Calibri Light"/>
          <w:bCs/>
          <w:vertAlign w:val="superscript"/>
        </w:rPr>
        <w:footnoteReference w:id="30"/>
      </w:r>
      <w:r w:rsidRPr="008234CB">
        <w:rPr>
          <w:rFonts w:cs="Calibri Light"/>
          <w:bCs/>
        </w:rPr>
        <w:t xml:space="preserve"> </w:t>
      </w:r>
      <w:r w:rsidR="00CC7365" w:rsidRPr="00E35935">
        <w:rPr>
          <w:rStyle w:val="DotpointChar"/>
        </w:rPr>
        <w:t>found</w:t>
      </w:r>
      <w:r w:rsidRPr="00E35935">
        <w:rPr>
          <w:rStyle w:val="DotpointChar"/>
        </w:rPr>
        <w:t xml:space="preserve"> evidence consistent with the elimination of double margins for vertical integration in cable television.</w:t>
      </w:r>
    </w:p>
    <w:p w14:paraId="0E236099" w14:textId="4076A662" w:rsidR="0043050D" w:rsidRPr="008234CB" w:rsidRDefault="0043050D" w:rsidP="0043050D">
      <w:pPr>
        <w:pStyle w:val="Bullet"/>
        <w:numPr>
          <w:ilvl w:val="0"/>
          <w:numId w:val="26"/>
        </w:numPr>
        <w:tabs>
          <w:tab w:val="clear" w:pos="720"/>
        </w:tabs>
        <w:spacing w:before="96" w:after="96" w:line="240" w:lineRule="auto"/>
        <w:rPr>
          <w:rFonts w:cs="Calibri Light"/>
          <w:b/>
          <w:bCs/>
        </w:rPr>
      </w:pPr>
      <w:proofErr w:type="spellStart"/>
      <w:r w:rsidRPr="00E35935">
        <w:rPr>
          <w:rStyle w:val="DotpointChar"/>
        </w:rPr>
        <w:t>Hortascu</w:t>
      </w:r>
      <w:proofErr w:type="spellEnd"/>
      <w:r w:rsidRPr="00E35935">
        <w:rPr>
          <w:rStyle w:val="DotpointChar"/>
        </w:rPr>
        <w:t xml:space="preserve"> and </w:t>
      </w:r>
      <w:proofErr w:type="spellStart"/>
      <w:r w:rsidRPr="00E35935">
        <w:rPr>
          <w:rStyle w:val="DotpointChar"/>
        </w:rPr>
        <w:t>Syverson</w:t>
      </w:r>
      <w:proofErr w:type="spellEnd"/>
      <w:r w:rsidRPr="00E35935">
        <w:rPr>
          <w:rStyle w:val="DotpointChar"/>
        </w:rPr>
        <w:t xml:space="preserve"> (2007</w:t>
      </w:r>
      <w:r w:rsidRPr="008234CB">
        <w:rPr>
          <w:rFonts w:cs="Calibri Light"/>
          <w:bCs/>
        </w:rPr>
        <w:t>)</w:t>
      </w:r>
      <w:r w:rsidR="00224854" w:rsidRPr="00A97E6D">
        <w:rPr>
          <w:rStyle w:val="FootnoteReference"/>
          <w:rFonts w:cs="Calibri Light"/>
          <w:bCs/>
          <w:vertAlign w:val="superscript"/>
        </w:rPr>
        <w:footnoteReference w:id="31"/>
      </w:r>
      <w:r w:rsidRPr="008234CB">
        <w:rPr>
          <w:rFonts w:cs="Calibri Light"/>
          <w:bCs/>
        </w:rPr>
        <w:t xml:space="preserve"> </w:t>
      </w:r>
      <w:r w:rsidR="00CC7365" w:rsidRPr="00E35935">
        <w:rPr>
          <w:rStyle w:val="DotpointChar"/>
        </w:rPr>
        <w:t xml:space="preserve">found </w:t>
      </w:r>
      <w:r w:rsidRPr="00E35935">
        <w:rPr>
          <w:rStyle w:val="DotpointChar"/>
        </w:rPr>
        <w:t>that integrated cement and concrete firms are better able to realise scale economies when the integrated entity operates multiple concrete plants</w:t>
      </w:r>
      <w:r w:rsidR="00783348">
        <w:rPr>
          <w:rStyle w:val="DotpointChar"/>
        </w:rPr>
        <w:t xml:space="preserve"> in the same market</w:t>
      </w:r>
      <w:r w:rsidRPr="00E35935">
        <w:rPr>
          <w:rStyle w:val="DotpointChar"/>
        </w:rPr>
        <w:t>.</w:t>
      </w:r>
    </w:p>
    <w:p w14:paraId="550391E7" w14:textId="452C07CA" w:rsidR="00630E3A" w:rsidRPr="00630E3A" w:rsidRDefault="0043050D" w:rsidP="0043050D">
      <w:pPr>
        <w:pStyle w:val="Bullet"/>
        <w:numPr>
          <w:ilvl w:val="0"/>
          <w:numId w:val="26"/>
        </w:numPr>
        <w:tabs>
          <w:tab w:val="clear" w:pos="720"/>
        </w:tabs>
        <w:spacing w:before="96" w:after="96" w:line="240" w:lineRule="auto"/>
        <w:rPr>
          <w:rFonts w:cs="Calibri Light"/>
          <w:b/>
          <w:bCs/>
        </w:rPr>
      </w:pPr>
      <w:r w:rsidRPr="00E35935">
        <w:rPr>
          <w:rStyle w:val="DotpointChar"/>
        </w:rPr>
        <w:t xml:space="preserve">Gil and </w:t>
      </w:r>
      <w:proofErr w:type="spellStart"/>
      <w:r w:rsidRPr="00E35935">
        <w:rPr>
          <w:rStyle w:val="DotpointChar"/>
        </w:rPr>
        <w:t>Warzynski</w:t>
      </w:r>
      <w:proofErr w:type="spellEnd"/>
      <w:r w:rsidRPr="00E35935">
        <w:rPr>
          <w:rStyle w:val="DotpointChar"/>
        </w:rPr>
        <w:t xml:space="preserve"> (2014</w:t>
      </w:r>
      <w:r w:rsidRPr="008234CB">
        <w:rPr>
          <w:rFonts w:cs="Calibri Light"/>
          <w:bCs/>
        </w:rPr>
        <w:t>)</w:t>
      </w:r>
      <w:r w:rsidR="00630E3A" w:rsidRPr="00630E3A">
        <w:rPr>
          <w:rStyle w:val="FootnoteReference"/>
          <w:rFonts w:cs="Calibri Light"/>
          <w:bCs/>
          <w:vertAlign w:val="superscript"/>
        </w:rPr>
        <w:footnoteReference w:id="32"/>
      </w:r>
      <w:r w:rsidRPr="008234CB">
        <w:rPr>
          <w:rFonts w:cs="Calibri Light"/>
          <w:bCs/>
        </w:rPr>
        <w:t xml:space="preserve"> </w:t>
      </w:r>
      <w:r w:rsidR="00CC7365" w:rsidRPr="00E35935">
        <w:rPr>
          <w:rStyle w:val="DotpointChar"/>
        </w:rPr>
        <w:t xml:space="preserve">found </w:t>
      </w:r>
      <w:r w:rsidRPr="00E35935">
        <w:rPr>
          <w:rStyle w:val="DotpointChar"/>
        </w:rPr>
        <w:t xml:space="preserve">that integrated games developers </w:t>
      </w:r>
      <w:r w:rsidR="004C643A">
        <w:rPr>
          <w:rStyle w:val="DotpointChar"/>
        </w:rPr>
        <w:t xml:space="preserve">produce </w:t>
      </w:r>
      <w:r w:rsidR="00F92EED">
        <w:rPr>
          <w:rStyle w:val="DotpointChar"/>
        </w:rPr>
        <w:t xml:space="preserve">higher revenues and sell more units at higher prices </w:t>
      </w:r>
      <w:proofErr w:type="gramStart"/>
      <w:r w:rsidR="00F92EED">
        <w:rPr>
          <w:rStyle w:val="DotpointChar"/>
        </w:rPr>
        <w:t>as a result of</w:t>
      </w:r>
      <w:proofErr w:type="gramEnd"/>
      <w:r w:rsidR="00F92EED">
        <w:rPr>
          <w:rStyle w:val="DotpointChar"/>
        </w:rPr>
        <w:t xml:space="preserve"> better release and marketing strategies</w:t>
      </w:r>
      <w:r w:rsidR="00630E3A" w:rsidRPr="00E35935">
        <w:rPr>
          <w:rStyle w:val="DotpointChar"/>
        </w:rPr>
        <w:t>.</w:t>
      </w:r>
      <w:r w:rsidRPr="008234CB">
        <w:rPr>
          <w:rFonts w:cs="Calibri Light"/>
          <w:bCs/>
        </w:rPr>
        <w:t xml:space="preserve"> </w:t>
      </w:r>
    </w:p>
    <w:p w14:paraId="4A7E97C9" w14:textId="77777777" w:rsidR="0043050D" w:rsidRPr="008234CB" w:rsidRDefault="0043050D" w:rsidP="0043050D">
      <w:pPr>
        <w:spacing w:before="96" w:after="96"/>
        <w:rPr>
          <w:rFonts w:cs="Calibri Light"/>
          <w:u w:val="single"/>
        </w:rPr>
      </w:pPr>
      <w:r w:rsidRPr="008234CB">
        <w:rPr>
          <w:rFonts w:cs="Calibri Light"/>
          <w:u w:val="single"/>
        </w:rPr>
        <w:t>Other studies of note</w:t>
      </w:r>
    </w:p>
    <w:p w14:paraId="7591E2EB" w14:textId="7B864026" w:rsidR="0043050D" w:rsidRPr="008234CB" w:rsidRDefault="0043050D" w:rsidP="0043050D">
      <w:pPr>
        <w:pStyle w:val="Bullet"/>
        <w:numPr>
          <w:ilvl w:val="0"/>
          <w:numId w:val="26"/>
        </w:numPr>
        <w:tabs>
          <w:tab w:val="clear" w:pos="720"/>
        </w:tabs>
        <w:spacing w:before="96" w:after="96" w:line="240" w:lineRule="auto"/>
        <w:rPr>
          <w:rFonts w:cs="Calibri Light"/>
          <w:b/>
          <w:bCs/>
          <w:u w:val="single"/>
        </w:rPr>
      </w:pPr>
      <w:r w:rsidRPr="00E35935">
        <w:rPr>
          <w:rStyle w:val="DotpointChar"/>
        </w:rPr>
        <w:lastRenderedPageBreak/>
        <w:t>Cunningham et al. (2021</w:t>
      </w:r>
      <w:r w:rsidRPr="008234CB">
        <w:rPr>
          <w:rFonts w:cs="Calibri Light"/>
          <w:bCs/>
        </w:rPr>
        <w:t>)</w:t>
      </w:r>
      <w:r w:rsidR="00263226" w:rsidRPr="00263226">
        <w:rPr>
          <w:rStyle w:val="FootnoteReference"/>
          <w:rFonts w:cs="Calibri Light"/>
          <w:bCs/>
          <w:vertAlign w:val="superscript"/>
        </w:rPr>
        <w:footnoteReference w:id="33"/>
      </w:r>
      <w:r w:rsidRPr="00263226">
        <w:rPr>
          <w:rFonts w:cs="Calibri Light"/>
          <w:bCs/>
          <w:vertAlign w:val="superscript"/>
        </w:rPr>
        <w:t xml:space="preserve"> </w:t>
      </w:r>
      <w:r w:rsidRPr="00E35935">
        <w:rPr>
          <w:rStyle w:val="DotpointChar"/>
        </w:rPr>
        <w:t>use</w:t>
      </w:r>
      <w:r w:rsidR="00CC7365" w:rsidRPr="00E35935">
        <w:rPr>
          <w:rStyle w:val="DotpointChar"/>
        </w:rPr>
        <w:t>d</w:t>
      </w:r>
      <w:r w:rsidRPr="00E35935">
        <w:rPr>
          <w:rStyle w:val="DotpointChar"/>
        </w:rPr>
        <w:t xml:space="preserve"> data from the US pharmaceutical industry to </w:t>
      </w:r>
      <w:r w:rsidR="00BB7A78">
        <w:rPr>
          <w:rStyle w:val="DotpointChar"/>
        </w:rPr>
        <w:t>estimate between 5 to 7 perce</w:t>
      </w:r>
      <w:r w:rsidR="00B33F47">
        <w:rPr>
          <w:rStyle w:val="DotpointChar"/>
        </w:rPr>
        <w:t>n</w:t>
      </w:r>
      <w:r w:rsidR="00BB7A78">
        <w:rPr>
          <w:rStyle w:val="DotpointChar"/>
        </w:rPr>
        <w:t xml:space="preserve">t of </w:t>
      </w:r>
      <w:r w:rsidR="00B33F47">
        <w:rPr>
          <w:rStyle w:val="DotpointChar"/>
        </w:rPr>
        <w:t>acquisitions in the samp</w:t>
      </w:r>
      <w:r w:rsidR="0037720B">
        <w:rPr>
          <w:rStyle w:val="DotpointChar"/>
        </w:rPr>
        <w:t>l</w:t>
      </w:r>
      <w:r w:rsidR="00B33F47">
        <w:rPr>
          <w:rStyle w:val="DotpointChar"/>
        </w:rPr>
        <w:t>e are killer acquisitions and disproportionately occur</w:t>
      </w:r>
      <w:r w:rsidRPr="00E35935">
        <w:rPr>
          <w:rStyle w:val="DotpointChar"/>
        </w:rPr>
        <w:t xml:space="preserve"> just below the notification threshold.</w:t>
      </w:r>
    </w:p>
    <w:p w14:paraId="78BB3699" w14:textId="558CCF83" w:rsidR="0043050D" w:rsidRPr="00E35935" w:rsidRDefault="0043050D" w:rsidP="0043050D">
      <w:pPr>
        <w:pStyle w:val="Bullet"/>
        <w:numPr>
          <w:ilvl w:val="0"/>
          <w:numId w:val="26"/>
        </w:numPr>
        <w:tabs>
          <w:tab w:val="clear" w:pos="720"/>
        </w:tabs>
        <w:spacing w:before="96" w:after="96" w:line="240" w:lineRule="auto"/>
        <w:rPr>
          <w:rStyle w:val="DotpointChar"/>
        </w:rPr>
      </w:pPr>
      <w:r w:rsidRPr="00E35935">
        <w:rPr>
          <w:rStyle w:val="DotpointChar"/>
        </w:rPr>
        <w:t>Collard-Wexler (2014</w:t>
      </w:r>
      <w:r w:rsidRPr="008234CB">
        <w:rPr>
          <w:rFonts w:cs="Calibri Light"/>
          <w:bCs/>
        </w:rPr>
        <w:t>)</w:t>
      </w:r>
      <w:r w:rsidR="006E7FA7" w:rsidRPr="006E7FA7">
        <w:rPr>
          <w:rStyle w:val="FootnoteReference"/>
          <w:rFonts w:cs="Calibri Light"/>
          <w:bCs/>
          <w:vertAlign w:val="superscript"/>
        </w:rPr>
        <w:footnoteReference w:id="34"/>
      </w:r>
      <w:r w:rsidRPr="006E7FA7">
        <w:rPr>
          <w:rFonts w:cs="Calibri Light"/>
          <w:bCs/>
          <w:vertAlign w:val="superscript"/>
        </w:rPr>
        <w:t xml:space="preserve"> </w:t>
      </w:r>
      <w:r w:rsidR="00CC7365" w:rsidRPr="00E35935">
        <w:rPr>
          <w:rStyle w:val="DotpointChar"/>
        </w:rPr>
        <w:t xml:space="preserve">studied </w:t>
      </w:r>
      <w:r w:rsidRPr="00E35935">
        <w:rPr>
          <w:rStyle w:val="DotpointChar"/>
        </w:rPr>
        <w:t xml:space="preserve">the US ready-mix concrete industry and finds that it takes between nine and 10 years for an entrant to respond to a merger from duopoly to monopoly. </w:t>
      </w:r>
    </w:p>
    <w:p w14:paraId="59387617" w14:textId="4CAD1A5F" w:rsidR="007923A3" w:rsidRPr="008234CB" w:rsidRDefault="007923A3" w:rsidP="006B4DE5">
      <w:pPr>
        <w:rPr>
          <w:rFonts w:cs="Calibri Light"/>
        </w:rPr>
      </w:pPr>
    </w:p>
    <w:sectPr w:rsidR="007923A3" w:rsidRPr="008234CB">
      <w:footerReference w:type="even"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3461" w14:textId="77777777" w:rsidR="00584565" w:rsidRDefault="00584565">
      <w:pPr>
        <w:spacing w:before="0" w:after="0"/>
      </w:pPr>
      <w:r>
        <w:separator/>
      </w:r>
    </w:p>
  </w:endnote>
  <w:endnote w:type="continuationSeparator" w:id="0">
    <w:p w14:paraId="7283AD86" w14:textId="77777777" w:rsidR="00584565" w:rsidRDefault="00584565">
      <w:pPr>
        <w:spacing w:before="0" w:after="0"/>
      </w:pPr>
      <w:r>
        <w:continuationSeparator/>
      </w:r>
    </w:p>
  </w:endnote>
  <w:endnote w:type="continuationNotice" w:id="1">
    <w:p w14:paraId="0FF6A37E" w14:textId="77777777" w:rsidR="00584565" w:rsidRDefault="005845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D76B" w14:textId="672BD625" w:rsidR="00705977" w:rsidRPr="00023B06" w:rsidRDefault="00705977" w:rsidP="00F94936">
    <w:pPr>
      <w:pStyle w:val="FooterEven"/>
      <w:jc w:val="right"/>
      <w:rPr>
        <w:position w:val="-8"/>
      </w:rPr>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0D1002">
      <w:fldChar w:fldCharType="begin"/>
    </w:r>
    <w:r w:rsidR="000D1002">
      <w:instrText>STYLEREF  "Heading 1"  \* MERGEFORMAT</w:instrText>
    </w:r>
    <w:r w:rsidR="000D1002">
      <w:fldChar w:fldCharType="separate"/>
    </w:r>
    <w:r w:rsidR="000D1002">
      <w:t>Economic literature relevant to mergers</w:t>
    </w:r>
    <w:r w:rsidR="000D1002">
      <w:fldChar w:fldCharType="end"/>
    </w:r>
    <w:r w:rsidR="00F94936">
      <w:tab/>
    </w:r>
    <w:r>
      <w:rPr>
        <w:position w:val="-8"/>
      </w:rPr>
      <w:t>Competition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7AB9" w14:textId="77777777" w:rsidR="00584565" w:rsidRPr="00ED5A20" w:rsidRDefault="00584565" w:rsidP="000F6233">
      <w:pPr>
        <w:rPr>
          <w:color w:val="4D7861" w:themeColor="accent2"/>
        </w:rPr>
      </w:pPr>
      <w:r w:rsidRPr="00ED5A20">
        <w:rPr>
          <w:color w:val="4D7861" w:themeColor="accent2"/>
        </w:rPr>
        <w:separator/>
      </w:r>
    </w:p>
  </w:footnote>
  <w:footnote w:type="continuationSeparator" w:id="0">
    <w:p w14:paraId="7E216774" w14:textId="77777777" w:rsidR="00584565" w:rsidRPr="00B737EB" w:rsidRDefault="00584565">
      <w:pPr>
        <w:spacing w:before="0" w:after="0"/>
        <w:rPr>
          <w:color w:val="2C384A" w:themeColor="accent1"/>
        </w:rPr>
      </w:pPr>
      <w:r w:rsidRPr="00B737EB">
        <w:rPr>
          <w:color w:val="2C384A" w:themeColor="accent1"/>
        </w:rPr>
        <w:continuationSeparator/>
      </w:r>
    </w:p>
  </w:footnote>
  <w:footnote w:type="continuationNotice" w:id="1">
    <w:p w14:paraId="02A0F2F6" w14:textId="77777777" w:rsidR="00584565" w:rsidRDefault="00584565">
      <w:pPr>
        <w:spacing w:before="0" w:after="0"/>
      </w:pPr>
    </w:p>
  </w:footnote>
  <w:footnote w:id="2">
    <w:p w14:paraId="14CC179A" w14:textId="00B9981A" w:rsidR="0043050D" w:rsidRPr="00E35935" w:rsidRDefault="0043050D"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w:t>
      </w:r>
      <w:r w:rsidR="00901BB0" w:rsidRPr="00E35935">
        <w:rPr>
          <w:rFonts w:cs="Calibri Light"/>
          <w:sz w:val="16"/>
          <w:szCs w:val="16"/>
        </w:rPr>
        <w:t>D Andrews and D Hansell, ‘</w:t>
      </w:r>
      <w:hyperlink r:id="rId1" w:history="1">
        <w:r w:rsidR="00901BB0" w:rsidRPr="00E35935">
          <w:rPr>
            <w:rStyle w:val="Hyperlink"/>
            <w:rFonts w:cs="Calibri Light"/>
            <w:sz w:val="16"/>
            <w:szCs w:val="16"/>
          </w:rPr>
          <w:t>Productivity-Enhancing Labour Reallocation in Australia’</w:t>
        </w:r>
      </w:hyperlink>
      <w:r w:rsidR="00901BB0" w:rsidRPr="00E35935">
        <w:rPr>
          <w:rFonts w:cs="Calibri Light"/>
          <w:sz w:val="16"/>
          <w:szCs w:val="16"/>
        </w:rPr>
        <w:t>, Australian Treasury, 2019, Working Paper No 2019-06, accessed 28 October 2023; D Andrews, J Hambur, D Hansell and D Wheeler, ‘</w:t>
      </w:r>
      <w:hyperlink r:id="rId2" w:history="1">
        <w:r w:rsidR="00901BB0" w:rsidRPr="00E35935">
          <w:rPr>
            <w:rStyle w:val="Hyperlink"/>
            <w:rFonts w:cs="Calibri Light"/>
            <w:sz w:val="16"/>
            <w:szCs w:val="16"/>
          </w:rPr>
          <w:t>Reaching for the Stars: Australian Firms and the Global Productivity Frontier</w:t>
        </w:r>
      </w:hyperlink>
      <w:r w:rsidR="00901BB0" w:rsidRPr="00E35935">
        <w:rPr>
          <w:rFonts w:cs="Calibri Light"/>
          <w:sz w:val="16"/>
          <w:szCs w:val="16"/>
        </w:rPr>
        <w:t>’, Australian Treasury, 2022, Working Paper No 2022-01, ISBN 978-1-925832-41-9, accessed 28 October 2023.</w:t>
      </w:r>
    </w:p>
  </w:footnote>
  <w:footnote w:id="3">
    <w:p w14:paraId="5CCD8758" w14:textId="78C9A13F" w:rsidR="000862D9" w:rsidRPr="00E35935" w:rsidRDefault="000862D9" w:rsidP="00C03C28">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w:t>
      </w:r>
      <w:r w:rsidR="008F1D33" w:rsidRPr="00E35935">
        <w:rPr>
          <w:rFonts w:cs="Calibri Light"/>
          <w:sz w:val="16"/>
          <w:szCs w:val="16"/>
        </w:rPr>
        <w:t>J</w:t>
      </w:r>
      <w:r w:rsidRPr="00E35935">
        <w:rPr>
          <w:rFonts w:cs="Calibri Light"/>
          <w:sz w:val="16"/>
          <w:szCs w:val="16"/>
        </w:rPr>
        <w:t xml:space="preserve"> Hambur</w:t>
      </w:r>
      <w:r w:rsidR="008F1D33" w:rsidRPr="00E35935">
        <w:rPr>
          <w:rFonts w:cs="Calibri Light"/>
          <w:sz w:val="16"/>
          <w:szCs w:val="16"/>
        </w:rPr>
        <w:t>,</w:t>
      </w:r>
      <w:r w:rsidRPr="00E35935">
        <w:rPr>
          <w:rFonts w:cs="Calibri Light"/>
          <w:sz w:val="16"/>
          <w:szCs w:val="16"/>
        </w:rPr>
        <w:t xml:space="preserve"> ‘Product Market Power and its Implications for the Australian Economy’, Treasury Working Paper</w:t>
      </w:r>
      <w:r w:rsidR="008F1D33" w:rsidRPr="00E35935">
        <w:rPr>
          <w:rFonts w:cs="Calibri Light"/>
          <w:sz w:val="16"/>
          <w:szCs w:val="16"/>
        </w:rPr>
        <w:t>, 2021</w:t>
      </w:r>
      <w:r w:rsidRPr="00E35935">
        <w:rPr>
          <w:rFonts w:cs="Calibri Light"/>
          <w:sz w:val="16"/>
          <w:szCs w:val="16"/>
        </w:rPr>
        <w:t xml:space="preserve">; </w:t>
      </w:r>
      <w:r w:rsidR="00C03C28" w:rsidRPr="00E35935">
        <w:rPr>
          <w:rFonts w:cs="Calibri Light"/>
          <w:sz w:val="16"/>
          <w:szCs w:val="16"/>
        </w:rPr>
        <w:t xml:space="preserve">I </w:t>
      </w:r>
      <w:r w:rsidRPr="00E35935">
        <w:rPr>
          <w:rFonts w:cs="Calibri Light"/>
          <w:sz w:val="16"/>
          <w:szCs w:val="16"/>
        </w:rPr>
        <w:t>Day</w:t>
      </w:r>
      <w:r w:rsidR="00C03C28" w:rsidRPr="00E35935">
        <w:rPr>
          <w:rFonts w:cs="Calibri Light"/>
          <w:sz w:val="16"/>
          <w:szCs w:val="16"/>
        </w:rPr>
        <w:t>, Z</w:t>
      </w:r>
      <w:r w:rsidRPr="00E35935">
        <w:rPr>
          <w:rFonts w:cs="Calibri Light"/>
          <w:sz w:val="16"/>
          <w:szCs w:val="16"/>
        </w:rPr>
        <w:t xml:space="preserve"> </w:t>
      </w:r>
      <w:proofErr w:type="spellStart"/>
      <w:r w:rsidRPr="00E35935">
        <w:rPr>
          <w:rFonts w:cs="Calibri Light"/>
          <w:sz w:val="16"/>
          <w:szCs w:val="16"/>
        </w:rPr>
        <w:t>Duretto</w:t>
      </w:r>
      <w:proofErr w:type="spellEnd"/>
      <w:r w:rsidR="00C03C28" w:rsidRPr="00E35935">
        <w:rPr>
          <w:rFonts w:cs="Calibri Light"/>
          <w:sz w:val="16"/>
          <w:szCs w:val="16"/>
        </w:rPr>
        <w:t>, P</w:t>
      </w:r>
      <w:r w:rsidRPr="00E35935">
        <w:rPr>
          <w:rFonts w:cs="Calibri Light"/>
          <w:sz w:val="16"/>
          <w:szCs w:val="16"/>
        </w:rPr>
        <w:t xml:space="preserve"> Hartigan and </w:t>
      </w:r>
      <w:r w:rsidR="00C03C28" w:rsidRPr="00E35935">
        <w:rPr>
          <w:rFonts w:cs="Calibri Light"/>
          <w:sz w:val="16"/>
          <w:szCs w:val="16"/>
        </w:rPr>
        <w:t xml:space="preserve">J </w:t>
      </w:r>
      <w:r w:rsidRPr="00E35935">
        <w:rPr>
          <w:rFonts w:cs="Calibri Light"/>
          <w:sz w:val="16"/>
          <w:szCs w:val="16"/>
        </w:rPr>
        <w:t>Hambur</w:t>
      </w:r>
      <w:r w:rsidR="00C03C28" w:rsidRPr="00E35935">
        <w:rPr>
          <w:rFonts w:cs="Calibri Light"/>
          <w:sz w:val="16"/>
          <w:szCs w:val="16"/>
        </w:rPr>
        <w:t>, ‘</w:t>
      </w:r>
      <w:hyperlink r:id="rId3" w:history="1">
        <w:r w:rsidR="00C03C28" w:rsidRPr="00E35935">
          <w:rPr>
            <w:rStyle w:val="Hyperlink"/>
            <w:rFonts w:cs="Calibri Light"/>
            <w:sz w:val="16"/>
            <w:szCs w:val="16"/>
          </w:rPr>
          <w:t>Competition in Australia and its impact on productivity growth</w:t>
        </w:r>
      </w:hyperlink>
      <w:r w:rsidR="00C03C28" w:rsidRPr="00E35935">
        <w:rPr>
          <w:rFonts w:cs="Calibri Light"/>
          <w:sz w:val="16"/>
          <w:szCs w:val="16"/>
        </w:rPr>
        <w:t>’, Australian Government</w:t>
      </w:r>
      <w:r w:rsidRPr="00E35935">
        <w:rPr>
          <w:rFonts w:cs="Calibri Light"/>
          <w:sz w:val="16"/>
          <w:szCs w:val="16"/>
        </w:rPr>
        <w:t xml:space="preserve"> Treasury</w:t>
      </w:r>
      <w:r w:rsidR="00C03C28" w:rsidRPr="00E35935">
        <w:rPr>
          <w:rFonts w:cs="Calibri Light"/>
          <w:sz w:val="16"/>
          <w:szCs w:val="16"/>
        </w:rPr>
        <w:t>, 2020, accessed 28</w:t>
      </w:r>
      <w:r w:rsidRPr="00E35935">
        <w:rPr>
          <w:rFonts w:cs="Calibri Light"/>
          <w:sz w:val="16"/>
          <w:szCs w:val="16"/>
        </w:rPr>
        <w:t xml:space="preserve"> October</w:t>
      </w:r>
      <w:r w:rsidR="00C03C28" w:rsidRPr="00E35935">
        <w:rPr>
          <w:rFonts w:cs="Calibri Light"/>
          <w:sz w:val="16"/>
          <w:szCs w:val="16"/>
        </w:rPr>
        <w:t xml:space="preserve"> 2023.</w:t>
      </w:r>
    </w:p>
  </w:footnote>
  <w:footnote w:id="4">
    <w:p w14:paraId="1FFAE410" w14:textId="65CFCFCC" w:rsidR="00765912" w:rsidRPr="00E35935" w:rsidRDefault="00765912"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w:t>
      </w:r>
      <w:r w:rsidR="008F1D33" w:rsidRPr="00E35935">
        <w:rPr>
          <w:rFonts w:cs="Calibri Light"/>
          <w:sz w:val="16"/>
          <w:szCs w:val="16"/>
        </w:rPr>
        <w:t>J</w:t>
      </w:r>
      <w:r w:rsidRPr="00E35935">
        <w:rPr>
          <w:rFonts w:cs="Calibri Light"/>
          <w:sz w:val="16"/>
          <w:szCs w:val="16"/>
        </w:rPr>
        <w:t xml:space="preserve"> </w:t>
      </w:r>
      <w:r w:rsidR="008A61AB" w:rsidRPr="00E35935">
        <w:rPr>
          <w:rFonts w:cs="Calibri Light"/>
          <w:sz w:val="16"/>
          <w:szCs w:val="16"/>
        </w:rPr>
        <w:t>Hambur</w:t>
      </w:r>
      <w:r w:rsidR="008F1D33" w:rsidRPr="00E35935">
        <w:rPr>
          <w:rFonts w:cs="Calibri Light"/>
          <w:sz w:val="16"/>
          <w:szCs w:val="16"/>
        </w:rPr>
        <w:t>,</w:t>
      </w:r>
      <w:r w:rsidR="008A61AB" w:rsidRPr="00E35935">
        <w:rPr>
          <w:rFonts w:cs="Calibri Light"/>
          <w:sz w:val="16"/>
          <w:szCs w:val="16"/>
        </w:rPr>
        <w:t xml:space="preserve"> ‘Product Market Power and its Implications for the Australian Economy’, Treasury Working Paper</w:t>
      </w:r>
      <w:r w:rsidR="008F1D33" w:rsidRPr="00E35935">
        <w:rPr>
          <w:rFonts w:cs="Calibri Light"/>
          <w:sz w:val="16"/>
          <w:szCs w:val="16"/>
        </w:rPr>
        <w:t>,</w:t>
      </w:r>
      <w:r w:rsidR="008A61AB" w:rsidRPr="00E35935">
        <w:rPr>
          <w:rFonts w:cs="Calibri Light"/>
          <w:sz w:val="16"/>
          <w:szCs w:val="16"/>
        </w:rPr>
        <w:t xml:space="preserve"> </w:t>
      </w:r>
      <w:r w:rsidR="008F1D33" w:rsidRPr="00E35935">
        <w:rPr>
          <w:rFonts w:cs="Calibri Light"/>
          <w:sz w:val="16"/>
          <w:szCs w:val="16"/>
        </w:rPr>
        <w:t>2021,</w:t>
      </w:r>
      <w:r w:rsidR="008A61AB" w:rsidRPr="00E35935">
        <w:rPr>
          <w:rFonts w:cs="Calibri Light"/>
          <w:sz w:val="16"/>
          <w:szCs w:val="16"/>
        </w:rPr>
        <w:t xml:space="preserve"> p. 2.</w:t>
      </w:r>
    </w:p>
  </w:footnote>
  <w:footnote w:id="5">
    <w:p w14:paraId="134F9B39" w14:textId="6276D380" w:rsidR="00830E7B" w:rsidRPr="00E35935" w:rsidRDefault="00830E7B"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w:t>
      </w:r>
      <w:r w:rsidR="00F01E60" w:rsidRPr="00E35935">
        <w:rPr>
          <w:rFonts w:cs="Calibri Light"/>
          <w:sz w:val="16"/>
          <w:szCs w:val="16"/>
        </w:rPr>
        <w:t xml:space="preserve">J </w:t>
      </w:r>
      <w:proofErr w:type="spellStart"/>
      <w:r w:rsidR="006A651B" w:rsidRPr="00E35935">
        <w:rPr>
          <w:rFonts w:cs="Calibri Light"/>
          <w:sz w:val="16"/>
          <w:szCs w:val="16"/>
        </w:rPr>
        <w:t>Minifie</w:t>
      </w:r>
      <w:proofErr w:type="spellEnd"/>
      <w:r w:rsidR="006A651B" w:rsidRPr="00E35935">
        <w:rPr>
          <w:rFonts w:cs="Calibri Light"/>
          <w:sz w:val="16"/>
          <w:szCs w:val="16"/>
        </w:rPr>
        <w:t xml:space="preserve"> 2017</w:t>
      </w:r>
      <w:r w:rsidR="00F01E60" w:rsidRPr="00E35935">
        <w:rPr>
          <w:rFonts w:cs="Calibri Light"/>
          <w:sz w:val="16"/>
          <w:szCs w:val="16"/>
        </w:rPr>
        <w:t>,</w:t>
      </w:r>
      <w:r w:rsidR="006A651B" w:rsidRPr="00E35935">
        <w:rPr>
          <w:rFonts w:cs="Calibri Light"/>
          <w:sz w:val="16"/>
          <w:szCs w:val="16"/>
        </w:rPr>
        <w:t xml:space="preserve"> </w:t>
      </w:r>
      <w:r w:rsidR="00F01E60" w:rsidRPr="00E35935">
        <w:rPr>
          <w:rFonts w:cs="Calibri Light"/>
          <w:sz w:val="16"/>
          <w:szCs w:val="16"/>
        </w:rPr>
        <w:t>‘</w:t>
      </w:r>
      <w:hyperlink r:id="rId4" w:history="1">
        <w:r w:rsidR="006A651B" w:rsidRPr="00E35935">
          <w:rPr>
            <w:rStyle w:val="Hyperlink"/>
            <w:rFonts w:cs="Calibri Light"/>
            <w:i/>
            <w:iCs/>
            <w:sz w:val="16"/>
            <w:szCs w:val="16"/>
          </w:rPr>
          <w:t>Competition in Australia: too little of a good thing?</w:t>
        </w:r>
      </w:hyperlink>
      <w:r w:rsidR="00F01E60" w:rsidRPr="00E35935">
        <w:rPr>
          <w:rFonts w:cs="Calibri Light"/>
          <w:i/>
          <w:iCs/>
          <w:sz w:val="16"/>
          <w:szCs w:val="16"/>
        </w:rPr>
        <w:t>’</w:t>
      </w:r>
      <w:r w:rsidR="006A651B" w:rsidRPr="00E35935">
        <w:rPr>
          <w:rFonts w:cs="Calibri Light"/>
          <w:sz w:val="16"/>
          <w:szCs w:val="16"/>
        </w:rPr>
        <w:t xml:space="preserve"> </w:t>
      </w:r>
      <w:r w:rsidR="001C2CA8" w:rsidRPr="00E35935">
        <w:rPr>
          <w:rFonts w:cs="Calibri Light"/>
          <w:sz w:val="16"/>
          <w:szCs w:val="16"/>
        </w:rPr>
        <w:t xml:space="preserve">Grattan Institute, December. </w:t>
      </w:r>
    </w:p>
  </w:footnote>
  <w:footnote w:id="6">
    <w:p w14:paraId="15705290" w14:textId="77777777" w:rsidR="00325F8D" w:rsidRPr="00E35935" w:rsidRDefault="00325F8D" w:rsidP="00325F8D">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Based on the literature reviews in J Asker &amp; V </w:t>
      </w:r>
      <w:proofErr w:type="spellStart"/>
      <w:r w:rsidRPr="00E35935">
        <w:rPr>
          <w:rFonts w:cs="Calibri Light"/>
          <w:sz w:val="16"/>
          <w:szCs w:val="16"/>
        </w:rPr>
        <w:t>Nocke</w:t>
      </w:r>
      <w:proofErr w:type="spellEnd"/>
      <w:r w:rsidRPr="00E35935">
        <w:rPr>
          <w:rFonts w:cs="Calibri Light"/>
          <w:sz w:val="16"/>
          <w:szCs w:val="16"/>
        </w:rPr>
        <w:t xml:space="preserve"> 2021, </w:t>
      </w:r>
      <w:r w:rsidRPr="00E35935">
        <w:rPr>
          <w:rFonts w:cs="Calibri Light"/>
          <w:i/>
          <w:iCs/>
          <w:sz w:val="16"/>
          <w:szCs w:val="16"/>
        </w:rPr>
        <w:t>‘</w:t>
      </w:r>
      <w:hyperlink r:id="rId5" w:history="1">
        <w:r w:rsidRPr="00E35935">
          <w:rPr>
            <w:rStyle w:val="Hyperlink"/>
            <w:rFonts w:cs="Calibri Light"/>
            <w:i/>
            <w:iCs/>
            <w:sz w:val="16"/>
            <w:szCs w:val="16"/>
          </w:rPr>
          <w:t>Collusion, Mergers and Related Antitrust Issues’</w:t>
        </w:r>
      </w:hyperlink>
      <w:r w:rsidRPr="00E35935">
        <w:rPr>
          <w:rFonts w:cs="Calibri Light"/>
          <w:sz w:val="16"/>
          <w:szCs w:val="16"/>
        </w:rPr>
        <w:t xml:space="preserve"> NBER Working Paper 29175; L Kaplow &amp; C Shapiro 2007, ‘</w:t>
      </w:r>
      <w:hyperlink r:id="rId6" w:history="1">
        <w:r w:rsidRPr="00E35935">
          <w:rPr>
            <w:rStyle w:val="Hyperlink"/>
            <w:rFonts w:cs="Calibri Light"/>
            <w:i/>
            <w:iCs/>
            <w:sz w:val="16"/>
            <w:szCs w:val="16"/>
          </w:rPr>
          <w:t>Antitrust</w:t>
        </w:r>
      </w:hyperlink>
      <w:r w:rsidRPr="00E35935">
        <w:rPr>
          <w:rFonts w:cs="Calibri Light"/>
          <w:i/>
          <w:iCs/>
          <w:sz w:val="16"/>
          <w:szCs w:val="16"/>
        </w:rPr>
        <w:t>’</w:t>
      </w:r>
      <w:r w:rsidRPr="00E35935">
        <w:rPr>
          <w:rFonts w:cs="Calibri Light"/>
          <w:sz w:val="16"/>
          <w:szCs w:val="16"/>
        </w:rPr>
        <w:t xml:space="preserve"> NBER Working Paper 12867.</w:t>
      </w:r>
    </w:p>
  </w:footnote>
  <w:footnote w:id="7">
    <w:p w14:paraId="111C0CEC" w14:textId="77777777" w:rsidR="00325F8D" w:rsidRPr="00E35935" w:rsidRDefault="00325F8D" w:rsidP="00325F8D">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V </w:t>
      </w:r>
      <w:proofErr w:type="spellStart"/>
      <w:r w:rsidRPr="00E35935">
        <w:rPr>
          <w:rFonts w:cs="Calibri Light"/>
          <w:sz w:val="16"/>
          <w:szCs w:val="16"/>
        </w:rPr>
        <w:t>Bhattacharaya</w:t>
      </w:r>
      <w:proofErr w:type="spellEnd"/>
      <w:r w:rsidRPr="00E35935">
        <w:rPr>
          <w:rFonts w:cs="Calibri Light"/>
          <w:sz w:val="16"/>
          <w:szCs w:val="16"/>
        </w:rPr>
        <w:t xml:space="preserve">, G </w:t>
      </w:r>
      <w:proofErr w:type="spellStart"/>
      <w:r w:rsidRPr="00E35935">
        <w:rPr>
          <w:rFonts w:cs="Calibri Light"/>
          <w:sz w:val="16"/>
          <w:szCs w:val="16"/>
        </w:rPr>
        <w:t>Illanes</w:t>
      </w:r>
      <w:proofErr w:type="spellEnd"/>
      <w:r w:rsidRPr="00E35935">
        <w:rPr>
          <w:rFonts w:cs="Calibri Light"/>
          <w:sz w:val="16"/>
          <w:szCs w:val="16"/>
        </w:rPr>
        <w:t xml:space="preserve"> &amp; D </w:t>
      </w:r>
      <w:proofErr w:type="spellStart"/>
      <w:r w:rsidRPr="00E35935">
        <w:rPr>
          <w:rFonts w:cs="Calibri Light"/>
          <w:sz w:val="16"/>
          <w:szCs w:val="16"/>
        </w:rPr>
        <w:t>Stillerman</w:t>
      </w:r>
      <w:proofErr w:type="spellEnd"/>
      <w:r w:rsidRPr="00E35935">
        <w:rPr>
          <w:rFonts w:cs="Calibri Light"/>
          <w:sz w:val="16"/>
          <w:szCs w:val="16"/>
        </w:rPr>
        <w:t xml:space="preserve"> 2023, ‘Merger effects and anti-trust enforcement: evidence from US Retail’. </w:t>
      </w:r>
      <w:r w:rsidRPr="00E35935">
        <w:rPr>
          <w:rFonts w:cs="Calibri Light"/>
          <w:i/>
          <w:iCs/>
          <w:sz w:val="16"/>
          <w:szCs w:val="16"/>
        </w:rPr>
        <w:t>NBER Working Paper</w:t>
      </w:r>
      <w:r w:rsidRPr="00E35935">
        <w:rPr>
          <w:rFonts w:cs="Calibri Light"/>
          <w:sz w:val="16"/>
          <w:szCs w:val="16"/>
        </w:rPr>
        <w:t xml:space="preserve"> 31123.</w:t>
      </w:r>
    </w:p>
  </w:footnote>
  <w:footnote w:id="8">
    <w:p w14:paraId="7C286C75" w14:textId="77777777" w:rsidR="00325F8D" w:rsidRPr="00E35935" w:rsidRDefault="00325F8D" w:rsidP="00325F8D">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M </w:t>
      </w:r>
      <w:proofErr w:type="spellStart"/>
      <w:r w:rsidRPr="00E35935">
        <w:rPr>
          <w:rFonts w:cs="Calibri Light"/>
          <w:sz w:val="16"/>
          <w:szCs w:val="16"/>
        </w:rPr>
        <w:t>Demirer</w:t>
      </w:r>
      <w:proofErr w:type="spellEnd"/>
      <w:r w:rsidRPr="00E35935">
        <w:rPr>
          <w:rFonts w:cs="Calibri Light"/>
          <w:sz w:val="16"/>
          <w:szCs w:val="16"/>
        </w:rPr>
        <w:t xml:space="preserve"> &amp; O </w:t>
      </w:r>
      <w:proofErr w:type="spellStart"/>
      <w:r w:rsidRPr="00E35935">
        <w:rPr>
          <w:rFonts w:cs="Calibri Light"/>
          <w:sz w:val="16"/>
          <w:szCs w:val="16"/>
        </w:rPr>
        <w:t>Karaduman</w:t>
      </w:r>
      <w:proofErr w:type="spellEnd"/>
      <w:r w:rsidRPr="00E35935">
        <w:rPr>
          <w:rFonts w:cs="Calibri Light"/>
          <w:sz w:val="16"/>
          <w:szCs w:val="16"/>
        </w:rPr>
        <w:t xml:space="preserve"> 2022, ‘</w:t>
      </w:r>
      <w:hyperlink r:id="rId7" w:history="1">
        <w:r w:rsidRPr="00E35935">
          <w:rPr>
            <w:rStyle w:val="Hyperlink"/>
            <w:rFonts w:cs="Calibri Light"/>
            <w:i/>
            <w:iCs/>
            <w:sz w:val="16"/>
            <w:szCs w:val="16"/>
          </w:rPr>
          <w:t>Do mergers and acquisitions improve efficiency: evidence from power plants’</w:t>
        </w:r>
      </w:hyperlink>
      <w:r w:rsidRPr="00E35935">
        <w:rPr>
          <w:rFonts w:cs="Calibri Light"/>
          <w:sz w:val="16"/>
          <w:szCs w:val="16"/>
        </w:rPr>
        <w:t>, Working Paper</w:t>
      </w:r>
      <w:r w:rsidRPr="00E35935">
        <w:rPr>
          <w:rFonts w:cs="Calibri Light"/>
          <w:i/>
          <w:iCs/>
          <w:sz w:val="16"/>
          <w:szCs w:val="16"/>
        </w:rPr>
        <w:t>.</w:t>
      </w:r>
      <w:r w:rsidRPr="00E35935">
        <w:rPr>
          <w:rFonts w:cs="Calibri Light"/>
          <w:sz w:val="16"/>
          <w:szCs w:val="16"/>
        </w:rPr>
        <w:t xml:space="preserve">  </w:t>
      </w:r>
    </w:p>
  </w:footnote>
  <w:footnote w:id="9">
    <w:p w14:paraId="35D5C395" w14:textId="77777777" w:rsidR="00325F8D" w:rsidRPr="00E35935" w:rsidRDefault="00325F8D" w:rsidP="00325F8D">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J </w:t>
      </w:r>
      <w:proofErr w:type="spellStart"/>
      <w:r w:rsidRPr="00E35935">
        <w:rPr>
          <w:rFonts w:cs="Calibri Light"/>
          <w:sz w:val="16"/>
          <w:szCs w:val="16"/>
        </w:rPr>
        <w:t>Stiebale</w:t>
      </w:r>
      <w:proofErr w:type="spellEnd"/>
      <w:r w:rsidRPr="00E35935">
        <w:rPr>
          <w:rFonts w:cs="Calibri Light"/>
          <w:sz w:val="16"/>
          <w:szCs w:val="16"/>
        </w:rPr>
        <w:t xml:space="preserve"> </w:t>
      </w:r>
      <w:r w:rsidRPr="00E35935">
        <w:rPr>
          <w:rFonts w:cs="Calibri Light"/>
          <w:bCs/>
          <w:sz w:val="16"/>
          <w:szCs w:val="16"/>
        </w:rPr>
        <w:t>&amp;</w:t>
      </w:r>
      <w:r w:rsidRPr="00E35935">
        <w:rPr>
          <w:rFonts w:cs="Calibri Light"/>
          <w:sz w:val="16"/>
          <w:szCs w:val="16"/>
        </w:rPr>
        <w:t xml:space="preserve"> </w:t>
      </w:r>
      <w:r w:rsidRPr="00E35935">
        <w:rPr>
          <w:rFonts w:cs="Calibri Light"/>
          <w:bCs/>
          <w:sz w:val="16"/>
          <w:szCs w:val="16"/>
        </w:rPr>
        <w:t xml:space="preserve">F </w:t>
      </w:r>
      <w:proofErr w:type="spellStart"/>
      <w:r w:rsidRPr="00E35935">
        <w:rPr>
          <w:rFonts w:cs="Calibri Light"/>
          <w:sz w:val="16"/>
          <w:szCs w:val="16"/>
        </w:rPr>
        <w:t>Szücs</w:t>
      </w:r>
      <w:proofErr w:type="spellEnd"/>
      <w:r w:rsidRPr="00E35935">
        <w:rPr>
          <w:rFonts w:cs="Calibri Light"/>
          <w:sz w:val="16"/>
          <w:szCs w:val="16"/>
        </w:rPr>
        <w:t xml:space="preserve"> 2022</w:t>
      </w:r>
      <w:r w:rsidRPr="00E35935">
        <w:rPr>
          <w:rFonts w:cs="Calibri Light"/>
          <w:bCs/>
          <w:sz w:val="16"/>
          <w:szCs w:val="16"/>
        </w:rPr>
        <w:t>,</w:t>
      </w:r>
      <w:r w:rsidRPr="00E35935">
        <w:rPr>
          <w:rFonts w:cs="Calibri Light"/>
          <w:sz w:val="16"/>
          <w:szCs w:val="16"/>
        </w:rPr>
        <w:t xml:space="preserve"> </w:t>
      </w:r>
      <w:r w:rsidRPr="00E35935">
        <w:rPr>
          <w:rFonts w:cs="Calibri Light"/>
          <w:i/>
          <w:iCs/>
          <w:sz w:val="16"/>
          <w:szCs w:val="16"/>
        </w:rPr>
        <w:t xml:space="preserve">‘Mergers and market power: evidence from </w:t>
      </w:r>
      <w:r w:rsidRPr="00E35935">
        <w:rPr>
          <w:rFonts w:cs="Calibri Light"/>
          <w:bCs/>
          <w:i/>
          <w:iCs/>
          <w:sz w:val="16"/>
          <w:szCs w:val="16"/>
        </w:rPr>
        <w:t>rivals'</w:t>
      </w:r>
      <w:r w:rsidRPr="00E35935">
        <w:rPr>
          <w:rFonts w:cs="Calibri Light"/>
          <w:i/>
          <w:iCs/>
          <w:sz w:val="16"/>
          <w:szCs w:val="16"/>
        </w:rPr>
        <w:t xml:space="preserve"> responses in European </w:t>
      </w:r>
      <w:proofErr w:type="gramStart"/>
      <w:r w:rsidRPr="00E35935">
        <w:rPr>
          <w:rFonts w:cs="Calibri Light"/>
          <w:i/>
          <w:iCs/>
          <w:sz w:val="16"/>
          <w:szCs w:val="16"/>
        </w:rPr>
        <w:t>markets’</w:t>
      </w:r>
      <w:proofErr w:type="gramEnd"/>
      <w:r w:rsidRPr="00E35935">
        <w:rPr>
          <w:rFonts w:cs="Calibri Light"/>
          <w:sz w:val="16"/>
          <w:szCs w:val="16"/>
        </w:rPr>
        <w:t xml:space="preserve">. </w:t>
      </w:r>
      <w:r w:rsidRPr="00E35935">
        <w:rPr>
          <w:rFonts w:cs="Calibri Light"/>
          <w:i/>
          <w:sz w:val="16"/>
          <w:szCs w:val="16"/>
        </w:rPr>
        <w:t>RAND Journal of Economics</w:t>
      </w:r>
      <w:r w:rsidRPr="00E35935">
        <w:rPr>
          <w:rFonts w:cs="Calibri Light"/>
          <w:sz w:val="16"/>
          <w:szCs w:val="16"/>
        </w:rPr>
        <w:t>, November</w:t>
      </w:r>
      <w:r w:rsidRPr="00E35935">
        <w:rPr>
          <w:rFonts w:cs="Calibri Light"/>
          <w:bCs/>
          <w:sz w:val="16"/>
          <w:szCs w:val="16"/>
        </w:rPr>
        <w:t>.</w:t>
      </w:r>
    </w:p>
  </w:footnote>
  <w:footnote w:id="10">
    <w:p w14:paraId="64BD075D" w14:textId="77777777" w:rsidR="00325F8D" w:rsidRPr="00E35935" w:rsidRDefault="00325F8D" w:rsidP="00325F8D">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S Ganapati 2020, ‘Growing Oligopolies, Prices, Output, and Productivity’. </w:t>
      </w:r>
      <w:r w:rsidRPr="00E35935">
        <w:rPr>
          <w:rFonts w:cs="Calibri Light"/>
          <w:i/>
          <w:sz w:val="16"/>
          <w:szCs w:val="16"/>
        </w:rPr>
        <w:t>American Economic Journal: Microeconomics</w:t>
      </w:r>
      <w:r w:rsidRPr="00E35935">
        <w:rPr>
          <w:rFonts w:cs="Calibri Light"/>
          <w:sz w:val="16"/>
          <w:szCs w:val="16"/>
        </w:rPr>
        <w:t xml:space="preserve"> 13(3): 309-327.</w:t>
      </w:r>
    </w:p>
  </w:footnote>
  <w:footnote w:id="11">
    <w:p w14:paraId="42D06BA1" w14:textId="77777777" w:rsidR="00325F8D" w:rsidRPr="00E35935" w:rsidRDefault="00325F8D" w:rsidP="00325F8D">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J De </w:t>
      </w:r>
      <w:proofErr w:type="spellStart"/>
      <w:r w:rsidRPr="00E35935">
        <w:rPr>
          <w:rFonts w:cs="Calibri Light"/>
          <w:sz w:val="16"/>
          <w:szCs w:val="16"/>
        </w:rPr>
        <w:t>Loecker</w:t>
      </w:r>
      <w:proofErr w:type="spellEnd"/>
      <w:r w:rsidRPr="00E35935">
        <w:rPr>
          <w:rFonts w:cs="Calibri Light"/>
          <w:sz w:val="16"/>
          <w:szCs w:val="16"/>
        </w:rPr>
        <w:t xml:space="preserve">, J </w:t>
      </w:r>
      <w:proofErr w:type="spellStart"/>
      <w:r w:rsidRPr="00E35935">
        <w:rPr>
          <w:rFonts w:cs="Calibri Light"/>
          <w:sz w:val="16"/>
          <w:szCs w:val="16"/>
        </w:rPr>
        <w:t>Eeckhout</w:t>
      </w:r>
      <w:proofErr w:type="spellEnd"/>
      <w:r w:rsidRPr="00E35935">
        <w:rPr>
          <w:rFonts w:cs="Calibri Light"/>
          <w:sz w:val="16"/>
          <w:szCs w:val="16"/>
        </w:rPr>
        <w:t xml:space="preserve"> &amp; G Unger 2020, ‘The Rise of Market Power and the Macroeconomic Implications’, </w:t>
      </w:r>
      <w:r w:rsidRPr="00E35935">
        <w:rPr>
          <w:rFonts w:cs="Calibri Light"/>
          <w:i/>
          <w:sz w:val="16"/>
          <w:szCs w:val="16"/>
        </w:rPr>
        <w:t>Quarterly Journal of Economics</w:t>
      </w:r>
      <w:r w:rsidRPr="00E35935">
        <w:rPr>
          <w:rFonts w:cs="Calibri Light"/>
          <w:sz w:val="16"/>
          <w:szCs w:val="16"/>
        </w:rPr>
        <w:t xml:space="preserve"> 135(2), 561-644.</w:t>
      </w:r>
    </w:p>
  </w:footnote>
  <w:footnote w:id="12">
    <w:p w14:paraId="50BDC818" w14:textId="58536C52" w:rsidR="00325F8D" w:rsidRPr="00E35935" w:rsidRDefault="00325F8D" w:rsidP="00325F8D">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J De </w:t>
      </w:r>
      <w:proofErr w:type="spellStart"/>
      <w:r w:rsidRPr="00E35935">
        <w:rPr>
          <w:rFonts w:cs="Calibri Light"/>
          <w:sz w:val="16"/>
          <w:szCs w:val="16"/>
        </w:rPr>
        <w:t>Loecker</w:t>
      </w:r>
      <w:proofErr w:type="spellEnd"/>
      <w:r w:rsidRPr="00E35935">
        <w:rPr>
          <w:rFonts w:cs="Calibri Light"/>
          <w:sz w:val="16"/>
          <w:szCs w:val="16"/>
        </w:rPr>
        <w:t xml:space="preserve">, J </w:t>
      </w:r>
      <w:proofErr w:type="spellStart"/>
      <w:r w:rsidRPr="00E35935">
        <w:rPr>
          <w:rFonts w:cs="Calibri Light"/>
          <w:sz w:val="16"/>
          <w:szCs w:val="16"/>
        </w:rPr>
        <w:t>Eeckhout</w:t>
      </w:r>
      <w:proofErr w:type="spellEnd"/>
      <w:r w:rsidRPr="00E35935">
        <w:rPr>
          <w:rFonts w:cs="Calibri Light"/>
          <w:sz w:val="16"/>
          <w:szCs w:val="16"/>
        </w:rPr>
        <w:t xml:space="preserve"> &amp; S </w:t>
      </w:r>
      <w:proofErr w:type="spellStart"/>
      <w:r w:rsidRPr="00E35935">
        <w:rPr>
          <w:rFonts w:cs="Calibri Light"/>
          <w:sz w:val="16"/>
          <w:szCs w:val="16"/>
        </w:rPr>
        <w:t>Mongey</w:t>
      </w:r>
      <w:proofErr w:type="spellEnd"/>
      <w:r w:rsidRPr="00E35935">
        <w:rPr>
          <w:rFonts w:cs="Calibri Light"/>
          <w:sz w:val="16"/>
          <w:szCs w:val="16"/>
        </w:rPr>
        <w:t xml:space="preserve"> 2021, ‘Quantifying Market Power’. </w:t>
      </w:r>
      <w:proofErr w:type="gramStart"/>
      <w:r w:rsidRPr="00E35935">
        <w:rPr>
          <w:rFonts w:cs="Calibri Light"/>
          <w:i/>
          <w:sz w:val="16"/>
          <w:szCs w:val="16"/>
        </w:rPr>
        <w:t>Mimeo</w:t>
      </w:r>
      <w:r w:rsidRPr="00E35935">
        <w:rPr>
          <w:rFonts w:cs="Calibri Light"/>
          <w:sz w:val="16"/>
          <w:szCs w:val="16"/>
        </w:rPr>
        <w:t>;</w:t>
      </w:r>
      <w:proofErr w:type="gramEnd"/>
      <w:r w:rsidRPr="00E35935">
        <w:rPr>
          <w:rFonts w:cs="Calibri Light"/>
          <w:sz w:val="16"/>
          <w:szCs w:val="16"/>
        </w:rPr>
        <w:t xml:space="preserve"> C Edmond, V </w:t>
      </w:r>
      <w:proofErr w:type="spellStart"/>
      <w:r w:rsidRPr="00E35935">
        <w:rPr>
          <w:rFonts w:cs="Calibri Light"/>
          <w:sz w:val="16"/>
          <w:szCs w:val="16"/>
        </w:rPr>
        <w:t>Midrigan</w:t>
      </w:r>
      <w:proofErr w:type="spellEnd"/>
      <w:r w:rsidRPr="00E35935">
        <w:rPr>
          <w:rFonts w:cs="Calibri Light"/>
          <w:sz w:val="16"/>
          <w:szCs w:val="16"/>
        </w:rPr>
        <w:t xml:space="preserve"> &amp; D Xu, 2019, ‘How costly are markups?’, </w:t>
      </w:r>
      <w:r w:rsidRPr="00E35935">
        <w:rPr>
          <w:rFonts w:cs="Calibri Light"/>
          <w:i/>
          <w:sz w:val="16"/>
          <w:szCs w:val="16"/>
        </w:rPr>
        <w:t>Mimeo</w:t>
      </w:r>
      <w:r w:rsidR="00535C4A">
        <w:rPr>
          <w:rFonts w:cs="Calibri Light"/>
          <w:sz w:val="16"/>
          <w:szCs w:val="16"/>
        </w:rPr>
        <w:t>.</w:t>
      </w:r>
    </w:p>
  </w:footnote>
  <w:footnote w:id="13">
    <w:p w14:paraId="1BB21AEF" w14:textId="77777777" w:rsidR="00325F8D" w:rsidRPr="00E35935" w:rsidRDefault="00325F8D" w:rsidP="00325F8D">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K </w:t>
      </w:r>
      <w:proofErr w:type="spellStart"/>
      <w:r w:rsidRPr="00E35935">
        <w:rPr>
          <w:rFonts w:cs="Calibri Light"/>
          <w:sz w:val="16"/>
          <w:szCs w:val="16"/>
        </w:rPr>
        <w:t>Geurts</w:t>
      </w:r>
      <w:proofErr w:type="spellEnd"/>
      <w:r>
        <w:rPr>
          <w:rFonts w:cs="Calibri Light"/>
          <w:sz w:val="16"/>
          <w:szCs w:val="16"/>
        </w:rPr>
        <w:t xml:space="preserve"> &amp;</w:t>
      </w:r>
      <w:r w:rsidRPr="00E35935">
        <w:rPr>
          <w:rFonts w:cs="Calibri Light"/>
          <w:sz w:val="16"/>
          <w:szCs w:val="16"/>
        </w:rPr>
        <w:t xml:space="preserve"> J Van </w:t>
      </w:r>
      <w:proofErr w:type="spellStart"/>
      <w:r w:rsidRPr="00E35935">
        <w:rPr>
          <w:rFonts w:cs="Calibri Light"/>
          <w:sz w:val="16"/>
          <w:szCs w:val="16"/>
        </w:rPr>
        <w:t>Biesebroeck</w:t>
      </w:r>
      <w:proofErr w:type="spellEnd"/>
      <w:r w:rsidRPr="00E35935">
        <w:rPr>
          <w:rFonts w:cs="Calibri Light"/>
          <w:sz w:val="16"/>
          <w:szCs w:val="16"/>
        </w:rPr>
        <w:t xml:space="preserve"> 2019, ‘Employment growth following takeovers’, </w:t>
      </w:r>
      <w:r w:rsidRPr="00E35935">
        <w:rPr>
          <w:rFonts w:cs="Calibri Light"/>
          <w:i/>
          <w:sz w:val="16"/>
          <w:szCs w:val="16"/>
        </w:rPr>
        <w:t>RAND Journal of Economics</w:t>
      </w:r>
      <w:r w:rsidRPr="00E35935">
        <w:rPr>
          <w:rFonts w:cs="Calibri Light"/>
          <w:sz w:val="16"/>
          <w:szCs w:val="16"/>
        </w:rPr>
        <w:t xml:space="preserve"> 50(4), 916-950.</w:t>
      </w:r>
    </w:p>
  </w:footnote>
  <w:footnote w:id="14">
    <w:p w14:paraId="1AC010FA" w14:textId="14C512FA" w:rsidR="00325F8D" w:rsidRPr="00E35935" w:rsidRDefault="00325F8D" w:rsidP="00325F8D">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B </w:t>
      </w:r>
      <w:proofErr w:type="spellStart"/>
      <w:r w:rsidRPr="00E35935">
        <w:rPr>
          <w:rFonts w:cs="Calibri Light"/>
          <w:sz w:val="16"/>
          <w:szCs w:val="16"/>
        </w:rPr>
        <w:t>Blonigan</w:t>
      </w:r>
      <w:proofErr w:type="spellEnd"/>
      <w:r w:rsidRPr="00E35935">
        <w:rPr>
          <w:rFonts w:cs="Calibri Light"/>
          <w:sz w:val="16"/>
          <w:szCs w:val="16"/>
        </w:rPr>
        <w:t xml:space="preserve"> &amp; J Pierce 2016, </w:t>
      </w:r>
      <w:hyperlink r:id="rId8" w:history="1">
        <w:r w:rsidRPr="00410FF6">
          <w:rPr>
            <w:rStyle w:val="Hyperlink"/>
            <w:rFonts w:cs="Calibri Light"/>
            <w:sz w:val="16"/>
            <w:szCs w:val="16"/>
          </w:rPr>
          <w:t>‘</w:t>
        </w:r>
        <w:r w:rsidRPr="00410FF6">
          <w:rPr>
            <w:rStyle w:val="Hyperlink"/>
            <w:rFonts w:cs="Calibri Light"/>
            <w:i/>
            <w:iCs/>
            <w:sz w:val="16"/>
            <w:szCs w:val="16"/>
          </w:rPr>
          <w:t>Evidence for the effects of mergers on market power and efficiency’,</w:t>
        </w:r>
      </w:hyperlink>
      <w:r w:rsidRPr="00E35935">
        <w:rPr>
          <w:rFonts w:cs="Calibri Light"/>
          <w:sz w:val="16"/>
          <w:szCs w:val="16"/>
        </w:rPr>
        <w:t xml:space="preserve"> NBER Working Paper 22750. </w:t>
      </w:r>
    </w:p>
  </w:footnote>
  <w:footnote w:id="15">
    <w:p w14:paraId="55580B9A" w14:textId="77777777" w:rsidR="00325F8D" w:rsidRPr="00E35935" w:rsidRDefault="00325F8D" w:rsidP="00325F8D">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O </w:t>
      </w:r>
      <w:proofErr w:type="spellStart"/>
      <w:r w:rsidRPr="00E35935">
        <w:rPr>
          <w:rFonts w:cs="Calibri Light"/>
          <w:sz w:val="16"/>
          <w:szCs w:val="16"/>
        </w:rPr>
        <w:t>Ashenfelter</w:t>
      </w:r>
      <w:proofErr w:type="spellEnd"/>
      <w:r w:rsidRPr="00E35935">
        <w:rPr>
          <w:rFonts w:cs="Calibri Light"/>
          <w:sz w:val="16"/>
          <w:szCs w:val="16"/>
        </w:rPr>
        <w:t xml:space="preserve">, A </w:t>
      </w:r>
      <w:proofErr w:type="spellStart"/>
      <w:r w:rsidRPr="00E35935">
        <w:rPr>
          <w:rFonts w:cs="Calibri Light"/>
          <w:sz w:val="16"/>
          <w:szCs w:val="16"/>
        </w:rPr>
        <w:t>Hosken</w:t>
      </w:r>
      <w:proofErr w:type="spellEnd"/>
      <w:r w:rsidRPr="00E35935">
        <w:rPr>
          <w:rFonts w:cs="Calibri Light"/>
          <w:sz w:val="16"/>
          <w:szCs w:val="16"/>
        </w:rPr>
        <w:t xml:space="preserve"> &amp; M Weinberg 2014,</w:t>
      </w:r>
      <w:r w:rsidRPr="00E35935">
        <w:rPr>
          <w:rFonts w:cs="Calibri Light"/>
          <w:i/>
          <w:iCs/>
          <w:sz w:val="16"/>
          <w:szCs w:val="16"/>
        </w:rPr>
        <w:t xml:space="preserve"> ‘</w:t>
      </w:r>
      <w:hyperlink r:id="rId9" w:history="1">
        <w:r w:rsidRPr="00E35935">
          <w:rPr>
            <w:rStyle w:val="Hyperlink"/>
            <w:rFonts w:cs="Calibri Light"/>
            <w:i/>
            <w:iCs/>
            <w:sz w:val="16"/>
            <w:szCs w:val="16"/>
          </w:rPr>
          <w:t>Did Robert Bork Understate the Competitive Impact of Mergers? Evidence from Consummated Mergers’</w:t>
        </w:r>
      </w:hyperlink>
      <w:r w:rsidRPr="00E35935">
        <w:rPr>
          <w:rFonts w:cs="Calibri Light"/>
          <w:i/>
          <w:iCs/>
          <w:sz w:val="16"/>
          <w:szCs w:val="16"/>
        </w:rPr>
        <w:t>,</w:t>
      </w:r>
      <w:r w:rsidRPr="00E35935">
        <w:rPr>
          <w:rFonts w:cs="Calibri Light"/>
          <w:sz w:val="16"/>
          <w:szCs w:val="16"/>
        </w:rPr>
        <w:t xml:space="preserve"> Journal of Law and Economics 57(S3), S67-S100.</w:t>
      </w:r>
    </w:p>
  </w:footnote>
  <w:footnote w:id="16">
    <w:p w14:paraId="2DC20969" w14:textId="77777777" w:rsidR="00325F8D" w:rsidRDefault="00325F8D" w:rsidP="00325F8D">
      <w:pPr>
        <w:pStyle w:val="FootnoteText"/>
      </w:pPr>
      <w:r>
        <w:rPr>
          <w:rStyle w:val="FootnoteReference"/>
        </w:rPr>
        <w:footnoteRef/>
      </w:r>
      <w:r>
        <w:t xml:space="preserve"> </w:t>
      </w:r>
      <w:r w:rsidRPr="00B97069">
        <w:rPr>
          <w:rFonts w:cs="Calibri Light"/>
          <w:sz w:val="16"/>
          <w:szCs w:val="16"/>
        </w:rPr>
        <w:t xml:space="preserve">O </w:t>
      </w:r>
      <w:proofErr w:type="spellStart"/>
      <w:r w:rsidRPr="00B97069">
        <w:rPr>
          <w:rFonts w:cs="Calibri Light"/>
          <w:sz w:val="16"/>
          <w:szCs w:val="16"/>
        </w:rPr>
        <w:t>Ashenfelter</w:t>
      </w:r>
      <w:proofErr w:type="spellEnd"/>
      <w:r w:rsidRPr="00B97069">
        <w:rPr>
          <w:rFonts w:cs="Calibri Light"/>
          <w:sz w:val="16"/>
          <w:szCs w:val="16"/>
        </w:rPr>
        <w:t xml:space="preserve">, A </w:t>
      </w:r>
      <w:proofErr w:type="spellStart"/>
      <w:r w:rsidRPr="00B97069">
        <w:rPr>
          <w:rFonts w:cs="Calibri Light"/>
          <w:sz w:val="16"/>
          <w:szCs w:val="16"/>
        </w:rPr>
        <w:t>Hosken</w:t>
      </w:r>
      <w:proofErr w:type="spellEnd"/>
      <w:r w:rsidRPr="00B97069">
        <w:rPr>
          <w:rFonts w:cs="Calibri Light"/>
          <w:sz w:val="16"/>
          <w:szCs w:val="16"/>
        </w:rPr>
        <w:t xml:space="preserve"> &amp; M Weinberg 2014,</w:t>
      </w:r>
      <w:r w:rsidRPr="00B97069">
        <w:rPr>
          <w:rFonts w:cs="Calibri Light"/>
          <w:i/>
          <w:iCs/>
          <w:sz w:val="16"/>
          <w:szCs w:val="16"/>
        </w:rPr>
        <w:t xml:space="preserve"> ‘</w:t>
      </w:r>
      <w:hyperlink r:id="rId10" w:history="1">
        <w:r w:rsidRPr="00B97069">
          <w:rPr>
            <w:rStyle w:val="Hyperlink"/>
            <w:rFonts w:cs="Calibri Light"/>
            <w:i/>
            <w:iCs/>
            <w:sz w:val="16"/>
            <w:szCs w:val="16"/>
          </w:rPr>
          <w:t>Did Robert Bork Understate the Competitive Impact of Mergers? Evidence from Consummated Mergers’</w:t>
        </w:r>
      </w:hyperlink>
      <w:r w:rsidRPr="00B97069">
        <w:rPr>
          <w:rFonts w:cs="Calibri Light"/>
          <w:i/>
          <w:iCs/>
          <w:sz w:val="16"/>
          <w:szCs w:val="16"/>
        </w:rPr>
        <w:t>,</w:t>
      </w:r>
      <w:r w:rsidRPr="00B97069">
        <w:rPr>
          <w:rFonts w:cs="Calibri Light"/>
          <w:sz w:val="16"/>
          <w:szCs w:val="16"/>
        </w:rPr>
        <w:t xml:space="preserve"> Journal of Law and Economics 57(S3), </w:t>
      </w:r>
      <w:r>
        <w:rPr>
          <w:rFonts w:cs="Calibri Light"/>
          <w:sz w:val="16"/>
          <w:szCs w:val="16"/>
        </w:rPr>
        <w:t>24.</w:t>
      </w:r>
    </w:p>
  </w:footnote>
  <w:footnote w:id="17">
    <w:p w14:paraId="07EFBB4B" w14:textId="77777777" w:rsidR="00325F8D" w:rsidRPr="00E35935" w:rsidRDefault="00325F8D" w:rsidP="00325F8D">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J </w:t>
      </w:r>
      <w:proofErr w:type="spellStart"/>
      <w:r w:rsidRPr="00E35935">
        <w:rPr>
          <w:rFonts w:cs="Calibri Light"/>
          <w:sz w:val="16"/>
          <w:szCs w:val="16"/>
        </w:rPr>
        <w:t>Kwoka</w:t>
      </w:r>
      <w:proofErr w:type="spellEnd"/>
      <w:r w:rsidRPr="00E35935">
        <w:rPr>
          <w:rFonts w:cs="Calibri Light"/>
          <w:sz w:val="16"/>
          <w:szCs w:val="16"/>
        </w:rPr>
        <w:t xml:space="preserve"> 2013, ‘</w:t>
      </w:r>
      <w:r w:rsidRPr="00E35935">
        <w:rPr>
          <w:rFonts w:cs="Calibri Light"/>
          <w:i/>
          <w:sz w:val="16"/>
          <w:szCs w:val="16"/>
        </w:rPr>
        <w:t>Does merger control work? A retrospective on US enforcement actions and merger outcomes’</w:t>
      </w:r>
      <w:r w:rsidRPr="00E35935">
        <w:rPr>
          <w:rFonts w:cs="Calibri Light"/>
          <w:sz w:val="16"/>
          <w:szCs w:val="16"/>
        </w:rPr>
        <w:t>, Antitrust Law Journal, vo</w:t>
      </w:r>
      <w:r>
        <w:rPr>
          <w:rFonts w:cs="Calibri Light"/>
          <w:sz w:val="16"/>
          <w:szCs w:val="16"/>
        </w:rPr>
        <w:t>l</w:t>
      </w:r>
      <w:r>
        <w:rPr>
          <w:rFonts w:asciiTheme="minorHAnsi" w:hAnsiTheme="minorHAnsi" w:cstheme="minorHAnsi"/>
          <w:szCs w:val="16"/>
        </w:rPr>
        <w:t> </w:t>
      </w:r>
      <w:r w:rsidRPr="00E35935">
        <w:rPr>
          <w:rFonts w:cs="Calibri Light"/>
          <w:sz w:val="16"/>
          <w:szCs w:val="16"/>
        </w:rPr>
        <w:t>78(3), 619-650.</w:t>
      </w:r>
    </w:p>
  </w:footnote>
  <w:footnote w:id="18">
    <w:p w14:paraId="12F0DDED" w14:textId="77777777" w:rsidR="00325F8D" w:rsidRPr="00E35935" w:rsidRDefault="00325F8D" w:rsidP="00325F8D">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F </w:t>
      </w:r>
      <w:r w:rsidRPr="00E35935">
        <w:rPr>
          <w:rFonts w:cs="Calibri Light"/>
          <w:sz w:val="16"/>
          <w:szCs w:val="16"/>
          <w:shd w:val="clear" w:color="auto" w:fill="FFFFFF"/>
        </w:rPr>
        <w:t xml:space="preserve">Panetta &amp; D </w:t>
      </w:r>
      <w:proofErr w:type="spellStart"/>
      <w:r w:rsidRPr="00E35935">
        <w:rPr>
          <w:rFonts w:cs="Calibri Light"/>
          <w:sz w:val="16"/>
          <w:szCs w:val="16"/>
          <w:shd w:val="clear" w:color="auto" w:fill="FFFFFF"/>
        </w:rPr>
        <w:t>Focarelli</w:t>
      </w:r>
      <w:proofErr w:type="spellEnd"/>
      <w:r w:rsidRPr="00E35935">
        <w:rPr>
          <w:rFonts w:cs="Calibri Light"/>
          <w:sz w:val="16"/>
          <w:szCs w:val="16"/>
          <w:shd w:val="clear" w:color="auto" w:fill="FFFFFF"/>
        </w:rPr>
        <w:t xml:space="preserve"> 2003, </w:t>
      </w:r>
      <w:hyperlink r:id="rId11" w:history="1">
        <w:r w:rsidRPr="00E35935">
          <w:rPr>
            <w:rStyle w:val="Hyperlink"/>
            <w:rFonts w:cs="Calibri Light"/>
            <w:sz w:val="16"/>
            <w:szCs w:val="16"/>
            <w:shd w:val="clear" w:color="auto" w:fill="FFFFFF"/>
          </w:rPr>
          <w:t>‘Are Mergers Beneficial to Consumers? Evidence from the Italian Market for Bank Deposits’</w:t>
        </w:r>
      </w:hyperlink>
      <w:r w:rsidRPr="00E35935">
        <w:rPr>
          <w:rFonts w:cs="Calibri Light"/>
          <w:sz w:val="16"/>
          <w:szCs w:val="16"/>
          <w:shd w:val="clear" w:color="auto" w:fill="FFFFFF"/>
        </w:rPr>
        <w:t>, March.</w:t>
      </w:r>
    </w:p>
  </w:footnote>
  <w:footnote w:id="19">
    <w:p w14:paraId="3D7E90FC" w14:textId="77777777" w:rsidR="00325F8D" w:rsidRPr="00E35935" w:rsidRDefault="00325F8D" w:rsidP="00325F8D">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R Prager &amp; T Hannan 1998, ‘</w:t>
      </w:r>
      <w:r w:rsidRPr="00E35935">
        <w:rPr>
          <w:rFonts w:cs="Calibri Light"/>
          <w:i/>
          <w:sz w:val="16"/>
          <w:szCs w:val="16"/>
        </w:rPr>
        <w:t>Do substantial horizontal mergers generate significant price effects? Evidence from the banking industry’,</w:t>
      </w:r>
      <w:r w:rsidRPr="00E35935">
        <w:rPr>
          <w:rFonts w:cs="Calibri Light"/>
          <w:sz w:val="16"/>
          <w:szCs w:val="16"/>
        </w:rPr>
        <w:t xml:space="preserve"> Journal of Industrial Economics 46:433- 452.</w:t>
      </w:r>
    </w:p>
  </w:footnote>
  <w:footnote w:id="20">
    <w:p w14:paraId="3B8CDCC1" w14:textId="77777777" w:rsidR="00325F8D" w:rsidRPr="00E35935" w:rsidRDefault="00325F8D" w:rsidP="00325F8D">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E Kim &amp; V </w:t>
      </w:r>
      <w:proofErr w:type="spellStart"/>
      <w:r w:rsidRPr="00E35935">
        <w:rPr>
          <w:rFonts w:cs="Calibri Light"/>
          <w:sz w:val="16"/>
          <w:szCs w:val="16"/>
        </w:rPr>
        <w:t>Singal</w:t>
      </w:r>
      <w:proofErr w:type="spellEnd"/>
      <w:r w:rsidRPr="00E35935">
        <w:rPr>
          <w:rFonts w:cs="Calibri Light"/>
          <w:sz w:val="16"/>
          <w:szCs w:val="16"/>
        </w:rPr>
        <w:t xml:space="preserve"> 1993, ‘</w:t>
      </w:r>
      <w:r w:rsidRPr="00E35935">
        <w:rPr>
          <w:rFonts w:cs="Calibri Light"/>
          <w:i/>
          <w:sz w:val="16"/>
          <w:szCs w:val="16"/>
        </w:rPr>
        <w:t>Mergers and market power: Evidence from the airline industry’,</w:t>
      </w:r>
      <w:r w:rsidRPr="00E35935">
        <w:rPr>
          <w:rFonts w:cs="Calibri Light"/>
          <w:sz w:val="16"/>
          <w:szCs w:val="16"/>
        </w:rPr>
        <w:t xml:space="preserve"> 83:549-569.</w:t>
      </w:r>
    </w:p>
  </w:footnote>
  <w:footnote w:id="21">
    <w:p w14:paraId="67A03237" w14:textId="03C209F8" w:rsidR="0043050D" w:rsidRPr="00E35935" w:rsidRDefault="0043050D"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w:t>
      </w:r>
      <w:r w:rsidR="00F12EFC" w:rsidRPr="00E35935">
        <w:rPr>
          <w:rFonts w:cs="Calibri Light"/>
          <w:sz w:val="16"/>
          <w:szCs w:val="16"/>
        </w:rPr>
        <w:t xml:space="preserve">Based on the literature reviews in </w:t>
      </w:r>
      <w:r w:rsidR="00094C32" w:rsidRPr="00E35935">
        <w:rPr>
          <w:rFonts w:cs="Calibri Light"/>
          <w:sz w:val="16"/>
          <w:szCs w:val="16"/>
        </w:rPr>
        <w:t xml:space="preserve">J </w:t>
      </w:r>
      <w:r w:rsidR="00F12EFC" w:rsidRPr="00E35935">
        <w:rPr>
          <w:rFonts w:cs="Calibri Light"/>
          <w:sz w:val="16"/>
          <w:szCs w:val="16"/>
        </w:rPr>
        <w:t xml:space="preserve">Asker </w:t>
      </w:r>
      <w:r w:rsidR="009A7402" w:rsidRPr="00E35935">
        <w:rPr>
          <w:rFonts w:cs="Calibri Light"/>
          <w:sz w:val="16"/>
          <w:szCs w:val="16"/>
        </w:rPr>
        <w:t>&amp;</w:t>
      </w:r>
      <w:r w:rsidR="00094C32" w:rsidRPr="00E35935">
        <w:rPr>
          <w:rFonts w:cs="Calibri Light"/>
          <w:sz w:val="16"/>
          <w:szCs w:val="16"/>
        </w:rPr>
        <w:t xml:space="preserve"> V</w:t>
      </w:r>
      <w:r w:rsidR="00F12EFC" w:rsidRPr="00E35935">
        <w:rPr>
          <w:rFonts w:cs="Calibri Light"/>
          <w:sz w:val="16"/>
          <w:szCs w:val="16"/>
        </w:rPr>
        <w:t xml:space="preserve"> </w:t>
      </w:r>
      <w:proofErr w:type="spellStart"/>
      <w:r w:rsidR="00F12EFC" w:rsidRPr="00E35935">
        <w:rPr>
          <w:rFonts w:cs="Calibri Light"/>
          <w:sz w:val="16"/>
          <w:szCs w:val="16"/>
        </w:rPr>
        <w:t>Nocke</w:t>
      </w:r>
      <w:proofErr w:type="spellEnd"/>
      <w:r w:rsidR="00F12EFC" w:rsidRPr="00E35935">
        <w:rPr>
          <w:rFonts w:cs="Calibri Light"/>
          <w:sz w:val="16"/>
          <w:szCs w:val="16"/>
        </w:rPr>
        <w:t xml:space="preserve"> 2021</w:t>
      </w:r>
      <w:r w:rsidR="00CF0D23" w:rsidRPr="00E35935">
        <w:rPr>
          <w:rFonts w:cs="Calibri Light"/>
          <w:sz w:val="16"/>
          <w:szCs w:val="16"/>
        </w:rPr>
        <w:t>,</w:t>
      </w:r>
      <w:r w:rsidR="00F12EFC" w:rsidRPr="00E35935">
        <w:rPr>
          <w:rFonts w:cs="Calibri Light"/>
          <w:sz w:val="16"/>
          <w:szCs w:val="16"/>
        </w:rPr>
        <w:t xml:space="preserve"> </w:t>
      </w:r>
      <w:r w:rsidR="00F12EFC" w:rsidRPr="00E35935">
        <w:rPr>
          <w:rFonts w:cs="Calibri Light"/>
          <w:i/>
          <w:iCs/>
          <w:sz w:val="16"/>
          <w:szCs w:val="16"/>
        </w:rPr>
        <w:t>‘</w:t>
      </w:r>
      <w:hyperlink r:id="rId12" w:history="1">
        <w:r w:rsidR="00F12EFC" w:rsidRPr="00E35935">
          <w:rPr>
            <w:rStyle w:val="Hyperlink"/>
            <w:rFonts w:cs="Calibri Light"/>
            <w:i/>
            <w:iCs/>
            <w:sz w:val="16"/>
            <w:szCs w:val="16"/>
          </w:rPr>
          <w:t>Collusion, Mergers and Related Antitrust Issues’</w:t>
        </w:r>
      </w:hyperlink>
      <w:r w:rsidR="00F12EFC" w:rsidRPr="00E35935">
        <w:rPr>
          <w:rFonts w:cs="Calibri Light"/>
          <w:sz w:val="16"/>
          <w:szCs w:val="16"/>
        </w:rPr>
        <w:t xml:space="preserve"> NBER Working Paper 29175</w:t>
      </w:r>
      <w:r w:rsidR="00AD2060" w:rsidRPr="00E35935">
        <w:rPr>
          <w:rFonts w:cs="Calibri Light"/>
          <w:sz w:val="16"/>
          <w:szCs w:val="16"/>
        </w:rPr>
        <w:t>;</w:t>
      </w:r>
      <w:r w:rsidR="00F12EFC" w:rsidRPr="00E35935">
        <w:rPr>
          <w:rFonts w:cs="Calibri Light"/>
          <w:sz w:val="16"/>
          <w:szCs w:val="16"/>
        </w:rPr>
        <w:t xml:space="preserve"> </w:t>
      </w:r>
      <w:r w:rsidR="00CF0D23" w:rsidRPr="00E35935">
        <w:rPr>
          <w:rFonts w:cs="Calibri Light"/>
          <w:sz w:val="16"/>
          <w:szCs w:val="16"/>
        </w:rPr>
        <w:t xml:space="preserve">L </w:t>
      </w:r>
      <w:r w:rsidR="00F12EFC" w:rsidRPr="00E35935">
        <w:rPr>
          <w:rFonts w:cs="Calibri Light"/>
          <w:sz w:val="16"/>
          <w:szCs w:val="16"/>
        </w:rPr>
        <w:t xml:space="preserve">Kaplow </w:t>
      </w:r>
      <w:r w:rsidR="009A7402" w:rsidRPr="00E35935">
        <w:rPr>
          <w:rFonts w:cs="Calibri Light"/>
          <w:sz w:val="16"/>
          <w:szCs w:val="16"/>
        </w:rPr>
        <w:t>&amp;</w:t>
      </w:r>
      <w:r w:rsidR="00F12EFC" w:rsidRPr="00E35935">
        <w:rPr>
          <w:rFonts w:cs="Calibri Light"/>
          <w:sz w:val="16"/>
          <w:szCs w:val="16"/>
        </w:rPr>
        <w:t xml:space="preserve"> </w:t>
      </w:r>
      <w:r w:rsidR="00CF0D23" w:rsidRPr="00E35935">
        <w:rPr>
          <w:rFonts w:cs="Calibri Light"/>
          <w:sz w:val="16"/>
          <w:szCs w:val="16"/>
        </w:rPr>
        <w:t>C</w:t>
      </w:r>
      <w:r w:rsidR="00F12EFC" w:rsidRPr="00E35935">
        <w:rPr>
          <w:rFonts w:cs="Calibri Light"/>
          <w:sz w:val="16"/>
          <w:szCs w:val="16"/>
        </w:rPr>
        <w:t xml:space="preserve"> Shapiro 2007</w:t>
      </w:r>
      <w:r w:rsidR="00CF0D23" w:rsidRPr="00E35935">
        <w:rPr>
          <w:rFonts w:cs="Calibri Light"/>
          <w:sz w:val="16"/>
          <w:szCs w:val="16"/>
        </w:rPr>
        <w:t>,</w:t>
      </w:r>
      <w:r w:rsidR="00F12EFC" w:rsidRPr="00E35935">
        <w:rPr>
          <w:rFonts w:cs="Calibri Light"/>
          <w:sz w:val="16"/>
          <w:szCs w:val="16"/>
        </w:rPr>
        <w:t xml:space="preserve"> ‘</w:t>
      </w:r>
      <w:hyperlink r:id="rId13" w:history="1">
        <w:r w:rsidR="00F12EFC" w:rsidRPr="00E35935">
          <w:rPr>
            <w:rStyle w:val="Hyperlink"/>
            <w:rFonts w:cs="Calibri Light"/>
            <w:i/>
            <w:iCs/>
            <w:sz w:val="16"/>
            <w:szCs w:val="16"/>
          </w:rPr>
          <w:t>Antitrust</w:t>
        </w:r>
      </w:hyperlink>
      <w:r w:rsidR="00F12EFC" w:rsidRPr="00E35935">
        <w:rPr>
          <w:rFonts w:cs="Calibri Light"/>
          <w:i/>
          <w:iCs/>
          <w:sz w:val="16"/>
          <w:szCs w:val="16"/>
        </w:rPr>
        <w:t>’</w:t>
      </w:r>
      <w:r w:rsidR="00F12EFC" w:rsidRPr="00E35935">
        <w:rPr>
          <w:rFonts w:cs="Calibri Light"/>
          <w:sz w:val="16"/>
          <w:szCs w:val="16"/>
        </w:rPr>
        <w:t xml:space="preserve"> NBER Working Paper 12867.</w:t>
      </w:r>
    </w:p>
  </w:footnote>
  <w:footnote w:id="22">
    <w:p w14:paraId="174516FA" w14:textId="2FD93F39" w:rsidR="008E4978" w:rsidRPr="00E35935" w:rsidRDefault="008E4978"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w:t>
      </w:r>
      <w:r w:rsidR="00CF0D23" w:rsidRPr="00E35935">
        <w:rPr>
          <w:rFonts w:cs="Calibri Light"/>
          <w:sz w:val="16"/>
          <w:szCs w:val="16"/>
        </w:rPr>
        <w:t>P</w:t>
      </w:r>
      <w:r w:rsidRPr="00E35935">
        <w:rPr>
          <w:rFonts w:cs="Calibri Light"/>
          <w:sz w:val="16"/>
          <w:szCs w:val="16"/>
        </w:rPr>
        <w:t xml:space="preserve"> Eliason, </w:t>
      </w:r>
      <w:r w:rsidR="00CF0D23" w:rsidRPr="00E35935">
        <w:rPr>
          <w:rFonts w:cs="Calibri Light"/>
          <w:sz w:val="16"/>
          <w:szCs w:val="16"/>
        </w:rPr>
        <w:t>B</w:t>
      </w:r>
      <w:r w:rsidRPr="00E35935">
        <w:rPr>
          <w:rFonts w:cs="Calibri Light"/>
          <w:sz w:val="16"/>
          <w:szCs w:val="16"/>
        </w:rPr>
        <w:t xml:space="preserve"> </w:t>
      </w:r>
      <w:proofErr w:type="spellStart"/>
      <w:r w:rsidRPr="00E35935">
        <w:rPr>
          <w:rFonts w:cs="Calibri Light"/>
          <w:sz w:val="16"/>
          <w:szCs w:val="16"/>
        </w:rPr>
        <w:t>Heebsh</w:t>
      </w:r>
      <w:proofErr w:type="spellEnd"/>
      <w:r w:rsidRPr="00E35935">
        <w:rPr>
          <w:rFonts w:cs="Calibri Light"/>
          <w:sz w:val="16"/>
          <w:szCs w:val="16"/>
        </w:rPr>
        <w:t xml:space="preserve">, </w:t>
      </w:r>
      <w:r w:rsidR="00CF0D23" w:rsidRPr="00E35935">
        <w:rPr>
          <w:rFonts w:cs="Calibri Light"/>
          <w:sz w:val="16"/>
          <w:szCs w:val="16"/>
        </w:rPr>
        <w:t>R</w:t>
      </w:r>
      <w:r w:rsidRPr="00E35935">
        <w:rPr>
          <w:rFonts w:cs="Calibri Light"/>
          <w:sz w:val="16"/>
          <w:szCs w:val="16"/>
        </w:rPr>
        <w:t xml:space="preserve"> McDevitt</w:t>
      </w:r>
      <w:r w:rsidR="009A7402" w:rsidRPr="00E35935">
        <w:rPr>
          <w:rFonts w:cs="Calibri Light"/>
          <w:sz w:val="16"/>
          <w:szCs w:val="16"/>
        </w:rPr>
        <w:t xml:space="preserve"> &amp;</w:t>
      </w:r>
      <w:r w:rsidRPr="00E35935">
        <w:rPr>
          <w:rFonts w:cs="Calibri Light"/>
          <w:sz w:val="16"/>
          <w:szCs w:val="16"/>
        </w:rPr>
        <w:t xml:space="preserve"> </w:t>
      </w:r>
      <w:r w:rsidR="00CF0D23" w:rsidRPr="00E35935">
        <w:rPr>
          <w:rFonts w:cs="Calibri Light"/>
          <w:sz w:val="16"/>
          <w:szCs w:val="16"/>
        </w:rPr>
        <w:t>J</w:t>
      </w:r>
      <w:r w:rsidRPr="00E35935">
        <w:rPr>
          <w:rFonts w:cs="Calibri Light"/>
          <w:sz w:val="16"/>
          <w:szCs w:val="16"/>
        </w:rPr>
        <w:t xml:space="preserve"> Roberts, 2020</w:t>
      </w:r>
      <w:r w:rsidR="00CF0D23" w:rsidRPr="00E35935">
        <w:rPr>
          <w:rFonts w:cs="Calibri Light"/>
          <w:sz w:val="16"/>
          <w:szCs w:val="16"/>
        </w:rPr>
        <w:t>,</w:t>
      </w:r>
      <w:r w:rsidRPr="00E35935">
        <w:rPr>
          <w:rFonts w:cs="Calibri Light"/>
          <w:sz w:val="16"/>
          <w:szCs w:val="16"/>
        </w:rPr>
        <w:t xml:space="preserve"> </w:t>
      </w:r>
      <w:r w:rsidR="00CF0D23" w:rsidRPr="00E35935">
        <w:rPr>
          <w:rFonts w:cs="Calibri Light"/>
          <w:sz w:val="16"/>
          <w:szCs w:val="16"/>
        </w:rPr>
        <w:t>‘</w:t>
      </w:r>
      <w:r w:rsidRPr="00E35935">
        <w:rPr>
          <w:rFonts w:cs="Calibri Light"/>
          <w:i/>
          <w:sz w:val="16"/>
          <w:szCs w:val="16"/>
        </w:rPr>
        <w:t xml:space="preserve">How Acquisitions Affect Firm </w:t>
      </w:r>
      <w:proofErr w:type="spellStart"/>
      <w:r w:rsidRPr="00E35935">
        <w:rPr>
          <w:rFonts w:cs="Calibri Light"/>
          <w:i/>
          <w:sz w:val="16"/>
          <w:szCs w:val="16"/>
        </w:rPr>
        <w:t>Behavior</w:t>
      </w:r>
      <w:proofErr w:type="spellEnd"/>
      <w:r w:rsidRPr="00E35935">
        <w:rPr>
          <w:rFonts w:cs="Calibri Light"/>
          <w:i/>
          <w:sz w:val="16"/>
          <w:szCs w:val="16"/>
        </w:rPr>
        <w:t xml:space="preserve"> and Performance: Evidence from the Dialysis Industry</w:t>
      </w:r>
      <w:r w:rsidR="00CF0D23" w:rsidRPr="00E35935">
        <w:rPr>
          <w:rFonts w:cs="Calibri Light"/>
          <w:i/>
          <w:sz w:val="16"/>
          <w:szCs w:val="16"/>
        </w:rPr>
        <w:t>’,</w:t>
      </w:r>
      <w:r w:rsidRPr="00E35935">
        <w:rPr>
          <w:rFonts w:cs="Calibri Light"/>
          <w:i/>
          <w:sz w:val="16"/>
          <w:szCs w:val="16"/>
        </w:rPr>
        <w:t xml:space="preserve"> </w:t>
      </w:r>
      <w:r w:rsidRPr="00E35935">
        <w:rPr>
          <w:rFonts w:cs="Calibri Light"/>
          <w:sz w:val="16"/>
          <w:szCs w:val="16"/>
        </w:rPr>
        <w:t>Quarterly Journal of Economics 135(1), 221-267.</w:t>
      </w:r>
    </w:p>
  </w:footnote>
  <w:footnote w:id="23">
    <w:p w14:paraId="3EC79DF8" w14:textId="009EAA15" w:rsidR="007625EE" w:rsidRPr="00E35935" w:rsidRDefault="007625EE"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w:t>
      </w:r>
      <w:r w:rsidR="00CF0D23" w:rsidRPr="00E35935">
        <w:rPr>
          <w:rFonts w:cs="Calibri Light"/>
          <w:sz w:val="16"/>
          <w:szCs w:val="16"/>
        </w:rPr>
        <w:t>Y</w:t>
      </w:r>
      <w:r w:rsidRPr="00E35935">
        <w:rPr>
          <w:rFonts w:cs="Calibri Light"/>
          <w:sz w:val="16"/>
          <w:szCs w:val="16"/>
        </w:rPr>
        <w:t xml:space="preserve"> An </w:t>
      </w:r>
      <w:r w:rsidR="009A7402" w:rsidRPr="00E35935">
        <w:rPr>
          <w:rFonts w:cs="Calibri Light"/>
          <w:sz w:val="16"/>
          <w:szCs w:val="16"/>
        </w:rPr>
        <w:t>&amp;</w:t>
      </w:r>
      <w:r w:rsidRPr="00E35935">
        <w:rPr>
          <w:rFonts w:cs="Calibri Light"/>
          <w:sz w:val="16"/>
          <w:szCs w:val="16"/>
        </w:rPr>
        <w:t xml:space="preserve"> </w:t>
      </w:r>
      <w:r w:rsidR="00CF0D23" w:rsidRPr="00E35935">
        <w:rPr>
          <w:rFonts w:cs="Calibri Light"/>
          <w:sz w:val="16"/>
          <w:szCs w:val="16"/>
        </w:rPr>
        <w:t>W</w:t>
      </w:r>
      <w:r w:rsidRPr="00E35935">
        <w:rPr>
          <w:rFonts w:cs="Calibri Light"/>
          <w:sz w:val="16"/>
          <w:szCs w:val="16"/>
        </w:rPr>
        <w:t xml:space="preserve"> Zhao 2019</w:t>
      </w:r>
      <w:r w:rsidR="00CF0D23" w:rsidRPr="00E35935">
        <w:rPr>
          <w:rFonts w:cs="Calibri Light"/>
          <w:sz w:val="16"/>
          <w:szCs w:val="16"/>
        </w:rPr>
        <w:t>,</w:t>
      </w:r>
      <w:r w:rsidRPr="00E35935">
        <w:rPr>
          <w:rFonts w:cs="Calibri Light"/>
          <w:sz w:val="16"/>
          <w:szCs w:val="16"/>
        </w:rPr>
        <w:t xml:space="preserve"> </w:t>
      </w:r>
      <w:r w:rsidR="00CF0D23" w:rsidRPr="00E35935">
        <w:rPr>
          <w:rFonts w:cs="Calibri Light"/>
          <w:sz w:val="16"/>
          <w:szCs w:val="16"/>
        </w:rPr>
        <w:t>‘</w:t>
      </w:r>
      <w:r w:rsidRPr="00E35935">
        <w:rPr>
          <w:rFonts w:cs="Calibri Light"/>
          <w:i/>
          <w:sz w:val="16"/>
          <w:szCs w:val="16"/>
        </w:rPr>
        <w:t>Dynamic efficiencies of the 1997 Boeing-McDonnell Douglas Mergers</w:t>
      </w:r>
      <w:r w:rsidR="00CF0D23" w:rsidRPr="00E35935">
        <w:rPr>
          <w:rFonts w:cs="Calibri Light"/>
          <w:i/>
          <w:sz w:val="16"/>
          <w:szCs w:val="16"/>
        </w:rPr>
        <w:t>’,</w:t>
      </w:r>
      <w:r w:rsidRPr="00E35935">
        <w:rPr>
          <w:rFonts w:cs="Calibri Light"/>
          <w:sz w:val="16"/>
          <w:szCs w:val="16"/>
        </w:rPr>
        <w:t xml:space="preserve"> RAND </w:t>
      </w:r>
      <w:r w:rsidR="004A512B" w:rsidRPr="00E35935">
        <w:rPr>
          <w:rFonts w:cs="Calibri Light"/>
          <w:sz w:val="16"/>
          <w:szCs w:val="16"/>
        </w:rPr>
        <w:t>J</w:t>
      </w:r>
      <w:r w:rsidRPr="00E35935">
        <w:rPr>
          <w:rFonts w:cs="Calibri Light"/>
          <w:sz w:val="16"/>
          <w:szCs w:val="16"/>
        </w:rPr>
        <w:t>ournal of Economics, 50</w:t>
      </w:r>
      <w:r w:rsidR="00CF0D23" w:rsidRPr="00E35935">
        <w:rPr>
          <w:rFonts w:cs="Calibri Light"/>
          <w:sz w:val="16"/>
          <w:szCs w:val="16"/>
        </w:rPr>
        <w:t>(</w:t>
      </w:r>
      <w:r w:rsidRPr="00E35935">
        <w:rPr>
          <w:rFonts w:cs="Calibri Light"/>
          <w:sz w:val="16"/>
          <w:szCs w:val="16"/>
        </w:rPr>
        <w:t>3</w:t>
      </w:r>
      <w:r w:rsidR="00CF0D23" w:rsidRPr="00E35935">
        <w:rPr>
          <w:rFonts w:cs="Calibri Light"/>
          <w:sz w:val="16"/>
          <w:szCs w:val="16"/>
        </w:rPr>
        <w:t>)</w:t>
      </w:r>
      <w:r w:rsidRPr="00E35935">
        <w:rPr>
          <w:rFonts w:cs="Calibri Light"/>
          <w:sz w:val="16"/>
          <w:szCs w:val="16"/>
        </w:rPr>
        <w:t>, Fall.</w:t>
      </w:r>
    </w:p>
  </w:footnote>
  <w:footnote w:id="24">
    <w:p w14:paraId="358C7B9F" w14:textId="1CDA8224" w:rsidR="000004FA" w:rsidRPr="00E35935" w:rsidRDefault="000004FA"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w:t>
      </w:r>
      <w:r w:rsidR="00B619D7" w:rsidRPr="00E35935">
        <w:rPr>
          <w:rFonts w:cs="Calibri Light"/>
          <w:sz w:val="16"/>
          <w:szCs w:val="16"/>
        </w:rPr>
        <w:t>C</w:t>
      </w:r>
      <w:r w:rsidRPr="00E35935">
        <w:rPr>
          <w:rFonts w:cs="Calibri Light"/>
          <w:sz w:val="16"/>
          <w:szCs w:val="16"/>
        </w:rPr>
        <w:t xml:space="preserve"> </w:t>
      </w:r>
      <w:proofErr w:type="spellStart"/>
      <w:r w:rsidRPr="00E35935">
        <w:rPr>
          <w:rFonts w:cs="Calibri Light"/>
          <w:sz w:val="16"/>
          <w:szCs w:val="16"/>
        </w:rPr>
        <w:t>Genakos</w:t>
      </w:r>
      <w:proofErr w:type="spellEnd"/>
      <w:r w:rsidRPr="00E35935">
        <w:rPr>
          <w:rFonts w:cs="Calibri Light"/>
          <w:sz w:val="16"/>
          <w:szCs w:val="16"/>
        </w:rPr>
        <w:t xml:space="preserve">, </w:t>
      </w:r>
      <w:r w:rsidR="00B619D7" w:rsidRPr="00E35935">
        <w:rPr>
          <w:rFonts w:cs="Calibri Light"/>
          <w:sz w:val="16"/>
          <w:szCs w:val="16"/>
        </w:rPr>
        <w:t>T</w:t>
      </w:r>
      <w:r w:rsidRPr="00E35935">
        <w:rPr>
          <w:rFonts w:cs="Calibri Light"/>
          <w:sz w:val="16"/>
          <w:szCs w:val="16"/>
        </w:rPr>
        <w:t xml:space="preserve"> </w:t>
      </w:r>
      <w:proofErr w:type="spellStart"/>
      <w:r w:rsidRPr="00E35935">
        <w:rPr>
          <w:rFonts w:cs="Calibri Light"/>
          <w:sz w:val="16"/>
          <w:szCs w:val="16"/>
        </w:rPr>
        <w:t>Valletti</w:t>
      </w:r>
      <w:proofErr w:type="spellEnd"/>
      <w:r w:rsidR="009A7402" w:rsidRPr="00E35935">
        <w:rPr>
          <w:rFonts w:cs="Calibri Light"/>
          <w:sz w:val="16"/>
          <w:szCs w:val="16"/>
        </w:rPr>
        <w:t xml:space="preserve"> &amp;</w:t>
      </w:r>
      <w:r w:rsidRPr="00E35935">
        <w:rPr>
          <w:rFonts w:cs="Calibri Light"/>
          <w:sz w:val="16"/>
          <w:szCs w:val="16"/>
        </w:rPr>
        <w:t xml:space="preserve"> </w:t>
      </w:r>
      <w:r w:rsidR="00B619D7" w:rsidRPr="00E35935">
        <w:rPr>
          <w:rFonts w:cs="Calibri Light"/>
          <w:sz w:val="16"/>
          <w:szCs w:val="16"/>
        </w:rPr>
        <w:t>F</w:t>
      </w:r>
      <w:r w:rsidRPr="00E35935">
        <w:rPr>
          <w:rFonts w:cs="Calibri Light"/>
          <w:sz w:val="16"/>
          <w:szCs w:val="16"/>
        </w:rPr>
        <w:t xml:space="preserve"> </w:t>
      </w:r>
      <w:proofErr w:type="spellStart"/>
      <w:r w:rsidRPr="00E35935">
        <w:rPr>
          <w:rFonts w:cs="Calibri Light"/>
          <w:sz w:val="16"/>
          <w:szCs w:val="16"/>
        </w:rPr>
        <w:t>Verboven</w:t>
      </w:r>
      <w:proofErr w:type="spellEnd"/>
      <w:r w:rsidRPr="00E35935">
        <w:rPr>
          <w:rFonts w:cs="Calibri Light"/>
          <w:sz w:val="16"/>
          <w:szCs w:val="16"/>
        </w:rPr>
        <w:t xml:space="preserve"> 2018</w:t>
      </w:r>
      <w:r w:rsidR="00B619D7" w:rsidRPr="00E35935">
        <w:rPr>
          <w:rFonts w:cs="Calibri Light"/>
          <w:sz w:val="16"/>
          <w:szCs w:val="16"/>
        </w:rPr>
        <w:t>,</w:t>
      </w:r>
      <w:r w:rsidRPr="00E35935">
        <w:rPr>
          <w:rFonts w:cs="Calibri Light"/>
          <w:sz w:val="16"/>
          <w:szCs w:val="16"/>
        </w:rPr>
        <w:t xml:space="preserve"> </w:t>
      </w:r>
      <w:r w:rsidR="00B619D7" w:rsidRPr="00E35935">
        <w:rPr>
          <w:rFonts w:cs="Calibri Light"/>
          <w:sz w:val="16"/>
          <w:szCs w:val="16"/>
        </w:rPr>
        <w:t>‘</w:t>
      </w:r>
      <w:r w:rsidRPr="00E35935">
        <w:rPr>
          <w:rFonts w:cs="Calibri Light"/>
          <w:i/>
          <w:sz w:val="16"/>
          <w:szCs w:val="16"/>
        </w:rPr>
        <w:t>Evaluating market consolidation in mobile communications</w:t>
      </w:r>
      <w:r w:rsidR="00B619D7" w:rsidRPr="00E35935">
        <w:rPr>
          <w:rFonts w:cs="Calibri Light"/>
          <w:i/>
          <w:sz w:val="16"/>
          <w:szCs w:val="16"/>
        </w:rPr>
        <w:t>’</w:t>
      </w:r>
      <w:r w:rsidR="00B619D7" w:rsidRPr="00E35935">
        <w:rPr>
          <w:rFonts w:cs="Calibri Light"/>
          <w:sz w:val="16"/>
          <w:szCs w:val="16"/>
        </w:rPr>
        <w:t>,</w:t>
      </w:r>
      <w:r w:rsidRPr="00E35935">
        <w:rPr>
          <w:rFonts w:cs="Calibri Light"/>
          <w:sz w:val="16"/>
          <w:szCs w:val="16"/>
        </w:rPr>
        <w:t xml:space="preserve"> Economic Policy 33(93), 45-100.</w:t>
      </w:r>
    </w:p>
  </w:footnote>
  <w:footnote w:id="25">
    <w:p w14:paraId="745C8D31" w14:textId="7299D0B3" w:rsidR="00923836" w:rsidRPr="00E35935" w:rsidRDefault="00923836"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w:t>
      </w:r>
      <w:r w:rsidR="00B619D7" w:rsidRPr="00E35935">
        <w:rPr>
          <w:rFonts w:cs="Calibri Light"/>
          <w:sz w:val="16"/>
          <w:szCs w:val="16"/>
        </w:rPr>
        <w:t>P</w:t>
      </w:r>
      <w:r w:rsidRPr="00E35935">
        <w:rPr>
          <w:rFonts w:cs="Calibri Light"/>
          <w:sz w:val="16"/>
          <w:szCs w:val="16"/>
        </w:rPr>
        <w:t xml:space="preserve"> </w:t>
      </w:r>
      <w:proofErr w:type="spellStart"/>
      <w:r w:rsidR="007625EE" w:rsidRPr="00E35935">
        <w:rPr>
          <w:rFonts w:cs="Calibri Light"/>
          <w:sz w:val="16"/>
          <w:szCs w:val="16"/>
        </w:rPr>
        <w:t>Grieco</w:t>
      </w:r>
      <w:proofErr w:type="spellEnd"/>
      <w:r w:rsidR="007625EE" w:rsidRPr="00E35935">
        <w:rPr>
          <w:rFonts w:cs="Calibri Light"/>
          <w:sz w:val="16"/>
          <w:szCs w:val="16"/>
        </w:rPr>
        <w:t xml:space="preserve">, </w:t>
      </w:r>
      <w:r w:rsidR="00B619D7" w:rsidRPr="00E35935">
        <w:rPr>
          <w:rFonts w:cs="Calibri Light"/>
          <w:sz w:val="16"/>
          <w:szCs w:val="16"/>
        </w:rPr>
        <w:t>J</w:t>
      </w:r>
      <w:r w:rsidR="007625EE" w:rsidRPr="00E35935">
        <w:rPr>
          <w:rFonts w:cs="Calibri Light"/>
          <w:sz w:val="16"/>
          <w:szCs w:val="16"/>
        </w:rPr>
        <w:t xml:space="preserve"> </w:t>
      </w:r>
      <w:proofErr w:type="spellStart"/>
      <w:r w:rsidR="007625EE" w:rsidRPr="00E35935">
        <w:rPr>
          <w:rFonts w:cs="Calibri Light"/>
          <w:sz w:val="16"/>
          <w:szCs w:val="16"/>
        </w:rPr>
        <w:t>Pinkse</w:t>
      </w:r>
      <w:proofErr w:type="spellEnd"/>
      <w:r w:rsidR="009A7402" w:rsidRPr="00E35935">
        <w:rPr>
          <w:rFonts w:cs="Calibri Light"/>
          <w:sz w:val="16"/>
          <w:szCs w:val="16"/>
        </w:rPr>
        <w:t xml:space="preserve"> &amp;</w:t>
      </w:r>
      <w:r w:rsidR="007625EE" w:rsidRPr="00E35935">
        <w:rPr>
          <w:rFonts w:cs="Calibri Light"/>
          <w:sz w:val="16"/>
          <w:szCs w:val="16"/>
        </w:rPr>
        <w:t xml:space="preserve"> </w:t>
      </w:r>
      <w:r w:rsidR="00D565F3" w:rsidRPr="00E35935">
        <w:rPr>
          <w:rFonts w:cs="Calibri Light"/>
          <w:sz w:val="16"/>
          <w:szCs w:val="16"/>
        </w:rPr>
        <w:t>M</w:t>
      </w:r>
      <w:r w:rsidR="007625EE" w:rsidRPr="00E35935">
        <w:rPr>
          <w:rFonts w:cs="Calibri Light"/>
          <w:sz w:val="16"/>
          <w:szCs w:val="16"/>
        </w:rPr>
        <w:t xml:space="preserve"> Slade</w:t>
      </w:r>
      <w:r w:rsidR="00D565F3" w:rsidRPr="00E35935">
        <w:rPr>
          <w:rFonts w:cs="Calibri Light"/>
          <w:sz w:val="16"/>
          <w:szCs w:val="16"/>
        </w:rPr>
        <w:t xml:space="preserve"> </w:t>
      </w:r>
      <w:r w:rsidR="007625EE" w:rsidRPr="00E35935">
        <w:rPr>
          <w:rFonts w:cs="Calibri Light"/>
          <w:sz w:val="16"/>
          <w:szCs w:val="16"/>
        </w:rPr>
        <w:t>2018</w:t>
      </w:r>
      <w:r w:rsidR="00D565F3" w:rsidRPr="00E35935">
        <w:rPr>
          <w:rFonts w:cs="Calibri Light"/>
          <w:sz w:val="16"/>
          <w:szCs w:val="16"/>
        </w:rPr>
        <w:t>,</w:t>
      </w:r>
      <w:r w:rsidR="007625EE" w:rsidRPr="00E35935">
        <w:rPr>
          <w:rFonts w:cs="Calibri Light"/>
          <w:sz w:val="16"/>
          <w:szCs w:val="16"/>
        </w:rPr>
        <w:t xml:space="preserve"> </w:t>
      </w:r>
      <w:r w:rsidR="00D565F3" w:rsidRPr="00E35935">
        <w:rPr>
          <w:rFonts w:cs="Calibri Light"/>
          <w:sz w:val="16"/>
          <w:szCs w:val="16"/>
        </w:rPr>
        <w:t>‘</w:t>
      </w:r>
      <w:r w:rsidR="007625EE" w:rsidRPr="00E35935">
        <w:rPr>
          <w:rFonts w:cs="Calibri Light"/>
          <w:i/>
          <w:sz w:val="16"/>
          <w:szCs w:val="16"/>
        </w:rPr>
        <w:t>Brewed in North America: Mergers, Marginal Costs, and Efficiency</w:t>
      </w:r>
      <w:r w:rsidR="00D565F3" w:rsidRPr="00E35935">
        <w:rPr>
          <w:rFonts w:cs="Calibri Light"/>
          <w:i/>
          <w:sz w:val="16"/>
          <w:szCs w:val="16"/>
        </w:rPr>
        <w:t>’,</w:t>
      </w:r>
      <w:r w:rsidR="007625EE" w:rsidRPr="00E35935">
        <w:rPr>
          <w:rFonts w:cs="Calibri Light"/>
          <w:sz w:val="16"/>
          <w:szCs w:val="16"/>
        </w:rPr>
        <w:t xml:space="preserve"> International Journal of Industrial Organization 59(C), 24-65.</w:t>
      </w:r>
    </w:p>
  </w:footnote>
  <w:footnote w:id="26">
    <w:p w14:paraId="178BCB9B" w14:textId="77777777" w:rsidR="00CC7365" w:rsidRPr="00E35935" w:rsidRDefault="00CC7365"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O </w:t>
      </w:r>
      <w:proofErr w:type="spellStart"/>
      <w:r w:rsidRPr="00E35935">
        <w:rPr>
          <w:rFonts w:cs="Calibri Light"/>
          <w:sz w:val="16"/>
          <w:szCs w:val="16"/>
        </w:rPr>
        <w:t>Ashenfelter</w:t>
      </w:r>
      <w:proofErr w:type="spellEnd"/>
      <w:r w:rsidRPr="00E35935">
        <w:rPr>
          <w:rFonts w:cs="Calibri Light"/>
          <w:sz w:val="16"/>
          <w:szCs w:val="16"/>
        </w:rPr>
        <w:t xml:space="preserve">, D </w:t>
      </w:r>
      <w:proofErr w:type="spellStart"/>
      <w:r w:rsidRPr="00E35935">
        <w:rPr>
          <w:rFonts w:cs="Calibri Light"/>
          <w:sz w:val="16"/>
          <w:szCs w:val="16"/>
        </w:rPr>
        <w:t>Hosken</w:t>
      </w:r>
      <w:proofErr w:type="spellEnd"/>
      <w:r w:rsidRPr="00E35935">
        <w:rPr>
          <w:rFonts w:cs="Calibri Light"/>
          <w:sz w:val="16"/>
          <w:szCs w:val="16"/>
        </w:rPr>
        <w:t xml:space="preserve"> &amp; M Weinberg 2015, </w:t>
      </w:r>
      <w:r w:rsidRPr="00E35935">
        <w:rPr>
          <w:rFonts w:cs="Calibri Light"/>
          <w:i/>
          <w:sz w:val="16"/>
          <w:szCs w:val="16"/>
        </w:rPr>
        <w:t>‘Efficiencies brewed: Pricing and consolidation in the US beer industry’</w:t>
      </w:r>
      <w:r w:rsidRPr="00E35935">
        <w:rPr>
          <w:rFonts w:cs="Calibri Light"/>
          <w:sz w:val="16"/>
          <w:szCs w:val="16"/>
        </w:rPr>
        <w:t>, RAND Journal of Economics 46(2), 328-361.</w:t>
      </w:r>
    </w:p>
  </w:footnote>
  <w:footnote w:id="27">
    <w:p w14:paraId="2E00405A" w14:textId="69FE54C2" w:rsidR="007625EE" w:rsidRPr="00E35935" w:rsidRDefault="007625EE"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w:t>
      </w:r>
      <w:r w:rsidR="009A7402" w:rsidRPr="00E35935">
        <w:rPr>
          <w:rFonts w:cs="Calibri Light"/>
          <w:sz w:val="16"/>
          <w:szCs w:val="16"/>
        </w:rPr>
        <w:t>S</w:t>
      </w:r>
      <w:r w:rsidRPr="00E35935">
        <w:rPr>
          <w:rFonts w:cs="Calibri Light"/>
          <w:sz w:val="16"/>
          <w:szCs w:val="16"/>
        </w:rPr>
        <w:t xml:space="preserve"> </w:t>
      </w:r>
      <w:proofErr w:type="spellStart"/>
      <w:r w:rsidRPr="00E35935">
        <w:rPr>
          <w:rFonts w:cs="Calibri Light"/>
          <w:sz w:val="16"/>
          <w:szCs w:val="16"/>
        </w:rPr>
        <w:t>Braguinsky</w:t>
      </w:r>
      <w:proofErr w:type="spellEnd"/>
      <w:r w:rsidRPr="00E35935">
        <w:rPr>
          <w:rFonts w:cs="Calibri Light"/>
          <w:sz w:val="16"/>
          <w:szCs w:val="16"/>
        </w:rPr>
        <w:t xml:space="preserve">, </w:t>
      </w:r>
      <w:r w:rsidR="009A7402" w:rsidRPr="00E35935">
        <w:rPr>
          <w:rFonts w:cs="Calibri Light"/>
          <w:sz w:val="16"/>
          <w:szCs w:val="16"/>
        </w:rPr>
        <w:t>A</w:t>
      </w:r>
      <w:r w:rsidRPr="00E35935">
        <w:rPr>
          <w:rFonts w:cs="Calibri Light"/>
          <w:sz w:val="16"/>
          <w:szCs w:val="16"/>
        </w:rPr>
        <w:t xml:space="preserve"> </w:t>
      </w:r>
      <w:proofErr w:type="spellStart"/>
      <w:r w:rsidRPr="00E35935">
        <w:rPr>
          <w:rFonts w:cs="Calibri Light"/>
          <w:sz w:val="16"/>
          <w:szCs w:val="16"/>
        </w:rPr>
        <w:t>Ohyama</w:t>
      </w:r>
      <w:proofErr w:type="spellEnd"/>
      <w:r w:rsidRPr="00E35935">
        <w:rPr>
          <w:rFonts w:cs="Calibri Light"/>
          <w:sz w:val="16"/>
          <w:szCs w:val="16"/>
        </w:rPr>
        <w:t>,</w:t>
      </w:r>
      <w:r w:rsidR="009A7402" w:rsidRPr="00E35935">
        <w:rPr>
          <w:rFonts w:cs="Calibri Light"/>
          <w:sz w:val="16"/>
          <w:szCs w:val="16"/>
        </w:rPr>
        <w:t xml:space="preserve"> T</w:t>
      </w:r>
      <w:r w:rsidRPr="00E35935">
        <w:rPr>
          <w:rFonts w:cs="Calibri Light"/>
          <w:sz w:val="16"/>
          <w:szCs w:val="16"/>
        </w:rPr>
        <w:t xml:space="preserve"> Okazaki </w:t>
      </w:r>
      <w:r w:rsidR="009A7402" w:rsidRPr="00E35935">
        <w:rPr>
          <w:rFonts w:cs="Calibri Light"/>
          <w:sz w:val="16"/>
          <w:szCs w:val="16"/>
        </w:rPr>
        <w:t>&amp; C</w:t>
      </w:r>
      <w:r w:rsidRPr="00E35935">
        <w:rPr>
          <w:rFonts w:cs="Calibri Light"/>
          <w:sz w:val="16"/>
          <w:szCs w:val="16"/>
        </w:rPr>
        <w:t xml:space="preserve"> </w:t>
      </w:r>
      <w:proofErr w:type="spellStart"/>
      <w:r w:rsidRPr="00E35935">
        <w:rPr>
          <w:rFonts w:cs="Calibri Light"/>
          <w:sz w:val="16"/>
          <w:szCs w:val="16"/>
        </w:rPr>
        <w:t>Syverson</w:t>
      </w:r>
      <w:proofErr w:type="spellEnd"/>
      <w:r w:rsidRPr="00E35935">
        <w:rPr>
          <w:rFonts w:cs="Calibri Light"/>
          <w:sz w:val="16"/>
          <w:szCs w:val="16"/>
        </w:rPr>
        <w:t xml:space="preserve"> 2015</w:t>
      </w:r>
      <w:r w:rsidR="009A7402" w:rsidRPr="00E35935">
        <w:rPr>
          <w:rFonts w:cs="Calibri Light"/>
          <w:sz w:val="16"/>
          <w:szCs w:val="16"/>
        </w:rPr>
        <w:t xml:space="preserve">, </w:t>
      </w:r>
      <w:r w:rsidR="009A7402" w:rsidRPr="00E35935">
        <w:rPr>
          <w:rFonts w:cs="Calibri Light"/>
          <w:i/>
          <w:sz w:val="16"/>
          <w:szCs w:val="16"/>
        </w:rPr>
        <w:t>‘</w:t>
      </w:r>
      <w:r w:rsidRPr="00E35935">
        <w:rPr>
          <w:rFonts w:cs="Calibri Light"/>
          <w:i/>
          <w:sz w:val="16"/>
          <w:szCs w:val="16"/>
        </w:rPr>
        <w:t>Acquisitions, productivity and profitability: evidence from the Japanes</w:t>
      </w:r>
      <w:r w:rsidR="009A7402" w:rsidRPr="00E35935">
        <w:rPr>
          <w:rFonts w:cs="Calibri Light"/>
          <w:i/>
          <w:sz w:val="16"/>
          <w:szCs w:val="16"/>
        </w:rPr>
        <w:t>e</w:t>
      </w:r>
      <w:r w:rsidRPr="00E35935">
        <w:rPr>
          <w:rFonts w:cs="Calibri Light"/>
          <w:i/>
          <w:sz w:val="16"/>
          <w:szCs w:val="16"/>
        </w:rPr>
        <w:t xml:space="preserve"> cotton spinning industry</w:t>
      </w:r>
      <w:r w:rsidR="009A7402" w:rsidRPr="00E35935">
        <w:rPr>
          <w:rFonts w:cs="Calibri Light"/>
          <w:sz w:val="16"/>
          <w:szCs w:val="16"/>
        </w:rPr>
        <w:t>’,</w:t>
      </w:r>
      <w:r w:rsidRPr="00E35935">
        <w:rPr>
          <w:rFonts w:cs="Calibri Light"/>
          <w:sz w:val="16"/>
          <w:szCs w:val="16"/>
        </w:rPr>
        <w:t xml:space="preserve"> American Economic Review, 105(7): 2086-2119.</w:t>
      </w:r>
    </w:p>
  </w:footnote>
  <w:footnote w:id="28">
    <w:p w14:paraId="2A6E84EA" w14:textId="7EA6F8AF" w:rsidR="00082DBD" w:rsidRPr="00E35935" w:rsidRDefault="00082DBD"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w:t>
      </w:r>
      <w:r w:rsidR="002870D3" w:rsidRPr="00E35935">
        <w:rPr>
          <w:rFonts w:cs="Calibri Light"/>
          <w:sz w:val="16"/>
          <w:szCs w:val="16"/>
        </w:rPr>
        <w:t>M</w:t>
      </w:r>
      <w:r w:rsidRPr="00E35935">
        <w:rPr>
          <w:rFonts w:cs="Calibri Light"/>
          <w:sz w:val="16"/>
          <w:szCs w:val="16"/>
        </w:rPr>
        <w:t xml:space="preserve"> Vita</w:t>
      </w:r>
      <w:r w:rsidR="002870D3" w:rsidRPr="00E35935">
        <w:rPr>
          <w:rFonts w:cs="Calibri Light"/>
          <w:sz w:val="16"/>
          <w:szCs w:val="16"/>
        </w:rPr>
        <w:t xml:space="preserve"> &amp; S</w:t>
      </w:r>
      <w:r w:rsidRPr="00E35935">
        <w:rPr>
          <w:rFonts w:cs="Calibri Light"/>
          <w:sz w:val="16"/>
          <w:szCs w:val="16"/>
        </w:rPr>
        <w:t xml:space="preserve"> Sacher</w:t>
      </w:r>
      <w:r w:rsidR="002870D3" w:rsidRPr="00E35935">
        <w:rPr>
          <w:rFonts w:cs="Calibri Light"/>
          <w:sz w:val="16"/>
          <w:szCs w:val="16"/>
        </w:rPr>
        <w:t xml:space="preserve"> </w:t>
      </w:r>
      <w:r w:rsidRPr="00E35935">
        <w:rPr>
          <w:rFonts w:cs="Calibri Light"/>
          <w:sz w:val="16"/>
          <w:szCs w:val="16"/>
        </w:rPr>
        <w:t>2001</w:t>
      </w:r>
      <w:r w:rsidR="002870D3" w:rsidRPr="00E35935">
        <w:rPr>
          <w:rFonts w:cs="Calibri Light"/>
          <w:sz w:val="16"/>
          <w:szCs w:val="16"/>
        </w:rPr>
        <w:t>,</w:t>
      </w:r>
      <w:r w:rsidRPr="00E35935">
        <w:rPr>
          <w:rFonts w:cs="Calibri Light"/>
          <w:sz w:val="16"/>
          <w:szCs w:val="16"/>
        </w:rPr>
        <w:t xml:space="preserve"> </w:t>
      </w:r>
      <w:r w:rsidR="002870D3" w:rsidRPr="00E35935">
        <w:rPr>
          <w:rFonts w:cs="Calibri Light"/>
          <w:i/>
          <w:sz w:val="16"/>
          <w:szCs w:val="16"/>
        </w:rPr>
        <w:t>‘</w:t>
      </w:r>
      <w:r w:rsidRPr="00E35935">
        <w:rPr>
          <w:rFonts w:cs="Calibri Light"/>
          <w:i/>
          <w:sz w:val="16"/>
          <w:szCs w:val="16"/>
        </w:rPr>
        <w:t>The Competitive Effects of Not-for-Profit Hospital Mergers: A Case Study</w:t>
      </w:r>
      <w:r w:rsidR="002870D3" w:rsidRPr="00E35935">
        <w:rPr>
          <w:rFonts w:cs="Calibri Light"/>
          <w:i/>
          <w:sz w:val="16"/>
          <w:szCs w:val="16"/>
        </w:rPr>
        <w:t>’</w:t>
      </w:r>
      <w:r w:rsidR="002870D3" w:rsidRPr="00E35935">
        <w:rPr>
          <w:rFonts w:cs="Calibri Light"/>
          <w:sz w:val="16"/>
          <w:szCs w:val="16"/>
        </w:rPr>
        <w:t>,</w:t>
      </w:r>
      <w:r w:rsidRPr="00E35935">
        <w:rPr>
          <w:rFonts w:cs="Calibri Light"/>
          <w:sz w:val="16"/>
          <w:szCs w:val="16"/>
        </w:rPr>
        <w:t xml:space="preserve"> Journal of Industrial Economics</w:t>
      </w:r>
      <w:r w:rsidR="00793D39" w:rsidRPr="00E35935">
        <w:rPr>
          <w:rFonts w:cs="Calibri Light"/>
          <w:sz w:val="16"/>
          <w:szCs w:val="16"/>
        </w:rPr>
        <w:t>,</w:t>
      </w:r>
      <w:r w:rsidRPr="00E35935">
        <w:rPr>
          <w:rFonts w:cs="Calibri Light"/>
          <w:i/>
          <w:sz w:val="16"/>
          <w:szCs w:val="16"/>
        </w:rPr>
        <w:t xml:space="preserve"> </w:t>
      </w:r>
      <w:r w:rsidR="00412941" w:rsidRPr="00E35935">
        <w:rPr>
          <w:rFonts w:cs="Calibri Light"/>
          <w:sz w:val="16"/>
          <w:szCs w:val="16"/>
        </w:rPr>
        <w:t>vol</w:t>
      </w:r>
      <w:r w:rsidRPr="00E35935">
        <w:rPr>
          <w:rFonts w:cs="Calibri Light"/>
          <w:sz w:val="16"/>
          <w:szCs w:val="16"/>
        </w:rPr>
        <w:t xml:space="preserve"> 49, 63-84</w:t>
      </w:r>
      <w:r w:rsidR="00412941" w:rsidRPr="00E35935">
        <w:rPr>
          <w:rFonts w:cs="Calibri Light"/>
          <w:sz w:val="16"/>
          <w:szCs w:val="16"/>
        </w:rPr>
        <w:t>.</w:t>
      </w:r>
    </w:p>
  </w:footnote>
  <w:footnote w:id="29">
    <w:p w14:paraId="7A089812" w14:textId="571794C5" w:rsidR="009C5337" w:rsidRPr="00E35935" w:rsidRDefault="009C5337"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w:t>
      </w:r>
      <w:r w:rsidR="002870D3" w:rsidRPr="00E35935">
        <w:rPr>
          <w:rFonts w:cs="Calibri Light"/>
          <w:sz w:val="16"/>
          <w:szCs w:val="16"/>
        </w:rPr>
        <w:t>F</w:t>
      </w:r>
      <w:r w:rsidRPr="00E35935">
        <w:rPr>
          <w:rFonts w:cs="Calibri Light"/>
          <w:sz w:val="16"/>
          <w:szCs w:val="16"/>
        </w:rPr>
        <w:t xml:space="preserve"> </w:t>
      </w:r>
      <w:proofErr w:type="spellStart"/>
      <w:r w:rsidRPr="00E35935">
        <w:rPr>
          <w:rFonts w:cs="Calibri Light"/>
          <w:sz w:val="16"/>
          <w:szCs w:val="16"/>
        </w:rPr>
        <w:t>Luco</w:t>
      </w:r>
      <w:proofErr w:type="spellEnd"/>
      <w:r w:rsidR="002870D3" w:rsidRPr="00E35935">
        <w:rPr>
          <w:rFonts w:cs="Calibri Light"/>
          <w:sz w:val="16"/>
          <w:szCs w:val="16"/>
        </w:rPr>
        <w:t xml:space="preserve"> &amp; G</w:t>
      </w:r>
      <w:r w:rsidRPr="00E35935">
        <w:rPr>
          <w:rFonts w:cs="Calibri Light"/>
          <w:sz w:val="16"/>
          <w:szCs w:val="16"/>
        </w:rPr>
        <w:t xml:space="preserve"> Marshall</w:t>
      </w:r>
      <w:r w:rsidR="002870D3" w:rsidRPr="00E35935">
        <w:rPr>
          <w:rFonts w:cs="Calibri Light"/>
          <w:sz w:val="16"/>
          <w:szCs w:val="16"/>
        </w:rPr>
        <w:t xml:space="preserve"> </w:t>
      </w:r>
      <w:r w:rsidRPr="00E35935">
        <w:rPr>
          <w:rFonts w:cs="Calibri Light"/>
          <w:sz w:val="16"/>
          <w:szCs w:val="16"/>
        </w:rPr>
        <w:t>2020</w:t>
      </w:r>
      <w:r w:rsidR="002870D3" w:rsidRPr="00E35935">
        <w:rPr>
          <w:rFonts w:cs="Calibri Light"/>
          <w:sz w:val="16"/>
          <w:szCs w:val="16"/>
        </w:rPr>
        <w:t>,</w:t>
      </w:r>
      <w:r w:rsidRPr="00E35935">
        <w:rPr>
          <w:rFonts w:cs="Calibri Light"/>
          <w:sz w:val="16"/>
          <w:szCs w:val="16"/>
        </w:rPr>
        <w:t xml:space="preserve"> </w:t>
      </w:r>
      <w:r w:rsidR="002870D3" w:rsidRPr="00E35935">
        <w:rPr>
          <w:rFonts w:cs="Calibri Light"/>
          <w:sz w:val="16"/>
          <w:szCs w:val="16"/>
        </w:rPr>
        <w:t>‘</w:t>
      </w:r>
      <w:r w:rsidR="00C5123B">
        <w:rPr>
          <w:rFonts w:cs="Calibri Light"/>
          <w:i/>
          <w:iCs/>
          <w:sz w:val="16"/>
          <w:szCs w:val="16"/>
        </w:rPr>
        <w:t xml:space="preserve">The Competitive Impact of </w:t>
      </w:r>
      <w:r w:rsidRPr="00E35935">
        <w:rPr>
          <w:rFonts w:cs="Calibri Light"/>
          <w:i/>
          <w:sz w:val="16"/>
          <w:szCs w:val="16"/>
        </w:rPr>
        <w:t xml:space="preserve">Vertical Integration </w:t>
      </w:r>
      <w:r w:rsidR="00A56556">
        <w:rPr>
          <w:rFonts w:cs="Calibri Light"/>
          <w:i/>
          <w:sz w:val="16"/>
          <w:szCs w:val="16"/>
        </w:rPr>
        <w:t>by</w:t>
      </w:r>
      <w:r w:rsidRPr="00E35935">
        <w:rPr>
          <w:rFonts w:cs="Calibri Light"/>
          <w:i/>
          <w:sz w:val="16"/>
          <w:szCs w:val="16"/>
        </w:rPr>
        <w:t xml:space="preserve"> Multiproduct Firms</w:t>
      </w:r>
      <w:r w:rsidR="002870D3" w:rsidRPr="00E35935">
        <w:rPr>
          <w:rFonts w:cs="Calibri Light"/>
          <w:i/>
          <w:sz w:val="16"/>
          <w:szCs w:val="16"/>
        </w:rPr>
        <w:t>’</w:t>
      </w:r>
      <w:r w:rsidR="002870D3" w:rsidRPr="00E35935">
        <w:rPr>
          <w:rFonts w:cs="Calibri Light"/>
          <w:sz w:val="16"/>
          <w:szCs w:val="16"/>
        </w:rPr>
        <w:t>,</w:t>
      </w:r>
      <w:r w:rsidRPr="00E35935">
        <w:rPr>
          <w:rFonts w:cs="Calibri Light"/>
          <w:sz w:val="16"/>
          <w:szCs w:val="16"/>
        </w:rPr>
        <w:t xml:space="preserve"> American Economic Review</w:t>
      </w:r>
      <w:r w:rsidR="00793D39" w:rsidRPr="00E35935">
        <w:rPr>
          <w:rFonts w:cs="Calibri Light"/>
          <w:sz w:val="16"/>
          <w:szCs w:val="16"/>
        </w:rPr>
        <w:t>,</w:t>
      </w:r>
      <w:r w:rsidRPr="00E35935">
        <w:rPr>
          <w:rFonts w:cs="Calibri Light"/>
          <w:sz w:val="16"/>
          <w:szCs w:val="16"/>
        </w:rPr>
        <w:t xml:space="preserve"> 110(7), 2041-2064.</w:t>
      </w:r>
    </w:p>
  </w:footnote>
  <w:footnote w:id="30">
    <w:p w14:paraId="66862F1C" w14:textId="6862E9A3" w:rsidR="00224854" w:rsidRPr="00E35935" w:rsidRDefault="00224854"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w:t>
      </w:r>
      <w:r w:rsidR="001A16A7" w:rsidRPr="00E35935">
        <w:rPr>
          <w:rFonts w:cs="Calibri Light"/>
          <w:sz w:val="16"/>
          <w:szCs w:val="16"/>
        </w:rPr>
        <w:t>G</w:t>
      </w:r>
      <w:r w:rsidRPr="00E35935">
        <w:rPr>
          <w:rFonts w:cs="Calibri Light"/>
          <w:sz w:val="16"/>
          <w:szCs w:val="16"/>
        </w:rPr>
        <w:t xml:space="preserve"> Crawford, </w:t>
      </w:r>
      <w:r w:rsidR="001A16A7" w:rsidRPr="00E35935">
        <w:rPr>
          <w:rFonts w:cs="Calibri Light"/>
          <w:sz w:val="16"/>
          <w:szCs w:val="16"/>
        </w:rPr>
        <w:t>R</w:t>
      </w:r>
      <w:r w:rsidRPr="00E35935">
        <w:rPr>
          <w:rFonts w:cs="Calibri Light"/>
          <w:sz w:val="16"/>
          <w:szCs w:val="16"/>
        </w:rPr>
        <w:t xml:space="preserve"> Lee, </w:t>
      </w:r>
      <w:r w:rsidR="001A16A7" w:rsidRPr="00E35935">
        <w:rPr>
          <w:rFonts w:cs="Calibri Light"/>
          <w:sz w:val="16"/>
          <w:szCs w:val="16"/>
        </w:rPr>
        <w:t>D</w:t>
      </w:r>
      <w:r w:rsidRPr="00E35935">
        <w:rPr>
          <w:rFonts w:cs="Calibri Light"/>
          <w:sz w:val="16"/>
          <w:szCs w:val="16"/>
        </w:rPr>
        <w:t xml:space="preserve"> </w:t>
      </w:r>
      <w:proofErr w:type="spellStart"/>
      <w:r w:rsidRPr="00E35935">
        <w:rPr>
          <w:rFonts w:cs="Calibri Light"/>
          <w:sz w:val="16"/>
          <w:szCs w:val="16"/>
        </w:rPr>
        <w:t>Whinston</w:t>
      </w:r>
      <w:proofErr w:type="spellEnd"/>
      <w:r w:rsidR="002870D3" w:rsidRPr="00E35935">
        <w:rPr>
          <w:rFonts w:cs="Calibri Light"/>
          <w:sz w:val="16"/>
          <w:szCs w:val="16"/>
        </w:rPr>
        <w:t xml:space="preserve"> &amp;</w:t>
      </w:r>
      <w:r w:rsidRPr="00E35935">
        <w:rPr>
          <w:rFonts w:cs="Calibri Light"/>
          <w:sz w:val="16"/>
          <w:szCs w:val="16"/>
        </w:rPr>
        <w:t xml:space="preserve"> </w:t>
      </w:r>
      <w:r w:rsidR="001A16A7" w:rsidRPr="00E35935">
        <w:rPr>
          <w:rFonts w:cs="Calibri Light"/>
          <w:sz w:val="16"/>
          <w:szCs w:val="16"/>
        </w:rPr>
        <w:t>A</w:t>
      </w:r>
      <w:r w:rsidRPr="00E35935">
        <w:rPr>
          <w:rFonts w:cs="Calibri Light"/>
          <w:sz w:val="16"/>
          <w:szCs w:val="16"/>
        </w:rPr>
        <w:t xml:space="preserve"> </w:t>
      </w:r>
      <w:proofErr w:type="spellStart"/>
      <w:r w:rsidRPr="00E35935">
        <w:rPr>
          <w:rFonts w:cs="Calibri Light"/>
          <w:sz w:val="16"/>
          <w:szCs w:val="16"/>
        </w:rPr>
        <w:t>Yurukoglu</w:t>
      </w:r>
      <w:proofErr w:type="spellEnd"/>
      <w:r w:rsidRPr="00E35935">
        <w:rPr>
          <w:rFonts w:cs="Calibri Light"/>
          <w:sz w:val="16"/>
          <w:szCs w:val="16"/>
        </w:rPr>
        <w:t xml:space="preserve"> 2018</w:t>
      </w:r>
      <w:r w:rsidR="001A16A7" w:rsidRPr="00E35935">
        <w:rPr>
          <w:rFonts w:cs="Calibri Light"/>
          <w:sz w:val="16"/>
          <w:szCs w:val="16"/>
        </w:rPr>
        <w:t>,</w:t>
      </w:r>
      <w:r w:rsidRPr="00E35935">
        <w:rPr>
          <w:rFonts w:cs="Calibri Light"/>
          <w:sz w:val="16"/>
          <w:szCs w:val="16"/>
        </w:rPr>
        <w:t xml:space="preserve"> </w:t>
      </w:r>
      <w:r w:rsidR="001A16A7" w:rsidRPr="00E35935">
        <w:rPr>
          <w:rFonts w:cs="Calibri Light"/>
          <w:sz w:val="16"/>
          <w:szCs w:val="16"/>
        </w:rPr>
        <w:t>‘</w:t>
      </w:r>
      <w:r w:rsidRPr="00E35935">
        <w:rPr>
          <w:rFonts w:cs="Calibri Light"/>
          <w:i/>
          <w:sz w:val="16"/>
          <w:szCs w:val="16"/>
        </w:rPr>
        <w:t>The Welfare Effects of Vertical Integration in Multichannel Television Markets</w:t>
      </w:r>
      <w:r w:rsidR="001A16A7" w:rsidRPr="00E35935">
        <w:rPr>
          <w:rFonts w:cs="Calibri Light"/>
          <w:i/>
          <w:sz w:val="16"/>
          <w:szCs w:val="16"/>
        </w:rPr>
        <w:t>’</w:t>
      </w:r>
      <w:r w:rsidR="001A16A7" w:rsidRPr="00E35935">
        <w:rPr>
          <w:rFonts w:cs="Calibri Light"/>
          <w:sz w:val="16"/>
          <w:szCs w:val="16"/>
        </w:rPr>
        <w:t>,</w:t>
      </w:r>
      <w:r w:rsidRPr="00E35935">
        <w:rPr>
          <w:rFonts w:cs="Calibri Light"/>
          <w:sz w:val="16"/>
          <w:szCs w:val="16"/>
        </w:rPr>
        <w:t xml:space="preserve"> </w:t>
      </w:r>
      <w:proofErr w:type="spellStart"/>
      <w:r w:rsidRPr="00E35935">
        <w:rPr>
          <w:rFonts w:cs="Calibri Light"/>
          <w:sz w:val="16"/>
          <w:szCs w:val="16"/>
        </w:rPr>
        <w:t>Econometrica</w:t>
      </w:r>
      <w:proofErr w:type="spellEnd"/>
      <w:r w:rsidR="00793D39" w:rsidRPr="00E35935">
        <w:rPr>
          <w:rFonts w:cs="Calibri Light"/>
          <w:sz w:val="16"/>
          <w:szCs w:val="16"/>
        </w:rPr>
        <w:t>,</w:t>
      </w:r>
      <w:r w:rsidRPr="00E35935">
        <w:rPr>
          <w:rFonts w:cs="Calibri Light"/>
          <w:sz w:val="16"/>
          <w:szCs w:val="16"/>
        </w:rPr>
        <w:t xml:space="preserve"> 86(3), 891- 954.</w:t>
      </w:r>
    </w:p>
  </w:footnote>
  <w:footnote w:id="31">
    <w:p w14:paraId="05162904" w14:textId="0320AE65" w:rsidR="00224854" w:rsidRPr="00E35935" w:rsidRDefault="00224854"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w:t>
      </w:r>
      <w:r w:rsidR="001A16A7" w:rsidRPr="00E35935">
        <w:rPr>
          <w:rFonts w:cs="Calibri Light"/>
          <w:sz w:val="16"/>
          <w:szCs w:val="16"/>
        </w:rPr>
        <w:t>A</w:t>
      </w:r>
      <w:r w:rsidRPr="00E35935">
        <w:rPr>
          <w:rFonts w:cs="Calibri Light"/>
          <w:sz w:val="16"/>
          <w:szCs w:val="16"/>
        </w:rPr>
        <w:t xml:space="preserve"> </w:t>
      </w:r>
      <w:proofErr w:type="spellStart"/>
      <w:r w:rsidRPr="00E35935">
        <w:rPr>
          <w:rFonts w:cs="Calibri Light"/>
          <w:sz w:val="16"/>
          <w:szCs w:val="16"/>
        </w:rPr>
        <w:t>Hortacsu</w:t>
      </w:r>
      <w:proofErr w:type="spellEnd"/>
      <w:r w:rsidR="002870D3" w:rsidRPr="00E35935">
        <w:rPr>
          <w:rFonts w:cs="Calibri Light"/>
          <w:sz w:val="16"/>
          <w:szCs w:val="16"/>
        </w:rPr>
        <w:t xml:space="preserve"> &amp;</w:t>
      </w:r>
      <w:r w:rsidRPr="00E35935">
        <w:rPr>
          <w:rFonts w:cs="Calibri Light"/>
          <w:sz w:val="16"/>
          <w:szCs w:val="16"/>
        </w:rPr>
        <w:t xml:space="preserve"> </w:t>
      </w:r>
      <w:r w:rsidR="001A16A7" w:rsidRPr="00E35935">
        <w:rPr>
          <w:rFonts w:cs="Calibri Light"/>
          <w:sz w:val="16"/>
          <w:szCs w:val="16"/>
        </w:rPr>
        <w:t>C</w:t>
      </w:r>
      <w:r w:rsidRPr="00E35935">
        <w:rPr>
          <w:rFonts w:cs="Calibri Light"/>
          <w:sz w:val="16"/>
          <w:szCs w:val="16"/>
        </w:rPr>
        <w:t xml:space="preserve"> </w:t>
      </w:r>
      <w:proofErr w:type="spellStart"/>
      <w:r w:rsidRPr="00E35935">
        <w:rPr>
          <w:rFonts w:cs="Calibri Light"/>
          <w:sz w:val="16"/>
          <w:szCs w:val="16"/>
        </w:rPr>
        <w:t>Syverson</w:t>
      </w:r>
      <w:proofErr w:type="spellEnd"/>
      <w:r w:rsidRPr="00E35935">
        <w:rPr>
          <w:rFonts w:cs="Calibri Light"/>
          <w:sz w:val="16"/>
          <w:szCs w:val="16"/>
        </w:rPr>
        <w:t>, 2007</w:t>
      </w:r>
      <w:r w:rsidR="001A16A7" w:rsidRPr="00E35935">
        <w:rPr>
          <w:rFonts w:cs="Calibri Light"/>
          <w:sz w:val="16"/>
          <w:szCs w:val="16"/>
        </w:rPr>
        <w:t>,</w:t>
      </w:r>
      <w:r w:rsidRPr="00E35935">
        <w:rPr>
          <w:rFonts w:cs="Calibri Light"/>
          <w:sz w:val="16"/>
          <w:szCs w:val="16"/>
        </w:rPr>
        <w:t xml:space="preserve"> </w:t>
      </w:r>
      <w:r w:rsidR="001A16A7" w:rsidRPr="00E35935">
        <w:rPr>
          <w:rFonts w:cs="Calibri Light"/>
          <w:sz w:val="16"/>
          <w:szCs w:val="16"/>
        </w:rPr>
        <w:t>‘</w:t>
      </w:r>
      <w:r w:rsidRPr="00E35935">
        <w:rPr>
          <w:rFonts w:cs="Calibri Light"/>
          <w:i/>
          <w:sz w:val="16"/>
          <w:szCs w:val="16"/>
        </w:rPr>
        <w:t>Cementing Relationships: Vertical Integration, Foreclosure, Productivity and Prices</w:t>
      </w:r>
      <w:r w:rsidR="001A16A7" w:rsidRPr="00E35935">
        <w:rPr>
          <w:rFonts w:cs="Calibri Light"/>
          <w:i/>
          <w:sz w:val="16"/>
          <w:szCs w:val="16"/>
        </w:rPr>
        <w:t>’</w:t>
      </w:r>
      <w:r w:rsidR="001A16A7" w:rsidRPr="00E35935">
        <w:rPr>
          <w:rFonts w:cs="Calibri Light"/>
          <w:sz w:val="16"/>
          <w:szCs w:val="16"/>
        </w:rPr>
        <w:t>,</w:t>
      </w:r>
      <w:r w:rsidRPr="00E35935">
        <w:rPr>
          <w:rFonts w:cs="Calibri Light"/>
          <w:sz w:val="16"/>
          <w:szCs w:val="16"/>
        </w:rPr>
        <w:t xml:space="preserve"> The Journal of Political Economy</w:t>
      </w:r>
      <w:r w:rsidR="00793D39" w:rsidRPr="00E35935">
        <w:rPr>
          <w:rFonts w:cs="Calibri Light"/>
          <w:sz w:val="16"/>
          <w:szCs w:val="16"/>
        </w:rPr>
        <w:t>,</w:t>
      </w:r>
      <w:r w:rsidRPr="00E35935">
        <w:rPr>
          <w:rFonts w:cs="Calibri Light"/>
          <w:sz w:val="16"/>
          <w:szCs w:val="16"/>
        </w:rPr>
        <w:t xml:space="preserve"> 115(2), 250- 301.</w:t>
      </w:r>
    </w:p>
  </w:footnote>
  <w:footnote w:id="32">
    <w:p w14:paraId="59D39387" w14:textId="3BA6D54F" w:rsidR="00630E3A" w:rsidRPr="00E35935" w:rsidRDefault="00630E3A"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w:t>
      </w:r>
      <w:r w:rsidR="001A16A7" w:rsidRPr="00E35935">
        <w:rPr>
          <w:rFonts w:cs="Calibri Light"/>
          <w:sz w:val="16"/>
          <w:szCs w:val="16"/>
        </w:rPr>
        <w:t>R</w:t>
      </w:r>
      <w:r w:rsidRPr="00E35935">
        <w:rPr>
          <w:rFonts w:cs="Calibri Light"/>
          <w:sz w:val="16"/>
          <w:szCs w:val="16"/>
        </w:rPr>
        <w:t xml:space="preserve"> Gil</w:t>
      </w:r>
      <w:r w:rsidR="002870D3" w:rsidRPr="00E35935">
        <w:rPr>
          <w:rFonts w:cs="Calibri Light"/>
          <w:sz w:val="16"/>
          <w:szCs w:val="16"/>
        </w:rPr>
        <w:t xml:space="preserve"> &amp;</w:t>
      </w:r>
      <w:r w:rsidRPr="00E35935">
        <w:rPr>
          <w:rFonts w:cs="Calibri Light"/>
          <w:sz w:val="16"/>
          <w:szCs w:val="16"/>
        </w:rPr>
        <w:t xml:space="preserve"> </w:t>
      </w:r>
      <w:r w:rsidR="001A16A7" w:rsidRPr="00E35935">
        <w:rPr>
          <w:rFonts w:cs="Calibri Light"/>
          <w:sz w:val="16"/>
          <w:szCs w:val="16"/>
        </w:rPr>
        <w:t>F</w:t>
      </w:r>
      <w:r w:rsidRPr="00E35935">
        <w:rPr>
          <w:rFonts w:cs="Calibri Light"/>
          <w:sz w:val="16"/>
          <w:szCs w:val="16"/>
        </w:rPr>
        <w:t xml:space="preserve"> </w:t>
      </w:r>
      <w:proofErr w:type="spellStart"/>
      <w:r w:rsidRPr="00E35935">
        <w:rPr>
          <w:rFonts w:cs="Calibri Light"/>
          <w:sz w:val="16"/>
          <w:szCs w:val="16"/>
        </w:rPr>
        <w:t>Warzynski</w:t>
      </w:r>
      <w:proofErr w:type="spellEnd"/>
      <w:r w:rsidRPr="00E35935">
        <w:rPr>
          <w:rFonts w:cs="Calibri Light"/>
          <w:sz w:val="16"/>
          <w:szCs w:val="16"/>
        </w:rPr>
        <w:t xml:space="preserve"> 2014</w:t>
      </w:r>
      <w:r w:rsidR="001A16A7" w:rsidRPr="00E35935">
        <w:rPr>
          <w:rFonts w:cs="Calibri Light"/>
          <w:sz w:val="16"/>
          <w:szCs w:val="16"/>
        </w:rPr>
        <w:t>,</w:t>
      </w:r>
      <w:r w:rsidRPr="00E35935">
        <w:rPr>
          <w:rFonts w:cs="Calibri Light"/>
          <w:sz w:val="16"/>
          <w:szCs w:val="16"/>
        </w:rPr>
        <w:t xml:space="preserve"> </w:t>
      </w:r>
      <w:r w:rsidR="001A16A7" w:rsidRPr="00E35935">
        <w:rPr>
          <w:rFonts w:cs="Calibri Light"/>
          <w:sz w:val="16"/>
          <w:szCs w:val="16"/>
        </w:rPr>
        <w:t>‘</w:t>
      </w:r>
      <w:r w:rsidRPr="00E35935">
        <w:rPr>
          <w:rFonts w:cs="Calibri Light"/>
          <w:i/>
          <w:sz w:val="16"/>
          <w:szCs w:val="16"/>
        </w:rPr>
        <w:t>Vertical Integration, Exclusivity, and Game Sales</w:t>
      </w:r>
      <w:r w:rsidR="001A16A7" w:rsidRPr="00E35935">
        <w:rPr>
          <w:rFonts w:cs="Calibri Light"/>
          <w:i/>
          <w:sz w:val="16"/>
          <w:szCs w:val="16"/>
        </w:rPr>
        <w:t>’</w:t>
      </w:r>
      <w:r w:rsidR="001A16A7" w:rsidRPr="00E35935">
        <w:rPr>
          <w:rFonts w:cs="Calibri Light"/>
          <w:sz w:val="16"/>
          <w:szCs w:val="16"/>
        </w:rPr>
        <w:t>,</w:t>
      </w:r>
      <w:r w:rsidRPr="00E35935">
        <w:rPr>
          <w:rFonts w:cs="Calibri Light"/>
          <w:sz w:val="16"/>
          <w:szCs w:val="16"/>
        </w:rPr>
        <w:t xml:space="preserve"> Journal of Law, Economics, and Organization</w:t>
      </w:r>
      <w:r w:rsidR="001A16A7" w:rsidRPr="00E35935">
        <w:rPr>
          <w:rFonts w:cs="Calibri Light"/>
          <w:sz w:val="16"/>
          <w:szCs w:val="16"/>
        </w:rPr>
        <w:t>, vol</w:t>
      </w:r>
      <w:r w:rsidRPr="00E35935">
        <w:rPr>
          <w:rFonts w:cs="Calibri Light"/>
          <w:sz w:val="16"/>
          <w:szCs w:val="16"/>
        </w:rPr>
        <w:t xml:space="preserve"> 31, 1143-1168.</w:t>
      </w:r>
    </w:p>
  </w:footnote>
  <w:footnote w:id="33">
    <w:p w14:paraId="0A3C10CF" w14:textId="31C18DFA" w:rsidR="00263226" w:rsidRPr="00E35935" w:rsidRDefault="00263226" w:rsidP="00F101C1">
      <w:pPr>
        <w:pStyle w:val="FootnoteText"/>
        <w:ind w:left="142" w:hanging="142"/>
        <w:rPr>
          <w:rFonts w:cs="Calibri Light"/>
          <w:sz w:val="16"/>
          <w:szCs w:val="16"/>
        </w:rPr>
      </w:pPr>
      <w:r w:rsidRPr="00E35935">
        <w:rPr>
          <w:rStyle w:val="FootnoteReference"/>
          <w:rFonts w:cs="Calibri Light"/>
          <w:sz w:val="16"/>
          <w:szCs w:val="16"/>
        </w:rPr>
        <w:footnoteRef/>
      </w:r>
      <w:r w:rsidRPr="00E35935">
        <w:rPr>
          <w:rFonts w:cs="Calibri Light"/>
          <w:sz w:val="16"/>
          <w:szCs w:val="16"/>
        </w:rPr>
        <w:t xml:space="preserve"> C Cunningham</w:t>
      </w:r>
      <w:r w:rsidR="006E31C4" w:rsidRPr="00E35935">
        <w:rPr>
          <w:rFonts w:cs="Calibri Light"/>
          <w:sz w:val="16"/>
          <w:szCs w:val="16"/>
        </w:rPr>
        <w:t>,</w:t>
      </w:r>
      <w:r w:rsidRPr="00E35935">
        <w:rPr>
          <w:rFonts w:cs="Calibri Light"/>
          <w:sz w:val="16"/>
          <w:szCs w:val="16"/>
        </w:rPr>
        <w:t xml:space="preserve"> F </w:t>
      </w:r>
      <w:proofErr w:type="spellStart"/>
      <w:r w:rsidRPr="00E35935">
        <w:rPr>
          <w:rFonts w:cs="Calibri Light"/>
          <w:sz w:val="16"/>
          <w:szCs w:val="16"/>
        </w:rPr>
        <w:t>Ederer</w:t>
      </w:r>
      <w:proofErr w:type="spellEnd"/>
      <w:r w:rsidRPr="00E35935">
        <w:rPr>
          <w:rFonts w:cs="Calibri Light"/>
          <w:sz w:val="16"/>
          <w:szCs w:val="16"/>
        </w:rPr>
        <w:t xml:space="preserve"> &amp; S Ma 2021</w:t>
      </w:r>
      <w:r w:rsidR="006E31C4" w:rsidRPr="00E35935">
        <w:rPr>
          <w:rFonts w:cs="Calibri Light"/>
          <w:sz w:val="16"/>
          <w:szCs w:val="16"/>
        </w:rPr>
        <w:t>,</w:t>
      </w:r>
      <w:r w:rsidRPr="00E35935">
        <w:rPr>
          <w:rFonts w:cs="Calibri Light"/>
          <w:sz w:val="16"/>
          <w:szCs w:val="16"/>
        </w:rPr>
        <w:t xml:space="preserve"> </w:t>
      </w:r>
      <w:r w:rsidR="006E31C4" w:rsidRPr="00E35935">
        <w:rPr>
          <w:rFonts w:cs="Calibri Light"/>
          <w:i/>
          <w:sz w:val="16"/>
          <w:szCs w:val="16"/>
        </w:rPr>
        <w:t>‘</w:t>
      </w:r>
      <w:r w:rsidRPr="00E35935">
        <w:rPr>
          <w:rFonts w:cs="Calibri Light"/>
          <w:i/>
          <w:sz w:val="16"/>
          <w:szCs w:val="16"/>
        </w:rPr>
        <w:t>Killer Acquisitions,</w:t>
      </w:r>
      <w:r w:rsidR="006E31C4" w:rsidRPr="00E35935">
        <w:rPr>
          <w:rFonts w:cs="Calibri Light"/>
          <w:sz w:val="16"/>
          <w:szCs w:val="16"/>
        </w:rPr>
        <w:t>’</w:t>
      </w:r>
      <w:r w:rsidRPr="00E35935">
        <w:rPr>
          <w:rFonts w:cs="Calibri Light"/>
          <w:sz w:val="16"/>
          <w:szCs w:val="16"/>
        </w:rPr>
        <w:t xml:space="preserve"> Journal of Political Economy, vol. 129(3), 649-702</w:t>
      </w:r>
      <w:r w:rsidR="00225662" w:rsidRPr="00E35935">
        <w:rPr>
          <w:rFonts w:cs="Calibri Light"/>
          <w:sz w:val="16"/>
          <w:szCs w:val="16"/>
        </w:rPr>
        <w:t xml:space="preserve">, </w:t>
      </w:r>
      <w:r w:rsidRPr="00E35935">
        <w:rPr>
          <w:rFonts w:cs="Calibri Light"/>
          <w:sz w:val="16"/>
          <w:szCs w:val="16"/>
        </w:rPr>
        <w:t>University of Chicago Press.</w:t>
      </w:r>
    </w:p>
  </w:footnote>
  <w:footnote w:id="34">
    <w:p w14:paraId="4EB14B7C" w14:textId="2CF6C118" w:rsidR="006E7FA7" w:rsidRPr="00E35935" w:rsidRDefault="006E7FA7" w:rsidP="00F101C1">
      <w:pPr>
        <w:pStyle w:val="FootnoteText"/>
        <w:ind w:left="142" w:hanging="142"/>
        <w:rPr>
          <w:rFonts w:cs="Calibri Light"/>
          <w:sz w:val="16"/>
          <w:szCs w:val="16"/>
        </w:rPr>
      </w:pPr>
      <w:r w:rsidRPr="00E35935">
        <w:rPr>
          <w:rFonts w:cs="Calibri Light"/>
          <w:sz w:val="16"/>
          <w:szCs w:val="16"/>
        </w:rPr>
        <w:footnoteRef/>
      </w:r>
      <w:r w:rsidRPr="00E35935">
        <w:rPr>
          <w:rFonts w:cs="Calibri Light"/>
          <w:sz w:val="16"/>
          <w:szCs w:val="16"/>
        </w:rPr>
        <w:t xml:space="preserve"> </w:t>
      </w:r>
      <w:r w:rsidR="0076184A" w:rsidRPr="00E35935">
        <w:rPr>
          <w:rFonts w:cs="Calibri Light"/>
          <w:sz w:val="16"/>
          <w:szCs w:val="16"/>
        </w:rPr>
        <w:t>A</w:t>
      </w:r>
      <w:r w:rsidRPr="00E35935">
        <w:rPr>
          <w:rFonts w:cs="Calibri Light"/>
          <w:sz w:val="16"/>
          <w:szCs w:val="16"/>
        </w:rPr>
        <w:t xml:space="preserve"> Collard-Wexler 2014</w:t>
      </w:r>
      <w:r w:rsidR="0076184A" w:rsidRPr="00E35935">
        <w:rPr>
          <w:rFonts w:cs="Calibri Light"/>
          <w:sz w:val="16"/>
          <w:szCs w:val="16"/>
        </w:rPr>
        <w:t>,</w:t>
      </w:r>
      <w:r w:rsidRPr="00E35935">
        <w:rPr>
          <w:rFonts w:cs="Calibri Light"/>
          <w:sz w:val="16"/>
          <w:szCs w:val="16"/>
        </w:rPr>
        <w:t xml:space="preserve"> </w:t>
      </w:r>
      <w:r w:rsidR="0076184A" w:rsidRPr="00E35935">
        <w:rPr>
          <w:rFonts w:cs="Calibri Light"/>
          <w:i/>
          <w:sz w:val="16"/>
          <w:szCs w:val="16"/>
        </w:rPr>
        <w:t>‘</w:t>
      </w:r>
      <w:r w:rsidRPr="00E35935">
        <w:rPr>
          <w:rFonts w:cs="Calibri Light"/>
          <w:i/>
          <w:sz w:val="16"/>
          <w:szCs w:val="16"/>
        </w:rPr>
        <w:t>Mergers and Sunk Costs: An Application to the Ready</w:t>
      </w:r>
      <w:r w:rsidR="00346B8C" w:rsidRPr="00E35935">
        <w:rPr>
          <w:rFonts w:cs="Calibri Light"/>
          <w:i/>
          <w:sz w:val="16"/>
          <w:szCs w:val="16"/>
        </w:rPr>
        <w:t>-</w:t>
      </w:r>
      <w:r w:rsidRPr="00E35935">
        <w:rPr>
          <w:rFonts w:cs="Calibri Light"/>
          <w:i/>
          <w:sz w:val="16"/>
          <w:szCs w:val="16"/>
        </w:rPr>
        <w:t>Mix Concrete Industry</w:t>
      </w:r>
      <w:r w:rsidR="0076184A" w:rsidRPr="00E35935">
        <w:rPr>
          <w:rFonts w:cs="Calibri Light"/>
          <w:i/>
          <w:sz w:val="16"/>
          <w:szCs w:val="16"/>
        </w:rPr>
        <w:t>’,</w:t>
      </w:r>
      <w:r w:rsidRPr="00E35935">
        <w:rPr>
          <w:rFonts w:cs="Calibri Light"/>
          <w:i/>
          <w:sz w:val="16"/>
          <w:szCs w:val="16"/>
        </w:rPr>
        <w:t xml:space="preserve"> </w:t>
      </w:r>
      <w:r w:rsidRPr="00E35935">
        <w:rPr>
          <w:rFonts w:cs="Calibri Light"/>
          <w:sz w:val="16"/>
          <w:szCs w:val="16"/>
        </w:rPr>
        <w:t>American Economic Journal: Microeconomics 6(4), 407-447.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400F83"/>
    <w:multiLevelType w:val="multilevel"/>
    <w:tmpl w:val="EBDE5B5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5" w15:restartNumberingAfterBreak="0">
    <w:nsid w:val="510D2021"/>
    <w:multiLevelType w:val="multilevel"/>
    <w:tmpl w:val="72F8140E"/>
    <w:numStyleLink w:val="OutlineList"/>
  </w:abstractNum>
  <w:abstractNum w:abstractNumId="1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43A04FA"/>
    <w:multiLevelType w:val="multilevel"/>
    <w:tmpl w:val="2A381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5635FB"/>
    <w:multiLevelType w:val="hybridMultilevel"/>
    <w:tmpl w:val="DE62F02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1"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9"/>
  </w:num>
  <w:num w:numId="2" w16cid:durableId="230386874">
    <w:abstractNumId w:val="0"/>
  </w:num>
  <w:num w:numId="3" w16cid:durableId="1716855291">
    <w:abstractNumId w:val="12"/>
  </w:num>
  <w:num w:numId="4" w16cid:durableId="797724066">
    <w:abstractNumId w:val="2"/>
  </w:num>
  <w:num w:numId="5" w16cid:durableId="709110180">
    <w:abstractNumId w:val="4"/>
  </w:num>
  <w:num w:numId="6" w16cid:durableId="306596971">
    <w:abstractNumId w:val="15"/>
  </w:num>
  <w:num w:numId="7" w16cid:durableId="1739129519">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5"/>
  </w:num>
  <w:num w:numId="9" w16cid:durableId="1591279926">
    <w:abstractNumId w:val="1"/>
  </w:num>
  <w:num w:numId="10" w16cid:durableId="832991063">
    <w:abstractNumId w:val="8"/>
  </w:num>
  <w:num w:numId="11" w16cid:durableId="215508863">
    <w:abstractNumId w:val="23"/>
  </w:num>
  <w:num w:numId="12" w16cid:durableId="2019234066">
    <w:abstractNumId w:val="15"/>
  </w:num>
  <w:num w:numId="13" w16cid:durableId="1757362042">
    <w:abstractNumId w:val="24"/>
  </w:num>
  <w:num w:numId="14" w16cid:durableId="353965158">
    <w:abstractNumId w:val="14"/>
  </w:num>
  <w:num w:numId="15" w16cid:durableId="77220001">
    <w:abstractNumId w:val="7"/>
  </w:num>
  <w:num w:numId="16" w16cid:durableId="626086807">
    <w:abstractNumId w:val="19"/>
  </w:num>
  <w:num w:numId="17" w16cid:durableId="143200778">
    <w:abstractNumId w:val="11"/>
  </w:num>
  <w:num w:numId="18" w16cid:durableId="10540393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0"/>
  </w:num>
  <w:num w:numId="21" w16cid:durableId="525217854">
    <w:abstractNumId w:val="16"/>
  </w:num>
  <w:num w:numId="22" w16cid:durableId="1017973052">
    <w:abstractNumId w:val="3"/>
  </w:num>
  <w:num w:numId="23" w16cid:durableId="1710757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20"/>
  </w:num>
  <w:num w:numId="25" w16cid:durableId="1198618205">
    <w:abstractNumId w:val="6"/>
  </w:num>
  <w:num w:numId="26" w16cid:durableId="53434985">
    <w:abstractNumId w:val="13"/>
  </w:num>
  <w:num w:numId="27" w16cid:durableId="971013137">
    <w:abstractNumId w:val="18"/>
  </w:num>
  <w:num w:numId="28" w16cid:durableId="1405447954">
    <w:abstractNumId w:val="20"/>
  </w:num>
  <w:num w:numId="29" w16cid:durableId="1168012296">
    <w:abstractNumId w:val="17"/>
  </w:num>
  <w:num w:numId="30" w16cid:durableId="273903132">
    <w:abstractNumId w:val="20"/>
  </w:num>
  <w:num w:numId="31" w16cid:durableId="1004014241">
    <w:abstractNumId w:val="20"/>
  </w:num>
  <w:num w:numId="32" w16cid:durableId="74622481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0391968">
    <w:abstractNumId w:val="20"/>
  </w:num>
  <w:num w:numId="34" w16cid:durableId="8055129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mirrorMargin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A73B2C"/>
    <w:rsid w:val="000004FA"/>
    <w:rsid w:val="00000DF2"/>
    <w:rsid w:val="000037B6"/>
    <w:rsid w:val="000057CA"/>
    <w:rsid w:val="00005F39"/>
    <w:rsid w:val="00005F89"/>
    <w:rsid w:val="0000684F"/>
    <w:rsid w:val="00006A5B"/>
    <w:rsid w:val="00006ABF"/>
    <w:rsid w:val="0001046B"/>
    <w:rsid w:val="00010DB1"/>
    <w:rsid w:val="000116F7"/>
    <w:rsid w:val="00011725"/>
    <w:rsid w:val="00012007"/>
    <w:rsid w:val="00012B4E"/>
    <w:rsid w:val="00012C62"/>
    <w:rsid w:val="00013631"/>
    <w:rsid w:val="0001396A"/>
    <w:rsid w:val="00013B37"/>
    <w:rsid w:val="00013CCA"/>
    <w:rsid w:val="00015844"/>
    <w:rsid w:val="00015C7D"/>
    <w:rsid w:val="0001645B"/>
    <w:rsid w:val="0002067A"/>
    <w:rsid w:val="000215C3"/>
    <w:rsid w:val="00021AF2"/>
    <w:rsid w:val="00023B06"/>
    <w:rsid w:val="00024EAE"/>
    <w:rsid w:val="00025203"/>
    <w:rsid w:val="0002544D"/>
    <w:rsid w:val="0002573E"/>
    <w:rsid w:val="0002684C"/>
    <w:rsid w:val="00026DF7"/>
    <w:rsid w:val="00027086"/>
    <w:rsid w:val="000270A8"/>
    <w:rsid w:val="000278C0"/>
    <w:rsid w:val="00030F8E"/>
    <w:rsid w:val="000311C4"/>
    <w:rsid w:val="000349F5"/>
    <w:rsid w:val="00034D38"/>
    <w:rsid w:val="000361EE"/>
    <w:rsid w:val="000364E5"/>
    <w:rsid w:val="00036676"/>
    <w:rsid w:val="00036725"/>
    <w:rsid w:val="000369B0"/>
    <w:rsid w:val="00037637"/>
    <w:rsid w:val="0004004F"/>
    <w:rsid w:val="00041490"/>
    <w:rsid w:val="000421E4"/>
    <w:rsid w:val="0004274D"/>
    <w:rsid w:val="00042CDC"/>
    <w:rsid w:val="00042E58"/>
    <w:rsid w:val="00043348"/>
    <w:rsid w:val="00044830"/>
    <w:rsid w:val="0004483F"/>
    <w:rsid w:val="00044ACD"/>
    <w:rsid w:val="00044E63"/>
    <w:rsid w:val="00045E76"/>
    <w:rsid w:val="00045FCD"/>
    <w:rsid w:val="00046CB4"/>
    <w:rsid w:val="0005138B"/>
    <w:rsid w:val="00051D32"/>
    <w:rsid w:val="00052048"/>
    <w:rsid w:val="000522B7"/>
    <w:rsid w:val="00052D5C"/>
    <w:rsid w:val="00053717"/>
    <w:rsid w:val="00053940"/>
    <w:rsid w:val="00054BE4"/>
    <w:rsid w:val="00054E25"/>
    <w:rsid w:val="0005520A"/>
    <w:rsid w:val="00056880"/>
    <w:rsid w:val="00060056"/>
    <w:rsid w:val="000604E1"/>
    <w:rsid w:val="00061F0F"/>
    <w:rsid w:val="00062172"/>
    <w:rsid w:val="00062978"/>
    <w:rsid w:val="000652CC"/>
    <w:rsid w:val="00065746"/>
    <w:rsid w:val="00066878"/>
    <w:rsid w:val="000675D1"/>
    <w:rsid w:val="000678C9"/>
    <w:rsid w:val="000733CC"/>
    <w:rsid w:val="00073521"/>
    <w:rsid w:val="000738F3"/>
    <w:rsid w:val="00074030"/>
    <w:rsid w:val="00074AB0"/>
    <w:rsid w:val="00076DF9"/>
    <w:rsid w:val="000775DE"/>
    <w:rsid w:val="00077B94"/>
    <w:rsid w:val="00080410"/>
    <w:rsid w:val="00080593"/>
    <w:rsid w:val="0008144D"/>
    <w:rsid w:val="000824E6"/>
    <w:rsid w:val="00082DBD"/>
    <w:rsid w:val="0008304A"/>
    <w:rsid w:val="000859D0"/>
    <w:rsid w:val="000862D9"/>
    <w:rsid w:val="00086B04"/>
    <w:rsid w:val="00086EEE"/>
    <w:rsid w:val="00087923"/>
    <w:rsid w:val="00087EB0"/>
    <w:rsid w:val="00087FAF"/>
    <w:rsid w:val="0009088E"/>
    <w:rsid w:val="000910C9"/>
    <w:rsid w:val="00091397"/>
    <w:rsid w:val="0009259E"/>
    <w:rsid w:val="00093BC2"/>
    <w:rsid w:val="00094048"/>
    <w:rsid w:val="000949E0"/>
    <w:rsid w:val="00094C32"/>
    <w:rsid w:val="00095D88"/>
    <w:rsid w:val="00096495"/>
    <w:rsid w:val="000A08B0"/>
    <w:rsid w:val="000A18F6"/>
    <w:rsid w:val="000A21B9"/>
    <w:rsid w:val="000A28FF"/>
    <w:rsid w:val="000A49AE"/>
    <w:rsid w:val="000A4E3C"/>
    <w:rsid w:val="000B093F"/>
    <w:rsid w:val="000B0F2C"/>
    <w:rsid w:val="000B1723"/>
    <w:rsid w:val="000B302A"/>
    <w:rsid w:val="000B400F"/>
    <w:rsid w:val="000B4367"/>
    <w:rsid w:val="000B5E69"/>
    <w:rsid w:val="000B686A"/>
    <w:rsid w:val="000C2881"/>
    <w:rsid w:val="000C2B79"/>
    <w:rsid w:val="000C5017"/>
    <w:rsid w:val="000C52B4"/>
    <w:rsid w:val="000C571D"/>
    <w:rsid w:val="000C5AED"/>
    <w:rsid w:val="000C5D73"/>
    <w:rsid w:val="000C5F40"/>
    <w:rsid w:val="000C6654"/>
    <w:rsid w:val="000C68F6"/>
    <w:rsid w:val="000C71E5"/>
    <w:rsid w:val="000C75BD"/>
    <w:rsid w:val="000D1002"/>
    <w:rsid w:val="000D1C70"/>
    <w:rsid w:val="000D2FB3"/>
    <w:rsid w:val="000D358D"/>
    <w:rsid w:val="000D3610"/>
    <w:rsid w:val="000D44F8"/>
    <w:rsid w:val="000D55FB"/>
    <w:rsid w:val="000D56A6"/>
    <w:rsid w:val="000D5845"/>
    <w:rsid w:val="000D5ECC"/>
    <w:rsid w:val="000D603C"/>
    <w:rsid w:val="000D663B"/>
    <w:rsid w:val="000D6AD2"/>
    <w:rsid w:val="000D6C11"/>
    <w:rsid w:val="000D7299"/>
    <w:rsid w:val="000D76B8"/>
    <w:rsid w:val="000D7C73"/>
    <w:rsid w:val="000D7E78"/>
    <w:rsid w:val="000E0B74"/>
    <w:rsid w:val="000E2EF8"/>
    <w:rsid w:val="000E33A0"/>
    <w:rsid w:val="000E36E3"/>
    <w:rsid w:val="000E3A04"/>
    <w:rsid w:val="000E4532"/>
    <w:rsid w:val="000E53D5"/>
    <w:rsid w:val="000E5D7C"/>
    <w:rsid w:val="000E6194"/>
    <w:rsid w:val="000E6941"/>
    <w:rsid w:val="000E6ADE"/>
    <w:rsid w:val="000E7156"/>
    <w:rsid w:val="000E7901"/>
    <w:rsid w:val="000F01A3"/>
    <w:rsid w:val="000F18D0"/>
    <w:rsid w:val="000F290B"/>
    <w:rsid w:val="000F2DB8"/>
    <w:rsid w:val="000F4A4D"/>
    <w:rsid w:val="000F4C0E"/>
    <w:rsid w:val="000F503C"/>
    <w:rsid w:val="000F5F6E"/>
    <w:rsid w:val="000F6063"/>
    <w:rsid w:val="000F6233"/>
    <w:rsid w:val="00100090"/>
    <w:rsid w:val="00100A8B"/>
    <w:rsid w:val="00100D2C"/>
    <w:rsid w:val="00101C2A"/>
    <w:rsid w:val="00102525"/>
    <w:rsid w:val="00103104"/>
    <w:rsid w:val="0010348B"/>
    <w:rsid w:val="001035DB"/>
    <w:rsid w:val="00103F3C"/>
    <w:rsid w:val="00104E60"/>
    <w:rsid w:val="00106ED4"/>
    <w:rsid w:val="00107053"/>
    <w:rsid w:val="00107CF7"/>
    <w:rsid w:val="00107FCE"/>
    <w:rsid w:val="0011001D"/>
    <w:rsid w:val="001100AD"/>
    <w:rsid w:val="001118CB"/>
    <w:rsid w:val="00116694"/>
    <w:rsid w:val="00116BBC"/>
    <w:rsid w:val="00116D45"/>
    <w:rsid w:val="0011714E"/>
    <w:rsid w:val="0012291D"/>
    <w:rsid w:val="00123238"/>
    <w:rsid w:val="00123ECE"/>
    <w:rsid w:val="00125ABA"/>
    <w:rsid w:val="00126799"/>
    <w:rsid w:val="00126E26"/>
    <w:rsid w:val="00127832"/>
    <w:rsid w:val="00130087"/>
    <w:rsid w:val="0013132D"/>
    <w:rsid w:val="00131DC3"/>
    <w:rsid w:val="001330B4"/>
    <w:rsid w:val="001355B7"/>
    <w:rsid w:val="00135E4C"/>
    <w:rsid w:val="00135F96"/>
    <w:rsid w:val="001373F5"/>
    <w:rsid w:val="00141882"/>
    <w:rsid w:val="00141AC7"/>
    <w:rsid w:val="0014225D"/>
    <w:rsid w:val="0014252F"/>
    <w:rsid w:val="00143479"/>
    <w:rsid w:val="001451AD"/>
    <w:rsid w:val="00150955"/>
    <w:rsid w:val="001536CA"/>
    <w:rsid w:val="001538E8"/>
    <w:rsid w:val="001556F1"/>
    <w:rsid w:val="001557E2"/>
    <w:rsid w:val="001565D5"/>
    <w:rsid w:val="001574C0"/>
    <w:rsid w:val="00157AB6"/>
    <w:rsid w:val="001604FF"/>
    <w:rsid w:val="001606CF"/>
    <w:rsid w:val="001607D7"/>
    <w:rsid w:val="0016128D"/>
    <w:rsid w:val="0016268D"/>
    <w:rsid w:val="0016330A"/>
    <w:rsid w:val="00164599"/>
    <w:rsid w:val="001655EC"/>
    <w:rsid w:val="001662F3"/>
    <w:rsid w:val="0017089D"/>
    <w:rsid w:val="00171A58"/>
    <w:rsid w:val="001725A2"/>
    <w:rsid w:val="00172767"/>
    <w:rsid w:val="001727B1"/>
    <w:rsid w:val="00172DA1"/>
    <w:rsid w:val="00172E1E"/>
    <w:rsid w:val="0017404C"/>
    <w:rsid w:val="0017671D"/>
    <w:rsid w:val="00177F01"/>
    <w:rsid w:val="001805A8"/>
    <w:rsid w:val="00181880"/>
    <w:rsid w:val="00183600"/>
    <w:rsid w:val="0018414B"/>
    <w:rsid w:val="00184BE2"/>
    <w:rsid w:val="00186430"/>
    <w:rsid w:val="00186D0E"/>
    <w:rsid w:val="0019025B"/>
    <w:rsid w:val="00190DB7"/>
    <w:rsid w:val="0019101A"/>
    <w:rsid w:val="00193113"/>
    <w:rsid w:val="00195A48"/>
    <w:rsid w:val="00195C8E"/>
    <w:rsid w:val="001972D2"/>
    <w:rsid w:val="001A08AE"/>
    <w:rsid w:val="001A0D7F"/>
    <w:rsid w:val="001A16A7"/>
    <w:rsid w:val="001A1AE5"/>
    <w:rsid w:val="001A26CB"/>
    <w:rsid w:val="001A3346"/>
    <w:rsid w:val="001A4BDA"/>
    <w:rsid w:val="001A4C77"/>
    <w:rsid w:val="001A6B30"/>
    <w:rsid w:val="001A6D78"/>
    <w:rsid w:val="001B02F2"/>
    <w:rsid w:val="001B104F"/>
    <w:rsid w:val="001B1729"/>
    <w:rsid w:val="001B4293"/>
    <w:rsid w:val="001B4F35"/>
    <w:rsid w:val="001B547E"/>
    <w:rsid w:val="001B5FE5"/>
    <w:rsid w:val="001B6A2D"/>
    <w:rsid w:val="001B6B4A"/>
    <w:rsid w:val="001B7F18"/>
    <w:rsid w:val="001C0A93"/>
    <w:rsid w:val="001C0C7F"/>
    <w:rsid w:val="001C12DF"/>
    <w:rsid w:val="001C1A52"/>
    <w:rsid w:val="001C1B29"/>
    <w:rsid w:val="001C290B"/>
    <w:rsid w:val="001C2CA8"/>
    <w:rsid w:val="001C2CAD"/>
    <w:rsid w:val="001C358D"/>
    <w:rsid w:val="001C40A0"/>
    <w:rsid w:val="001C57F8"/>
    <w:rsid w:val="001C7DC2"/>
    <w:rsid w:val="001D01E9"/>
    <w:rsid w:val="001D08CD"/>
    <w:rsid w:val="001D0FB5"/>
    <w:rsid w:val="001D2937"/>
    <w:rsid w:val="001D2F12"/>
    <w:rsid w:val="001D3BC9"/>
    <w:rsid w:val="001D42D2"/>
    <w:rsid w:val="001D4647"/>
    <w:rsid w:val="001D5BD6"/>
    <w:rsid w:val="001D5D11"/>
    <w:rsid w:val="001D655D"/>
    <w:rsid w:val="001D739F"/>
    <w:rsid w:val="001D7F22"/>
    <w:rsid w:val="001E0EFC"/>
    <w:rsid w:val="001E2220"/>
    <w:rsid w:val="001E24DD"/>
    <w:rsid w:val="001E37CB"/>
    <w:rsid w:val="001E412D"/>
    <w:rsid w:val="001E487E"/>
    <w:rsid w:val="001E5CFF"/>
    <w:rsid w:val="001E6AE1"/>
    <w:rsid w:val="001F0815"/>
    <w:rsid w:val="001F161B"/>
    <w:rsid w:val="001F1B27"/>
    <w:rsid w:val="001F3D41"/>
    <w:rsid w:val="001F4503"/>
    <w:rsid w:val="001F5A5F"/>
    <w:rsid w:val="001F63B9"/>
    <w:rsid w:val="001F713E"/>
    <w:rsid w:val="001F7F17"/>
    <w:rsid w:val="00200BC5"/>
    <w:rsid w:val="00201D59"/>
    <w:rsid w:val="00202943"/>
    <w:rsid w:val="00204491"/>
    <w:rsid w:val="00204E49"/>
    <w:rsid w:val="002050AE"/>
    <w:rsid w:val="00206966"/>
    <w:rsid w:val="00206FED"/>
    <w:rsid w:val="00207245"/>
    <w:rsid w:val="002078D4"/>
    <w:rsid w:val="00211405"/>
    <w:rsid w:val="00211764"/>
    <w:rsid w:val="0021220A"/>
    <w:rsid w:val="00212798"/>
    <w:rsid w:val="00213126"/>
    <w:rsid w:val="002137EB"/>
    <w:rsid w:val="00213A89"/>
    <w:rsid w:val="00214F2C"/>
    <w:rsid w:val="00215EB0"/>
    <w:rsid w:val="002166A1"/>
    <w:rsid w:val="002167A0"/>
    <w:rsid w:val="00217FC0"/>
    <w:rsid w:val="00220399"/>
    <w:rsid w:val="00220820"/>
    <w:rsid w:val="00220C82"/>
    <w:rsid w:val="00220D61"/>
    <w:rsid w:val="002216C7"/>
    <w:rsid w:val="00221EC0"/>
    <w:rsid w:val="002226F1"/>
    <w:rsid w:val="00224854"/>
    <w:rsid w:val="00224C4A"/>
    <w:rsid w:val="00224EDA"/>
    <w:rsid w:val="00224F7A"/>
    <w:rsid w:val="00225662"/>
    <w:rsid w:val="00225926"/>
    <w:rsid w:val="00226AC0"/>
    <w:rsid w:val="00226D1D"/>
    <w:rsid w:val="002271EA"/>
    <w:rsid w:val="00231049"/>
    <w:rsid w:val="002314D2"/>
    <w:rsid w:val="0023188F"/>
    <w:rsid w:val="002322BF"/>
    <w:rsid w:val="002322E3"/>
    <w:rsid w:val="002324F4"/>
    <w:rsid w:val="0023266D"/>
    <w:rsid w:val="0023305C"/>
    <w:rsid w:val="00234200"/>
    <w:rsid w:val="0023510B"/>
    <w:rsid w:val="00235675"/>
    <w:rsid w:val="0023603E"/>
    <w:rsid w:val="00237C4B"/>
    <w:rsid w:val="00240DF2"/>
    <w:rsid w:val="00241057"/>
    <w:rsid w:val="00241881"/>
    <w:rsid w:val="0024232E"/>
    <w:rsid w:val="0024294C"/>
    <w:rsid w:val="0024424F"/>
    <w:rsid w:val="0024436C"/>
    <w:rsid w:val="0024541E"/>
    <w:rsid w:val="002461BA"/>
    <w:rsid w:val="00246D06"/>
    <w:rsid w:val="00250428"/>
    <w:rsid w:val="002504CB"/>
    <w:rsid w:val="002511C4"/>
    <w:rsid w:val="00252C7D"/>
    <w:rsid w:val="002543D8"/>
    <w:rsid w:val="00254F08"/>
    <w:rsid w:val="002558FC"/>
    <w:rsid w:val="0025652F"/>
    <w:rsid w:val="002578D4"/>
    <w:rsid w:val="00257E63"/>
    <w:rsid w:val="0026058A"/>
    <w:rsid w:val="00263226"/>
    <w:rsid w:val="00263A57"/>
    <w:rsid w:val="00263B6C"/>
    <w:rsid w:val="00264018"/>
    <w:rsid w:val="00264261"/>
    <w:rsid w:val="0026460A"/>
    <w:rsid w:val="00265A51"/>
    <w:rsid w:val="00266136"/>
    <w:rsid w:val="00266334"/>
    <w:rsid w:val="002705B5"/>
    <w:rsid w:val="00270EE0"/>
    <w:rsid w:val="00272227"/>
    <w:rsid w:val="0027229E"/>
    <w:rsid w:val="00272939"/>
    <w:rsid w:val="00272CAB"/>
    <w:rsid w:val="00272F4F"/>
    <w:rsid w:val="00273D19"/>
    <w:rsid w:val="0027590B"/>
    <w:rsid w:val="00276697"/>
    <w:rsid w:val="0027755D"/>
    <w:rsid w:val="00277EC0"/>
    <w:rsid w:val="00280137"/>
    <w:rsid w:val="00280412"/>
    <w:rsid w:val="002810B2"/>
    <w:rsid w:val="0028177F"/>
    <w:rsid w:val="00283F02"/>
    <w:rsid w:val="00283FC9"/>
    <w:rsid w:val="00284E1A"/>
    <w:rsid w:val="002853DF"/>
    <w:rsid w:val="00285969"/>
    <w:rsid w:val="00286F20"/>
    <w:rsid w:val="002870D3"/>
    <w:rsid w:val="0028763E"/>
    <w:rsid w:val="00290352"/>
    <w:rsid w:val="002918AA"/>
    <w:rsid w:val="00291ADA"/>
    <w:rsid w:val="00292BF9"/>
    <w:rsid w:val="002951D9"/>
    <w:rsid w:val="00295B30"/>
    <w:rsid w:val="0029611A"/>
    <w:rsid w:val="00296564"/>
    <w:rsid w:val="00296716"/>
    <w:rsid w:val="00296E7A"/>
    <w:rsid w:val="002A1261"/>
    <w:rsid w:val="002A23DB"/>
    <w:rsid w:val="002A2DBE"/>
    <w:rsid w:val="002A3EE6"/>
    <w:rsid w:val="002A4688"/>
    <w:rsid w:val="002A4AEE"/>
    <w:rsid w:val="002A4FE8"/>
    <w:rsid w:val="002A5EEB"/>
    <w:rsid w:val="002A674B"/>
    <w:rsid w:val="002A74EF"/>
    <w:rsid w:val="002A7A31"/>
    <w:rsid w:val="002A7BB5"/>
    <w:rsid w:val="002A7C25"/>
    <w:rsid w:val="002B0143"/>
    <w:rsid w:val="002B075A"/>
    <w:rsid w:val="002B07E3"/>
    <w:rsid w:val="002B2AD8"/>
    <w:rsid w:val="002B35C7"/>
    <w:rsid w:val="002B3829"/>
    <w:rsid w:val="002B3CFE"/>
    <w:rsid w:val="002B4B3B"/>
    <w:rsid w:val="002B518C"/>
    <w:rsid w:val="002B547C"/>
    <w:rsid w:val="002B7359"/>
    <w:rsid w:val="002C1CD9"/>
    <w:rsid w:val="002C22EF"/>
    <w:rsid w:val="002C22FE"/>
    <w:rsid w:val="002C278C"/>
    <w:rsid w:val="002C3B9A"/>
    <w:rsid w:val="002C5F2D"/>
    <w:rsid w:val="002C6795"/>
    <w:rsid w:val="002C6F8B"/>
    <w:rsid w:val="002C7A90"/>
    <w:rsid w:val="002D06FE"/>
    <w:rsid w:val="002D1259"/>
    <w:rsid w:val="002D4EE4"/>
    <w:rsid w:val="002D6344"/>
    <w:rsid w:val="002D6B2D"/>
    <w:rsid w:val="002D7C8F"/>
    <w:rsid w:val="002D7E9A"/>
    <w:rsid w:val="002E1B21"/>
    <w:rsid w:val="002E1DA4"/>
    <w:rsid w:val="002E1FB6"/>
    <w:rsid w:val="002E1FE2"/>
    <w:rsid w:val="002E22ED"/>
    <w:rsid w:val="002E23E8"/>
    <w:rsid w:val="002E2D27"/>
    <w:rsid w:val="002E4419"/>
    <w:rsid w:val="002E454C"/>
    <w:rsid w:val="002E624A"/>
    <w:rsid w:val="002E6426"/>
    <w:rsid w:val="002E6DA0"/>
    <w:rsid w:val="002E74E4"/>
    <w:rsid w:val="002E7960"/>
    <w:rsid w:val="002F00EB"/>
    <w:rsid w:val="002F617F"/>
    <w:rsid w:val="002F644B"/>
    <w:rsid w:val="002F79AE"/>
    <w:rsid w:val="00300054"/>
    <w:rsid w:val="00300109"/>
    <w:rsid w:val="003005D0"/>
    <w:rsid w:val="00301755"/>
    <w:rsid w:val="00303A21"/>
    <w:rsid w:val="0030665E"/>
    <w:rsid w:val="0030677D"/>
    <w:rsid w:val="00306894"/>
    <w:rsid w:val="003077FD"/>
    <w:rsid w:val="00307ADB"/>
    <w:rsid w:val="003101C6"/>
    <w:rsid w:val="00310CA2"/>
    <w:rsid w:val="00310CD5"/>
    <w:rsid w:val="003118D9"/>
    <w:rsid w:val="00311925"/>
    <w:rsid w:val="00311B78"/>
    <w:rsid w:val="003122F4"/>
    <w:rsid w:val="003138AD"/>
    <w:rsid w:val="00314FF4"/>
    <w:rsid w:val="00315FE2"/>
    <w:rsid w:val="00317C8B"/>
    <w:rsid w:val="00320066"/>
    <w:rsid w:val="003211AE"/>
    <w:rsid w:val="0032261C"/>
    <w:rsid w:val="00323616"/>
    <w:rsid w:val="003237C0"/>
    <w:rsid w:val="0032381A"/>
    <w:rsid w:val="00324386"/>
    <w:rsid w:val="00325F8D"/>
    <w:rsid w:val="003268D5"/>
    <w:rsid w:val="00327BD3"/>
    <w:rsid w:val="00330DD3"/>
    <w:rsid w:val="003319D9"/>
    <w:rsid w:val="00332ACC"/>
    <w:rsid w:val="00332FF5"/>
    <w:rsid w:val="003338CF"/>
    <w:rsid w:val="003345F3"/>
    <w:rsid w:val="003361BD"/>
    <w:rsid w:val="0033656F"/>
    <w:rsid w:val="003371C2"/>
    <w:rsid w:val="0033755F"/>
    <w:rsid w:val="00340480"/>
    <w:rsid w:val="00341F2B"/>
    <w:rsid w:val="00342168"/>
    <w:rsid w:val="0034311F"/>
    <w:rsid w:val="003437FA"/>
    <w:rsid w:val="00343DEE"/>
    <w:rsid w:val="0034478C"/>
    <w:rsid w:val="003448F6"/>
    <w:rsid w:val="00346B8C"/>
    <w:rsid w:val="00346D7C"/>
    <w:rsid w:val="00346E27"/>
    <w:rsid w:val="00350759"/>
    <w:rsid w:val="00350932"/>
    <w:rsid w:val="003509F9"/>
    <w:rsid w:val="003509FD"/>
    <w:rsid w:val="00352068"/>
    <w:rsid w:val="00353F09"/>
    <w:rsid w:val="00354D27"/>
    <w:rsid w:val="0035581E"/>
    <w:rsid w:val="003563F7"/>
    <w:rsid w:val="0035720C"/>
    <w:rsid w:val="0035738A"/>
    <w:rsid w:val="00361AED"/>
    <w:rsid w:val="00361E54"/>
    <w:rsid w:val="003626BA"/>
    <w:rsid w:val="00362E03"/>
    <w:rsid w:val="003646C0"/>
    <w:rsid w:val="00364813"/>
    <w:rsid w:val="00364F45"/>
    <w:rsid w:val="00365155"/>
    <w:rsid w:val="00366D39"/>
    <w:rsid w:val="00367F9B"/>
    <w:rsid w:val="00370357"/>
    <w:rsid w:val="00370F41"/>
    <w:rsid w:val="00371624"/>
    <w:rsid w:val="00371944"/>
    <w:rsid w:val="00371E24"/>
    <w:rsid w:val="0037279F"/>
    <w:rsid w:val="00373370"/>
    <w:rsid w:val="00373FCC"/>
    <w:rsid w:val="00374C44"/>
    <w:rsid w:val="00375655"/>
    <w:rsid w:val="00375EA3"/>
    <w:rsid w:val="003770EB"/>
    <w:rsid w:val="0037720B"/>
    <w:rsid w:val="0038013B"/>
    <w:rsid w:val="00380D2A"/>
    <w:rsid w:val="0038101D"/>
    <w:rsid w:val="0038207C"/>
    <w:rsid w:val="00382403"/>
    <w:rsid w:val="00382CDC"/>
    <w:rsid w:val="00382FBD"/>
    <w:rsid w:val="003832F5"/>
    <w:rsid w:val="00384A37"/>
    <w:rsid w:val="00384CBA"/>
    <w:rsid w:val="00385229"/>
    <w:rsid w:val="0038527C"/>
    <w:rsid w:val="003858A6"/>
    <w:rsid w:val="00385D0B"/>
    <w:rsid w:val="00386053"/>
    <w:rsid w:val="00386297"/>
    <w:rsid w:val="0038704C"/>
    <w:rsid w:val="00387186"/>
    <w:rsid w:val="00387BC7"/>
    <w:rsid w:val="0039159A"/>
    <w:rsid w:val="003919B7"/>
    <w:rsid w:val="003926CD"/>
    <w:rsid w:val="00392DCC"/>
    <w:rsid w:val="00393039"/>
    <w:rsid w:val="00394711"/>
    <w:rsid w:val="0039574E"/>
    <w:rsid w:val="003978AF"/>
    <w:rsid w:val="00397BB5"/>
    <w:rsid w:val="00397C99"/>
    <w:rsid w:val="003A08E2"/>
    <w:rsid w:val="003A1CB6"/>
    <w:rsid w:val="003A2310"/>
    <w:rsid w:val="003A3D10"/>
    <w:rsid w:val="003A5B0A"/>
    <w:rsid w:val="003A5B36"/>
    <w:rsid w:val="003A7109"/>
    <w:rsid w:val="003A7810"/>
    <w:rsid w:val="003A7F03"/>
    <w:rsid w:val="003B0F2C"/>
    <w:rsid w:val="003B17CF"/>
    <w:rsid w:val="003B33D7"/>
    <w:rsid w:val="003B3D8A"/>
    <w:rsid w:val="003B5077"/>
    <w:rsid w:val="003B5371"/>
    <w:rsid w:val="003B58CA"/>
    <w:rsid w:val="003B6422"/>
    <w:rsid w:val="003B738F"/>
    <w:rsid w:val="003B75B6"/>
    <w:rsid w:val="003B765F"/>
    <w:rsid w:val="003B7C45"/>
    <w:rsid w:val="003C0369"/>
    <w:rsid w:val="003C0D0B"/>
    <w:rsid w:val="003C22E7"/>
    <w:rsid w:val="003C24B4"/>
    <w:rsid w:val="003C2B02"/>
    <w:rsid w:val="003C34D2"/>
    <w:rsid w:val="003C4D40"/>
    <w:rsid w:val="003C5F29"/>
    <w:rsid w:val="003C6A87"/>
    <w:rsid w:val="003C7AC2"/>
    <w:rsid w:val="003D0D2A"/>
    <w:rsid w:val="003D3666"/>
    <w:rsid w:val="003D3785"/>
    <w:rsid w:val="003D42A0"/>
    <w:rsid w:val="003D5699"/>
    <w:rsid w:val="003D58A8"/>
    <w:rsid w:val="003D61D6"/>
    <w:rsid w:val="003D73C9"/>
    <w:rsid w:val="003E0578"/>
    <w:rsid w:val="003E0711"/>
    <w:rsid w:val="003E1C95"/>
    <w:rsid w:val="003E20D6"/>
    <w:rsid w:val="003E3548"/>
    <w:rsid w:val="003E4150"/>
    <w:rsid w:val="003E4AFB"/>
    <w:rsid w:val="003E4D87"/>
    <w:rsid w:val="003E51FA"/>
    <w:rsid w:val="003E54C6"/>
    <w:rsid w:val="003E54CF"/>
    <w:rsid w:val="003E6265"/>
    <w:rsid w:val="003E63B6"/>
    <w:rsid w:val="003E6B8D"/>
    <w:rsid w:val="003F00AA"/>
    <w:rsid w:val="003F00AC"/>
    <w:rsid w:val="003F1553"/>
    <w:rsid w:val="003F1C12"/>
    <w:rsid w:val="003F2812"/>
    <w:rsid w:val="003F2969"/>
    <w:rsid w:val="003F2F2D"/>
    <w:rsid w:val="003F3453"/>
    <w:rsid w:val="003F4756"/>
    <w:rsid w:val="003F569E"/>
    <w:rsid w:val="003F6BD0"/>
    <w:rsid w:val="003F74E1"/>
    <w:rsid w:val="003F7CB3"/>
    <w:rsid w:val="00401082"/>
    <w:rsid w:val="004018C2"/>
    <w:rsid w:val="004033C2"/>
    <w:rsid w:val="0040564F"/>
    <w:rsid w:val="00406F5D"/>
    <w:rsid w:val="00407FC4"/>
    <w:rsid w:val="004105F3"/>
    <w:rsid w:val="00410819"/>
    <w:rsid w:val="00410FF6"/>
    <w:rsid w:val="0041280A"/>
    <w:rsid w:val="00412941"/>
    <w:rsid w:val="00412ACD"/>
    <w:rsid w:val="00413304"/>
    <w:rsid w:val="004134BE"/>
    <w:rsid w:val="00413548"/>
    <w:rsid w:val="00413E93"/>
    <w:rsid w:val="004143F6"/>
    <w:rsid w:val="00414661"/>
    <w:rsid w:val="00416762"/>
    <w:rsid w:val="00416895"/>
    <w:rsid w:val="00416E55"/>
    <w:rsid w:val="00417E9B"/>
    <w:rsid w:val="0042144B"/>
    <w:rsid w:val="00421955"/>
    <w:rsid w:val="00422AD0"/>
    <w:rsid w:val="00422FD2"/>
    <w:rsid w:val="0042518A"/>
    <w:rsid w:val="004273BC"/>
    <w:rsid w:val="004276A0"/>
    <w:rsid w:val="0043050D"/>
    <w:rsid w:val="00430757"/>
    <w:rsid w:val="004311FB"/>
    <w:rsid w:val="00431B62"/>
    <w:rsid w:val="004330EC"/>
    <w:rsid w:val="00433C3E"/>
    <w:rsid w:val="00435178"/>
    <w:rsid w:val="00435CCC"/>
    <w:rsid w:val="004410C2"/>
    <w:rsid w:val="004411A0"/>
    <w:rsid w:val="00441881"/>
    <w:rsid w:val="00442D94"/>
    <w:rsid w:val="00444A63"/>
    <w:rsid w:val="00445265"/>
    <w:rsid w:val="0044680D"/>
    <w:rsid w:val="00446C1B"/>
    <w:rsid w:val="00446FA2"/>
    <w:rsid w:val="00447B27"/>
    <w:rsid w:val="004503AA"/>
    <w:rsid w:val="00450AE0"/>
    <w:rsid w:val="00452A3B"/>
    <w:rsid w:val="00452F3B"/>
    <w:rsid w:val="00453C79"/>
    <w:rsid w:val="00453ED6"/>
    <w:rsid w:val="00454241"/>
    <w:rsid w:val="004559CE"/>
    <w:rsid w:val="00455A72"/>
    <w:rsid w:val="00456A74"/>
    <w:rsid w:val="00456F03"/>
    <w:rsid w:val="00457C8E"/>
    <w:rsid w:val="0046029F"/>
    <w:rsid w:val="00460E1A"/>
    <w:rsid w:val="00461651"/>
    <w:rsid w:val="00461AD6"/>
    <w:rsid w:val="00463DF8"/>
    <w:rsid w:val="00464224"/>
    <w:rsid w:val="004642A4"/>
    <w:rsid w:val="00465F96"/>
    <w:rsid w:val="004675CE"/>
    <w:rsid w:val="00471E14"/>
    <w:rsid w:val="004744C9"/>
    <w:rsid w:val="0047504A"/>
    <w:rsid w:val="00475085"/>
    <w:rsid w:val="00476CF6"/>
    <w:rsid w:val="004778F2"/>
    <w:rsid w:val="00477AA8"/>
    <w:rsid w:val="00480216"/>
    <w:rsid w:val="0048093F"/>
    <w:rsid w:val="00480B1D"/>
    <w:rsid w:val="00481026"/>
    <w:rsid w:val="004813EF"/>
    <w:rsid w:val="00481CA7"/>
    <w:rsid w:val="00484B10"/>
    <w:rsid w:val="0048628B"/>
    <w:rsid w:val="0048782A"/>
    <w:rsid w:val="00490A76"/>
    <w:rsid w:val="004911C0"/>
    <w:rsid w:val="004923B5"/>
    <w:rsid w:val="00492930"/>
    <w:rsid w:val="00492FCB"/>
    <w:rsid w:val="00494F1F"/>
    <w:rsid w:val="004A0F11"/>
    <w:rsid w:val="004A165F"/>
    <w:rsid w:val="004A2331"/>
    <w:rsid w:val="004A2AA2"/>
    <w:rsid w:val="004A3EAA"/>
    <w:rsid w:val="004A512B"/>
    <w:rsid w:val="004A557E"/>
    <w:rsid w:val="004A6956"/>
    <w:rsid w:val="004A7D97"/>
    <w:rsid w:val="004B0DB4"/>
    <w:rsid w:val="004B2B66"/>
    <w:rsid w:val="004B5133"/>
    <w:rsid w:val="004B562E"/>
    <w:rsid w:val="004B59A0"/>
    <w:rsid w:val="004B6A68"/>
    <w:rsid w:val="004B6C58"/>
    <w:rsid w:val="004B6CF2"/>
    <w:rsid w:val="004C0926"/>
    <w:rsid w:val="004C17B1"/>
    <w:rsid w:val="004C1A2B"/>
    <w:rsid w:val="004C288C"/>
    <w:rsid w:val="004C2902"/>
    <w:rsid w:val="004C41B6"/>
    <w:rsid w:val="004C5E87"/>
    <w:rsid w:val="004C643A"/>
    <w:rsid w:val="004D0522"/>
    <w:rsid w:val="004D13F6"/>
    <w:rsid w:val="004D1831"/>
    <w:rsid w:val="004D26A5"/>
    <w:rsid w:val="004D4839"/>
    <w:rsid w:val="004D4C59"/>
    <w:rsid w:val="004D6E37"/>
    <w:rsid w:val="004D6E6F"/>
    <w:rsid w:val="004D7287"/>
    <w:rsid w:val="004D774A"/>
    <w:rsid w:val="004E0054"/>
    <w:rsid w:val="004E00EA"/>
    <w:rsid w:val="004E1B7E"/>
    <w:rsid w:val="004E2FBA"/>
    <w:rsid w:val="004E34BB"/>
    <w:rsid w:val="004E4F02"/>
    <w:rsid w:val="004E518D"/>
    <w:rsid w:val="004E5A5D"/>
    <w:rsid w:val="004E654E"/>
    <w:rsid w:val="004E6B14"/>
    <w:rsid w:val="004E6E21"/>
    <w:rsid w:val="004E767E"/>
    <w:rsid w:val="004E7687"/>
    <w:rsid w:val="004E778F"/>
    <w:rsid w:val="004F08E5"/>
    <w:rsid w:val="004F189D"/>
    <w:rsid w:val="004F19CD"/>
    <w:rsid w:val="004F2737"/>
    <w:rsid w:val="004F3A46"/>
    <w:rsid w:val="004F44F2"/>
    <w:rsid w:val="004F4B92"/>
    <w:rsid w:val="004F72B4"/>
    <w:rsid w:val="00500F71"/>
    <w:rsid w:val="00501661"/>
    <w:rsid w:val="00501B6C"/>
    <w:rsid w:val="00502A9D"/>
    <w:rsid w:val="00502E4D"/>
    <w:rsid w:val="00503568"/>
    <w:rsid w:val="00504AD5"/>
    <w:rsid w:val="00504AF9"/>
    <w:rsid w:val="00505FDD"/>
    <w:rsid w:val="00513535"/>
    <w:rsid w:val="00514BC9"/>
    <w:rsid w:val="00516785"/>
    <w:rsid w:val="005167A0"/>
    <w:rsid w:val="005173AB"/>
    <w:rsid w:val="005173F6"/>
    <w:rsid w:val="00520308"/>
    <w:rsid w:val="005205F3"/>
    <w:rsid w:val="005212FA"/>
    <w:rsid w:val="005216BB"/>
    <w:rsid w:val="005232E8"/>
    <w:rsid w:val="0052419D"/>
    <w:rsid w:val="005244C7"/>
    <w:rsid w:val="00524C2B"/>
    <w:rsid w:val="00525781"/>
    <w:rsid w:val="00525AC1"/>
    <w:rsid w:val="00526BE2"/>
    <w:rsid w:val="00526E6D"/>
    <w:rsid w:val="00527AFD"/>
    <w:rsid w:val="005301F8"/>
    <w:rsid w:val="00530404"/>
    <w:rsid w:val="005312FC"/>
    <w:rsid w:val="00532C6D"/>
    <w:rsid w:val="00534CA9"/>
    <w:rsid w:val="0053569E"/>
    <w:rsid w:val="00535C4A"/>
    <w:rsid w:val="0053603D"/>
    <w:rsid w:val="005368FF"/>
    <w:rsid w:val="00536935"/>
    <w:rsid w:val="0053742A"/>
    <w:rsid w:val="00537C85"/>
    <w:rsid w:val="00541734"/>
    <w:rsid w:val="00541D29"/>
    <w:rsid w:val="00543F23"/>
    <w:rsid w:val="00543F63"/>
    <w:rsid w:val="00544252"/>
    <w:rsid w:val="00545211"/>
    <w:rsid w:val="0054562D"/>
    <w:rsid w:val="005464E3"/>
    <w:rsid w:val="0054769D"/>
    <w:rsid w:val="00550C30"/>
    <w:rsid w:val="0055122C"/>
    <w:rsid w:val="00553F36"/>
    <w:rsid w:val="0055457D"/>
    <w:rsid w:val="00555207"/>
    <w:rsid w:val="005560CF"/>
    <w:rsid w:val="0055680C"/>
    <w:rsid w:val="00560660"/>
    <w:rsid w:val="00562F17"/>
    <w:rsid w:val="0056324B"/>
    <w:rsid w:val="00564615"/>
    <w:rsid w:val="0056582C"/>
    <w:rsid w:val="0056586C"/>
    <w:rsid w:val="005660BA"/>
    <w:rsid w:val="00566A72"/>
    <w:rsid w:val="00566CBF"/>
    <w:rsid w:val="00566DA1"/>
    <w:rsid w:val="005674AF"/>
    <w:rsid w:val="00570199"/>
    <w:rsid w:val="00570BA1"/>
    <w:rsid w:val="0057195F"/>
    <w:rsid w:val="00572214"/>
    <w:rsid w:val="00572B60"/>
    <w:rsid w:val="00573940"/>
    <w:rsid w:val="00574578"/>
    <w:rsid w:val="00574C4A"/>
    <w:rsid w:val="005776B2"/>
    <w:rsid w:val="00577830"/>
    <w:rsid w:val="005778A6"/>
    <w:rsid w:val="005812C1"/>
    <w:rsid w:val="00581F85"/>
    <w:rsid w:val="0058333C"/>
    <w:rsid w:val="00583898"/>
    <w:rsid w:val="00584565"/>
    <w:rsid w:val="00584F64"/>
    <w:rsid w:val="00586605"/>
    <w:rsid w:val="0058677E"/>
    <w:rsid w:val="005868DE"/>
    <w:rsid w:val="005870E1"/>
    <w:rsid w:val="005877AC"/>
    <w:rsid w:val="00587968"/>
    <w:rsid w:val="00590295"/>
    <w:rsid w:val="00590EB7"/>
    <w:rsid w:val="00592B9E"/>
    <w:rsid w:val="00592D2E"/>
    <w:rsid w:val="00593B5C"/>
    <w:rsid w:val="00595EC7"/>
    <w:rsid w:val="005966B7"/>
    <w:rsid w:val="00597410"/>
    <w:rsid w:val="00597602"/>
    <w:rsid w:val="005A15B5"/>
    <w:rsid w:val="005A1CB4"/>
    <w:rsid w:val="005A1E17"/>
    <w:rsid w:val="005A2E5E"/>
    <w:rsid w:val="005A336A"/>
    <w:rsid w:val="005A33E0"/>
    <w:rsid w:val="005A4967"/>
    <w:rsid w:val="005A6779"/>
    <w:rsid w:val="005A78FB"/>
    <w:rsid w:val="005A7FDE"/>
    <w:rsid w:val="005B2C85"/>
    <w:rsid w:val="005B2CDD"/>
    <w:rsid w:val="005B518A"/>
    <w:rsid w:val="005B5E2A"/>
    <w:rsid w:val="005B7AEF"/>
    <w:rsid w:val="005C0213"/>
    <w:rsid w:val="005C02A4"/>
    <w:rsid w:val="005C16F9"/>
    <w:rsid w:val="005C1A82"/>
    <w:rsid w:val="005C1F7D"/>
    <w:rsid w:val="005C20D2"/>
    <w:rsid w:val="005C22C7"/>
    <w:rsid w:val="005C32FE"/>
    <w:rsid w:val="005C37EB"/>
    <w:rsid w:val="005C3831"/>
    <w:rsid w:val="005C3A92"/>
    <w:rsid w:val="005C43F1"/>
    <w:rsid w:val="005C4F3E"/>
    <w:rsid w:val="005C503A"/>
    <w:rsid w:val="005C69F7"/>
    <w:rsid w:val="005C6F15"/>
    <w:rsid w:val="005C7B01"/>
    <w:rsid w:val="005D024A"/>
    <w:rsid w:val="005D0D1E"/>
    <w:rsid w:val="005D2C10"/>
    <w:rsid w:val="005D2C88"/>
    <w:rsid w:val="005D2CC1"/>
    <w:rsid w:val="005D2D89"/>
    <w:rsid w:val="005D35A1"/>
    <w:rsid w:val="005D40FD"/>
    <w:rsid w:val="005D4D87"/>
    <w:rsid w:val="005D4FD4"/>
    <w:rsid w:val="005D6519"/>
    <w:rsid w:val="005D6D64"/>
    <w:rsid w:val="005E085E"/>
    <w:rsid w:val="005E0A82"/>
    <w:rsid w:val="005E15A5"/>
    <w:rsid w:val="005E1937"/>
    <w:rsid w:val="005E1FF1"/>
    <w:rsid w:val="005E4026"/>
    <w:rsid w:val="005E4A64"/>
    <w:rsid w:val="005E5277"/>
    <w:rsid w:val="005E5979"/>
    <w:rsid w:val="005E6365"/>
    <w:rsid w:val="005E654A"/>
    <w:rsid w:val="005E700F"/>
    <w:rsid w:val="005E7AB0"/>
    <w:rsid w:val="005F0AE8"/>
    <w:rsid w:val="005F367C"/>
    <w:rsid w:val="005F4FA2"/>
    <w:rsid w:val="005F4FD0"/>
    <w:rsid w:val="005F5508"/>
    <w:rsid w:val="005F7543"/>
    <w:rsid w:val="005F7DE7"/>
    <w:rsid w:val="006004AD"/>
    <w:rsid w:val="00600627"/>
    <w:rsid w:val="00601242"/>
    <w:rsid w:val="00601650"/>
    <w:rsid w:val="00603EC4"/>
    <w:rsid w:val="00604D28"/>
    <w:rsid w:val="00604EEF"/>
    <w:rsid w:val="00605AFD"/>
    <w:rsid w:val="00605D1D"/>
    <w:rsid w:val="00605F2C"/>
    <w:rsid w:val="00606A28"/>
    <w:rsid w:val="0061062E"/>
    <w:rsid w:val="006122F2"/>
    <w:rsid w:val="00612307"/>
    <w:rsid w:val="00612396"/>
    <w:rsid w:val="006123D4"/>
    <w:rsid w:val="00612604"/>
    <w:rsid w:val="00613872"/>
    <w:rsid w:val="0061445B"/>
    <w:rsid w:val="0061489A"/>
    <w:rsid w:val="00614941"/>
    <w:rsid w:val="006161BD"/>
    <w:rsid w:val="006164FA"/>
    <w:rsid w:val="0061701F"/>
    <w:rsid w:val="006219B1"/>
    <w:rsid w:val="00623E13"/>
    <w:rsid w:val="006246D8"/>
    <w:rsid w:val="00624AD8"/>
    <w:rsid w:val="00624B68"/>
    <w:rsid w:val="00624C4B"/>
    <w:rsid w:val="006260A7"/>
    <w:rsid w:val="00627033"/>
    <w:rsid w:val="00627FAA"/>
    <w:rsid w:val="00630E3A"/>
    <w:rsid w:val="00630EFE"/>
    <w:rsid w:val="00632776"/>
    <w:rsid w:val="00632A31"/>
    <w:rsid w:val="00633C08"/>
    <w:rsid w:val="006356D8"/>
    <w:rsid w:val="0063618A"/>
    <w:rsid w:val="00637853"/>
    <w:rsid w:val="006408AA"/>
    <w:rsid w:val="0064206A"/>
    <w:rsid w:val="00642624"/>
    <w:rsid w:val="00642E9D"/>
    <w:rsid w:val="0064559B"/>
    <w:rsid w:val="006469CC"/>
    <w:rsid w:val="00647D81"/>
    <w:rsid w:val="00650157"/>
    <w:rsid w:val="0065281D"/>
    <w:rsid w:val="00652CF6"/>
    <w:rsid w:val="00654A4B"/>
    <w:rsid w:val="00655B8F"/>
    <w:rsid w:val="0065630F"/>
    <w:rsid w:val="006565D3"/>
    <w:rsid w:val="0065758B"/>
    <w:rsid w:val="006578C9"/>
    <w:rsid w:val="00660311"/>
    <w:rsid w:val="0066286A"/>
    <w:rsid w:val="00666FAB"/>
    <w:rsid w:val="00667BAB"/>
    <w:rsid w:val="006707EE"/>
    <w:rsid w:val="00670B6F"/>
    <w:rsid w:val="006710F6"/>
    <w:rsid w:val="006714AF"/>
    <w:rsid w:val="006717E3"/>
    <w:rsid w:val="00671C5D"/>
    <w:rsid w:val="00672851"/>
    <w:rsid w:val="00672B5D"/>
    <w:rsid w:val="00672FB6"/>
    <w:rsid w:val="00673647"/>
    <w:rsid w:val="00674097"/>
    <w:rsid w:val="00674189"/>
    <w:rsid w:val="0067536B"/>
    <w:rsid w:val="00676150"/>
    <w:rsid w:val="0067622C"/>
    <w:rsid w:val="006774A6"/>
    <w:rsid w:val="00681A75"/>
    <w:rsid w:val="00681ACF"/>
    <w:rsid w:val="00681E00"/>
    <w:rsid w:val="00682249"/>
    <w:rsid w:val="00682F36"/>
    <w:rsid w:val="00683B1E"/>
    <w:rsid w:val="00683C68"/>
    <w:rsid w:val="00683D41"/>
    <w:rsid w:val="0068467A"/>
    <w:rsid w:val="00684789"/>
    <w:rsid w:val="00684B88"/>
    <w:rsid w:val="006850AC"/>
    <w:rsid w:val="006855E5"/>
    <w:rsid w:val="00685CF7"/>
    <w:rsid w:val="00685F76"/>
    <w:rsid w:val="00686165"/>
    <w:rsid w:val="00686D27"/>
    <w:rsid w:val="00686FB7"/>
    <w:rsid w:val="00687422"/>
    <w:rsid w:val="00687B9D"/>
    <w:rsid w:val="006919A6"/>
    <w:rsid w:val="00691CB5"/>
    <w:rsid w:val="006922AC"/>
    <w:rsid w:val="006923DF"/>
    <w:rsid w:val="00692688"/>
    <w:rsid w:val="00692974"/>
    <w:rsid w:val="00693356"/>
    <w:rsid w:val="006938C4"/>
    <w:rsid w:val="00696C79"/>
    <w:rsid w:val="006979FE"/>
    <w:rsid w:val="00697B77"/>
    <w:rsid w:val="006A1C22"/>
    <w:rsid w:val="006A2C76"/>
    <w:rsid w:val="006A37F5"/>
    <w:rsid w:val="006A4B5D"/>
    <w:rsid w:val="006A651B"/>
    <w:rsid w:val="006B0865"/>
    <w:rsid w:val="006B087E"/>
    <w:rsid w:val="006B1603"/>
    <w:rsid w:val="006B2E62"/>
    <w:rsid w:val="006B38B3"/>
    <w:rsid w:val="006B38FF"/>
    <w:rsid w:val="006B49C4"/>
    <w:rsid w:val="006B4DCC"/>
    <w:rsid w:val="006B4DE5"/>
    <w:rsid w:val="006B5708"/>
    <w:rsid w:val="006B61C8"/>
    <w:rsid w:val="006B7201"/>
    <w:rsid w:val="006B767B"/>
    <w:rsid w:val="006B7F19"/>
    <w:rsid w:val="006C03BF"/>
    <w:rsid w:val="006C1376"/>
    <w:rsid w:val="006C1892"/>
    <w:rsid w:val="006C1EEC"/>
    <w:rsid w:val="006C37C3"/>
    <w:rsid w:val="006C3932"/>
    <w:rsid w:val="006C3DC2"/>
    <w:rsid w:val="006C4DF6"/>
    <w:rsid w:val="006C5B73"/>
    <w:rsid w:val="006C645D"/>
    <w:rsid w:val="006C71A2"/>
    <w:rsid w:val="006D0EA6"/>
    <w:rsid w:val="006D2C57"/>
    <w:rsid w:val="006D350C"/>
    <w:rsid w:val="006D469A"/>
    <w:rsid w:val="006D4AC4"/>
    <w:rsid w:val="006D5BA8"/>
    <w:rsid w:val="006D7975"/>
    <w:rsid w:val="006E0455"/>
    <w:rsid w:val="006E1A81"/>
    <w:rsid w:val="006E2D2A"/>
    <w:rsid w:val="006E31C4"/>
    <w:rsid w:val="006E3CC3"/>
    <w:rsid w:val="006E4B61"/>
    <w:rsid w:val="006E512D"/>
    <w:rsid w:val="006E72E7"/>
    <w:rsid w:val="006E7F45"/>
    <w:rsid w:val="006E7FA7"/>
    <w:rsid w:val="006F05E1"/>
    <w:rsid w:val="006F0B76"/>
    <w:rsid w:val="006F0CCE"/>
    <w:rsid w:val="006F0DAF"/>
    <w:rsid w:val="006F1520"/>
    <w:rsid w:val="006F2C8F"/>
    <w:rsid w:val="006F4277"/>
    <w:rsid w:val="006F5F0D"/>
    <w:rsid w:val="006F7104"/>
    <w:rsid w:val="007000FE"/>
    <w:rsid w:val="007012B9"/>
    <w:rsid w:val="007022B4"/>
    <w:rsid w:val="00703671"/>
    <w:rsid w:val="00704557"/>
    <w:rsid w:val="00704D86"/>
    <w:rsid w:val="00705117"/>
    <w:rsid w:val="00705977"/>
    <w:rsid w:val="00705CF0"/>
    <w:rsid w:val="0070656B"/>
    <w:rsid w:val="00706E8E"/>
    <w:rsid w:val="007079C4"/>
    <w:rsid w:val="007107BE"/>
    <w:rsid w:val="00710DC2"/>
    <w:rsid w:val="00710EC0"/>
    <w:rsid w:val="00711074"/>
    <w:rsid w:val="007114E2"/>
    <w:rsid w:val="007127D5"/>
    <w:rsid w:val="007130A4"/>
    <w:rsid w:val="0071325A"/>
    <w:rsid w:val="00713E7A"/>
    <w:rsid w:val="00714604"/>
    <w:rsid w:val="00715308"/>
    <w:rsid w:val="00716026"/>
    <w:rsid w:val="0071653E"/>
    <w:rsid w:val="00717D8E"/>
    <w:rsid w:val="00720C27"/>
    <w:rsid w:val="0072153A"/>
    <w:rsid w:val="00721CF5"/>
    <w:rsid w:val="00722265"/>
    <w:rsid w:val="00722B53"/>
    <w:rsid w:val="00722E83"/>
    <w:rsid w:val="007237FF"/>
    <w:rsid w:val="00723EDB"/>
    <w:rsid w:val="007243ED"/>
    <w:rsid w:val="0072469E"/>
    <w:rsid w:val="00725070"/>
    <w:rsid w:val="00725117"/>
    <w:rsid w:val="007255F5"/>
    <w:rsid w:val="00727D02"/>
    <w:rsid w:val="00727D09"/>
    <w:rsid w:val="007321C4"/>
    <w:rsid w:val="00732FFD"/>
    <w:rsid w:val="00733761"/>
    <w:rsid w:val="007337CB"/>
    <w:rsid w:val="007344E4"/>
    <w:rsid w:val="00734DCA"/>
    <w:rsid w:val="00735277"/>
    <w:rsid w:val="007358DF"/>
    <w:rsid w:val="00735942"/>
    <w:rsid w:val="00737791"/>
    <w:rsid w:val="00740168"/>
    <w:rsid w:val="00740A74"/>
    <w:rsid w:val="00740EA1"/>
    <w:rsid w:val="00741522"/>
    <w:rsid w:val="00741A7C"/>
    <w:rsid w:val="00742366"/>
    <w:rsid w:val="007425CA"/>
    <w:rsid w:val="007437E2"/>
    <w:rsid w:val="00743869"/>
    <w:rsid w:val="00743C63"/>
    <w:rsid w:val="007443B6"/>
    <w:rsid w:val="00744484"/>
    <w:rsid w:val="0074525F"/>
    <w:rsid w:val="00745A80"/>
    <w:rsid w:val="00746A48"/>
    <w:rsid w:val="007502CD"/>
    <w:rsid w:val="007509DD"/>
    <w:rsid w:val="007524D0"/>
    <w:rsid w:val="00752FE4"/>
    <w:rsid w:val="0075304A"/>
    <w:rsid w:val="007534CA"/>
    <w:rsid w:val="00753C8F"/>
    <w:rsid w:val="00754916"/>
    <w:rsid w:val="00760628"/>
    <w:rsid w:val="00760F0B"/>
    <w:rsid w:val="00761258"/>
    <w:rsid w:val="00761833"/>
    <w:rsid w:val="0076184A"/>
    <w:rsid w:val="00762145"/>
    <w:rsid w:val="007625EE"/>
    <w:rsid w:val="00762954"/>
    <w:rsid w:val="00763474"/>
    <w:rsid w:val="00763A75"/>
    <w:rsid w:val="00764119"/>
    <w:rsid w:val="0076477E"/>
    <w:rsid w:val="00764FF7"/>
    <w:rsid w:val="00765912"/>
    <w:rsid w:val="00766184"/>
    <w:rsid w:val="0076655F"/>
    <w:rsid w:val="00766D0B"/>
    <w:rsid w:val="00767F7F"/>
    <w:rsid w:val="00771367"/>
    <w:rsid w:val="007714E0"/>
    <w:rsid w:val="00772E29"/>
    <w:rsid w:val="0077319C"/>
    <w:rsid w:val="00773473"/>
    <w:rsid w:val="007739F2"/>
    <w:rsid w:val="00774572"/>
    <w:rsid w:val="00774EF6"/>
    <w:rsid w:val="00775138"/>
    <w:rsid w:val="0077610E"/>
    <w:rsid w:val="00776BF9"/>
    <w:rsid w:val="00780FE8"/>
    <w:rsid w:val="00781C2C"/>
    <w:rsid w:val="00781D90"/>
    <w:rsid w:val="0078257B"/>
    <w:rsid w:val="007831AC"/>
    <w:rsid w:val="00783348"/>
    <w:rsid w:val="00783D75"/>
    <w:rsid w:val="00784B07"/>
    <w:rsid w:val="00784C0A"/>
    <w:rsid w:val="0078694D"/>
    <w:rsid w:val="00786BA3"/>
    <w:rsid w:val="00787275"/>
    <w:rsid w:val="0079030D"/>
    <w:rsid w:val="0079196E"/>
    <w:rsid w:val="007923A3"/>
    <w:rsid w:val="00792F82"/>
    <w:rsid w:val="007932F8"/>
    <w:rsid w:val="00793D39"/>
    <w:rsid w:val="00794B40"/>
    <w:rsid w:val="00795D29"/>
    <w:rsid w:val="00796AB8"/>
    <w:rsid w:val="00796E26"/>
    <w:rsid w:val="00797749"/>
    <w:rsid w:val="00797FA9"/>
    <w:rsid w:val="007A07E7"/>
    <w:rsid w:val="007A0CED"/>
    <w:rsid w:val="007A1079"/>
    <w:rsid w:val="007A1E98"/>
    <w:rsid w:val="007A23E5"/>
    <w:rsid w:val="007A4292"/>
    <w:rsid w:val="007A5FB0"/>
    <w:rsid w:val="007A7B25"/>
    <w:rsid w:val="007A7C07"/>
    <w:rsid w:val="007B0B24"/>
    <w:rsid w:val="007B12ED"/>
    <w:rsid w:val="007B149C"/>
    <w:rsid w:val="007B2677"/>
    <w:rsid w:val="007B4C7A"/>
    <w:rsid w:val="007B5D23"/>
    <w:rsid w:val="007B62D7"/>
    <w:rsid w:val="007B76AB"/>
    <w:rsid w:val="007C10F4"/>
    <w:rsid w:val="007C1F6A"/>
    <w:rsid w:val="007C27C3"/>
    <w:rsid w:val="007C3666"/>
    <w:rsid w:val="007C4279"/>
    <w:rsid w:val="007C50D1"/>
    <w:rsid w:val="007D134D"/>
    <w:rsid w:val="007D4269"/>
    <w:rsid w:val="007D4D4E"/>
    <w:rsid w:val="007D592B"/>
    <w:rsid w:val="007D5AA6"/>
    <w:rsid w:val="007D5D8D"/>
    <w:rsid w:val="007D6F70"/>
    <w:rsid w:val="007D6FD4"/>
    <w:rsid w:val="007D7A91"/>
    <w:rsid w:val="007E1B89"/>
    <w:rsid w:val="007E2498"/>
    <w:rsid w:val="007E2799"/>
    <w:rsid w:val="007E44F2"/>
    <w:rsid w:val="007E450A"/>
    <w:rsid w:val="007E5156"/>
    <w:rsid w:val="007E6456"/>
    <w:rsid w:val="007E660D"/>
    <w:rsid w:val="007E7547"/>
    <w:rsid w:val="007E7D14"/>
    <w:rsid w:val="007F0A07"/>
    <w:rsid w:val="007F1D76"/>
    <w:rsid w:val="007F2476"/>
    <w:rsid w:val="007F3665"/>
    <w:rsid w:val="007F4002"/>
    <w:rsid w:val="007F541B"/>
    <w:rsid w:val="007F5DF2"/>
    <w:rsid w:val="007F6216"/>
    <w:rsid w:val="007F6A90"/>
    <w:rsid w:val="007F6C6C"/>
    <w:rsid w:val="007F72F8"/>
    <w:rsid w:val="0080065D"/>
    <w:rsid w:val="00800FD6"/>
    <w:rsid w:val="008016BE"/>
    <w:rsid w:val="00801898"/>
    <w:rsid w:val="00804052"/>
    <w:rsid w:val="00811669"/>
    <w:rsid w:val="00811943"/>
    <w:rsid w:val="00812079"/>
    <w:rsid w:val="008121CE"/>
    <w:rsid w:val="00813095"/>
    <w:rsid w:val="00815301"/>
    <w:rsid w:val="008154B9"/>
    <w:rsid w:val="00815C81"/>
    <w:rsid w:val="00817502"/>
    <w:rsid w:val="00820D22"/>
    <w:rsid w:val="0082119F"/>
    <w:rsid w:val="00821C6A"/>
    <w:rsid w:val="00821F18"/>
    <w:rsid w:val="008234CB"/>
    <w:rsid w:val="00823745"/>
    <w:rsid w:val="0082481A"/>
    <w:rsid w:val="00825EAC"/>
    <w:rsid w:val="00827E1F"/>
    <w:rsid w:val="00830E7B"/>
    <w:rsid w:val="0083117E"/>
    <w:rsid w:val="008311B8"/>
    <w:rsid w:val="008321CD"/>
    <w:rsid w:val="008322E8"/>
    <w:rsid w:val="00832E13"/>
    <w:rsid w:val="00834243"/>
    <w:rsid w:val="00834530"/>
    <w:rsid w:val="00837197"/>
    <w:rsid w:val="008374C4"/>
    <w:rsid w:val="00837D4B"/>
    <w:rsid w:val="00843BE9"/>
    <w:rsid w:val="00843E49"/>
    <w:rsid w:val="00843E5D"/>
    <w:rsid w:val="00843F12"/>
    <w:rsid w:val="00844092"/>
    <w:rsid w:val="00845660"/>
    <w:rsid w:val="008460D0"/>
    <w:rsid w:val="00846CDE"/>
    <w:rsid w:val="00847209"/>
    <w:rsid w:val="00847377"/>
    <w:rsid w:val="00851634"/>
    <w:rsid w:val="00852AC1"/>
    <w:rsid w:val="00852C63"/>
    <w:rsid w:val="00853519"/>
    <w:rsid w:val="00853A74"/>
    <w:rsid w:val="008563DB"/>
    <w:rsid w:val="00856464"/>
    <w:rsid w:val="008571BD"/>
    <w:rsid w:val="00857969"/>
    <w:rsid w:val="00857AF0"/>
    <w:rsid w:val="00860A7C"/>
    <w:rsid w:val="0086192D"/>
    <w:rsid w:val="0086211A"/>
    <w:rsid w:val="00862C7A"/>
    <w:rsid w:val="00862F41"/>
    <w:rsid w:val="0086313C"/>
    <w:rsid w:val="0086324C"/>
    <w:rsid w:val="0086342B"/>
    <w:rsid w:val="00863A0F"/>
    <w:rsid w:val="00864632"/>
    <w:rsid w:val="00866762"/>
    <w:rsid w:val="00866874"/>
    <w:rsid w:val="00867275"/>
    <w:rsid w:val="00867DD0"/>
    <w:rsid w:val="00870022"/>
    <w:rsid w:val="00873EDA"/>
    <w:rsid w:val="00875C4B"/>
    <w:rsid w:val="0087738A"/>
    <w:rsid w:val="00880916"/>
    <w:rsid w:val="00881BDB"/>
    <w:rsid w:val="00882126"/>
    <w:rsid w:val="008825AB"/>
    <w:rsid w:val="00882C83"/>
    <w:rsid w:val="00882CC4"/>
    <w:rsid w:val="00883921"/>
    <w:rsid w:val="008844AC"/>
    <w:rsid w:val="00884AB4"/>
    <w:rsid w:val="008856B9"/>
    <w:rsid w:val="00886C78"/>
    <w:rsid w:val="00886CD8"/>
    <w:rsid w:val="00887E6A"/>
    <w:rsid w:val="00891C1D"/>
    <w:rsid w:val="00891FE6"/>
    <w:rsid w:val="0089237C"/>
    <w:rsid w:val="0089360E"/>
    <w:rsid w:val="008951CE"/>
    <w:rsid w:val="008962D7"/>
    <w:rsid w:val="008965A6"/>
    <w:rsid w:val="00897F46"/>
    <w:rsid w:val="008A02C8"/>
    <w:rsid w:val="008A0A3D"/>
    <w:rsid w:val="008A102C"/>
    <w:rsid w:val="008A2181"/>
    <w:rsid w:val="008A2A22"/>
    <w:rsid w:val="008A47B1"/>
    <w:rsid w:val="008A5B1A"/>
    <w:rsid w:val="008A61AB"/>
    <w:rsid w:val="008A7341"/>
    <w:rsid w:val="008A74F4"/>
    <w:rsid w:val="008B0781"/>
    <w:rsid w:val="008B2C1C"/>
    <w:rsid w:val="008B38F6"/>
    <w:rsid w:val="008B405E"/>
    <w:rsid w:val="008B44A0"/>
    <w:rsid w:val="008B48CC"/>
    <w:rsid w:val="008B4B04"/>
    <w:rsid w:val="008B4B2E"/>
    <w:rsid w:val="008B4B4D"/>
    <w:rsid w:val="008B665D"/>
    <w:rsid w:val="008C1D22"/>
    <w:rsid w:val="008C2782"/>
    <w:rsid w:val="008C2E79"/>
    <w:rsid w:val="008C5177"/>
    <w:rsid w:val="008C5328"/>
    <w:rsid w:val="008C5D77"/>
    <w:rsid w:val="008C61E1"/>
    <w:rsid w:val="008C6532"/>
    <w:rsid w:val="008C6FB8"/>
    <w:rsid w:val="008C7060"/>
    <w:rsid w:val="008C7A74"/>
    <w:rsid w:val="008C7F71"/>
    <w:rsid w:val="008D0C81"/>
    <w:rsid w:val="008D3118"/>
    <w:rsid w:val="008D339F"/>
    <w:rsid w:val="008D3C64"/>
    <w:rsid w:val="008D455D"/>
    <w:rsid w:val="008D533C"/>
    <w:rsid w:val="008D58B8"/>
    <w:rsid w:val="008D5E18"/>
    <w:rsid w:val="008D6001"/>
    <w:rsid w:val="008D67A9"/>
    <w:rsid w:val="008D6B42"/>
    <w:rsid w:val="008D6C4D"/>
    <w:rsid w:val="008D705A"/>
    <w:rsid w:val="008D77E0"/>
    <w:rsid w:val="008E1DF4"/>
    <w:rsid w:val="008E227E"/>
    <w:rsid w:val="008E24D2"/>
    <w:rsid w:val="008E2E1D"/>
    <w:rsid w:val="008E3F55"/>
    <w:rsid w:val="008E42E0"/>
    <w:rsid w:val="008E4707"/>
    <w:rsid w:val="008E4978"/>
    <w:rsid w:val="008E5533"/>
    <w:rsid w:val="008E581D"/>
    <w:rsid w:val="008E6028"/>
    <w:rsid w:val="008E6292"/>
    <w:rsid w:val="008E68A0"/>
    <w:rsid w:val="008E6D35"/>
    <w:rsid w:val="008E7284"/>
    <w:rsid w:val="008E78FB"/>
    <w:rsid w:val="008E7C43"/>
    <w:rsid w:val="008F0443"/>
    <w:rsid w:val="008F0FBE"/>
    <w:rsid w:val="008F1D33"/>
    <w:rsid w:val="008F23EB"/>
    <w:rsid w:val="008F2DA2"/>
    <w:rsid w:val="008F2E00"/>
    <w:rsid w:val="008F338D"/>
    <w:rsid w:val="008F4B9E"/>
    <w:rsid w:val="008F637E"/>
    <w:rsid w:val="008F66BC"/>
    <w:rsid w:val="008F7EB9"/>
    <w:rsid w:val="0090016B"/>
    <w:rsid w:val="009016F5"/>
    <w:rsid w:val="00901BB0"/>
    <w:rsid w:val="00902147"/>
    <w:rsid w:val="00902493"/>
    <w:rsid w:val="00902855"/>
    <w:rsid w:val="00903842"/>
    <w:rsid w:val="00903D93"/>
    <w:rsid w:val="009054DB"/>
    <w:rsid w:val="009063F3"/>
    <w:rsid w:val="00906E61"/>
    <w:rsid w:val="00906F79"/>
    <w:rsid w:val="0090709B"/>
    <w:rsid w:val="00907EE3"/>
    <w:rsid w:val="009111C8"/>
    <w:rsid w:val="00911934"/>
    <w:rsid w:val="00912489"/>
    <w:rsid w:val="00912E70"/>
    <w:rsid w:val="00914F67"/>
    <w:rsid w:val="009150DF"/>
    <w:rsid w:val="009157A6"/>
    <w:rsid w:val="009159C7"/>
    <w:rsid w:val="00915AAD"/>
    <w:rsid w:val="0091749F"/>
    <w:rsid w:val="00917C63"/>
    <w:rsid w:val="00917E28"/>
    <w:rsid w:val="00917FE4"/>
    <w:rsid w:val="00920291"/>
    <w:rsid w:val="009216E7"/>
    <w:rsid w:val="00921AFF"/>
    <w:rsid w:val="00923836"/>
    <w:rsid w:val="009248FD"/>
    <w:rsid w:val="00925AA5"/>
    <w:rsid w:val="00925FAF"/>
    <w:rsid w:val="0092685B"/>
    <w:rsid w:val="00927F9B"/>
    <w:rsid w:val="00930C77"/>
    <w:rsid w:val="00931069"/>
    <w:rsid w:val="00933A9E"/>
    <w:rsid w:val="00934831"/>
    <w:rsid w:val="00935188"/>
    <w:rsid w:val="0093540D"/>
    <w:rsid w:val="00935C11"/>
    <w:rsid w:val="009361A1"/>
    <w:rsid w:val="00937927"/>
    <w:rsid w:val="00937AE2"/>
    <w:rsid w:val="0094019D"/>
    <w:rsid w:val="0094036F"/>
    <w:rsid w:val="00940D0F"/>
    <w:rsid w:val="00942564"/>
    <w:rsid w:val="00942C11"/>
    <w:rsid w:val="00942F0A"/>
    <w:rsid w:val="009432E6"/>
    <w:rsid w:val="0094351F"/>
    <w:rsid w:val="0094454F"/>
    <w:rsid w:val="00944A50"/>
    <w:rsid w:val="0094584C"/>
    <w:rsid w:val="009466F2"/>
    <w:rsid w:val="009477BF"/>
    <w:rsid w:val="00951754"/>
    <w:rsid w:val="00951931"/>
    <w:rsid w:val="009520E1"/>
    <w:rsid w:val="00952E0A"/>
    <w:rsid w:val="009532E5"/>
    <w:rsid w:val="00953F14"/>
    <w:rsid w:val="009540B3"/>
    <w:rsid w:val="00954190"/>
    <w:rsid w:val="009544CF"/>
    <w:rsid w:val="009547F8"/>
    <w:rsid w:val="0095519B"/>
    <w:rsid w:val="00956F6F"/>
    <w:rsid w:val="009575FE"/>
    <w:rsid w:val="00960367"/>
    <w:rsid w:val="00962386"/>
    <w:rsid w:val="00962425"/>
    <w:rsid w:val="00962AB1"/>
    <w:rsid w:val="00962ACF"/>
    <w:rsid w:val="00962C4F"/>
    <w:rsid w:val="00962E08"/>
    <w:rsid w:val="00962E99"/>
    <w:rsid w:val="00963732"/>
    <w:rsid w:val="00965B46"/>
    <w:rsid w:val="009663E2"/>
    <w:rsid w:val="009714DE"/>
    <w:rsid w:val="0097159C"/>
    <w:rsid w:val="00971CBC"/>
    <w:rsid w:val="00971E2E"/>
    <w:rsid w:val="009729D4"/>
    <w:rsid w:val="009730A2"/>
    <w:rsid w:val="00975BCC"/>
    <w:rsid w:val="00975CAB"/>
    <w:rsid w:val="00976385"/>
    <w:rsid w:val="00976889"/>
    <w:rsid w:val="00977395"/>
    <w:rsid w:val="00977555"/>
    <w:rsid w:val="00980759"/>
    <w:rsid w:val="00980DE5"/>
    <w:rsid w:val="00981019"/>
    <w:rsid w:val="009817B0"/>
    <w:rsid w:val="009817B3"/>
    <w:rsid w:val="009819E6"/>
    <w:rsid w:val="009821CE"/>
    <w:rsid w:val="009836F1"/>
    <w:rsid w:val="00985A86"/>
    <w:rsid w:val="00985B76"/>
    <w:rsid w:val="00986867"/>
    <w:rsid w:val="00986880"/>
    <w:rsid w:val="00986ABE"/>
    <w:rsid w:val="00986E0B"/>
    <w:rsid w:val="00986ED3"/>
    <w:rsid w:val="009908A3"/>
    <w:rsid w:val="00990B12"/>
    <w:rsid w:val="00991584"/>
    <w:rsid w:val="009963A2"/>
    <w:rsid w:val="00996AB8"/>
    <w:rsid w:val="009972EC"/>
    <w:rsid w:val="009979DD"/>
    <w:rsid w:val="00997DC4"/>
    <w:rsid w:val="009A0B00"/>
    <w:rsid w:val="009A214F"/>
    <w:rsid w:val="009A277C"/>
    <w:rsid w:val="009A29D1"/>
    <w:rsid w:val="009A3CA7"/>
    <w:rsid w:val="009A3DC0"/>
    <w:rsid w:val="009A4C22"/>
    <w:rsid w:val="009A5137"/>
    <w:rsid w:val="009A5626"/>
    <w:rsid w:val="009A5DAA"/>
    <w:rsid w:val="009A658F"/>
    <w:rsid w:val="009A7402"/>
    <w:rsid w:val="009A76EE"/>
    <w:rsid w:val="009A7C60"/>
    <w:rsid w:val="009B088F"/>
    <w:rsid w:val="009B2249"/>
    <w:rsid w:val="009B2DF2"/>
    <w:rsid w:val="009B3893"/>
    <w:rsid w:val="009B45BC"/>
    <w:rsid w:val="009B4BAF"/>
    <w:rsid w:val="009B5CE0"/>
    <w:rsid w:val="009B629D"/>
    <w:rsid w:val="009B6DE7"/>
    <w:rsid w:val="009B7539"/>
    <w:rsid w:val="009B7AEB"/>
    <w:rsid w:val="009B7CC5"/>
    <w:rsid w:val="009B7E70"/>
    <w:rsid w:val="009C13D6"/>
    <w:rsid w:val="009C20C7"/>
    <w:rsid w:val="009C2DAB"/>
    <w:rsid w:val="009C2F04"/>
    <w:rsid w:val="009C336B"/>
    <w:rsid w:val="009C4ADB"/>
    <w:rsid w:val="009C5337"/>
    <w:rsid w:val="009C65F7"/>
    <w:rsid w:val="009C6911"/>
    <w:rsid w:val="009C6A45"/>
    <w:rsid w:val="009D002E"/>
    <w:rsid w:val="009D1FE2"/>
    <w:rsid w:val="009D2CFF"/>
    <w:rsid w:val="009D3193"/>
    <w:rsid w:val="009D3261"/>
    <w:rsid w:val="009D44D2"/>
    <w:rsid w:val="009D5827"/>
    <w:rsid w:val="009D5D5B"/>
    <w:rsid w:val="009D64C4"/>
    <w:rsid w:val="009D6787"/>
    <w:rsid w:val="009D6F7C"/>
    <w:rsid w:val="009D7355"/>
    <w:rsid w:val="009D743A"/>
    <w:rsid w:val="009E0CA5"/>
    <w:rsid w:val="009E11C0"/>
    <w:rsid w:val="009E13A8"/>
    <w:rsid w:val="009E171B"/>
    <w:rsid w:val="009E1A8C"/>
    <w:rsid w:val="009E1BD4"/>
    <w:rsid w:val="009E3093"/>
    <w:rsid w:val="009E3857"/>
    <w:rsid w:val="009E3A3D"/>
    <w:rsid w:val="009E4334"/>
    <w:rsid w:val="009E4CB1"/>
    <w:rsid w:val="009E5772"/>
    <w:rsid w:val="009E7A86"/>
    <w:rsid w:val="009E7BA0"/>
    <w:rsid w:val="009E7F62"/>
    <w:rsid w:val="009F003C"/>
    <w:rsid w:val="009F1F40"/>
    <w:rsid w:val="009F239A"/>
    <w:rsid w:val="009F3301"/>
    <w:rsid w:val="009F394F"/>
    <w:rsid w:val="009F3DE8"/>
    <w:rsid w:val="009F422D"/>
    <w:rsid w:val="009F6ABF"/>
    <w:rsid w:val="009F73D3"/>
    <w:rsid w:val="009F749E"/>
    <w:rsid w:val="009F7734"/>
    <w:rsid w:val="00A00254"/>
    <w:rsid w:val="00A015E8"/>
    <w:rsid w:val="00A018A7"/>
    <w:rsid w:val="00A01AE8"/>
    <w:rsid w:val="00A028B7"/>
    <w:rsid w:val="00A03358"/>
    <w:rsid w:val="00A03791"/>
    <w:rsid w:val="00A03A67"/>
    <w:rsid w:val="00A03AF8"/>
    <w:rsid w:val="00A04322"/>
    <w:rsid w:val="00A0437B"/>
    <w:rsid w:val="00A04C2A"/>
    <w:rsid w:val="00A05D47"/>
    <w:rsid w:val="00A062EF"/>
    <w:rsid w:val="00A06315"/>
    <w:rsid w:val="00A06F5F"/>
    <w:rsid w:val="00A078BD"/>
    <w:rsid w:val="00A07D47"/>
    <w:rsid w:val="00A101C6"/>
    <w:rsid w:val="00A10593"/>
    <w:rsid w:val="00A110BE"/>
    <w:rsid w:val="00A12F62"/>
    <w:rsid w:val="00A13157"/>
    <w:rsid w:val="00A1423D"/>
    <w:rsid w:val="00A14C70"/>
    <w:rsid w:val="00A14F96"/>
    <w:rsid w:val="00A14FE9"/>
    <w:rsid w:val="00A151DF"/>
    <w:rsid w:val="00A15511"/>
    <w:rsid w:val="00A155F0"/>
    <w:rsid w:val="00A15803"/>
    <w:rsid w:val="00A1597E"/>
    <w:rsid w:val="00A15BA6"/>
    <w:rsid w:val="00A161F3"/>
    <w:rsid w:val="00A2057C"/>
    <w:rsid w:val="00A20C1B"/>
    <w:rsid w:val="00A21C55"/>
    <w:rsid w:val="00A2399F"/>
    <w:rsid w:val="00A23EEF"/>
    <w:rsid w:val="00A25667"/>
    <w:rsid w:val="00A25FDD"/>
    <w:rsid w:val="00A268FC"/>
    <w:rsid w:val="00A26A39"/>
    <w:rsid w:val="00A26ACF"/>
    <w:rsid w:val="00A3065D"/>
    <w:rsid w:val="00A3073D"/>
    <w:rsid w:val="00A31EDA"/>
    <w:rsid w:val="00A31FCC"/>
    <w:rsid w:val="00A32020"/>
    <w:rsid w:val="00A33CAB"/>
    <w:rsid w:val="00A34267"/>
    <w:rsid w:val="00A360F9"/>
    <w:rsid w:val="00A361CA"/>
    <w:rsid w:val="00A3694B"/>
    <w:rsid w:val="00A3749B"/>
    <w:rsid w:val="00A37D87"/>
    <w:rsid w:val="00A4037E"/>
    <w:rsid w:val="00A40DFA"/>
    <w:rsid w:val="00A4336E"/>
    <w:rsid w:val="00A4351D"/>
    <w:rsid w:val="00A43C7F"/>
    <w:rsid w:val="00A43F09"/>
    <w:rsid w:val="00A445AB"/>
    <w:rsid w:val="00A44997"/>
    <w:rsid w:val="00A44AE6"/>
    <w:rsid w:val="00A44FE8"/>
    <w:rsid w:val="00A4526F"/>
    <w:rsid w:val="00A470B7"/>
    <w:rsid w:val="00A47891"/>
    <w:rsid w:val="00A47A78"/>
    <w:rsid w:val="00A47DF0"/>
    <w:rsid w:val="00A50362"/>
    <w:rsid w:val="00A50D88"/>
    <w:rsid w:val="00A50DF6"/>
    <w:rsid w:val="00A50FA4"/>
    <w:rsid w:val="00A518A6"/>
    <w:rsid w:val="00A51926"/>
    <w:rsid w:val="00A52369"/>
    <w:rsid w:val="00A535D2"/>
    <w:rsid w:val="00A54654"/>
    <w:rsid w:val="00A56556"/>
    <w:rsid w:val="00A56923"/>
    <w:rsid w:val="00A57961"/>
    <w:rsid w:val="00A57F01"/>
    <w:rsid w:val="00A60198"/>
    <w:rsid w:val="00A608F7"/>
    <w:rsid w:val="00A6099C"/>
    <w:rsid w:val="00A60B5E"/>
    <w:rsid w:val="00A62DF1"/>
    <w:rsid w:val="00A62E42"/>
    <w:rsid w:val="00A63493"/>
    <w:rsid w:val="00A637F4"/>
    <w:rsid w:val="00A6446A"/>
    <w:rsid w:val="00A64A71"/>
    <w:rsid w:val="00A655B1"/>
    <w:rsid w:val="00A666F9"/>
    <w:rsid w:val="00A67AC3"/>
    <w:rsid w:val="00A67ADF"/>
    <w:rsid w:val="00A7033E"/>
    <w:rsid w:val="00A7236C"/>
    <w:rsid w:val="00A72960"/>
    <w:rsid w:val="00A72D8F"/>
    <w:rsid w:val="00A7330A"/>
    <w:rsid w:val="00A73784"/>
    <w:rsid w:val="00A73B2C"/>
    <w:rsid w:val="00A74815"/>
    <w:rsid w:val="00A74CFD"/>
    <w:rsid w:val="00A75E0E"/>
    <w:rsid w:val="00A80D1B"/>
    <w:rsid w:val="00A81211"/>
    <w:rsid w:val="00A81B08"/>
    <w:rsid w:val="00A82CEE"/>
    <w:rsid w:val="00A82EBB"/>
    <w:rsid w:val="00A83930"/>
    <w:rsid w:val="00A841FB"/>
    <w:rsid w:val="00A84928"/>
    <w:rsid w:val="00A85659"/>
    <w:rsid w:val="00A878D2"/>
    <w:rsid w:val="00A87BBD"/>
    <w:rsid w:val="00A92E2D"/>
    <w:rsid w:val="00A930FB"/>
    <w:rsid w:val="00A93401"/>
    <w:rsid w:val="00A937F2"/>
    <w:rsid w:val="00A967D9"/>
    <w:rsid w:val="00A96E33"/>
    <w:rsid w:val="00A97160"/>
    <w:rsid w:val="00A97E6D"/>
    <w:rsid w:val="00A97FF3"/>
    <w:rsid w:val="00AA23C5"/>
    <w:rsid w:val="00AA2CCB"/>
    <w:rsid w:val="00AA33EA"/>
    <w:rsid w:val="00AA3F00"/>
    <w:rsid w:val="00AA4239"/>
    <w:rsid w:val="00AA481F"/>
    <w:rsid w:val="00AA5387"/>
    <w:rsid w:val="00AA66CA"/>
    <w:rsid w:val="00AA77E5"/>
    <w:rsid w:val="00AA7EFE"/>
    <w:rsid w:val="00AB0047"/>
    <w:rsid w:val="00AB081A"/>
    <w:rsid w:val="00AB0A2E"/>
    <w:rsid w:val="00AB0C0A"/>
    <w:rsid w:val="00AB1A6F"/>
    <w:rsid w:val="00AB1D29"/>
    <w:rsid w:val="00AB23D8"/>
    <w:rsid w:val="00AB376E"/>
    <w:rsid w:val="00AB3C55"/>
    <w:rsid w:val="00AB4361"/>
    <w:rsid w:val="00AB6A93"/>
    <w:rsid w:val="00AB6BF6"/>
    <w:rsid w:val="00AB6CEB"/>
    <w:rsid w:val="00AC01DA"/>
    <w:rsid w:val="00AC09A3"/>
    <w:rsid w:val="00AC0DC4"/>
    <w:rsid w:val="00AC1588"/>
    <w:rsid w:val="00AC1EBE"/>
    <w:rsid w:val="00AC22DF"/>
    <w:rsid w:val="00AC2E15"/>
    <w:rsid w:val="00AC3196"/>
    <w:rsid w:val="00AC361A"/>
    <w:rsid w:val="00AC4065"/>
    <w:rsid w:val="00AC412D"/>
    <w:rsid w:val="00AC5495"/>
    <w:rsid w:val="00AC75E2"/>
    <w:rsid w:val="00AC777A"/>
    <w:rsid w:val="00AC7F86"/>
    <w:rsid w:val="00AD03F4"/>
    <w:rsid w:val="00AD0ACC"/>
    <w:rsid w:val="00AD115E"/>
    <w:rsid w:val="00AD1816"/>
    <w:rsid w:val="00AD1FED"/>
    <w:rsid w:val="00AD2060"/>
    <w:rsid w:val="00AD2251"/>
    <w:rsid w:val="00AD22FE"/>
    <w:rsid w:val="00AD2AF5"/>
    <w:rsid w:val="00AD3509"/>
    <w:rsid w:val="00AD422E"/>
    <w:rsid w:val="00AD7F44"/>
    <w:rsid w:val="00AE0B7C"/>
    <w:rsid w:val="00AE0F0C"/>
    <w:rsid w:val="00AE1065"/>
    <w:rsid w:val="00AE20BC"/>
    <w:rsid w:val="00AE27F5"/>
    <w:rsid w:val="00AE2F90"/>
    <w:rsid w:val="00AE325C"/>
    <w:rsid w:val="00AE3905"/>
    <w:rsid w:val="00AE4FDA"/>
    <w:rsid w:val="00AE5AA7"/>
    <w:rsid w:val="00AE5AE8"/>
    <w:rsid w:val="00AE5C98"/>
    <w:rsid w:val="00AE6BE9"/>
    <w:rsid w:val="00AE7F9D"/>
    <w:rsid w:val="00AF048D"/>
    <w:rsid w:val="00AF07AB"/>
    <w:rsid w:val="00AF4DF2"/>
    <w:rsid w:val="00AF51D4"/>
    <w:rsid w:val="00AF5454"/>
    <w:rsid w:val="00AF59E2"/>
    <w:rsid w:val="00AF5EA6"/>
    <w:rsid w:val="00AF756D"/>
    <w:rsid w:val="00AF76FF"/>
    <w:rsid w:val="00AF7FEF"/>
    <w:rsid w:val="00B0096B"/>
    <w:rsid w:val="00B01816"/>
    <w:rsid w:val="00B01B57"/>
    <w:rsid w:val="00B02278"/>
    <w:rsid w:val="00B027FF"/>
    <w:rsid w:val="00B03DD6"/>
    <w:rsid w:val="00B03E56"/>
    <w:rsid w:val="00B045D5"/>
    <w:rsid w:val="00B04642"/>
    <w:rsid w:val="00B04DBC"/>
    <w:rsid w:val="00B05548"/>
    <w:rsid w:val="00B06814"/>
    <w:rsid w:val="00B07CC2"/>
    <w:rsid w:val="00B1117B"/>
    <w:rsid w:val="00B112D9"/>
    <w:rsid w:val="00B12F67"/>
    <w:rsid w:val="00B12F8C"/>
    <w:rsid w:val="00B13A13"/>
    <w:rsid w:val="00B13D32"/>
    <w:rsid w:val="00B14DBA"/>
    <w:rsid w:val="00B20580"/>
    <w:rsid w:val="00B21445"/>
    <w:rsid w:val="00B214C6"/>
    <w:rsid w:val="00B231A2"/>
    <w:rsid w:val="00B231AE"/>
    <w:rsid w:val="00B243DB"/>
    <w:rsid w:val="00B24EDD"/>
    <w:rsid w:val="00B24EFD"/>
    <w:rsid w:val="00B277B2"/>
    <w:rsid w:val="00B27832"/>
    <w:rsid w:val="00B27E18"/>
    <w:rsid w:val="00B318DD"/>
    <w:rsid w:val="00B32473"/>
    <w:rsid w:val="00B325FE"/>
    <w:rsid w:val="00B32949"/>
    <w:rsid w:val="00B32AAC"/>
    <w:rsid w:val="00B33862"/>
    <w:rsid w:val="00B33F47"/>
    <w:rsid w:val="00B34954"/>
    <w:rsid w:val="00B34E8B"/>
    <w:rsid w:val="00B3583B"/>
    <w:rsid w:val="00B35A0C"/>
    <w:rsid w:val="00B37A8F"/>
    <w:rsid w:val="00B37DE3"/>
    <w:rsid w:val="00B407D4"/>
    <w:rsid w:val="00B40896"/>
    <w:rsid w:val="00B41BD6"/>
    <w:rsid w:val="00B42D81"/>
    <w:rsid w:val="00B43AC9"/>
    <w:rsid w:val="00B44D51"/>
    <w:rsid w:val="00B44D8C"/>
    <w:rsid w:val="00B45167"/>
    <w:rsid w:val="00B45703"/>
    <w:rsid w:val="00B45C06"/>
    <w:rsid w:val="00B468C7"/>
    <w:rsid w:val="00B4713A"/>
    <w:rsid w:val="00B47180"/>
    <w:rsid w:val="00B47EDF"/>
    <w:rsid w:val="00B51EBF"/>
    <w:rsid w:val="00B5237A"/>
    <w:rsid w:val="00B52CCF"/>
    <w:rsid w:val="00B5377A"/>
    <w:rsid w:val="00B55B04"/>
    <w:rsid w:val="00B55D85"/>
    <w:rsid w:val="00B5675E"/>
    <w:rsid w:val="00B568AC"/>
    <w:rsid w:val="00B619D7"/>
    <w:rsid w:val="00B61CB9"/>
    <w:rsid w:val="00B63720"/>
    <w:rsid w:val="00B6413B"/>
    <w:rsid w:val="00B65347"/>
    <w:rsid w:val="00B65758"/>
    <w:rsid w:val="00B65DE1"/>
    <w:rsid w:val="00B668EE"/>
    <w:rsid w:val="00B67CB0"/>
    <w:rsid w:val="00B70714"/>
    <w:rsid w:val="00B70D1E"/>
    <w:rsid w:val="00B71ED6"/>
    <w:rsid w:val="00B72AF0"/>
    <w:rsid w:val="00B72E42"/>
    <w:rsid w:val="00B737EB"/>
    <w:rsid w:val="00B74282"/>
    <w:rsid w:val="00B74799"/>
    <w:rsid w:val="00B75F6C"/>
    <w:rsid w:val="00B77103"/>
    <w:rsid w:val="00B775EE"/>
    <w:rsid w:val="00B7766C"/>
    <w:rsid w:val="00B8003A"/>
    <w:rsid w:val="00B80832"/>
    <w:rsid w:val="00B81CAD"/>
    <w:rsid w:val="00B8207A"/>
    <w:rsid w:val="00B82CBD"/>
    <w:rsid w:val="00B83946"/>
    <w:rsid w:val="00B87927"/>
    <w:rsid w:val="00B9108A"/>
    <w:rsid w:val="00B91E17"/>
    <w:rsid w:val="00B92F0D"/>
    <w:rsid w:val="00B95A62"/>
    <w:rsid w:val="00B95E25"/>
    <w:rsid w:val="00B96A38"/>
    <w:rsid w:val="00B96B51"/>
    <w:rsid w:val="00B96DCD"/>
    <w:rsid w:val="00B96F85"/>
    <w:rsid w:val="00B97087"/>
    <w:rsid w:val="00B97506"/>
    <w:rsid w:val="00B97537"/>
    <w:rsid w:val="00B97BC0"/>
    <w:rsid w:val="00BA00F8"/>
    <w:rsid w:val="00BA1BA8"/>
    <w:rsid w:val="00BA2E5C"/>
    <w:rsid w:val="00BA2FD1"/>
    <w:rsid w:val="00BA40A4"/>
    <w:rsid w:val="00BA5DB9"/>
    <w:rsid w:val="00BA788F"/>
    <w:rsid w:val="00BA7B75"/>
    <w:rsid w:val="00BB00F3"/>
    <w:rsid w:val="00BB303A"/>
    <w:rsid w:val="00BB3A72"/>
    <w:rsid w:val="00BB4139"/>
    <w:rsid w:val="00BB4A27"/>
    <w:rsid w:val="00BB5640"/>
    <w:rsid w:val="00BB598B"/>
    <w:rsid w:val="00BB5C2F"/>
    <w:rsid w:val="00BB6CAF"/>
    <w:rsid w:val="00BB7A78"/>
    <w:rsid w:val="00BB7DB4"/>
    <w:rsid w:val="00BC020A"/>
    <w:rsid w:val="00BC1061"/>
    <w:rsid w:val="00BC20F0"/>
    <w:rsid w:val="00BC26AB"/>
    <w:rsid w:val="00BC39AD"/>
    <w:rsid w:val="00BC6E69"/>
    <w:rsid w:val="00BD065C"/>
    <w:rsid w:val="00BD0E92"/>
    <w:rsid w:val="00BD2279"/>
    <w:rsid w:val="00BD22BC"/>
    <w:rsid w:val="00BD255D"/>
    <w:rsid w:val="00BD26AA"/>
    <w:rsid w:val="00BD2AD8"/>
    <w:rsid w:val="00BD2B12"/>
    <w:rsid w:val="00BD3FCB"/>
    <w:rsid w:val="00BD4524"/>
    <w:rsid w:val="00BD454F"/>
    <w:rsid w:val="00BD66AE"/>
    <w:rsid w:val="00BD75FC"/>
    <w:rsid w:val="00BE177C"/>
    <w:rsid w:val="00BE431B"/>
    <w:rsid w:val="00BE4BC3"/>
    <w:rsid w:val="00BE5E77"/>
    <w:rsid w:val="00BE6B48"/>
    <w:rsid w:val="00BE734A"/>
    <w:rsid w:val="00BE7D22"/>
    <w:rsid w:val="00BE7EA5"/>
    <w:rsid w:val="00BF1E2F"/>
    <w:rsid w:val="00BF2DB5"/>
    <w:rsid w:val="00BF45AD"/>
    <w:rsid w:val="00BF5857"/>
    <w:rsid w:val="00BF65A1"/>
    <w:rsid w:val="00BF6F79"/>
    <w:rsid w:val="00BF6FF1"/>
    <w:rsid w:val="00BF71C9"/>
    <w:rsid w:val="00C0060F"/>
    <w:rsid w:val="00C01829"/>
    <w:rsid w:val="00C01A1C"/>
    <w:rsid w:val="00C01AC4"/>
    <w:rsid w:val="00C01DCC"/>
    <w:rsid w:val="00C029E5"/>
    <w:rsid w:val="00C03C28"/>
    <w:rsid w:val="00C05AA9"/>
    <w:rsid w:val="00C06200"/>
    <w:rsid w:val="00C0664F"/>
    <w:rsid w:val="00C070D2"/>
    <w:rsid w:val="00C074C3"/>
    <w:rsid w:val="00C14635"/>
    <w:rsid w:val="00C14B40"/>
    <w:rsid w:val="00C14B62"/>
    <w:rsid w:val="00C155C0"/>
    <w:rsid w:val="00C156DE"/>
    <w:rsid w:val="00C15F59"/>
    <w:rsid w:val="00C171A7"/>
    <w:rsid w:val="00C17528"/>
    <w:rsid w:val="00C202B3"/>
    <w:rsid w:val="00C20895"/>
    <w:rsid w:val="00C20D4E"/>
    <w:rsid w:val="00C216C9"/>
    <w:rsid w:val="00C217CD"/>
    <w:rsid w:val="00C21EE0"/>
    <w:rsid w:val="00C2247D"/>
    <w:rsid w:val="00C22E5D"/>
    <w:rsid w:val="00C2322A"/>
    <w:rsid w:val="00C25CF9"/>
    <w:rsid w:val="00C26CBC"/>
    <w:rsid w:val="00C30297"/>
    <w:rsid w:val="00C30B50"/>
    <w:rsid w:val="00C30DD3"/>
    <w:rsid w:val="00C33022"/>
    <w:rsid w:val="00C33F2F"/>
    <w:rsid w:val="00C3407D"/>
    <w:rsid w:val="00C34431"/>
    <w:rsid w:val="00C34D61"/>
    <w:rsid w:val="00C35579"/>
    <w:rsid w:val="00C40610"/>
    <w:rsid w:val="00C40766"/>
    <w:rsid w:val="00C41D36"/>
    <w:rsid w:val="00C43240"/>
    <w:rsid w:val="00C45392"/>
    <w:rsid w:val="00C46973"/>
    <w:rsid w:val="00C509AD"/>
    <w:rsid w:val="00C50B48"/>
    <w:rsid w:val="00C5123B"/>
    <w:rsid w:val="00C51862"/>
    <w:rsid w:val="00C52DD7"/>
    <w:rsid w:val="00C54AF9"/>
    <w:rsid w:val="00C552D2"/>
    <w:rsid w:val="00C555AC"/>
    <w:rsid w:val="00C56022"/>
    <w:rsid w:val="00C60A4B"/>
    <w:rsid w:val="00C61E48"/>
    <w:rsid w:val="00C62E62"/>
    <w:rsid w:val="00C634BC"/>
    <w:rsid w:val="00C64AC8"/>
    <w:rsid w:val="00C65BD4"/>
    <w:rsid w:val="00C66322"/>
    <w:rsid w:val="00C6734F"/>
    <w:rsid w:val="00C67FEA"/>
    <w:rsid w:val="00C703A6"/>
    <w:rsid w:val="00C70FC4"/>
    <w:rsid w:val="00C713ED"/>
    <w:rsid w:val="00C7193F"/>
    <w:rsid w:val="00C7213F"/>
    <w:rsid w:val="00C72318"/>
    <w:rsid w:val="00C724E6"/>
    <w:rsid w:val="00C728BD"/>
    <w:rsid w:val="00C72BF2"/>
    <w:rsid w:val="00C730A6"/>
    <w:rsid w:val="00C747A5"/>
    <w:rsid w:val="00C747F1"/>
    <w:rsid w:val="00C7543E"/>
    <w:rsid w:val="00C761D8"/>
    <w:rsid w:val="00C76D15"/>
    <w:rsid w:val="00C80E04"/>
    <w:rsid w:val="00C812E0"/>
    <w:rsid w:val="00C81405"/>
    <w:rsid w:val="00C8391E"/>
    <w:rsid w:val="00C84632"/>
    <w:rsid w:val="00C84EC4"/>
    <w:rsid w:val="00C8526F"/>
    <w:rsid w:val="00C85314"/>
    <w:rsid w:val="00C8568A"/>
    <w:rsid w:val="00C875E6"/>
    <w:rsid w:val="00C907C7"/>
    <w:rsid w:val="00C9187F"/>
    <w:rsid w:val="00C921FC"/>
    <w:rsid w:val="00C92714"/>
    <w:rsid w:val="00C93F9A"/>
    <w:rsid w:val="00C945CB"/>
    <w:rsid w:val="00C945F9"/>
    <w:rsid w:val="00C94953"/>
    <w:rsid w:val="00C95A5D"/>
    <w:rsid w:val="00C961F0"/>
    <w:rsid w:val="00C964E0"/>
    <w:rsid w:val="00C96EA5"/>
    <w:rsid w:val="00C97191"/>
    <w:rsid w:val="00C972AA"/>
    <w:rsid w:val="00C9759E"/>
    <w:rsid w:val="00CA0116"/>
    <w:rsid w:val="00CA15B2"/>
    <w:rsid w:val="00CA22A7"/>
    <w:rsid w:val="00CA2BC0"/>
    <w:rsid w:val="00CA3D23"/>
    <w:rsid w:val="00CA47FD"/>
    <w:rsid w:val="00CA4BC0"/>
    <w:rsid w:val="00CA4C20"/>
    <w:rsid w:val="00CA5B91"/>
    <w:rsid w:val="00CA5CA8"/>
    <w:rsid w:val="00CA63A3"/>
    <w:rsid w:val="00CA70F4"/>
    <w:rsid w:val="00CA7948"/>
    <w:rsid w:val="00CA7DE6"/>
    <w:rsid w:val="00CB0157"/>
    <w:rsid w:val="00CB1EBD"/>
    <w:rsid w:val="00CB28E9"/>
    <w:rsid w:val="00CB33E1"/>
    <w:rsid w:val="00CB4113"/>
    <w:rsid w:val="00CB4AD9"/>
    <w:rsid w:val="00CB5205"/>
    <w:rsid w:val="00CB5A6E"/>
    <w:rsid w:val="00CB5F64"/>
    <w:rsid w:val="00CC12CA"/>
    <w:rsid w:val="00CC13BA"/>
    <w:rsid w:val="00CC1FAC"/>
    <w:rsid w:val="00CC22B1"/>
    <w:rsid w:val="00CC2B2A"/>
    <w:rsid w:val="00CC38AC"/>
    <w:rsid w:val="00CC410F"/>
    <w:rsid w:val="00CC4B1D"/>
    <w:rsid w:val="00CC559D"/>
    <w:rsid w:val="00CC7365"/>
    <w:rsid w:val="00CD0805"/>
    <w:rsid w:val="00CD08F6"/>
    <w:rsid w:val="00CD0C13"/>
    <w:rsid w:val="00CD1F8C"/>
    <w:rsid w:val="00CD5699"/>
    <w:rsid w:val="00CD654B"/>
    <w:rsid w:val="00CD68BA"/>
    <w:rsid w:val="00CE1419"/>
    <w:rsid w:val="00CE16F9"/>
    <w:rsid w:val="00CE223E"/>
    <w:rsid w:val="00CE2573"/>
    <w:rsid w:val="00CE2E0E"/>
    <w:rsid w:val="00CE3344"/>
    <w:rsid w:val="00CE42DB"/>
    <w:rsid w:val="00CE6734"/>
    <w:rsid w:val="00CF04A5"/>
    <w:rsid w:val="00CF0D23"/>
    <w:rsid w:val="00CF1147"/>
    <w:rsid w:val="00CF1478"/>
    <w:rsid w:val="00CF1A55"/>
    <w:rsid w:val="00CF3F0D"/>
    <w:rsid w:val="00CF5D8F"/>
    <w:rsid w:val="00CF749A"/>
    <w:rsid w:val="00CF7DED"/>
    <w:rsid w:val="00CF7EAD"/>
    <w:rsid w:val="00D00C8F"/>
    <w:rsid w:val="00D01B19"/>
    <w:rsid w:val="00D04768"/>
    <w:rsid w:val="00D056B8"/>
    <w:rsid w:val="00D063A9"/>
    <w:rsid w:val="00D06699"/>
    <w:rsid w:val="00D101F7"/>
    <w:rsid w:val="00D11EEA"/>
    <w:rsid w:val="00D127CF"/>
    <w:rsid w:val="00D128E2"/>
    <w:rsid w:val="00D12C27"/>
    <w:rsid w:val="00D12D5D"/>
    <w:rsid w:val="00D145F5"/>
    <w:rsid w:val="00D17348"/>
    <w:rsid w:val="00D21D72"/>
    <w:rsid w:val="00D21EA6"/>
    <w:rsid w:val="00D22EEE"/>
    <w:rsid w:val="00D230FB"/>
    <w:rsid w:val="00D245C2"/>
    <w:rsid w:val="00D2474B"/>
    <w:rsid w:val="00D24CCE"/>
    <w:rsid w:val="00D25CCD"/>
    <w:rsid w:val="00D26BD4"/>
    <w:rsid w:val="00D278A2"/>
    <w:rsid w:val="00D30185"/>
    <w:rsid w:val="00D316A1"/>
    <w:rsid w:val="00D31847"/>
    <w:rsid w:val="00D329F1"/>
    <w:rsid w:val="00D33337"/>
    <w:rsid w:val="00D34EB2"/>
    <w:rsid w:val="00D355F0"/>
    <w:rsid w:val="00D358D1"/>
    <w:rsid w:val="00D3597C"/>
    <w:rsid w:val="00D359D1"/>
    <w:rsid w:val="00D36226"/>
    <w:rsid w:val="00D36A2A"/>
    <w:rsid w:val="00D40845"/>
    <w:rsid w:val="00D410E9"/>
    <w:rsid w:val="00D41722"/>
    <w:rsid w:val="00D42089"/>
    <w:rsid w:val="00D42539"/>
    <w:rsid w:val="00D429E7"/>
    <w:rsid w:val="00D43AC8"/>
    <w:rsid w:val="00D43C49"/>
    <w:rsid w:val="00D45ED6"/>
    <w:rsid w:val="00D50879"/>
    <w:rsid w:val="00D51610"/>
    <w:rsid w:val="00D522E8"/>
    <w:rsid w:val="00D54275"/>
    <w:rsid w:val="00D544C9"/>
    <w:rsid w:val="00D54B7E"/>
    <w:rsid w:val="00D54DC1"/>
    <w:rsid w:val="00D55F28"/>
    <w:rsid w:val="00D56113"/>
    <w:rsid w:val="00D563B5"/>
    <w:rsid w:val="00D565F3"/>
    <w:rsid w:val="00D57B20"/>
    <w:rsid w:val="00D6069C"/>
    <w:rsid w:val="00D61CF0"/>
    <w:rsid w:val="00D62D5B"/>
    <w:rsid w:val="00D63290"/>
    <w:rsid w:val="00D63775"/>
    <w:rsid w:val="00D639F7"/>
    <w:rsid w:val="00D641A4"/>
    <w:rsid w:val="00D643F4"/>
    <w:rsid w:val="00D648CE"/>
    <w:rsid w:val="00D64CEC"/>
    <w:rsid w:val="00D64F91"/>
    <w:rsid w:val="00D65155"/>
    <w:rsid w:val="00D65732"/>
    <w:rsid w:val="00D65DF5"/>
    <w:rsid w:val="00D6695E"/>
    <w:rsid w:val="00D670F8"/>
    <w:rsid w:val="00D71356"/>
    <w:rsid w:val="00D7146A"/>
    <w:rsid w:val="00D7192D"/>
    <w:rsid w:val="00D71D73"/>
    <w:rsid w:val="00D71E2E"/>
    <w:rsid w:val="00D729AC"/>
    <w:rsid w:val="00D732DE"/>
    <w:rsid w:val="00D744E6"/>
    <w:rsid w:val="00D74C5D"/>
    <w:rsid w:val="00D751B7"/>
    <w:rsid w:val="00D75231"/>
    <w:rsid w:val="00D7572C"/>
    <w:rsid w:val="00D76474"/>
    <w:rsid w:val="00D76CF6"/>
    <w:rsid w:val="00D777B1"/>
    <w:rsid w:val="00D777D2"/>
    <w:rsid w:val="00D77E0A"/>
    <w:rsid w:val="00D80DE0"/>
    <w:rsid w:val="00D81C84"/>
    <w:rsid w:val="00D82FCE"/>
    <w:rsid w:val="00D833D9"/>
    <w:rsid w:val="00D83BD9"/>
    <w:rsid w:val="00D83D15"/>
    <w:rsid w:val="00D84609"/>
    <w:rsid w:val="00D85237"/>
    <w:rsid w:val="00D8615A"/>
    <w:rsid w:val="00D87E99"/>
    <w:rsid w:val="00D905E8"/>
    <w:rsid w:val="00D90977"/>
    <w:rsid w:val="00D90E3E"/>
    <w:rsid w:val="00D91BA2"/>
    <w:rsid w:val="00D922D9"/>
    <w:rsid w:val="00D92317"/>
    <w:rsid w:val="00D923DE"/>
    <w:rsid w:val="00D93A83"/>
    <w:rsid w:val="00D94DCF"/>
    <w:rsid w:val="00D94EAE"/>
    <w:rsid w:val="00D95C09"/>
    <w:rsid w:val="00D9757B"/>
    <w:rsid w:val="00DA050F"/>
    <w:rsid w:val="00DA0549"/>
    <w:rsid w:val="00DA12FA"/>
    <w:rsid w:val="00DA3135"/>
    <w:rsid w:val="00DA49D3"/>
    <w:rsid w:val="00DA4EF9"/>
    <w:rsid w:val="00DA57C3"/>
    <w:rsid w:val="00DA586F"/>
    <w:rsid w:val="00DA59E0"/>
    <w:rsid w:val="00DA5E9F"/>
    <w:rsid w:val="00DA6A8B"/>
    <w:rsid w:val="00DB08DA"/>
    <w:rsid w:val="00DB1498"/>
    <w:rsid w:val="00DB2383"/>
    <w:rsid w:val="00DB23E5"/>
    <w:rsid w:val="00DB2868"/>
    <w:rsid w:val="00DB35A2"/>
    <w:rsid w:val="00DB3A3F"/>
    <w:rsid w:val="00DB3DA7"/>
    <w:rsid w:val="00DB49C7"/>
    <w:rsid w:val="00DB4FCD"/>
    <w:rsid w:val="00DB5132"/>
    <w:rsid w:val="00DB645A"/>
    <w:rsid w:val="00DB6681"/>
    <w:rsid w:val="00DB6A5B"/>
    <w:rsid w:val="00DB70A2"/>
    <w:rsid w:val="00DB7F09"/>
    <w:rsid w:val="00DC00E8"/>
    <w:rsid w:val="00DC06F4"/>
    <w:rsid w:val="00DC1C56"/>
    <w:rsid w:val="00DC1D5F"/>
    <w:rsid w:val="00DC2872"/>
    <w:rsid w:val="00DC4756"/>
    <w:rsid w:val="00DC502E"/>
    <w:rsid w:val="00DC6379"/>
    <w:rsid w:val="00DC6AAD"/>
    <w:rsid w:val="00DC6C34"/>
    <w:rsid w:val="00DC7C77"/>
    <w:rsid w:val="00DD0D69"/>
    <w:rsid w:val="00DD0E23"/>
    <w:rsid w:val="00DD1278"/>
    <w:rsid w:val="00DD2BB6"/>
    <w:rsid w:val="00DD2D57"/>
    <w:rsid w:val="00DD3736"/>
    <w:rsid w:val="00DD3EA4"/>
    <w:rsid w:val="00DD46CB"/>
    <w:rsid w:val="00DD5A76"/>
    <w:rsid w:val="00DD5DD5"/>
    <w:rsid w:val="00DD607E"/>
    <w:rsid w:val="00DE0C27"/>
    <w:rsid w:val="00DE2763"/>
    <w:rsid w:val="00DE33FF"/>
    <w:rsid w:val="00DE3830"/>
    <w:rsid w:val="00DE385D"/>
    <w:rsid w:val="00DE3A53"/>
    <w:rsid w:val="00DE3C4B"/>
    <w:rsid w:val="00DE3C77"/>
    <w:rsid w:val="00DE4D80"/>
    <w:rsid w:val="00DE5FF9"/>
    <w:rsid w:val="00DE70F1"/>
    <w:rsid w:val="00DE72EC"/>
    <w:rsid w:val="00DE7614"/>
    <w:rsid w:val="00DF105A"/>
    <w:rsid w:val="00DF31A1"/>
    <w:rsid w:val="00DF3662"/>
    <w:rsid w:val="00DF43A6"/>
    <w:rsid w:val="00DF4DC7"/>
    <w:rsid w:val="00DF6C11"/>
    <w:rsid w:val="00DF6F61"/>
    <w:rsid w:val="00DF78ED"/>
    <w:rsid w:val="00E0163A"/>
    <w:rsid w:val="00E01DCB"/>
    <w:rsid w:val="00E02066"/>
    <w:rsid w:val="00E02F47"/>
    <w:rsid w:val="00E03DAD"/>
    <w:rsid w:val="00E05924"/>
    <w:rsid w:val="00E06E1B"/>
    <w:rsid w:val="00E07AF9"/>
    <w:rsid w:val="00E07CF6"/>
    <w:rsid w:val="00E101C6"/>
    <w:rsid w:val="00E13E86"/>
    <w:rsid w:val="00E14888"/>
    <w:rsid w:val="00E164DA"/>
    <w:rsid w:val="00E17926"/>
    <w:rsid w:val="00E20082"/>
    <w:rsid w:val="00E2214D"/>
    <w:rsid w:val="00E229B4"/>
    <w:rsid w:val="00E22D51"/>
    <w:rsid w:val="00E22E57"/>
    <w:rsid w:val="00E22E65"/>
    <w:rsid w:val="00E23086"/>
    <w:rsid w:val="00E23A59"/>
    <w:rsid w:val="00E26A5A"/>
    <w:rsid w:val="00E26BA0"/>
    <w:rsid w:val="00E277A2"/>
    <w:rsid w:val="00E27D61"/>
    <w:rsid w:val="00E3087B"/>
    <w:rsid w:val="00E32429"/>
    <w:rsid w:val="00E33A4A"/>
    <w:rsid w:val="00E34672"/>
    <w:rsid w:val="00E3492F"/>
    <w:rsid w:val="00E349A7"/>
    <w:rsid w:val="00E34BD4"/>
    <w:rsid w:val="00E35935"/>
    <w:rsid w:val="00E36EEA"/>
    <w:rsid w:val="00E37197"/>
    <w:rsid w:val="00E374D4"/>
    <w:rsid w:val="00E375AC"/>
    <w:rsid w:val="00E376B5"/>
    <w:rsid w:val="00E37F8B"/>
    <w:rsid w:val="00E430D9"/>
    <w:rsid w:val="00E444F5"/>
    <w:rsid w:val="00E46C1C"/>
    <w:rsid w:val="00E46FF6"/>
    <w:rsid w:val="00E47829"/>
    <w:rsid w:val="00E50E7C"/>
    <w:rsid w:val="00E51545"/>
    <w:rsid w:val="00E51C2E"/>
    <w:rsid w:val="00E51D9E"/>
    <w:rsid w:val="00E52A70"/>
    <w:rsid w:val="00E537D1"/>
    <w:rsid w:val="00E53EA1"/>
    <w:rsid w:val="00E54C8F"/>
    <w:rsid w:val="00E55807"/>
    <w:rsid w:val="00E55AC7"/>
    <w:rsid w:val="00E565BF"/>
    <w:rsid w:val="00E567E6"/>
    <w:rsid w:val="00E56971"/>
    <w:rsid w:val="00E56D53"/>
    <w:rsid w:val="00E57124"/>
    <w:rsid w:val="00E579C2"/>
    <w:rsid w:val="00E57AD1"/>
    <w:rsid w:val="00E57EAC"/>
    <w:rsid w:val="00E57EB1"/>
    <w:rsid w:val="00E61484"/>
    <w:rsid w:val="00E61A8F"/>
    <w:rsid w:val="00E623C6"/>
    <w:rsid w:val="00E624CB"/>
    <w:rsid w:val="00E62753"/>
    <w:rsid w:val="00E64C25"/>
    <w:rsid w:val="00E65095"/>
    <w:rsid w:val="00E667D8"/>
    <w:rsid w:val="00E67640"/>
    <w:rsid w:val="00E7017C"/>
    <w:rsid w:val="00E711D7"/>
    <w:rsid w:val="00E72337"/>
    <w:rsid w:val="00E729A5"/>
    <w:rsid w:val="00E73EDD"/>
    <w:rsid w:val="00E7425D"/>
    <w:rsid w:val="00E74E50"/>
    <w:rsid w:val="00E7501C"/>
    <w:rsid w:val="00E7596B"/>
    <w:rsid w:val="00E77D32"/>
    <w:rsid w:val="00E802BE"/>
    <w:rsid w:val="00E803EB"/>
    <w:rsid w:val="00E81219"/>
    <w:rsid w:val="00E815E1"/>
    <w:rsid w:val="00E81867"/>
    <w:rsid w:val="00E81DFA"/>
    <w:rsid w:val="00E82480"/>
    <w:rsid w:val="00E848A9"/>
    <w:rsid w:val="00E857D9"/>
    <w:rsid w:val="00E86C1F"/>
    <w:rsid w:val="00E87D1A"/>
    <w:rsid w:val="00E902B0"/>
    <w:rsid w:val="00E902E8"/>
    <w:rsid w:val="00E90A08"/>
    <w:rsid w:val="00E91CAC"/>
    <w:rsid w:val="00E9211C"/>
    <w:rsid w:val="00E92345"/>
    <w:rsid w:val="00E9296B"/>
    <w:rsid w:val="00E94298"/>
    <w:rsid w:val="00E949C5"/>
    <w:rsid w:val="00E94EA6"/>
    <w:rsid w:val="00E96132"/>
    <w:rsid w:val="00E963DC"/>
    <w:rsid w:val="00E9656B"/>
    <w:rsid w:val="00E969AA"/>
    <w:rsid w:val="00E96C95"/>
    <w:rsid w:val="00E97B5A"/>
    <w:rsid w:val="00E97C19"/>
    <w:rsid w:val="00EA00CB"/>
    <w:rsid w:val="00EA08A7"/>
    <w:rsid w:val="00EA0A02"/>
    <w:rsid w:val="00EA0D8E"/>
    <w:rsid w:val="00EA129A"/>
    <w:rsid w:val="00EA23AC"/>
    <w:rsid w:val="00EA398F"/>
    <w:rsid w:val="00EA4950"/>
    <w:rsid w:val="00EA5988"/>
    <w:rsid w:val="00EA5D1A"/>
    <w:rsid w:val="00EA61F4"/>
    <w:rsid w:val="00EA647F"/>
    <w:rsid w:val="00EA670D"/>
    <w:rsid w:val="00EA7710"/>
    <w:rsid w:val="00EA7C3D"/>
    <w:rsid w:val="00EB1EFA"/>
    <w:rsid w:val="00EB2311"/>
    <w:rsid w:val="00EB4884"/>
    <w:rsid w:val="00EB4B0B"/>
    <w:rsid w:val="00EB4DD5"/>
    <w:rsid w:val="00EB5C87"/>
    <w:rsid w:val="00EB61A0"/>
    <w:rsid w:val="00EB62CB"/>
    <w:rsid w:val="00EB6878"/>
    <w:rsid w:val="00EB6A98"/>
    <w:rsid w:val="00EB7596"/>
    <w:rsid w:val="00EC0168"/>
    <w:rsid w:val="00EC04B4"/>
    <w:rsid w:val="00EC1057"/>
    <w:rsid w:val="00EC1E0E"/>
    <w:rsid w:val="00EC236D"/>
    <w:rsid w:val="00EC2472"/>
    <w:rsid w:val="00EC2E25"/>
    <w:rsid w:val="00EC5918"/>
    <w:rsid w:val="00EC6B16"/>
    <w:rsid w:val="00EC6E67"/>
    <w:rsid w:val="00ED0D99"/>
    <w:rsid w:val="00ED1527"/>
    <w:rsid w:val="00ED1F4A"/>
    <w:rsid w:val="00ED2961"/>
    <w:rsid w:val="00ED2E3A"/>
    <w:rsid w:val="00ED38F6"/>
    <w:rsid w:val="00ED5071"/>
    <w:rsid w:val="00ED56A3"/>
    <w:rsid w:val="00ED5803"/>
    <w:rsid w:val="00ED5A20"/>
    <w:rsid w:val="00ED6287"/>
    <w:rsid w:val="00ED6D40"/>
    <w:rsid w:val="00ED6F43"/>
    <w:rsid w:val="00ED77A5"/>
    <w:rsid w:val="00ED795C"/>
    <w:rsid w:val="00EE0838"/>
    <w:rsid w:val="00EE1447"/>
    <w:rsid w:val="00EE1B07"/>
    <w:rsid w:val="00EE1BF1"/>
    <w:rsid w:val="00EE1DB7"/>
    <w:rsid w:val="00EE4196"/>
    <w:rsid w:val="00EE4756"/>
    <w:rsid w:val="00EE4864"/>
    <w:rsid w:val="00EE48F6"/>
    <w:rsid w:val="00EE65B7"/>
    <w:rsid w:val="00EE67E9"/>
    <w:rsid w:val="00EE7744"/>
    <w:rsid w:val="00EE7BA7"/>
    <w:rsid w:val="00EF00E9"/>
    <w:rsid w:val="00EF03E1"/>
    <w:rsid w:val="00EF11AA"/>
    <w:rsid w:val="00EF145E"/>
    <w:rsid w:val="00EF1838"/>
    <w:rsid w:val="00EF20F3"/>
    <w:rsid w:val="00EF2BBB"/>
    <w:rsid w:val="00EF4B0A"/>
    <w:rsid w:val="00EF5FD9"/>
    <w:rsid w:val="00EF6BA4"/>
    <w:rsid w:val="00F0066E"/>
    <w:rsid w:val="00F0082D"/>
    <w:rsid w:val="00F013B7"/>
    <w:rsid w:val="00F015AB"/>
    <w:rsid w:val="00F01E60"/>
    <w:rsid w:val="00F0331C"/>
    <w:rsid w:val="00F0363B"/>
    <w:rsid w:val="00F03657"/>
    <w:rsid w:val="00F0378E"/>
    <w:rsid w:val="00F045E0"/>
    <w:rsid w:val="00F061AF"/>
    <w:rsid w:val="00F07C90"/>
    <w:rsid w:val="00F101C1"/>
    <w:rsid w:val="00F10603"/>
    <w:rsid w:val="00F10F07"/>
    <w:rsid w:val="00F110AA"/>
    <w:rsid w:val="00F11287"/>
    <w:rsid w:val="00F1140F"/>
    <w:rsid w:val="00F12414"/>
    <w:rsid w:val="00F12B9D"/>
    <w:rsid w:val="00F12EFC"/>
    <w:rsid w:val="00F12F0D"/>
    <w:rsid w:val="00F144C2"/>
    <w:rsid w:val="00F14AE9"/>
    <w:rsid w:val="00F158B9"/>
    <w:rsid w:val="00F15F49"/>
    <w:rsid w:val="00F2033E"/>
    <w:rsid w:val="00F20C0F"/>
    <w:rsid w:val="00F20F8A"/>
    <w:rsid w:val="00F21637"/>
    <w:rsid w:val="00F223C0"/>
    <w:rsid w:val="00F2383E"/>
    <w:rsid w:val="00F23AAB"/>
    <w:rsid w:val="00F246D5"/>
    <w:rsid w:val="00F25EBD"/>
    <w:rsid w:val="00F265CB"/>
    <w:rsid w:val="00F27167"/>
    <w:rsid w:val="00F304A4"/>
    <w:rsid w:val="00F3158B"/>
    <w:rsid w:val="00F31A31"/>
    <w:rsid w:val="00F32248"/>
    <w:rsid w:val="00F3247F"/>
    <w:rsid w:val="00F331E7"/>
    <w:rsid w:val="00F332D3"/>
    <w:rsid w:val="00F337B9"/>
    <w:rsid w:val="00F33C61"/>
    <w:rsid w:val="00F33DB8"/>
    <w:rsid w:val="00F3448B"/>
    <w:rsid w:val="00F35E22"/>
    <w:rsid w:val="00F36497"/>
    <w:rsid w:val="00F36E82"/>
    <w:rsid w:val="00F373D3"/>
    <w:rsid w:val="00F377E7"/>
    <w:rsid w:val="00F37EC7"/>
    <w:rsid w:val="00F40381"/>
    <w:rsid w:val="00F41116"/>
    <w:rsid w:val="00F43A21"/>
    <w:rsid w:val="00F43D0C"/>
    <w:rsid w:val="00F44DD6"/>
    <w:rsid w:val="00F4536C"/>
    <w:rsid w:val="00F457F4"/>
    <w:rsid w:val="00F45CE1"/>
    <w:rsid w:val="00F45EB9"/>
    <w:rsid w:val="00F46330"/>
    <w:rsid w:val="00F46B27"/>
    <w:rsid w:val="00F47317"/>
    <w:rsid w:val="00F47331"/>
    <w:rsid w:val="00F51D7F"/>
    <w:rsid w:val="00F521CB"/>
    <w:rsid w:val="00F5365A"/>
    <w:rsid w:val="00F5375B"/>
    <w:rsid w:val="00F54396"/>
    <w:rsid w:val="00F54CD3"/>
    <w:rsid w:val="00F560D1"/>
    <w:rsid w:val="00F565AF"/>
    <w:rsid w:val="00F576FE"/>
    <w:rsid w:val="00F57BED"/>
    <w:rsid w:val="00F60198"/>
    <w:rsid w:val="00F6022B"/>
    <w:rsid w:val="00F60BFF"/>
    <w:rsid w:val="00F60E2B"/>
    <w:rsid w:val="00F643A2"/>
    <w:rsid w:val="00F659A9"/>
    <w:rsid w:val="00F66318"/>
    <w:rsid w:val="00F669CD"/>
    <w:rsid w:val="00F66AA4"/>
    <w:rsid w:val="00F67573"/>
    <w:rsid w:val="00F67BB6"/>
    <w:rsid w:val="00F67C01"/>
    <w:rsid w:val="00F7022D"/>
    <w:rsid w:val="00F71147"/>
    <w:rsid w:val="00F713AB"/>
    <w:rsid w:val="00F71AAA"/>
    <w:rsid w:val="00F71DDA"/>
    <w:rsid w:val="00F737DB"/>
    <w:rsid w:val="00F745A4"/>
    <w:rsid w:val="00F74D01"/>
    <w:rsid w:val="00F756E7"/>
    <w:rsid w:val="00F7613A"/>
    <w:rsid w:val="00F77BEA"/>
    <w:rsid w:val="00F80052"/>
    <w:rsid w:val="00F80222"/>
    <w:rsid w:val="00F80762"/>
    <w:rsid w:val="00F80966"/>
    <w:rsid w:val="00F80EAE"/>
    <w:rsid w:val="00F81A9F"/>
    <w:rsid w:val="00F82477"/>
    <w:rsid w:val="00F82627"/>
    <w:rsid w:val="00F82746"/>
    <w:rsid w:val="00F830D5"/>
    <w:rsid w:val="00F836F9"/>
    <w:rsid w:val="00F83B69"/>
    <w:rsid w:val="00F845D7"/>
    <w:rsid w:val="00F84E81"/>
    <w:rsid w:val="00F85488"/>
    <w:rsid w:val="00F867B4"/>
    <w:rsid w:val="00F92279"/>
    <w:rsid w:val="00F92EED"/>
    <w:rsid w:val="00F93A8E"/>
    <w:rsid w:val="00F94574"/>
    <w:rsid w:val="00F946F8"/>
    <w:rsid w:val="00F94936"/>
    <w:rsid w:val="00F95227"/>
    <w:rsid w:val="00F95C8A"/>
    <w:rsid w:val="00F9719D"/>
    <w:rsid w:val="00F979CF"/>
    <w:rsid w:val="00F97A4A"/>
    <w:rsid w:val="00FA03C1"/>
    <w:rsid w:val="00FA104A"/>
    <w:rsid w:val="00FA26F9"/>
    <w:rsid w:val="00FA2C75"/>
    <w:rsid w:val="00FA33A2"/>
    <w:rsid w:val="00FA48FD"/>
    <w:rsid w:val="00FA5122"/>
    <w:rsid w:val="00FA51CA"/>
    <w:rsid w:val="00FA56DB"/>
    <w:rsid w:val="00FA5A61"/>
    <w:rsid w:val="00FA62EA"/>
    <w:rsid w:val="00FA6C1B"/>
    <w:rsid w:val="00FB0285"/>
    <w:rsid w:val="00FB258A"/>
    <w:rsid w:val="00FB25C5"/>
    <w:rsid w:val="00FB25D4"/>
    <w:rsid w:val="00FB4584"/>
    <w:rsid w:val="00FB4888"/>
    <w:rsid w:val="00FB4B82"/>
    <w:rsid w:val="00FB4D21"/>
    <w:rsid w:val="00FB75A7"/>
    <w:rsid w:val="00FB762B"/>
    <w:rsid w:val="00FB7947"/>
    <w:rsid w:val="00FB7BF3"/>
    <w:rsid w:val="00FC0EBB"/>
    <w:rsid w:val="00FC24CF"/>
    <w:rsid w:val="00FC3204"/>
    <w:rsid w:val="00FC3BCE"/>
    <w:rsid w:val="00FC405B"/>
    <w:rsid w:val="00FC4BAA"/>
    <w:rsid w:val="00FC5415"/>
    <w:rsid w:val="00FC56B2"/>
    <w:rsid w:val="00FC5BAE"/>
    <w:rsid w:val="00FC5D29"/>
    <w:rsid w:val="00FC64FA"/>
    <w:rsid w:val="00FC6ADA"/>
    <w:rsid w:val="00FC798F"/>
    <w:rsid w:val="00FD0D64"/>
    <w:rsid w:val="00FD4373"/>
    <w:rsid w:val="00FD50D3"/>
    <w:rsid w:val="00FD597D"/>
    <w:rsid w:val="00FD7C65"/>
    <w:rsid w:val="00FE0726"/>
    <w:rsid w:val="00FE0AF4"/>
    <w:rsid w:val="00FE2607"/>
    <w:rsid w:val="00FE45DE"/>
    <w:rsid w:val="00FE5C43"/>
    <w:rsid w:val="00FE660D"/>
    <w:rsid w:val="00FE6862"/>
    <w:rsid w:val="00FE6E6B"/>
    <w:rsid w:val="00FE7488"/>
    <w:rsid w:val="00FF095C"/>
    <w:rsid w:val="00FF201C"/>
    <w:rsid w:val="00FF29D9"/>
    <w:rsid w:val="00FF4F6D"/>
    <w:rsid w:val="00FF5656"/>
    <w:rsid w:val="00FF6C24"/>
    <w:rsid w:val="00FF6F3F"/>
    <w:rsid w:val="00FF78D6"/>
    <w:rsid w:val="00FF7DF2"/>
    <w:rsid w:val="51122967"/>
    <w:rsid w:val="595818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2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E97C19"/>
    <w:pPr>
      <w:jc w:val="center"/>
    </w:pPr>
  </w:style>
  <w:style w:type="paragraph" w:customStyle="1" w:styleId="ChartorTableNote">
    <w:name w:val="Chart or Table Note"/>
    <w:next w:val="Normal"/>
    <w:qFormat/>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023B06"/>
    <w:pPr>
      <w:keepNext/>
      <w:spacing w:before="0" w:after="360"/>
    </w:pPr>
    <w:rPr>
      <w:color w:val="455875" w:themeColor="accent3" w:themeShade="BF"/>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023B06"/>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23B06"/>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23B06"/>
    <w:rPr>
      <w:rFonts w:ascii="Calibri Light" w:eastAsia="Times New Roman" w:hAnsi="Calibri Light" w:cs="Times New Roman"/>
      <w:color w:val="455875" w:themeColor="accent3" w:themeShade="BF"/>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2"/>
    <w:qFormat/>
    <w:rsid w:val="00744484"/>
    <w:pPr>
      <w:spacing w:before="0" w:after="0"/>
      <w:ind w:left="397" w:hanging="397"/>
    </w:pPr>
    <w:rPr>
      <w:sz w:val="20"/>
    </w:rPr>
  </w:style>
  <w:style w:type="character" w:customStyle="1" w:styleId="FootnoteTextChar">
    <w:name w:val="Footnote Text Char"/>
    <w:basedOn w:val="DefaultParagraphFont"/>
    <w:link w:val="FootnoteText"/>
    <w:uiPriority w:val="2"/>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customStyle="1" w:styleId="Dotpoint">
    <w:name w:val="Dot point"/>
    <w:basedOn w:val="Bullet"/>
    <w:link w:val="DotpointChar"/>
    <w:qFormat/>
    <w:rsid w:val="0095519B"/>
    <w:pPr>
      <w:spacing w:after="240" w:line="240" w:lineRule="auto"/>
    </w:pPr>
  </w:style>
  <w:style w:type="character" w:customStyle="1" w:styleId="DotpointChar">
    <w:name w:val="Dot point Char"/>
    <w:basedOn w:val="DefaultParagraphFont"/>
    <w:link w:val="Dotpoint"/>
    <w:qFormat/>
    <w:locked/>
    <w:rsid w:val="00A73B2C"/>
    <w:rPr>
      <w:rFonts w:ascii="Calibri Light" w:eastAsia="Times New Roman" w:hAnsi="Calibri Light" w:cs="Times New Roman"/>
      <w:szCs w:val="20"/>
      <w:lang w:eastAsia="en-AU"/>
    </w:rPr>
  </w:style>
  <w:style w:type="paragraph" w:styleId="Quote">
    <w:name w:val="Quote"/>
    <w:basedOn w:val="Normal"/>
    <w:next w:val="Normal"/>
    <w:link w:val="QuoteChar"/>
    <w:uiPriority w:val="29"/>
    <w:qFormat/>
    <w:rsid w:val="00045FCD"/>
    <w:pPr>
      <w:spacing w:before="0" w:after="240"/>
      <w:ind w:left="1077" w:right="1077"/>
    </w:pPr>
    <w:rPr>
      <w:iCs/>
      <w:color w:val="404040" w:themeColor="text1" w:themeTint="BF"/>
    </w:rPr>
  </w:style>
  <w:style w:type="character" w:customStyle="1" w:styleId="QuoteChar">
    <w:name w:val="Quote Char"/>
    <w:basedOn w:val="DefaultParagraphFont"/>
    <w:link w:val="Quote"/>
    <w:uiPriority w:val="29"/>
    <w:rsid w:val="00045FCD"/>
    <w:rPr>
      <w:rFonts w:ascii="Calibri Light" w:eastAsia="Times New Roman" w:hAnsi="Calibri Light" w:cs="Times New Roman"/>
      <w:iCs/>
      <w:color w:val="404040" w:themeColor="text1" w:themeTint="BF"/>
      <w:szCs w:val="20"/>
      <w:lang w:eastAsia="en-AU"/>
    </w:rPr>
  </w:style>
  <w:style w:type="paragraph" w:styleId="Revision">
    <w:name w:val="Revision"/>
    <w:hidden/>
    <w:uiPriority w:val="99"/>
    <w:semiHidden/>
    <w:rsid w:val="00997DC4"/>
    <w:pPr>
      <w:spacing w:after="0" w:line="240" w:lineRule="auto"/>
    </w:pPr>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08304A"/>
    <w:rPr>
      <w:rFonts w:ascii="Calibri Light" w:hAnsi="Calibri Light"/>
      <w:b/>
      <w:bCs/>
    </w:rPr>
  </w:style>
  <w:style w:type="character" w:customStyle="1" w:styleId="CommentSubjectChar">
    <w:name w:val="Comment Subject Char"/>
    <w:basedOn w:val="CommentTextChar"/>
    <w:link w:val="CommentSubject"/>
    <w:uiPriority w:val="99"/>
    <w:semiHidden/>
    <w:rsid w:val="0008304A"/>
    <w:rPr>
      <w:rFonts w:ascii="Calibri Light" w:eastAsia="Times New Roman" w:hAnsi="Calibri Light" w:cs="Times New Roman"/>
      <w:b/>
      <w:bCs/>
      <w:sz w:val="20"/>
      <w:szCs w:val="20"/>
      <w:lang w:eastAsia="en-AU"/>
    </w:rPr>
  </w:style>
  <w:style w:type="table" w:styleId="GridTable1Light">
    <w:name w:val="Grid Table 1 Light"/>
    <w:basedOn w:val="TableNormal"/>
    <w:uiPriority w:val="46"/>
    <w:rsid w:val="004351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557E2"/>
    <w:rPr>
      <w:color w:val="605E5C"/>
      <w:shd w:val="clear" w:color="auto" w:fill="E1DFDD"/>
    </w:rPr>
  </w:style>
  <w:style w:type="character" w:styleId="Mention">
    <w:name w:val="Mention"/>
    <w:basedOn w:val="DefaultParagraphFont"/>
    <w:uiPriority w:val="99"/>
    <w:unhideWhenUsed/>
    <w:rsid w:val="00C217CD"/>
    <w:rPr>
      <w:color w:val="2B579A"/>
      <w:shd w:val="clear" w:color="auto" w:fill="E1DFDD"/>
    </w:rPr>
  </w:style>
  <w:style w:type="character" w:customStyle="1" w:styleId="cf01">
    <w:name w:val="cf01"/>
    <w:basedOn w:val="DefaultParagraphFont"/>
    <w:rsid w:val="009B629D"/>
    <w:rPr>
      <w:rFonts w:ascii="Segoe UI" w:hAnsi="Segoe UI" w:cs="Segoe UI" w:hint="default"/>
      <w:sz w:val="18"/>
      <w:szCs w:val="18"/>
    </w:rPr>
  </w:style>
  <w:style w:type="character" w:customStyle="1" w:styleId="normaltextrun">
    <w:name w:val="normaltextrun"/>
    <w:basedOn w:val="DefaultParagraphFont"/>
    <w:rsid w:val="0043050D"/>
  </w:style>
  <w:style w:type="character" w:customStyle="1" w:styleId="eop">
    <w:name w:val="eop"/>
    <w:basedOn w:val="DefaultParagraphFont"/>
    <w:rsid w:val="0043050D"/>
  </w:style>
  <w:style w:type="character" w:customStyle="1" w:styleId="findhit">
    <w:name w:val="findhit"/>
    <w:basedOn w:val="DefaultParagraphFont"/>
    <w:rsid w:val="0043050D"/>
  </w:style>
  <w:style w:type="character" w:styleId="FollowedHyperlink">
    <w:name w:val="FollowedHyperlink"/>
    <w:basedOn w:val="DefaultParagraphFont"/>
    <w:uiPriority w:val="99"/>
    <w:semiHidden/>
    <w:unhideWhenUsed/>
    <w:rsid w:val="001C2CA8"/>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ber.org/system/files/working_papers/w22750/w22750.pdf" TargetMode="External"/><Relationship Id="rId13" Type="http://schemas.openxmlformats.org/officeDocument/2006/relationships/hyperlink" Target="https://www.nber.org/papers/w12867" TargetMode="External"/><Relationship Id="rId3" Type="http://schemas.openxmlformats.org/officeDocument/2006/relationships/hyperlink" Target="https://treasury.gov.au/sites/default/files/2022-10/p2022-325290-productivity-growth.pdf" TargetMode="External"/><Relationship Id="rId7" Type="http://schemas.openxmlformats.org/officeDocument/2006/relationships/hyperlink" Target="https://gsb-faculty.stanford.edu/omer-karaduman/files/2022/12/Draft.pdf" TargetMode="External"/><Relationship Id="rId12" Type="http://schemas.openxmlformats.org/officeDocument/2006/relationships/hyperlink" Target="https://www.nber.org/papers/w29175" TargetMode="External"/><Relationship Id="rId2" Type="http://schemas.openxmlformats.org/officeDocument/2006/relationships/hyperlink" Target="https://treasury.gov.au/publication/p2022-243535" TargetMode="External"/><Relationship Id="rId1" Type="http://schemas.openxmlformats.org/officeDocument/2006/relationships/hyperlink" Target="https://treasury.gov.au/publication/p2019-37418a" TargetMode="External"/><Relationship Id="rId6" Type="http://schemas.openxmlformats.org/officeDocument/2006/relationships/hyperlink" Target="https://www.nber.org/papers/w12867" TargetMode="External"/><Relationship Id="rId11" Type="http://schemas.openxmlformats.org/officeDocument/2006/relationships/hyperlink" Target="https://ssrn.com/abstract=286992" TargetMode="External"/><Relationship Id="rId5" Type="http://schemas.openxmlformats.org/officeDocument/2006/relationships/hyperlink" Target="https://www.nber.org/papers/w29175" TargetMode="External"/><Relationship Id="rId10" Type="http://schemas.openxmlformats.org/officeDocument/2006/relationships/hyperlink" Target="https://econpapers.repec.org/article/ucpjlawec/doi_3a10.1086_2f675862.htm" TargetMode="External"/><Relationship Id="rId4" Type="http://schemas.openxmlformats.org/officeDocument/2006/relationships/hyperlink" Target="https://grattan.edu.au/wp-content/uploads/2017/12/895-Competition-in-Australia-Too-little-of-a-good-thing-.pdf" TargetMode="External"/><Relationship Id="rId9" Type="http://schemas.openxmlformats.org/officeDocument/2006/relationships/hyperlink" Target="https://econpapers.repec.org/article/ucpjlawec/doi_3a10.1086_2f675862.h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82136-DC8F-4AC7-821A-F53DFB9C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1789</Words>
  <Characters>10131</Characters>
  <Application>Microsoft Office Word</Application>
  <DocSecurity>2</DocSecurity>
  <Lines>160</Lines>
  <Paragraphs>66</Paragraphs>
  <ScaleCrop>false</ScaleCrop>
  <HeadingPairs>
    <vt:vector size="2" baseType="variant">
      <vt:variant>
        <vt:lpstr>Title</vt:lpstr>
      </vt:variant>
      <vt:variant>
        <vt:i4>1</vt:i4>
      </vt:variant>
    </vt:vector>
  </HeadingPairs>
  <TitlesOfParts>
    <vt:vector size="1" baseType="lpstr">
      <vt:lpstr>	Background Note – Economic literature relevant to mergers</vt:lpstr>
    </vt:vector>
  </TitlesOfParts>
  <Company/>
  <LinksUpToDate>false</LinksUpToDate>
  <CharactersWithSpaces>11854</CharactersWithSpaces>
  <SharedDoc>false</SharedDoc>
  <HLinks>
    <vt:vector size="78" baseType="variant">
      <vt:variant>
        <vt:i4>3342396</vt:i4>
      </vt:variant>
      <vt:variant>
        <vt:i4>36</vt:i4>
      </vt:variant>
      <vt:variant>
        <vt:i4>0</vt:i4>
      </vt:variant>
      <vt:variant>
        <vt:i4>5</vt:i4>
      </vt:variant>
      <vt:variant>
        <vt:lpwstr>https://www.nber.org/papers/w12867</vt:lpwstr>
      </vt:variant>
      <vt:variant>
        <vt:lpwstr/>
      </vt:variant>
      <vt:variant>
        <vt:i4>3866678</vt:i4>
      </vt:variant>
      <vt:variant>
        <vt:i4>33</vt:i4>
      </vt:variant>
      <vt:variant>
        <vt:i4>0</vt:i4>
      </vt:variant>
      <vt:variant>
        <vt:i4>5</vt:i4>
      </vt:variant>
      <vt:variant>
        <vt:lpwstr>https://www.nber.org/papers/w29175</vt:lpwstr>
      </vt:variant>
      <vt:variant>
        <vt:lpwstr/>
      </vt:variant>
      <vt:variant>
        <vt:i4>983057</vt:i4>
      </vt:variant>
      <vt:variant>
        <vt:i4>30</vt:i4>
      </vt:variant>
      <vt:variant>
        <vt:i4>0</vt:i4>
      </vt:variant>
      <vt:variant>
        <vt:i4>5</vt:i4>
      </vt:variant>
      <vt:variant>
        <vt:lpwstr>https://ssrn.com/abstract=286992</vt:lpwstr>
      </vt:variant>
      <vt:variant>
        <vt:lpwstr/>
      </vt:variant>
      <vt:variant>
        <vt:i4>1441819</vt:i4>
      </vt:variant>
      <vt:variant>
        <vt:i4>27</vt:i4>
      </vt:variant>
      <vt:variant>
        <vt:i4>0</vt:i4>
      </vt:variant>
      <vt:variant>
        <vt:i4>5</vt:i4>
      </vt:variant>
      <vt:variant>
        <vt:lpwstr>https://econpapers.repec.org/article/ucpjlawec/doi_3a10.1086_2f675862.htm</vt:lpwstr>
      </vt:variant>
      <vt:variant>
        <vt:lpwstr/>
      </vt:variant>
      <vt:variant>
        <vt:i4>1441819</vt:i4>
      </vt:variant>
      <vt:variant>
        <vt:i4>24</vt:i4>
      </vt:variant>
      <vt:variant>
        <vt:i4>0</vt:i4>
      </vt:variant>
      <vt:variant>
        <vt:i4>5</vt:i4>
      </vt:variant>
      <vt:variant>
        <vt:lpwstr>https://econpapers.repec.org/article/ucpjlawec/doi_3a10.1086_2f675862.htm</vt:lpwstr>
      </vt:variant>
      <vt:variant>
        <vt:lpwstr/>
      </vt:variant>
      <vt:variant>
        <vt:i4>458872</vt:i4>
      </vt:variant>
      <vt:variant>
        <vt:i4>21</vt:i4>
      </vt:variant>
      <vt:variant>
        <vt:i4>0</vt:i4>
      </vt:variant>
      <vt:variant>
        <vt:i4>5</vt:i4>
      </vt:variant>
      <vt:variant>
        <vt:lpwstr>https://www.nber.org/system/files/working_papers/w22750/w22750.pdf</vt:lpwstr>
      </vt:variant>
      <vt:variant>
        <vt:lpwstr/>
      </vt:variant>
      <vt:variant>
        <vt:i4>8192050</vt:i4>
      </vt:variant>
      <vt:variant>
        <vt:i4>18</vt:i4>
      </vt:variant>
      <vt:variant>
        <vt:i4>0</vt:i4>
      </vt:variant>
      <vt:variant>
        <vt:i4>5</vt:i4>
      </vt:variant>
      <vt:variant>
        <vt:lpwstr>https://gsb-faculty.stanford.edu/omer-karaduman/files/2022/12/Draft.pdf</vt:lpwstr>
      </vt:variant>
      <vt:variant>
        <vt:lpwstr/>
      </vt:variant>
      <vt:variant>
        <vt:i4>3342396</vt:i4>
      </vt:variant>
      <vt:variant>
        <vt:i4>15</vt:i4>
      </vt:variant>
      <vt:variant>
        <vt:i4>0</vt:i4>
      </vt:variant>
      <vt:variant>
        <vt:i4>5</vt:i4>
      </vt:variant>
      <vt:variant>
        <vt:lpwstr>https://www.nber.org/papers/w12867</vt:lpwstr>
      </vt:variant>
      <vt:variant>
        <vt:lpwstr/>
      </vt:variant>
      <vt:variant>
        <vt:i4>3866678</vt:i4>
      </vt:variant>
      <vt:variant>
        <vt:i4>12</vt:i4>
      </vt:variant>
      <vt:variant>
        <vt:i4>0</vt:i4>
      </vt:variant>
      <vt:variant>
        <vt:i4>5</vt:i4>
      </vt:variant>
      <vt:variant>
        <vt:lpwstr>https://www.nber.org/papers/w29175</vt:lpwstr>
      </vt:variant>
      <vt:variant>
        <vt:lpwstr/>
      </vt:variant>
      <vt:variant>
        <vt:i4>3997821</vt:i4>
      </vt:variant>
      <vt:variant>
        <vt:i4>9</vt:i4>
      </vt:variant>
      <vt:variant>
        <vt:i4>0</vt:i4>
      </vt:variant>
      <vt:variant>
        <vt:i4>5</vt:i4>
      </vt:variant>
      <vt:variant>
        <vt:lpwstr>https://grattan.edu.au/wp-content/uploads/2017/12/895-Competition-in-Australia-Too-little-of-a-good-thing-.pdf</vt:lpwstr>
      </vt:variant>
      <vt:variant>
        <vt:lpwstr/>
      </vt:variant>
      <vt:variant>
        <vt:i4>6094851</vt:i4>
      </vt:variant>
      <vt:variant>
        <vt:i4>6</vt:i4>
      </vt:variant>
      <vt:variant>
        <vt:i4>0</vt:i4>
      </vt:variant>
      <vt:variant>
        <vt:i4>5</vt:i4>
      </vt:variant>
      <vt:variant>
        <vt:lpwstr>https://treasury.gov.au/sites/default/files/2022-10/p2022-325290-productivity-growth.pdf</vt:lpwstr>
      </vt:variant>
      <vt:variant>
        <vt:lpwstr/>
      </vt:variant>
      <vt:variant>
        <vt:i4>393239</vt:i4>
      </vt:variant>
      <vt:variant>
        <vt:i4>3</vt:i4>
      </vt:variant>
      <vt:variant>
        <vt:i4>0</vt:i4>
      </vt:variant>
      <vt:variant>
        <vt:i4>5</vt:i4>
      </vt:variant>
      <vt:variant>
        <vt:lpwstr>https://treasury.gov.au/publication/p2022-243535</vt:lpwstr>
      </vt:variant>
      <vt:variant>
        <vt:lpwstr/>
      </vt:variant>
      <vt:variant>
        <vt:i4>5636113</vt:i4>
      </vt:variant>
      <vt:variant>
        <vt:i4>0</vt:i4>
      </vt:variant>
      <vt:variant>
        <vt:i4>0</vt:i4>
      </vt:variant>
      <vt:variant>
        <vt:i4>5</vt:i4>
      </vt:variant>
      <vt:variant>
        <vt:lpwstr>https://treasury.gov.au/publication/p2019-37418a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Background Note – Economic literature relevant to mergers</dc:title>
  <dc:subject>Competition Review</dc:subject>
  <dc:creator/>
  <cp:keywords/>
  <cp:lastModifiedBy/>
  <cp:revision>1</cp:revision>
  <dcterms:created xsi:type="dcterms:W3CDTF">2023-11-17T04:32:00Z</dcterms:created>
  <dcterms:modified xsi:type="dcterms:W3CDTF">2023-11-17T04:33:00Z</dcterms:modified>
</cp:coreProperties>
</file>