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2DFF" w14:textId="6A9FF8AA" w:rsidR="008B4B4D" w:rsidRDefault="00DE7614" w:rsidP="00A3073D">
      <w:r>
        <w:rPr>
          <w:noProof/>
        </w:rPr>
        <w:drawing>
          <wp:anchor distT="0" distB="0" distL="114300" distR="114300" simplePos="0" relativeHeight="251658240" behindDoc="1" locked="0" layoutInCell="1" allowOverlap="1" wp14:anchorId="67CF6633" wp14:editId="772AFEA3">
            <wp:simplePos x="0" y="0"/>
            <wp:positionH relativeFrom="margin">
              <wp:posOffset>-892303</wp:posOffset>
            </wp:positionH>
            <wp:positionV relativeFrom="page">
              <wp:posOffset>-17780</wp:posOffset>
            </wp:positionV>
            <wp:extent cx="7570800" cy="1070901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1442289537"/>
        <w:docPartObj>
          <w:docPartGallery w:val="Cover Pages"/>
          <w:docPartUnique/>
        </w:docPartObj>
      </w:sdtPr>
      <w:sdtEndPr/>
      <w:sdtContent>
        <w:p w14:paraId="267BDDFD" w14:textId="4AAFB720" w:rsidR="00A97160" w:rsidRPr="006D0240" w:rsidRDefault="00A97160" w:rsidP="006469CC">
          <w:pPr>
            <w:pStyle w:val="ListParagraph"/>
          </w:pPr>
        </w:p>
        <w:p w14:paraId="79000C4C" w14:textId="77777777" w:rsidR="00A97160" w:rsidRPr="006D0240" w:rsidRDefault="00A97160" w:rsidP="00301755">
          <w:pPr>
            <w:pStyle w:val="Header"/>
            <w:spacing w:after="1200"/>
          </w:pPr>
        </w:p>
        <w:p w14:paraId="11E4B433" w14:textId="22E966A7" w:rsidR="00A97160" w:rsidRPr="006923DF" w:rsidRDefault="00843F12" w:rsidP="00494F1F">
          <w:pPr>
            <w:pStyle w:val="Title"/>
            <w:tabs>
              <w:tab w:val="left" w:pos="6379"/>
            </w:tabs>
            <w:spacing w:after="240" w:line="720" w:lineRule="exact"/>
            <w:ind w:right="1985"/>
          </w:pPr>
          <w:r>
            <w:t>Merger</w:t>
          </w:r>
          <w:r w:rsidR="00B97BC0">
            <w:t xml:space="preserve"> Reform</w:t>
          </w:r>
        </w:p>
        <w:p w14:paraId="0DE1D449" w14:textId="0CB40E72" w:rsidR="00A97160" w:rsidRPr="00494F1F" w:rsidRDefault="00B97BC0" w:rsidP="00494F1F">
          <w:pPr>
            <w:pStyle w:val="Subtitle"/>
            <w:spacing w:before="0" w:after="240"/>
            <w:rPr>
              <w:color w:val="5D779D" w:themeColor="accent3"/>
            </w:rPr>
          </w:pPr>
          <w:r w:rsidRPr="00494F1F">
            <w:rPr>
              <w:color w:val="5D779D" w:themeColor="accent3"/>
            </w:rPr>
            <w:t xml:space="preserve">Consultation paper </w:t>
          </w:r>
          <w:r w:rsidR="009544CF">
            <w:rPr>
              <w:color w:val="5D779D" w:themeColor="accent3"/>
            </w:rPr>
            <w:t>–</w:t>
          </w:r>
          <w:r w:rsidRPr="00494F1F">
            <w:rPr>
              <w:color w:val="5D779D" w:themeColor="accent3"/>
            </w:rPr>
            <w:t xml:space="preserve"> Appendices</w:t>
          </w:r>
        </w:p>
        <w:p w14:paraId="2B999A23" w14:textId="2E3AD2A7" w:rsidR="00A97160" w:rsidRPr="00586605" w:rsidRDefault="0067536B" w:rsidP="006923DF">
          <w:pPr>
            <w:pStyle w:val="ReportDate"/>
          </w:pPr>
          <w:r w:rsidRPr="00EB50AE">
            <w:rPr>
              <w:rStyle w:val="ReportDateChar"/>
            </w:rPr>
            <w:t>November</w:t>
          </w:r>
          <w:r w:rsidR="00843F12" w:rsidRPr="00EB50AE">
            <w:rPr>
              <w:rStyle w:val="ReportDateChar"/>
            </w:rPr>
            <w:t xml:space="preserve"> 2023</w:t>
          </w:r>
        </w:p>
        <w:p w14:paraId="3EBAEB3C" w14:textId="59E03F8E" w:rsidR="00A97160" w:rsidRDefault="00CB33E1" w:rsidP="00C472DD">
          <w:pPr>
            <w:tabs>
              <w:tab w:val="left" w:pos="3567"/>
            </w:tabs>
            <w:spacing w:before="0" w:after="160" w:line="259" w:lineRule="auto"/>
            <w:rPr>
              <w:noProof/>
            </w:rPr>
          </w:pPr>
          <w:r>
            <w:rPr>
              <w:noProof/>
            </w:rPr>
            <w:tab/>
          </w:r>
        </w:p>
        <w:p w14:paraId="06783E3F" w14:textId="4145B586" w:rsidR="00B775EE" w:rsidRDefault="00A97160">
          <w:pPr>
            <w:spacing w:before="0" w:after="160" w:line="259" w:lineRule="auto"/>
          </w:pPr>
          <w:r>
            <w:br w:type="page"/>
          </w:r>
        </w:p>
      </w:sdtContent>
    </w:sdt>
    <w:p w14:paraId="01983F6E" w14:textId="77777777" w:rsidR="00F836F9" w:rsidRDefault="00F836F9" w:rsidP="000E0B74">
      <w:pPr>
        <w:pStyle w:val="Heading1"/>
        <w:sectPr w:rsidR="00F836F9" w:rsidSect="00A97160">
          <w:pgSz w:w="11906" w:h="16838" w:code="9"/>
          <w:pgMar w:top="1843" w:right="1418" w:bottom="1418" w:left="1418" w:header="709" w:footer="709" w:gutter="0"/>
          <w:pgNumType w:fmt="lowerRoman" w:start="0"/>
          <w:cols w:space="708"/>
          <w:titlePg/>
          <w:docGrid w:linePitch="360"/>
        </w:sectPr>
      </w:pPr>
    </w:p>
    <w:p w14:paraId="3A9C3449" w14:textId="372154B6" w:rsidR="00C472DD" w:rsidRDefault="000E0B74">
      <w:pPr>
        <w:pStyle w:val="TOC1"/>
        <w:rPr>
          <w:rFonts w:asciiTheme="minorHAnsi" w:eastAsiaTheme="minorEastAsia" w:hAnsiTheme="minorHAnsi" w:cstheme="minorBidi"/>
          <w:b w:val="0"/>
          <w:color w:val="auto"/>
        </w:rPr>
      </w:pPr>
      <w:r>
        <w:rPr>
          <w:rFonts w:ascii="Calibri" w:hAnsi="Calibri" w:cs="Arial"/>
          <w:color w:val="004A7F"/>
          <w:kern w:val="32"/>
          <w:sz w:val="44"/>
        </w:rPr>
        <w:lastRenderedPageBreak/>
        <w:fldChar w:fldCharType="begin"/>
      </w:r>
      <w:r w:rsidRPr="0025652F">
        <w:instrText xml:space="preserve"> TOC \o "1-3" \h \z \u </w:instrText>
      </w:r>
      <w:r>
        <w:rPr>
          <w:rFonts w:ascii="Calibri" w:hAnsi="Calibri" w:cs="Arial"/>
          <w:color w:val="004A7F"/>
          <w:kern w:val="32"/>
          <w:sz w:val="44"/>
        </w:rPr>
        <w:fldChar w:fldCharType="separate"/>
      </w:r>
      <w:hyperlink w:anchor="_Toc150852473" w:history="1">
        <w:r w:rsidR="00C472DD" w:rsidRPr="005A2643">
          <w:rPr>
            <w:rStyle w:val="Hyperlink"/>
          </w:rPr>
          <w:t>Appendix A: Australia’s merger control regime</w:t>
        </w:r>
        <w:r w:rsidR="00C472DD">
          <w:rPr>
            <w:webHidden/>
          </w:rPr>
          <w:tab/>
        </w:r>
        <w:r w:rsidR="00C472DD">
          <w:rPr>
            <w:webHidden/>
          </w:rPr>
          <w:fldChar w:fldCharType="begin"/>
        </w:r>
        <w:r w:rsidR="00C472DD">
          <w:rPr>
            <w:webHidden/>
          </w:rPr>
          <w:instrText xml:space="preserve"> PAGEREF _Toc150852473 \h </w:instrText>
        </w:r>
        <w:r w:rsidR="00C472DD">
          <w:rPr>
            <w:webHidden/>
          </w:rPr>
        </w:r>
        <w:r w:rsidR="00C472DD">
          <w:rPr>
            <w:webHidden/>
          </w:rPr>
          <w:fldChar w:fldCharType="separate"/>
        </w:r>
        <w:r w:rsidR="00CE5324">
          <w:rPr>
            <w:webHidden/>
          </w:rPr>
          <w:t>4</w:t>
        </w:r>
        <w:r w:rsidR="00C472DD">
          <w:rPr>
            <w:webHidden/>
          </w:rPr>
          <w:fldChar w:fldCharType="end"/>
        </w:r>
      </w:hyperlink>
    </w:p>
    <w:p w14:paraId="158EA5BF" w14:textId="0A38FF70" w:rsidR="00C472DD" w:rsidRDefault="00D42886">
      <w:pPr>
        <w:pStyle w:val="TOC2"/>
        <w:rPr>
          <w:rFonts w:asciiTheme="minorHAnsi" w:eastAsiaTheme="minorEastAsia" w:hAnsiTheme="minorHAnsi" w:cstheme="minorBidi"/>
          <w:color w:val="auto"/>
          <w:szCs w:val="22"/>
        </w:rPr>
      </w:pPr>
      <w:hyperlink w:anchor="_Toc150852474" w:history="1">
        <w:r w:rsidR="00C472DD" w:rsidRPr="005A2643">
          <w:rPr>
            <w:rStyle w:val="Hyperlink"/>
          </w:rPr>
          <w:t>Mergers test</w:t>
        </w:r>
        <w:r w:rsidR="00C472DD">
          <w:rPr>
            <w:webHidden/>
          </w:rPr>
          <w:tab/>
        </w:r>
        <w:r w:rsidR="00C472DD">
          <w:rPr>
            <w:webHidden/>
          </w:rPr>
          <w:fldChar w:fldCharType="begin"/>
        </w:r>
        <w:r w:rsidR="00C472DD">
          <w:rPr>
            <w:webHidden/>
          </w:rPr>
          <w:instrText xml:space="preserve"> PAGEREF _Toc150852474 \h </w:instrText>
        </w:r>
        <w:r w:rsidR="00C472DD">
          <w:rPr>
            <w:webHidden/>
          </w:rPr>
        </w:r>
        <w:r w:rsidR="00C472DD">
          <w:rPr>
            <w:webHidden/>
          </w:rPr>
          <w:fldChar w:fldCharType="separate"/>
        </w:r>
        <w:r w:rsidR="00CE5324">
          <w:rPr>
            <w:webHidden/>
          </w:rPr>
          <w:t>4</w:t>
        </w:r>
        <w:r w:rsidR="00C472DD">
          <w:rPr>
            <w:webHidden/>
          </w:rPr>
          <w:fldChar w:fldCharType="end"/>
        </w:r>
      </w:hyperlink>
    </w:p>
    <w:p w14:paraId="1C793FF8" w14:textId="2FB61122" w:rsidR="00C472DD" w:rsidRDefault="00D42886">
      <w:pPr>
        <w:pStyle w:val="TOC2"/>
        <w:rPr>
          <w:rFonts w:asciiTheme="minorHAnsi" w:eastAsiaTheme="minorEastAsia" w:hAnsiTheme="minorHAnsi" w:cstheme="minorBidi"/>
          <w:color w:val="auto"/>
          <w:szCs w:val="22"/>
        </w:rPr>
      </w:pPr>
      <w:hyperlink w:anchor="_Toc150852475" w:history="1">
        <w:r w:rsidR="00C472DD" w:rsidRPr="005A2643">
          <w:rPr>
            <w:rStyle w:val="Hyperlink"/>
          </w:rPr>
          <w:t>Mergers assessment processes</w:t>
        </w:r>
        <w:r w:rsidR="00C472DD">
          <w:rPr>
            <w:webHidden/>
          </w:rPr>
          <w:tab/>
        </w:r>
        <w:r w:rsidR="00C472DD">
          <w:rPr>
            <w:webHidden/>
          </w:rPr>
          <w:fldChar w:fldCharType="begin"/>
        </w:r>
        <w:r w:rsidR="00C472DD">
          <w:rPr>
            <w:webHidden/>
          </w:rPr>
          <w:instrText xml:space="preserve"> PAGEREF _Toc150852475 \h </w:instrText>
        </w:r>
        <w:r w:rsidR="00C472DD">
          <w:rPr>
            <w:webHidden/>
          </w:rPr>
        </w:r>
        <w:r w:rsidR="00C472DD">
          <w:rPr>
            <w:webHidden/>
          </w:rPr>
          <w:fldChar w:fldCharType="separate"/>
        </w:r>
        <w:r w:rsidR="00CE5324">
          <w:rPr>
            <w:webHidden/>
          </w:rPr>
          <w:t>5</w:t>
        </w:r>
        <w:r w:rsidR="00C472DD">
          <w:rPr>
            <w:webHidden/>
          </w:rPr>
          <w:fldChar w:fldCharType="end"/>
        </w:r>
      </w:hyperlink>
    </w:p>
    <w:p w14:paraId="7297CDAE" w14:textId="25DAFC74" w:rsidR="00C472DD" w:rsidRDefault="00D42886">
      <w:pPr>
        <w:pStyle w:val="TOC3"/>
        <w:rPr>
          <w:rFonts w:asciiTheme="minorHAnsi" w:eastAsiaTheme="minorEastAsia" w:hAnsiTheme="minorHAnsi" w:cstheme="minorBidi"/>
          <w:szCs w:val="22"/>
        </w:rPr>
      </w:pPr>
      <w:hyperlink w:anchor="_Toc150852476" w:history="1">
        <w:r w:rsidR="00C472DD" w:rsidRPr="005A2643">
          <w:rPr>
            <w:rStyle w:val="Hyperlink"/>
          </w:rPr>
          <w:t>ACCC informal merger review</w:t>
        </w:r>
        <w:r w:rsidR="00C472DD">
          <w:rPr>
            <w:webHidden/>
          </w:rPr>
          <w:tab/>
        </w:r>
        <w:r w:rsidR="00C472DD">
          <w:rPr>
            <w:webHidden/>
          </w:rPr>
          <w:fldChar w:fldCharType="begin"/>
        </w:r>
        <w:r w:rsidR="00C472DD">
          <w:rPr>
            <w:webHidden/>
          </w:rPr>
          <w:instrText xml:space="preserve"> PAGEREF _Toc150852476 \h </w:instrText>
        </w:r>
        <w:r w:rsidR="00C472DD">
          <w:rPr>
            <w:webHidden/>
          </w:rPr>
        </w:r>
        <w:r w:rsidR="00C472DD">
          <w:rPr>
            <w:webHidden/>
          </w:rPr>
          <w:fldChar w:fldCharType="separate"/>
        </w:r>
        <w:r w:rsidR="00CE5324">
          <w:rPr>
            <w:webHidden/>
          </w:rPr>
          <w:t>5</w:t>
        </w:r>
        <w:r w:rsidR="00C472DD">
          <w:rPr>
            <w:webHidden/>
          </w:rPr>
          <w:fldChar w:fldCharType="end"/>
        </w:r>
      </w:hyperlink>
    </w:p>
    <w:p w14:paraId="44BA7C14" w14:textId="5A05C433" w:rsidR="00C472DD" w:rsidRDefault="00D42886">
      <w:pPr>
        <w:pStyle w:val="TOC3"/>
        <w:rPr>
          <w:rFonts w:asciiTheme="minorHAnsi" w:eastAsiaTheme="minorEastAsia" w:hAnsiTheme="minorHAnsi" w:cstheme="minorBidi"/>
          <w:szCs w:val="22"/>
        </w:rPr>
      </w:pPr>
      <w:hyperlink w:anchor="_Toc150852477" w:history="1">
        <w:r w:rsidR="00C472DD" w:rsidRPr="005A2643">
          <w:rPr>
            <w:rStyle w:val="Hyperlink"/>
          </w:rPr>
          <w:t>ACCC merger authorisation</w:t>
        </w:r>
        <w:r w:rsidR="00C472DD">
          <w:rPr>
            <w:webHidden/>
          </w:rPr>
          <w:tab/>
        </w:r>
        <w:r w:rsidR="00C472DD">
          <w:rPr>
            <w:webHidden/>
          </w:rPr>
          <w:fldChar w:fldCharType="begin"/>
        </w:r>
        <w:r w:rsidR="00C472DD">
          <w:rPr>
            <w:webHidden/>
          </w:rPr>
          <w:instrText xml:space="preserve"> PAGEREF _Toc150852477 \h </w:instrText>
        </w:r>
        <w:r w:rsidR="00C472DD">
          <w:rPr>
            <w:webHidden/>
          </w:rPr>
        </w:r>
        <w:r w:rsidR="00C472DD">
          <w:rPr>
            <w:webHidden/>
          </w:rPr>
          <w:fldChar w:fldCharType="separate"/>
        </w:r>
        <w:r w:rsidR="00CE5324">
          <w:rPr>
            <w:webHidden/>
          </w:rPr>
          <w:t>6</w:t>
        </w:r>
        <w:r w:rsidR="00C472DD">
          <w:rPr>
            <w:webHidden/>
          </w:rPr>
          <w:fldChar w:fldCharType="end"/>
        </w:r>
      </w:hyperlink>
    </w:p>
    <w:p w14:paraId="4136EC73" w14:textId="2BD42B48" w:rsidR="00C472DD" w:rsidRDefault="00D42886">
      <w:pPr>
        <w:pStyle w:val="TOC3"/>
        <w:rPr>
          <w:rFonts w:asciiTheme="minorHAnsi" w:eastAsiaTheme="minorEastAsia" w:hAnsiTheme="minorHAnsi" w:cstheme="minorBidi"/>
          <w:szCs w:val="22"/>
        </w:rPr>
      </w:pPr>
      <w:hyperlink w:anchor="_Toc150852478" w:history="1">
        <w:r w:rsidR="00C472DD" w:rsidRPr="005A2643">
          <w:rPr>
            <w:rStyle w:val="Hyperlink"/>
          </w:rPr>
          <w:t>Federal Court</w:t>
        </w:r>
        <w:r w:rsidR="00C472DD">
          <w:rPr>
            <w:webHidden/>
          </w:rPr>
          <w:tab/>
        </w:r>
        <w:r w:rsidR="00C472DD">
          <w:rPr>
            <w:webHidden/>
          </w:rPr>
          <w:fldChar w:fldCharType="begin"/>
        </w:r>
        <w:r w:rsidR="00C472DD">
          <w:rPr>
            <w:webHidden/>
          </w:rPr>
          <w:instrText xml:space="preserve"> PAGEREF _Toc150852478 \h </w:instrText>
        </w:r>
        <w:r w:rsidR="00C472DD">
          <w:rPr>
            <w:webHidden/>
          </w:rPr>
        </w:r>
        <w:r w:rsidR="00C472DD">
          <w:rPr>
            <w:webHidden/>
          </w:rPr>
          <w:fldChar w:fldCharType="separate"/>
        </w:r>
        <w:r w:rsidR="00CE5324">
          <w:rPr>
            <w:webHidden/>
          </w:rPr>
          <w:t>6</w:t>
        </w:r>
        <w:r w:rsidR="00C472DD">
          <w:rPr>
            <w:webHidden/>
          </w:rPr>
          <w:fldChar w:fldCharType="end"/>
        </w:r>
      </w:hyperlink>
    </w:p>
    <w:p w14:paraId="7319C1CE" w14:textId="172D83DD" w:rsidR="00C472DD" w:rsidRDefault="00D42886">
      <w:pPr>
        <w:pStyle w:val="TOC2"/>
        <w:rPr>
          <w:rFonts w:asciiTheme="minorHAnsi" w:eastAsiaTheme="minorEastAsia" w:hAnsiTheme="minorHAnsi" w:cstheme="minorBidi"/>
          <w:color w:val="auto"/>
          <w:szCs w:val="22"/>
        </w:rPr>
      </w:pPr>
      <w:hyperlink w:anchor="_Toc150852479" w:history="1">
        <w:r w:rsidR="00C472DD" w:rsidRPr="005A2643">
          <w:rPr>
            <w:rStyle w:val="Hyperlink"/>
          </w:rPr>
          <w:t>Key facts and figures</w:t>
        </w:r>
        <w:r w:rsidR="00C472DD">
          <w:rPr>
            <w:webHidden/>
          </w:rPr>
          <w:tab/>
        </w:r>
        <w:r w:rsidR="00C472DD">
          <w:rPr>
            <w:webHidden/>
          </w:rPr>
          <w:fldChar w:fldCharType="begin"/>
        </w:r>
        <w:r w:rsidR="00C472DD">
          <w:rPr>
            <w:webHidden/>
          </w:rPr>
          <w:instrText xml:space="preserve"> PAGEREF _Toc150852479 \h </w:instrText>
        </w:r>
        <w:r w:rsidR="00C472DD">
          <w:rPr>
            <w:webHidden/>
          </w:rPr>
        </w:r>
        <w:r w:rsidR="00C472DD">
          <w:rPr>
            <w:webHidden/>
          </w:rPr>
          <w:fldChar w:fldCharType="separate"/>
        </w:r>
        <w:r w:rsidR="00CE5324">
          <w:rPr>
            <w:webHidden/>
          </w:rPr>
          <w:t>7</w:t>
        </w:r>
        <w:r w:rsidR="00C472DD">
          <w:rPr>
            <w:webHidden/>
          </w:rPr>
          <w:fldChar w:fldCharType="end"/>
        </w:r>
      </w:hyperlink>
    </w:p>
    <w:p w14:paraId="3E2CE75C" w14:textId="52E00026" w:rsidR="00C472DD" w:rsidRDefault="00D42886">
      <w:pPr>
        <w:pStyle w:val="TOC3"/>
        <w:rPr>
          <w:rFonts w:asciiTheme="minorHAnsi" w:eastAsiaTheme="minorEastAsia" w:hAnsiTheme="minorHAnsi" w:cstheme="minorBidi"/>
          <w:szCs w:val="22"/>
        </w:rPr>
      </w:pPr>
      <w:hyperlink w:anchor="_Toc150852480" w:history="1">
        <w:r w:rsidR="00C472DD" w:rsidRPr="005A2643">
          <w:rPr>
            <w:rStyle w:val="Hyperlink"/>
          </w:rPr>
          <w:t>Outcomes</w:t>
        </w:r>
        <w:r w:rsidR="00C472DD">
          <w:rPr>
            <w:webHidden/>
          </w:rPr>
          <w:tab/>
        </w:r>
        <w:r w:rsidR="00C472DD">
          <w:rPr>
            <w:webHidden/>
          </w:rPr>
          <w:fldChar w:fldCharType="begin"/>
        </w:r>
        <w:r w:rsidR="00C472DD">
          <w:rPr>
            <w:webHidden/>
          </w:rPr>
          <w:instrText xml:space="preserve"> PAGEREF _Toc150852480 \h </w:instrText>
        </w:r>
        <w:r w:rsidR="00C472DD">
          <w:rPr>
            <w:webHidden/>
          </w:rPr>
        </w:r>
        <w:r w:rsidR="00C472DD">
          <w:rPr>
            <w:webHidden/>
          </w:rPr>
          <w:fldChar w:fldCharType="separate"/>
        </w:r>
        <w:r w:rsidR="00CE5324">
          <w:rPr>
            <w:webHidden/>
          </w:rPr>
          <w:t>7</w:t>
        </w:r>
        <w:r w:rsidR="00C472DD">
          <w:rPr>
            <w:webHidden/>
          </w:rPr>
          <w:fldChar w:fldCharType="end"/>
        </w:r>
      </w:hyperlink>
    </w:p>
    <w:p w14:paraId="5BB48112" w14:textId="21DD1C34" w:rsidR="00C472DD" w:rsidRDefault="00D42886">
      <w:pPr>
        <w:pStyle w:val="TOC3"/>
        <w:rPr>
          <w:rFonts w:asciiTheme="minorHAnsi" w:eastAsiaTheme="minorEastAsia" w:hAnsiTheme="minorHAnsi" w:cstheme="minorBidi"/>
          <w:szCs w:val="22"/>
        </w:rPr>
      </w:pPr>
      <w:hyperlink w:anchor="_Toc150852481" w:history="1">
        <w:r w:rsidR="00C472DD" w:rsidRPr="005A2643">
          <w:rPr>
            <w:rStyle w:val="Hyperlink"/>
            <w:b/>
            <w:bCs/>
          </w:rPr>
          <w:t>Figure 1:</w:t>
        </w:r>
        <w:r w:rsidR="00C472DD" w:rsidRPr="005A2643">
          <w:rPr>
            <w:rStyle w:val="Hyperlink"/>
            <w:b/>
          </w:rPr>
          <w:t xml:space="preserve"> </w:t>
        </w:r>
        <w:r w:rsidR="00C472DD" w:rsidRPr="005A2643">
          <w:rPr>
            <w:rStyle w:val="Hyperlink"/>
          </w:rPr>
          <w:t>Number of informal merger reviews since 2015-16 where competition concerns were raised by the ACCC</w:t>
        </w:r>
        <w:r w:rsidR="00C472DD">
          <w:rPr>
            <w:webHidden/>
          </w:rPr>
          <w:tab/>
        </w:r>
        <w:r w:rsidR="00C472DD">
          <w:rPr>
            <w:webHidden/>
          </w:rPr>
          <w:fldChar w:fldCharType="begin"/>
        </w:r>
        <w:r w:rsidR="00C472DD">
          <w:rPr>
            <w:webHidden/>
          </w:rPr>
          <w:instrText xml:space="preserve"> PAGEREF _Toc150852481 \h </w:instrText>
        </w:r>
        <w:r w:rsidR="00C472DD">
          <w:rPr>
            <w:webHidden/>
          </w:rPr>
        </w:r>
        <w:r w:rsidR="00C472DD">
          <w:rPr>
            <w:webHidden/>
          </w:rPr>
          <w:fldChar w:fldCharType="separate"/>
        </w:r>
        <w:r w:rsidR="00CE5324">
          <w:rPr>
            <w:webHidden/>
          </w:rPr>
          <w:t>7</w:t>
        </w:r>
        <w:r w:rsidR="00C472DD">
          <w:rPr>
            <w:webHidden/>
          </w:rPr>
          <w:fldChar w:fldCharType="end"/>
        </w:r>
      </w:hyperlink>
    </w:p>
    <w:p w14:paraId="36C888C6" w14:textId="37FD01FD" w:rsidR="00C472DD" w:rsidRDefault="00D42886">
      <w:pPr>
        <w:pStyle w:val="TOC3"/>
        <w:rPr>
          <w:rFonts w:asciiTheme="minorHAnsi" w:eastAsiaTheme="minorEastAsia" w:hAnsiTheme="minorHAnsi" w:cstheme="minorBidi"/>
          <w:szCs w:val="22"/>
        </w:rPr>
      </w:pPr>
      <w:hyperlink w:anchor="_Toc150852482" w:history="1">
        <w:r w:rsidR="00C472DD" w:rsidRPr="005A2643">
          <w:rPr>
            <w:rStyle w:val="Hyperlink"/>
          </w:rPr>
          <w:t>Processes</w:t>
        </w:r>
        <w:r w:rsidR="00C472DD">
          <w:rPr>
            <w:webHidden/>
          </w:rPr>
          <w:tab/>
        </w:r>
        <w:r w:rsidR="00C472DD">
          <w:rPr>
            <w:webHidden/>
          </w:rPr>
          <w:fldChar w:fldCharType="begin"/>
        </w:r>
        <w:r w:rsidR="00C472DD">
          <w:rPr>
            <w:webHidden/>
          </w:rPr>
          <w:instrText xml:space="preserve"> PAGEREF _Toc150852482 \h </w:instrText>
        </w:r>
        <w:r w:rsidR="00C472DD">
          <w:rPr>
            <w:webHidden/>
          </w:rPr>
        </w:r>
        <w:r w:rsidR="00C472DD">
          <w:rPr>
            <w:webHidden/>
          </w:rPr>
          <w:fldChar w:fldCharType="separate"/>
        </w:r>
        <w:r w:rsidR="00CE5324">
          <w:rPr>
            <w:webHidden/>
          </w:rPr>
          <w:t>8</w:t>
        </w:r>
        <w:r w:rsidR="00C472DD">
          <w:rPr>
            <w:webHidden/>
          </w:rPr>
          <w:fldChar w:fldCharType="end"/>
        </w:r>
      </w:hyperlink>
    </w:p>
    <w:p w14:paraId="4633E9B9" w14:textId="035F7DE4" w:rsidR="00C472DD" w:rsidRDefault="00D42886">
      <w:pPr>
        <w:pStyle w:val="TOC3"/>
        <w:rPr>
          <w:rFonts w:asciiTheme="minorHAnsi" w:eastAsiaTheme="minorEastAsia" w:hAnsiTheme="minorHAnsi" w:cstheme="minorBidi"/>
          <w:szCs w:val="22"/>
        </w:rPr>
      </w:pPr>
      <w:hyperlink w:anchor="_Toc150852483" w:history="1">
        <w:r w:rsidR="00C472DD" w:rsidRPr="005A2643">
          <w:rPr>
            <w:rStyle w:val="Hyperlink"/>
            <w:b/>
            <w:bCs/>
          </w:rPr>
          <w:t>Figure 2:</w:t>
        </w:r>
        <w:r w:rsidR="00C472DD" w:rsidRPr="005A2643">
          <w:rPr>
            <w:rStyle w:val="Hyperlink"/>
          </w:rPr>
          <w:t xml:space="preserve"> Number of ACCC merger reviews since 2009-10</w:t>
        </w:r>
        <w:r w:rsidR="00C472DD">
          <w:rPr>
            <w:webHidden/>
          </w:rPr>
          <w:tab/>
        </w:r>
        <w:r w:rsidR="00C472DD">
          <w:rPr>
            <w:webHidden/>
          </w:rPr>
          <w:fldChar w:fldCharType="begin"/>
        </w:r>
        <w:r w:rsidR="00C472DD">
          <w:rPr>
            <w:webHidden/>
          </w:rPr>
          <w:instrText xml:space="preserve"> PAGEREF _Toc150852483 \h </w:instrText>
        </w:r>
        <w:r w:rsidR="00C472DD">
          <w:rPr>
            <w:webHidden/>
          </w:rPr>
        </w:r>
        <w:r w:rsidR="00C472DD">
          <w:rPr>
            <w:webHidden/>
          </w:rPr>
          <w:fldChar w:fldCharType="separate"/>
        </w:r>
        <w:r w:rsidR="00CE5324">
          <w:rPr>
            <w:webHidden/>
          </w:rPr>
          <w:t>8</w:t>
        </w:r>
        <w:r w:rsidR="00C472DD">
          <w:rPr>
            <w:webHidden/>
          </w:rPr>
          <w:fldChar w:fldCharType="end"/>
        </w:r>
      </w:hyperlink>
    </w:p>
    <w:p w14:paraId="509A3739" w14:textId="5A664395" w:rsidR="00C472DD" w:rsidRDefault="00D42886">
      <w:pPr>
        <w:pStyle w:val="TOC3"/>
        <w:rPr>
          <w:rFonts w:asciiTheme="minorHAnsi" w:eastAsiaTheme="minorEastAsia" w:hAnsiTheme="minorHAnsi" w:cstheme="minorBidi"/>
          <w:szCs w:val="22"/>
        </w:rPr>
      </w:pPr>
      <w:hyperlink w:anchor="_Toc150852484" w:history="1">
        <w:r w:rsidR="00C472DD" w:rsidRPr="005A2643">
          <w:rPr>
            <w:rStyle w:val="Hyperlink"/>
            <w:b/>
            <w:bCs/>
          </w:rPr>
          <w:t>Figure 3:</w:t>
        </w:r>
        <w:r w:rsidR="00C472DD" w:rsidRPr="005A2643">
          <w:rPr>
            <w:rStyle w:val="Hyperlink"/>
          </w:rPr>
          <w:t xml:space="preserve"> Average length of ACCC public informal reviews</w:t>
        </w:r>
        <w:r w:rsidR="00C472DD">
          <w:rPr>
            <w:webHidden/>
          </w:rPr>
          <w:tab/>
        </w:r>
        <w:r w:rsidR="00C472DD">
          <w:rPr>
            <w:webHidden/>
          </w:rPr>
          <w:fldChar w:fldCharType="begin"/>
        </w:r>
        <w:r w:rsidR="00C472DD">
          <w:rPr>
            <w:webHidden/>
          </w:rPr>
          <w:instrText xml:space="preserve"> PAGEREF _Toc150852484 \h </w:instrText>
        </w:r>
        <w:r w:rsidR="00C472DD">
          <w:rPr>
            <w:webHidden/>
          </w:rPr>
        </w:r>
        <w:r w:rsidR="00C472DD">
          <w:rPr>
            <w:webHidden/>
          </w:rPr>
          <w:fldChar w:fldCharType="separate"/>
        </w:r>
        <w:r w:rsidR="00CE5324">
          <w:rPr>
            <w:webHidden/>
          </w:rPr>
          <w:t>9</w:t>
        </w:r>
        <w:r w:rsidR="00C472DD">
          <w:rPr>
            <w:webHidden/>
          </w:rPr>
          <w:fldChar w:fldCharType="end"/>
        </w:r>
      </w:hyperlink>
    </w:p>
    <w:p w14:paraId="47455774" w14:textId="294A781A" w:rsidR="00C472DD" w:rsidRDefault="00D42886">
      <w:pPr>
        <w:pStyle w:val="TOC1"/>
        <w:rPr>
          <w:rFonts w:asciiTheme="minorHAnsi" w:eastAsiaTheme="minorEastAsia" w:hAnsiTheme="minorHAnsi" w:cstheme="minorBidi"/>
          <w:b w:val="0"/>
          <w:color w:val="auto"/>
        </w:rPr>
      </w:pPr>
      <w:hyperlink w:anchor="_Toc150852485" w:history="1">
        <w:r w:rsidR="00C472DD" w:rsidRPr="005A2643">
          <w:rPr>
            <w:rStyle w:val="Hyperlink"/>
          </w:rPr>
          <w:t>Appendix B: Serial or creeping acquisitions – previous reform proposals</w:t>
        </w:r>
        <w:r w:rsidR="00C472DD">
          <w:rPr>
            <w:webHidden/>
          </w:rPr>
          <w:tab/>
        </w:r>
        <w:r w:rsidR="00C472DD">
          <w:rPr>
            <w:webHidden/>
          </w:rPr>
          <w:fldChar w:fldCharType="begin"/>
        </w:r>
        <w:r w:rsidR="00C472DD">
          <w:rPr>
            <w:webHidden/>
          </w:rPr>
          <w:instrText xml:space="preserve"> PAGEREF _Toc150852485 \h </w:instrText>
        </w:r>
        <w:r w:rsidR="00C472DD">
          <w:rPr>
            <w:webHidden/>
          </w:rPr>
        </w:r>
        <w:r w:rsidR="00C472DD">
          <w:rPr>
            <w:webHidden/>
          </w:rPr>
          <w:fldChar w:fldCharType="separate"/>
        </w:r>
        <w:r w:rsidR="00CE5324">
          <w:rPr>
            <w:webHidden/>
          </w:rPr>
          <w:t>10</w:t>
        </w:r>
        <w:r w:rsidR="00C472DD">
          <w:rPr>
            <w:webHidden/>
          </w:rPr>
          <w:fldChar w:fldCharType="end"/>
        </w:r>
      </w:hyperlink>
    </w:p>
    <w:p w14:paraId="4A38DD80" w14:textId="59B16789" w:rsidR="00C472DD" w:rsidRDefault="00D42886">
      <w:pPr>
        <w:pStyle w:val="TOC1"/>
        <w:rPr>
          <w:rFonts w:asciiTheme="minorHAnsi" w:eastAsiaTheme="minorEastAsia" w:hAnsiTheme="minorHAnsi" w:cstheme="minorBidi"/>
          <w:b w:val="0"/>
          <w:color w:val="auto"/>
        </w:rPr>
      </w:pPr>
      <w:hyperlink w:anchor="_Toc150852486" w:history="1">
        <w:r w:rsidR="00C472DD" w:rsidRPr="005A2643">
          <w:rPr>
            <w:rStyle w:val="Hyperlink"/>
          </w:rPr>
          <w:t>Appendix C: Mergers clearance processes – previous proposals</w:t>
        </w:r>
        <w:r w:rsidR="00C472DD">
          <w:rPr>
            <w:webHidden/>
          </w:rPr>
          <w:tab/>
        </w:r>
        <w:r w:rsidR="00C472DD">
          <w:rPr>
            <w:webHidden/>
          </w:rPr>
          <w:fldChar w:fldCharType="begin"/>
        </w:r>
        <w:r w:rsidR="00C472DD">
          <w:rPr>
            <w:webHidden/>
          </w:rPr>
          <w:instrText xml:space="preserve"> PAGEREF _Toc150852486 \h </w:instrText>
        </w:r>
        <w:r w:rsidR="00C472DD">
          <w:rPr>
            <w:webHidden/>
          </w:rPr>
        </w:r>
        <w:r w:rsidR="00C472DD">
          <w:rPr>
            <w:webHidden/>
          </w:rPr>
          <w:fldChar w:fldCharType="separate"/>
        </w:r>
        <w:r w:rsidR="00CE5324">
          <w:rPr>
            <w:webHidden/>
          </w:rPr>
          <w:t>12</w:t>
        </w:r>
        <w:r w:rsidR="00C472DD">
          <w:rPr>
            <w:webHidden/>
          </w:rPr>
          <w:fldChar w:fldCharType="end"/>
        </w:r>
      </w:hyperlink>
    </w:p>
    <w:p w14:paraId="0296419C" w14:textId="2C57E7CE" w:rsidR="00C472DD" w:rsidRDefault="00D42886">
      <w:pPr>
        <w:pStyle w:val="TOC1"/>
        <w:rPr>
          <w:rFonts w:asciiTheme="minorHAnsi" w:eastAsiaTheme="minorEastAsia" w:hAnsiTheme="minorHAnsi" w:cstheme="minorBidi"/>
          <w:b w:val="0"/>
          <w:color w:val="auto"/>
        </w:rPr>
      </w:pPr>
      <w:hyperlink w:anchor="_Toc150852487" w:history="1">
        <w:r w:rsidR="00C472DD" w:rsidRPr="005A2643">
          <w:rPr>
            <w:rStyle w:val="Hyperlink"/>
          </w:rPr>
          <w:t>Appendix D: Overview of overseas merger control regimes</w:t>
        </w:r>
        <w:r w:rsidR="00C472DD">
          <w:rPr>
            <w:webHidden/>
          </w:rPr>
          <w:tab/>
        </w:r>
        <w:r w:rsidR="00C472DD">
          <w:rPr>
            <w:webHidden/>
          </w:rPr>
          <w:fldChar w:fldCharType="begin"/>
        </w:r>
        <w:r w:rsidR="00C472DD">
          <w:rPr>
            <w:webHidden/>
          </w:rPr>
          <w:instrText xml:space="preserve"> PAGEREF _Toc150852487 \h </w:instrText>
        </w:r>
        <w:r w:rsidR="00C472DD">
          <w:rPr>
            <w:webHidden/>
          </w:rPr>
        </w:r>
        <w:r w:rsidR="00C472DD">
          <w:rPr>
            <w:webHidden/>
          </w:rPr>
          <w:fldChar w:fldCharType="separate"/>
        </w:r>
        <w:r w:rsidR="00CE5324">
          <w:rPr>
            <w:webHidden/>
          </w:rPr>
          <w:t>14</w:t>
        </w:r>
        <w:r w:rsidR="00C472DD">
          <w:rPr>
            <w:webHidden/>
          </w:rPr>
          <w:fldChar w:fldCharType="end"/>
        </w:r>
      </w:hyperlink>
    </w:p>
    <w:p w14:paraId="34BE4007" w14:textId="595FA36F" w:rsidR="00F836F9" w:rsidRDefault="000E0B74" w:rsidP="0056582C">
      <w:pPr>
        <w:pStyle w:val="SingleParagraph"/>
        <w:ind w:right="-2"/>
      </w:pPr>
      <w:r>
        <w:fldChar w:fldCharType="end"/>
      </w:r>
      <w:bookmarkStart w:id="0" w:name="_Toc432067103"/>
      <w:bookmarkStart w:id="1" w:name="_Toc452635030"/>
    </w:p>
    <w:p w14:paraId="01AB1CA5" w14:textId="77777777" w:rsidR="00B775EE" w:rsidRDefault="00B775EE" w:rsidP="0056582C">
      <w:pPr>
        <w:pStyle w:val="SingleParagraph"/>
        <w:ind w:right="-2"/>
      </w:pPr>
    </w:p>
    <w:p w14:paraId="0DE8440A" w14:textId="77777777" w:rsidR="00B775EE" w:rsidRPr="00B775EE" w:rsidRDefault="00B775EE" w:rsidP="0056582C">
      <w:pPr>
        <w:pStyle w:val="SingleParagraph"/>
        <w:ind w:right="-2"/>
        <w:rPr>
          <w:b/>
          <w:bCs/>
        </w:rPr>
        <w:sectPr w:rsidR="00B775EE" w:rsidRPr="00B775EE" w:rsidSect="00164599">
          <w:headerReference w:type="even" r:id="rId9"/>
          <w:headerReference w:type="default" r:id="rId10"/>
          <w:footerReference w:type="even" r:id="rId11"/>
          <w:headerReference w:type="first" r:id="rId12"/>
          <w:footerReference w:type="first" r:id="rId13"/>
          <w:pgSz w:w="11906" w:h="16838" w:code="9"/>
          <w:pgMar w:top="1843" w:right="1418" w:bottom="1418" w:left="1418" w:header="709" w:footer="709" w:gutter="0"/>
          <w:pgNumType w:fmt="lowerRoman" w:start="3"/>
          <w:cols w:space="708"/>
          <w:titlePg/>
          <w:docGrid w:linePitch="360"/>
        </w:sectPr>
      </w:pPr>
    </w:p>
    <w:p w14:paraId="09B24E35" w14:textId="690F2337" w:rsidR="006C5B73" w:rsidRDefault="00A73B2C" w:rsidP="006C5B73">
      <w:pPr>
        <w:pStyle w:val="Heading1"/>
      </w:pPr>
      <w:bookmarkStart w:id="2" w:name="_Toc150852473"/>
      <w:bookmarkEnd w:id="0"/>
      <w:bookmarkEnd w:id="1"/>
      <w:r>
        <w:lastRenderedPageBreak/>
        <w:t xml:space="preserve">Appendix </w:t>
      </w:r>
      <w:r w:rsidR="006D469A">
        <w:t>A</w:t>
      </w:r>
      <w:r>
        <w:t>: Australia’s merger control regime</w:t>
      </w:r>
      <w:bookmarkEnd w:id="2"/>
    </w:p>
    <w:p w14:paraId="74C96746" w14:textId="7DD0C190" w:rsidR="00386297" w:rsidRDefault="00A73B2C" w:rsidP="00386297">
      <w:pPr>
        <w:pStyle w:val="Heading2"/>
      </w:pPr>
      <w:bookmarkStart w:id="3" w:name="_Toc150852474"/>
      <w:r>
        <w:t>Mergers test</w:t>
      </w:r>
      <w:bookmarkEnd w:id="3"/>
    </w:p>
    <w:p w14:paraId="388D3AAE" w14:textId="1683F5CF" w:rsidR="00A73B2C" w:rsidRDefault="00A73B2C" w:rsidP="00A73B2C">
      <w:r>
        <w:t xml:space="preserve">Section 50 of the </w:t>
      </w:r>
      <w:r w:rsidRPr="00F82477">
        <w:rPr>
          <w:i/>
        </w:rPr>
        <w:t>C</w:t>
      </w:r>
      <w:r w:rsidR="001538E8" w:rsidRPr="00F82477">
        <w:rPr>
          <w:i/>
        </w:rPr>
        <w:t>ompetition and Consumer Act</w:t>
      </w:r>
      <w:r w:rsidR="00DD1278" w:rsidRPr="00F82477">
        <w:rPr>
          <w:i/>
        </w:rPr>
        <w:t xml:space="preserve"> 2010</w:t>
      </w:r>
      <w:r w:rsidR="001538E8">
        <w:t xml:space="preserve"> </w:t>
      </w:r>
      <w:r w:rsidR="00541734">
        <w:t xml:space="preserve">(Cth) </w:t>
      </w:r>
      <w:r w:rsidR="00DD1278">
        <w:t>(</w:t>
      </w:r>
      <w:r>
        <w:t>CCA</w:t>
      </w:r>
      <w:r w:rsidR="00DD1278">
        <w:t>)</w:t>
      </w:r>
      <w:r w:rsidR="00C9187F">
        <w:t xml:space="preserve"> </w:t>
      </w:r>
      <w:r>
        <w:t xml:space="preserve">prohibits </w:t>
      </w:r>
      <w:r w:rsidRPr="002F706D">
        <w:t xml:space="preserve">the acquisition of </w:t>
      </w:r>
      <w:r>
        <w:t xml:space="preserve">shares </w:t>
      </w:r>
      <w:r w:rsidRPr="00252C7D">
        <w:t xml:space="preserve">or assets where it </w:t>
      </w:r>
      <w:r w:rsidR="00361E54" w:rsidRPr="00252C7D">
        <w:t>‘</w:t>
      </w:r>
      <w:r w:rsidRPr="00252C7D">
        <w:t>would have the effect, or be likely have the effect, of substantially lessening competition in any market</w:t>
      </w:r>
      <w:r w:rsidR="00361E54" w:rsidRPr="00252C7D">
        <w:t xml:space="preserve">’. </w:t>
      </w:r>
      <w:r w:rsidRPr="00252C7D">
        <w:t>In assessing whether a proposed acquisition would be likely to substantially lessen competition, it is necessary to</w:t>
      </w:r>
      <w:r>
        <w:t>:</w:t>
      </w:r>
    </w:p>
    <w:p w14:paraId="1D10E86D" w14:textId="77777777" w:rsidR="00A73B2C" w:rsidRDefault="00A73B2C" w:rsidP="00C472DD">
      <w:pPr>
        <w:pStyle w:val="Dotpoint"/>
      </w:pPr>
      <w:r>
        <w:t>compare the likely future state of competition in the relevant market with and without the merger; and</w:t>
      </w:r>
    </w:p>
    <w:p w14:paraId="2CB14E74" w14:textId="63207E48" w:rsidR="00A73B2C" w:rsidRDefault="003978AF" w:rsidP="00C472DD">
      <w:pPr>
        <w:pStyle w:val="Dotpoint"/>
      </w:pPr>
      <w:r>
        <w:t xml:space="preserve">without limiting the matters that may be taken into account, </w:t>
      </w:r>
      <w:r w:rsidR="00A73B2C">
        <w:t>consider the ‘merger factors’ in section 50(3)</w:t>
      </w:r>
      <w:r w:rsidR="00962425">
        <w:t>:</w:t>
      </w:r>
    </w:p>
    <w:p w14:paraId="291B7C1A" w14:textId="77777777" w:rsidR="00A73B2C" w:rsidRPr="00C472DD" w:rsidRDefault="00A73B2C" w:rsidP="00C472DD">
      <w:pPr>
        <w:pStyle w:val="Dash"/>
      </w:pPr>
      <w:r w:rsidRPr="00AD105B">
        <w:t>the actual and potential level of import competition in the market;</w:t>
      </w:r>
    </w:p>
    <w:p w14:paraId="1E74C19F" w14:textId="77777777" w:rsidR="00A73B2C" w:rsidRPr="00C472DD" w:rsidRDefault="00A73B2C" w:rsidP="00C472DD">
      <w:pPr>
        <w:pStyle w:val="Dash"/>
      </w:pPr>
      <w:r w:rsidRPr="00AD105B">
        <w:t>the height of barriers to entry to the market;</w:t>
      </w:r>
    </w:p>
    <w:p w14:paraId="0034B1E1" w14:textId="77777777" w:rsidR="00A73B2C" w:rsidRPr="00C472DD" w:rsidRDefault="00A73B2C" w:rsidP="00C472DD">
      <w:pPr>
        <w:pStyle w:val="Dash"/>
      </w:pPr>
      <w:r w:rsidRPr="00AD105B">
        <w:t>the level of concentration in the market;</w:t>
      </w:r>
    </w:p>
    <w:p w14:paraId="0098B24D" w14:textId="77777777" w:rsidR="00A73B2C" w:rsidRPr="00B47B7F" w:rsidRDefault="00A73B2C" w:rsidP="00C472DD">
      <w:pPr>
        <w:pStyle w:val="Dash"/>
      </w:pPr>
      <w:r w:rsidRPr="00B47B7F">
        <w:rPr>
          <w:iCs/>
        </w:rPr>
        <w:t>the</w:t>
      </w:r>
      <w:r w:rsidRPr="00C472DD">
        <w:t xml:space="preserve"> </w:t>
      </w:r>
      <w:r w:rsidRPr="00B47B7F">
        <w:t>degree of countervailing power in the market;</w:t>
      </w:r>
    </w:p>
    <w:p w14:paraId="7CFCD1DE" w14:textId="77777777" w:rsidR="00A73B2C" w:rsidRPr="00B47B7F" w:rsidRDefault="00A73B2C" w:rsidP="00C472DD">
      <w:pPr>
        <w:pStyle w:val="Dash"/>
      </w:pPr>
      <w:r w:rsidRPr="00B47B7F">
        <w:t>the likelihood that the acquisition would result in the acquirer being able to significantly and sustainably increase prices or profit margins;</w:t>
      </w:r>
    </w:p>
    <w:p w14:paraId="0A0C2C12" w14:textId="77777777" w:rsidR="00A73B2C" w:rsidRPr="00B47B7F" w:rsidRDefault="00A73B2C" w:rsidP="00C472DD">
      <w:pPr>
        <w:pStyle w:val="Dash"/>
      </w:pPr>
      <w:r w:rsidRPr="00B47B7F">
        <w:t>the extent to which substitutes are available in the market or are likely to be available in the market;</w:t>
      </w:r>
    </w:p>
    <w:p w14:paraId="10037580" w14:textId="77777777" w:rsidR="00A73B2C" w:rsidRPr="00B47B7F" w:rsidRDefault="00A73B2C" w:rsidP="00C472DD">
      <w:pPr>
        <w:pStyle w:val="Dash"/>
      </w:pPr>
      <w:r w:rsidRPr="00B47B7F">
        <w:t>the dynamic characteristics of the market, including growth, innovation and product differentiation;</w:t>
      </w:r>
    </w:p>
    <w:p w14:paraId="6FBF637F" w14:textId="77777777" w:rsidR="00A73B2C" w:rsidRPr="00B47B7F" w:rsidRDefault="00A73B2C" w:rsidP="00C472DD">
      <w:pPr>
        <w:pStyle w:val="Dash"/>
      </w:pPr>
      <w:r w:rsidRPr="00B47B7F">
        <w:t>the likelihood that the acquisition would result in the removal from the market of a vigorous and effective competitor;</w:t>
      </w:r>
      <w:r>
        <w:t xml:space="preserve"> and</w:t>
      </w:r>
    </w:p>
    <w:p w14:paraId="1C590197" w14:textId="77777777" w:rsidR="00A73B2C" w:rsidRDefault="00A73B2C" w:rsidP="00C472DD">
      <w:pPr>
        <w:pStyle w:val="Dash"/>
      </w:pPr>
      <w:r w:rsidRPr="00B47B7F">
        <w:t>the nature and extent of vertical integration in the market.</w:t>
      </w:r>
    </w:p>
    <w:p w14:paraId="3CA2F172" w14:textId="3D29BA87" w:rsidR="009F3681" w:rsidRDefault="00A73B2C" w:rsidP="00E26BA0">
      <w:r w:rsidRPr="00252C7D">
        <w:t>‘Likely’ means a</w:t>
      </w:r>
      <w:r w:rsidRPr="00252C7D" w:rsidDel="000C2B79">
        <w:t xml:space="preserve"> </w:t>
      </w:r>
      <w:r w:rsidR="00D75231" w:rsidRPr="00252C7D">
        <w:t>‘</w:t>
      </w:r>
      <w:r w:rsidRPr="00252C7D">
        <w:t>real commercial likelihood</w:t>
      </w:r>
      <w:r w:rsidR="00D75231" w:rsidRPr="00252C7D">
        <w:t xml:space="preserve">’ </w:t>
      </w:r>
      <w:r w:rsidRPr="00252C7D">
        <w:t>in the context of section 50.</w:t>
      </w:r>
      <w:r w:rsidRPr="00593B5C">
        <w:rPr>
          <w:rStyle w:val="FootnoteReference"/>
          <w:vertAlign w:val="superscript"/>
        </w:rPr>
        <w:footnoteReference w:id="2"/>
      </w:r>
      <w:r w:rsidRPr="00252C7D">
        <w:t xml:space="preserve"> Further, a ‘substantial’ lessening of competition does not need to be </w:t>
      </w:r>
      <w:r w:rsidR="00D75231" w:rsidRPr="00252C7D">
        <w:t>‘</w:t>
      </w:r>
      <w:r w:rsidRPr="00252C7D">
        <w:t xml:space="preserve">large or weighty… but one that is </w:t>
      </w:r>
      <w:r w:rsidR="00D75231" w:rsidRPr="00252C7D">
        <w:t>‘</w:t>
      </w:r>
      <w:r w:rsidRPr="00252C7D">
        <w:t>real or of substance</w:t>
      </w:r>
      <w:r w:rsidR="003B33D7" w:rsidRPr="00252C7D">
        <w:t xml:space="preserve">… </w:t>
      </w:r>
      <w:r w:rsidRPr="00252C7D">
        <w:t>and thereby meaningful and relevant to the competitive process</w:t>
      </w:r>
      <w:r w:rsidR="003B33D7" w:rsidRPr="00252C7D">
        <w:t>’</w:t>
      </w:r>
      <w:r>
        <w:t>.</w:t>
      </w:r>
      <w:r w:rsidRPr="003361BD">
        <w:rPr>
          <w:rStyle w:val="FootnoteReference"/>
          <w:vertAlign w:val="superscript"/>
        </w:rPr>
        <w:footnoteReference w:id="3"/>
      </w:r>
      <w:r w:rsidR="009F3681">
        <w:br w:type="page"/>
      </w:r>
    </w:p>
    <w:p w14:paraId="4AC46740" w14:textId="43FF8520" w:rsidR="00A73B2C" w:rsidRPr="00A73B2C" w:rsidRDefault="00A73B2C" w:rsidP="00A73B2C">
      <w:pPr>
        <w:pStyle w:val="Heading2"/>
      </w:pPr>
      <w:bookmarkStart w:id="4" w:name="_Toc150852475"/>
      <w:r w:rsidRPr="00A73B2C">
        <w:lastRenderedPageBreak/>
        <w:t>Mergers assessment processes</w:t>
      </w:r>
      <w:bookmarkEnd w:id="4"/>
    </w:p>
    <w:p w14:paraId="6BB9D9B0" w14:textId="77777777" w:rsidR="00A73B2C" w:rsidRDefault="00A73B2C" w:rsidP="00A73B2C">
      <w:r w:rsidRPr="00252C7D">
        <w:t>Three voluntary processes exist by which proposed mergers may be subject to competition assessment</w:t>
      </w:r>
      <w:r>
        <w:t xml:space="preserve">: </w:t>
      </w:r>
    </w:p>
    <w:p w14:paraId="53E1342A" w14:textId="36251876" w:rsidR="00A73B2C" w:rsidRDefault="00A73B2C" w:rsidP="00C472DD">
      <w:pPr>
        <w:pStyle w:val="Dotpoint"/>
      </w:pPr>
      <w:r>
        <w:t>informal merger review</w:t>
      </w:r>
      <w:r w:rsidR="00F60BFF">
        <w:t>;</w:t>
      </w:r>
    </w:p>
    <w:p w14:paraId="019B1996" w14:textId="03CE21FE" w:rsidR="00A73B2C" w:rsidRDefault="00A73B2C" w:rsidP="00C472DD">
      <w:pPr>
        <w:pStyle w:val="Dotpoint"/>
      </w:pPr>
      <w:r>
        <w:t>merger authorisation</w:t>
      </w:r>
      <w:r w:rsidR="00F60BFF">
        <w:t>;</w:t>
      </w:r>
      <w:r>
        <w:t xml:space="preserve"> and</w:t>
      </w:r>
    </w:p>
    <w:p w14:paraId="3631394E" w14:textId="60A9E7B7" w:rsidR="00A73B2C" w:rsidRDefault="00C81572" w:rsidP="00C472DD">
      <w:pPr>
        <w:pStyle w:val="Dotpoint"/>
      </w:pPr>
      <w:r>
        <w:t xml:space="preserve">Federal Court </w:t>
      </w:r>
      <w:r w:rsidR="00D22414">
        <w:t>proceedings</w:t>
      </w:r>
      <w:r w:rsidR="00A73B2C">
        <w:t>.</w:t>
      </w:r>
    </w:p>
    <w:p w14:paraId="19702674" w14:textId="7E121FEA" w:rsidR="00A73B2C" w:rsidRPr="00C20B51" w:rsidRDefault="00A73B2C" w:rsidP="00A73B2C">
      <w:pPr>
        <w:pStyle w:val="Heading3"/>
        <w:rPr>
          <w:i/>
        </w:rPr>
      </w:pPr>
      <w:bookmarkStart w:id="5" w:name="_Toc150852476"/>
      <w:r w:rsidRPr="00C20B51">
        <w:t xml:space="preserve">ACCC </w:t>
      </w:r>
      <w:r>
        <w:t>i</w:t>
      </w:r>
      <w:r w:rsidRPr="00C20B51">
        <w:t xml:space="preserve">nformal </w:t>
      </w:r>
      <w:r>
        <w:t>merger r</w:t>
      </w:r>
      <w:r w:rsidRPr="00C20B51">
        <w:t>eview</w:t>
      </w:r>
      <w:bookmarkEnd w:id="5"/>
    </w:p>
    <w:p w14:paraId="7E7FE928" w14:textId="1987FB84" w:rsidR="00A73B2C" w:rsidRDefault="00A73B2C" w:rsidP="00252C7D">
      <w:r>
        <w:t xml:space="preserve">Merger parties may request an </w:t>
      </w:r>
      <w:r w:rsidRPr="003E1F2F">
        <w:t xml:space="preserve">informal </w:t>
      </w:r>
      <w:r>
        <w:t xml:space="preserve">view from the </w:t>
      </w:r>
      <w:r w:rsidR="009C336B">
        <w:t>Australian Competition and Consumer Commission (</w:t>
      </w:r>
      <w:r>
        <w:t>ACCC</w:t>
      </w:r>
      <w:r w:rsidR="009C336B">
        <w:t>)</w:t>
      </w:r>
      <w:r w:rsidR="003B0B4C">
        <w:t>. There is no legislative basis</w:t>
      </w:r>
      <w:r w:rsidR="004A0FD5">
        <w:t xml:space="preserve"> for this review</w:t>
      </w:r>
      <w:r>
        <w:t>.</w:t>
      </w:r>
    </w:p>
    <w:p w14:paraId="0C20AC81" w14:textId="39979CEB" w:rsidR="00A73B2C" w:rsidRDefault="00A73B2C" w:rsidP="00252C7D">
      <w:r>
        <w:t>An</w:t>
      </w:r>
      <w:r w:rsidR="009C336B">
        <w:t xml:space="preserve"> </w:t>
      </w:r>
      <w:r>
        <w:t>ACCC informal view provided to merger parties has no legal effect. Rather, it provides an assurance that the ACCC does not intend to take court action to stop a proposed merger from proceeding (</w:t>
      </w:r>
      <w:r w:rsidR="00997DC4">
        <w:t xml:space="preserve">based on </w:t>
      </w:r>
      <w:r w:rsidR="007524D0">
        <w:t>the information available at the time of the decision</w:t>
      </w:r>
      <w:r>
        <w:t xml:space="preserve">). </w:t>
      </w:r>
    </w:p>
    <w:p w14:paraId="5C8685D6" w14:textId="7BD551C6" w:rsidR="00A73B2C" w:rsidRDefault="00A73B2C" w:rsidP="00252C7D">
      <w:r>
        <w:t xml:space="preserve">The ACCC considers mergers either through a pre-assessment or public review process. </w:t>
      </w:r>
    </w:p>
    <w:p w14:paraId="2FC94CB1" w14:textId="33C4A6B8" w:rsidR="00A73B2C" w:rsidRDefault="00A73B2C" w:rsidP="00A73B2C">
      <w:pPr>
        <w:pStyle w:val="Bullet"/>
        <w:numPr>
          <w:ilvl w:val="0"/>
          <w:numId w:val="26"/>
        </w:numPr>
        <w:tabs>
          <w:tab w:val="clear" w:pos="720"/>
        </w:tabs>
        <w:spacing w:after="240" w:line="240" w:lineRule="auto"/>
      </w:pPr>
      <w:r>
        <w:t xml:space="preserve">A </w:t>
      </w:r>
      <w:r w:rsidRPr="00157477">
        <w:rPr>
          <w:b/>
          <w:bCs/>
        </w:rPr>
        <w:t>pre-</w:t>
      </w:r>
      <w:r w:rsidRPr="00157477">
        <w:rPr>
          <w:b/>
        </w:rPr>
        <w:t>assessment</w:t>
      </w:r>
      <w:r>
        <w:t xml:space="preserve"> </w:t>
      </w:r>
      <w:r w:rsidRPr="00C472DD">
        <w:rPr>
          <w:rStyle w:val="DotpointChar"/>
        </w:rPr>
        <w:t>is an expedited review of low risk and non-contentious mergers. 83</w:t>
      </w:r>
      <w:r w:rsidR="00C06200" w:rsidRPr="00C472DD">
        <w:rPr>
          <w:rStyle w:val="DotpointChar"/>
        </w:rPr>
        <w:t xml:space="preserve"> per cent </w:t>
      </w:r>
      <w:r w:rsidRPr="00C472DD">
        <w:rPr>
          <w:rStyle w:val="DotpointChar"/>
        </w:rPr>
        <w:t>of ACCC merger reviews have been pre-assessed</w:t>
      </w:r>
      <w:r w:rsidR="00E7596B" w:rsidRPr="00C472DD">
        <w:rPr>
          <w:rStyle w:val="DotpointChar"/>
        </w:rPr>
        <w:t xml:space="preserve"> </w:t>
      </w:r>
      <w:r w:rsidRPr="00C472DD">
        <w:rPr>
          <w:rStyle w:val="DotpointChar"/>
        </w:rPr>
        <w:t xml:space="preserve">since </w:t>
      </w:r>
      <w:r w:rsidR="00B37DE3" w:rsidRPr="00C472DD">
        <w:rPr>
          <w:rStyle w:val="DotpointChar"/>
        </w:rPr>
        <w:t xml:space="preserve">introduction of </w:t>
      </w:r>
      <w:r w:rsidR="007932F8" w:rsidRPr="00C472DD">
        <w:rPr>
          <w:rStyle w:val="DotpointChar"/>
        </w:rPr>
        <w:t>this pro</w:t>
      </w:r>
      <w:r w:rsidR="00886CD8" w:rsidRPr="00C472DD">
        <w:rPr>
          <w:rStyle w:val="DotpointChar"/>
        </w:rPr>
        <w:t xml:space="preserve">cess in </w:t>
      </w:r>
      <w:r w:rsidRPr="00C472DD">
        <w:rPr>
          <w:rStyle w:val="DotpointChar"/>
        </w:rPr>
        <w:t>2009</w:t>
      </w:r>
      <w:r w:rsidR="009B629D" w:rsidRPr="00C472DD">
        <w:rPr>
          <w:rStyle w:val="DotpointChar"/>
        </w:rPr>
        <w:t>-</w:t>
      </w:r>
      <w:r w:rsidRPr="00C472DD">
        <w:rPr>
          <w:rStyle w:val="DotpointChar"/>
        </w:rPr>
        <w:t xml:space="preserve">10. </w:t>
      </w:r>
      <w:r w:rsidR="002A4688" w:rsidRPr="00C472DD">
        <w:rPr>
          <w:rStyle w:val="DotpointChar"/>
        </w:rPr>
        <w:t>In</w:t>
      </w:r>
      <w:r w:rsidR="002E515E">
        <w:rPr>
          <w:rStyle w:val="DotpointChar"/>
        </w:rPr>
        <w:t xml:space="preserve"> </w:t>
      </w:r>
      <w:r w:rsidR="002A4688" w:rsidRPr="00C472DD">
        <w:rPr>
          <w:rStyle w:val="DotpointChar"/>
        </w:rPr>
        <w:t xml:space="preserve">the </w:t>
      </w:r>
      <w:r w:rsidR="001C1FF4">
        <w:rPr>
          <w:rStyle w:val="DotpointChar"/>
        </w:rPr>
        <w:t>p</w:t>
      </w:r>
      <w:r w:rsidR="002A4688" w:rsidRPr="00C472DD">
        <w:rPr>
          <w:rStyle w:val="DotpointChar"/>
        </w:rPr>
        <w:t>ast 5 years</w:t>
      </w:r>
      <w:r w:rsidR="00CF7DED" w:rsidRPr="00C472DD">
        <w:rPr>
          <w:rStyle w:val="DotpointChar"/>
        </w:rPr>
        <w:t>, 93</w:t>
      </w:r>
      <w:r w:rsidR="00C06200" w:rsidRPr="00C472DD">
        <w:rPr>
          <w:rStyle w:val="DotpointChar"/>
        </w:rPr>
        <w:t xml:space="preserve"> per cent </w:t>
      </w:r>
      <w:r w:rsidR="00CF7DED" w:rsidRPr="00C472DD">
        <w:rPr>
          <w:rStyle w:val="DotpointChar"/>
        </w:rPr>
        <w:t>of ACCC merger reviews were pre-assessed</w:t>
      </w:r>
      <w:r w:rsidR="00AF76FF" w:rsidRPr="00C472DD">
        <w:rPr>
          <w:rStyle w:val="DotpointChar"/>
        </w:rPr>
        <w:t>, with the majority of these assessed within 2 weeks</w:t>
      </w:r>
      <w:r w:rsidR="00280137" w:rsidRPr="00C472DD">
        <w:rPr>
          <w:rStyle w:val="DotpointChar"/>
        </w:rPr>
        <w:t xml:space="preserve"> (excluding time taken for merger parties to provide additional information to the ACCC)</w:t>
      </w:r>
      <w:r w:rsidR="00CF7DED" w:rsidRPr="00C472DD">
        <w:rPr>
          <w:rStyle w:val="DotpointChar"/>
        </w:rPr>
        <w:t>.</w:t>
      </w:r>
    </w:p>
    <w:p w14:paraId="588FF5FF" w14:textId="7DE53025" w:rsidR="00A73B2C" w:rsidRPr="00C472DD" w:rsidRDefault="00A73B2C" w:rsidP="00A73B2C">
      <w:pPr>
        <w:pStyle w:val="Bullet"/>
        <w:numPr>
          <w:ilvl w:val="0"/>
          <w:numId w:val="26"/>
        </w:numPr>
        <w:tabs>
          <w:tab w:val="clear" w:pos="720"/>
        </w:tabs>
        <w:spacing w:after="240" w:line="240" w:lineRule="auto"/>
        <w:rPr>
          <w:rStyle w:val="DotpointChar"/>
        </w:rPr>
      </w:pPr>
      <w:r>
        <w:t xml:space="preserve">A </w:t>
      </w:r>
      <w:r w:rsidRPr="006C6107">
        <w:rPr>
          <w:b/>
        </w:rPr>
        <w:t>public review</w:t>
      </w:r>
      <w:r>
        <w:t xml:space="preserve"> </w:t>
      </w:r>
      <w:r w:rsidRPr="00C472DD">
        <w:rPr>
          <w:rStyle w:val="DotpointChar"/>
        </w:rPr>
        <w:t xml:space="preserve">involves market inquiries and submissions from affected parties such as competitors and customers. The ACCC will issue a </w:t>
      </w:r>
      <w:r w:rsidR="00E57AD1" w:rsidRPr="00C472DD">
        <w:rPr>
          <w:rStyle w:val="DotpointChar"/>
        </w:rPr>
        <w:t>S</w:t>
      </w:r>
      <w:r w:rsidRPr="00C472DD">
        <w:rPr>
          <w:rStyle w:val="DotpointChar"/>
        </w:rPr>
        <w:t xml:space="preserve">tatement of </w:t>
      </w:r>
      <w:r w:rsidR="00E57AD1" w:rsidRPr="00C472DD">
        <w:rPr>
          <w:rStyle w:val="DotpointChar"/>
        </w:rPr>
        <w:t>I</w:t>
      </w:r>
      <w:r w:rsidRPr="00C472DD">
        <w:rPr>
          <w:rStyle w:val="DotpointChar"/>
        </w:rPr>
        <w:t>ssues and extend the review if it considers competition concerns have arisen.</w:t>
      </w:r>
      <w:r w:rsidR="00382403" w:rsidRPr="00C472DD">
        <w:rPr>
          <w:rStyle w:val="DotpointChar"/>
        </w:rPr>
        <w:t xml:space="preserve"> </w:t>
      </w:r>
      <w:r w:rsidR="00752FE4" w:rsidRPr="00C472DD">
        <w:rPr>
          <w:rStyle w:val="DotpointChar"/>
        </w:rPr>
        <w:t>Timelines depend on the complexity</w:t>
      </w:r>
      <w:r w:rsidR="002D06FE">
        <w:t>;</w:t>
      </w:r>
      <w:r w:rsidR="00B67CB0" w:rsidRPr="00C472DD">
        <w:rPr>
          <w:rStyle w:val="DotpointChar"/>
        </w:rPr>
        <w:t xml:space="preserve"> however </w:t>
      </w:r>
      <w:r w:rsidR="00C6734F" w:rsidRPr="00C472DD">
        <w:rPr>
          <w:rStyle w:val="DotpointChar"/>
        </w:rPr>
        <w:t>indicative timeframes are</w:t>
      </w:r>
      <w:r w:rsidR="00E848A9" w:rsidRPr="00C472DD">
        <w:rPr>
          <w:rStyle w:val="DotpointChar"/>
        </w:rPr>
        <w:t xml:space="preserve"> </w:t>
      </w:r>
      <w:r w:rsidR="00C6734F" w:rsidRPr="00C472DD">
        <w:rPr>
          <w:rStyle w:val="DotpointChar"/>
        </w:rPr>
        <w:t>approximately 6-12 weeks</w:t>
      </w:r>
      <w:r w:rsidR="00881BDB" w:rsidRPr="00C472DD">
        <w:rPr>
          <w:rStyle w:val="DotpointChar"/>
        </w:rPr>
        <w:t xml:space="preserve"> for m</w:t>
      </w:r>
      <w:r w:rsidR="005368FF" w:rsidRPr="00C472DD">
        <w:rPr>
          <w:rStyle w:val="DotpointChar"/>
        </w:rPr>
        <w:t xml:space="preserve">ergers that do not require further consideration, with an additional 6-12 weeks where a Statement of Issues is </w:t>
      </w:r>
      <w:r w:rsidR="00102525" w:rsidRPr="00C472DD">
        <w:rPr>
          <w:rStyle w:val="DotpointChar"/>
        </w:rPr>
        <w:t>released.</w:t>
      </w:r>
    </w:p>
    <w:p w14:paraId="25DD0D5B" w14:textId="77777777" w:rsidR="00A73B2C" w:rsidRDefault="00A73B2C" w:rsidP="00252C7D">
      <w:r>
        <w:t>Parties may also request a confidential assessment that leads to a preliminary view being provided prior to a merger becoming public.</w:t>
      </w:r>
    </w:p>
    <w:p w14:paraId="2C562E1B" w14:textId="6827DD5C" w:rsidR="00A73B2C" w:rsidRDefault="00A73B2C" w:rsidP="00252C7D">
      <w:r>
        <w:t>As an unlegislated process, there are no formal obligations on mergers parties to provide information to the ACCC when seeking informal merger review. However, merger parties are encouraged to provide sufficient documentation to enable the ACCC to assess the competition impacts of the proposed merger</w:t>
      </w:r>
      <w:r w:rsidR="0023603E">
        <w:t xml:space="preserve"> and to </w:t>
      </w:r>
      <w:r w:rsidR="001B4F35">
        <w:t>avoid delays</w:t>
      </w:r>
      <w:r>
        <w:t>.</w:t>
      </w:r>
    </w:p>
    <w:p w14:paraId="013397AE" w14:textId="109F78A2" w:rsidR="00A73B2C" w:rsidRDefault="00A73B2C" w:rsidP="00252C7D">
      <w:r>
        <w:t>If the ACCC concludes that a proposed merger would be likely to breach section 50, it may accept a court-enforceable undertaking under s</w:t>
      </w:r>
      <w:r w:rsidR="00BA788F">
        <w:t>ection</w:t>
      </w:r>
      <w:r>
        <w:t xml:space="preserve"> 87B of the CCA to remedy competition concerns. If this is not </w:t>
      </w:r>
      <w:r w:rsidR="00E82480">
        <w:t xml:space="preserve">offered by the merger parties and the parties do not voluntarily abandon </w:t>
      </w:r>
      <w:r w:rsidR="006164FA">
        <w:t>the transaction</w:t>
      </w:r>
      <w:r>
        <w:t>, the ACCC must then commence action in the Federal Court</w:t>
      </w:r>
      <w:r w:rsidR="00E9656B">
        <w:t xml:space="preserve"> of Australia (Federal Court)</w:t>
      </w:r>
      <w:r>
        <w:t xml:space="preserve"> to prevent the merger proceeding.</w:t>
      </w:r>
    </w:p>
    <w:p w14:paraId="334EA7D5" w14:textId="6826B93B" w:rsidR="00A73B2C" w:rsidRDefault="00A73B2C" w:rsidP="00A73B2C">
      <w:r w:rsidRPr="00252C7D">
        <w:lastRenderedPageBreak/>
        <w:t>If a merger about which the ACCC has competition concerns completes, the ACCC may seek divestiture</w:t>
      </w:r>
      <w:r w:rsidR="008C6532" w:rsidRPr="00F82477">
        <w:rPr>
          <w:rStyle w:val="FootnoteReference"/>
          <w:vertAlign w:val="superscript"/>
        </w:rPr>
        <w:footnoteReference w:id="4"/>
      </w:r>
      <w:r>
        <w:t xml:space="preserve"> </w:t>
      </w:r>
      <w:r w:rsidRPr="00252C7D">
        <w:t>(within 3 years of the merger completing) and/or pecuniary penalties</w:t>
      </w:r>
      <w:r w:rsidR="001C7DC2" w:rsidRPr="001D3F37">
        <w:rPr>
          <w:vertAlign w:val="superscript"/>
        </w:rPr>
        <w:footnoteReference w:id="5"/>
      </w:r>
      <w:r w:rsidRPr="00C472DD">
        <w:rPr>
          <w:vertAlign w:val="superscript"/>
        </w:rPr>
        <w:t xml:space="preserve"> </w:t>
      </w:r>
      <w:r w:rsidRPr="00252C7D">
        <w:t>(within 6 years of the merger completing</w:t>
      </w:r>
      <w:r w:rsidR="00DD46CB" w:rsidRPr="00252C7D">
        <w:t>)</w:t>
      </w:r>
      <w:r w:rsidR="00DD46CB">
        <w:t>.</w:t>
      </w:r>
      <w:r w:rsidR="00B92F0D" w:rsidRPr="00C428E1">
        <w:rPr>
          <w:rStyle w:val="FootnoteReference"/>
          <w:vertAlign w:val="superscript"/>
        </w:rPr>
        <w:footnoteReference w:id="6"/>
      </w:r>
      <w:r>
        <w:t xml:space="preserve"> </w:t>
      </w:r>
    </w:p>
    <w:p w14:paraId="6B896401" w14:textId="3846AAEF" w:rsidR="00A73B2C" w:rsidRPr="00C20B51" w:rsidRDefault="00A73B2C" w:rsidP="00A73B2C">
      <w:pPr>
        <w:pStyle w:val="Heading3"/>
        <w:rPr>
          <w:i/>
        </w:rPr>
      </w:pPr>
      <w:bookmarkStart w:id="6" w:name="_Toc150852477"/>
      <w:r>
        <w:t>ACCC m</w:t>
      </w:r>
      <w:r w:rsidRPr="00C20B51">
        <w:t xml:space="preserve">erger </w:t>
      </w:r>
      <w:r>
        <w:t>a</w:t>
      </w:r>
      <w:r w:rsidRPr="00C20B51">
        <w:t>uthorisation</w:t>
      </w:r>
      <w:bookmarkEnd w:id="6"/>
    </w:p>
    <w:p w14:paraId="10CE669A" w14:textId="309CEBF8" w:rsidR="00A73B2C" w:rsidRDefault="00A73B2C" w:rsidP="00626323">
      <w:r w:rsidRPr="00252C7D">
        <w:t>Alternatively, merger parties may apply to the ACCC for merger authorisation</w:t>
      </w:r>
      <w:r w:rsidR="006164FA" w:rsidRPr="00252C7D">
        <w:t>.</w:t>
      </w:r>
      <w:r w:rsidRPr="00252C7D">
        <w:t xml:space="preserve"> Authorisation provides formal legal immunity from court action under section 50</w:t>
      </w:r>
      <w:r>
        <w:t>.</w:t>
      </w:r>
      <w:r w:rsidR="00B33862" w:rsidRPr="006164FA">
        <w:rPr>
          <w:rStyle w:val="FootnoteReference"/>
          <w:vertAlign w:val="superscript"/>
        </w:rPr>
        <w:footnoteReference w:id="7"/>
      </w:r>
    </w:p>
    <w:p w14:paraId="5942D0ED" w14:textId="6EF771CB" w:rsidR="00A73B2C" w:rsidRDefault="00A73B2C" w:rsidP="00A73B2C">
      <w:r w:rsidRPr="00252C7D">
        <w:t>Merger parties who seek authorisation are required to provide an undertaking to the ACCC that they will not complete the merger until their application has been determined</w:t>
      </w:r>
      <w:r>
        <w:t>.</w:t>
      </w:r>
      <w:r w:rsidR="009E5772" w:rsidRPr="00F82477">
        <w:rPr>
          <w:rStyle w:val="FootnoteReference"/>
          <w:vertAlign w:val="superscript"/>
        </w:rPr>
        <w:footnoteReference w:id="8"/>
      </w:r>
      <w:r w:rsidRPr="003A1E35">
        <w:t xml:space="preserve"> </w:t>
      </w:r>
    </w:p>
    <w:p w14:paraId="7355E9AA" w14:textId="5EC78226" w:rsidR="00A73B2C" w:rsidRDefault="00A73B2C" w:rsidP="00A73B2C">
      <w:r w:rsidRPr="00252C7D">
        <w:t>Upon receipt of a valid application, the ACCC will conduct market inquiries and seek public submissions and further information as necessary. If the ACCC does not issue a determination within the 90</w:t>
      </w:r>
      <w:r w:rsidR="006B767B" w:rsidRPr="00252C7D">
        <w:t xml:space="preserve"> </w:t>
      </w:r>
      <w:r w:rsidRPr="00252C7D">
        <w:t>calendar day statutory timeframe (unless extended)</w:t>
      </w:r>
      <w:r w:rsidR="00FC3204">
        <w:t>,</w:t>
      </w:r>
      <w:r w:rsidRPr="00252C7D">
        <w:t xml:space="preserve"> the ACCC is taken to have refused authorisation</w:t>
      </w:r>
      <w:r w:rsidRPr="003A1E35">
        <w:t>.</w:t>
      </w:r>
      <w:r w:rsidR="002E22ED" w:rsidRPr="00F82477">
        <w:rPr>
          <w:rStyle w:val="FootnoteReference"/>
          <w:vertAlign w:val="superscript"/>
        </w:rPr>
        <w:footnoteReference w:id="9"/>
      </w:r>
    </w:p>
    <w:p w14:paraId="41F2093B" w14:textId="1E2DF1AA" w:rsidR="00A73B2C" w:rsidRDefault="00A73B2C" w:rsidP="00A73B2C">
      <w:r w:rsidRPr="00252C7D">
        <w:t>The ACCC must not grant authorisation unless it is satisfied that either the proposed acquisition would not be likely to substantially lessen competition or the likely public benefit from the proposed acquisition outweighs the likely public detriment</w:t>
      </w:r>
      <w:r>
        <w:t>.</w:t>
      </w:r>
      <w:r w:rsidRPr="001C0C7F">
        <w:rPr>
          <w:rStyle w:val="FootnoteReference"/>
          <w:vertAlign w:val="superscript"/>
        </w:rPr>
        <w:footnoteReference w:id="10"/>
      </w:r>
    </w:p>
    <w:p w14:paraId="7D58FA9D" w14:textId="77777777" w:rsidR="00A73B2C" w:rsidRDefault="00A73B2C" w:rsidP="00252C7D">
      <w:r>
        <w:t>The ACCC may grant authorisation unconditionally or subject to conditions (such as divestiture of specific assets).</w:t>
      </w:r>
    </w:p>
    <w:p w14:paraId="59936599" w14:textId="7F9D6C00" w:rsidR="00A73B2C" w:rsidRDefault="00A73B2C" w:rsidP="00252C7D">
      <w:r>
        <w:t>ACCC decisions are subject to limited merits review by the Australian Competition Tribunal (the Tribunal), on application by an interested party. Decisions of the Tribunal are subject to judicial review by the Full Court of the Federal Court.</w:t>
      </w:r>
    </w:p>
    <w:p w14:paraId="06AD957F" w14:textId="0F155347" w:rsidR="00A73B2C" w:rsidRDefault="00A73B2C" w:rsidP="00252C7D">
      <w:r>
        <w:t>Between 2007 and 2017, merger parties could apply directly to the Australian Competition Tribunal for merger authorisation. Following recommendations by the Harper Competition Policy Review, the ACCC was reinstated as the primary decision</w:t>
      </w:r>
      <w:r w:rsidR="009E13A8">
        <w:t>-</w:t>
      </w:r>
      <w:r>
        <w:t>maker for merger authorisation</w:t>
      </w:r>
      <w:r w:rsidR="00DF105A">
        <w:t>s</w:t>
      </w:r>
      <w:r>
        <w:t xml:space="preserve"> from November 2017.</w:t>
      </w:r>
    </w:p>
    <w:p w14:paraId="4C4CE6BA" w14:textId="649267E3" w:rsidR="00A73B2C" w:rsidRPr="00F47678" w:rsidRDefault="00A73B2C" w:rsidP="00A73B2C">
      <w:pPr>
        <w:pStyle w:val="Heading3"/>
        <w:rPr>
          <w:i/>
        </w:rPr>
      </w:pPr>
      <w:bookmarkStart w:id="7" w:name="_Toc150852478"/>
      <w:r w:rsidRPr="00F47678">
        <w:t>Federal Court</w:t>
      </w:r>
      <w:bookmarkEnd w:id="7"/>
    </w:p>
    <w:p w14:paraId="3D3C5340" w14:textId="7FF489E7" w:rsidR="00A73B2C" w:rsidRDefault="00A73B2C" w:rsidP="00A73B2C">
      <w:r w:rsidRPr="00252C7D">
        <w:t>Merger parties may seek a declaration from the Federal Court</w:t>
      </w:r>
      <w:r w:rsidR="00740A74" w:rsidRPr="00252C7D">
        <w:t>, at its discretion,</w:t>
      </w:r>
      <w:r w:rsidRPr="00252C7D">
        <w:t xml:space="preserve"> that the merger will not contravene section 50 of the CCA. </w:t>
      </w:r>
      <w:r w:rsidR="008E4707" w:rsidRPr="00252C7D">
        <w:t>In such proceedings,</w:t>
      </w:r>
      <w:r w:rsidR="00AC412D" w:rsidRPr="00252C7D">
        <w:t xml:space="preserve"> </w:t>
      </w:r>
      <w:r w:rsidR="008E4707" w:rsidRPr="00252C7D">
        <w:t>t</w:t>
      </w:r>
      <w:r w:rsidR="008C2E79" w:rsidRPr="00252C7D">
        <w:t>he</w:t>
      </w:r>
      <w:r w:rsidR="00A57961" w:rsidRPr="00252C7D">
        <w:t xml:space="preserve"> onus</w:t>
      </w:r>
      <w:r w:rsidR="008C2E79" w:rsidRPr="00252C7D">
        <w:t xml:space="preserve"> of proof is on the </w:t>
      </w:r>
      <w:r w:rsidR="00937AE2" w:rsidRPr="00252C7D">
        <w:t>merger party</w:t>
      </w:r>
      <w:r w:rsidR="008E4707" w:rsidRPr="00252C7D">
        <w:t xml:space="preserve"> to prove</w:t>
      </w:r>
      <w:r w:rsidR="005E0A82" w:rsidRPr="00252C7D">
        <w:t xml:space="preserve"> </w:t>
      </w:r>
      <w:r w:rsidR="00937AE2" w:rsidRPr="00252C7D">
        <w:t>that the merger w</w:t>
      </w:r>
      <w:r w:rsidR="001A6D78" w:rsidRPr="00252C7D">
        <w:t>ould</w:t>
      </w:r>
      <w:r w:rsidR="00937AE2" w:rsidRPr="00252C7D">
        <w:t xml:space="preserve"> not be likely to substantially lessen competition</w:t>
      </w:r>
      <w:r w:rsidR="005E0A82" w:rsidRPr="00252C7D">
        <w:t xml:space="preserve"> on the balance of probabilities</w:t>
      </w:r>
      <w:r w:rsidR="00EF5FD9" w:rsidRPr="00252C7D">
        <w:t>.</w:t>
      </w:r>
      <w:r w:rsidR="005E0A82" w:rsidRPr="00F3158B">
        <w:rPr>
          <w:rStyle w:val="FootnoteReference"/>
          <w:vertAlign w:val="superscript"/>
        </w:rPr>
        <w:footnoteReference w:id="11"/>
      </w:r>
    </w:p>
    <w:p w14:paraId="4E528462" w14:textId="2214973F" w:rsidR="00A73B2C" w:rsidRDefault="00A73B2C" w:rsidP="00252C7D">
      <w:r>
        <w:t xml:space="preserve">In practice, merger parties almost always first seek </w:t>
      </w:r>
      <w:r w:rsidR="00C56022">
        <w:t xml:space="preserve">the </w:t>
      </w:r>
      <w:r>
        <w:t>ACCC</w:t>
      </w:r>
      <w:r w:rsidR="00C56022">
        <w:t>’s</w:t>
      </w:r>
      <w:r>
        <w:t xml:space="preserve"> informal </w:t>
      </w:r>
      <w:r w:rsidR="00C56022">
        <w:t>view</w:t>
      </w:r>
      <w:r>
        <w:t xml:space="preserve"> or merger authorisation given the comparative complexity, cost and time associated with </w:t>
      </w:r>
      <w:r w:rsidR="00F0363B">
        <w:t>seeking a declaration</w:t>
      </w:r>
      <w:r>
        <w:t>.</w:t>
      </w:r>
    </w:p>
    <w:p w14:paraId="4EAD7E0A" w14:textId="75F763A3" w:rsidR="00A73B2C" w:rsidRPr="00B47B7F" w:rsidRDefault="00A73B2C" w:rsidP="00A73B2C">
      <w:pPr>
        <w:pStyle w:val="Heading2"/>
      </w:pPr>
      <w:bookmarkStart w:id="8" w:name="_Toc150852479"/>
      <w:r w:rsidRPr="00B47B7F">
        <w:lastRenderedPageBreak/>
        <w:t>Key facts and figures</w:t>
      </w:r>
      <w:bookmarkEnd w:id="8"/>
    </w:p>
    <w:p w14:paraId="70C928AF" w14:textId="77777777" w:rsidR="00A73B2C" w:rsidRPr="00B47B7F" w:rsidRDefault="00A73B2C" w:rsidP="00A73B2C">
      <w:pPr>
        <w:pStyle w:val="Heading3"/>
      </w:pPr>
      <w:bookmarkStart w:id="9" w:name="_Toc150852480"/>
      <w:r w:rsidRPr="00B47B7F">
        <w:t>Outcomes</w:t>
      </w:r>
      <w:bookmarkEnd w:id="9"/>
    </w:p>
    <w:p w14:paraId="702AC6B8" w14:textId="43395519" w:rsidR="00A73B2C" w:rsidRDefault="00F576FE" w:rsidP="00B54640">
      <w:pPr>
        <w:keepNext/>
      </w:pPr>
      <w:r>
        <w:t xml:space="preserve">From </w:t>
      </w:r>
      <w:r w:rsidR="00A73B2C">
        <w:t>2015</w:t>
      </w:r>
      <w:r w:rsidR="009B629D">
        <w:t>-</w:t>
      </w:r>
      <w:r w:rsidR="004C0926">
        <w:t>16</w:t>
      </w:r>
      <w:r>
        <w:t xml:space="preserve"> to 2022</w:t>
      </w:r>
      <w:r w:rsidR="009B629D">
        <w:t>-</w:t>
      </w:r>
      <w:r>
        <w:t>23</w:t>
      </w:r>
      <w:r w:rsidR="00A73B2C">
        <w:t xml:space="preserve">, </w:t>
      </w:r>
      <w:r w:rsidR="0034478C">
        <w:t>out of 2,710</w:t>
      </w:r>
      <w:r w:rsidR="00A73B2C">
        <w:t xml:space="preserve"> informal merger reviews</w:t>
      </w:r>
      <w:r w:rsidR="009B629D">
        <w:t>:</w:t>
      </w:r>
    </w:p>
    <w:p w14:paraId="34167881" w14:textId="5C4DB79C" w:rsidR="00A73B2C" w:rsidRDefault="00A73B2C" w:rsidP="00C472DD">
      <w:pPr>
        <w:pStyle w:val="Dotpoint"/>
      </w:pPr>
      <w:r w:rsidRPr="00C472DD">
        <w:rPr>
          <w:rStyle w:val="DotpointChar"/>
        </w:rPr>
        <w:t xml:space="preserve">the ACCC opposed </w:t>
      </w:r>
      <w:r w:rsidR="00EC2472" w:rsidRPr="00C472DD">
        <w:rPr>
          <w:rStyle w:val="DotpointChar"/>
        </w:rPr>
        <w:t>9</w:t>
      </w:r>
      <w:r w:rsidRPr="00C472DD">
        <w:rPr>
          <w:rStyle w:val="DotpointChar"/>
        </w:rPr>
        <w:t xml:space="preserve"> mergers</w:t>
      </w:r>
      <w:r w:rsidR="00DD46CB">
        <w:t>;</w:t>
      </w:r>
      <w:r w:rsidR="004E34BB" w:rsidRPr="007237FF">
        <w:rPr>
          <w:rStyle w:val="FootnoteReference"/>
          <w:vertAlign w:val="superscript"/>
        </w:rPr>
        <w:footnoteReference w:id="12"/>
      </w:r>
    </w:p>
    <w:p w14:paraId="5D19C9D9" w14:textId="2DCEBE7E" w:rsidR="00A73B2C" w:rsidRPr="00C472DD" w:rsidRDefault="00A73B2C" w:rsidP="00C472DD">
      <w:pPr>
        <w:pStyle w:val="Dotpoint"/>
        <w:rPr>
          <w:rStyle w:val="DotpointChar"/>
        </w:rPr>
      </w:pPr>
      <w:r w:rsidRPr="00C472DD">
        <w:rPr>
          <w:rStyle w:val="DotpointChar"/>
        </w:rPr>
        <w:t xml:space="preserve">the ACCC </w:t>
      </w:r>
      <w:r w:rsidR="00BE6B48">
        <w:t xml:space="preserve">did </w:t>
      </w:r>
      <w:r w:rsidR="00A361CA" w:rsidRPr="00C472DD">
        <w:rPr>
          <w:rStyle w:val="DotpointChar"/>
        </w:rPr>
        <w:t>not oppose</w:t>
      </w:r>
      <w:r w:rsidRPr="00C472DD">
        <w:rPr>
          <w:rStyle w:val="DotpointChar"/>
        </w:rPr>
        <w:t xml:space="preserve"> </w:t>
      </w:r>
      <w:r w:rsidR="00B051A2" w:rsidRPr="00C472DD">
        <w:rPr>
          <w:rStyle w:val="DotpointChar"/>
        </w:rPr>
        <w:t>2</w:t>
      </w:r>
      <w:r w:rsidR="00573A38">
        <w:rPr>
          <w:rStyle w:val="DotpointChar"/>
        </w:rPr>
        <w:t>7</w:t>
      </w:r>
      <w:r w:rsidRPr="00C472DD">
        <w:rPr>
          <w:rStyle w:val="DotpointChar"/>
        </w:rPr>
        <w:t xml:space="preserve"> mergers subject to </w:t>
      </w:r>
      <w:r w:rsidR="00FF29D9" w:rsidRPr="00C472DD">
        <w:rPr>
          <w:rStyle w:val="DotpointChar"/>
        </w:rPr>
        <w:t xml:space="preserve">an </w:t>
      </w:r>
      <w:r w:rsidRPr="00C472DD">
        <w:rPr>
          <w:rStyle w:val="DotpointChar"/>
        </w:rPr>
        <w:t>enforceable undertaking to remedy competition concerns; and</w:t>
      </w:r>
    </w:p>
    <w:p w14:paraId="1A80E743" w14:textId="77777777" w:rsidR="00B12F8C" w:rsidRDefault="00A73B2C" w:rsidP="00DD607E">
      <w:pPr>
        <w:pStyle w:val="Dotpoint"/>
      </w:pPr>
      <w:r w:rsidRPr="00C472DD">
        <w:rPr>
          <w:rStyle w:val="DotpointChar"/>
        </w:rPr>
        <w:t>a further 27 mergers were withdrawn after the ACCC raised competition concerns</w:t>
      </w:r>
      <w:r w:rsidR="000F01A3" w:rsidRPr="00C472DD">
        <w:rPr>
          <w:rStyle w:val="DotpointChar"/>
        </w:rPr>
        <w:t xml:space="preserve"> (as shown in Figure 1</w:t>
      </w:r>
      <w:r w:rsidR="000F01A3">
        <w:t>)</w:t>
      </w:r>
      <w:r>
        <w:t>.</w:t>
      </w:r>
      <w:r w:rsidR="001B1729" w:rsidRPr="001B1729">
        <w:rPr>
          <w:rStyle w:val="FootnoteReference"/>
          <w:vertAlign w:val="superscript"/>
        </w:rPr>
        <w:footnoteReference w:id="13"/>
      </w:r>
    </w:p>
    <w:p w14:paraId="5E34A9F0" w14:textId="60F19D56" w:rsidR="00B12F8C" w:rsidRPr="00C472DD" w:rsidRDefault="00B12F8C" w:rsidP="00C472DD">
      <w:pPr>
        <w:pStyle w:val="ChartMainHeading"/>
        <w:rPr>
          <w:b/>
        </w:rPr>
      </w:pPr>
      <w:bookmarkStart w:id="10" w:name="_Toc150852481"/>
      <w:r w:rsidRPr="00C472DD">
        <w:rPr>
          <w:b/>
          <w:bCs/>
        </w:rPr>
        <w:t>Figure 1:</w:t>
      </w:r>
      <w:r w:rsidRPr="00C472DD">
        <w:rPr>
          <w:b/>
        </w:rPr>
        <w:t xml:space="preserve"> </w:t>
      </w:r>
      <w:r w:rsidRPr="004963B9">
        <w:t>Number of informal merger reviews</w:t>
      </w:r>
      <w:r>
        <w:t xml:space="preserve"> since 2015-16</w:t>
      </w:r>
      <w:r w:rsidRPr="004963B9">
        <w:t xml:space="preserve"> where competition concerns were raised by the ACCC</w:t>
      </w:r>
      <w:bookmarkEnd w:id="10"/>
    </w:p>
    <w:p w14:paraId="256849A9" w14:textId="06F032D2" w:rsidR="00B12F8C" w:rsidRDefault="00DE68EA" w:rsidP="00B12F8C">
      <w:pPr>
        <w:jc w:val="center"/>
      </w:pPr>
      <w:r>
        <w:rPr>
          <w:noProof/>
        </w:rPr>
        <w:drawing>
          <wp:inline distT="0" distB="0" distL="0" distR="0" wp14:anchorId="745FF4B4" wp14:editId="46970646">
            <wp:extent cx="5197002" cy="3024000"/>
            <wp:effectExtent l="0" t="0" r="3810" b="5080"/>
            <wp:docPr id="9" name="Picture 9" descr="This chart shows the number of informal merger reviews since 2015-16 where competition concerns were raised by the ACCC. This includes matters that were opposed by the ACCC, where a section 87B undertaking was accepted by the ACCC or where they were withdrawn by the merger parties post-Statement of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chart shows the number of informal merger reviews since 2015-16 where competition concerns were raised by the ACCC. This includes matters that were opposed by the ACCC, where a section 87B undertaking was accepted by the ACCC or where they were withdrawn by the merger parties post-Statement of Issu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7002" cy="3024000"/>
                    </a:xfrm>
                    <a:prstGeom prst="rect">
                      <a:avLst/>
                    </a:prstGeom>
                    <a:noFill/>
                  </pic:spPr>
                </pic:pic>
              </a:graphicData>
            </a:graphic>
          </wp:inline>
        </w:drawing>
      </w:r>
    </w:p>
    <w:p w14:paraId="2CDE9A55" w14:textId="6ADD5454" w:rsidR="00B12F8C" w:rsidRDefault="00B12F8C" w:rsidP="00C472DD">
      <w:pPr>
        <w:pStyle w:val="ChartorTableNote"/>
        <w:ind w:firstLine="720"/>
      </w:pPr>
      <w:r>
        <w:t>Note:</w:t>
      </w:r>
      <w:r w:rsidRPr="00886FD7">
        <w:t xml:space="preserve"> </w:t>
      </w:r>
      <w:r w:rsidR="00B3583E">
        <w:t>F</w:t>
      </w:r>
      <w:r w:rsidRPr="00E54FBB">
        <w:t>inancial year.</w:t>
      </w:r>
      <w:r>
        <w:t xml:space="preserve"> </w:t>
      </w:r>
      <w:r w:rsidRPr="009575FE">
        <w:t>Source: ACCC</w:t>
      </w:r>
      <w:r>
        <w:t>.</w:t>
      </w:r>
      <w:r w:rsidRPr="00E54FBB">
        <w:t xml:space="preserve"> </w:t>
      </w:r>
    </w:p>
    <w:p w14:paraId="529DD39C" w14:textId="72D382B9" w:rsidR="00A73B2C" w:rsidRDefault="00EB1EFA" w:rsidP="002511C4">
      <w:pPr>
        <w:pStyle w:val="Dotpoint"/>
        <w:numPr>
          <w:ilvl w:val="0"/>
          <w:numId w:val="0"/>
        </w:numPr>
        <w:spacing w:before="240"/>
      </w:pPr>
      <w:r>
        <w:t>The ACCC has considered 7 applications for merger authorisation since it was reinstated as the decision-maker at first instance in November 2017</w:t>
      </w:r>
      <w:r w:rsidR="003E51FA">
        <w:t>. Out of these, the ACCC</w:t>
      </w:r>
      <w:r w:rsidR="00A73B2C">
        <w:t>:</w:t>
      </w:r>
    </w:p>
    <w:p w14:paraId="0BCBE5A3" w14:textId="77777777" w:rsidR="00A73B2C" w:rsidRDefault="00A73B2C" w:rsidP="00C472DD">
      <w:pPr>
        <w:pStyle w:val="Dotpoint"/>
      </w:pPr>
      <w:r>
        <w:t>granted 1 authorisation unconditionally;</w:t>
      </w:r>
    </w:p>
    <w:p w14:paraId="28354927" w14:textId="15A20892" w:rsidR="00A73B2C" w:rsidRDefault="00A73B2C" w:rsidP="00C472DD">
      <w:pPr>
        <w:pStyle w:val="Dotpoint"/>
      </w:pPr>
      <w:r>
        <w:t>granted 4 authorisations subject to section 87B undertakings; and</w:t>
      </w:r>
    </w:p>
    <w:p w14:paraId="6FF164F0" w14:textId="4857D872" w:rsidR="00A73B2C" w:rsidRDefault="00A73B2C" w:rsidP="00C472DD">
      <w:pPr>
        <w:pStyle w:val="Dotpoint"/>
      </w:pPr>
      <w:r>
        <w:t xml:space="preserve">denied 2 </w:t>
      </w:r>
      <w:r w:rsidR="00B34E8B">
        <w:t xml:space="preserve">applications for </w:t>
      </w:r>
      <w:r>
        <w:t>authorisation.</w:t>
      </w:r>
    </w:p>
    <w:p w14:paraId="1ABA4F24" w14:textId="77777777" w:rsidR="00A73B2C" w:rsidRPr="00045FCD" w:rsidRDefault="00A73B2C" w:rsidP="00045FCD">
      <w:pPr>
        <w:pStyle w:val="Heading3"/>
      </w:pPr>
      <w:bookmarkStart w:id="11" w:name="_Toc150852482"/>
      <w:r w:rsidRPr="00045FCD">
        <w:lastRenderedPageBreak/>
        <w:t>Processes</w:t>
      </w:r>
      <w:bookmarkEnd w:id="11"/>
    </w:p>
    <w:p w14:paraId="787AC69B" w14:textId="389E06EC" w:rsidR="00A73B2C" w:rsidRDefault="00A73B2C" w:rsidP="009150DF">
      <w:r>
        <w:t xml:space="preserve">Figure </w:t>
      </w:r>
      <w:r w:rsidR="00A84928">
        <w:t xml:space="preserve">2 </w:t>
      </w:r>
      <w:r>
        <w:t>shows that, since 2009</w:t>
      </w:r>
      <w:r w:rsidR="009B629D">
        <w:t>-</w:t>
      </w:r>
      <w:r>
        <w:t>10</w:t>
      </w:r>
      <w:r w:rsidR="00E56D53">
        <w:t>,</w:t>
      </w:r>
      <w:r>
        <w:t xml:space="preserve"> when the pre-assessment process was introduced:</w:t>
      </w:r>
    </w:p>
    <w:p w14:paraId="192220CC" w14:textId="77777777" w:rsidR="00A73B2C" w:rsidRDefault="00A73B2C" w:rsidP="00C472DD">
      <w:pPr>
        <w:pStyle w:val="Dotpoint"/>
      </w:pPr>
      <w:r>
        <w:t xml:space="preserve">the ACCC has reviewed an average of </w:t>
      </w:r>
      <w:r w:rsidRPr="00B742CF">
        <w:t>333</w:t>
      </w:r>
      <w:r>
        <w:t xml:space="preserve"> mergers each year;</w:t>
      </w:r>
    </w:p>
    <w:p w14:paraId="4D50E895" w14:textId="084E7713" w:rsidR="00A73B2C" w:rsidRDefault="00A73B2C" w:rsidP="00C472DD">
      <w:pPr>
        <w:pStyle w:val="Dotpoint"/>
      </w:pPr>
      <w:r>
        <w:t>the number of mergers that were pre-assessed by the ACCC since 2009</w:t>
      </w:r>
      <w:r w:rsidR="0048628B">
        <w:t>-</w:t>
      </w:r>
      <w:r>
        <w:t>10 has increased, with a spike in 2020-</w:t>
      </w:r>
      <w:r w:rsidR="008E42E0">
        <w:t>20</w:t>
      </w:r>
      <w:r>
        <w:t xml:space="preserve">22 corresponding with an increase in merger activity during the COVID-19 pandemic; </w:t>
      </w:r>
    </w:p>
    <w:p w14:paraId="33F777FE" w14:textId="0D611BC3" w:rsidR="00A73B2C" w:rsidRDefault="00A73B2C" w:rsidP="00C472DD">
      <w:pPr>
        <w:pStyle w:val="Dotpoint"/>
      </w:pPr>
      <w:r>
        <w:t>the number of informal public reviews declined by around 80 per cent between 2009-10 and 2015</w:t>
      </w:r>
      <w:r w:rsidR="000D76B8">
        <w:noBreakHyphen/>
      </w:r>
      <w:r>
        <w:t>16 and then broadly stabilised (albeit declining slightly during the pandemic); and</w:t>
      </w:r>
    </w:p>
    <w:p w14:paraId="086EDEB8" w14:textId="77777777" w:rsidR="00F60E2B" w:rsidRDefault="00A73B2C" w:rsidP="00F60E2B">
      <w:pPr>
        <w:pStyle w:val="Dotpoint"/>
        <w:rPr>
          <w:b/>
          <w:bCs/>
        </w:rPr>
      </w:pPr>
      <w:r>
        <w:t>few merger authorisation applications have been lodged</w:t>
      </w:r>
      <w:r w:rsidR="00574C4A">
        <w:t xml:space="preserve"> with the ACCC</w:t>
      </w:r>
      <w:r>
        <w:t>.</w:t>
      </w:r>
      <w:r w:rsidR="00574C4A" w:rsidRPr="008E78FB">
        <w:rPr>
          <w:rStyle w:val="FootnoteReference"/>
          <w:vertAlign w:val="superscript"/>
        </w:rPr>
        <w:footnoteReference w:id="14"/>
      </w:r>
      <w:r w:rsidR="00F60E2B" w:rsidRPr="00F60E2B">
        <w:rPr>
          <w:rFonts w:ascii="Calibri" w:hAnsi="Calibri" w:cs="Arial"/>
          <w:b/>
          <w:bCs/>
          <w:color w:val="4D7861" w:themeColor="accent2"/>
          <w:kern w:val="32"/>
          <w:sz w:val="26"/>
          <w:szCs w:val="26"/>
        </w:rPr>
        <w:t xml:space="preserve"> </w:t>
      </w:r>
    </w:p>
    <w:p w14:paraId="6CEAC42E" w14:textId="2FEBE9A3" w:rsidR="00F60E2B" w:rsidRDefault="00F60E2B" w:rsidP="00F60E2B">
      <w:pPr>
        <w:pStyle w:val="ChartMainHeading"/>
      </w:pPr>
      <w:bookmarkStart w:id="12" w:name="_Toc150852483"/>
      <w:r w:rsidRPr="00C472DD">
        <w:rPr>
          <w:b/>
          <w:bCs/>
        </w:rPr>
        <w:t>Figure 2:</w:t>
      </w:r>
      <w:r>
        <w:t xml:space="preserve"> </w:t>
      </w:r>
      <w:r w:rsidRPr="000D1745">
        <w:t>Number of ACCC merger reviews since 2009</w:t>
      </w:r>
      <w:r>
        <w:t>-</w:t>
      </w:r>
      <w:r w:rsidRPr="000D1745">
        <w:t>10</w:t>
      </w:r>
      <w:bookmarkEnd w:id="12"/>
    </w:p>
    <w:p w14:paraId="0574FDB8" w14:textId="5BDD77A9" w:rsidR="00F60E2B" w:rsidRDefault="00C164E5" w:rsidP="000370A5">
      <w:pPr>
        <w:pStyle w:val="ChartGraphic"/>
      </w:pPr>
      <w:r>
        <w:rPr>
          <w:noProof/>
        </w:rPr>
        <w:drawing>
          <wp:inline distT="0" distB="0" distL="0" distR="0" wp14:anchorId="79C1FF2B" wp14:editId="09707C1E">
            <wp:extent cx="5568216" cy="3240000"/>
            <wp:effectExtent l="0" t="0" r="0" b="0"/>
            <wp:docPr id="12" name="Picture 12" descr="This chart shows the number of ACCC merger reviews since 20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chart shows the number of ACCC merger reviews since 2009-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8216" cy="3240000"/>
                    </a:xfrm>
                    <a:prstGeom prst="rect">
                      <a:avLst/>
                    </a:prstGeom>
                    <a:noFill/>
                  </pic:spPr>
                </pic:pic>
              </a:graphicData>
            </a:graphic>
          </wp:inline>
        </w:drawing>
      </w:r>
    </w:p>
    <w:p w14:paraId="7436299F" w14:textId="2B531138" w:rsidR="00F60E2B" w:rsidRDefault="00F60E2B" w:rsidP="00F60E2B">
      <w:pPr>
        <w:pStyle w:val="ChartorTableNote"/>
        <w:ind w:firstLine="720"/>
      </w:pPr>
      <w:r>
        <w:t>Note:</w:t>
      </w:r>
      <w:r w:rsidRPr="00886FD7">
        <w:t xml:space="preserve"> </w:t>
      </w:r>
      <w:r w:rsidR="0034038C">
        <w:t>F</w:t>
      </w:r>
      <w:r w:rsidRPr="00E54FBB">
        <w:t>inancial year.</w:t>
      </w:r>
      <w:r>
        <w:t xml:space="preserve"> </w:t>
      </w:r>
      <w:r w:rsidRPr="009575FE">
        <w:t>Source: ACCC</w:t>
      </w:r>
      <w:r w:rsidRPr="00E54FBB">
        <w:t xml:space="preserve">. </w:t>
      </w:r>
    </w:p>
    <w:p w14:paraId="29FB6506" w14:textId="4095CEB7" w:rsidR="00DA12FA" w:rsidRDefault="00DA12FA" w:rsidP="00C472DD">
      <w:pPr>
        <w:pStyle w:val="Dotpoint"/>
        <w:numPr>
          <w:ilvl w:val="0"/>
          <w:numId w:val="0"/>
        </w:numPr>
        <w:spacing w:before="240"/>
        <w:ind w:left="284" w:hanging="284"/>
      </w:pPr>
      <w:r>
        <w:t>For merger authorisations:</w:t>
      </w:r>
    </w:p>
    <w:p w14:paraId="2D7CEF5F" w14:textId="2219CC09" w:rsidR="009532E5" w:rsidRDefault="00DA12FA" w:rsidP="00C472DD">
      <w:pPr>
        <w:pStyle w:val="Dotpoint"/>
      </w:pPr>
      <w:r>
        <w:t>The ACCC has taken 171 days on average to complete its</w:t>
      </w:r>
      <w:r w:rsidR="000F2DB8">
        <w:t xml:space="preserve"> as</w:t>
      </w:r>
      <w:r w:rsidR="001035DB">
        <w:t>sessment</w:t>
      </w:r>
      <w:r w:rsidR="000F2DB8">
        <w:t>, with the shortest time period being 88 days</w:t>
      </w:r>
      <w:r w:rsidR="000F2DB8" w:rsidRPr="00F3158B">
        <w:rPr>
          <w:rStyle w:val="FootnoteReference"/>
          <w:vertAlign w:val="superscript"/>
        </w:rPr>
        <w:footnoteReference w:id="15"/>
      </w:r>
      <w:r w:rsidR="000F2DB8">
        <w:t xml:space="preserve"> and the longest 260 days</w:t>
      </w:r>
      <w:r w:rsidR="00AD0ACC">
        <w:t>.</w:t>
      </w:r>
      <w:r w:rsidR="000F2DB8" w:rsidRPr="00F3158B">
        <w:rPr>
          <w:rStyle w:val="FootnoteReference"/>
          <w:vertAlign w:val="superscript"/>
        </w:rPr>
        <w:footnoteReference w:id="16"/>
      </w:r>
      <w:r w:rsidR="000F2DB8">
        <w:t xml:space="preserve"> </w:t>
      </w:r>
    </w:p>
    <w:p w14:paraId="10583FB9" w14:textId="3BDB9E00" w:rsidR="009532E5" w:rsidRDefault="000F2DB8" w:rsidP="00C472DD">
      <w:pPr>
        <w:pStyle w:val="Dotpoint"/>
      </w:pPr>
      <w:r w:rsidRPr="006D350C">
        <w:t xml:space="preserve">In all but </w:t>
      </w:r>
      <w:r w:rsidR="00EE58C7">
        <w:t>one</w:t>
      </w:r>
      <w:r w:rsidRPr="006D350C">
        <w:t xml:space="preserve"> application for merger authorisation, the ACCC’s review required </w:t>
      </w:r>
      <w:r w:rsidR="00D35055">
        <w:t>one</w:t>
      </w:r>
      <w:r w:rsidRPr="006D350C">
        <w:t xml:space="preserve"> or more extensions to the 90</w:t>
      </w:r>
      <w:r w:rsidR="003F6BD0">
        <w:t xml:space="preserve"> </w:t>
      </w:r>
      <w:r w:rsidRPr="006D350C">
        <w:t>calendar day statutory timeframe.</w:t>
      </w:r>
    </w:p>
    <w:p w14:paraId="62A0BEEB" w14:textId="79F908CB" w:rsidR="00A73B2C" w:rsidRPr="000F2DB8" w:rsidRDefault="000F2DB8" w:rsidP="00C472DD">
      <w:pPr>
        <w:pStyle w:val="Dotpoint"/>
      </w:pPr>
      <w:r>
        <w:lastRenderedPageBreak/>
        <w:t>The Tribunal has reviewed one ACCC merger authorisation decision,</w:t>
      </w:r>
      <w:r w:rsidRPr="00045FCD">
        <w:rPr>
          <w:rStyle w:val="FootnoteReference"/>
          <w:vertAlign w:val="superscript"/>
        </w:rPr>
        <w:footnoteReference w:id="17"/>
      </w:r>
      <w:r>
        <w:t xml:space="preserve"> which took 181 days to complete.</w:t>
      </w:r>
    </w:p>
    <w:p w14:paraId="043B2263" w14:textId="2C8319ED" w:rsidR="005A33E0" w:rsidRDefault="00A73B2C" w:rsidP="00C472DD">
      <w:r>
        <w:t xml:space="preserve">As shown in Figure </w:t>
      </w:r>
      <w:r w:rsidR="008F0FBE">
        <w:t>3</w:t>
      </w:r>
      <w:r>
        <w:t>, the time taken for the ACCC to complete confidential reviews and pre</w:t>
      </w:r>
      <w:r w:rsidR="003F00AA">
        <w:noBreakHyphen/>
      </w:r>
      <w:r>
        <w:t>assessments has not changed significantly since 2006 (on average, taking 11 days in 2006 and 14</w:t>
      </w:r>
      <w:r w:rsidR="00AF5EA6">
        <w:t> </w:t>
      </w:r>
      <w:r>
        <w:t xml:space="preserve">days in 2023). </w:t>
      </w:r>
    </w:p>
    <w:p w14:paraId="7D6F5A12" w14:textId="2CC865A4" w:rsidR="00A73B2C" w:rsidRDefault="00086B04" w:rsidP="00220881">
      <w:pPr>
        <w:spacing w:after="240"/>
      </w:pPr>
      <w:r>
        <w:t>Mean a</w:t>
      </w:r>
      <w:r w:rsidR="00A73B2C">
        <w:t>verage timeframes for informal public reviews have increased since 2006. In particular, timeframes for complex informal public reviews (where a Statement of Issues was issued by the ACCC or where a section 87B undertaking was offered) have increased significantly since 2019.</w:t>
      </w:r>
    </w:p>
    <w:p w14:paraId="5E7FFF8A" w14:textId="77777777" w:rsidR="00E22E65" w:rsidRDefault="00E22E65" w:rsidP="00C472DD">
      <w:pPr>
        <w:pStyle w:val="ChartMainHeading"/>
      </w:pPr>
      <w:bookmarkStart w:id="13" w:name="_Toc150852484"/>
      <w:r w:rsidRPr="00C472DD">
        <w:rPr>
          <w:b/>
          <w:bCs/>
        </w:rPr>
        <w:t>Figure 3:</w:t>
      </w:r>
      <w:r>
        <w:t xml:space="preserve"> Average length of ACCC public informal reviews</w:t>
      </w:r>
      <w:bookmarkEnd w:id="13"/>
    </w:p>
    <w:p w14:paraId="6F7B3143" w14:textId="62A2E561" w:rsidR="00E22E65" w:rsidRDefault="008A74FF" w:rsidP="00E22E65">
      <w:pPr>
        <w:pStyle w:val="Bullet"/>
        <w:numPr>
          <w:ilvl w:val="0"/>
          <w:numId w:val="0"/>
        </w:numPr>
        <w:jc w:val="center"/>
      </w:pPr>
      <w:r>
        <w:rPr>
          <w:noProof/>
        </w:rPr>
        <w:drawing>
          <wp:inline distT="0" distB="0" distL="0" distR="0" wp14:anchorId="1E6749D1" wp14:editId="66DEE3DF">
            <wp:extent cx="5572318" cy="3240000"/>
            <wp:effectExtent l="0" t="0" r="0" b="0"/>
            <wp:docPr id="11" name="Picture 11" descr="This chart shows the average length of ACCC public informal reviews since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chart shows the average length of ACCC public informal reviews since 20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2318" cy="3240000"/>
                    </a:xfrm>
                    <a:prstGeom prst="rect">
                      <a:avLst/>
                    </a:prstGeom>
                    <a:noFill/>
                  </pic:spPr>
                </pic:pic>
              </a:graphicData>
            </a:graphic>
          </wp:inline>
        </w:drawing>
      </w:r>
    </w:p>
    <w:p w14:paraId="641DD943" w14:textId="1EF00552" w:rsidR="00E22E65" w:rsidRPr="00FF4F6D" w:rsidRDefault="00E22E65" w:rsidP="00C472DD">
      <w:pPr>
        <w:pStyle w:val="ChartorTableNote"/>
        <w:ind w:left="720"/>
      </w:pPr>
      <w:r>
        <w:t xml:space="preserve">Note: </w:t>
      </w:r>
      <w:r w:rsidR="0034038C">
        <w:t xml:space="preserve">Calendar year. </w:t>
      </w:r>
      <w:r w:rsidRPr="00441881">
        <w:t>The duration is in business days</w:t>
      </w:r>
      <w:r>
        <w:t>,</w:t>
      </w:r>
      <w:r w:rsidRPr="00441881">
        <w:t xml:space="preserve"> excluding any timeline suspensions while the ACCC awaits information from the merger parties. Timeline suspensions were not recorded for pre-assessments prior to 2018. For the purposes of this figure, merger assessments include matters that are withdrawn or where no decision is reached.</w:t>
      </w:r>
      <w:r w:rsidRPr="00A50FD2">
        <w:t xml:space="preserve"> </w:t>
      </w:r>
      <w:r w:rsidRPr="00441881">
        <w:t>Source: ACCC.</w:t>
      </w:r>
    </w:p>
    <w:p w14:paraId="6E0242F3" w14:textId="56DC1E48" w:rsidR="00045FCD" w:rsidRDefault="00045FCD" w:rsidP="00045FCD">
      <w:pPr>
        <w:pStyle w:val="DoubleDot"/>
        <w:numPr>
          <w:ilvl w:val="0"/>
          <w:numId w:val="0"/>
        </w:numPr>
      </w:pPr>
      <w:r>
        <w:br w:type="page"/>
      </w:r>
    </w:p>
    <w:p w14:paraId="510D9C9E" w14:textId="77777777" w:rsidR="00705977" w:rsidRDefault="00705977" w:rsidP="00045FCD">
      <w:pPr>
        <w:pStyle w:val="DoubleDot"/>
        <w:numPr>
          <w:ilvl w:val="0"/>
          <w:numId w:val="0"/>
        </w:numPr>
        <w:sectPr w:rsidR="00705977" w:rsidSect="00295B30">
          <w:headerReference w:type="even" r:id="rId17"/>
          <w:headerReference w:type="default" r:id="rId18"/>
          <w:footerReference w:type="even" r:id="rId19"/>
          <w:footerReference w:type="default" r:id="rId20"/>
          <w:headerReference w:type="first" r:id="rId21"/>
          <w:footerReference w:type="first" r:id="rId22"/>
          <w:pgSz w:w="11906" w:h="16838" w:code="9"/>
          <w:pgMar w:top="1843" w:right="1417" w:bottom="1417" w:left="1417" w:header="709" w:footer="709" w:gutter="0"/>
          <w:cols w:space="708"/>
          <w:docGrid w:linePitch="360"/>
        </w:sectPr>
      </w:pPr>
    </w:p>
    <w:p w14:paraId="1FB43F8D" w14:textId="73E5A16D" w:rsidR="009A29D1" w:rsidRPr="00CE16F9" w:rsidRDefault="009A29D1" w:rsidP="00BD75FC">
      <w:pPr>
        <w:pStyle w:val="Heading1"/>
      </w:pPr>
      <w:bookmarkStart w:id="14" w:name="_Toc150852485"/>
      <w:r w:rsidRPr="00B47B7F">
        <w:lastRenderedPageBreak/>
        <w:t xml:space="preserve">Appendix </w:t>
      </w:r>
      <w:r w:rsidR="00C472DD">
        <w:t>B</w:t>
      </w:r>
      <w:r w:rsidRPr="00B47B7F">
        <w:t xml:space="preserve">: </w:t>
      </w:r>
      <w:r w:rsidR="00352068">
        <w:t>Serial or c</w:t>
      </w:r>
      <w:r w:rsidR="00352068" w:rsidRPr="00B47B7F">
        <w:t xml:space="preserve">reeping </w:t>
      </w:r>
      <w:r w:rsidRPr="00B47B7F">
        <w:t>acquisitions</w:t>
      </w:r>
      <w:r>
        <w:t xml:space="preserve"> – previous reform </w:t>
      </w:r>
      <w:r w:rsidRPr="00352068">
        <w:t>proposals</w:t>
      </w:r>
      <w:bookmarkEnd w:id="14"/>
    </w:p>
    <w:p w14:paraId="60F6B84C" w14:textId="50FC5E7A" w:rsidR="009A29D1" w:rsidRDefault="009972EC" w:rsidP="00566DA1">
      <w:pPr>
        <w:rPr>
          <w:rFonts w:eastAsia="Arial"/>
        </w:rPr>
      </w:pPr>
      <w:r>
        <w:t>Serial or creeping acquisitions</w:t>
      </w:r>
      <w:r w:rsidR="009A29D1">
        <w:t xml:space="preserve"> generally refers to a series of acquisitions of smaller competitors over time which </w:t>
      </w:r>
      <w:r w:rsidR="003211AE">
        <w:t xml:space="preserve">do not individually </w:t>
      </w:r>
      <w:r w:rsidR="009A29D1">
        <w:t>raise competition concerns, but which when taken together may have a significant impact</w:t>
      </w:r>
      <w:r w:rsidR="007C10F4">
        <w:t xml:space="preserve"> on competition</w:t>
      </w:r>
      <w:r w:rsidR="009A29D1">
        <w:t>.</w:t>
      </w:r>
      <w:r w:rsidR="0054769D">
        <w:t xml:space="preserve"> It can also refer to </w:t>
      </w:r>
      <w:r w:rsidR="002578D4">
        <w:t xml:space="preserve">acquisitions involving firms slowly increasing their stake in an individual firm. </w:t>
      </w:r>
    </w:p>
    <w:p w14:paraId="74091EA9" w14:textId="50D27457" w:rsidR="009A29D1" w:rsidRDefault="009A29D1" w:rsidP="00566DA1">
      <w:pPr>
        <w:rPr>
          <w:rFonts w:eastAsia="Arial"/>
        </w:rPr>
      </w:pPr>
      <w:r>
        <w:rPr>
          <w:rFonts w:eastAsia="Arial"/>
        </w:rPr>
        <w:t xml:space="preserve">The 2003 Dawson review considered proposals to address creeping acquisitions, including market share caps; requiring merger parties in highly concentrated markets to notify the ACCC; and adding a merger factor to section 50(3) on creeping acquisitions. However, it concluded that section 50 was adequate to enable the ACCC to consider creeping acquisitions, and that </w:t>
      </w:r>
      <w:r w:rsidR="00566DA1">
        <w:rPr>
          <w:rFonts w:eastAsia="Arial"/>
        </w:rPr>
        <w:t>‘</w:t>
      </w:r>
      <w:r>
        <w:rPr>
          <w:rFonts w:eastAsia="Arial"/>
        </w:rPr>
        <w:t>while a genuine competitive environment exists, the preservation of the number of competitors in a market is more a matter for industry policy than competition policy</w:t>
      </w:r>
      <w:r w:rsidR="00D71E2E">
        <w:rPr>
          <w:rFonts w:eastAsia="Arial"/>
        </w:rPr>
        <w:t>.</w:t>
      </w:r>
      <w:r w:rsidR="00566DA1">
        <w:rPr>
          <w:rFonts w:eastAsia="Arial"/>
        </w:rPr>
        <w:t>’</w:t>
      </w:r>
      <w:r w:rsidRPr="009E3857">
        <w:rPr>
          <w:rStyle w:val="FootnoteReference"/>
          <w:rFonts w:eastAsia="Arial"/>
          <w:vertAlign w:val="superscript"/>
        </w:rPr>
        <w:footnoteReference w:id="18"/>
      </w:r>
      <w:r w:rsidRPr="009E3857">
        <w:rPr>
          <w:rFonts w:eastAsia="Arial"/>
          <w:vertAlign w:val="superscript"/>
        </w:rPr>
        <w:t xml:space="preserve"> </w:t>
      </w:r>
    </w:p>
    <w:p w14:paraId="1CEA3E8B" w14:textId="34C60D11" w:rsidR="009A29D1" w:rsidRDefault="009A29D1" w:rsidP="009A29D1">
      <w:pPr>
        <w:rPr>
          <w:rFonts w:eastAsia="Arial"/>
        </w:rPr>
      </w:pPr>
      <w:r w:rsidRPr="00566DA1">
        <w:rPr>
          <w:rFonts w:eastAsia="Arial"/>
        </w:rPr>
        <w:t>In 2007, a private members</w:t>
      </w:r>
      <w:r w:rsidR="0041280A">
        <w:rPr>
          <w:rFonts w:eastAsia="Arial"/>
        </w:rPr>
        <w:t>’</w:t>
      </w:r>
      <w:r w:rsidR="007E660D">
        <w:rPr>
          <w:rFonts w:eastAsia="Arial"/>
        </w:rPr>
        <w:t xml:space="preserve"> </w:t>
      </w:r>
      <w:r w:rsidRPr="00566DA1">
        <w:rPr>
          <w:rFonts w:eastAsia="Arial"/>
        </w:rPr>
        <w:t>bill unsuccessfully proposed amend</w:t>
      </w:r>
      <w:r w:rsidR="00C972AA" w:rsidRPr="00566DA1">
        <w:rPr>
          <w:rFonts w:eastAsia="Arial"/>
        </w:rPr>
        <w:t>ing</w:t>
      </w:r>
      <w:r w:rsidRPr="00566DA1">
        <w:rPr>
          <w:rFonts w:eastAsia="Arial"/>
        </w:rPr>
        <w:t xml:space="preserve"> the CCA to deem an acquisition to substantially lessen competition if acquisitions within a 6</w:t>
      </w:r>
      <w:r w:rsidR="003A1CB6" w:rsidRPr="00566DA1">
        <w:rPr>
          <w:rFonts w:eastAsia="Arial"/>
        </w:rPr>
        <w:t>-</w:t>
      </w:r>
      <w:r w:rsidRPr="00566DA1">
        <w:rPr>
          <w:rFonts w:eastAsia="Arial"/>
        </w:rPr>
        <w:t>year period together were likely to have that effect</w:t>
      </w:r>
      <w:r>
        <w:rPr>
          <w:rFonts w:eastAsia="Arial"/>
        </w:rPr>
        <w:t>.</w:t>
      </w:r>
      <w:r w:rsidRPr="00C728BD">
        <w:rPr>
          <w:rStyle w:val="FootnoteReference"/>
          <w:rFonts w:eastAsia="Arial"/>
          <w:vertAlign w:val="superscript"/>
        </w:rPr>
        <w:footnoteReference w:id="19"/>
      </w:r>
    </w:p>
    <w:p w14:paraId="616E2BCB" w14:textId="77777777" w:rsidR="009A29D1" w:rsidRDefault="009A29D1" w:rsidP="009A29D1">
      <w:pPr>
        <w:rPr>
          <w:rFonts w:eastAsia="Arial"/>
        </w:rPr>
      </w:pPr>
      <w:r w:rsidRPr="00066878">
        <w:rPr>
          <w:rFonts w:eastAsia="Arial"/>
        </w:rPr>
        <w:t>In July 2008, an ACCC report into grocery prices supported legislatively addressing creeping acquisitions, noting that this was a potential concern in the retail supermarkets sector</w:t>
      </w:r>
      <w:r>
        <w:rPr>
          <w:rFonts w:eastAsia="Arial"/>
        </w:rPr>
        <w:t>.</w:t>
      </w:r>
      <w:r w:rsidRPr="003E3548">
        <w:rPr>
          <w:rStyle w:val="FootnoteReference"/>
          <w:rFonts w:eastAsia="Arial"/>
          <w:vertAlign w:val="superscript"/>
        </w:rPr>
        <w:footnoteReference w:id="20"/>
      </w:r>
    </w:p>
    <w:p w14:paraId="5A92E7A8" w14:textId="61F08FF1" w:rsidR="009A29D1" w:rsidRDefault="009A29D1" w:rsidP="00066878">
      <w:pPr>
        <w:rPr>
          <w:rFonts w:eastAsia="Arial"/>
        </w:rPr>
      </w:pPr>
      <w:r w:rsidRPr="00566DA1">
        <w:rPr>
          <w:rFonts w:eastAsia="Arial"/>
        </w:rPr>
        <w:t xml:space="preserve">Treasury released discussion papers in 2008 and 2009 on possible legislative amendments to address creeping acquisitions. The 2008 paper </w:t>
      </w:r>
      <w:r w:rsidR="002E23E8" w:rsidRPr="00566DA1">
        <w:rPr>
          <w:rFonts w:eastAsia="Arial"/>
        </w:rPr>
        <w:t>suggested</w:t>
      </w:r>
      <w:r w:rsidR="00B45167" w:rsidRPr="00566DA1">
        <w:rPr>
          <w:rFonts w:eastAsia="Arial"/>
        </w:rPr>
        <w:t xml:space="preserve"> </w:t>
      </w:r>
      <w:r w:rsidRPr="00566DA1">
        <w:rPr>
          <w:rFonts w:eastAsia="Arial"/>
        </w:rPr>
        <w:t>two possible approaches</w:t>
      </w:r>
      <w:r>
        <w:rPr>
          <w:rFonts w:eastAsia="Arial"/>
        </w:rPr>
        <w:t>:</w:t>
      </w:r>
    </w:p>
    <w:p w14:paraId="50CDFADC" w14:textId="77777777" w:rsidR="009A29D1" w:rsidRPr="00066878" w:rsidRDefault="009A29D1" w:rsidP="00066878">
      <w:pPr>
        <w:pStyle w:val="Dotpoint"/>
        <w:rPr>
          <w:rFonts w:eastAsia="Arial"/>
        </w:rPr>
      </w:pPr>
      <w:r w:rsidRPr="00066878">
        <w:rPr>
          <w:rFonts w:eastAsia="Arial"/>
        </w:rPr>
        <w:t>to prohibit a corporation from making an acquisition if, when combined with acquisitions made by the corporation within a specified period, the acquisition would be likely to substantially lessen competition in a market; or</w:t>
      </w:r>
    </w:p>
    <w:p w14:paraId="091DBA2B" w14:textId="77777777" w:rsidR="009A29D1" w:rsidRPr="00066878" w:rsidRDefault="009A29D1" w:rsidP="00066878">
      <w:pPr>
        <w:pStyle w:val="Dotpoint"/>
        <w:rPr>
          <w:rFonts w:eastAsia="Arial"/>
        </w:rPr>
      </w:pPr>
      <w:r w:rsidRPr="00066878">
        <w:rPr>
          <w:rFonts w:eastAsia="Arial"/>
        </w:rPr>
        <w:t>to add a new prohibition to section 50 whereby a corporation must not make an acquisition if it already has a substantial degree of power in a market, and the acquisition would result in any lessening (as opposed to substantial lessening) of competition in the market.</w:t>
      </w:r>
    </w:p>
    <w:p w14:paraId="547BBAD8" w14:textId="77777777" w:rsidR="009A29D1" w:rsidRPr="00ED2CCE" w:rsidRDefault="009A29D1" w:rsidP="009A29D1">
      <w:pPr>
        <w:rPr>
          <w:rFonts w:eastAsia="Arial"/>
        </w:rPr>
      </w:pPr>
      <w:r w:rsidRPr="00066878">
        <w:rPr>
          <w:rFonts w:eastAsia="Arial"/>
        </w:rPr>
        <w:t>The 2009 paper invited comment on two further options to implement a creeping acquisitions law</w:t>
      </w:r>
      <w:r w:rsidRPr="00ED2CCE">
        <w:rPr>
          <w:rFonts w:eastAsia="Arial"/>
        </w:rPr>
        <w:t>:</w:t>
      </w:r>
    </w:p>
    <w:p w14:paraId="29BBC54A" w14:textId="77777777" w:rsidR="009A29D1" w:rsidRPr="00ED2CCE" w:rsidRDefault="009A29D1" w:rsidP="00C472DD">
      <w:pPr>
        <w:pStyle w:val="Dotpoint"/>
        <w:rPr>
          <w:rFonts w:eastAsia="Arial"/>
        </w:rPr>
      </w:pPr>
      <w:r w:rsidRPr="00ED2CCE">
        <w:rPr>
          <w:rFonts w:eastAsia="Arial"/>
        </w:rPr>
        <w:t>to prohibit mergers and acquisitions that enhance a corporation's existing substantial market power where a direct or indirect acquisition of shares or assets 'would have the effect, or be likely to have the effect, of enhancing that corporation's substantial power in that market'; or</w:t>
      </w:r>
    </w:p>
    <w:p w14:paraId="238C730A" w14:textId="68E2749B" w:rsidR="009A29D1" w:rsidRPr="00ED2CCE" w:rsidRDefault="009A29D1" w:rsidP="00C472DD">
      <w:pPr>
        <w:pStyle w:val="Dotpoint"/>
        <w:rPr>
          <w:rFonts w:eastAsia="Arial"/>
        </w:rPr>
      </w:pPr>
      <w:r w:rsidRPr="00ED2CCE">
        <w:rPr>
          <w:rFonts w:eastAsia="Arial"/>
        </w:rPr>
        <w:t>to give the Minister the power to unilaterally 'declare' a corporation where s/he has concerns about potential and/or actual competitive harm from creeping acquisitions.</w:t>
      </w:r>
    </w:p>
    <w:p w14:paraId="5E26013A" w14:textId="4EEF0BF2" w:rsidR="009A29D1" w:rsidRDefault="009A29D1" w:rsidP="00EA17E3">
      <w:pPr>
        <w:rPr>
          <w:rFonts w:eastAsia="Arial"/>
        </w:rPr>
      </w:pPr>
      <w:r>
        <w:rPr>
          <w:rFonts w:eastAsia="Arial"/>
        </w:rPr>
        <w:t>In 2009, a second private members</w:t>
      </w:r>
      <w:r w:rsidR="0041280A">
        <w:rPr>
          <w:rFonts w:eastAsia="Arial"/>
        </w:rPr>
        <w:t>’</w:t>
      </w:r>
      <w:r>
        <w:rPr>
          <w:rFonts w:eastAsia="Arial"/>
        </w:rPr>
        <w:t xml:space="preserve"> bill unsuccessfully proposed to amend section 50 to replace </w:t>
      </w:r>
      <w:r w:rsidR="00066878">
        <w:rPr>
          <w:rFonts w:eastAsia="Arial"/>
        </w:rPr>
        <w:t>‘</w:t>
      </w:r>
      <w:r>
        <w:rPr>
          <w:rFonts w:eastAsia="Arial"/>
        </w:rPr>
        <w:t>substantially</w:t>
      </w:r>
      <w:r w:rsidR="00066878">
        <w:rPr>
          <w:rFonts w:eastAsia="Arial"/>
        </w:rPr>
        <w:t xml:space="preserve">’ </w:t>
      </w:r>
      <w:r>
        <w:rPr>
          <w:rFonts w:eastAsia="Arial"/>
        </w:rPr>
        <w:t xml:space="preserve">with </w:t>
      </w:r>
      <w:r w:rsidR="00066878">
        <w:rPr>
          <w:rFonts w:eastAsia="Arial"/>
        </w:rPr>
        <w:t>‘</w:t>
      </w:r>
      <w:r>
        <w:rPr>
          <w:rFonts w:eastAsia="Arial"/>
        </w:rPr>
        <w:t>materially</w:t>
      </w:r>
      <w:r w:rsidR="00066878">
        <w:rPr>
          <w:rFonts w:eastAsia="Arial"/>
        </w:rPr>
        <w:t xml:space="preserve">’ </w:t>
      </w:r>
      <w:r>
        <w:rPr>
          <w:rFonts w:eastAsia="Arial"/>
        </w:rPr>
        <w:t xml:space="preserve">and prohibit acquisitions by corporations with a </w:t>
      </w:r>
      <w:r w:rsidR="00066878">
        <w:rPr>
          <w:rFonts w:eastAsia="Arial"/>
        </w:rPr>
        <w:t>‘</w:t>
      </w:r>
      <w:r>
        <w:rPr>
          <w:rFonts w:eastAsia="Arial"/>
        </w:rPr>
        <w:t>substantial share of a market</w:t>
      </w:r>
      <w:r w:rsidR="0038527C">
        <w:rPr>
          <w:rFonts w:eastAsia="Arial"/>
        </w:rPr>
        <w:t xml:space="preserve">’ </w:t>
      </w:r>
      <w:r>
        <w:rPr>
          <w:rFonts w:eastAsia="Arial"/>
        </w:rPr>
        <w:t xml:space="preserve">from acquiring shares or assets that would have </w:t>
      </w:r>
      <w:r w:rsidR="0038527C">
        <w:rPr>
          <w:rFonts w:eastAsia="Arial"/>
        </w:rPr>
        <w:t>‘</w:t>
      </w:r>
      <w:r>
        <w:rPr>
          <w:rFonts w:eastAsia="Arial"/>
        </w:rPr>
        <w:t>the effect of lessening competition in a market</w:t>
      </w:r>
      <w:r w:rsidR="00DC6C34">
        <w:rPr>
          <w:rFonts w:eastAsia="Arial"/>
        </w:rPr>
        <w:t>.</w:t>
      </w:r>
      <w:r w:rsidR="0038527C">
        <w:rPr>
          <w:rFonts w:eastAsia="Arial"/>
        </w:rPr>
        <w:t>’</w:t>
      </w:r>
      <w:r w:rsidRPr="00045FCD">
        <w:rPr>
          <w:rStyle w:val="FootnoteReference"/>
          <w:rFonts w:eastAsia="Arial"/>
          <w:vertAlign w:val="superscript"/>
        </w:rPr>
        <w:footnoteReference w:id="21"/>
      </w:r>
    </w:p>
    <w:p w14:paraId="06B6C16A" w14:textId="5792CE9E" w:rsidR="009A29D1" w:rsidRPr="00FA143C" w:rsidRDefault="009A29D1" w:rsidP="009A29D1">
      <w:pPr>
        <w:rPr>
          <w:rFonts w:eastAsia="Arial"/>
        </w:rPr>
      </w:pPr>
      <w:r w:rsidRPr="0041280A">
        <w:rPr>
          <w:rFonts w:eastAsia="Arial"/>
        </w:rPr>
        <w:lastRenderedPageBreak/>
        <w:t xml:space="preserve">In 2011, the CCA was amended to apply </w:t>
      </w:r>
      <w:r w:rsidR="00374C44" w:rsidRPr="0041280A">
        <w:rPr>
          <w:rFonts w:eastAsia="Arial"/>
        </w:rPr>
        <w:t xml:space="preserve">section </w:t>
      </w:r>
      <w:r w:rsidRPr="0041280A">
        <w:rPr>
          <w:rFonts w:eastAsia="Arial"/>
        </w:rPr>
        <w:t>50 to ‘any market’ rather than a ‘substantial market’ or ‘a market’. The changes to s</w:t>
      </w:r>
      <w:r w:rsidR="00374C44" w:rsidRPr="0041280A">
        <w:rPr>
          <w:rFonts w:eastAsia="Arial"/>
        </w:rPr>
        <w:t>ection</w:t>
      </w:r>
      <w:r w:rsidRPr="0041280A">
        <w:rPr>
          <w:rFonts w:eastAsia="Arial"/>
        </w:rPr>
        <w:t xml:space="preserve"> 50 were intended to make it clear that </w:t>
      </w:r>
      <w:r w:rsidR="00374C44" w:rsidRPr="0041280A">
        <w:rPr>
          <w:rFonts w:eastAsia="Arial"/>
        </w:rPr>
        <w:t>it</w:t>
      </w:r>
      <w:r w:rsidRPr="0041280A">
        <w:rPr>
          <w:rFonts w:eastAsia="Arial"/>
        </w:rPr>
        <w:t xml:space="preserve"> can apply to a local market and allow consideration of multiple markets</w:t>
      </w:r>
      <w:r w:rsidRPr="00FA143C">
        <w:rPr>
          <w:rFonts w:eastAsia="Arial"/>
        </w:rPr>
        <w:t>.</w:t>
      </w:r>
      <w:r w:rsidRPr="00577830">
        <w:rPr>
          <w:rStyle w:val="FootnoteReference"/>
          <w:rFonts w:eastAsia="Arial"/>
          <w:vertAlign w:val="superscript"/>
        </w:rPr>
        <w:footnoteReference w:id="22"/>
      </w:r>
    </w:p>
    <w:p w14:paraId="04DC598F" w14:textId="55426BD5" w:rsidR="003A7810" w:rsidRDefault="009A29D1" w:rsidP="003A7810">
      <w:pPr>
        <w:rPr>
          <w:rFonts w:eastAsia="Arial"/>
        </w:rPr>
        <w:sectPr w:rsidR="003A7810" w:rsidSect="00295B30">
          <w:footerReference w:type="even" r:id="rId23"/>
          <w:pgSz w:w="11906" w:h="16838" w:code="9"/>
          <w:pgMar w:top="1843" w:right="1417" w:bottom="1417" w:left="1417" w:header="709" w:footer="709" w:gutter="0"/>
          <w:cols w:space="708"/>
          <w:docGrid w:linePitch="360"/>
        </w:sectPr>
      </w:pPr>
      <w:r w:rsidRPr="0041280A">
        <w:rPr>
          <w:rFonts w:eastAsia="Arial"/>
        </w:rPr>
        <w:t xml:space="preserve">In 2015, the Harper Competition Policy Review acknowledged concerns about creeping acquisitions and noted that </w:t>
      </w:r>
      <w:r w:rsidR="00F47331" w:rsidRPr="0041280A">
        <w:rPr>
          <w:rFonts w:eastAsia="Arial"/>
        </w:rPr>
        <w:t>‘</w:t>
      </w:r>
      <w:r w:rsidRPr="0041280A">
        <w:rPr>
          <w:rFonts w:eastAsia="Arial"/>
        </w:rPr>
        <w:t>[a]s a matter of concept, competition law should assess the overall effect of business conduct and not be narrowly focused on individual transactions</w:t>
      </w:r>
      <w:r w:rsidR="00F47331" w:rsidRPr="0041280A">
        <w:rPr>
          <w:rFonts w:eastAsia="Arial"/>
        </w:rPr>
        <w:t>’</w:t>
      </w:r>
      <w:r w:rsidR="00F47331" w:rsidRPr="0005554F">
        <w:rPr>
          <w:rFonts w:eastAsia="Arial"/>
        </w:rPr>
        <w:t>.</w:t>
      </w:r>
      <w:r w:rsidR="00F47331" w:rsidRPr="00974480">
        <w:rPr>
          <w:rFonts w:eastAsia="Arial"/>
          <w:vertAlign w:val="superscript"/>
        </w:rPr>
        <w:footnoteReference w:id="23"/>
      </w:r>
      <w:r w:rsidR="00F47331" w:rsidRPr="0005554F">
        <w:rPr>
          <w:rFonts w:eastAsia="Arial"/>
        </w:rPr>
        <w:t xml:space="preserve"> </w:t>
      </w:r>
      <w:r w:rsidRPr="0041280A">
        <w:rPr>
          <w:rFonts w:eastAsia="Arial"/>
        </w:rPr>
        <w:t>The Final Report discussed an aggregation model but ultimately concluded that the case for change was not strong enough as there was no evidence of harmful creeping acquisitions</w:t>
      </w:r>
      <w:r w:rsidRPr="0005554F">
        <w:rPr>
          <w:rFonts w:eastAsia="Arial"/>
        </w:rPr>
        <w:t>.</w:t>
      </w:r>
      <w:r w:rsidRPr="00974480">
        <w:rPr>
          <w:rFonts w:eastAsia="Arial"/>
          <w:vertAlign w:val="superscript"/>
        </w:rPr>
        <w:footnoteReference w:id="24"/>
      </w:r>
    </w:p>
    <w:p w14:paraId="146AAE85" w14:textId="663C81D2" w:rsidR="00C945F9" w:rsidRPr="0016330A" w:rsidRDefault="00C945F9" w:rsidP="0016330A">
      <w:pPr>
        <w:pStyle w:val="Heading1"/>
        <w:rPr>
          <w:color w:val="4D7861"/>
          <w:sz w:val="28"/>
          <w:szCs w:val="26"/>
        </w:rPr>
      </w:pPr>
      <w:bookmarkStart w:id="15" w:name="_Toc150852486"/>
      <w:r w:rsidRPr="00B47B7F">
        <w:lastRenderedPageBreak/>
        <w:t xml:space="preserve">Appendix </w:t>
      </w:r>
      <w:r w:rsidR="00C472DD">
        <w:t>C</w:t>
      </w:r>
      <w:r w:rsidRPr="00B47B7F">
        <w:t xml:space="preserve">: </w:t>
      </w:r>
      <w:r>
        <w:t>M</w:t>
      </w:r>
      <w:r w:rsidRPr="00B47B7F">
        <w:t>ergers clearance processes</w:t>
      </w:r>
      <w:r>
        <w:t xml:space="preserve"> – previous proposals</w:t>
      </w:r>
      <w:bookmarkEnd w:id="15"/>
    </w:p>
    <w:p w14:paraId="5BB5EAF9" w14:textId="1D4E160E" w:rsidR="00C945F9" w:rsidRPr="0048697C" w:rsidRDefault="00C945F9" w:rsidP="00C945F9">
      <w:pPr>
        <w:spacing w:before="96" w:after="96"/>
        <w:rPr>
          <w:b/>
          <w:bCs/>
        </w:rPr>
      </w:pPr>
      <w:r w:rsidRPr="0041280A">
        <w:t>A voluntary formal merger clearance process</w:t>
      </w:r>
      <w:r w:rsidR="00FA5A61" w:rsidRPr="0041280A">
        <w:t xml:space="preserve"> existed in Austral</w:t>
      </w:r>
      <w:r w:rsidR="00797749" w:rsidRPr="0041280A">
        <w:t>ia</w:t>
      </w:r>
      <w:r w:rsidRPr="0041280A">
        <w:t xml:space="preserve"> between 1974 and 1977. The process was removed when the mergers test </w:t>
      </w:r>
      <w:r w:rsidR="00DB468F">
        <w:t>changed</w:t>
      </w:r>
      <w:r w:rsidRPr="0041280A">
        <w:t xml:space="preserve"> from ‘substantial lessening of competition’ to ‘dominance’. By the early 1990s, the current informal review process had emerged</w:t>
      </w:r>
      <w:r w:rsidRPr="003F4911">
        <w:t>.</w:t>
      </w:r>
      <w:r w:rsidR="00D31847" w:rsidRPr="00650157">
        <w:rPr>
          <w:rStyle w:val="FootnoteReference"/>
          <w:vertAlign w:val="superscript"/>
        </w:rPr>
        <w:footnoteReference w:id="25"/>
      </w:r>
    </w:p>
    <w:p w14:paraId="6D04374F" w14:textId="702FAD35" w:rsidR="00C945F9" w:rsidRPr="0048697C" w:rsidRDefault="00C945F9" w:rsidP="00C945F9">
      <w:pPr>
        <w:spacing w:before="96" w:after="96"/>
        <w:rPr>
          <w:b/>
          <w:bCs/>
        </w:rPr>
      </w:pPr>
      <w:r w:rsidRPr="003F4911">
        <w:t xml:space="preserve">In 1992, the Senate Standing Committee on Legal and Constitutional Affairs, in its report </w:t>
      </w:r>
      <w:r w:rsidRPr="00C472DD">
        <w:rPr>
          <w:i/>
          <w:iCs/>
        </w:rPr>
        <w:t>Mergers, Monopolies and Acquisitions</w:t>
      </w:r>
      <w:r w:rsidRPr="003F4911">
        <w:t>, recommended that mandatory notification be introduced for ‘substantial’ mergers.</w:t>
      </w:r>
      <w:r w:rsidR="00D31847" w:rsidRPr="00650157">
        <w:rPr>
          <w:rStyle w:val="FootnoteReference"/>
          <w:vertAlign w:val="superscript"/>
        </w:rPr>
        <w:footnoteReference w:id="26"/>
      </w:r>
    </w:p>
    <w:p w14:paraId="55CABE45" w14:textId="54C42071" w:rsidR="00C945F9" w:rsidRPr="0048697C" w:rsidRDefault="00C945F9" w:rsidP="00C945F9">
      <w:pPr>
        <w:spacing w:before="96" w:after="96"/>
        <w:rPr>
          <w:b/>
          <w:bCs/>
        </w:rPr>
      </w:pPr>
      <w:r w:rsidRPr="00772E29">
        <w:t>In late 1994, Treasury released a consultation paper on pre-merger notification</w:t>
      </w:r>
      <w:r w:rsidR="00D83D15" w:rsidRPr="00772E29">
        <w:t xml:space="preserve"> but ultimately did not proceed with the reforms</w:t>
      </w:r>
      <w:r w:rsidRPr="003F4911">
        <w:t>.</w:t>
      </w:r>
    </w:p>
    <w:p w14:paraId="5DF23E8C" w14:textId="3D409059" w:rsidR="00C945F9" w:rsidRPr="0048697C" w:rsidRDefault="00C945F9" w:rsidP="00C945F9">
      <w:pPr>
        <w:spacing w:before="96" w:after="96"/>
        <w:rPr>
          <w:b/>
          <w:bCs/>
        </w:rPr>
      </w:pPr>
      <w:r w:rsidRPr="00772E29">
        <w:t xml:space="preserve">The 2003 Dawson Competition Policy Review did not recommend replacing the informal process with compulsory, formal notification as it considered that it </w:t>
      </w:r>
      <w:r w:rsidR="00772E29" w:rsidRPr="00772E29">
        <w:t>‘</w:t>
      </w:r>
      <w:r w:rsidRPr="00772E29">
        <w:t>would greatly increase the regulatory burden both on corporations proposing to merge and on the ACCC</w:t>
      </w:r>
      <w:r w:rsidR="00772E29" w:rsidRPr="00772E29">
        <w:t>’</w:t>
      </w:r>
      <w:r w:rsidR="00772E29" w:rsidRPr="003F4911">
        <w:t>.</w:t>
      </w:r>
      <w:r w:rsidR="00772E29" w:rsidRPr="00650157">
        <w:rPr>
          <w:rStyle w:val="FootnoteReference"/>
          <w:vertAlign w:val="superscript"/>
        </w:rPr>
        <w:footnoteReference w:id="27"/>
      </w:r>
      <w:r w:rsidR="00772E29" w:rsidRPr="003F4911">
        <w:t xml:space="preserve">  </w:t>
      </w:r>
      <w:r w:rsidRPr="00772E29">
        <w:t xml:space="preserve">The Dawson </w:t>
      </w:r>
      <w:r w:rsidR="00DE72EC" w:rsidRPr="00772E29">
        <w:t>R</w:t>
      </w:r>
      <w:r w:rsidRPr="00772E29">
        <w:t>eview instead recommended that</w:t>
      </w:r>
      <w:r w:rsidRPr="003F4911">
        <w:t>:</w:t>
      </w:r>
    </w:p>
    <w:p w14:paraId="315666C3" w14:textId="70EE83EA" w:rsidR="00C945F9" w:rsidRPr="0048697C" w:rsidRDefault="00C945F9" w:rsidP="00C472DD">
      <w:pPr>
        <w:pStyle w:val="Dotpoint"/>
        <w:rPr>
          <w:b/>
          <w:bCs/>
        </w:rPr>
      </w:pPr>
      <w:r w:rsidRPr="003F4911">
        <w:t>the ACCC provide greater transparency in its decision</w:t>
      </w:r>
      <w:r w:rsidR="0023188F">
        <w:t>-</w:t>
      </w:r>
      <w:r w:rsidRPr="003F4911">
        <w:t>making in the informal process; and</w:t>
      </w:r>
    </w:p>
    <w:p w14:paraId="5AB121E0" w14:textId="600868E6" w:rsidR="00C945F9" w:rsidRPr="0048697C" w:rsidRDefault="00C945F9" w:rsidP="00C472DD">
      <w:pPr>
        <w:pStyle w:val="Dotpoint"/>
        <w:rPr>
          <w:b/>
          <w:bCs/>
        </w:rPr>
      </w:pPr>
      <w:r w:rsidRPr="003F4911">
        <w:t>that a voluntary, formal clearance process be created operating in parallel to the informal process.</w:t>
      </w:r>
      <w:r w:rsidR="003077FD" w:rsidRPr="00650157">
        <w:rPr>
          <w:rStyle w:val="FootnoteReference"/>
          <w:vertAlign w:val="superscript"/>
        </w:rPr>
        <w:footnoteReference w:id="28"/>
      </w:r>
    </w:p>
    <w:p w14:paraId="586D82D0" w14:textId="7C51B75C" w:rsidR="00C945F9" w:rsidRPr="0048697C" w:rsidRDefault="00C945F9" w:rsidP="00C945F9">
      <w:pPr>
        <w:spacing w:before="96" w:after="96"/>
        <w:rPr>
          <w:b/>
          <w:bCs/>
        </w:rPr>
      </w:pPr>
      <w:r w:rsidRPr="00772E29">
        <w:t>A voluntary, formal clearance process was subsequently introduced in 2007 and operated until 2017 when recommendations from the 2015 Harper Review were implemented</w:t>
      </w:r>
      <w:r w:rsidRPr="003F4911">
        <w:t>.</w:t>
      </w:r>
      <w:r w:rsidR="0065281D" w:rsidRPr="00650157">
        <w:rPr>
          <w:rStyle w:val="FootnoteReference"/>
          <w:vertAlign w:val="superscript"/>
        </w:rPr>
        <w:footnoteReference w:id="29"/>
      </w:r>
    </w:p>
    <w:p w14:paraId="7C4049BD" w14:textId="7FE183E5" w:rsidR="00C945F9" w:rsidRPr="0048697C" w:rsidRDefault="00C945F9" w:rsidP="00C945F9">
      <w:pPr>
        <w:spacing w:before="96" w:after="96"/>
        <w:rPr>
          <w:b/>
          <w:bCs/>
        </w:rPr>
      </w:pPr>
      <w:r w:rsidRPr="00772E29">
        <w:t>The Harper Review recommended combining the formal clearance process with merger authorisation into a single formal approval process, with consideration of applications by the ACCC in the first instance</w:t>
      </w:r>
      <w:r w:rsidRPr="003F4911">
        <w:t>.</w:t>
      </w:r>
      <w:r w:rsidR="0079196E" w:rsidRPr="00650157">
        <w:rPr>
          <w:rStyle w:val="FootnoteReference"/>
          <w:vertAlign w:val="superscript"/>
        </w:rPr>
        <w:footnoteReference w:id="30"/>
      </w:r>
    </w:p>
    <w:p w14:paraId="4959D23E" w14:textId="77777777" w:rsidR="00C945F9" w:rsidRPr="0048697C" w:rsidRDefault="00C945F9" w:rsidP="00C945F9">
      <w:pPr>
        <w:spacing w:before="96" w:after="96"/>
        <w:rPr>
          <w:b/>
          <w:bCs/>
        </w:rPr>
      </w:pPr>
      <w:r w:rsidRPr="00772E29">
        <w:t>In relation to the informal process, the Harper Review noted that</w:t>
      </w:r>
      <w:r w:rsidRPr="003F4911">
        <w:t>:</w:t>
      </w:r>
    </w:p>
    <w:p w14:paraId="15E374A9" w14:textId="02395265" w:rsidR="00C945F9" w:rsidRPr="0048697C" w:rsidRDefault="00C945F9" w:rsidP="00C945F9">
      <w:pPr>
        <w:pStyle w:val="Quote"/>
        <w:spacing w:before="96" w:after="96"/>
        <w:rPr>
          <w:b/>
          <w:bCs/>
        </w:rPr>
      </w:pPr>
      <w:r w:rsidRPr="00772E29">
        <w:t>The vast majority of submissions support the informal clearance process because of its flexibility and relatively low cost. The fact that the process leads to the ACCC forming a view, rather than a decision of a court, means that it is not necessary for parties to provide legally admissible evidence. This reduces the complexity and expense associated with the process</w:t>
      </w:r>
      <w:r w:rsidRPr="003F4911">
        <w:t>.</w:t>
      </w:r>
      <w:r w:rsidR="00F46330" w:rsidRPr="00650157">
        <w:rPr>
          <w:rStyle w:val="FootnoteReference"/>
          <w:vertAlign w:val="superscript"/>
        </w:rPr>
        <w:footnoteReference w:id="31"/>
      </w:r>
    </w:p>
    <w:p w14:paraId="51FF2C98" w14:textId="77777777" w:rsidR="00C945F9" w:rsidRPr="0048697C" w:rsidRDefault="00C945F9" w:rsidP="00C472DD">
      <w:pPr>
        <w:keepNext/>
        <w:rPr>
          <w:b/>
          <w:bCs/>
        </w:rPr>
      </w:pPr>
      <w:r w:rsidRPr="003F4911">
        <w:lastRenderedPageBreak/>
        <w:t>It also observed that:</w:t>
      </w:r>
    </w:p>
    <w:p w14:paraId="455E9BB6" w14:textId="5FCF65FA" w:rsidR="00C945F9" w:rsidRPr="0048697C" w:rsidRDefault="00C945F9" w:rsidP="00C945F9">
      <w:pPr>
        <w:pStyle w:val="Quote"/>
        <w:spacing w:before="96" w:after="96"/>
        <w:rPr>
          <w:b/>
          <w:bCs/>
        </w:rPr>
      </w:pPr>
      <w:r w:rsidRPr="00772E29">
        <w:t>There do not appear to be any examples of merger regimes overseas that offer a high level of transparency without also imposing stricter information requirements and longer timelines than the Australian system</w:t>
      </w:r>
      <w:r w:rsidRPr="003F4911">
        <w:t>.</w:t>
      </w:r>
      <w:r w:rsidR="004F72B4" w:rsidRPr="00650157">
        <w:rPr>
          <w:rStyle w:val="FootnoteReference"/>
          <w:vertAlign w:val="superscript"/>
        </w:rPr>
        <w:footnoteReference w:id="32"/>
      </w:r>
    </w:p>
    <w:p w14:paraId="59885C73" w14:textId="77777777" w:rsidR="00C945F9" w:rsidRPr="0048697C" w:rsidRDefault="00C945F9" w:rsidP="00C472DD">
      <w:pPr>
        <w:rPr>
          <w:b/>
          <w:bCs/>
        </w:rPr>
      </w:pPr>
      <w:r w:rsidRPr="003F4911">
        <w:t xml:space="preserve">The Harper Review concluded that: </w:t>
      </w:r>
    </w:p>
    <w:p w14:paraId="5F4F7E9E" w14:textId="16DF82B7" w:rsidR="00C945F9" w:rsidRDefault="00C945F9" w:rsidP="00C945F9">
      <w:pPr>
        <w:pStyle w:val="Quote"/>
      </w:pPr>
      <w:r w:rsidRPr="00772E29">
        <w:t>the informal process works quickly and efficiently for a majority of mergers. Issues of transparency and timeliness arise with the informal process when dealing with more complex and contentious matters. Addressing those issues by changing the informal process could weaken it. Nevertheless, there should be further consultation between the ACCC and business representatives with the objective of delivering more timely decisions in the informal review process</w:t>
      </w:r>
      <w:r w:rsidRPr="003F4911">
        <w:t>.</w:t>
      </w:r>
      <w:r w:rsidR="00650157" w:rsidRPr="00650157">
        <w:rPr>
          <w:rStyle w:val="FootnoteReference"/>
          <w:vertAlign w:val="superscript"/>
        </w:rPr>
        <w:footnoteReference w:id="33"/>
      </w:r>
    </w:p>
    <w:p w14:paraId="1205848F" w14:textId="77777777" w:rsidR="00D523F7" w:rsidRDefault="00C945F9" w:rsidP="00C945F9">
      <w:pPr>
        <w:pStyle w:val="Bullet"/>
        <w:numPr>
          <w:ilvl w:val="0"/>
          <w:numId w:val="0"/>
        </w:numPr>
        <w:sectPr w:rsidR="00D523F7" w:rsidSect="00D523F7">
          <w:pgSz w:w="11906" w:h="16838"/>
          <w:pgMar w:top="1440" w:right="1440" w:bottom="1440" w:left="1440" w:header="708" w:footer="708" w:gutter="0"/>
          <w:cols w:space="708"/>
          <w:docGrid w:linePitch="360"/>
        </w:sectPr>
      </w:pPr>
      <w:r>
        <w:br w:type="page"/>
      </w:r>
    </w:p>
    <w:p w14:paraId="0B11108C" w14:textId="199F850F" w:rsidR="00435178" w:rsidRDefault="00435178" w:rsidP="00BD75FC">
      <w:pPr>
        <w:pStyle w:val="Heading1"/>
      </w:pPr>
      <w:bookmarkStart w:id="16" w:name="_Toc150852487"/>
      <w:r w:rsidRPr="00B57A2B">
        <w:lastRenderedPageBreak/>
        <w:t xml:space="preserve">Appendix </w:t>
      </w:r>
      <w:r w:rsidR="00C472DD">
        <w:t>D</w:t>
      </w:r>
      <w:r w:rsidRPr="00B57A2B">
        <w:t>: Overview of overseas merger control regimes</w:t>
      </w:r>
      <w:bookmarkEnd w:id="16"/>
    </w:p>
    <w:tbl>
      <w:tblPr>
        <w:tblStyle w:val="GridTable1Light"/>
        <w:tblpPr w:leftFromText="180" w:rightFromText="180" w:vertAnchor="text" w:tblpXSpec="center" w:tblpY="1"/>
        <w:tblOverlap w:val="never"/>
        <w:tblW w:w="15451" w:type="dxa"/>
        <w:tblLayout w:type="fixed"/>
        <w:tblLook w:val="04A0" w:firstRow="1" w:lastRow="0" w:firstColumn="1" w:lastColumn="0" w:noHBand="0" w:noVBand="1"/>
      </w:tblPr>
      <w:tblGrid>
        <w:gridCol w:w="1276"/>
        <w:gridCol w:w="3828"/>
        <w:gridCol w:w="2551"/>
        <w:gridCol w:w="1559"/>
        <w:gridCol w:w="1701"/>
        <w:gridCol w:w="1843"/>
        <w:gridCol w:w="2693"/>
      </w:tblGrid>
      <w:tr w:rsidR="00C14B3A" w:rsidRPr="0041280A" w14:paraId="02A0FEE8" w14:textId="77777777" w:rsidTr="006334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shd w:val="clear" w:color="auto" w:fill="D8E6DF" w:themeFill="accent2" w:themeFillTint="33"/>
            <w:vAlign w:val="center"/>
          </w:tcPr>
          <w:p w14:paraId="6E171A25" w14:textId="77777777" w:rsidR="00C14B3A" w:rsidRPr="005E1937" w:rsidRDefault="00C14B3A" w:rsidP="000068A0">
            <w:pPr>
              <w:spacing w:before="60" w:after="60"/>
              <w:jc w:val="center"/>
              <w:rPr>
                <w:rFonts w:cs="Calibri Light"/>
                <w:sz w:val="18"/>
                <w:szCs w:val="18"/>
              </w:rPr>
            </w:pPr>
            <w:r w:rsidRPr="005E1937">
              <w:rPr>
                <w:rFonts w:cs="Calibri Light"/>
                <w:sz w:val="18"/>
                <w:szCs w:val="18"/>
              </w:rPr>
              <w:t>Jurisdiction</w:t>
            </w:r>
          </w:p>
        </w:tc>
        <w:tc>
          <w:tcPr>
            <w:tcW w:w="3828" w:type="dxa"/>
            <w:shd w:val="clear" w:color="auto" w:fill="D8E6DF" w:themeFill="accent2" w:themeFillTint="33"/>
            <w:vAlign w:val="center"/>
          </w:tcPr>
          <w:p w14:paraId="0752ED77" w14:textId="77777777" w:rsidR="00C14B3A" w:rsidRPr="005E1937" w:rsidRDefault="00C14B3A" w:rsidP="000068A0">
            <w:pPr>
              <w:spacing w:before="60" w:after="60"/>
              <w:jc w:val="center"/>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5E1937">
              <w:rPr>
                <w:rFonts w:cs="Calibri Light"/>
                <w:sz w:val="18"/>
                <w:szCs w:val="18"/>
              </w:rPr>
              <w:t>Mergers test</w:t>
            </w:r>
          </w:p>
        </w:tc>
        <w:tc>
          <w:tcPr>
            <w:tcW w:w="2551" w:type="dxa"/>
            <w:shd w:val="clear" w:color="auto" w:fill="D8E6DF" w:themeFill="accent2" w:themeFillTint="33"/>
            <w:vAlign w:val="center"/>
          </w:tcPr>
          <w:p w14:paraId="136C90A0" w14:textId="77777777" w:rsidR="00C14B3A" w:rsidRPr="005E1937" w:rsidRDefault="00C14B3A" w:rsidP="000068A0">
            <w:pPr>
              <w:spacing w:before="60" w:after="60"/>
              <w:jc w:val="center"/>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5E1937">
              <w:rPr>
                <w:rFonts w:cs="Calibri Light"/>
                <w:sz w:val="18"/>
                <w:szCs w:val="18"/>
              </w:rPr>
              <w:t>Decision-maker</w:t>
            </w:r>
          </w:p>
        </w:tc>
        <w:tc>
          <w:tcPr>
            <w:tcW w:w="1559" w:type="dxa"/>
            <w:shd w:val="clear" w:color="auto" w:fill="D8E6DF" w:themeFill="accent2" w:themeFillTint="33"/>
            <w:vAlign w:val="center"/>
          </w:tcPr>
          <w:p w14:paraId="46F50BE9" w14:textId="77777777" w:rsidR="00C14B3A" w:rsidRPr="005E1937" w:rsidDel="009D0E28" w:rsidRDefault="00C14B3A" w:rsidP="000068A0">
            <w:pPr>
              <w:spacing w:before="60" w:after="60"/>
              <w:jc w:val="center"/>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5E1937">
              <w:rPr>
                <w:rFonts w:cs="Calibri Light"/>
                <w:sz w:val="18"/>
                <w:szCs w:val="18"/>
              </w:rPr>
              <w:t>Notification</w:t>
            </w:r>
          </w:p>
        </w:tc>
        <w:tc>
          <w:tcPr>
            <w:tcW w:w="1701" w:type="dxa"/>
            <w:shd w:val="clear" w:color="auto" w:fill="D8E6DF" w:themeFill="accent2" w:themeFillTint="33"/>
            <w:vAlign w:val="center"/>
          </w:tcPr>
          <w:p w14:paraId="41D6D5EB" w14:textId="77777777" w:rsidR="00C14B3A" w:rsidRPr="005E1937" w:rsidRDefault="00C14B3A" w:rsidP="000068A0">
            <w:pPr>
              <w:spacing w:before="60" w:after="60"/>
              <w:jc w:val="center"/>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5E1937">
              <w:rPr>
                <w:rFonts w:cs="Calibri Light"/>
                <w:sz w:val="18"/>
                <w:szCs w:val="18"/>
              </w:rPr>
              <w:t>Statutory timeframes</w:t>
            </w:r>
            <w:r w:rsidRPr="005E1937">
              <w:rPr>
                <w:rFonts w:cs="Calibri Light"/>
                <w:sz w:val="18"/>
                <w:szCs w:val="18"/>
                <w:vertAlign w:val="superscript"/>
              </w:rPr>
              <w:footnoteReference w:id="34"/>
            </w:r>
          </w:p>
        </w:tc>
        <w:tc>
          <w:tcPr>
            <w:tcW w:w="1843" w:type="dxa"/>
            <w:shd w:val="clear" w:color="auto" w:fill="D8E6DF" w:themeFill="accent2" w:themeFillTint="33"/>
            <w:vAlign w:val="center"/>
          </w:tcPr>
          <w:p w14:paraId="69D95DE7" w14:textId="77777777" w:rsidR="00C14B3A" w:rsidRPr="005E1937" w:rsidRDefault="00C14B3A" w:rsidP="000068A0">
            <w:pPr>
              <w:spacing w:before="60" w:after="60"/>
              <w:jc w:val="center"/>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5E1937">
              <w:rPr>
                <w:rFonts w:cs="Calibri Light"/>
                <w:sz w:val="18"/>
                <w:szCs w:val="18"/>
              </w:rPr>
              <w:t>Ability to review non-notified mergers</w:t>
            </w:r>
          </w:p>
        </w:tc>
        <w:tc>
          <w:tcPr>
            <w:tcW w:w="2693" w:type="dxa"/>
            <w:shd w:val="clear" w:color="auto" w:fill="D8E6DF" w:themeFill="accent2" w:themeFillTint="33"/>
            <w:vAlign w:val="center"/>
          </w:tcPr>
          <w:p w14:paraId="52F45656" w14:textId="77777777" w:rsidR="00C14B3A" w:rsidRPr="005E1937" w:rsidRDefault="00C14B3A" w:rsidP="000068A0">
            <w:pPr>
              <w:spacing w:before="60" w:after="60"/>
              <w:jc w:val="center"/>
              <w:cnfStyle w:val="100000000000" w:firstRow="1" w:lastRow="0" w:firstColumn="0" w:lastColumn="0" w:oddVBand="0" w:evenVBand="0" w:oddHBand="0" w:evenHBand="0" w:firstRowFirstColumn="0" w:firstRowLastColumn="0" w:lastRowFirstColumn="0" w:lastRowLastColumn="0"/>
              <w:rPr>
                <w:rFonts w:cs="Calibri Light"/>
                <w:sz w:val="18"/>
                <w:szCs w:val="18"/>
              </w:rPr>
            </w:pPr>
            <w:r w:rsidRPr="005E1937">
              <w:rPr>
                <w:rFonts w:cs="Calibri Light"/>
                <w:sz w:val="18"/>
                <w:szCs w:val="18"/>
              </w:rPr>
              <w:t>Remedies and penalties</w:t>
            </w:r>
          </w:p>
        </w:tc>
      </w:tr>
      <w:tr w:rsidR="00C14B3A" w:rsidRPr="00DE12CF" w14:paraId="51427638" w14:textId="77777777" w:rsidTr="00633433">
        <w:trPr>
          <w:trHeight w:val="1663"/>
        </w:trPr>
        <w:tc>
          <w:tcPr>
            <w:cnfStyle w:val="001000000000" w:firstRow="0" w:lastRow="0" w:firstColumn="1" w:lastColumn="0" w:oddVBand="0" w:evenVBand="0" w:oddHBand="0" w:evenHBand="0" w:firstRowFirstColumn="0" w:firstRowLastColumn="0" w:lastRowFirstColumn="0" w:lastRowLastColumn="0"/>
            <w:tcW w:w="1276" w:type="dxa"/>
          </w:tcPr>
          <w:p w14:paraId="755FBFB4" w14:textId="77777777" w:rsidR="00C14B3A" w:rsidRPr="00DE12CF" w:rsidRDefault="00C14B3A" w:rsidP="00DE12CF">
            <w:pPr>
              <w:spacing w:before="40" w:after="40"/>
              <w:jc w:val="center"/>
              <w:rPr>
                <w:rFonts w:cs="Calibri Light"/>
                <w:b w:val="0"/>
                <w:sz w:val="18"/>
                <w:szCs w:val="18"/>
              </w:rPr>
            </w:pPr>
            <w:r w:rsidRPr="00DE12CF">
              <w:rPr>
                <w:rFonts w:cs="Calibri Light"/>
                <w:sz w:val="18"/>
                <w:szCs w:val="18"/>
              </w:rPr>
              <w:t>United States</w:t>
            </w:r>
          </w:p>
        </w:tc>
        <w:tc>
          <w:tcPr>
            <w:tcW w:w="3828" w:type="dxa"/>
          </w:tcPr>
          <w:p w14:paraId="754A49C9" w14:textId="77777777" w:rsidR="00C14B3A" w:rsidRPr="00DE12CF" w:rsidDel="009D0E28"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May substantially lessen competition, or tend to create a monopoly</w:t>
            </w:r>
          </w:p>
        </w:tc>
        <w:tc>
          <w:tcPr>
            <w:tcW w:w="2551" w:type="dxa"/>
          </w:tcPr>
          <w:p w14:paraId="3DFD9C6E" w14:textId="77777777" w:rsidR="00C14B3A" w:rsidRPr="00DE12CF" w:rsidDel="009D0E28"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Department of Justice (DOJ)/ Federal Trade Commission (FTC) must take court action to stop a merger</w:t>
            </w:r>
            <w:r w:rsidRPr="00DE12CF">
              <w:rPr>
                <w:rStyle w:val="FootnoteReference"/>
                <w:rFonts w:cs="Calibri Light"/>
                <w:szCs w:val="18"/>
                <w:vertAlign w:val="superscript"/>
              </w:rPr>
              <w:footnoteReference w:id="35"/>
            </w:r>
          </w:p>
        </w:tc>
        <w:tc>
          <w:tcPr>
            <w:tcW w:w="1559" w:type="dxa"/>
          </w:tcPr>
          <w:p w14:paraId="4566FDE7"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Mandatory above thresholds based on transaction value and turnover</w:t>
            </w:r>
          </w:p>
        </w:tc>
        <w:tc>
          <w:tcPr>
            <w:tcW w:w="1701" w:type="dxa"/>
          </w:tcPr>
          <w:p w14:paraId="1B276DDF"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1: 30 days</w:t>
            </w:r>
          </w:p>
          <w:p w14:paraId="52AECD84"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2: 30 days</w:t>
            </w:r>
          </w:p>
        </w:tc>
        <w:tc>
          <w:tcPr>
            <w:tcW w:w="1843" w:type="dxa"/>
          </w:tcPr>
          <w:p w14:paraId="170F2210" w14:textId="77777777" w:rsidR="00C14B3A" w:rsidRPr="00DE12CF" w:rsidDel="00DA0438"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DOJ or FTC may investigate mergers below notification threshold</w:t>
            </w:r>
          </w:p>
        </w:tc>
        <w:tc>
          <w:tcPr>
            <w:tcW w:w="2693" w:type="dxa"/>
          </w:tcPr>
          <w:p w14:paraId="3A9A82E0"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Penalties apply for not notifying</w:t>
            </w:r>
          </w:p>
          <w:p w14:paraId="549B94A7"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Parties may offer structural and behavioural remedies with DOJ/FTC</w:t>
            </w:r>
          </w:p>
          <w:p w14:paraId="6FA2BD3B"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DOJ/FTC may seek court orders for injunction or divestiture</w:t>
            </w:r>
          </w:p>
        </w:tc>
      </w:tr>
      <w:tr w:rsidR="00C14B3A" w:rsidRPr="00DE12CF" w14:paraId="220A667F" w14:textId="77777777" w:rsidTr="00633433">
        <w:trPr>
          <w:trHeight w:val="1008"/>
        </w:trPr>
        <w:tc>
          <w:tcPr>
            <w:cnfStyle w:val="001000000000" w:firstRow="0" w:lastRow="0" w:firstColumn="1" w:lastColumn="0" w:oddVBand="0" w:evenVBand="0" w:oddHBand="0" w:evenHBand="0" w:firstRowFirstColumn="0" w:firstRowLastColumn="0" w:lastRowFirstColumn="0" w:lastRowLastColumn="0"/>
            <w:tcW w:w="1276" w:type="dxa"/>
          </w:tcPr>
          <w:p w14:paraId="7DBE30DC" w14:textId="77777777" w:rsidR="00C14B3A" w:rsidRPr="00DE12CF" w:rsidRDefault="00C14B3A" w:rsidP="00DE12CF">
            <w:pPr>
              <w:spacing w:before="40" w:after="40"/>
              <w:jc w:val="center"/>
              <w:rPr>
                <w:rFonts w:cs="Calibri Light"/>
                <w:sz w:val="18"/>
                <w:szCs w:val="18"/>
              </w:rPr>
            </w:pPr>
            <w:r w:rsidRPr="00DE12CF">
              <w:rPr>
                <w:rFonts w:cs="Calibri Light"/>
                <w:sz w:val="18"/>
                <w:szCs w:val="18"/>
              </w:rPr>
              <w:t>Canada</w:t>
            </w:r>
          </w:p>
        </w:tc>
        <w:tc>
          <w:tcPr>
            <w:tcW w:w="3828" w:type="dxa"/>
          </w:tcPr>
          <w:p w14:paraId="0465650E" w14:textId="77777777" w:rsidR="00C14B3A" w:rsidRPr="00DE12CF" w:rsidDel="00E748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Likely to prevent or substantially lessen competition</w:t>
            </w:r>
          </w:p>
        </w:tc>
        <w:tc>
          <w:tcPr>
            <w:tcW w:w="2551" w:type="dxa"/>
          </w:tcPr>
          <w:p w14:paraId="40E28AC0" w14:textId="7908CBDD" w:rsidR="00C14B3A" w:rsidRPr="00DE12CF" w:rsidDel="00E748CF" w:rsidRDefault="001202C7"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Competition Bureau</w:t>
            </w:r>
            <w:r w:rsidR="000F5AC5" w:rsidRPr="00DE12CF">
              <w:rPr>
                <w:rFonts w:cs="Calibri Light"/>
                <w:sz w:val="18"/>
                <w:szCs w:val="18"/>
              </w:rPr>
              <w:t xml:space="preserve"> Canada</w:t>
            </w:r>
            <w:r w:rsidRPr="00DE12CF">
              <w:rPr>
                <w:rFonts w:cs="Calibri Light"/>
                <w:sz w:val="18"/>
                <w:szCs w:val="18"/>
              </w:rPr>
              <w:t xml:space="preserve"> (</w:t>
            </w:r>
            <w:r w:rsidR="00C14B3A" w:rsidRPr="00DE12CF">
              <w:rPr>
                <w:rFonts w:cs="Calibri Light"/>
                <w:sz w:val="18"/>
                <w:szCs w:val="18"/>
              </w:rPr>
              <w:t>C</w:t>
            </w:r>
            <w:r w:rsidR="000F5AC5" w:rsidRPr="00DE12CF">
              <w:rPr>
                <w:rFonts w:cs="Calibri Light"/>
                <w:sz w:val="18"/>
                <w:szCs w:val="18"/>
              </w:rPr>
              <w:t>B</w:t>
            </w:r>
            <w:r w:rsidR="00C14B3A" w:rsidRPr="00DE12CF">
              <w:rPr>
                <w:rFonts w:cs="Calibri Light"/>
                <w:sz w:val="18"/>
                <w:szCs w:val="18"/>
              </w:rPr>
              <w:t>C</w:t>
            </w:r>
            <w:r w:rsidRPr="00DE12CF">
              <w:rPr>
                <w:rFonts w:cs="Calibri Light"/>
                <w:sz w:val="18"/>
                <w:szCs w:val="18"/>
              </w:rPr>
              <w:t>)</w:t>
            </w:r>
            <w:r w:rsidR="00C14B3A" w:rsidRPr="00DE12CF">
              <w:rPr>
                <w:rFonts w:cs="Calibri Light"/>
                <w:sz w:val="18"/>
                <w:szCs w:val="18"/>
              </w:rPr>
              <w:t xml:space="preserve"> must seek orders from Canadian Competition Tribunal</w:t>
            </w:r>
          </w:p>
        </w:tc>
        <w:tc>
          <w:tcPr>
            <w:tcW w:w="1559" w:type="dxa"/>
          </w:tcPr>
          <w:p w14:paraId="4DF1B839"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Mandatory above thresholds based on transaction value and turnover</w:t>
            </w:r>
            <w:r w:rsidRPr="00DE12CF" w:rsidDel="00E748CF">
              <w:rPr>
                <w:rFonts w:cs="Calibri Light"/>
                <w:sz w:val="18"/>
                <w:szCs w:val="18"/>
              </w:rPr>
              <w:t xml:space="preserve"> </w:t>
            </w:r>
          </w:p>
        </w:tc>
        <w:tc>
          <w:tcPr>
            <w:tcW w:w="1701" w:type="dxa"/>
          </w:tcPr>
          <w:p w14:paraId="4D353FB1"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1: 30 days</w:t>
            </w:r>
          </w:p>
          <w:p w14:paraId="0ED9531A"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2: 30 days</w:t>
            </w:r>
          </w:p>
        </w:tc>
        <w:tc>
          <w:tcPr>
            <w:tcW w:w="1843" w:type="dxa"/>
          </w:tcPr>
          <w:p w14:paraId="4255D234" w14:textId="77777777" w:rsidR="00C14B3A" w:rsidRPr="00DE12CF" w:rsidDel="00DA0438"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CCB may investigate mergers below notification threshold</w:t>
            </w:r>
          </w:p>
        </w:tc>
        <w:tc>
          <w:tcPr>
            <w:tcW w:w="2693" w:type="dxa"/>
          </w:tcPr>
          <w:p w14:paraId="00CC645E"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Tribunal may order injunction or divestiture</w:t>
            </w:r>
          </w:p>
          <w:p w14:paraId="716DF2D9" w14:textId="2EA509D3" w:rsidR="006D52A8" w:rsidRPr="00DE12CF" w:rsidRDefault="000B3E4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S</w:t>
            </w:r>
            <w:r w:rsidR="006D52A8" w:rsidRPr="00DE12CF">
              <w:rPr>
                <w:rFonts w:cs="Calibri Light"/>
                <w:sz w:val="18"/>
                <w:szCs w:val="18"/>
              </w:rPr>
              <w:t>tructural and behavioural remedies</w:t>
            </w:r>
            <w:r w:rsidRPr="00DE12CF">
              <w:rPr>
                <w:rFonts w:cs="Calibri Light"/>
                <w:sz w:val="18"/>
                <w:szCs w:val="18"/>
              </w:rPr>
              <w:t xml:space="preserve"> may be negotiated</w:t>
            </w:r>
          </w:p>
        </w:tc>
      </w:tr>
      <w:tr w:rsidR="00C14B3A" w:rsidRPr="00DE12CF" w14:paraId="29FF6586" w14:textId="77777777" w:rsidTr="00633433">
        <w:tc>
          <w:tcPr>
            <w:cnfStyle w:val="001000000000" w:firstRow="0" w:lastRow="0" w:firstColumn="1" w:lastColumn="0" w:oddVBand="0" w:evenVBand="0" w:oddHBand="0" w:evenHBand="0" w:firstRowFirstColumn="0" w:firstRowLastColumn="0" w:lastRowFirstColumn="0" w:lastRowLastColumn="0"/>
            <w:tcW w:w="1276" w:type="dxa"/>
          </w:tcPr>
          <w:p w14:paraId="040ACCC3" w14:textId="77777777" w:rsidR="00C14B3A" w:rsidRPr="00DE12CF" w:rsidRDefault="00C14B3A" w:rsidP="00DE12CF">
            <w:pPr>
              <w:spacing w:before="40" w:after="40"/>
              <w:jc w:val="center"/>
              <w:rPr>
                <w:rFonts w:cs="Calibri Light"/>
                <w:sz w:val="18"/>
                <w:szCs w:val="18"/>
              </w:rPr>
            </w:pPr>
            <w:r w:rsidRPr="00DE12CF">
              <w:rPr>
                <w:rFonts w:cs="Calibri Light"/>
                <w:sz w:val="18"/>
                <w:szCs w:val="18"/>
              </w:rPr>
              <w:t>United Kingdom</w:t>
            </w:r>
          </w:p>
        </w:tc>
        <w:tc>
          <w:tcPr>
            <w:tcW w:w="3828" w:type="dxa"/>
          </w:tcPr>
          <w:p w14:paraId="2D5E1847"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Substantial lessening of competition</w:t>
            </w:r>
          </w:p>
        </w:tc>
        <w:tc>
          <w:tcPr>
            <w:tcW w:w="2551" w:type="dxa"/>
          </w:tcPr>
          <w:p w14:paraId="0DD6218E" w14:textId="668A11DF"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 xml:space="preserve">Administrative decision by the </w:t>
            </w:r>
            <w:r w:rsidR="006D52A8" w:rsidRPr="00DE12CF">
              <w:rPr>
                <w:rFonts w:cs="Calibri Light"/>
                <w:sz w:val="18"/>
                <w:szCs w:val="18"/>
              </w:rPr>
              <w:t>Competition and Markets Authority (</w:t>
            </w:r>
            <w:r w:rsidRPr="00DE12CF">
              <w:rPr>
                <w:rFonts w:cs="Calibri Light"/>
                <w:sz w:val="18"/>
                <w:szCs w:val="18"/>
              </w:rPr>
              <w:t>CMA</w:t>
            </w:r>
            <w:r w:rsidR="006D52A8" w:rsidRPr="00DE12CF">
              <w:rPr>
                <w:rFonts w:cs="Calibri Light"/>
                <w:sz w:val="18"/>
                <w:szCs w:val="18"/>
              </w:rPr>
              <w:t>)</w:t>
            </w:r>
          </w:p>
          <w:p w14:paraId="6AD1FC2E" w14:textId="2FE1E5E7" w:rsidR="00C14B3A" w:rsidRPr="00DE12CF" w:rsidRDefault="00D71636"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Judicial review</w:t>
            </w:r>
            <w:r w:rsidR="00C14B3A" w:rsidRPr="00DE12CF">
              <w:rPr>
                <w:rFonts w:cs="Calibri Light"/>
                <w:sz w:val="18"/>
                <w:szCs w:val="18"/>
              </w:rPr>
              <w:t xml:space="preserve"> by Competition Appeals Tribunal</w:t>
            </w:r>
          </w:p>
        </w:tc>
        <w:tc>
          <w:tcPr>
            <w:tcW w:w="1559" w:type="dxa"/>
          </w:tcPr>
          <w:p w14:paraId="14C46860"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Voluntary</w:t>
            </w:r>
          </w:p>
        </w:tc>
        <w:tc>
          <w:tcPr>
            <w:tcW w:w="1701" w:type="dxa"/>
          </w:tcPr>
          <w:p w14:paraId="4DE4E17F"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1: 40 working days</w:t>
            </w:r>
          </w:p>
          <w:p w14:paraId="60ABAEEF"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2: 24 weeks</w:t>
            </w:r>
            <w:r w:rsidRPr="00DE12CF">
              <w:rPr>
                <w:rFonts w:cs="Calibri Light"/>
                <w:sz w:val="18"/>
                <w:szCs w:val="18"/>
                <w:vertAlign w:val="superscript"/>
              </w:rPr>
              <w:footnoteReference w:id="36"/>
            </w:r>
          </w:p>
        </w:tc>
        <w:tc>
          <w:tcPr>
            <w:tcW w:w="1843" w:type="dxa"/>
          </w:tcPr>
          <w:p w14:paraId="3562F2F2"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CMA may investigate mergers that meet its jurisdictional thresholds</w:t>
            </w:r>
          </w:p>
          <w:p w14:paraId="300F0BE0" w14:textId="77777777" w:rsidR="00C14B3A" w:rsidRPr="00DE12CF" w:rsidDel="00500DB2"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CMA may impose Interim Measures to halt or unwind integration</w:t>
            </w:r>
          </w:p>
        </w:tc>
        <w:tc>
          <w:tcPr>
            <w:tcW w:w="2693" w:type="dxa"/>
          </w:tcPr>
          <w:p w14:paraId="4C4761AC"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CMA may accept structural and behavioural remedies</w:t>
            </w:r>
          </w:p>
          <w:p w14:paraId="697AE065"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CMA may impose fines and/or divestiture orders</w:t>
            </w:r>
          </w:p>
        </w:tc>
      </w:tr>
      <w:tr w:rsidR="00C14B3A" w:rsidRPr="00DE12CF" w14:paraId="1B6F0C03" w14:textId="77777777" w:rsidTr="00633433">
        <w:trPr>
          <w:trHeight w:val="1983"/>
        </w:trPr>
        <w:tc>
          <w:tcPr>
            <w:cnfStyle w:val="001000000000" w:firstRow="0" w:lastRow="0" w:firstColumn="1" w:lastColumn="0" w:oddVBand="0" w:evenVBand="0" w:oddHBand="0" w:evenHBand="0" w:firstRowFirstColumn="0" w:firstRowLastColumn="0" w:lastRowFirstColumn="0" w:lastRowLastColumn="0"/>
            <w:tcW w:w="1276" w:type="dxa"/>
          </w:tcPr>
          <w:p w14:paraId="45E68F8F" w14:textId="77777777" w:rsidR="00C14B3A" w:rsidRPr="00DE12CF" w:rsidRDefault="00C14B3A" w:rsidP="00DE12CF">
            <w:pPr>
              <w:spacing w:before="40" w:after="40"/>
              <w:jc w:val="center"/>
              <w:rPr>
                <w:rFonts w:cs="Calibri Light"/>
                <w:sz w:val="18"/>
                <w:szCs w:val="18"/>
              </w:rPr>
            </w:pPr>
            <w:r w:rsidRPr="00DE12CF">
              <w:rPr>
                <w:rFonts w:cs="Calibri Light"/>
                <w:sz w:val="18"/>
                <w:szCs w:val="18"/>
              </w:rPr>
              <w:lastRenderedPageBreak/>
              <w:t xml:space="preserve">New Zealand </w:t>
            </w:r>
          </w:p>
        </w:tc>
        <w:tc>
          <w:tcPr>
            <w:tcW w:w="3828" w:type="dxa"/>
          </w:tcPr>
          <w:p w14:paraId="391E3E89" w14:textId="43929E3E"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Merger clearance:</w:t>
            </w:r>
            <w:r w:rsidRPr="00DE12CF">
              <w:rPr>
                <w:rStyle w:val="FootnoteReference"/>
                <w:rFonts w:cs="Calibri Light"/>
                <w:szCs w:val="18"/>
                <w:vertAlign w:val="superscript"/>
              </w:rPr>
              <w:footnoteReference w:id="37"/>
            </w:r>
            <w:r w:rsidRPr="00DE12CF">
              <w:rPr>
                <w:rFonts w:cs="Calibri Light"/>
                <w:sz w:val="18"/>
                <w:szCs w:val="18"/>
              </w:rPr>
              <w:t xml:space="preserve">  </w:t>
            </w:r>
            <w:r w:rsidR="00E43B21" w:rsidRPr="00DE12CF">
              <w:rPr>
                <w:rFonts w:cs="Calibri Light"/>
                <w:sz w:val="18"/>
                <w:szCs w:val="18"/>
              </w:rPr>
              <w:t>New Zealand Commerce Commission (</w:t>
            </w:r>
            <w:r w:rsidRPr="00DE12CF">
              <w:rPr>
                <w:rFonts w:cs="Calibri Light"/>
                <w:sz w:val="18"/>
                <w:szCs w:val="18"/>
              </w:rPr>
              <w:t>NZCC</w:t>
            </w:r>
            <w:r w:rsidR="00E43B21" w:rsidRPr="00DE12CF">
              <w:rPr>
                <w:rFonts w:cs="Calibri Light"/>
                <w:sz w:val="18"/>
                <w:szCs w:val="18"/>
              </w:rPr>
              <w:t>)</w:t>
            </w:r>
            <w:r w:rsidRPr="00DE12CF">
              <w:rPr>
                <w:rFonts w:cs="Calibri Light"/>
                <w:sz w:val="18"/>
                <w:szCs w:val="18"/>
              </w:rPr>
              <w:t xml:space="preserve"> must be satisfied that the merger is not likely to substantially lessen competition</w:t>
            </w:r>
          </w:p>
          <w:p w14:paraId="5851E296"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4"/>
                <w:szCs w:val="4"/>
              </w:rPr>
            </w:pPr>
          </w:p>
          <w:p w14:paraId="586E8602" w14:textId="77777777" w:rsidR="00C14B3A" w:rsidRPr="00DE12CF" w:rsidDel="00E748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Merger authorisation: NZCC must be satisfied merger is not likely to substantially lessen competition or the public benefits outweigh the public detriments</w:t>
            </w:r>
          </w:p>
          <w:p w14:paraId="2317DBB0" w14:textId="77777777" w:rsidR="00C14B3A" w:rsidRPr="00633433" w:rsidRDefault="00C14B3A" w:rsidP="00DE12CF">
            <w:pPr>
              <w:spacing w:before="0" w:after="0"/>
              <w:jc w:val="center"/>
              <w:cnfStyle w:val="000000000000" w:firstRow="0" w:lastRow="0" w:firstColumn="0" w:lastColumn="0" w:oddVBand="0" w:evenVBand="0" w:oddHBand="0" w:evenHBand="0" w:firstRowFirstColumn="0" w:firstRowLastColumn="0" w:lastRowFirstColumn="0" w:lastRowLastColumn="0"/>
              <w:rPr>
                <w:rFonts w:cs="Calibri Light"/>
                <w:sz w:val="4"/>
                <w:szCs w:val="4"/>
              </w:rPr>
            </w:pPr>
          </w:p>
          <w:p w14:paraId="6553A40F"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Commerce Act section 47 investigation: Likely to substantially lessen competition</w:t>
            </w:r>
          </w:p>
        </w:tc>
        <w:tc>
          <w:tcPr>
            <w:tcW w:w="2551" w:type="dxa"/>
          </w:tcPr>
          <w:p w14:paraId="54C9CB55"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Clearance/authorisation: Administrative decision by NZCC</w:t>
            </w:r>
          </w:p>
          <w:p w14:paraId="5C8A6DB2"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Reviewable by New Zealand High Court on merits</w:t>
            </w:r>
          </w:p>
          <w:p w14:paraId="459F1C22"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p>
          <w:p w14:paraId="04070F5C"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For section 47 investigations: NZCC must take action in High Court to stop or unwind a merger</w:t>
            </w:r>
          </w:p>
        </w:tc>
        <w:tc>
          <w:tcPr>
            <w:tcW w:w="1559" w:type="dxa"/>
          </w:tcPr>
          <w:p w14:paraId="1DE4E915"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Voluntary</w:t>
            </w:r>
          </w:p>
        </w:tc>
        <w:tc>
          <w:tcPr>
            <w:tcW w:w="1701" w:type="dxa"/>
          </w:tcPr>
          <w:p w14:paraId="71CE87FE"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Clearance: 40 working days</w:t>
            </w:r>
          </w:p>
          <w:p w14:paraId="1B441269"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p>
          <w:p w14:paraId="1D8318CB"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Authorisation: 60 working days</w:t>
            </w:r>
          </w:p>
        </w:tc>
        <w:tc>
          <w:tcPr>
            <w:tcW w:w="1843" w:type="dxa"/>
          </w:tcPr>
          <w:p w14:paraId="495AE4A2"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NZCC may review all mergers that affect a market in New Zealand</w:t>
            </w:r>
          </w:p>
        </w:tc>
        <w:tc>
          <w:tcPr>
            <w:tcW w:w="2693" w:type="dxa"/>
          </w:tcPr>
          <w:p w14:paraId="3F02003B"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NZCC may accept a structural remedy</w:t>
            </w:r>
          </w:p>
          <w:p w14:paraId="4ACFA80E"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High Court may order pecuniary penalties, divestiture, injunction and/or damages</w:t>
            </w:r>
          </w:p>
        </w:tc>
      </w:tr>
      <w:tr w:rsidR="00C14B3A" w:rsidRPr="00DE12CF" w14:paraId="67EE99B4" w14:textId="77777777" w:rsidTr="00633433">
        <w:trPr>
          <w:trHeight w:val="1782"/>
        </w:trPr>
        <w:tc>
          <w:tcPr>
            <w:cnfStyle w:val="001000000000" w:firstRow="0" w:lastRow="0" w:firstColumn="1" w:lastColumn="0" w:oddVBand="0" w:evenVBand="0" w:oddHBand="0" w:evenHBand="0" w:firstRowFirstColumn="0" w:firstRowLastColumn="0" w:lastRowFirstColumn="0" w:lastRowLastColumn="0"/>
            <w:tcW w:w="1276" w:type="dxa"/>
          </w:tcPr>
          <w:p w14:paraId="0E2C8A49" w14:textId="77777777" w:rsidR="00C14B3A" w:rsidRPr="00DE12CF" w:rsidRDefault="00C14B3A" w:rsidP="00DE12CF">
            <w:pPr>
              <w:spacing w:before="40" w:after="40"/>
              <w:jc w:val="center"/>
              <w:rPr>
                <w:rFonts w:cs="Calibri Light"/>
                <w:sz w:val="18"/>
                <w:szCs w:val="18"/>
              </w:rPr>
            </w:pPr>
            <w:r w:rsidRPr="00DE12CF">
              <w:rPr>
                <w:rFonts w:cs="Calibri Light"/>
                <w:sz w:val="18"/>
                <w:szCs w:val="18"/>
              </w:rPr>
              <w:t>European Union</w:t>
            </w:r>
          </w:p>
        </w:tc>
        <w:tc>
          <w:tcPr>
            <w:tcW w:w="3828" w:type="dxa"/>
          </w:tcPr>
          <w:p w14:paraId="5DC1D907" w14:textId="77777777" w:rsidR="00C14B3A" w:rsidRPr="00DE12CF" w:rsidDel="00362D0C"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Significantly impede effective competition, in particular as a result of the creation or strengthening of a dominant position</w:t>
            </w:r>
          </w:p>
        </w:tc>
        <w:tc>
          <w:tcPr>
            <w:tcW w:w="2551" w:type="dxa"/>
          </w:tcPr>
          <w:p w14:paraId="70AFB875"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 xml:space="preserve">Administrative decision by European Commission  </w:t>
            </w:r>
          </w:p>
          <w:p w14:paraId="20445552" w14:textId="150A8466" w:rsidR="00C14B3A" w:rsidRPr="00DE12CF" w:rsidDel="00362D0C"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Reviewable by EU General Court</w:t>
            </w:r>
            <w:r w:rsidR="00AC114D" w:rsidRPr="00DE12CF">
              <w:rPr>
                <w:rFonts w:cs="Calibri Light"/>
                <w:sz w:val="18"/>
                <w:szCs w:val="18"/>
              </w:rPr>
              <w:t xml:space="preserve"> on grounds of lack of competence, infringement of an essential procedural requirement, infringement of the Trea</w:t>
            </w:r>
            <w:r w:rsidR="0079613D" w:rsidRPr="00DE12CF">
              <w:rPr>
                <w:rFonts w:cs="Calibri Light"/>
                <w:sz w:val="18"/>
                <w:szCs w:val="18"/>
              </w:rPr>
              <w:t>ty</w:t>
            </w:r>
            <w:r w:rsidR="00AC114D" w:rsidRPr="00DE12CF">
              <w:rPr>
                <w:rFonts w:cs="Calibri Light"/>
                <w:sz w:val="18"/>
                <w:szCs w:val="18"/>
              </w:rPr>
              <w:t xml:space="preserve"> or of any rule of law, or misuse of powers.</w:t>
            </w:r>
          </w:p>
        </w:tc>
        <w:tc>
          <w:tcPr>
            <w:tcW w:w="1559" w:type="dxa"/>
          </w:tcPr>
          <w:p w14:paraId="7889E528"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Mandatory, with notification thresholds based on turnover</w:t>
            </w:r>
          </w:p>
        </w:tc>
        <w:tc>
          <w:tcPr>
            <w:tcW w:w="1701" w:type="dxa"/>
          </w:tcPr>
          <w:p w14:paraId="5D291C7A"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1: 25 working days</w:t>
            </w:r>
          </w:p>
          <w:p w14:paraId="0D36525C"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2: 90 working days</w:t>
            </w:r>
            <w:r w:rsidRPr="00DE12CF">
              <w:rPr>
                <w:rFonts w:cs="Calibri Light"/>
                <w:sz w:val="18"/>
                <w:szCs w:val="18"/>
                <w:vertAlign w:val="superscript"/>
              </w:rPr>
              <w:footnoteReference w:id="38"/>
            </w:r>
          </w:p>
        </w:tc>
        <w:tc>
          <w:tcPr>
            <w:tcW w:w="1843" w:type="dxa"/>
          </w:tcPr>
          <w:p w14:paraId="78024552" w14:textId="77777777" w:rsidR="00C14B3A" w:rsidRPr="00DE12CF" w:rsidDel="00523AE4"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EU Member States may refer mergers to the EC under EUMR Article 22</w:t>
            </w:r>
            <w:r w:rsidRPr="00DE12CF">
              <w:rPr>
                <w:rFonts w:cs="Calibri Light"/>
                <w:sz w:val="18"/>
                <w:szCs w:val="18"/>
                <w:vertAlign w:val="superscript"/>
              </w:rPr>
              <w:footnoteReference w:id="39"/>
            </w:r>
          </w:p>
        </w:tc>
        <w:tc>
          <w:tcPr>
            <w:tcW w:w="2693" w:type="dxa"/>
          </w:tcPr>
          <w:p w14:paraId="0A2A59F2"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EC may impose fines up to 10% of aggregate turnover of the merger parties for failure to notify or proceeding before end of statutory review period</w:t>
            </w:r>
          </w:p>
          <w:p w14:paraId="15C955D5"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EC may accept structural and behavioural remedies</w:t>
            </w:r>
          </w:p>
        </w:tc>
      </w:tr>
      <w:tr w:rsidR="00C14B3A" w:rsidRPr="00DE12CF" w14:paraId="2C0D8FC8" w14:textId="77777777" w:rsidTr="00633433">
        <w:trPr>
          <w:trHeight w:val="56"/>
        </w:trPr>
        <w:tc>
          <w:tcPr>
            <w:cnfStyle w:val="001000000000" w:firstRow="0" w:lastRow="0" w:firstColumn="1" w:lastColumn="0" w:oddVBand="0" w:evenVBand="0" w:oddHBand="0" w:evenHBand="0" w:firstRowFirstColumn="0" w:firstRowLastColumn="0" w:lastRowFirstColumn="0" w:lastRowLastColumn="0"/>
            <w:tcW w:w="1276" w:type="dxa"/>
          </w:tcPr>
          <w:p w14:paraId="478B799D" w14:textId="77777777" w:rsidR="00C14B3A" w:rsidRPr="00DE12CF" w:rsidRDefault="00C14B3A" w:rsidP="00DE12CF">
            <w:pPr>
              <w:spacing w:before="40" w:after="40"/>
              <w:jc w:val="center"/>
              <w:rPr>
                <w:rFonts w:cs="Calibri Light"/>
                <w:sz w:val="18"/>
                <w:szCs w:val="18"/>
              </w:rPr>
            </w:pPr>
            <w:r w:rsidRPr="00DE12CF">
              <w:rPr>
                <w:rFonts w:cs="Calibri Light"/>
                <w:sz w:val="18"/>
                <w:szCs w:val="18"/>
              </w:rPr>
              <w:t>Germany</w:t>
            </w:r>
          </w:p>
        </w:tc>
        <w:tc>
          <w:tcPr>
            <w:tcW w:w="3828" w:type="dxa"/>
          </w:tcPr>
          <w:p w14:paraId="4CC5531A" w14:textId="77777777" w:rsidR="00C14B3A" w:rsidRPr="00DE12CF" w:rsidDel="00362D0C"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Significantly impede effective competition, in particular a concentration which is expected to create or strengthen a dominant position</w:t>
            </w:r>
          </w:p>
        </w:tc>
        <w:tc>
          <w:tcPr>
            <w:tcW w:w="2551" w:type="dxa"/>
          </w:tcPr>
          <w:p w14:paraId="4911E8D5"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Administrative decision by Bundeskartellamt</w:t>
            </w:r>
          </w:p>
          <w:p w14:paraId="4F1E0BCB" w14:textId="77777777" w:rsidR="00C14B3A" w:rsidRPr="00DE12CF" w:rsidDel="00362D0C"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Reviewable by Düsseldorf Higher Regional Court on point of law</w:t>
            </w:r>
          </w:p>
        </w:tc>
        <w:tc>
          <w:tcPr>
            <w:tcW w:w="1559" w:type="dxa"/>
          </w:tcPr>
          <w:p w14:paraId="4EB75179"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Mandatory, with notification thresholds based on turnover</w:t>
            </w:r>
          </w:p>
        </w:tc>
        <w:tc>
          <w:tcPr>
            <w:tcW w:w="1701" w:type="dxa"/>
          </w:tcPr>
          <w:p w14:paraId="69BD69EB"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1: 1 month</w:t>
            </w:r>
          </w:p>
          <w:p w14:paraId="229549D8"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2: 5 months</w:t>
            </w:r>
          </w:p>
        </w:tc>
        <w:tc>
          <w:tcPr>
            <w:tcW w:w="1843" w:type="dxa"/>
          </w:tcPr>
          <w:p w14:paraId="543EA568"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Bundeskartellamt may order notification of future mergers under specific circumstances</w:t>
            </w:r>
          </w:p>
        </w:tc>
        <w:tc>
          <w:tcPr>
            <w:tcW w:w="2693" w:type="dxa"/>
          </w:tcPr>
          <w:p w14:paraId="025C5AA1"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Fines may be imposed by the Bundeskartellamt and the merger may be made void for failure to notify or completion before clearance is obtained</w:t>
            </w:r>
          </w:p>
        </w:tc>
      </w:tr>
      <w:tr w:rsidR="00C14B3A" w:rsidRPr="00DE12CF" w14:paraId="6F1514C9" w14:textId="77777777" w:rsidTr="00633433">
        <w:trPr>
          <w:trHeight w:val="410"/>
        </w:trPr>
        <w:tc>
          <w:tcPr>
            <w:cnfStyle w:val="001000000000" w:firstRow="0" w:lastRow="0" w:firstColumn="1" w:lastColumn="0" w:oddVBand="0" w:evenVBand="0" w:oddHBand="0" w:evenHBand="0" w:firstRowFirstColumn="0" w:firstRowLastColumn="0" w:lastRowFirstColumn="0" w:lastRowLastColumn="0"/>
            <w:tcW w:w="1276" w:type="dxa"/>
          </w:tcPr>
          <w:p w14:paraId="1F51B577" w14:textId="77777777" w:rsidR="00C14B3A" w:rsidRPr="00DE12CF" w:rsidRDefault="00C14B3A" w:rsidP="00DE12CF">
            <w:pPr>
              <w:spacing w:before="40" w:after="40"/>
              <w:jc w:val="center"/>
              <w:rPr>
                <w:rFonts w:cs="Calibri Light"/>
                <w:sz w:val="18"/>
                <w:szCs w:val="18"/>
              </w:rPr>
            </w:pPr>
            <w:r w:rsidRPr="00DE12CF">
              <w:rPr>
                <w:rFonts w:cs="Calibri Light"/>
                <w:sz w:val="18"/>
                <w:szCs w:val="18"/>
              </w:rPr>
              <w:t>France</w:t>
            </w:r>
          </w:p>
        </w:tc>
        <w:tc>
          <w:tcPr>
            <w:tcW w:w="3828" w:type="dxa"/>
          </w:tcPr>
          <w:p w14:paraId="1CAB5D7D" w14:textId="1D1A187F" w:rsidR="00C14B3A" w:rsidRPr="00DE12CF" w:rsidDel="00362D0C" w:rsidRDefault="00DE12CF"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Likely to have an adverse effect on</w:t>
            </w:r>
            <w:r w:rsidR="00C14B3A" w:rsidRPr="00DE12CF">
              <w:rPr>
                <w:rFonts w:cs="Calibri Light"/>
                <w:sz w:val="18"/>
                <w:szCs w:val="18"/>
              </w:rPr>
              <w:t xml:space="preserve"> competition in particular through the creation or strengthening of a dominant position</w:t>
            </w:r>
            <w:r w:rsidRPr="00DE12CF">
              <w:rPr>
                <w:sz w:val="18"/>
                <w:szCs w:val="18"/>
              </w:rPr>
              <w:t xml:space="preserve"> </w:t>
            </w:r>
            <w:r w:rsidRPr="00DE12CF">
              <w:rPr>
                <w:rFonts w:cs="Calibri Light"/>
                <w:sz w:val="18"/>
                <w:szCs w:val="18"/>
              </w:rPr>
              <w:t>or reinforcing buying power that places suppliers in a situation of economic dependence</w:t>
            </w:r>
          </w:p>
        </w:tc>
        <w:tc>
          <w:tcPr>
            <w:tcW w:w="2551" w:type="dxa"/>
          </w:tcPr>
          <w:p w14:paraId="752E5448"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Administrative decision by Autorité de la Concurrence</w:t>
            </w:r>
          </w:p>
          <w:p w14:paraId="0D644020" w14:textId="77777777" w:rsidR="00C14B3A" w:rsidRPr="00DE12CF" w:rsidDel="00362D0C"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Reviewable by Conseil d’État</w:t>
            </w:r>
          </w:p>
        </w:tc>
        <w:tc>
          <w:tcPr>
            <w:tcW w:w="1559" w:type="dxa"/>
          </w:tcPr>
          <w:p w14:paraId="59FCC9BD"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Mandatory, with notification thresholds based on turnover</w:t>
            </w:r>
          </w:p>
        </w:tc>
        <w:tc>
          <w:tcPr>
            <w:tcW w:w="1701" w:type="dxa"/>
          </w:tcPr>
          <w:p w14:paraId="51D447C1"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1: 25 working days</w:t>
            </w:r>
          </w:p>
          <w:p w14:paraId="57D186C3"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Phase 2: 65 working days</w:t>
            </w:r>
          </w:p>
        </w:tc>
        <w:tc>
          <w:tcPr>
            <w:tcW w:w="1843" w:type="dxa"/>
          </w:tcPr>
          <w:p w14:paraId="1C2BC3E7"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n/a</w:t>
            </w:r>
          </w:p>
        </w:tc>
        <w:tc>
          <w:tcPr>
            <w:tcW w:w="2693" w:type="dxa"/>
          </w:tcPr>
          <w:p w14:paraId="56073F52" w14:textId="77777777" w:rsidR="00C14B3A" w:rsidRPr="00DE12CF" w:rsidRDefault="00C14B3A" w:rsidP="00DE12CF">
            <w:pPr>
              <w:spacing w:before="40" w:after="4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DE12CF">
              <w:rPr>
                <w:rFonts w:cs="Calibri Light"/>
                <w:sz w:val="18"/>
                <w:szCs w:val="18"/>
              </w:rPr>
              <w:t>Penalties apply for not notifying if above the thresholds</w:t>
            </w:r>
          </w:p>
        </w:tc>
      </w:tr>
    </w:tbl>
    <w:p w14:paraId="22B9F5E9" w14:textId="77777777" w:rsidR="00C14B3A" w:rsidRPr="00DE12CF" w:rsidRDefault="00C14B3A" w:rsidP="005D2E79">
      <w:pPr>
        <w:spacing w:before="0" w:after="0"/>
        <w:rPr>
          <w:sz w:val="17"/>
          <w:szCs w:val="17"/>
        </w:rPr>
      </w:pPr>
    </w:p>
    <w:sectPr w:rsidR="00C14B3A" w:rsidRPr="00DE12CF" w:rsidSect="00C472D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BF2B" w14:textId="77777777" w:rsidR="00D5203A" w:rsidRDefault="00D5203A">
      <w:pPr>
        <w:spacing w:before="0" w:after="0"/>
      </w:pPr>
      <w:r>
        <w:separator/>
      </w:r>
    </w:p>
  </w:endnote>
  <w:endnote w:type="continuationSeparator" w:id="0">
    <w:p w14:paraId="4C6DE01C" w14:textId="77777777" w:rsidR="00D5203A" w:rsidRDefault="00D5203A">
      <w:pPr>
        <w:spacing w:before="0" w:after="0"/>
      </w:pPr>
      <w:r>
        <w:continuationSeparator/>
      </w:r>
    </w:p>
  </w:endnote>
  <w:endnote w:type="continuationNotice" w:id="1">
    <w:p w14:paraId="3B6BC114" w14:textId="77777777" w:rsidR="00D5203A" w:rsidRDefault="00D520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11CC" w14:textId="4520893D" w:rsidR="00B55B04" w:rsidRDefault="00B55B04" w:rsidP="00EE1447">
    <w:pPr>
      <w:pStyle w:val="FooterEven"/>
    </w:pPr>
    <w:r>
      <w:drawing>
        <wp:anchor distT="0" distB="0" distL="114300" distR="114300" simplePos="0" relativeHeight="251658240" behindDoc="1" locked="0" layoutInCell="1" allowOverlap="0" wp14:anchorId="1CDE3DFE" wp14:editId="14FCFCDD">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1118CB">
      <w:fldChar w:fldCharType="begin"/>
    </w:r>
    <w:r w:rsidR="001118CB">
      <w:instrText xml:space="preserve"> STYLEREF  "Heading 1"  \* MERGEFORMAT </w:instrText>
    </w:r>
    <w:r w:rsidR="001118CB">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1665" w14:textId="1398B340" w:rsidR="00B55B04" w:rsidRDefault="00D65732" w:rsidP="00D65732">
    <w:pPr>
      <w:pStyle w:val="FooterOdd"/>
    </w:pPr>
    <w:r>
      <w:t>Competition Review</w:t>
    </w:r>
    <w:r>
      <w:tab/>
    </w:r>
    <w:r w:rsidR="00AF5EA6">
      <w:fldChar w:fldCharType="begin"/>
    </w:r>
    <w:r w:rsidR="00AF5EA6">
      <w:instrText>STYLEREF  "Heading 1"  \* MERGEFORMAT</w:instrText>
    </w:r>
    <w:r w:rsidR="00AF5EA6">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BA3B" w14:textId="462673D5" w:rsidR="003F00AC" w:rsidRPr="00023B06" w:rsidRDefault="003F00AC" w:rsidP="00BC6E69">
    <w:pPr>
      <w:pStyle w:val="FooterEven"/>
      <w:jc w:val="both"/>
      <w:rPr>
        <w:position w:val="-8"/>
      </w:rPr>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095D6D">
        <w:t>Appendix A: Australia’s merger control regime</w:t>
      </w:r>
    </w:fldSimple>
    <w:r>
      <w:tab/>
    </w:r>
    <w:r>
      <w:rPr>
        <w:position w:val="-8"/>
      </w:rPr>
      <w:t>Competition Review</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B7B1" w14:textId="5195521B" w:rsidR="003F00AC" w:rsidRDefault="003F00AC" w:rsidP="00F94936">
    <w:pPr>
      <w:pStyle w:val="FooterOdd"/>
    </w:pPr>
    <w:r>
      <w:t>Competition Review</w:t>
    </w:r>
    <w:r w:rsidR="00F94936">
      <w:tab/>
    </w:r>
    <w:fldSimple w:instr="STYLEREF  &quot;Heading 1&quot;  \* MERGEFORMAT">
      <w:r w:rsidR="00095D6D">
        <w:rPr>
          <w:noProof/>
        </w:rPr>
        <w:t>Appendix D: Overview of overseas merger control regimes</w:t>
      </w:r>
    </w:fldSimple>
    <w:r>
      <w:t xml:space="preserve"> | </w:t>
    </w: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79AF" w14:textId="77777777" w:rsidR="003F00AC" w:rsidRPr="00095D88" w:rsidRDefault="003F00AC" w:rsidP="00095D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D76B" w14:textId="51C234E3" w:rsidR="00705977" w:rsidRPr="00023B06" w:rsidRDefault="00705977" w:rsidP="00F94936">
    <w:pPr>
      <w:pStyle w:val="FooterEven"/>
      <w:jc w:val="right"/>
      <w:rPr>
        <w:position w:val="-8"/>
      </w:rPr>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095D6D">
        <w:t>Appendix D: Overview of overseas merger control regimes</w:t>
      </w:r>
    </w:fldSimple>
    <w:r w:rsidR="00F94936">
      <w:tab/>
    </w:r>
    <w:r>
      <w:rPr>
        <w:position w:val="-8"/>
      </w:rPr>
      <w:t>Competition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7736" w14:textId="77777777" w:rsidR="00D5203A" w:rsidRPr="00ED5A20" w:rsidRDefault="00D5203A" w:rsidP="000F6233">
      <w:pPr>
        <w:rPr>
          <w:color w:val="4D7861" w:themeColor="accent2"/>
        </w:rPr>
      </w:pPr>
      <w:r w:rsidRPr="00ED5A20">
        <w:rPr>
          <w:color w:val="4D7861" w:themeColor="accent2"/>
        </w:rPr>
        <w:separator/>
      </w:r>
    </w:p>
  </w:footnote>
  <w:footnote w:type="continuationSeparator" w:id="0">
    <w:p w14:paraId="2F1FC4F0" w14:textId="77777777" w:rsidR="00D5203A" w:rsidRPr="00B737EB" w:rsidRDefault="00D5203A">
      <w:pPr>
        <w:spacing w:before="0" w:after="0"/>
        <w:rPr>
          <w:color w:val="2C384A" w:themeColor="accent1"/>
        </w:rPr>
      </w:pPr>
      <w:r w:rsidRPr="00B737EB">
        <w:rPr>
          <w:color w:val="2C384A" w:themeColor="accent1"/>
        </w:rPr>
        <w:continuationSeparator/>
      </w:r>
    </w:p>
  </w:footnote>
  <w:footnote w:type="continuationNotice" w:id="1">
    <w:p w14:paraId="670DB666" w14:textId="77777777" w:rsidR="00D5203A" w:rsidRDefault="00D5203A">
      <w:pPr>
        <w:spacing w:before="0" w:after="0"/>
      </w:pPr>
    </w:p>
  </w:footnote>
  <w:footnote w:id="2">
    <w:p w14:paraId="6D648BC5" w14:textId="6291F478" w:rsidR="00A73B2C" w:rsidRPr="00C472DD" w:rsidRDefault="00A73B2C"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sidDel="000C2B79">
        <w:rPr>
          <w:rFonts w:cs="Calibri Light"/>
          <w:sz w:val="16"/>
          <w:szCs w:val="16"/>
        </w:rPr>
        <w:t xml:space="preserve"> </w:t>
      </w:r>
      <w:r w:rsidR="007F6A90" w:rsidRPr="00C472DD">
        <w:rPr>
          <w:rFonts w:cs="Calibri Light"/>
          <w:i/>
          <w:sz w:val="16"/>
          <w:szCs w:val="16"/>
        </w:rPr>
        <w:t xml:space="preserve">Australian Competition and Consumer Commission v Pacific National Pty Limited </w:t>
      </w:r>
      <w:r w:rsidR="007F6A90" w:rsidRPr="00C472DD">
        <w:rPr>
          <w:rFonts w:cs="Calibri Light"/>
          <w:sz w:val="16"/>
          <w:szCs w:val="16"/>
        </w:rPr>
        <w:t>[2020] FCAFC 77</w:t>
      </w:r>
      <w:r w:rsidR="00612307" w:rsidRPr="00C472DD">
        <w:rPr>
          <w:rFonts w:cs="Calibri Light"/>
          <w:sz w:val="16"/>
          <w:szCs w:val="16"/>
        </w:rPr>
        <w:t xml:space="preserve">, </w:t>
      </w:r>
      <w:r w:rsidR="00123238" w:rsidRPr="00C472DD">
        <w:rPr>
          <w:rFonts w:cs="Calibri Light"/>
          <w:sz w:val="16"/>
          <w:szCs w:val="16"/>
        </w:rPr>
        <w:t>[</w:t>
      </w:r>
      <w:r w:rsidR="005A1E17" w:rsidRPr="00C472DD">
        <w:rPr>
          <w:rFonts w:cs="Calibri Light"/>
          <w:sz w:val="16"/>
          <w:szCs w:val="16"/>
        </w:rPr>
        <w:t>246</w:t>
      </w:r>
      <w:r w:rsidR="00123238" w:rsidRPr="00C472DD">
        <w:rPr>
          <w:rFonts w:cs="Calibri Light"/>
          <w:sz w:val="16"/>
          <w:szCs w:val="16"/>
        </w:rPr>
        <w:t>]</w:t>
      </w:r>
      <w:r w:rsidRPr="00C472DD">
        <w:rPr>
          <w:rFonts w:cs="Calibri Light"/>
          <w:sz w:val="16"/>
          <w:szCs w:val="16"/>
        </w:rPr>
        <w:t>.</w:t>
      </w:r>
    </w:p>
  </w:footnote>
  <w:footnote w:id="3">
    <w:p w14:paraId="45530046" w14:textId="145C87F9" w:rsidR="00A73B2C" w:rsidRPr="00C472DD" w:rsidRDefault="00A73B2C"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Pr="00C472DD">
        <w:rPr>
          <w:rFonts w:cs="Calibri Light"/>
          <w:i/>
          <w:sz w:val="16"/>
          <w:szCs w:val="16"/>
        </w:rPr>
        <w:t xml:space="preserve">Australian Competition and Consumer Commission v Pacific National Pty Limited </w:t>
      </w:r>
      <w:r w:rsidRPr="00C472DD">
        <w:rPr>
          <w:rFonts w:cs="Calibri Light"/>
          <w:sz w:val="16"/>
          <w:szCs w:val="16"/>
        </w:rPr>
        <w:t>[2020] FCAFC 77</w:t>
      </w:r>
      <w:r w:rsidR="00612307" w:rsidRPr="00C472DD">
        <w:rPr>
          <w:rFonts w:cs="Calibri Light"/>
          <w:sz w:val="16"/>
          <w:szCs w:val="16"/>
        </w:rPr>
        <w:t xml:space="preserve">, </w:t>
      </w:r>
      <w:r w:rsidR="00123238" w:rsidRPr="00C472DD">
        <w:rPr>
          <w:rFonts w:cs="Calibri Light"/>
          <w:sz w:val="16"/>
          <w:szCs w:val="16"/>
        </w:rPr>
        <w:t>[</w:t>
      </w:r>
      <w:r w:rsidRPr="00C472DD">
        <w:rPr>
          <w:rFonts w:cs="Calibri Light"/>
          <w:sz w:val="16"/>
          <w:szCs w:val="16"/>
        </w:rPr>
        <w:t>104</w:t>
      </w:r>
      <w:r w:rsidR="00123238" w:rsidRPr="00C472DD">
        <w:rPr>
          <w:rFonts w:cs="Calibri Light"/>
          <w:sz w:val="16"/>
          <w:szCs w:val="16"/>
        </w:rPr>
        <w:t>]</w:t>
      </w:r>
      <w:r w:rsidRPr="00C472DD">
        <w:rPr>
          <w:rFonts w:cs="Calibri Light"/>
          <w:sz w:val="16"/>
          <w:szCs w:val="16"/>
        </w:rPr>
        <w:t>.</w:t>
      </w:r>
    </w:p>
  </w:footnote>
  <w:footnote w:id="4">
    <w:p w14:paraId="0DC106F1" w14:textId="201777D1" w:rsidR="008C6532" w:rsidRPr="00C472DD" w:rsidRDefault="008C6532" w:rsidP="00B05548">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5C0213" w:rsidRPr="00C472DD">
        <w:rPr>
          <w:rFonts w:cs="Calibri Light"/>
          <w:i/>
          <w:iCs/>
          <w:sz w:val="16"/>
          <w:szCs w:val="16"/>
        </w:rPr>
        <w:t>Competition and Consumer Act 2010</w:t>
      </w:r>
      <w:r w:rsidR="005C0213" w:rsidRPr="00C472DD">
        <w:rPr>
          <w:rFonts w:cs="Calibri Light"/>
          <w:sz w:val="16"/>
          <w:szCs w:val="16"/>
        </w:rPr>
        <w:t xml:space="preserve"> (Cth) s </w:t>
      </w:r>
      <w:r w:rsidR="00A83930" w:rsidRPr="00C472DD">
        <w:rPr>
          <w:rFonts w:cs="Calibri Light"/>
          <w:sz w:val="16"/>
          <w:szCs w:val="16"/>
        </w:rPr>
        <w:t>81</w:t>
      </w:r>
      <w:r w:rsidR="005C0213" w:rsidRPr="00C472DD">
        <w:rPr>
          <w:rFonts w:cs="Calibri Light"/>
          <w:sz w:val="16"/>
          <w:szCs w:val="16"/>
        </w:rPr>
        <w:t>.</w:t>
      </w:r>
    </w:p>
  </w:footnote>
  <w:footnote w:id="5">
    <w:p w14:paraId="4CB5BC36" w14:textId="54DC364B" w:rsidR="001C7DC2" w:rsidRPr="00C472DD" w:rsidRDefault="001C7DC2">
      <w:pPr>
        <w:pStyle w:val="FootnoteText"/>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70656B" w:rsidRPr="00C472DD">
        <w:rPr>
          <w:rFonts w:cs="Calibri Light"/>
          <w:i/>
          <w:iCs/>
          <w:sz w:val="16"/>
          <w:szCs w:val="16"/>
        </w:rPr>
        <w:t>Competition and Consumer Act 2010</w:t>
      </w:r>
      <w:r w:rsidR="0070656B" w:rsidRPr="00C472DD">
        <w:rPr>
          <w:rFonts w:cs="Calibri Light"/>
          <w:sz w:val="16"/>
          <w:szCs w:val="16"/>
        </w:rPr>
        <w:t xml:space="preserve"> (Cth) s 76.</w:t>
      </w:r>
    </w:p>
  </w:footnote>
  <w:footnote w:id="6">
    <w:p w14:paraId="59D2F0C0" w14:textId="16DFD867" w:rsidR="00B92F0D" w:rsidRPr="00C472DD" w:rsidRDefault="00B92F0D" w:rsidP="00B92F0D">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Pr="00C472DD">
        <w:rPr>
          <w:rFonts w:cs="Calibri Light"/>
          <w:i/>
          <w:iCs/>
          <w:sz w:val="16"/>
          <w:szCs w:val="16"/>
        </w:rPr>
        <w:t>Competition and Consumer Act 2010</w:t>
      </w:r>
      <w:r w:rsidRPr="00C472DD">
        <w:rPr>
          <w:rFonts w:cs="Calibri Light"/>
          <w:sz w:val="16"/>
          <w:szCs w:val="16"/>
        </w:rPr>
        <w:t xml:space="preserve"> (Cth) s 77(2).</w:t>
      </w:r>
    </w:p>
  </w:footnote>
  <w:footnote w:id="7">
    <w:p w14:paraId="383F261F" w14:textId="77777777" w:rsidR="00B33862" w:rsidRPr="00C472DD" w:rsidRDefault="00B33862" w:rsidP="00B33862">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Pr="00C472DD">
        <w:rPr>
          <w:rFonts w:cs="Calibri Light"/>
          <w:i/>
          <w:iCs/>
          <w:sz w:val="16"/>
          <w:szCs w:val="16"/>
        </w:rPr>
        <w:t>Competition and Consumer Act 2010</w:t>
      </w:r>
      <w:r w:rsidRPr="00C472DD">
        <w:rPr>
          <w:rFonts w:cs="Calibri Light"/>
          <w:sz w:val="16"/>
          <w:szCs w:val="16"/>
        </w:rPr>
        <w:t xml:space="preserve"> (Cth) s 88.</w:t>
      </w:r>
    </w:p>
  </w:footnote>
  <w:footnote w:id="8">
    <w:p w14:paraId="25D55F2D" w14:textId="3CD90FE8" w:rsidR="009E5772" w:rsidRPr="00C472DD" w:rsidRDefault="009E5772" w:rsidP="00494F1F">
      <w:pPr>
        <w:pStyle w:val="FootnoteText"/>
        <w:ind w:left="0" w:firstLine="0"/>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8A02C8" w:rsidRPr="00C472DD">
        <w:rPr>
          <w:rFonts w:cs="Calibri Light"/>
          <w:i/>
          <w:iCs/>
          <w:sz w:val="16"/>
          <w:szCs w:val="16"/>
        </w:rPr>
        <w:t>Competition and Consumer Act 2010</w:t>
      </w:r>
      <w:r w:rsidR="008A02C8" w:rsidRPr="00C472DD">
        <w:rPr>
          <w:rFonts w:cs="Calibri Light"/>
          <w:sz w:val="16"/>
          <w:szCs w:val="16"/>
        </w:rPr>
        <w:t xml:space="preserve"> (Cth) s 89(1A)</w:t>
      </w:r>
      <w:r w:rsidR="00D7146A" w:rsidRPr="00C472DD">
        <w:rPr>
          <w:rFonts w:cs="Calibri Light"/>
          <w:sz w:val="16"/>
          <w:szCs w:val="16"/>
        </w:rPr>
        <w:t xml:space="preserve"> provides that </w:t>
      </w:r>
      <w:r w:rsidR="00525781" w:rsidRPr="00C472DD">
        <w:rPr>
          <w:rFonts w:cs="Calibri Light"/>
          <w:sz w:val="16"/>
          <w:szCs w:val="16"/>
        </w:rPr>
        <w:t xml:space="preserve">the ACCC may approve </w:t>
      </w:r>
      <w:r w:rsidR="006717E3" w:rsidRPr="00C472DD">
        <w:rPr>
          <w:rFonts w:cs="Calibri Light"/>
          <w:sz w:val="16"/>
          <w:szCs w:val="16"/>
        </w:rPr>
        <w:t xml:space="preserve">an authorisation application form </w:t>
      </w:r>
      <w:r w:rsidR="008F338D" w:rsidRPr="00C472DD">
        <w:rPr>
          <w:rFonts w:cs="Calibri Light"/>
          <w:sz w:val="16"/>
          <w:szCs w:val="16"/>
        </w:rPr>
        <w:t>requiring an application for merger authorisation to contain an undertaking under section 87B</w:t>
      </w:r>
      <w:r w:rsidR="00F94574" w:rsidRPr="00C472DD">
        <w:rPr>
          <w:rFonts w:cs="Calibri Light"/>
          <w:sz w:val="16"/>
          <w:szCs w:val="16"/>
        </w:rPr>
        <w:t xml:space="preserve"> that the applicant will not make the acquisition while the </w:t>
      </w:r>
      <w:r w:rsidR="001D5BD6" w:rsidRPr="00C472DD">
        <w:rPr>
          <w:rFonts w:cs="Calibri Light"/>
          <w:sz w:val="16"/>
          <w:szCs w:val="16"/>
        </w:rPr>
        <w:t xml:space="preserve">ACCC </w:t>
      </w:r>
      <w:r w:rsidR="00F94574" w:rsidRPr="00C472DD">
        <w:rPr>
          <w:rFonts w:cs="Calibri Light"/>
          <w:sz w:val="16"/>
          <w:szCs w:val="16"/>
        </w:rPr>
        <w:t xml:space="preserve">is considering the </w:t>
      </w:r>
      <w:r w:rsidR="00D71356" w:rsidRPr="00C472DD">
        <w:rPr>
          <w:rFonts w:cs="Calibri Light"/>
          <w:sz w:val="16"/>
          <w:szCs w:val="16"/>
        </w:rPr>
        <w:t xml:space="preserve">authorisation </w:t>
      </w:r>
      <w:r w:rsidR="00F94574" w:rsidRPr="00C472DD">
        <w:rPr>
          <w:rFonts w:cs="Calibri Light"/>
          <w:sz w:val="16"/>
          <w:szCs w:val="16"/>
        </w:rPr>
        <w:t>application</w:t>
      </w:r>
      <w:r w:rsidR="008A02C8" w:rsidRPr="00C472DD">
        <w:rPr>
          <w:rFonts w:cs="Calibri Light"/>
          <w:sz w:val="16"/>
          <w:szCs w:val="16"/>
        </w:rPr>
        <w:t>.</w:t>
      </w:r>
    </w:p>
  </w:footnote>
  <w:footnote w:id="9">
    <w:p w14:paraId="6F09F913" w14:textId="56E8D8A0" w:rsidR="002E22ED" w:rsidRPr="00C472DD" w:rsidRDefault="002E22ED">
      <w:pPr>
        <w:pStyle w:val="FootnoteText"/>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Pr="00C472DD">
        <w:rPr>
          <w:rFonts w:cs="Calibri Light"/>
          <w:i/>
          <w:iCs/>
          <w:sz w:val="16"/>
          <w:szCs w:val="16"/>
        </w:rPr>
        <w:t>Competition and Consumer Act 2010</w:t>
      </w:r>
      <w:r w:rsidRPr="00C472DD">
        <w:rPr>
          <w:rFonts w:cs="Calibri Light"/>
          <w:sz w:val="16"/>
          <w:szCs w:val="16"/>
        </w:rPr>
        <w:t xml:space="preserve"> (Cth) s </w:t>
      </w:r>
      <w:r w:rsidR="00465F96" w:rsidRPr="00C472DD">
        <w:rPr>
          <w:rFonts w:cs="Calibri Light"/>
          <w:sz w:val="16"/>
          <w:szCs w:val="16"/>
        </w:rPr>
        <w:t>90(10B)</w:t>
      </w:r>
      <w:r w:rsidRPr="00C472DD">
        <w:rPr>
          <w:rFonts w:cs="Calibri Light"/>
          <w:sz w:val="16"/>
          <w:szCs w:val="16"/>
        </w:rPr>
        <w:t>.</w:t>
      </w:r>
    </w:p>
  </w:footnote>
  <w:footnote w:id="10">
    <w:p w14:paraId="757F1304" w14:textId="5907574A" w:rsidR="00A73B2C" w:rsidRPr="00C472DD" w:rsidRDefault="00A73B2C"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1C0C7F" w:rsidRPr="00C472DD">
        <w:rPr>
          <w:rFonts w:cs="Calibri Light"/>
          <w:i/>
          <w:sz w:val="16"/>
          <w:szCs w:val="16"/>
        </w:rPr>
        <w:t>Competition and Consumer Act 2010</w:t>
      </w:r>
      <w:r w:rsidR="001C0C7F" w:rsidRPr="00C472DD">
        <w:rPr>
          <w:rFonts w:cs="Calibri Light"/>
          <w:sz w:val="16"/>
          <w:szCs w:val="16"/>
        </w:rPr>
        <w:t xml:space="preserve"> (Cth) s</w:t>
      </w:r>
      <w:r w:rsidRPr="00C472DD">
        <w:rPr>
          <w:rFonts w:cs="Calibri Light"/>
          <w:sz w:val="16"/>
          <w:szCs w:val="16"/>
        </w:rPr>
        <w:t xml:space="preserve"> 90(7)</w:t>
      </w:r>
      <w:r w:rsidR="001C0C7F" w:rsidRPr="00C472DD">
        <w:rPr>
          <w:rFonts w:cs="Calibri Light"/>
          <w:sz w:val="16"/>
          <w:szCs w:val="16"/>
        </w:rPr>
        <w:t>.</w:t>
      </w:r>
    </w:p>
  </w:footnote>
  <w:footnote w:id="11">
    <w:p w14:paraId="68F3052B" w14:textId="22B7E0B0" w:rsidR="005E0A82" w:rsidRPr="00C472DD" w:rsidRDefault="005E0A82"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0D7E78" w:rsidRPr="00C472DD">
        <w:rPr>
          <w:rFonts w:cs="Calibri Light"/>
          <w:i/>
          <w:sz w:val="16"/>
          <w:szCs w:val="16"/>
        </w:rPr>
        <w:t>Australian Gas Light Company v Australian Competition &amp; Consumer Commission (No 3)</w:t>
      </w:r>
      <w:r w:rsidR="000D7E78" w:rsidRPr="00C472DD">
        <w:rPr>
          <w:rFonts w:cs="Calibri Light"/>
          <w:sz w:val="16"/>
          <w:szCs w:val="16"/>
        </w:rPr>
        <w:t xml:space="preserve"> [2003] FCA 1525</w:t>
      </w:r>
      <w:r w:rsidR="00612307" w:rsidRPr="00C472DD">
        <w:rPr>
          <w:rFonts w:cs="Calibri Light"/>
          <w:sz w:val="16"/>
          <w:szCs w:val="16"/>
        </w:rPr>
        <w:t xml:space="preserve">, </w:t>
      </w:r>
      <w:r w:rsidR="00B96444">
        <w:rPr>
          <w:rFonts w:cs="Calibri Light"/>
          <w:sz w:val="16"/>
          <w:szCs w:val="16"/>
        </w:rPr>
        <w:t>[</w:t>
      </w:r>
      <w:r w:rsidRPr="00C472DD">
        <w:rPr>
          <w:rFonts w:cs="Calibri Light"/>
          <w:sz w:val="16"/>
          <w:szCs w:val="16"/>
        </w:rPr>
        <w:t>355</w:t>
      </w:r>
      <w:r w:rsidR="00B96444">
        <w:rPr>
          <w:rFonts w:cs="Calibri Light"/>
          <w:sz w:val="16"/>
          <w:szCs w:val="16"/>
        </w:rPr>
        <w:t>]</w:t>
      </w:r>
      <w:r w:rsidR="000D7E78" w:rsidRPr="00C472DD">
        <w:rPr>
          <w:rFonts w:cs="Calibri Light"/>
          <w:sz w:val="16"/>
          <w:szCs w:val="16"/>
        </w:rPr>
        <w:t>.</w:t>
      </w:r>
    </w:p>
  </w:footnote>
  <w:footnote w:id="12">
    <w:p w14:paraId="1C6C234E" w14:textId="6E4416D0" w:rsidR="004E34BB" w:rsidRPr="00C472DD" w:rsidRDefault="004E34BB"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7F72F8" w:rsidRPr="00C472DD">
        <w:rPr>
          <w:rFonts w:cs="Calibri Light"/>
          <w:sz w:val="16"/>
          <w:szCs w:val="16"/>
        </w:rPr>
        <w:t>This figure e</w:t>
      </w:r>
      <w:r w:rsidR="009B629D" w:rsidRPr="00C472DD">
        <w:rPr>
          <w:rStyle w:val="cf01"/>
          <w:rFonts w:ascii="Calibri Light" w:hAnsi="Calibri Light" w:cs="Calibri Light"/>
          <w:sz w:val="16"/>
          <w:szCs w:val="16"/>
        </w:rPr>
        <w:t xml:space="preserve">xcludes merger authorisation applications to the </w:t>
      </w:r>
      <w:r w:rsidR="003319D9" w:rsidRPr="00C472DD">
        <w:rPr>
          <w:rStyle w:val="cf01"/>
          <w:rFonts w:ascii="Calibri Light" w:hAnsi="Calibri Light" w:cs="Calibri Light"/>
          <w:sz w:val="16"/>
          <w:szCs w:val="16"/>
        </w:rPr>
        <w:t>Tribunal</w:t>
      </w:r>
      <w:r w:rsidR="009B629D" w:rsidRPr="00C472DD">
        <w:rPr>
          <w:rStyle w:val="cf01"/>
          <w:rFonts w:ascii="Calibri Light" w:hAnsi="Calibri Light" w:cs="Calibri Light"/>
          <w:sz w:val="16"/>
          <w:szCs w:val="16"/>
        </w:rPr>
        <w:t xml:space="preserve"> however includes Toll/Sea Swift (2015) as there was an informal review decision. It excludes Tabcorp/Tatts (</w:t>
      </w:r>
      <w:r w:rsidR="00B96B51" w:rsidRPr="00C472DD">
        <w:rPr>
          <w:rStyle w:val="cf01"/>
          <w:rFonts w:ascii="Calibri Light" w:hAnsi="Calibri Light" w:cs="Calibri Light"/>
          <w:sz w:val="16"/>
          <w:szCs w:val="16"/>
        </w:rPr>
        <w:t xml:space="preserve">2017) </w:t>
      </w:r>
      <w:r w:rsidR="007F72F8" w:rsidRPr="00C472DD">
        <w:rPr>
          <w:rStyle w:val="cf01"/>
          <w:rFonts w:ascii="Calibri Light" w:hAnsi="Calibri Light" w:cs="Calibri Light"/>
          <w:sz w:val="16"/>
          <w:szCs w:val="16"/>
        </w:rPr>
        <w:t xml:space="preserve">as the ACCC </w:t>
      </w:r>
      <w:r w:rsidR="005F5508" w:rsidRPr="00C472DD">
        <w:rPr>
          <w:rStyle w:val="cf01"/>
          <w:rFonts w:ascii="Calibri Light" w:hAnsi="Calibri Light" w:cs="Calibri Light"/>
          <w:sz w:val="16"/>
          <w:szCs w:val="16"/>
        </w:rPr>
        <w:t>did not reach a decision in its informal review</w:t>
      </w:r>
      <w:r w:rsidR="00D36A2A" w:rsidRPr="00C472DD">
        <w:rPr>
          <w:rStyle w:val="cf01"/>
          <w:rFonts w:ascii="Calibri Light" w:hAnsi="Calibri Light" w:cs="Calibri Light"/>
          <w:sz w:val="16"/>
          <w:szCs w:val="16"/>
        </w:rPr>
        <w:t xml:space="preserve">. </w:t>
      </w:r>
      <w:r w:rsidR="003319D9" w:rsidRPr="00C472DD">
        <w:rPr>
          <w:rStyle w:val="cf01"/>
          <w:rFonts w:ascii="Calibri Light" w:hAnsi="Calibri Light" w:cs="Calibri Light"/>
          <w:sz w:val="16"/>
          <w:szCs w:val="16"/>
        </w:rPr>
        <w:t xml:space="preserve">The ACCC commenced </w:t>
      </w:r>
      <w:r w:rsidR="009714DE" w:rsidRPr="00C472DD">
        <w:rPr>
          <w:rStyle w:val="cf01"/>
          <w:rFonts w:ascii="Calibri Light" w:hAnsi="Calibri Light" w:cs="Calibri Light"/>
          <w:sz w:val="16"/>
          <w:szCs w:val="16"/>
        </w:rPr>
        <w:t xml:space="preserve">reporting on </w:t>
      </w:r>
      <w:r w:rsidR="003F1553" w:rsidRPr="00C472DD">
        <w:rPr>
          <w:rStyle w:val="cf01"/>
          <w:rFonts w:ascii="Calibri Light" w:hAnsi="Calibri Light" w:cs="Calibri Light"/>
          <w:sz w:val="16"/>
          <w:szCs w:val="16"/>
        </w:rPr>
        <w:t>matters withdrawn post-Statement of Issues in 2015</w:t>
      </w:r>
      <w:r w:rsidR="00F946F8">
        <w:rPr>
          <w:rStyle w:val="cf01"/>
          <w:rFonts w:ascii="Calibri Light" w:hAnsi="Calibri Light" w:cs="Calibri Light"/>
          <w:sz w:val="16"/>
          <w:szCs w:val="16"/>
        </w:rPr>
        <w:t>-</w:t>
      </w:r>
      <w:r w:rsidR="003F1553" w:rsidRPr="00C472DD">
        <w:rPr>
          <w:rStyle w:val="cf01"/>
          <w:rFonts w:ascii="Calibri Light" w:hAnsi="Calibri Light" w:cs="Calibri Light"/>
          <w:sz w:val="16"/>
          <w:szCs w:val="16"/>
        </w:rPr>
        <w:t>16</w:t>
      </w:r>
      <w:r w:rsidR="00F560D1" w:rsidRPr="00C472DD">
        <w:rPr>
          <w:rStyle w:val="cf01"/>
          <w:rFonts w:ascii="Calibri Light" w:hAnsi="Calibri Light" w:cs="Calibri Light"/>
          <w:sz w:val="16"/>
          <w:szCs w:val="16"/>
        </w:rPr>
        <w:t>.</w:t>
      </w:r>
    </w:p>
  </w:footnote>
  <w:footnote w:id="13">
    <w:p w14:paraId="4EA34E24" w14:textId="452C1A1B" w:rsidR="001B1729" w:rsidRPr="00C472DD" w:rsidRDefault="001B1729"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Prior to 2015</w:t>
      </w:r>
      <w:r w:rsidR="002B3CFE">
        <w:rPr>
          <w:rFonts w:cs="Calibri Light"/>
          <w:sz w:val="16"/>
          <w:szCs w:val="16"/>
        </w:rPr>
        <w:t>-</w:t>
      </w:r>
      <w:r w:rsidRPr="00C472DD">
        <w:rPr>
          <w:rFonts w:cs="Calibri Light"/>
          <w:sz w:val="16"/>
          <w:szCs w:val="16"/>
        </w:rPr>
        <w:t>16, the ACCC did not formally report on the number of mergers withdrawn post-Statement of Issues.</w:t>
      </w:r>
    </w:p>
  </w:footnote>
  <w:footnote w:id="14">
    <w:p w14:paraId="3E3952EA" w14:textId="1C115831" w:rsidR="00574C4A" w:rsidRPr="00C472DD" w:rsidRDefault="00574C4A"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6D7975" w:rsidRPr="00C472DD">
        <w:rPr>
          <w:rFonts w:cs="Calibri Light"/>
          <w:sz w:val="16"/>
          <w:szCs w:val="16"/>
        </w:rPr>
        <w:t>Figure 1 does not include applications for merger authorisation that were made direct to the Tribunal before November 2017.</w:t>
      </w:r>
    </w:p>
  </w:footnote>
  <w:footnote w:id="15">
    <w:p w14:paraId="59FFEBC4" w14:textId="7844EBBD" w:rsidR="000F2DB8" w:rsidRPr="00C472DD" w:rsidRDefault="000F2DB8"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AP Eagers Limited proposed acquisition of Automotive Holdings Group Limited</w:t>
      </w:r>
      <w:r w:rsidR="005E3F63">
        <w:rPr>
          <w:rFonts w:cs="Calibri Light"/>
          <w:sz w:val="16"/>
          <w:szCs w:val="16"/>
        </w:rPr>
        <w:t xml:space="preserve"> (2019)</w:t>
      </w:r>
      <w:r w:rsidR="009D64C4" w:rsidRPr="00C472DD">
        <w:rPr>
          <w:rFonts w:cs="Calibri Light"/>
          <w:sz w:val="16"/>
          <w:szCs w:val="16"/>
        </w:rPr>
        <w:t>.</w:t>
      </w:r>
    </w:p>
  </w:footnote>
  <w:footnote w:id="16">
    <w:p w14:paraId="4A04AB86" w14:textId="30EC3D3D" w:rsidR="000F2DB8" w:rsidRPr="00C472DD" w:rsidRDefault="000F2DB8"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Linfox Armaguard Pty Ltd and Prosegur Australia Holdings Pty Ltd</w:t>
      </w:r>
      <w:r w:rsidR="003E6B8D" w:rsidRPr="00C472DD">
        <w:rPr>
          <w:rFonts w:cs="Calibri Light"/>
          <w:bCs/>
          <w:sz w:val="16"/>
          <w:szCs w:val="16"/>
        </w:rPr>
        <w:t xml:space="preserve"> (2023)</w:t>
      </w:r>
      <w:r w:rsidR="009D64C4" w:rsidRPr="00C472DD">
        <w:rPr>
          <w:rFonts w:cs="Calibri Light"/>
          <w:bCs/>
          <w:sz w:val="16"/>
          <w:szCs w:val="16"/>
        </w:rPr>
        <w:t>.</w:t>
      </w:r>
    </w:p>
  </w:footnote>
  <w:footnote w:id="17">
    <w:p w14:paraId="30350E0B" w14:textId="7A07E99A" w:rsidR="000F2DB8" w:rsidRPr="00C472DD" w:rsidRDefault="000F2DB8"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Telstra Corporation Limited and TPG Telecom Limited proposed spectrum sharing</w:t>
      </w:r>
      <w:r w:rsidR="0035720C" w:rsidRPr="00C472DD">
        <w:rPr>
          <w:rFonts w:cs="Calibri Light"/>
          <w:bCs/>
          <w:sz w:val="16"/>
          <w:szCs w:val="16"/>
        </w:rPr>
        <w:t xml:space="preserve"> (2022)</w:t>
      </w:r>
      <w:r w:rsidR="009D64C4" w:rsidRPr="00C472DD">
        <w:rPr>
          <w:rFonts w:cs="Calibri Light"/>
          <w:bCs/>
          <w:sz w:val="16"/>
          <w:szCs w:val="16"/>
        </w:rPr>
        <w:t>.</w:t>
      </w:r>
    </w:p>
  </w:footnote>
  <w:footnote w:id="18">
    <w:p w14:paraId="632BE509" w14:textId="42D1EE97" w:rsidR="009A29D1" w:rsidRPr="00C472DD" w:rsidRDefault="009A29D1"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B05548" w:rsidRPr="00C472DD">
        <w:rPr>
          <w:rFonts w:cs="Calibri Light"/>
          <w:sz w:val="16"/>
          <w:szCs w:val="16"/>
        </w:rPr>
        <w:t xml:space="preserve">Dawson, </w:t>
      </w:r>
      <w:hyperlink r:id="rId1" w:history="1">
        <w:r w:rsidR="00B05548" w:rsidRPr="00EA17E3">
          <w:rPr>
            <w:rStyle w:val="Hyperlink"/>
            <w:rFonts w:cs="Calibri Light"/>
            <w:i/>
            <w:color w:val="auto"/>
            <w:sz w:val="16"/>
            <w:szCs w:val="16"/>
          </w:rPr>
          <w:t>Review of the Competition Provisions of the Trade Practices Act</w:t>
        </w:r>
      </w:hyperlink>
      <w:r w:rsidR="00B05548" w:rsidRPr="00C472DD">
        <w:rPr>
          <w:rFonts w:cs="Calibri Light"/>
          <w:sz w:val="16"/>
          <w:szCs w:val="16"/>
        </w:rPr>
        <w:t>, ‘Dawson Report’, 2003, p 67, accessed 2 November 2023</w:t>
      </w:r>
    </w:p>
  </w:footnote>
  <w:footnote w:id="19">
    <w:p w14:paraId="25FE83A8" w14:textId="770741D7" w:rsidR="009A29D1" w:rsidRPr="00C472DD" w:rsidRDefault="009A29D1"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D128E2" w:rsidRPr="00C472DD">
        <w:rPr>
          <w:rFonts w:cs="Calibri Light"/>
          <w:sz w:val="16"/>
          <w:szCs w:val="16"/>
        </w:rPr>
        <w:t>Trade Practices (Creeping Acquisitions) Amendment Bill 2007</w:t>
      </w:r>
      <w:r w:rsidRPr="00C472DD">
        <w:rPr>
          <w:rFonts w:cs="Calibri Light"/>
          <w:sz w:val="16"/>
          <w:szCs w:val="16"/>
        </w:rPr>
        <w:t>.</w:t>
      </w:r>
    </w:p>
  </w:footnote>
  <w:footnote w:id="20">
    <w:p w14:paraId="300D8166" w14:textId="21330DA9" w:rsidR="009A29D1" w:rsidRPr="00C472DD" w:rsidRDefault="009A29D1"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ACCC</w:t>
      </w:r>
      <w:r w:rsidR="002E1FE2" w:rsidRPr="00C472DD">
        <w:rPr>
          <w:rFonts w:cs="Calibri Light"/>
          <w:sz w:val="16"/>
          <w:szCs w:val="16"/>
        </w:rPr>
        <w:t>,</w:t>
      </w:r>
      <w:r w:rsidRPr="00C472DD">
        <w:rPr>
          <w:rFonts w:cs="Calibri Light"/>
          <w:sz w:val="16"/>
          <w:szCs w:val="16"/>
        </w:rPr>
        <w:t xml:space="preserve"> </w:t>
      </w:r>
      <w:hyperlink r:id="rId2" w:history="1">
        <w:r w:rsidR="00FE0AF4" w:rsidRPr="00EA17E3">
          <w:rPr>
            <w:rStyle w:val="Hyperlink"/>
            <w:rFonts w:cs="Calibri Light"/>
            <w:i/>
            <w:color w:val="auto"/>
            <w:sz w:val="16"/>
            <w:szCs w:val="16"/>
          </w:rPr>
          <w:t>Report of the ACCC inquiry into the competitiveness of retail prices for standard groceries</w:t>
        </w:r>
      </w:hyperlink>
      <w:r w:rsidR="002E1FE2" w:rsidRPr="00C472DD">
        <w:rPr>
          <w:rFonts w:cs="Calibri Light"/>
          <w:sz w:val="16"/>
          <w:szCs w:val="16"/>
        </w:rPr>
        <w:t>,</w:t>
      </w:r>
      <w:r w:rsidRPr="00C472DD">
        <w:rPr>
          <w:rFonts w:cs="Calibri Light"/>
          <w:sz w:val="16"/>
          <w:szCs w:val="16"/>
        </w:rPr>
        <w:t xml:space="preserve"> 2008, p.xxi</w:t>
      </w:r>
      <w:r w:rsidR="001B02F2" w:rsidRPr="00C472DD">
        <w:rPr>
          <w:rFonts w:cs="Calibri Light"/>
          <w:sz w:val="16"/>
          <w:szCs w:val="16"/>
        </w:rPr>
        <w:t>.</w:t>
      </w:r>
    </w:p>
  </w:footnote>
  <w:footnote w:id="21">
    <w:p w14:paraId="1129F6D5" w14:textId="0357ED5D" w:rsidR="009A29D1" w:rsidRPr="00C472DD" w:rsidRDefault="009A29D1"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746A48" w:rsidRPr="00C472DD">
        <w:rPr>
          <w:rFonts w:cs="Calibri Light"/>
          <w:sz w:val="16"/>
          <w:szCs w:val="16"/>
        </w:rPr>
        <w:t>Trade Practices Amendment (Material Lessening of Competition—Richmond Amendment) Bill 2009.</w:t>
      </w:r>
    </w:p>
  </w:footnote>
  <w:footnote w:id="22">
    <w:p w14:paraId="11EEF584" w14:textId="79F685F7" w:rsidR="009A29D1" w:rsidRPr="00C472DD" w:rsidRDefault="009A29D1"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Pr="00C472DD">
        <w:rPr>
          <w:rFonts w:cs="Calibri Light"/>
          <w:i/>
          <w:sz w:val="16"/>
          <w:szCs w:val="16"/>
        </w:rPr>
        <w:t xml:space="preserve">Competition and Consumer Legislation Amendment Act </w:t>
      </w:r>
      <w:r w:rsidR="00AC777A" w:rsidRPr="00C472DD">
        <w:rPr>
          <w:rFonts w:cs="Calibri Light"/>
          <w:i/>
          <w:iCs/>
          <w:sz w:val="16"/>
          <w:szCs w:val="16"/>
        </w:rPr>
        <w:t>(Cth)</w:t>
      </w:r>
      <w:r w:rsidR="00AC777A" w:rsidRPr="00C472DD">
        <w:rPr>
          <w:rFonts w:cs="Calibri Light"/>
          <w:sz w:val="16"/>
          <w:szCs w:val="16"/>
        </w:rPr>
        <w:t xml:space="preserve"> </w:t>
      </w:r>
      <w:r w:rsidRPr="00C472DD">
        <w:rPr>
          <w:rFonts w:cs="Calibri Light"/>
          <w:sz w:val="16"/>
          <w:szCs w:val="16"/>
        </w:rPr>
        <w:t>2011</w:t>
      </w:r>
      <w:r w:rsidR="000733CC" w:rsidRPr="00C472DD">
        <w:rPr>
          <w:rFonts w:cs="Calibri Light"/>
          <w:sz w:val="16"/>
          <w:szCs w:val="16"/>
        </w:rPr>
        <w:t>.</w:t>
      </w:r>
    </w:p>
  </w:footnote>
  <w:footnote w:id="23">
    <w:p w14:paraId="72FBA347" w14:textId="77777777" w:rsidR="00F47331" w:rsidRPr="00C472DD" w:rsidRDefault="00F47331" w:rsidP="00F101C1">
      <w:pPr>
        <w:pStyle w:val="FootnoteText"/>
        <w:ind w:left="142" w:hanging="142"/>
        <w:rPr>
          <w:rFonts w:cs="Calibri Light"/>
          <w:sz w:val="16"/>
          <w:szCs w:val="16"/>
        </w:rPr>
      </w:pPr>
      <w:r w:rsidRPr="00C472DD">
        <w:rPr>
          <w:rStyle w:val="FootnoteReference"/>
          <w:rFonts w:eastAsiaTheme="majorEastAsia" w:cs="Calibri Light"/>
          <w:sz w:val="16"/>
          <w:szCs w:val="16"/>
        </w:rPr>
        <w:footnoteRef/>
      </w:r>
      <w:r w:rsidRPr="00C472DD">
        <w:rPr>
          <w:rFonts w:cs="Calibri Light"/>
          <w:sz w:val="16"/>
          <w:szCs w:val="16"/>
        </w:rPr>
        <w:t xml:space="preserve"> I Harper, P Anderson, S McCluskey, M O’Bryan AC, </w:t>
      </w:r>
      <w:hyperlink r:id="rId3" w:history="1">
        <w:r w:rsidRPr="00406396">
          <w:rPr>
            <w:rStyle w:val="Hyperlink"/>
            <w:rFonts w:cs="Calibri Light"/>
            <w:i/>
            <w:color w:val="auto"/>
            <w:sz w:val="16"/>
            <w:szCs w:val="16"/>
          </w:rPr>
          <w:t>Competition Policy Review – Final Report</w:t>
        </w:r>
      </w:hyperlink>
      <w:r w:rsidRPr="00C472DD">
        <w:rPr>
          <w:rFonts w:cs="Calibri Light"/>
          <w:i/>
          <w:iCs/>
          <w:sz w:val="16"/>
          <w:szCs w:val="16"/>
        </w:rPr>
        <w:t>,</w:t>
      </w:r>
      <w:r w:rsidRPr="00C472DD">
        <w:rPr>
          <w:rFonts w:cs="Calibri Light"/>
          <w:sz w:val="16"/>
          <w:szCs w:val="16"/>
        </w:rPr>
        <w:t xml:space="preserve"> ‘Harper Review’, 2015, p 320, accessed 29 October 2023.</w:t>
      </w:r>
    </w:p>
  </w:footnote>
  <w:footnote w:id="24">
    <w:p w14:paraId="12973A8B" w14:textId="0B2A0024" w:rsidR="009A29D1" w:rsidRPr="00C472DD" w:rsidRDefault="009A29D1" w:rsidP="00F101C1">
      <w:pPr>
        <w:pStyle w:val="FootnoteText"/>
        <w:ind w:left="142" w:hanging="142"/>
        <w:rPr>
          <w:rFonts w:cs="Calibri Light"/>
          <w:sz w:val="16"/>
          <w:szCs w:val="16"/>
        </w:rPr>
      </w:pPr>
      <w:r w:rsidRPr="00C472DD">
        <w:rPr>
          <w:rStyle w:val="FootnoteReference"/>
          <w:rFonts w:eastAsiaTheme="majorEastAsia" w:cs="Calibri Light"/>
          <w:sz w:val="16"/>
          <w:szCs w:val="16"/>
        </w:rPr>
        <w:footnoteRef/>
      </w:r>
      <w:r w:rsidRPr="00C472DD">
        <w:rPr>
          <w:rFonts w:cs="Calibri Light"/>
          <w:sz w:val="16"/>
          <w:szCs w:val="16"/>
        </w:rPr>
        <w:t xml:space="preserve"> </w:t>
      </w:r>
      <w:r w:rsidR="008F2E00" w:rsidRPr="00C472DD">
        <w:rPr>
          <w:rFonts w:cs="Calibri Light"/>
          <w:sz w:val="16"/>
          <w:szCs w:val="16"/>
        </w:rPr>
        <w:t xml:space="preserve">I Harper, P Anderson, S McCluskey, M O’Bryan AC, </w:t>
      </w:r>
      <w:hyperlink r:id="rId4" w:history="1">
        <w:r w:rsidR="008F2E00" w:rsidRPr="00406396">
          <w:rPr>
            <w:rStyle w:val="Hyperlink"/>
            <w:rFonts w:cs="Calibri Light"/>
            <w:i/>
            <w:color w:val="auto"/>
            <w:sz w:val="16"/>
            <w:szCs w:val="16"/>
          </w:rPr>
          <w:t>Competition Policy Review – Final Report</w:t>
        </w:r>
      </w:hyperlink>
      <w:r w:rsidR="008F2E00" w:rsidRPr="00C472DD">
        <w:rPr>
          <w:rFonts w:cs="Calibri Light"/>
          <w:i/>
          <w:iCs/>
          <w:sz w:val="16"/>
          <w:szCs w:val="16"/>
        </w:rPr>
        <w:t>,</w:t>
      </w:r>
      <w:r w:rsidR="008F2E00" w:rsidRPr="00C472DD">
        <w:rPr>
          <w:rFonts w:cs="Calibri Light"/>
          <w:sz w:val="16"/>
          <w:szCs w:val="16"/>
        </w:rPr>
        <w:t xml:space="preserve"> ‘Harper Review’, 2015, pp 321-323, accessed 29 October 2023.</w:t>
      </w:r>
    </w:p>
  </w:footnote>
  <w:footnote w:id="25">
    <w:p w14:paraId="547EBE6E" w14:textId="58D6B21B" w:rsidR="00D31847" w:rsidRPr="00C472DD" w:rsidRDefault="00D31847"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1D3BC9" w:rsidRPr="00C472DD">
        <w:rPr>
          <w:rFonts w:cs="Calibri Light"/>
          <w:sz w:val="16"/>
          <w:szCs w:val="16"/>
        </w:rPr>
        <w:t xml:space="preserve">Australian Parliament Senate Standing Committee on Legal and Constitutional Affairs, </w:t>
      </w:r>
      <w:hyperlink r:id="rId5" w:history="1">
        <w:r w:rsidR="001D3BC9" w:rsidRPr="00C14B3A">
          <w:rPr>
            <w:rStyle w:val="Hyperlink"/>
            <w:rFonts w:cs="Calibri Light"/>
            <w:i/>
            <w:color w:val="auto"/>
            <w:sz w:val="16"/>
            <w:szCs w:val="16"/>
          </w:rPr>
          <w:t>Mergers, Monopolies &amp; Acquisitions – Adequacy of Existing Legislative Controls</w:t>
        </w:r>
      </w:hyperlink>
      <w:r w:rsidR="001D3BC9" w:rsidRPr="00C472DD">
        <w:rPr>
          <w:rFonts w:cs="Calibri Light"/>
          <w:sz w:val="16"/>
          <w:szCs w:val="16"/>
        </w:rPr>
        <w:t>, ‘Cooney Committee Report’, December 1991, para 4.2-4.3</w:t>
      </w:r>
      <w:r w:rsidR="00792F82" w:rsidRPr="00C472DD">
        <w:rPr>
          <w:rFonts w:cs="Calibri Light"/>
          <w:sz w:val="16"/>
          <w:szCs w:val="16"/>
        </w:rPr>
        <w:t>, accessed 2 November 2023</w:t>
      </w:r>
      <w:r w:rsidR="001D3BC9" w:rsidRPr="00C472DD">
        <w:rPr>
          <w:rFonts w:cs="Calibri Light"/>
          <w:sz w:val="16"/>
          <w:szCs w:val="16"/>
        </w:rPr>
        <w:t>.</w:t>
      </w:r>
    </w:p>
  </w:footnote>
  <w:footnote w:id="26">
    <w:p w14:paraId="47A8CE7A" w14:textId="271E3894" w:rsidR="00D31847" w:rsidRPr="00C472DD" w:rsidRDefault="00D31847"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1D3BC9" w:rsidRPr="00C472DD">
        <w:rPr>
          <w:rFonts w:cs="Calibri Light"/>
          <w:sz w:val="16"/>
          <w:szCs w:val="16"/>
        </w:rPr>
        <w:t>Australian Parliament Senate Standing Committee on Legal and Constitutional Affairs, Mergers, Monopolies &amp; Acquisitions – Adequacy of Existing Legislative Controls, ‘</w:t>
      </w:r>
      <w:r w:rsidR="003E54C6" w:rsidRPr="00C472DD">
        <w:rPr>
          <w:rFonts w:cs="Calibri Light"/>
          <w:sz w:val="16"/>
          <w:szCs w:val="16"/>
        </w:rPr>
        <w:t xml:space="preserve">Cooney </w:t>
      </w:r>
      <w:r w:rsidR="001D3BC9" w:rsidRPr="00C472DD">
        <w:rPr>
          <w:rFonts w:cs="Calibri Light"/>
          <w:sz w:val="16"/>
          <w:szCs w:val="16"/>
        </w:rPr>
        <w:t>Committee Report’, December 1991</w:t>
      </w:r>
      <w:r w:rsidR="003E54C6" w:rsidRPr="00C472DD">
        <w:rPr>
          <w:rFonts w:cs="Calibri Light"/>
          <w:sz w:val="16"/>
          <w:szCs w:val="16"/>
        </w:rPr>
        <w:t>, para 4.40</w:t>
      </w:r>
      <w:r w:rsidR="00792F82" w:rsidRPr="00C472DD">
        <w:rPr>
          <w:rFonts w:cs="Calibri Light"/>
          <w:sz w:val="16"/>
          <w:szCs w:val="16"/>
        </w:rPr>
        <w:t>, accessed 2 November 2023</w:t>
      </w:r>
      <w:r w:rsidR="001D3BC9" w:rsidRPr="00C472DD">
        <w:rPr>
          <w:rFonts w:cs="Calibri Light"/>
          <w:sz w:val="16"/>
          <w:szCs w:val="16"/>
        </w:rPr>
        <w:t>.</w:t>
      </w:r>
      <w:r w:rsidR="003E54C6" w:rsidRPr="00C472DD">
        <w:rPr>
          <w:rFonts w:cs="Calibri Light"/>
          <w:sz w:val="16"/>
          <w:szCs w:val="16"/>
        </w:rPr>
        <w:t xml:space="preserve"> At the time, the Attorney-General’s Department had suggested a mandatory notification and suspension arrangement</w:t>
      </w:r>
      <w:r w:rsidR="00650157" w:rsidRPr="00C472DD">
        <w:rPr>
          <w:rFonts w:cs="Calibri Light"/>
          <w:sz w:val="16"/>
          <w:szCs w:val="16"/>
        </w:rPr>
        <w:t>.</w:t>
      </w:r>
    </w:p>
  </w:footnote>
  <w:footnote w:id="27">
    <w:p w14:paraId="4E50D099" w14:textId="77777777" w:rsidR="00772E29" w:rsidRPr="00C472DD" w:rsidRDefault="00772E29"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D Dawson, </w:t>
      </w:r>
      <w:hyperlink r:id="rId6" w:history="1">
        <w:r w:rsidRPr="00C14B3A">
          <w:rPr>
            <w:rStyle w:val="Hyperlink"/>
            <w:rFonts w:cs="Calibri Light"/>
            <w:i/>
            <w:color w:val="auto"/>
            <w:sz w:val="16"/>
            <w:szCs w:val="16"/>
          </w:rPr>
          <w:t>Review of the Competition Provisions of the Trade Practices Act</w:t>
        </w:r>
      </w:hyperlink>
      <w:r w:rsidRPr="00C472DD">
        <w:rPr>
          <w:rFonts w:cs="Calibri Light"/>
          <w:sz w:val="16"/>
          <w:szCs w:val="16"/>
        </w:rPr>
        <w:t>, ‘Dawson Report’, 2003, p 61, accessed 2 November 2023.</w:t>
      </w:r>
    </w:p>
  </w:footnote>
  <w:footnote w:id="28">
    <w:p w14:paraId="3DAD2D7A" w14:textId="03654E5B" w:rsidR="003077FD" w:rsidRPr="00C472DD" w:rsidRDefault="003077FD"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B05548" w:rsidRPr="00C472DD">
        <w:rPr>
          <w:rFonts w:cs="Calibri Light"/>
          <w:sz w:val="16"/>
          <w:szCs w:val="16"/>
        </w:rPr>
        <w:t xml:space="preserve">D Dawson, </w:t>
      </w:r>
      <w:hyperlink r:id="rId7" w:history="1">
        <w:r w:rsidR="00B05548" w:rsidRPr="00C14B3A">
          <w:rPr>
            <w:rStyle w:val="Hyperlink"/>
            <w:rFonts w:cs="Calibri Light"/>
            <w:i/>
            <w:color w:val="auto"/>
            <w:sz w:val="16"/>
            <w:szCs w:val="16"/>
          </w:rPr>
          <w:t>Review of the Competition Provisions of the Trade Practices Act</w:t>
        </w:r>
      </w:hyperlink>
      <w:r w:rsidR="00B05548" w:rsidRPr="00C472DD">
        <w:rPr>
          <w:rFonts w:cs="Calibri Light"/>
          <w:sz w:val="16"/>
          <w:szCs w:val="16"/>
        </w:rPr>
        <w:t>, ‘Dawson Report’, 2003, pp 60-64, accessed 2 November 2023.</w:t>
      </w:r>
    </w:p>
  </w:footnote>
  <w:footnote w:id="29">
    <w:p w14:paraId="65F4351D" w14:textId="6ED6B357" w:rsidR="0065281D" w:rsidRPr="00C472DD" w:rsidRDefault="0065281D"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79196E" w:rsidRPr="00C472DD">
        <w:rPr>
          <w:rFonts w:cs="Calibri Light"/>
          <w:i/>
          <w:sz w:val="16"/>
          <w:szCs w:val="16"/>
        </w:rPr>
        <w:t>Trade Practices Legislation Amendment (No 1) Act 2006</w:t>
      </w:r>
      <w:r w:rsidR="0079196E" w:rsidRPr="00C472DD">
        <w:rPr>
          <w:rFonts w:cs="Calibri Light"/>
          <w:sz w:val="16"/>
          <w:szCs w:val="16"/>
        </w:rPr>
        <w:t xml:space="preserve"> (Cth) Schedule 1; </w:t>
      </w:r>
      <w:r w:rsidR="0079196E" w:rsidRPr="00C472DD">
        <w:rPr>
          <w:rFonts w:cs="Calibri Light"/>
          <w:i/>
          <w:sz w:val="16"/>
          <w:szCs w:val="16"/>
        </w:rPr>
        <w:t xml:space="preserve">Competition and Consumer Amendment (Competition Policy Review) Act 2017 </w:t>
      </w:r>
      <w:r w:rsidR="0079196E" w:rsidRPr="00C472DD">
        <w:rPr>
          <w:rFonts w:cs="Calibri Light"/>
          <w:sz w:val="16"/>
          <w:szCs w:val="16"/>
        </w:rPr>
        <w:t>(Cth) Schedule 9.</w:t>
      </w:r>
    </w:p>
  </w:footnote>
  <w:footnote w:id="30">
    <w:p w14:paraId="098DDCEF" w14:textId="28915698" w:rsidR="0079196E" w:rsidRPr="00C472DD" w:rsidRDefault="0079196E"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226D1D" w:rsidRPr="00C472DD">
        <w:rPr>
          <w:rFonts w:cs="Calibri Light"/>
          <w:sz w:val="16"/>
          <w:szCs w:val="16"/>
        </w:rPr>
        <w:t xml:space="preserve">I Harper, P Anderson, S McCluskey, M O’Bryan AC, </w:t>
      </w:r>
      <w:hyperlink r:id="rId8" w:history="1">
        <w:r w:rsidR="00226D1D" w:rsidRPr="00C14B3A">
          <w:rPr>
            <w:rStyle w:val="Hyperlink"/>
            <w:rFonts w:cs="Calibri Light"/>
            <w:i/>
            <w:color w:val="auto"/>
            <w:sz w:val="16"/>
            <w:szCs w:val="16"/>
          </w:rPr>
          <w:t>Competition Policy Review – Final Report</w:t>
        </w:r>
      </w:hyperlink>
      <w:r w:rsidR="00226D1D" w:rsidRPr="00C472DD">
        <w:rPr>
          <w:rFonts w:cs="Calibri Light"/>
          <w:i/>
          <w:iCs/>
          <w:sz w:val="16"/>
          <w:szCs w:val="16"/>
        </w:rPr>
        <w:t>,</w:t>
      </w:r>
      <w:r w:rsidR="00226D1D" w:rsidRPr="00C472DD">
        <w:rPr>
          <w:rFonts w:cs="Calibri Light"/>
          <w:sz w:val="16"/>
          <w:szCs w:val="16"/>
        </w:rPr>
        <w:t xml:space="preserve"> ‘Harper Review’, 2015, p 332, accessed 29 October 2023.</w:t>
      </w:r>
    </w:p>
  </w:footnote>
  <w:footnote w:id="31">
    <w:p w14:paraId="6C1A979F" w14:textId="4F48C32C" w:rsidR="00F46330" w:rsidRPr="00C472DD" w:rsidRDefault="00F46330"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226D1D" w:rsidRPr="00C472DD">
        <w:rPr>
          <w:rFonts w:cs="Calibri Light"/>
          <w:sz w:val="16"/>
          <w:szCs w:val="16"/>
        </w:rPr>
        <w:t xml:space="preserve">I Harper, P Anderson, S McCluskey, M O’Bryan AC, </w:t>
      </w:r>
      <w:hyperlink r:id="rId9" w:history="1">
        <w:r w:rsidR="00226D1D" w:rsidRPr="00C14B3A">
          <w:rPr>
            <w:rStyle w:val="Hyperlink"/>
            <w:rFonts w:cs="Calibri Light"/>
            <w:i/>
            <w:color w:val="auto"/>
            <w:sz w:val="16"/>
            <w:szCs w:val="16"/>
          </w:rPr>
          <w:t>Competition Policy Review – Final Report</w:t>
        </w:r>
      </w:hyperlink>
      <w:r w:rsidR="00226D1D" w:rsidRPr="00C472DD">
        <w:rPr>
          <w:rFonts w:cs="Calibri Light"/>
          <w:i/>
          <w:iCs/>
          <w:sz w:val="16"/>
          <w:szCs w:val="16"/>
        </w:rPr>
        <w:t>,</w:t>
      </w:r>
      <w:r w:rsidR="00226D1D" w:rsidRPr="00C472DD">
        <w:rPr>
          <w:rFonts w:cs="Calibri Light"/>
          <w:sz w:val="16"/>
          <w:szCs w:val="16"/>
        </w:rPr>
        <w:t xml:space="preserve"> ‘Harper Review’, 2015, p 325, accessed 29 October 2023.</w:t>
      </w:r>
    </w:p>
  </w:footnote>
  <w:footnote w:id="32">
    <w:p w14:paraId="328817C4" w14:textId="6A7C16C0" w:rsidR="004F72B4" w:rsidRPr="00C472DD" w:rsidRDefault="004F72B4"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226D1D" w:rsidRPr="00C472DD">
        <w:rPr>
          <w:rFonts w:cs="Calibri Light"/>
          <w:sz w:val="16"/>
          <w:szCs w:val="16"/>
        </w:rPr>
        <w:t xml:space="preserve">I Harper, P Anderson, S McCluskey, M O’Bryan AC, </w:t>
      </w:r>
      <w:hyperlink r:id="rId10" w:history="1">
        <w:r w:rsidR="00226D1D" w:rsidRPr="00C14B3A">
          <w:rPr>
            <w:rStyle w:val="Hyperlink"/>
            <w:rFonts w:cs="Calibri Light"/>
            <w:i/>
            <w:color w:val="auto"/>
            <w:sz w:val="16"/>
            <w:szCs w:val="16"/>
          </w:rPr>
          <w:t>Competition Policy Review – Final Report</w:t>
        </w:r>
      </w:hyperlink>
      <w:r w:rsidR="00226D1D" w:rsidRPr="00C472DD">
        <w:rPr>
          <w:rFonts w:cs="Calibri Light"/>
          <w:i/>
          <w:iCs/>
          <w:sz w:val="16"/>
          <w:szCs w:val="16"/>
        </w:rPr>
        <w:t>,</w:t>
      </w:r>
      <w:r w:rsidR="00226D1D" w:rsidRPr="00C472DD">
        <w:rPr>
          <w:rFonts w:cs="Calibri Light"/>
          <w:sz w:val="16"/>
          <w:szCs w:val="16"/>
        </w:rPr>
        <w:t xml:space="preserve"> ‘Harper Review’, 2015, pp 325-6, accessed 29 October 2023.</w:t>
      </w:r>
    </w:p>
  </w:footnote>
  <w:footnote w:id="33">
    <w:p w14:paraId="17A65217" w14:textId="183653B1" w:rsidR="00650157" w:rsidRPr="00C472DD" w:rsidRDefault="00650157" w:rsidP="00F101C1">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w:t>
      </w:r>
      <w:r w:rsidR="00226D1D" w:rsidRPr="00C472DD">
        <w:rPr>
          <w:rFonts w:cs="Calibri Light"/>
          <w:sz w:val="16"/>
          <w:szCs w:val="16"/>
        </w:rPr>
        <w:t xml:space="preserve">I Harper, P Anderson, S McCluskey, M O’Bryan AC, </w:t>
      </w:r>
      <w:hyperlink r:id="rId11" w:history="1">
        <w:r w:rsidR="00226D1D" w:rsidRPr="00C14B3A">
          <w:rPr>
            <w:rStyle w:val="Hyperlink"/>
            <w:rFonts w:cs="Calibri Light"/>
            <w:i/>
            <w:color w:val="auto"/>
            <w:sz w:val="16"/>
            <w:szCs w:val="16"/>
          </w:rPr>
          <w:t>Competition Policy Review – Final Report</w:t>
        </w:r>
      </w:hyperlink>
      <w:r w:rsidR="00226D1D" w:rsidRPr="00C472DD">
        <w:rPr>
          <w:rFonts w:cs="Calibri Light"/>
          <w:i/>
          <w:iCs/>
          <w:sz w:val="16"/>
          <w:szCs w:val="16"/>
        </w:rPr>
        <w:t>,</w:t>
      </w:r>
      <w:r w:rsidR="00226D1D" w:rsidRPr="00C472DD">
        <w:rPr>
          <w:rFonts w:cs="Calibri Light"/>
          <w:sz w:val="16"/>
          <w:szCs w:val="16"/>
        </w:rPr>
        <w:t xml:space="preserve"> ‘Harper Review’, 2015, p 332, accessed 29 October 2023.</w:t>
      </w:r>
    </w:p>
  </w:footnote>
  <w:footnote w:id="34">
    <w:p w14:paraId="16CB67B8" w14:textId="77777777" w:rsidR="00C14B3A" w:rsidRPr="00C472DD" w:rsidRDefault="00C14B3A" w:rsidP="00C14B3A">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In practice, total merger review timelines may exceed the above statutory timeframes for various reasons. This can be due to time spent engaging with competition a</w:t>
      </w:r>
      <w:r>
        <w:rPr>
          <w:rFonts w:cs="Calibri Light"/>
          <w:sz w:val="16"/>
          <w:szCs w:val="16"/>
        </w:rPr>
        <w:t>uthoritie</w:t>
      </w:r>
      <w:r w:rsidRPr="00C472DD">
        <w:rPr>
          <w:rFonts w:cs="Calibri Light"/>
          <w:sz w:val="16"/>
          <w:szCs w:val="16"/>
        </w:rPr>
        <w:t>s prior to formal notification, stopping the clock when an information request is issued, timing agreements with the merger parties and/or competition agencies continuing to investigate a merger after the expiry of the statutory period.</w:t>
      </w:r>
    </w:p>
  </w:footnote>
  <w:footnote w:id="35">
    <w:p w14:paraId="1456CBB2" w14:textId="4DF577EA" w:rsidR="00C14B3A" w:rsidRPr="00C472DD" w:rsidRDefault="00C14B3A" w:rsidP="00C14B3A">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The FTC can challenge a non-consummated merger by filing an administrative complaint before an Administrative Law Judge</w:t>
      </w:r>
      <w:r w:rsidR="00DB1F8D">
        <w:rPr>
          <w:rFonts w:cs="Calibri Light"/>
          <w:sz w:val="16"/>
          <w:szCs w:val="16"/>
        </w:rPr>
        <w:t>. H</w:t>
      </w:r>
      <w:r w:rsidRPr="00C472DD">
        <w:rPr>
          <w:rFonts w:cs="Calibri Light"/>
          <w:sz w:val="16"/>
          <w:szCs w:val="16"/>
        </w:rPr>
        <w:t>owever, as this does not itself block the parties from closing the merger, the FTC will simultaneously seek an injunction in a US district court. In practice, the application for an injunction results in a substantive hearing of the issues. If the FTC prevails, the merger parties will be required to defend the administrative complaint or abandon the merger.</w:t>
      </w:r>
    </w:p>
  </w:footnote>
  <w:footnote w:id="36">
    <w:p w14:paraId="60D13AF0" w14:textId="77777777" w:rsidR="00C14B3A" w:rsidRPr="00C472DD" w:rsidRDefault="00C14B3A" w:rsidP="00C14B3A">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Extendable by up to 8 weeks.</w:t>
      </w:r>
    </w:p>
  </w:footnote>
  <w:footnote w:id="37">
    <w:p w14:paraId="55CEE9C5" w14:textId="77777777" w:rsidR="00C14B3A" w:rsidRPr="00C472DD" w:rsidRDefault="00C14B3A" w:rsidP="00C14B3A">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The vast majority of merger parties use this process.</w:t>
      </w:r>
    </w:p>
  </w:footnote>
  <w:footnote w:id="38">
    <w:p w14:paraId="7DEB0992" w14:textId="77777777" w:rsidR="00C14B3A" w:rsidRPr="00C472DD" w:rsidRDefault="00C14B3A" w:rsidP="00C14B3A">
      <w:pPr>
        <w:pStyle w:val="FootnoteText"/>
        <w:ind w:left="142" w:hanging="142"/>
        <w:rPr>
          <w:rFonts w:cs="Calibri Light"/>
          <w:sz w:val="16"/>
          <w:szCs w:val="16"/>
        </w:rPr>
      </w:pPr>
      <w:r w:rsidRPr="00C472DD">
        <w:rPr>
          <w:rStyle w:val="FootnoteReference"/>
          <w:rFonts w:cs="Calibri Light"/>
          <w:sz w:val="16"/>
          <w:szCs w:val="16"/>
        </w:rPr>
        <w:footnoteRef/>
      </w:r>
      <w:r w:rsidRPr="00C472DD">
        <w:rPr>
          <w:rFonts w:cs="Calibri Light"/>
          <w:sz w:val="16"/>
          <w:szCs w:val="16"/>
        </w:rPr>
        <w:t xml:space="preserve"> Extendable by 15 working days if parties offer remedies after 55 working days from start of Phase 2.</w:t>
      </w:r>
    </w:p>
  </w:footnote>
  <w:footnote w:id="39">
    <w:p w14:paraId="3CDB3288" w14:textId="75257F62" w:rsidR="00C14B3A" w:rsidRPr="00490A76" w:rsidRDefault="00C14B3A" w:rsidP="00C14B3A">
      <w:pPr>
        <w:pStyle w:val="FootnoteText"/>
        <w:ind w:left="142" w:hanging="142"/>
        <w:rPr>
          <w:rFonts w:ascii="Calibri" w:hAnsi="Calibri" w:cs="Calibri"/>
          <w:szCs w:val="16"/>
        </w:rPr>
      </w:pPr>
      <w:r w:rsidRPr="00D50FB8">
        <w:rPr>
          <w:rStyle w:val="FootnoteReference"/>
          <w:rFonts w:cs="Calibri Light"/>
          <w:sz w:val="16"/>
          <w:szCs w:val="16"/>
        </w:rPr>
        <w:footnoteRef/>
      </w:r>
      <w:r w:rsidRPr="00490A76">
        <w:rPr>
          <w:rFonts w:ascii="Calibri" w:hAnsi="Calibri" w:cs="Calibri"/>
          <w:szCs w:val="16"/>
        </w:rPr>
        <w:t xml:space="preserve"> </w:t>
      </w:r>
      <w:r w:rsidRPr="00D50FB8">
        <w:rPr>
          <w:rFonts w:cs="Calibri Light"/>
          <w:sz w:val="16"/>
          <w:szCs w:val="16"/>
        </w:rPr>
        <w:t>Note however that the EC is a supra-national body and that mergers may be reviewed by national competition agencies within the E</w:t>
      </w:r>
      <w:r w:rsidR="00B87821">
        <w:rPr>
          <w:rFonts w:cs="Calibri Light"/>
          <w:sz w:val="16"/>
          <w:szCs w:val="16"/>
        </w:rPr>
        <w:t xml:space="preserve">uropean </w:t>
      </w:r>
      <w:r w:rsidRPr="00D50FB8">
        <w:rPr>
          <w:rFonts w:cs="Calibri Light"/>
          <w:sz w:val="16"/>
          <w:szCs w:val="16"/>
        </w:rPr>
        <w:t>U</w:t>
      </w:r>
      <w:r w:rsidR="00B87821">
        <w:rPr>
          <w:rFonts w:cs="Calibri Light"/>
          <w:sz w:val="16"/>
          <w:szCs w:val="16"/>
        </w:rPr>
        <w:t>nion</w:t>
      </w:r>
      <w:r w:rsidRPr="00D50FB8">
        <w:rPr>
          <w:rFonts w:cs="Calibri Light"/>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4395" w14:textId="77777777"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E36D"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1CFD"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6E4E" w14:textId="54FF8968" w:rsidR="003F00AC" w:rsidRPr="00AC75E2" w:rsidRDefault="003F00AC" w:rsidP="00AC75E2">
    <w:pPr>
      <w:pStyle w:val="HeaderEven"/>
    </w:pPr>
    <w:r>
      <w:rPr>
        <w:noProof/>
      </w:rPr>
      <w:drawing>
        <wp:anchor distT="0" distB="0" distL="114300" distR="114300" simplePos="0" relativeHeight="251658242" behindDoc="1" locked="1" layoutInCell="1" allowOverlap="1" wp14:anchorId="3F6B36F2" wp14:editId="0F27B7C9">
          <wp:simplePos x="0" y="0"/>
          <wp:positionH relativeFrom="page">
            <wp:align>left</wp:align>
          </wp:positionH>
          <wp:positionV relativeFrom="page">
            <wp:align>top</wp:align>
          </wp:positionV>
          <wp:extent cx="7570800" cy="93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D3C9" w14:textId="77777777" w:rsidR="003F00AC" w:rsidRPr="00F60198" w:rsidRDefault="003F00AC" w:rsidP="00A12F62">
    <w:pPr>
      <w:pStyle w:val="HeaderOdd"/>
    </w:pPr>
    <w:r>
      <w:rPr>
        <w:noProof/>
      </w:rPr>
      <w:drawing>
        <wp:anchor distT="0" distB="0" distL="114300" distR="114300" simplePos="0" relativeHeight="251658241" behindDoc="1" locked="1" layoutInCell="1" allowOverlap="1" wp14:anchorId="01C253A5" wp14:editId="2366D02E">
          <wp:simplePos x="0" y="0"/>
          <wp:positionH relativeFrom="page">
            <wp:align>right</wp:align>
          </wp:positionH>
          <wp:positionV relativeFrom="page">
            <wp:align>top</wp:align>
          </wp:positionV>
          <wp:extent cx="7570470" cy="935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93599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6022" w14:textId="77777777" w:rsidR="003F00AC" w:rsidRPr="00095D88" w:rsidRDefault="003F00AC"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400F83"/>
    <w:multiLevelType w:val="multilevel"/>
    <w:tmpl w:val="EBDE5B5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43A04FA"/>
    <w:multiLevelType w:val="multilevel"/>
    <w:tmpl w:val="2A381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5635FB"/>
    <w:multiLevelType w:val="hybridMultilevel"/>
    <w:tmpl w:val="DE62F02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9"/>
  </w:num>
  <w:num w:numId="2" w16cid:durableId="230386874">
    <w:abstractNumId w:val="0"/>
  </w:num>
  <w:num w:numId="3" w16cid:durableId="1716855291">
    <w:abstractNumId w:val="12"/>
  </w:num>
  <w:num w:numId="4" w16cid:durableId="797724066">
    <w:abstractNumId w:val="2"/>
  </w:num>
  <w:num w:numId="5" w16cid:durableId="709110180">
    <w:abstractNumId w:val="4"/>
  </w:num>
  <w:num w:numId="6" w16cid:durableId="306596971">
    <w:abstractNumId w:val="15"/>
  </w:num>
  <w:num w:numId="7" w16cid:durableId="1739129519">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5"/>
  </w:num>
  <w:num w:numId="9" w16cid:durableId="1591279926">
    <w:abstractNumId w:val="1"/>
  </w:num>
  <w:num w:numId="10" w16cid:durableId="832991063">
    <w:abstractNumId w:val="8"/>
  </w:num>
  <w:num w:numId="11" w16cid:durableId="215508863">
    <w:abstractNumId w:val="23"/>
  </w:num>
  <w:num w:numId="12" w16cid:durableId="2019234066">
    <w:abstractNumId w:val="15"/>
  </w:num>
  <w:num w:numId="13" w16cid:durableId="1757362042">
    <w:abstractNumId w:val="24"/>
  </w:num>
  <w:num w:numId="14" w16cid:durableId="353965158">
    <w:abstractNumId w:val="14"/>
  </w:num>
  <w:num w:numId="15" w16cid:durableId="77220001">
    <w:abstractNumId w:val="7"/>
  </w:num>
  <w:num w:numId="16" w16cid:durableId="626086807">
    <w:abstractNumId w:val="19"/>
  </w:num>
  <w:num w:numId="17" w16cid:durableId="143200778">
    <w:abstractNumId w:val="11"/>
  </w:num>
  <w:num w:numId="18" w16cid:durableId="10540393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0"/>
  </w:num>
  <w:num w:numId="21" w16cid:durableId="525217854">
    <w:abstractNumId w:val="16"/>
  </w:num>
  <w:num w:numId="22" w16cid:durableId="1017973052">
    <w:abstractNumId w:val="3"/>
  </w:num>
  <w:num w:numId="23"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20"/>
  </w:num>
  <w:num w:numId="25" w16cid:durableId="1198618205">
    <w:abstractNumId w:val="6"/>
  </w:num>
  <w:num w:numId="26" w16cid:durableId="53434985">
    <w:abstractNumId w:val="13"/>
  </w:num>
  <w:num w:numId="27" w16cid:durableId="971013137">
    <w:abstractNumId w:val="18"/>
  </w:num>
  <w:num w:numId="28" w16cid:durableId="1405447954">
    <w:abstractNumId w:val="20"/>
  </w:num>
  <w:num w:numId="29" w16cid:durableId="1168012296">
    <w:abstractNumId w:val="17"/>
  </w:num>
  <w:num w:numId="30" w16cid:durableId="273903132">
    <w:abstractNumId w:val="20"/>
  </w:num>
  <w:num w:numId="31" w16cid:durableId="1004014241">
    <w:abstractNumId w:val="20"/>
  </w:num>
  <w:num w:numId="32" w16cid:durableId="74622481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0391968">
    <w:abstractNumId w:val="20"/>
  </w:num>
  <w:num w:numId="34" w16cid:durableId="8055129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mirrorMargins/>
  <w:hideSpellingError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A73B2C"/>
    <w:rsid w:val="000004FA"/>
    <w:rsid w:val="00000DF2"/>
    <w:rsid w:val="00002F78"/>
    <w:rsid w:val="000037B6"/>
    <w:rsid w:val="000057CA"/>
    <w:rsid w:val="00005F39"/>
    <w:rsid w:val="00005F89"/>
    <w:rsid w:val="0000684F"/>
    <w:rsid w:val="00006A5B"/>
    <w:rsid w:val="00006ABF"/>
    <w:rsid w:val="0001046B"/>
    <w:rsid w:val="00010DB1"/>
    <w:rsid w:val="000116F7"/>
    <w:rsid w:val="00011725"/>
    <w:rsid w:val="00012007"/>
    <w:rsid w:val="00012B4E"/>
    <w:rsid w:val="00012C62"/>
    <w:rsid w:val="00013631"/>
    <w:rsid w:val="0001396A"/>
    <w:rsid w:val="00013B37"/>
    <w:rsid w:val="00013CCA"/>
    <w:rsid w:val="00013F36"/>
    <w:rsid w:val="00015844"/>
    <w:rsid w:val="00015C7D"/>
    <w:rsid w:val="0001645B"/>
    <w:rsid w:val="00016D85"/>
    <w:rsid w:val="00016EEF"/>
    <w:rsid w:val="0002067A"/>
    <w:rsid w:val="000215C3"/>
    <w:rsid w:val="00021AF2"/>
    <w:rsid w:val="00023B06"/>
    <w:rsid w:val="00024EAE"/>
    <w:rsid w:val="00025203"/>
    <w:rsid w:val="0002544D"/>
    <w:rsid w:val="00025508"/>
    <w:rsid w:val="0002573E"/>
    <w:rsid w:val="0002684C"/>
    <w:rsid w:val="00026DF7"/>
    <w:rsid w:val="00027086"/>
    <w:rsid w:val="000270A8"/>
    <w:rsid w:val="000278C0"/>
    <w:rsid w:val="00030F8E"/>
    <w:rsid w:val="000311C4"/>
    <w:rsid w:val="00033BB6"/>
    <w:rsid w:val="000349F5"/>
    <w:rsid w:val="00034D38"/>
    <w:rsid w:val="000361EE"/>
    <w:rsid w:val="000364E5"/>
    <w:rsid w:val="00036676"/>
    <w:rsid w:val="00036725"/>
    <w:rsid w:val="000369B0"/>
    <w:rsid w:val="000370A5"/>
    <w:rsid w:val="00037637"/>
    <w:rsid w:val="00037DBE"/>
    <w:rsid w:val="0004004F"/>
    <w:rsid w:val="00041490"/>
    <w:rsid w:val="000421E4"/>
    <w:rsid w:val="0004274D"/>
    <w:rsid w:val="00042CDC"/>
    <w:rsid w:val="00042E58"/>
    <w:rsid w:val="00043348"/>
    <w:rsid w:val="000443AD"/>
    <w:rsid w:val="00044830"/>
    <w:rsid w:val="0004483F"/>
    <w:rsid w:val="00044ACD"/>
    <w:rsid w:val="00044E63"/>
    <w:rsid w:val="00045E76"/>
    <w:rsid w:val="00045FCD"/>
    <w:rsid w:val="00046CB4"/>
    <w:rsid w:val="0005138B"/>
    <w:rsid w:val="00051D32"/>
    <w:rsid w:val="000522B7"/>
    <w:rsid w:val="00052D5C"/>
    <w:rsid w:val="0005320E"/>
    <w:rsid w:val="00053717"/>
    <w:rsid w:val="00053940"/>
    <w:rsid w:val="00054BE4"/>
    <w:rsid w:val="00054E25"/>
    <w:rsid w:val="0005520A"/>
    <w:rsid w:val="00056880"/>
    <w:rsid w:val="00060056"/>
    <w:rsid w:val="000604E1"/>
    <w:rsid w:val="00061F0F"/>
    <w:rsid w:val="00062172"/>
    <w:rsid w:val="000624A5"/>
    <w:rsid w:val="00062978"/>
    <w:rsid w:val="000652CC"/>
    <w:rsid w:val="00065746"/>
    <w:rsid w:val="00066878"/>
    <w:rsid w:val="000675D1"/>
    <w:rsid w:val="000678C9"/>
    <w:rsid w:val="000733CC"/>
    <w:rsid w:val="00073521"/>
    <w:rsid w:val="000738F3"/>
    <w:rsid w:val="00074030"/>
    <w:rsid w:val="00074AB0"/>
    <w:rsid w:val="00076DF9"/>
    <w:rsid w:val="000775DE"/>
    <w:rsid w:val="00077B94"/>
    <w:rsid w:val="00080410"/>
    <w:rsid w:val="00080593"/>
    <w:rsid w:val="0008144D"/>
    <w:rsid w:val="000824E6"/>
    <w:rsid w:val="00082DBD"/>
    <w:rsid w:val="0008304A"/>
    <w:rsid w:val="00083FDE"/>
    <w:rsid w:val="000859D0"/>
    <w:rsid w:val="000862D9"/>
    <w:rsid w:val="00086B04"/>
    <w:rsid w:val="00086B54"/>
    <w:rsid w:val="00086EEE"/>
    <w:rsid w:val="000876B3"/>
    <w:rsid w:val="00087923"/>
    <w:rsid w:val="00087EB0"/>
    <w:rsid w:val="00087FAF"/>
    <w:rsid w:val="0009088E"/>
    <w:rsid w:val="000910C9"/>
    <w:rsid w:val="00091397"/>
    <w:rsid w:val="00091E6C"/>
    <w:rsid w:val="0009259E"/>
    <w:rsid w:val="00093BC2"/>
    <w:rsid w:val="00093F46"/>
    <w:rsid w:val="00094048"/>
    <w:rsid w:val="000943D9"/>
    <w:rsid w:val="000949E0"/>
    <w:rsid w:val="00094C32"/>
    <w:rsid w:val="00095D6D"/>
    <w:rsid w:val="00095D88"/>
    <w:rsid w:val="00096495"/>
    <w:rsid w:val="000A08B0"/>
    <w:rsid w:val="000A18F6"/>
    <w:rsid w:val="000A21B9"/>
    <w:rsid w:val="000A28FF"/>
    <w:rsid w:val="000A49AE"/>
    <w:rsid w:val="000A4E3C"/>
    <w:rsid w:val="000A5EBA"/>
    <w:rsid w:val="000B093F"/>
    <w:rsid w:val="000B0F2C"/>
    <w:rsid w:val="000B1723"/>
    <w:rsid w:val="000B302A"/>
    <w:rsid w:val="000B3148"/>
    <w:rsid w:val="000B3E4A"/>
    <w:rsid w:val="000B400F"/>
    <w:rsid w:val="000B4367"/>
    <w:rsid w:val="000B5E69"/>
    <w:rsid w:val="000B686A"/>
    <w:rsid w:val="000C2881"/>
    <w:rsid w:val="000C2B79"/>
    <w:rsid w:val="000C5017"/>
    <w:rsid w:val="000C52B4"/>
    <w:rsid w:val="000C571D"/>
    <w:rsid w:val="000C5AED"/>
    <w:rsid w:val="000C5D73"/>
    <w:rsid w:val="000C5F40"/>
    <w:rsid w:val="000C6654"/>
    <w:rsid w:val="000C68F6"/>
    <w:rsid w:val="000C71E5"/>
    <w:rsid w:val="000C75BD"/>
    <w:rsid w:val="000D1C60"/>
    <w:rsid w:val="000D1C70"/>
    <w:rsid w:val="000D2FB3"/>
    <w:rsid w:val="000D358D"/>
    <w:rsid w:val="000D3610"/>
    <w:rsid w:val="000D44F8"/>
    <w:rsid w:val="000D55FB"/>
    <w:rsid w:val="000D56A6"/>
    <w:rsid w:val="000D5845"/>
    <w:rsid w:val="000D603C"/>
    <w:rsid w:val="000D663B"/>
    <w:rsid w:val="000D6C11"/>
    <w:rsid w:val="000D7299"/>
    <w:rsid w:val="000D76B8"/>
    <w:rsid w:val="000D7C73"/>
    <w:rsid w:val="000D7E78"/>
    <w:rsid w:val="000E0B74"/>
    <w:rsid w:val="000E2EF8"/>
    <w:rsid w:val="000E33A0"/>
    <w:rsid w:val="000E36E3"/>
    <w:rsid w:val="000E3A04"/>
    <w:rsid w:val="000E4532"/>
    <w:rsid w:val="000E53D5"/>
    <w:rsid w:val="000E5D7C"/>
    <w:rsid w:val="000E6194"/>
    <w:rsid w:val="000E6941"/>
    <w:rsid w:val="000E6ADE"/>
    <w:rsid w:val="000E7156"/>
    <w:rsid w:val="000E7901"/>
    <w:rsid w:val="000E7DFF"/>
    <w:rsid w:val="000F01A3"/>
    <w:rsid w:val="000F18D0"/>
    <w:rsid w:val="000F290B"/>
    <w:rsid w:val="000F2DB8"/>
    <w:rsid w:val="000F4A4D"/>
    <w:rsid w:val="000F4C0E"/>
    <w:rsid w:val="000F503C"/>
    <w:rsid w:val="000F5AC5"/>
    <w:rsid w:val="000F5F6E"/>
    <w:rsid w:val="000F6063"/>
    <w:rsid w:val="000F6233"/>
    <w:rsid w:val="000F709C"/>
    <w:rsid w:val="00100090"/>
    <w:rsid w:val="00100A8B"/>
    <w:rsid w:val="00100D2C"/>
    <w:rsid w:val="00101C2A"/>
    <w:rsid w:val="00102525"/>
    <w:rsid w:val="0010348B"/>
    <w:rsid w:val="001035DB"/>
    <w:rsid w:val="00103F3C"/>
    <w:rsid w:val="00104E60"/>
    <w:rsid w:val="00106ED4"/>
    <w:rsid w:val="00107053"/>
    <w:rsid w:val="00107CF7"/>
    <w:rsid w:val="00107FCE"/>
    <w:rsid w:val="0011001D"/>
    <w:rsid w:val="001100AD"/>
    <w:rsid w:val="001118CB"/>
    <w:rsid w:val="00113C6D"/>
    <w:rsid w:val="001147FE"/>
    <w:rsid w:val="00116694"/>
    <w:rsid w:val="00116BBC"/>
    <w:rsid w:val="00116D45"/>
    <w:rsid w:val="00116F1C"/>
    <w:rsid w:val="0011714E"/>
    <w:rsid w:val="001202C7"/>
    <w:rsid w:val="001209FD"/>
    <w:rsid w:val="0012291D"/>
    <w:rsid w:val="0012310C"/>
    <w:rsid w:val="00123238"/>
    <w:rsid w:val="00123ECE"/>
    <w:rsid w:val="00125ABA"/>
    <w:rsid w:val="00126799"/>
    <w:rsid w:val="00127832"/>
    <w:rsid w:val="00130087"/>
    <w:rsid w:val="0013132D"/>
    <w:rsid w:val="00131DC3"/>
    <w:rsid w:val="001330B4"/>
    <w:rsid w:val="00134DF2"/>
    <w:rsid w:val="001355B7"/>
    <w:rsid w:val="00135E4C"/>
    <w:rsid w:val="00135F96"/>
    <w:rsid w:val="001373F5"/>
    <w:rsid w:val="00141882"/>
    <w:rsid w:val="00141AC7"/>
    <w:rsid w:val="0014225D"/>
    <w:rsid w:val="0014252F"/>
    <w:rsid w:val="00143479"/>
    <w:rsid w:val="00144856"/>
    <w:rsid w:val="001451AD"/>
    <w:rsid w:val="00150955"/>
    <w:rsid w:val="001536CA"/>
    <w:rsid w:val="001538E8"/>
    <w:rsid w:val="001556F1"/>
    <w:rsid w:val="001557E2"/>
    <w:rsid w:val="001565D5"/>
    <w:rsid w:val="001574C0"/>
    <w:rsid w:val="00157AB6"/>
    <w:rsid w:val="001604FF"/>
    <w:rsid w:val="001606CF"/>
    <w:rsid w:val="001607D7"/>
    <w:rsid w:val="0016128D"/>
    <w:rsid w:val="0016268D"/>
    <w:rsid w:val="0016330A"/>
    <w:rsid w:val="00164599"/>
    <w:rsid w:val="001655EC"/>
    <w:rsid w:val="001662F3"/>
    <w:rsid w:val="0017089D"/>
    <w:rsid w:val="00171A58"/>
    <w:rsid w:val="001725A2"/>
    <w:rsid w:val="00172767"/>
    <w:rsid w:val="001727B1"/>
    <w:rsid w:val="00172DA1"/>
    <w:rsid w:val="00172E1E"/>
    <w:rsid w:val="0017404C"/>
    <w:rsid w:val="0017671D"/>
    <w:rsid w:val="00177F01"/>
    <w:rsid w:val="001805A8"/>
    <w:rsid w:val="00181880"/>
    <w:rsid w:val="00183600"/>
    <w:rsid w:val="0018414B"/>
    <w:rsid w:val="00184BE2"/>
    <w:rsid w:val="00186430"/>
    <w:rsid w:val="00186D0E"/>
    <w:rsid w:val="0019025B"/>
    <w:rsid w:val="001907FD"/>
    <w:rsid w:val="00190DB7"/>
    <w:rsid w:val="0019101A"/>
    <w:rsid w:val="00193113"/>
    <w:rsid w:val="00195A48"/>
    <w:rsid w:val="00195C8E"/>
    <w:rsid w:val="001972D2"/>
    <w:rsid w:val="001A08AE"/>
    <w:rsid w:val="001A0D7F"/>
    <w:rsid w:val="001A16A7"/>
    <w:rsid w:val="001A1AE5"/>
    <w:rsid w:val="001A26CB"/>
    <w:rsid w:val="001A3346"/>
    <w:rsid w:val="001A4BDA"/>
    <w:rsid w:val="001A4C77"/>
    <w:rsid w:val="001A6B30"/>
    <w:rsid w:val="001A6D78"/>
    <w:rsid w:val="001B02F2"/>
    <w:rsid w:val="001B104F"/>
    <w:rsid w:val="001B1729"/>
    <w:rsid w:val="001B4F35"/>
    <w:rsid w:val="001B547E"/>
    <w:rsid w:val="001B5FE5"/>
    <w:rsid w:val="001B6A2D"/>
    <w:rsid w:val="001B6B4A"/>
    <w:rsid w:val="001B7F18"/>
    <w:rsid w:val="001C0A93"/>
    <w:rsid w:val="001C0C7F"/>
    <w:rsid w:val="001C12DF"/>
    <w:rsid w:val="001C1A52"/>
    <w:rsid w:val="001C1B29"/>
    <w:rsid w:val="001C1FF4"/>
    <w:rsid w:val="001C290B"/>
    <w:rsid w:val="001C2CA8"/>
    <w:rsid w:val="001C2CAD"/>
    <w:rsid w:val="001C358D"/>
    <w:rsid w:val="001C40A0"/>
    <w:rsid w:val="001C5532"/>
    <w:rsid w:val="001C57F8"/>
    <w:rsid w:val="001C7DC2"/>
    <w:rsid w:val="001D08CD"/>
    <w:rsid w:val="001D0FB5"/>
    <w:rsid w:val="001D2937"/>
    <w:rsid w:val="001D2F12"/>
    <w:rsid w:val="001D3BC9"/>
    <w:rsid w:val="001D3F37"/>
    <w:rsid w:val="001D429C"/>
    <w:rsid w:val="001D42D2"/>
    <w:rsid w:val="001D4647"/>
    <w:rsid w:val="001D5BD6"/>
    <w:rsid w:val="001D5D11"/>
    <w:rsid w:val="001D655D"/>
    <w:rsid w:val="001D7F22"/>
    <w:rsid w:val="001E0EFC"/>
    <w:rsid w:val="001E2220"/>
    <w:rsid w:val="001E24DD"/>
    <w:rsid w:val="001E37CB"/>
    <w:rsid w:val="001E43DC"/>
    <w:rsid w:val="001E487E"/>
    <w:rsid w:val="001E5CFF"/>
    <w:rsid w:val="001E6AE1"/>
    <w:rsid w:val="001F0815"/>
    <w:rsid w:val="001F161B"/>
    <w:rsid w:val="001F1B27"/>
    <w:rsid w:val="001F4503"/>
    <w:rsid w:val="001F5A5F"/>
    <w:rsid w:val="001F5A98"/>
    <w:rsid w:val="001F63B9"/>
    <w:rsid w:val="001F713E"/>
    <w:rsid w:val="001F7F17"/>
    <w:rsid w:val="00200BC5"/>
    <w:rsid w:val="00201D59"/>
    <w:rsid w:val="00202943"/>
    <w:rsid w:val="00204491"/>
    <w:rsid w:val="00204E49"/>
    <w:rsid w:val="002050AE"/>
    <w:rsid w:val="00206966"/>
    <w:rsid w:val="00206FED"/>
    <w:rsid w:val="00207245"/>
    <w:rsid w:val="002078D4"/>
    <w:rsid w:val="00211405"/>
    <w:rsid w:val="00211764"/>
    <w:rsid w:val="0021220A"/>
    <w:rsid w:val="00212798"/>
    <w:rsid w:val="00213126"/>
    <w:rsid w:val="002137EB"/>
    <w:rsid w:val="00213A89"/>
    <w:rsid w:val="00214F2C"/>
    <w:rsid w:val="00215EB0"/>
    <w:rsid w:val="002166A1"/>
    <w:rsid w:val="00217FC0"/>
    <w:rsid w:val="00220399"/>
    <w:rsid w:val="00220820"/>
    <w:rsid w:val="00220881"/>
    <w:rsid w:val="00220C82"/>
    <w:rsid w:val="00220D61"/>
    <w:rsid w:val="002216C7"/>
    <w:rsid w:val="00221EC0"/>
    <w:rsid w:val="002226F1"/>
    <w:rsid w:val="00224854"/>
    <w:rsid w:val="00224B5B"/>
    <w:rsid w:val="00224C4A"/>
    <w:rsid w:val="00224EDA"/>
    <w:rsid w:val="00224F7A"/>
    <w:rsid w:val="00225612"/>
    <w:rsid w:val="00225662"/>
    <w:rsid w:val="00225926"/>
    <w:rsid w:val="00226AC0"/>
    <w:rsid w:val="00226D1D"/>
    <w:rsid w:val="002271EA"/>
    <w:rsid w:val="00231049"/>
    <w:rsid w:val="002314D2"/>
    <w:rsid w:val="0023188F"/>
    <w:rsid w:val="002322BF"/>
    <w:rsid w:val="002322E3"/>
    <w:rsid w:val="002324F4"/>
    <w:rsid w:val="0023266D"/>
    <w:rsid w:val="0023305C"/>
    <w:rsid w:val="00234200"/>
    <w:rsid w:val="0023510B"/>
    <w:rsid w:val="00235675"/>
    <w:rsid w:val="00235AFF"/>
    <w:rsid w:val="0023603E"/>
    <w:rsid w:val="00237C4B"/>
    <w:rsid w:val="00240DF2"/>
    <w:rsid w:val="00241057"/>
    <w:rsid w:val="00241881"/>
    <w:rsid w:val="0024232E"/>
    <w:rsid w:val="0024294C"/>
    <w:rsid w:val="00242DA8"/>
    <w:rsid w:val="0024424F"/>
    <w:rsid w:val="0024436C"/>
    <w:rsid w:val="00244668"/>
    <w:rsid w:val="0024541E"/>
    <w:rsid w:val="002461BA"/>
    <w:rsid w:val="00246D06"/>
    <w:rsid w:val="00250428"/>
    <w:rsid w:val="002504CB"/>
    <w:rsid w:val="002511C4"/>
    <w:rsid w:val="00252164"/>
    <w:rsid w:val="00252C7D"/>
    <w:rsid w:val="002543D8"/>
    <w:rsid w:val="00254F08"/>
    <w:rsid w:val="002558FC"/>
    <w:rsid w:val="0025652F"/>
    <w:rsid w:val="002578AE"/>
    <w:rsid w:val="002578D4"/>
    <w:rsid w:val="00257E63"/>
    <w:rsid w:val="0026058A"/>
    <w:rsid w:val="00263226"/>
    <w:rsid w:val="00263A57"/>
    <w:rsid w:val="00263B6C"/>
    <w:rsid w:val="00264018"/>
    <w:rsid w:val="00264261"/>
    <w:rsid w:val="0026460A"/>
    <w:rsid w:val="00265A51"/>
    <w:rsid w:val="00266136"/>
    <w:rsid w:val="00266334"/>
    <w:rsid w:val="002705B5"/>
    <w:rsid w:val="00270EE0"/>
    <w:rsid w:val="00271D3D"/>
    <w:rsid w:val="00271D73"/>
    <w:rsid w:val="00272227"/>
    <w:rsid w:val="0027229E"/>
    <w:rsid w:val="00272939"/>
    <w:rsid w:val="00272CAB"/>
    <w:rsid w:val="00272F4F"/>
    <w:rsid w:val="00273D19"/>
    <w:rsid w:val="00274881"/>
    <w:rsid w:val="0027523D"/>
    <w:rsid w:val="0027590B"/>
    <w:rsid w:val="00276697"/>
    <w:rsid w:val="0027755D"/>
    <w:rsid w:val="00277EC0"/>
    <w:rsid w:val="00280137"/>
    <w:rsid w:val="00280412"/>
    <w:rsid w:val="002810B2"/>
    <w:rsid w:val="0028177F"/>
    <w:rsid w:val="00283269"/>
    <w:rsid w:val="002833BA"/>
    <w:rsid w:val="00283F02"/>
    <w:rsid w:val="00283FC9"/>
    <w:rsid w:val="00284E1A"/>
    <w:rsid w:val="002853DF"/>
    <w:rsid w:val="00285969"/>
    <w:rsid w:val="00285D30"/>
    <w:rsid w:val="00286F20"/>
    <w:rsid w:val="002870D3"/>
    <w:rsid w:val="0028763E"/>
    <w:rsid w:val="00290352"/>
    <w:rsid w:val="00291005"/>
    <w:rsid w:val="002918AA"/>
    <w:rsid w:val="00291ACB"/>
    <w:rsid w:val="00291ADA"/>
    <w:rsid w:val="00292BF9"/>
    <w:rsid w:val="002951D9"/>
    <w:rsid w:val="00295B30"/>
    <w:rsid w:val="0029611A"/>
    <w:rsid w:val="00296564"/>
    <w:rsid w:val="00296716"/>
    <w:rsid w:val="002A0680"/>
    <w:rsid w:val="002A120D"/>
    <w:rsid w:val="002A1261"/>
    <w:rsid w:val="002A23DB"/>
    <w:rsid w:val="002A2DBE"/>
    <w:rsid w:val="002A3EE6"/>
    <w:rsid w:val="002A4688"/>
    <w:rsid w:val="002A4AEE"/>
    <w:rsid w:val="002A4FE8"/>
    <w:rsid w:val="002A5EEB"/>
    <w:rsid w:val="002A674B"/>
    <w:rsid w:val="002A74EF"/>
    <w:rsid w:val="002A7A31"/>
    <w:rsid w:val="002A7BB5"/>
    <w:rsid w:val="002B0143"/>
    <w:rsid w:val="002B075A"/>
    <w:rsid w:val="002B07E3"/>
    <w:rsid w:val="002B1A1A"/>
    <w:rsid w:val="002B2AD8"/>
    <w:rsid w:val="002B35C7"/>
    <w:rsid w:val="002B3829"/>
    <w:rsid w:val="002B3CFE"/>
    <w:rsid w:val="002B4B3B"/>
    <w:rsid w:val="002B518C"/>
    <w:rsid w:val="002B547C"/>
    <w:rsid w:val="002B7359"/>
    <w:rsid w:val="002C1CD9"/>
    <w:rsid w:val="002C2113"/>
    <w:rsid w:val="002C22EF"/>
    <w:rsid w:val="002C22FE"/>
    <w:rsid w:val="002C278C"/>
    <w:rsid w:val="002C354F"/>
    <w:rsid w:val="002C3B9A"/>
    <w:rsid w:val="002C5F2D"/>
    <w:rsid w:val="002C6795"/>
    <w:rsid w:val="002C6F8B"/>
    <w:rsid w:val="002C7A90"/>
    <w:rsid w:val="002D06FE"/>
    <w:rsid w:val="002D1224"/>
    <w:rsid w:val="002D1259"/>
    <w:rsid w:val="002D4EE4"/>
    <w:rsid w:val="002D5997"/>
    <w:rsid w:val="002D6344"/>
    <w:rsid w:val="002D6B2D"/>
    <w:rsid w:val="002D7E9A"/>
    <w:rsid w:val="002E1815"/>
    <w:rsid w:val="002E1B21"/>
    <w:rsid w:val="002E1DA4"/>
    <w:rsid w:val="002E1FB6"/>
    <w:rsid w:val="002E1FE2"/>
    <w:rsid w:val="002E22ED"/>
    <w:rsid w:val="002E23E8"/>
    <w:rsid w:val="002E2D27"/>
    <w:rsid w:val="002E2F7B"/>
    <w:rsid w:val="002E4419"/>
    <w:rsid w:val="002E454C"/>
    <w:rsid w:val="002E515E"/>
    <w:rsid w:val="002E624A"/>
    <w:rsid w:val="002E6426"/>
    <w:rsid w:val="002E6DA0"/>
    <w:rsid w:val="002E74E4"/>
    <w:rsid w:val="002E7960"/>
    <w:rsid w:val="002F00EB"/>
    <w:rsid w:val="002F617F"/>
    <w:rsid w:val="002F644B"/>
    <w:rsid w:val="002F79AE"/>
    <w:rsid w:val="00300054"/>
    <w:rsid w:val="00300109"/>
    <w:rsid w:val="003005D0"/>
    <w:rsid w:val="00301755"/>
    <w:rsid w:val="00303412"/>
    <w:rsid w:val="00303A21"/>
    <w:rsid w:val="0030665E"/>
    <w:rsid w:val="0030677D"/>
    <w:rsid w:val="00306894"/>
    <w:rsid w:val="003077FD"/>
    <w:rsid w:val="00307ADB"/>
    <w:rsid w:val="003101C6"/>
    <w:rsid w:val="00310CA2"/>
    <w:rsid w:val="00310CD5"/>
    <w:rsid w:val="003118D9"/>
    <w:rsid w:val="00311925"/>
    <w:rsid w:val="00311B78"/>
    <w:rsid w:val="003122F4"/>
    <w:rsid w:val="003138AD"/>
    <w:rsid w:val="00314FF4"/>
    <w:rsid w:val="00315FE2"/>
    <w:rsid w:val="00316958"/>
    <w:rsid w:val="00317C8B"/>
    <w:rsid w:val="00320066"/>
    <w:rsid w:val="003211AE"/>
    <w:rsid w:val="0032174F"/>
    <w:rsid w:val="0032261C"/>
    <w:rsid w:val="00323616"/>
    <w:rsid w:val="003237C0"/>
    <w:rsid w:val="0032381A"/>
    <w:rsid w:val="00324386"/>
    <w:rsid w:val="003268D5"/>
    <w:rsid w:val="00327BD3"/>
    <w:rsid w:val="00330DD3"/>
    <w:rsid w:val="003319D9"/>
    <w:rsid w:val="0033229E"/>
    <w:rsid w:val="00332ACC"/>
    <w:rsid w:val="00332FF5"/>
    <w:rsid w:val="003338CF"/>
    <w:rsid w:val="00333952"/>
    <w:rsid w:val="003345F3"/>
    <w:rsid w:val="003361BD"/>
    <w:rsid w:val="0033656F"/>
    <w:rsid w:val="003371C2"/>
    <w:rsid w:val="0033755F"/>
    <w:rsid w:val="0034038C"/>
    <w:rsid w:val="00340480"/>
    <w:rsid w:val="00341F2B"/>
    <w:rsid w:val="00342168"/>
    <w:rsid w:val="0034311F"/>
    <w:rsid w:val="003437FA"/>
    <w:rsid w:val="00343DEE"/>
    <w:rsid w:val="0034478C"/>
    <w:rsid w:val="003448F6"/>
    <w:rsid w:val="00346B8C"/>
    <w:rsid w:val="00346D7C"/>
    <w:rsid w:val="00346E27"/>
    <w:rsid w:val="00350759"/>
    <w:rsid w:val="00350932"/>
    <w:rsid w:val="003509F9"/>
    <w:rsid w:val="003509FD"/>
    <w:rsid w:val="00351309"/>
    <w:rsid w:val="00352068"/>
    <w:rsid w:val="00353F09"/>
    <w:rsid w:val="00354D27"/>
    <w:rsid w:val="0035581E"/>
    <w:rsid w:val="003563F7"/>
    <w:rsid w:val="0035720C"/>
    <w:rsid w:val="0035738A"/>
    <w:rsid w:val="00361AED"/>
    <w:rsid w:val="00361E54"/>
    <w:rsid w:val="0036223C"/>
    <w:rsid w:val="003626BA"/>
    <w:rsid w:val="00362E03"/>
    <w:rsid w:val="00363DE0"/>
    <w:rsid w:val="003646C0"/>
    <w:rsid w:val="00364813"/>
    <w:rsid w:val="00364F45"/>
    <w:rsid w:val="00365155"/>
    <w:rsid w:val="00366D39"/>
    <w:rsid w:val="00367F9B"/>
    <w:rsid w:val="00370357"/>
    <w:rsid w:val="00370F41"/>
    <w:rsid w:val="00371624"/>
    <w:rsid w:val="00371944"/>
    <w:rsid w:val="00371E24"/>
    <w:rsid w:val="0037279F"/>
    <w:rsid w:val="00373370"/>
    <w:rsid w:val="00373FCC"/>
    <w:rsid w:val="00374C44"/>
    <w:rsid w:val="00375655"/>
    <w:rsid w:val="00375EA3"/>
    <w:rsid w:val="003770EB"/>
    <w:rsid w:val="0038013B"/>
    <w:rsid w:val="00380D2A"/>
    <w:rsid w:val="0038101D"/>
    <w:rsid w:val="00381B94"/>
    <w:rsid w:val="0038207C"/>
    <w:rsid w:val="00382403"/>
    <w:rsid w:val="003826E4"/>
    <w:rsid w:val="00382CDC"/>
    <w:rsid w:val="00382FBD"/>
    <w:rsid w:val="003832F5"/>
    <w:rsid w:val="00384070"/>
    <w:rsid w:val="00384A37"/>
    <w:rsid w:val="00384CBA"/>
    <w:rsid w:val="00385229"/>
    <w:rsid w:val="0038527C"/>
    <w:rsid w:val="003858A6"/>
    <w:rsid w:val="00386053"/>
    <w:rsid w:val="00386297"/>
    <w:rsid w:val="0038704C"/>
    <w:rsid w:val="00387186"/>
    <w:rsid w:val="00387BC7"/>
    <w:rsid w:val="0039159A"/>
    <w:rsid w:val="003919B7"/>
    <w:rsid w:val="003926CD"/>
    <w:rsid w:val="00392DCC"/>
    <w:rsid w:val="00393039"/>
    <w:rsid w:val="00394711"/>
    <w:rsid w:val="0039574E"/>
    <w:rsid w:val="003978AF"/>
    <w:rsid w:val="00397BB5"/>
    <w:rsid w:val="00397C99"/>
    <w:rsid w:val="003A08E2"/>
    <w:rsid w:val="003A1CB6"/>
    <w:rsid w:val="003A2310"/>
    <w:rsid w:val="003A3D10"/>
    <w:rsid w:val="003A5B0A"/>
    <w:rsid w:val="003A5B36"/>
    <w:rsid w:val="003A7109"/>
    <w:rsid w:val="003A7810"/>
    <w:rsid w:val="003A7F03"/>
    <w:rsid w:val="003B0B4C"/>
    <w:rsid w:val="003B0F2C"/>
    <w:rsid w:val="003B17CF"/>
    <w:rsid w:val="003B33D7"/>
    <w:rsid w:val="003B3D8A"/>
    <w:rsid w:val="003B4FCA"/>
    <w:rsid w:val="003B5077"/>
    <w:rsid w:val="003B5371"/>
    <w:rsid w:val="003B58CA"/>
    <w:rsid w:val="003B6422"/>
    <w:rsid w:val="003B6F09"/>
    <w:rsid w:val="003B6F84"/>
    <w:rsid w:val="003B738F"/>
    <w:rsid w:val="003B75B6"/>
    <w:rsid w:val="003B765F"/>
    <w:rsid w:val="003B7C45"/>
    <w:rsid w:val="003C0369"/>
    <w:rsid w:val="003C0D0B"/>
    <w:rsid w:val="003C22E7"/>
    <w:rsid w:val="003C24B4"/>
    <w:rsid w:val="003C2B02"/>
    <w:rsid w:val="003C32A9"/>
    <w:rsid w:val="003C34D2"/>
    <w:rsid w:val="003C4D40"/>
    <w:rsid w:val="003C5F29"/>
    <w:rsid w:val="003C6A87"/>
    <w:rsid w:val="003C7873"/>
    <w:rsid w:val="003C7AC2"/>
    <w:rsid w:val="003D0D2A"/>
    <w:rsid w:val="003D3666"/>
    <w:rsid w:val="003D3785"/>
    <w:rsid w:val="003D42A0"/>
    <w:rsid w:val="003D5699"/>
    <w:rsid w:val="003D58A8"/>
    <w:rsid w:val="003D61D6"/>
    <w:rsid w:val="003D73C9"/>
    <w:rsid w:val="003E0578"/>
    <w:rsid w:val="003E0711"/>
    <w:rsid w:val="003E1C95"/>
    <w:rsid w:val="003E20D6"/>
    <w:rsid w:val="003E3548"/>
    <w:rsid w:val="003E4150"/>
    <w:rsid w:val="003E4AFB"/>
    <w:rsid w:val="003E4D87"/>
    <w:rsid w:val="003E51FA"/>
    <w:rsid w:val="003E54C6"/>
    <w:rsid w:val="003E54CF"/>
    <w:rsid w:val="003E6265"/>
    <w:rsid w:val="003E63B6"/>
    <w:rsid w:val="003E6B8D"/>
    <w:rsid w:val="003F00AA"/>
    <w:rsid w:val="003F00AC"/>
    <w:rsid w:val="003F1553"/>
    <w:rsid w:val="003F1C12"/>
    <w:rsid w:val="003F2812"/>
    <w:rsid w:val="003F2969"/>
    <w:rsid w:val="003F2F2D"/>
    <w:rsid w:val="003F3453"/>
    <w:rsid w:val="003F4756"/>
    <w:rsid w:val="003F569E"/>
    <w:rsid w:val="003F6BD0"/>
    <w:rsid w:val="003F74E1"/>
    <w:rsid w:val="003F7CB3"/>
    <w:rsid w:val="00401082"/>
    <w:rsid w:val="004018C2"/>
    <w:rsid w:val="004033C2"/>
    <w:rsid w:val="0040564F"/>
    <w:rsid w:val="00406396"/>
    <w:rsid w:val="00406F5D"/>
    <w:rsid w:val="00407FC4"/>
    <w:rsid w:val="004105F3"/>
    <w:rsid w:val="00410819"/>
    <w:rsid w:val="0041280A"/>
    <w:rsid w:val="00412941"/>
    <w:rsid w:val="00412ACD"/>
    <w:rsid w:val="00413304"/>
    <w:rsid w:val="004134BE"/>
    <w:rsid w:val="00413548"/>
    <w:rsid w:val="00413E93"/>
    <w:rsid w:val="004143F6"/>
    <w:rsid w:val="00414661"/>
    <w:rsid w:val="00416762"/>
    <w:rsid w:val="00416895"/>
    <w:rsid w:val="00416E55"/>
    <w:rsid w:val="00417E9B"/>
    <w:rsid w:val="0042144B"/>
    <w:rsid w:val="00421955"/>
    <w:rsid w:val="00422AD0"/>
    <w:rsid w:val="00422FD2"/>
    <w:rsid w:val="0042518A"/>
    <w:rsid w:val="004273BC"/>
    <w:rsid w:val="004276A0"/>
    <w:rsid w:val="0043050D"/>
    <w:rsid w:val="00430757"/>
    <w:rsid w:val="004311FB"/>
    <w:rsid w:val="00431B62"/>
    <w:rsid w:val="004330EC"/>
    <w:rsid w:val="00435178"/>
    <w:rsid w:val="00435CCC"/>
    <w:rsid w:val="004410C2"/>
    <w:rsid w:val="004411A0"/>
    <w:rsid w:val="00441881"/>
    <w:rsid w:val="00442D94"/>
    <w:rsid w:val="00444A63"/>
    <w:rsid w:val="00444DA6"/>
    <w:rsid w:val="00445265"/>
    <w:rsid w:val="004462C4"/>
    <w:rsid w:val="0044680D"/>
    <w:rsid w:val="00446C1B"/>
    <w:rsid w:val="00446FA2"/>
    <w:rsid w:val="00447B27"/>
    <w:rsid w:val="00447BFD"/>
    <w:rsid w:val="004503AA"/>
    <w:rsid w:val="00450AE0"/>
    <w:rsid w:val="00450EBD"/>
    <w:rsid w:val="00452A3B"/>
    <w:rsid w:val="00452AFC"/>
    <w:rsid w:val="00452F3B"/>
    <w:rsid w:val="00453C79"/>
    <w:rsid w:val="00453ED6"/>
    <w:rsid w:val="00454241"/>
    <w:rsid w:val="004559CE"/>
    <w:rsid w:val="00455A72"/>
    <w:rsid w:val="00456A74"/>
    <w:rsid w:val="00456F03"/>
    <w:rsid w:val="00457C8E"/>
    <w:rsid w:val="00457F5E"/>
    <w:rsid w:val="0046029F"/>
    <w:rsid w:val="00460E1A"/>
    <w:rsid w:val="00461651"/>
    <w:rsid w:val="00461AD6"/>
    <w:rsid w:val="00463C51"/>
    <w:rsid w:val="00463DF8"/>
    <w:rsid w:val="00464026"/>
    <w:rsid w:val="00464224"/>
    <w:rsid w:val="004642A4"/>
    <w:rsid w:val="00464EC3"/>
    <w:rsid w:val="00465F96"/>
    <w:rsid w:val="00470569"/>
    <w:rsid w:val="00471E14"/>
    <w:rsid w:val="004744A9"/>
    <w:rsid w:val="004744C9"/>
    <w:rsid w:val="0047504A"/>
    <w:rsid w:val="00475085"/>
    <w:rsid w:val="00476CF6"/>
    <w:rsid w:val="004778F2"/>
    <w:rsid w:val="00477AA8"/>
    <w:rsid w:val="00480216"/>
    <w:rsid w:val="0048061E"/>
    <w:rsid w:val="0048093F"/>
    <w:rsid w:val="00480B1D"/>
    <w:rsid w:val="00481026"/>
    <w:rsid w:val="00481CA7"/>
    <w:rsid w:val="00484B10"/>
    <w:rsid w:val="0048628B"/>
    <w:rsid w:val="0048782A"/>
    <w:rsid w:val="00490A76"/>
    <w:rsid w:val="004911C0"/>
    <w:rsid w:val="004923B5"/>
    <w:rsid w:val="00492930"/>
    <w:rsid w:val="00492FCB"/>
    <w:rsid w:val="00494F1F"/>
    <w:rsid w:val="004A0F11"/>
    <w:rsid w:val="004A0FD5"/>
    <w:rsid w:val="004A165F"/>
    <w:rsid w:val="004A2331"/>
    <w:rsid w:val="004A2AA2"/>
    <w:rsid w:val="004A3EAA"/>
    <w:rsid w:val="004A512B"/>
    <w:rsid w:val="004A557E"/>
    <w:rsid w:val="004A6956"/>
    <w:rsid w:val="004A7D97"/>
    <w:rsid w:val="004B0DB4"/>
    <w:rsid w:val="004B0E7D"/>
    <w:rsid w:val="004B2B66"/>
    <w:rsid w:val="004B5133"/>
    <w:rsid w:val="004B562E"/>
    <w:rsid w:val="004B59A0"/>
    <w:rsid w:val="004B6A68"/>
    <w:rsid w:val="004B6C58"/>
    <w:rsid w:val="004B6CF2"/>
    <w:rsid w:val="004C0926"/>
    <w:rsid w:val="004C17B1"/>
    <w:rsid w:val="004C1A2B"/>
    <w:rsid w:val="004C288C"/>
    <w:rsid w:val="004C2902"/>
    <w:rsid w:val="004C41B6"/>
    <w:rsid w:val="004C5E87"/>
    <w:rsid w:val="004D0522"/>
    <w:rsid w:val="004D13F6"/>
    <w:rsid w:val="004D1831"/>
    <w:rsid w:val="004D26A5"/>
    <w:rsid w:val="004D4839"/>
    <w:rsid w:val="004D4C59"/>
    <w:rsid w:val="004D6D42"/>
    <w:rsid w:val="004D6E37"/>
    <w:rsid w:val="004D6E6F"/>
    <w:rsid w:val="004D7287"/>
    <w:rsid w:val="004D774A"/>
    <w:rsid w:val="004E0054"/>
    <w:rsid w:val="004E00EA"/>
    <w:rsid w:val="004E09CC"/>
    <w:rsid w:val="004E1B7E"/>
    <w:rsid w:val="004E2FBA"/>
    <w:rsid w:val="004E34BB"/>
    <w:rsid w:val="004E4F02"/>
    <w:rsid w:val="004E518D"/>
    <w:rsid w:val="004E5A5D"/>
    <w:rsid w:val="004E654E"/>
    <w:rsid w:val="004E6B14"/>
    <w:rsid w:val="004E6E21"/>
    <w:rsid w:val="004E767E"/>
    <w:rsid w:val="004E7687"/>
    <w:rsid w:val="004E778F"/>
    <w:rsid w:val="004F08E5"/>
    <w:rsid w:val="004F09B4"/>
    <w:rsid w:val="004F1438"/>
    <w:rsid w:val="004F189D"/>
    <w:rsid w:val="004F19CD"/>
    <w:rsid w:val="004F2737"/>
    <w:rsid w:val="004F3A46"/>
    <w:rsid w:val="004F44F2"/>
    <w:rsid w:val="004F4B92"/>
    <w:rsid w:val="004F72B4"/>
    <w:rsid w:val="00500F71"/>
    <w:rsid w:val="00501661"/>
    <w:rsid w:val="00501B6C"/>
    <w:rsid w:val="00502A9D"/>
    <w:rsid w:val="00502E4D"/>
    <w:rsid w:val="00503568"/>
    <w:rsid w:val="00504AD5"/>
    <w:rsid w:val="00504AF9"/>
    <w:rsid w:val="00505FDD"/>
    <w:rsid w:val="0050758F"/>
    <w:rsid w:val="00510EE5"/>
    <w:rsid w:val="00513535"/>
    <w:rsid w:val="00514BC9"/>
    <w:rsid w:val="00516785"/>
    <w:rsid w:val="005167A0"/>
    <w:rsid w:val="005173AB"/>
    <w:rsid w:val="005173F6"/>
    <w:rsid w:val="00520308"/>
    <w:rsid w:val="005205F3"/>
    <w:rsid w:val="005212FA"/>
    <w:rsid w:val="005216BB"/>
    <w:rsid w:val="005232E8"/>
    <w:rsid w:val="0052419D"/>
    <w:rsid w:val="005244C7"/>
    <w:rsid w:val="00524C2B"/>
    <w:rsid w:val="00525781"/>
    <w:rsid w:val="00526BE2"/>
    <w:rsid w:val="00527599"/>
    <w:rsid w:val="00527AFD"/>
    <w:rsid w:val="005301F8"/>
    <w:rsid w:val="00530404"/>
    <w:rsid w:val="005312FC"/>
    <w:rsid w:val="00532C6D"/>
    <w:rsid w:val="00534CA9"/>
    <w:rsid w:val="0053569E"/>
    <w:rsid w:val="0053603D"/>
    <w:rsid w:val="005368FF"/>
    <w:rsid w:val="00536935"/>
    <w:rsid w:val="0053742A"/>
    <w:rsid w:val="00537C85"/>
    <w:rsid w:val="00541734"/>
    <w:rsid w:val="00541D29"/>
    <w:rsid w:val="00543F23"/>
    <w:rsid w:val="00543F63"/>
    <w:rsid w:val="00544252"/>
    <w:rsid w:val="00545211"/>
    <w:rsid w:val="0054562D"/>
    <w:rsid w:val="005464E3"/>
    <w:rsid w:val="0054769D"/>
    <w:rsid w:val="00547DDB"/>
    <w:rsid w:val="00550C30"/>
    <w:rsid w:val="0055122C"/>
    <w:rsid w:val="0055377B"/>
    <w:rsid w:val="00553F36"/>
    <w:rsid w:val="0055457D"/>
    <w:rsid w:val="00555207"/>
    <w:rsid w:val="005560CF"/>
    <w:rsid w:val="0055680C"/>
    <w:rsid w:val="00560660"/>
    <w:rsid w:val="005610FF"/>
    <w:rsid w:val="00562F17"/>
    <w:rsid w:val="0056324B"/>
    <w:rsid w:val="00564615"/>
    <w:rsid w:val="0056582C"/>
    <w:rsid w:val="0056586C"/>
    <w:rsid w:val="005660BA"/>
    <w:rsid w:val="00566A72"/>
    <w:rsid w:val="00566DA1"/>
    <w:rsid w:val="005674AF"/>
    <w:rsid w:val="00570199"/>
    <w:rsid w:val="00570BA1"/>
    <w:rsid w:val="0057195F"/>
    <w:rsid w:val="00572214"/>
    <w:rsid w:val="00572B60"/>
    <w:rsid w:val="00573940"/>
    <w:rsid w:val="00573A38"/>
    <w:rsid w:val="00574578"/>
    <w:rsid w:val="00574C4A"/>
    <w:rsid w:val="005776B2"/>
    <w:rsid w:val="00577830"/>
    <w:rsid w:val="005778A6"/>
    <w:rsid w:val="005812C1"/>
    <w:rsid w:val="00581F85"/>
    <w:rsid w:val="00583898"/>
    <w:rsid w:val="00584F64"/>
    <w:rsid w:val="00585968"/>
    <w:rsid w:val="00586605"/>
    <w:rsid w:val="0058677E"/>
    <w:rsid w:val="005868DE"/>
    <w:rsid w:val="005870E1"/>
    <w:rsid w:val="005877AC"/>
    <w:rsid w:val="00587968"/>
    <w:rsid w:val="00590295"/>
    <w:rsid w:val="00590EB7"/>
    <w:rsid w:val="00592B9E"/>
    <w:rsid w:val="00592D2E"/>
    <w:rsid w:val="00593B5C"/>
    <w:rsid w:val="00595EC7"/>
    <w:rsid w:val="005966B7"/>
    <w:rsid w:val="00597410"/>
    <w:rsid w:val="00597602"/>
    <w:rsid w:val="005A15B5"/>
    <w:rsid w:val="005A1CB4"/>
    <w:rsid w:val="005A1E17"/>
    <w:rsid w:val="005A2E5E"/>
    <w:rsid w:val="005A336A"/>
    <w:rsid w:val="005A33E0"/>
    <w:rsid w:val="005A4967"/>
    <w:rsid w:val="005A49E9"/>
    <w:rsid w:val="005A6779"/>
    <w:rsid w:val="005A78FB"/>
    <w:rsid w:val="005A7FDE"/>
    <w:rsid w:val="005B2C85"/>
    <w:rsid w:val="005B2CDD"/>
    <w:rsid w:val="005B518A"/>
    <w:rsid w:val="005B5E2A"/>
    <w:rsid w:val="005B7AEF"/>
    <w:rsid w:val="005C0213"/>
    <w:rsid w:val="005C02A4"/>
    <w:rsid w:val="005C16F9"/>
    <w:rsid w:val="005C1A82"/>
    <w:rsid w:val="005C1F7D"/>
    <w:rsid w:val="005C20D2"/>
    <w:rsid w:val="005C22C7"/>
    <w:rsid w:val="005C32FE"/>
    <w:rsid w:val="005C37EB"/>
    <w:rsid w:val="005C3831"/>
    <w:rsid w:val="005C3A92"/>
    <w:rsid w:val="005C43F1"/>
    <w:rsid w:val="005C4F3E"/>
    <w:rsid w:val="005C503A"/>
    <w:rsid w:val="005C659D"/>
    <w:rsid w:val="005C69F7"/>
    <w:rsid w:val="005C6F15"/>
    <w:rsid w:val="005C7B01"/>
    <w:rsid w:val="005D024A"/>
    <w:rsid w:val="005D0D1E"/>
    <w:rsid w:val="005D1A0F"/>
    <w:rsid w:val="005D2C10"/>
    <w:rsid w:val="005D2C88"/>
    <w:rsid w:val="005D2CC1"/>
    <w:rsid w:val="005D2D89"/>
    <w:rsid w:val="005D2E79"/>
    <w:rsid w:val="005D35A1"/>
    <w:rsid w:val="005D40FD"/>
    <w:rsid w:val="005D4D87"/>
    <w:rsid w:val="005D4FD4"/>
    <w:rsid w:val="005D6519"/>
    <w:rsid w:val="005D6D64"/>
    <w:rsid w:val="005E085E"/>
    <w:rsid w:val="005E0A82"/>
    <w:rsid w:val="005E15A5"/>
    <w:rsid w:val="005E1937"/>
    <w:rsid w:val="005E1FF1"/>
    <w:rsid w:val="005E3F63"/>
    <w:rsid w:val="005E4026"/>
    <w:rsid w:val="005E4392"/>
    <w:rsid w:val="005E4A64"/>
    <w:rsid w:val="005E5277"/>
    <w:rsid w:val="005E5648"/>
    <w:rsid w:val="005E5979"/>
    <w:rsid w:val="005E6365"/>
    <w:rsid w:val="005E654A"/>
    <w:rsid w:val="005E700F"/>
    <w:rsid w:val="005E7AB0"/>
    <w:rsid w:val="005F0AE8"/>
    <w:rsid w:val="005F367C"/>
    <w:rsid w:val="005F4FA2"/>
    <w:rsid w:val="005F4FD0"/>
    <w:rsid w:val="005F5508"/>
    <w:rsid w:val="005F7543"/>
    <w:rsid w:val="005F7DE7"/>
    <w:rsid w:val="006004AD"/>
    <w:rsid w:val="00600627"/>
    <w:rsid w:val="00601242"/>
    <w:rsid w:val="00601650"/>
    <w:rsid w:val="006016DF"/>
    <w:rsid w:val="00603EC4"/>
    <w:rsid w:val="00604543"/>
    <w:rsid w:val="00604D28"/>
    <w:rsid w:val="00604EEF"/>
    <w:rsid w:val="00605AFD"/>
    <w:rsid w:val="00605D1D"/>
    <w:rsid w:val="00605F2C"/>
    <w:rsid w:val="0060614A"/>
    <w:rsid w:val="00606A28"/>
    <w:rsid w:val="0061062E"/>
    <w:rsid w:val="00610D17"/>
    <w:rsid w:val="006122F2"/>
    <w:rsid w:val="00612307"/>
    <w:rsid w:val="00612396"/>
    <w:rsid w:val="006123D4"/>
    <w:rsid w:val="00612604"/>
    <w:rsid w:val="00613872"/>
    <w:rsid w:val="0061445B"/>
    <w:rsid w:val="0061489A"/>
    <w:rsid w:val="00614941"/>
    <w:rsid w:val="006161BD"/>
    <w:rsid w:val="006164FA"/>
    <w:rsid w:val="0061701F"/>
    <w:rsid w:val="006219B1"/>
    <w:rsid w:val="00623E13"/>
    <w:rsid w:val="006246D8"/>
    <w:rsid w:val="00624AD8"/>
    <w:rsid w:val="00624B68"/>
    <w:rsid w:val="00624C4B"/>
    <w:rsid w:val="006260A7"/>
    <w:rsid w:val="00626323"/>
    <w:rsid w:val="00627033"/>
    <w:rsid w:val="00627D2C"/>
    <w:rsid w:val="00627FAA"/>
    <w:rsid w:val="00630E3A"/>
    <w:rsid w:val="00630EFE"/>
    <w:rsid w:val="00632776"/>
    <w:rsid w:val="00633433"/>
    <w:rsid w:val="00633C08"/>
    <w:rsid w:val="006356D8"/>
    <w:rsid w:val="0063618A"/>
    <w:rsid w:val="00637853"/>
    <w:rsid w:val="00637F54"/>
    <w:rsid w:val="006408AA"/>
    <w:rsid w:val="00641103"/>
    <w:rsid w:val="0064206A"/>
    <w:rsid w:val="00642624"/>
    <w:rsid w:val="00642E9D"/>
    <w:rsid w:val="0064559B"/>
    <w:rsid w:val="006469CC"/>
    <w:rsid w:val="00647D81"/>
    <w:rsid w:val="00650157"/>
    <w:rsid w:val="0065281D"/>
    <w:rsid w:val="00652CF6"/>
    <w:rsid w:val="00654A4B"/>
    <w:rsid w:val="00654DB0"/>
    <w:rsid w:val="0065511E"/>
    <w:rsid w:val="006553CE"/>
    <w:rsid w:val="00655B8F"/>
    <w:rsid w:val="0065630F"/>
    <w:rsid w:val="006565D3"/>
    <w:rsid w:val="0065758B"/>
    <w:rsid w:val="006578C9"/>
    <w:rsid w:val="00660311"/>
    <w:rsid w:val="0066286A"/>
    <w:rsid w:val="00663105"/>
    <w:rsid w:val="006666ED"/>
    <w:rsid w:val="00666FAB"/>
    <w:rsid w:val="00667BAB"/>
    <w:rsid w:val="006707EE"/>
    <w:rsid w:val="00670B6F"/>
    <w:rsid w:val="006710F6"/>
    <w:rsid w:val="006714AF"/>
    <w:rsid w:val="006717E3"/>
    <w:rsid w:val="00671C5D"/>
    <w:rsid w:val="00672851"/>
    <w:rsid w:val="00672B5D"/>
    <w:rsid w:val="00672FB6"/>
    <w:rsid w:val="00673647"/>
    <w:rsid w:val="00674097"/>
    <w:rsid w:val="00674189"/>
    <w:rsid w:val="0067536B"/>
    <w:rsid w:val="00676150"/>
    <w:rsid w:val="0067622C"/>
    <w:rsid w:val="006774A6"/>
    <w:rsid w:val="00681A75"/>
    <w:rsid w:val="00681ACF"/>
    <w:rsid w:val="00681E00"/>
    <w:rsid w:val="00682249"/>
    <w:rsid w:val="00682F36"/>
    <w:rsid w:val="00683B1E"/>
    <w:rsid w:val="00683C68"/>
    <w:rsid w:val="00683D41"/>
    <w:rsid w:val="0068467A"/>
    <w:rsid w:val="00684789"/>
    <w:rsid w:val="00684B88"/>
    <w:rsid w:val="006850AC"/>
    <w:rsid w:val="006855E5"/>
    <w:rsid w:val="00685CF7"/>
    <w:rsid w:val="00685F76"/>
    <w:rsid w:val="00686165"/>
    <w:rsid w:val="00686D27"/>
    <w:rsid w:val="00686FB7"/>
    <w:rsid w:val="00687422"/>
    <w:rsid w:val="00687B9D"/>
    <w:rsid w:val="00687E1A"/>
    <w:rsid w:val="006919A6"/>
    <w:rsid w:val="00691CB5"/>
    <w:rsid w:val="006922AC"/>
    <w:rsid w:val="0069230C"/>
    <w:rsid w:val="006923DF"/>
    <w:rsid w:val="00692688"/>
    <w:rsid w:val="00692974"/>
    <w:rsid w:val="00693356"/>
    <w:rsid w:val="006938C4"/>
    <w:rsid w:val="00696C79"/>
    <w:rsid w:val="006979FE"/>
    <w:rsid w:val="00697B77"/>
    <w:rsid w:val="00697D8A"/>
    <w:rsid w:val="006A1C22"/>
    <w:rsid w:val="006A2C76"/>
    <w:rsid w:val="006A37F5"/>
    <w:rsid w:val="006A3B1C"/>
    <w:rsid w:val="006A3BBF"/>
    <w:rsid w:val="006A4B5D"/>
    <w:rsid w:val="006A6041"/>
    <w:rsid w:val="006A64BE"/>
    <w:rsid w:val="006A651B"/>
    <w:rsid w:val="006B0865"/>
    <w:rsid w:val="006B087E"/>
    <w:rsid w:val="006B1603"/>
    <w:rsid w:val="006B2E62"/>
    <w:rsid w:val="006B38B3"/>
    <w:rsid w:val="006B38FF"/>
    <w:rsid w:val="006B49C4"/>
    <w:rsid w:val="006B4DCC"/>
    <w:rsid w:val="006B4DE5"/>
    <w:rsid w:val="006B5708"/>
    <w:rsid w:val="006B61C8"/>
    <w:rsid w:val="006B7201"/>
    <w:rsid w:val="006B767B"/>
    <w:rsid w:val="006B7F19"/>
    <w:rsid w:val="006C03BF"/>
    <w:rsid w:val="006C1376"/>
    <w:rsid w:val="006C1892"/>
    <w:rsid w:val="006C1EEC"/>
    <w:rsid w:val="006C37C3"/>
    <w:rsid w:val="006C3932"/>
    <w:rsid w:val="006C3DC2"/>
    <w:rsid w:val="006C4DF6"/>
    <w:rsid w:val="006C5B73"/>
    <w:rsid w:val="006C645D"/>
    <w:rsid w:val="006C71A2"/>
    <w:rsid w:val="006D0EA6"/>
    <w:rsid w:val="006D1494"/>
    <w:rsid w:val="006D2C57"/>
    <w:rsid w:val="006D350C"/>
    <w:rsid w:val="006D469A"/>
    <w:rsid w:val="006D4AC4"/>
    <w:rsid w:val="006D52A8"/>
    <w:rsid w:val="006D5BA8"/>
    <w:rsid w:val="006D5DA8"/>
    <w:rsid w:val="006D7975"/>
    <w:rsid w:val="006E0455"/>
    <w:rsid w:val="006E1A81"/>
    <w:rsid w:val="006E2D2A"/>
    <w:rsid w:val="006E31C4"/>
    <w:rsid w:val="006E3CC3"/>
    <w:rsid w:val="006E432E"/>
    <w:rsid w:val="006E4B61"/>
    <w:rsid w:val="006E512D"/>
    <w:rsid w:val="006E72E7"/>
    <w:rsid w:val="006E7F45"/>
    <w:rsid w:val="006E7FA7"/>
    <w:rsid w:val="006F05E1"/>
    <w:rsid w:val="006F0B76"/>
    <w:rsid w:val="006F0CCE"/>
    <w:rsid w:val="006F0DAF"/>
    <w:rsid w:val="006F1520"/>
    <w:rsid w:val="006F2C8F"/>
    <w:rsid w:val="006F4277"/>
    <w:rsid w:val="006F5F0D"/>
    <w:rsid w:val="006F7104"/>
    <w:rsid w:val="007000FE"/>
    <w:rsid w:val="007012B9"/>
    <w:rsid w:val="007022B4"/>
    <w:rsid w:val="00703671"/>
    <w:rsid w:val="00704557"/>
    <w:rsid w:val="00704D86"/>
    <w:rsid w:val="00705117"/>
    <w:rsid w:val="00705977"/>
    <w:rsid w:val="00705CF0"/>
    <w:rsid w:val="0070656B"/>
    <w:rsid w:val="00706E8E"/>
    <w:rsid w:val="00707937"/>
    <w:rsid w:val="007079C4"/>
    <w:rsid w:val="007100A7"/>
    <w:rsid w:val="007107BE"/>
    <w:rsid w:val="00710DC2"/>
    <w:rsid w:val="00710EC0"/>
    <w:rsid w:val="00711074"/>
    <w:rsid w:val="007114E2"/>
    <w:rsid w:val="007123DB"/>
    <w:rsid w:val="007127D5"/>
    <w:rsid w:val="00713061"/>
    <w:rsid w:val="007130A4"/>
    <w:rsid w:val="0071325A"/>
    <w:rsid w:val="00713E7A"/>
    <w:rsid w:val="00714604"/>
    <w:rsid w:val="00715308"/>
    <w:rsid w:val="00716026"/>
    <w:rsid w:val="0071653E"/>
    <w:rsid w:val="00717D8E"/>
    <w:rsid w:val="00720C27"/>
    <w:rsid w:val="0072153A"/>
    <w:rsid w:val="00721CF5"/>
    <w:rsid w:val="00722B53"/>
    <w:rsid w:val="00722E83"/>
    <w:rsid w:val="007237FF"/>
    <w:rsid w:val="00723EDB"/>
    <w:rsid w:val="007243ED"/>
    <w:rsid w:val="00725070"/>
    <w:rsid w:val="00725117"/>
    <w:rsid w:val="007255F5"/>
    <w:rsid w:val="00727D02"/>
    <w:rsid w:val="00727D09"/>
    <w:rsid w:val="007321C4"/>
    <w:rsid w:val="00732FFD"/>
    <w:rsid w:val="00733761"/>
    <w:rsid w:val="007337CB"/>
    <w:rsid w:val="007344E4"/>
    <w:rsid w:val="00734DCA"/>
    <w:rsid w:val="007358DF"/>
    <w:rsid w:val="00735942"/>
    <w:rsid w:val="00735B3D"/>
    <w:rsid w:val="00737791"/>
    <w:rsid w:val="00740168"/>
    <w:rsid w:val="00740A74"/>
    <w:rsid w:val="00740EA1"/>
    <w:rsid w:val="00741522"/>
    <w:rsid w:val="00741A7C"/>
    <w:rsid w:val="00742366"/>
    <w:rsid w:val="007425CA"/>
    <w:rsid w:val="00742838"/>
    <w:rsid w:val="007437E2"/>
    <w:rsid w:val="00743869"/>
    <w:rsid w:val="00743C63"/>
    <w:rsid w:val="007443B6"/>
    <w:rsid w:val="00744484"/>
    <w:rsid w:val="0074525F"/>
    <w:rsid w:val="00745A80"/>
    <w:rsid w:val="00746A48"/>
    <w:rsid w:val="00747AB9"/>
    <w:rsid w:val="007502CD"/>
    <w:rsid w:val="007509DD"/>
    <w:rsid w:val="007524D0"/>
    <w:rsid w:val="00752FE4"/>
    <w:rsid w:val="007534CA"/>
    <w:rsid w:val="00753C8F"/>
    <w:rsid w:val="00754916"/>
    <w:rsid w:val="007554D9"/>
    <w:rsid w:val="007603C9"/>
    <w:rsid w:val="00760628"/>
    <w:rsid w:val="00760F0B"/>
    <w:rsid w:val="00761258"/>
    <w:rsid w:val="00761833"/>
    <w:rsid w:val="0076184A"/>
    <w:rsid w:val="00762145"/>
    <w:rsid w:val="007625EE"/>
    <w:rsid w:val="00762954"/>
    <w:rsid w:val="00763474"/>
    <w:rsid w:val="00763A75"/>
    <w:rsid w:val="00764119"/>
    <w:rsid w:val="0076477E"/>
    <w:rsid w:val="00764FF7"/>
    <w:rsid w:val="00765912"/>
    <w:rsid w:val="00766184"/>
    <w:rsid w:val="0076655F"/>
    <w:rsid w:val="00766595"/>
    <w:rsid w:val="00766D0B"/>
    <w:rsid w:val="00767F7F"/>
    <w:rsid w:val="00771367"/>
    <w:rsid w:val="007714E0"/>
    <w:rsid w:val="00772E29"/>
    <w:rsid w:val="0077319C"/>
    <w:rsid w:val="0077346D"/>
    <w:rsid w:val="00773473"/>
    <w:rsid w:val="00773842"/>
    <w:rsid w:val="007739F2"/>
    <w:rsid w:val="00774572"/>
    <w:rsid w:val="00774EF6"/>
    <w:rsid w:val="00775138"/>
    <w:rsid w:val="00775814"/>
    <w:rsid w:val="0077610E"/>
    <w:rsid w:val="00776BF9"/>
    <w:rsid w:val="00780FE8"/>
    <w:rsid w:val="00781C2C"/>
    <w:rsid w:val="00781D90"/>
    <w:rsid w:val="0078257B"/>
    <w:rsid w:val="007831AC"/>
    <w:rsid w:val="0078328D"/>
    <w:rsid w:val="00783D75"/>
    <w:rsid w:val="00784B07"/>
    <w:rsid w:val="00784C0A"/>
    <w:rsid w:val="0078694D"/>
    <w:rsid w:val="00786BA3"/>
    <w:rsid w:val="00787275"/>
    <w:rsid w:val="0079030D"/>
    <w:rsid w:val="0079196E"/>
    <w:rsid w:val="007923A3"/>
    <w:rsid w:val="00792F82"/>
    <w:rsid w:val="007932F8"/>
    <w:rsid w:val="00793D39"/>
    <w:rsid w:val="00794B40"/>
    <w:rsid w:val="00795D29"/>
    <w:rsid w:val="0079613D"/>
    <w:rsid w:val="00796AB8"/>
    <w:rsid w:val="00796E26"/>
    <w:rsid w:val="00797749"/>
    <w:rsid w:val="00797FA9"/>
    <w:rsid w:val="007A07E7"/>
    <w:rsid w:val="007A1079"/>
    <w:rsid w:val="007A1E98"/>
    <w:rsid w:val="007A1F9E"/>
    <w:rsid w:val="007A23E5"/>
    <w:rsid w:val="007A4292"/>
    <w:rsid w:val="007A5FB0"/>
    <w:rsid w:val="007A7B25"/>
    <w:rsid w:val="007A7C07"/>
    <w:rsid w:val="007B0B24"/>
    <w:rsid w:val="007B12ED"/>
    <w:rsid w:val="007B149C"/>
    <w:rsid w:val="007B2677"/>
    <w:rsid w:val="007B4C7A"/>
    <w:rsid w:val="007B5C8C"/>
    <w:rsid w:val="007B5D23"/>
    <w:rsid w:val="007B62D7"/>
    <w:rsid w:val="007B76AB"/>
    <w:rsid w:val="007C0C70"/>
    <w:rsid w:val="007C10F4"/>
    <w:rsid w:val="007C1F6A"/>
    <w:rsid w:val="007C27C3"/>
    <w:rsid w:val="007C3666"/>
    <w:rsid w:val="007C4279"/>
    <w:rsid w:val="007C50D1"/>
    <w:rsid w:val="007D134D"/>
    <w:rsid w:val="007D2573"/>
    <w:rsid w:val="007D4269"/>
    <w:rsid w:val="007D4D4E"/>
    <w:rsid w:val="007D57E3"/>
    <w:rsid w:val="007D592B"/>
    <w:rsid w:val="007D5AA6"/>
    <w:rsid w:val="007D6F70"/>
    <w:rsid w:val="007D6FD4"/>
    <w:rsid w:val="007D7A91"/>
    <w:rsid w:val="007E1B89"/>
    <w:rsid w:val="007E2498"/>
    <w:rsid w:val="007E2799"/>
    <w:rsid w:val="007E44F2"/>
    <w:rsid w:val="007E450A"/>
    <w:rsid w:val="007E5156"/>
    <w:rsid w:val="007E6456"/>
    <w:rsid w:val="007E660D"/>
    <w:rsid w:val="007E7547"/>
    <w:rsid w:val="007E7D14"/>
    <w:rsid w:val="007F0029"/>
    <w:rsid w:val="007F0A07"/>
    <w:rsid w:val="007F0C7B"/>
    <w:rsid w:val="007F1D76"/>
    <w:rsid w:val="007F2476"/>
    <w:rsid w:val="007F3665"/>
    <w:rsid w:val="007F4002"/>
    <w:rsid w:val="007F541B"/>
    <w:rsid w:val="007F5DF2"/>
    <w:rsid w:val="007F6216"/>
    <w:rsid w:val="007F6A90"/>
    <w:rsid w:val="007F6C6C"/>
    <w:rsid w:val="007F72F8"/>
    <w:rsid w:val="007F7460"/>
    <w:rsid w:val="0080065D"/>
    <w:rsid w:val="00800FD6"/>
    <w:rsid w:val="008016BE"/>
    <w:rsid w:val="00801898"/>
    <w:rsid w:val="00803DC9"/>
    <w:rsid w:val="00804052"/>
    <w:rsid w:val="008071B0"/>
    <w:rsid w:val="00811669"/>
    <w:rsid w:val="00811943"/>
    <w:rsid w:val="00812079"/>
    <w:rsid w:val="008121CE"/>
    <w:rsid w:val="00813095"/>
    <w:rsid w:val="00814787"/>
    <w:rsid w:val="00815301"/>
    <w:rsid w:val="008154B9"/>
    <w:rsid w:val="00815C81"/>
    <w:rsid w:val="00817502"/>
    <w:rsid w:val="00820D22"/>
    <w:rsid w:val="0082119F"/>
    <w:rsid w:val="00821C6A"/>
    <w:rsid w:val="00821F18"/>
    <w:rsid w:val="00823326"/>
    <w:rsid w:val="008234CB"/>
    <w:rsid w:val="00823745"/>
    <w:rsid w:val="0082406A"/>
    <w:rsid w:val="0082481A"/>
    <w:rsid w:val="00825EAC"/>
    <w:rsid w:val="00827E1F"/>
    <w:rsid w:val="00830E7B"/>
    <w:rsid w:val="0083117E"/>
    <w:rsid w:val="008311B8"/>
    <w:rsid w:val="008321CD"/>
    <w:rsid w:val="008322E8"/>
    <w:rsid w:val="00832E13"/>
    <w:rsid w:val="00834243"/>
    <w:rsid w:val="00837197"/>
    <w:rsid w:val="008374C4"/>
    <w:rsid w:val="00837D4B"/>
    <w:rsid w:val="00843BE9"/>
    <w:rsid w:val="00843E49"/>
    <w:rsid w:val="00843F12"/>
    <w:rsid w:val="00844092"/>
    <w:rsid w:val="0084456B"/>
    <w:rsid w:val="00845660"/>
    <w:rsid w:val="008460D0"/>
    <w:rsid w:val="00846CDE"/>
    <w:rsid w:val="00847209"/>
    <w:rsid w:val="00847377"/>
    <w:rsid w:val="00851634"/>
    <w:rsid w:val="00852AC1"/>
    <w:rsid w:val="00852C63"/>
    <w:rsid w:val="00853519"/>
    <w:rsid w:val="00853A74"/>
    <w:rsid w:val="00856464"/>
    <w:rsid w:val="008571BD"/>
    <w:rsid w:val="00857969"/>
    <w:rsid w:val="00857AF0"/>
    <w:rsid w:val="00860A7C"/>
    <w:rsid w:val="00860E73"/>
    <w:rsid w:val="0086192D"/>
    <w:rsid w:val="0086211A"/>
    <w:rsid w:val="00862C7A"/>
    <w:rsid w:val="00862F41"/>
    <w:rsid w:val="0086313C"/>
    <w:rsid w:val="0086324C"/>
    <w:rsid w:val="0086342B"/>
    <w:rsid w:val="00863A0F"/>
    <w:rsid w:val="00864632"/>
    <w:rsid w:val="00865B42"/>
    <w:rsid w:val="00865F4B"/>
    <w:rsid w:val="00866762"/>
    <w:rsid w:val="00866874"/>
    <w:rsid w:val="00867275"/>
    <w:rsid w:val="00867DD0"/>
    <w:rsid w:val="00870022"/>
    <w:rsid w:val="00873EDA"/>
    <w:rsid w:val="00875C4B"/>
    <w:rsid w:val="0087738A"/>
    <w:rsid w:val="00880916"/>
    <w:rsid w:val="00881BDB"/>
    <w:rsid w:val="00882126"/>
    <w:rsid w:val="008825AB"/>
    <w:rsid w:val="00882C83"/>
    <w:rsid w:val="00882CC4"/>
    <w:rsid w:val="00883921"/>
    <w:rsid w:val="008844AC"/>
    <w:rsid w:val="00884AB4"/>
    <w:rsid w:val="008856B9"/>
    <w:rsid w:val="00886C78"/>
    <w:rsid w:val="00886CD8"/>
    <w:rsid w:val="00887E6A"/>
    <w:rsid w:val="00890A00"/>
    <w:rsid w:val="0089117D"/>
    <w:rsid w:val="00891C1D"/>
    <w:rsid w:val="00891FE6"/>
    <w:rsid w:val="0089237C"/>
    <w:rsid w:val="0089360E"/>
    <w:rsid w:val="008951CE"/>
    <w:rsid w:val="008962D7"/>
    <w:rsid w:val="008965A6"/>
    <w:rsid w:val="008971B3"/>
    <w:rsid w:val="00897F46"/>
    <w:rsid w:val="008A02C8"/>
    <w:rsid w:val="008A0A3D"/>
    <w:rsid w:val="008A102C"/>
    <w:rsid w:val="008A2181"/>
    <w:rsid w:val="008A2A22"/>
    <w:rsid w:val="008A47B1"/>
    <w:rsid w:val="008A5B1A"/>
    <w:rsid w:val="008A61AB"/>
    <w:rsid w:val="008A7341"/>
    <w:rsid w:val="008A74F4"/>
    <w:rsid w:val="008A74FF"/>
    <w:rsid w:val="008B0781"/>
    <w:rsid w:val="008B2C1C"/>
    <w:rsid w:val="008B38F6"/>
    <w:rsid w:val="008B405E"/>
    <w:rsid w:val="008B44A0"/>
    <w:rsid w:val="008B48CC"/>
    <w:rsid w:val="008B4A89"/>
    <w:rsid w:val="008B4B04"/>
    <w:rsid w:val="008B4B2E"/>
    <w:rsid w:val="008B4B4D"/>
    <w:rsid w:val="008B665D"/>
    <w:rsid w:val="008B75D3"/>
    <w:rsid w:val="008C1D22"/>
    <w:rsid w:val="008C2782"/>
    <w:rsid w:val="008C2E79"/>
    <w:rsid w:val="008C3727"/>
    <w:rsid w:val="008C5177"/>
    <w:rsid w:val="008C5328"/>
    <w:rsid w:val="008C5D77"/>
    <w:rsid w:val="008C61E1"/>
    <w:rsid w:val="008C6532"/>
    <w:rsid w:val="008C6FB8"/>
    <w:rsid w:val="008C7A74"/>
    <w:rsid w:val="008C7F71"/>
    <w:rsid w:val="008D08F3"/>
    <w:rsid w:val="008D0C81"/>
    <w:rsid w:val="008D3118"/>
    <w:rsid w:val="008D339F"/>
    <w:rsid w:val="008D3C64"/>
    <w:rsid w:val="008D455D"/>
    <w:rsid w:val="008D58B8"/>
    <w:rsid w:val="008D5E18"/>
    <w:rsid w:val="008D6001"/>
    <w:rsid w:val="008D67A9"/>
    <w:rsid w:val="008D6B42"/>
    <w:rsid w:val="008D6C4D"/>
    <w:rsid w:val="008D705A"/>
    <w:rsid w:val="008D77E0"/>
    <w:rsid w:val="008E1DF4"/>
    <w:rsid w:val="008E227E"/>
    <w:rsid w:val="008E24D2"/>
    <w:rsid w:val="008E2E1D"/>
    <w:rsid w:val="008E3F55"/>
    <w:rsid w:val="008E42E0"/>
    <w:rsid w:val="008E4707"/>
    <w:rsid w:val="008E4978"/>
    <w:rsid w:val="008E5533"/>
    <w:rsid w:val="008E581D"/>
    <w:rsid w:val="008E6028"/>
    <w:rsid w:val="008E6292"/>
    <w:rsid w:val="008E68A0"/>
    <w:rsid w:val="008E6911"/>
    <w:rsid w:val="008E6D35"/>
    <w:rsid w:val="008E7284"/>
    <w:rsid w:val="008E78FB"/>
    <w:rsid w:val="008E7C43"/>
    <w:rsid w:val="008F0443"/>
    <w:rsid w:val="008F0FBE"/>
    <w:rsid w:val="008F1D33"/>
    <w:rsid w:val="008F23EB"/>
    <w:rsid w:val="008F2DA2"/>
    <w:rsid w:val="008F2E00"/>
    <w:rsid w:val="008F2E5C"/>
    <w:rsid w:val="008F338D"/>
    <w:rsid w:val="008F4B9E"/>
    <w:rsid w:val="008F637E"/>
    <w:rsid w:val="008F66BC"/>
    <w:rsid w:val="008F7EB9"/>
    <w:rsid w:val="0090016B"/>
    <w:rsid w:val="009016F5"/>
    <w:rsid w:val="009018A7"/>
    <w:rsid w:val="00901BB0"/>
    <w:rsid w:val="00902147"/>
    <w:rsid w:val="00902493"/>
    <w:rsid w:val="00902855"/>
    <w:rsid w:val="00903842"/>
    <w:rsid w:val="00903D93"/>
    <w:rsid w:val="009054DB"/>
    <w:rsid w:val="009063F3"/>
    <w:rsid w:val="00906E61"/>
    <w:rsid w:val="00906F79"/>
    <w:rsid w:val="0090709B"/>
    <w:rsid w:val="00907EE3"/>
    <w:rsid w:val="009111C8"/>
    <w:rsid w:val="00911934"/>
    <w:rsid w:val="00912489"/>
    <w:rsid w:val="00912E70"/>
    <w:rsid w:val="00914F67"/>
    <w:rsid w:val="009150DF"/>
    <w:rsid w:val="009157A6"/>
    <w:rsid w:val="009159C7"/>
    <w:rsid w:val="00915AAD"/>
    <w:rsid w:val="0091749F"/>
    <w:rsid w:val="00917C63"/>
    <w:rsid w:val="00917E28"/>
    <w:rsid w:val="00917FE4"/>
    <w:rsid w:val="00920291"/>
    <w:rsid w:val="009216E7"/>
    <w:rsid w:val="00921AFF"/>
    <w:rsid w:val="00923836"/>
    <w:rsid w:val="009248FD"/>
    <w:rsid w:val="00925AA5"/>
    <w:rsid w:val="00925FAF"/>
    <w:rsid w:val="0092685B"/>
    <w:rsid w:val="0092732C"/>
    <w:rsid w:val="00927F9B"/>
    <w:rsid w:val="00930C77"/>
    <w:rsid w:val="00933A9E"/>
    <w:rsid w:val="00934081"/>
    <w:rsid w:val="00934831"/>
    <w:rsid w:val="00935188"/>
    <w:rsid w:val="0093540D"/>
    <w:rsid w:val="00935C11"/>
    <w:rsid w:val="009361A1"/>
    <w:rsid w:val="00937927"/>
    <w:rsid w:val="00937AE2"/>
    <w:rsid w:val="00937D28"/>
    <w:rsid w:val="0094019D"/>
    <w:rsid w:val="0094036F"/>
    <w:rsid w:val="00940D0F"/>
    <w:rsid w:val="00940F82"/>
    <w:rsid w:val="009414FA"/>
    <w:rsid w:val="00942564"/>
    <w:rsid w:val="00942C11"/>
    <w:rsid w:val="00942F0A"/>
    <w:rsid w:val="009432E6"/>
    <w:rsid w:val="0094351F"/>
    <w:rsid w:val="00943688"/>
    <w:rsid w:val="0094397F"/>
    <w:rsid w:val="00943D1A"/>
    <w:rsid w:val="0094454F"/>
    <w:rsid w:val="00944A50"/>
    <w:rsid w:val="0094584C"/>
    <w:rsid w:val="009466F2"/>
    <w:rsid w:val="00946EE0"/>
    <w:rsid w:val="00951754"/>
    <w:rsid w:val="00951931"/>
    <w:rsid w:val="00951EE7"/>
    <w:rsid w:val="009520E1"/>
    <w:rsid w:val="009532E5"/>
    <w:rsid w:val="00953F14"/>
    <w:rsid w:val="009540B3"/>
    <w:rsid w:val="009544CF"/>
    <w:rsid w:val="009547F8"/>
    <w:rsid w:val="0095519B"/>
    <w:rsid w:val="00956F6F"/>
    <w:rsid w:val="009575FE"/>
    <w:rsid w:val="00960367"/>
    <w:rsid w:val="00962386"/>
    <w:rsid w:val="00962425"/>
    <w:rsid w:val="00962AB1"/>
    <w:rsid w:val="00962ACF"/>
    <w:rsid w:val="00962C4F"/>
    <w:rsid w:val="00962E08"/>
    <w:rsid w:val="00962E99"/>
    <w:rsid w:val="00963732"/>
    <w:rsid w:val="0096596B"/>
    <w:rsid w:val="00965B46"/>
    <w:rsid w:val="009663E2"/>
    <w:rsid w:val="009714DE"/>
    <w:rsid w:val="0097159C"/>
    <w:rsid w:val="00971CBC"/>
    <w:rsid w:val="00971E2E"/>
    <w:rsid w:val="009729D4"/>
    <w:rsid w:val="009730A2"/>
    <w:rsid w:val="00975BCC"/>
    <w:rsid w:val="00975CAB"/>
    <w:rsid w:val="00976385"/>
    <w:rsid w:val="00976889"/>
    <w:rsid w:val="00977395"/>
    <w:rsid w:val="00977555"/>
    <w:rsid w:val="00980759"/>
    <w:rsid w:val="00980DE5"/>
    <w:rsid w:val="00981019"/>
    <w:rsid w:val="009817B0"/>
    <w:rsid w:val="009817B3"/>
    <w:rsid w:val="009819E6"/>
    <w:rsid w:val="009821CE"/>
    <w:rsid w:val="009836F1"/>
    <w:rsid w:val="00985A86"/>
    <w:rsid w:val="00985B76"/>
    <w:rsid w:val="00986880"/>
    <w:rsid w:val="00986ABE"/>
    <w:rsid w:val="00986E0B"/>
    <w:rsid w:val="00986ED3"/>
    <w:rsid w:val="009875E9"/>
    <w:rsid w:val="00987DAD"/>
    <w:rsid w:val="009908A3"/>
    <w:rsid w:val="00990B12"/>
    <w:rsid w:val="00991584"/>
    <w:rsid w:val="00993B17"/>
    <w:rsid w:val="009963A2"/>
    <w:rsid w:val="00996AB8"/>
    <w:rsid w:val="009972EC"/>
    <w:rsid w:val="00997872"/>
    <w:rsid w:val="009979DD"/>
    <w:rsid w:val="00997DC4"/>
    <w:rsid w:val="009A0B00"/>
    <w:rsid w:val="009A214F"/>
    <w:rsid w:val="009A277C"/>
    <w:rsid w:val="009A29D1"/>
    <w:rsid w:val="009A3CA7"/>
    <w:rsid w:val="009A3DC0"/>
    <w:rsid w:val="009A4C22"/>
    <w:rsid w:val="009A5137"/>
    <w:rsid w:val="009A5626"/>
    <w:rsid w:val="009A5DAA"/>
    <w:rsid w:val="009A658F"/>
    <w:rsid w:val="009A7402"/>
    <w:rsid w:val="009A76EE"/>
    <w:rsid w:val="009A7C60"/>
    <w:rsid w:val="009B088F"/>
    <w:rsid w:val="009B2249"/>
    <w:rsid w:val="009B2DF2"/>
    <w:rsid w:val="009B3893"/>
    <w:rsid w:val="009B45BC"/>
    <w:rsid w:val="009B4BAF"/>
    <w:rsid w:val="009B5CE0"/>
    <w:rsid w:val="009B629D"/>
    <w:rsid w:val="009B6DE7"/>
    <w:rsid w:val="009B7539"/>
    <w:rsid w:val="009B7AEB"/>
    <w:rsid w:val="009B7CC5"/>
    <w:rsid w:val="009C13D6"/>
    <w:rsid w:val="009C19B9"/>
    <w:rsid w:val="009C20C7"/>
    <w:rsid w:val="009C2DAB"/>
    <w:rsid w:val="009C2F04"/>
    <w:rsid w:val="009C336B"/>
    <w:rsid w:val="009C4ADB"/>
    <w:rsid w:val="009C5337"/>
    <w:rsid w:val="009C65F7"/>
    <w:rsid w:val="009C6911"/>
    <w:rsid w:val="009C6A45"/>
    <w:rsid w:val="009D002E"/>
    <w:rsid w:val="009D1FE2"/>
    <w:rsid w:val="009D2CFF"/>
    <w:rsid w:val="009D3193"/>
    <w:rsid w:val="009D3261"/>
    <w:rsid w:val="009D44D2"/>
    <w:rsid w:val="009D5827"/>
    <w:rsid w:val="009D5D5B"/>
    <w:rsid w:val="009D64C4"/>
    <w:rsid w:val="009D6787"/>
    <w:rsid w:val="009D6F7C"/>
    <w:rsid w:val="009D7355"/>
    <w:rsid w:val="009D735C"/>
    <w:rsid w:val="009D743A"/>
    <w:rsid w:val="009E00D2"/>
    <w:rsid w:val="009E0CA5"/>
    <w:rsid w:val="009E11C0"/>
    <w:rsid w:val="009E13A8"/>
    <w:rsid w:val="009E171B"/>
    <w:rsid w:val="009E1A8C"/>
    <w:rsid w:val="009E1BD4"/>
    <w:rsid w:val="009E3093"/>
    <w:rsid w:val="009E3857"/>
    <w:rsid w:val="009E4334"/>
    <w:rsid w:val="009E4CB1"/>
    <w:rsid w:val="009E5772"/>
    <w:rsid w:val="009E6E03"/>
    <w:rsid w:val="009E7A86"/>
    <w:rsid w:val="009E7BA0"/>
    <w:rsid w:val="009E7F62"/>
    <w:rsid w:val="009F003C"/>
    <w:rsid w:val="009F1F40"/>
    <w:rsid w:val="009F239A"/>
    <w:rsid w:val="009F2D01"/>
    <w:rsid w:val="009F3301"/>
    <w:rsid w:val="009F3681"/>
    <w:rsid w:val="009F394F"/>
    <w:rsid w:val="009F3DE8"/>
    <w:rsid w:val="009F422D"/>
    <w:rsid w:val="009F6ABF"/>
    <w:rsid w:val="009F73D3"/>
    <w:rsid w:val="009F749E"/>
    <w:rsid w:val="009F7734"/>
    <w:rsid w:val="00A00254"/>
    <w:rsid w:val="00A015E8"/>
    <w:rsid w:val="00A018A7"/>
    <w:rsid w:val="00A01AE8"/>
    <w:rsid w:val="00A028B7"/>
    <w:rsid w:val="00A03358"/>
    <w:rsid w:val="00A03791"/>
    <w:rsid w:val="00A03A67"/>
    <w:rsid w:val="00A03AF8"/>
    <w:rsid w:val="00A04322"/>
    <w:rsid w:val="00A0437B"/>
    <w:rsid w:val="00A04C2A"/>
    <w:rsid w:val="00A05D47"/>
    <w:rsid w:val="00A062EF"/>
    <w:rsid w:val="00A06315"/>
    <w:rsid w:val="00A06F5F"/>
    <w:rsid w:val="00A078BD"/>
    <w:rsid w:val="00A07D47"/>
    <w:rsid w:val="00A101C6"/>
    <w:rsid w:val="00A10593"/>
    <w:rsid w:val="00A110BE"/>
    <w:rsid w:val="00A12F62"/>
    <w:rsid w:val="00A13157"/>
    <w:rsid w:val="00A1423D"/>
    <w:rsid w:val="00A14C70"/>
    <w:rsid w:val="00A14F96"/>
    <w:rsid w:val="00A14FE9"/>
    <w:rsid w:val="00A151DF"/>
    <w:rsid w:val="00A15511"/>
    <w:rsid w:val="00A155F0"/>
    <w:rsid w:val="00A15803"/>
    <w:rsid w:val="00A1597E"/>
    <w:rsid w:val="00A15BA6"/>
    <w:rsid w:val="00A161F3"/>
    <w:rsid w:val="00A2057C"/>
    <w:rsid w:val="00A20C1B"/>
    <w:rsid w:val="00A21C55"/>
    <w:rsid w:val="00A21D27"/>
    <w:rsid w:val="00A2399F"/>
    <w:rsid w:val="00A23EEF"/>
    <w:rsid w:val="00A25667"/>
    <w:rsid w:val="00A25FDD"/>
    <w:rsid w:val="00A268FC"/>
    <w:rsid w:val="00A26A39"/>
    <w:rsid w:val="00A26ACF"/>
    <w:rsid w:val="00A3073D"/>
    <w:rsid w:val="00A31EDA"/>
    <w:rsid w:val="00A31FCC"/>
    <w:rsid w:val="00A32020"/>
    <w:rsid w:val="00A33CAB"/>
    <w:rsid w:val="00A34267"/>
    <w:rsid w:val="00A360F9"/>
    <w:rsid w:val="00A361CA"/>
    <w:rsid w:val="00A3694B"/>
    <w:rsid w:val="00A3749B"/>
    <w:rsid w:val="00A37D87"/>
    <w:rsid w:val="00A4037E"/>
    <w:rsid w:val="00A40DFA"/>
    <w:rsid w:val="00A4336E"/>
    <w:rsid w:val="00A4351D"/>
    <w:rsid w:val="00A43C7F"/>
    <w:rsid w:val="00A43F09"/>
    <w:rsid w:val="00A445AB"/>
    <w:rsid w:val="00A44997"/>
    <w:rsid w:val="00A44AE6"/>
    <w:rsid w:val="00A44FE8"/>
    <w:rsid w:val="00A470B7"/>
    <w:rsid w:val="00A47891"/>
    <w:rsid w:val="00A47A78"/>
    <w:rsid w:val="00A47DF0"/>
    <w:rsid w:val="00A50362"/>
    <w:rsid w:val="00A50D88"/>
    <w:rsid w:val="00A50DF6"/>
    <w:rsid w:val="00A50FA4"/>
    <w:rsid w:val="00A518A6"/>
    <w:rsid w:val="00A51926"/>
    <w:rsid w:val="00A52369"/>
    <w:rsid w:val="00A535D2"/>
    <w:rsid w:val="00A54654"/>
    <w:rsid w:val="00A54C48"/>
    <w:rsid w:val="00A56923"/>
    <w:rsid w:val="00A57961"/>
    <w:rsid w:val="00A57F01"/>
    <w:rsid w:val="00A60198"/>
    <w:rsid w:val="00A608F7"/>
    <w:rsid w:val="00A6099C"/>
    <w:rsid w:val="00A60B5E"/>
    <w:rsid w:val="00A62DF1"/>
    <w:rsid w:val="00A62E42"/>
    <w:rsid w:val="00A63493"/>
    <w:rsid w:val="00A637F4"/>
    <w:rsid w:val="00A6446A"/>
    <w:rsid w:val="00A64A71"/>
    <w:rsid w:val="00A655B1"/>
    <w:rsid w:val="00A666F9"/>
    <w:rsid w:val="00A67AC3"/>
    <w:rsid w:val="00A67ADF"/>
    <w:rsid w:val="00A7033E"/>
    <w:rsid w:val="00A7236C"/>
    <w:rsid w:val="00A72960"/>
    <w:rsid w:val="00A72D8F"/>
    <w:rsid w:val="00A7330A"/>
    <w:rsid w:val="00A73784"/>
    <w:rsid w:val="00A73B2C"/>
    <w:rsid w:val="00A74815"/>
    <w:rsid w:val="00A74CFD"/>
    <w:rsid w:val="00A75E0E"/>
    <w:rsid w:val="00A80D1B"/>
    <w:rsid w:val="00A81211"/>
    <w:rsid w:val="00A82CEE"/>
    <w:rsid w:val="00A82EBB"/>
    <w:rsid w:val="00A83930"/>
    <w:rsid w:val="00A841FB"/>
    <w:rsid w:val="00A84928"/>
    <w:rsid w:val="00A85659"/>
    <w:rsid w:val="00A878D2"/>
    <w:rsid w:val="00A87BBD"/>
    <w:rsid w:val="00A90E92"/>
    <w:rsid w:val="00A91CE1"/>
    <w:rsid w:val="00A92E2D"/>
    <w:rsid w:val="00A930FB"/>
    <w:rsid w:val="00A93401"/>
    <w:rsid w:val="00A937F2"/>
    <w:rsid w:val="00A94565"/>
    <w:rsid w:val="00A967D9"/>
    <w:rsid w:val="00A96E33"/>
    <w:rsid w:val="00A97160"/>
    <w:rsid w:val="00A97E6D"/>
    <w:rsid w:val="00A97FF3"/>
    <w:rsid w:val="00AA08E2"/>
    <w:rsid w:val="00AA23C5"/>
    <w:rsid w:val="00AA2CCB"/>
    <w:rsid w:val="00AA33EA"/>
    <w:rsid w:val="00AA3F00"/>
    <w:rsid w:val="00AA4239"/>
    <w:rsid w:val="00AA481F"/>
    <w:rsid w:val="00AA4D75"/>
    <w:rsid w:val="00AA5387"/>
    <w:rsid w:val="00AA66CA"/>
    <w:rsid w:val="00AA77E5"/>
    <w:rsid w:val="00AA7EFE"/>
    <w:rsid w:val="00AB0047"/>
    <w:rsid w:val="00AB081A"/>
    <w:rsid w:val="00AB0C0A"/>
    <w:rsid w:val="00AB1A6F"/>
    <w:rsid w:val="00AB1D29"/>
    <w:rsid w:val="00AB23D8"/>
    <w:rsid w:val="00AB376E"/>
    <w:rsid w:val="00AB3C55"/>
    <w:rsid w:val="00AB4361"/>
    <w:rsid w:val="00AB6A93"/>
    <w:rsid w:val="00AB6BF6"/>
    <w:rsid w:val="00AB6CEB"/>
    <w:rsid w:val="00AC01DA"/>
    <w:rsid w:val="00AC09A3"/>
    <w:rsid w:val="00AC0DC4"/>
    <w:rsid w:val="00AC114D"/>
    <w:rsid w:val="00AC1588"/>
    <w:rsid w:val="00AC1EBE"/>
    <w:rsid w:val="00AC22DF"/>
    <w:rsid w:val="00AC2E15"/>
    <w:rsid w:val="00AC3196"/>
    <w:rsid w:val="00AC4065"/>
    <w:rsid w:val="00AC412D"/>
    <w:rsid w:val="00AC5495"/>
    <w:rsid w:val="00AC75E2"/>
    <w:rsid w:val="00AC777A"/>
    <w:rsid w:val="00AC7F86"/>
    <w:rsid w:val="00AD03F4"/>
    <w:rsid w:val="00AD0ACC"/>
    <w:rsid w:val="00AD115E"/>
    <w:rsid w:val="00AD1816"/>
    <w:rsid w:val="00AD1FED"/>
    <w:rsid w:val="00AD2060"/>
    <w:rsid w:val="00AD2251"/>
    <w:rsid w:val="00AD22FE"/>
    <w:rsid w:val="00AD2AF5"/>
    <w:rsid w:val="00AD3509"/>
    <w:rsid w:val="00AD422E"/>
    <w:rsid w:val="00AD7F44"/>
    <w:rsid w:val="00AE0B7C"/>
    <w:rsid w:val="00AE0F0C"/>
    <w:rsid w:val="00AE1065"/>
    <w:rsid w:val="00AE20BC"/>
    <w:rsid w:val="00AE27F5"/>
    <w:rsid w:val="00AE2F90"/>
    <w:rsid w:val="00AE325C"/>
    <w:rsid w:val="00AE3905"/>
    <w:rsid w:val="00AE4FDA"/>
    <w:rsid w:val="00AE5AA7"/>
    <w:rsid w:val="00AE5AE8"/>
    <w:rsid w:val="00AE5C98"/>
    <w:rsid w:val="00AE6BE9"/>
    <w:rsid w:val="00AE7F9D"/>
    <w:rsid w:val="00AF048D"/>
    <w:rsid w:val="00AF07AB"/>
    <w:rsid w:val="00AF2261"/>
    <w:rsid w:val="00AF4DF2"/>
    <w:rsid w:val="00AF51D4"/>
    <w:rsid w:val="00AF5454"/>
    <w:rsid w:val="00AF59E2"/>
    <w:rsid w:val="00AF5EA6"/>
    <w:rsid w:val="00AF756D"/>
    <w:rsid w:val="00AF76FF"/>
    <w:rsid w:val="00AF7FEF"/>
    <w:rsid w:val="00B0096B"/>
    <w:rsid w:val="00B01816"/>
    <w:rsid w:val="00B01B57"/>
    <w:rsid w:val="00B02278"/>
    <w:rsid w:val="00B027FF"/>
    <w:rsid w:val="00B03DD6"/>
    <w:rsid w:val="00B03E56"/>
    <w:rsid w:val="00B045D5"/>
    <w:rsid w:val="00B051A2"/>
    <w:rsid w:val="00B05548"/>
    <w:rsid w:val="00B06814"/>
    <w:rsid w:val="00B07CC2"/>
    <w:rsid w:val="00B1117B"/>
    <w:rsid w:val="00B112D9"/>
    <w:rsid w:val="00B12AC7"/>
    <w:rsid w:val="00B12F67"/>
    <w:rsid w:val="00B12F8C"/>
    <w:rsid w:val="00B13A13"/>
    <w:rsid w:val="00B13D32"/>
    <w:rsid w:val="00B14DBA"/>
    <w:rsid w:val="00B15C56"/>
    <w:rsid w:val="00B20580"/>
    <w:rsid w:val="00B21445"/>
    <w:rsid w:val="00B214C6"/>
    <w:rsid w:val="00B231A2"/>
    <w:rsid w:val="00B231AE"/>
    <w:rsid w:val="00B243DB"/>
    <w:rsid w:val="00B24EDD"/>
    <w:rsid w:val="00B24EFD"/>
    <w:rsid w:val="00B277B2"/>
    <w:rsid w:val="00B27832"/>
    <w:rsid w:val="00B27E18"/>
    <w:rsid w:val="00B318DD"/>
    <w:rsid w:val="00B32473"/>
    <w:rsid w:val="00B32AAC"/>
    <w:rsid w:val="00B33862"/>
    <w:rsid w:val="00B34870"/>
    <w:rsid w:val="00B34954"/>
    <w:rsid w:val="00B34E8B"/>
    <w:rsid w:val="00B3583B"/>
    <w:rsid w:val="00B3583E"/>
    <w:rsid w:val="00B35A0C"/>
    <w:rsid w:val="00B37A8F"/>
    <w:rsid w:val="00B37DE3"/>
    <w:rsid w:val="00B405F9"/>
    <w:rsid w:val="00B407D4"/>
    <w:rsid w:val="00B41BD6"/>
    <w:rsid w:val="00B42D81"/>
    <w:rsid w:val="00B43AC9"/>
    <w:rsid w:val="00B44D51"/>
    <w:rsid w:val="00B44D8C"/>
    <w:rsid w:val="00B45167"/>
    <w:rsid w:val="00B45703"/>
    <w:rsid w:val="00B45C06"/>
    <w:rsid w:val="00B465F2"/>
    <w:rsid w:val="00B468C7"/>
    <w:rsid w:val="00B4713A"/>
    <w:rsid w:val="00B47180"/>
    <w:rsid w:val="00B47EDF"/>
    <w:rsid w:val="00B5085B"/>
    <w:rsid w:val="00B51EBF"/>
    <w:rsid w:val="00B5237A"/>
    <w:rsid w:val="00B52CCF"/>
    <w:rsid w:val="00B5377A"/>
    <w:rsid w:val="00B54640"/>
    <w:rsid w:val="00B55B04"/>
    <w:rsid w:val="00B55D85"/>
    <w:rsid w:val="00B5675E"/>
    <w:rsid w:val="00B568AC"/>
    <w:rsid w:val="00B619D7"/>
    <w:rsid w:val="00B61CB9"/>
    <w:rsid w:val="00B63720"/>
    <w:rsid w:val="00B6413B"/>
    <w:rsid w:val="00B65347"/>
    <w:rsid w:val="00B65758"/>
    <w:rsid w:val="00B65DE1"/>
    <w:rsid w:val="00B668EE"/>
    <w:rsid w:val="00B67CB0"/>
    <w:rsid w:val="00B70714"/>
    <w:rsid w:val="00B70D1E"/>
    <w:rsid w:val="00B71ED6"/>
    <w:rsid w:val="00B72AF0"/>
    <w:rsid w:val="00B72E42"/>
    <w:rsid w:val="00B737EB"/>
    <w:rsid w:val="00B74282"/>
    <w:rsid w:val="00B74799"/>
    <w:rsid w:val="00B75F6C"/>
    <w:rsid w:val="00B77103"/>
    <w:rsid w:val="00B775EE"/>
    <w:rsid w:val="00B7766C"/>
    <w:rsid w:val="00B8003A"/>
    <w:rsid w:val="00B80832"/>
    <w:rsid w:val="00B819B3"/>
    <w:rsid w:val="00B81CAD"/>
    <w:rsid w:val="00B8207A"/>
    <w:rsid w:val="00B82CBD"/>
    <w:rsid w:val="00B83946"/>
    <w:rsid w:val="00B87821"/>
    <w:rsid w:val="00B87927"/>
    <w:rsid w:val="00B9108A"/>
    <w:rsid w:val="00B91E17"/>
    <w:rsid w:val="00B92F0D"/>
    <w:rsid w:val="00B95A62"/>
    <w:rsid w:val="00B96444"/>
    <w:rsid w:val="00B96A38"/>
    <w:rsid w:val="00B96B51"/>
    <w:rsid w:val="00B96DCD"/>
    <w:rsid w:val="00B96F85"/>
    <w:rsid w:val="00B97087"/>
    <w:rsid w:val="00B97506"/>
    <w:rsid w:val="00B97537"/>
    <w:rsid w:val="00B97BC0"/>
    <w:rsid w:val="00BA00F8"/>
    <w:rsid w:val="00BA1BA8"/>
    <w:rsid w:val="00BA2E5C"/>
    <w:rsid w:val="00BA2FD1"/>
    <w:rsid w:val="00BA375E"/>
    <w:rsid w:val="00BA40A4"/>
    <w:rsid w:val="00BA5DB9"/>
    <w:rsid w:val="00BA788F"/>
    <w:rsid w:val="00BA7B75"/>
    <w:rsid w:val="00BB00F3"/>
    <w:rsid w:val="00BB303A"/>
    <w:rsid w:val="00BB3A72"/>
    <w:rsid w:val="00BB4139"/>
    <w:rsid w:val="00BB4A27"/>
    <w:rsid w:val="00BB5640"/>
    <w:rsid w:val="00BB598B"/>
    <w:rsid w:val="00BB5C2F"/>
    <w:rsid w:val="00BB6CAF"/>
    <w:rsid w:val="00BB7DB4"/>
    <w:rsid w:val="00BC020A"/>
    <w:rsid w:val="00BC044C"/>
    <w:rsid w:val="00BC1061"/>
    <w:rsid w:val="00BC20F0"/>
    <w:rsid w:val="00BC218E"/>
    <w:rsid w:val="00BC39AD"/>
    <w:rsid w:val="00BC6E69"/>
    <w:rsid w:val="00BC7723"/>
    <w:rsid w:val="00BD065C"/>
    <w:rsid w:val="00BD0E92"/>
    <w:rsid w:val="00BD2279"/>
    <w:rsid w:val="00BD22BC"/>
    <w:rsid w:val="00BD255D"/>
    <w:rsid w:val="00BD26AA"/>
    <w:rsid w:val="00BD2AD8"/>
    <w:rsid w:val="00BD2B12"/>
    <w:rsid w:val="00BD3FCB"/>
    <w:rsid w:val="00BD4524"/>
    <w:rsid w:val="00BD454F"/>
    <w:rsid w:val="00BD66AE"/>
    <w:rsid w:val="00BD75FC"/>
    <w:rsid w:val="00BE177C"/>
    <w:rsid w:val="00BE31CC"/>
    <w:rsid w:val="00BE431B"/>
    <w:rsid w:val="00BE4BC3"/>
    <w:rsid w:val="00BE5E77"/>
    <w:rsid w:val="00BE6B48"/>
    <w:rsid w:val="00BE734A"/>
    <w:rsid w:val="00BE75A5"/>
    <w:rsid w:val="00BE7D22"/>
    <w:rsid w:val="00BE7EA5"/>
    <w:rsid w:val="00BF1E2F"/>
    <w:rsid w:val="00BF2DB5"/>
    <w:rsid w:val="00BF3C17"/>
    <w:rsid w:val="00BF45AD"/>
    <w:rsid w:val="00BF5857"/>
    <w:rsid w:val="00BF65A1"/>
    <w:rsid w:val="00BF6F79"/>
    <w:rsid w:val="00BF6FF1"/>
    <w:rsid w:val="00BF71C9"/>
    <w:rsid w:val="00C0060F"/>
    <w:rsid w:val="00C01A1C"/>
    <w:rsid w:val="00C01AC4"/>
    <w:rsid w:val="00C01DCC"/>
    <w:rsid w:val="00C029E5"/>
    <w:rsid w:val="00C03C28"/>
    <w:rsid w:val="00C05AA9"/>
    <w:rsid w:val="00C05E18"/>
    <w:rsid w:val="00C05EAE"/>
    <w:rsid w:val="00C06200"/>
    <w:rsid w:val="00C0664F"/>
    <w:rsid w:val="00C070D2"/>
    <w:rsid w:val="00C074C3"/>
    <w:rsid w:val="00C14635"/>
    <w:rsid w:val="00C14B3A"/>
    <w:rsid w:val="00C14B40"/>
    <w:rsid w:val="00C14B62"/>
    <w:rsid w:val="00C155C0"/>
    <w:rsid w:val="00C156DE"/>
    <w:rsid w:val="00C15F59"/>
    <w:rsid w:val="00C164E5"/>
    <w:rsid w:val="00C171A7"/>
    <w:rsid w:val="00C17528"/>
    <w:rsid w:val="00C17BEB"/>
    <w:rsid w:val="00C202B3"/>
    <w:rsid w:val="00C20895"/>
    <w:rsid w:val="00C20D4E"/>
    <w:rsid w:val="00C211C3"/>
    <w:rsid w:val="00C216C9"/>
    <w:rsid w:val="00C217CD"/>
    <w:rsid w:val="00C21EE0"/>
    <w:rsid w:val="00C2247D"/>
    <w:rsid w:val="00C22D3B"/>
    <w:rsid w:val="00C22E5D"/>
    <w:rsid w:val="00C2322A"/>
    <w:rsid w:val="00C23BDF"/>
    <w:rsid w:val="00C25CF9"/>
    <w:rsid w:val="00C26CBC"/>
    <w:rsid w:val="00C272AA"/>
    <w:rsid w:val="00C30297"/>
    <w:rsid w:val="00C30B50"/>
    <w:rsid w:val="00C30DD3"/>
    <w:rsid w:val="00C33022"/>
    <w:rsid w:val="00C33F2F"/>
    <w:rsid w:val="00C3407D"/>
    <w:rsid w:val="00C34431"/>
    <w:rsid w:val="00C34D61"/>
    <w:rsid w:val="00C35579"/>
    <w:rsid w:val="00C40610"/>
    <w:rsid w:val="00C40766"/>
    <w:rsid w:val="00C41D36"/>
    <w:rsid w:val="00C43240"/>
    <w:rsid w:val="00C45392"/>
    <w:rsid w:val="00C46662"/>
    <w:rsid w:val="00C46973"/>
    <w:rsid w:val="00C472DD"/>
    <w:rsid w:val="00C5027C"/>
    <w:rsid w:val="00C509AD"/>
    <w:rsid w:val="00C50B48"/>
    <w:rsid w:val="00C51862"/>
    <w:rsid w:val="00C52DD7"/>
    <w:rsid w:val="00C54AF9"/>
    <w:rsid w:val="00C552D2"/>
    <w:rsid w:val="00C555AC"/>
    <w:rsid w:val="00C56022"/>
    <w:rsid w:val="00C60A4B"/>
    <w:rsid w:val="00C61E48"/>
    <w:rsid w:val="00C62E62"/>
    <w:rsid w:val="00C634BC"/>
    <w:rsid w:val="00C64AC8"/>
    <w:rsid w:val="00C65BD4"/>
    <w:rsid w:val="00C66322"/>
    <w:rsid w:val="00C6734F"/>
    <w:rsid w:val="00C703A6"/>
    <w:rsid w:val="00C70FC4"/>
    <w:rsid w:val="00C713ED"/>
    <w:rsid w:val="00C7193F"/>
    <w:rsid w:val="00C72318"/>
    <w:rsid w:val="00C724E6"/>
    <w:rsid w:val="00C728BD"/>
    <w:rsid w:val="00C72BF2"/>
    <w:rsid w:val="00C730A6"/>
    <w:rsid w:val="00C747A5"/>
    <w:rsid w:val="00C7543E"/>
    <w:rsid w:val="00C75849"/>
    <w:rsid w:val="00C75EB8"/>
    <w:rsid w:val="00C761D8"/>
    <w:rsid w:val="00C76D15"/>
    <w:rsid w:val="00C77756"/>
    <w:rsid w:val="00C80E04"/>
    <w:rsid w:val="00C812E0"/>
    <w:rsid w:val="00C81405"/>
    <w:rsid w:val="00C81572"/>
    <w:rsid w:val="00C81747"/>
    <w:rsid w:val="00C8391E"/>
    <w:rsid w:val="00C84632"/>
    <w:rsid w:val="00C84EC4"/>
    <w:rsid w:val="00C8526F"/>
    <w:rsid w:val="00C85314"/>
    <w:rsid w:val="00C8568A"/>
    <w:rsid w:val="00C856DE"/>
    <w:rsid w:val="00C875E6"/>
    <w:rsid w:val="00C907C7"/>
    <w:rsid w:val="00C90A94"/>
    <w:rsid w:val="00C9187F"/>
    <w:rsid w:val="00C921FC"/>
    <w:rsid w:val="00C92714"/>
    <w:rsid w:val="00C93A00"/>
    <w:rsid w:val="00C93F9A"/>
    <w:rsid w:val="00C945CB"/>
    <w:rsid w:val="00C945F9"/>
    <w:rsid w:val="00C94953"/>
    <w:rsid w:val="00C95A5D"/>
    <w:rsid w:val="00C961F0"/>
    <w:rsid w:val="00C964E0"/>
    <w:rsid w:val="00C96EA5"/>
    <w:rsid w:val="00C97191"/>
    <w:rsid w:val="00C972AA"/>
    <w:rsid w:val="00C9759E"/>
    <w:rsid w:val="00CA0116"/>
    <w:rsid w:val="00CA15B2"/>
    <w:rsid w:val="00CA22A7"/>
    <w:rsid w:val="00CA2BC0"/>
    <w:rsid w:val="00CA47FD"/>
    <w:rsid w:val="00CA4BC0"/>
    <w:rsid w:val="00CA4C20"/>
    <w:rsid w:val="00CA5B91"/>
    <w:rsid w:val="00CA5CA8"/>
    <w:rsid w:val="00CA63A3"/>
    <w:rsid w:val="00CA70F4"/>
    <w:rsid w:val="00CA7948"/>
    <w:rsid w:val="00CA7DE6"/>
    <w:rsid w:val="00CB0157"/>
    <w:rsid w:val="00CB1EBD"/>
    <w:rsid w:val="00CB28E9"/>
    <w:rsid w:val="00CB33E1"/>
    <w:rsid w:val="00CB4113"/>
    <w:rsid w:val="00CB4AD9"/>
    <w:rsid w:val="00CB5205"/>
    <w:rsid w:val="00CB52EA"/>
    <w:rsid w:val="00CB5A6E"/>
    <w:rsid w:val="00CB5F64"/>
    <w:rsid w:val="00CC12CA"/>
    <w:rsid w:val="00CC13BA"/>
    <w:rsid w:val="00CC1FAC"/>
    <w:rsid w:val="00CC22B1"/>
    <w:rsid w:val="00CC38AC"/>
    <w:rsid w:val="00CC410F"/>
    <w:rsid w:val="00CC4B1D"/>
    <w:rsid w:val="00CC559D"/>
    <w:rsid w:val="00CC7365"/>
    <w:rsid w:val="00CC75BD"/>
    <w:rsid w:val="00CD0805"/>
    <w:rsid w:val="00CD08F6"/>
    <w:rsid w:val="00CD0C13"/>
    <w:rsid w:val="00CD1215"/>
    <w:rsid w:val="00CD18E4"/>
    <w:rsid w:val="00CD1F8C"/>
    <w:rsid w:val="00CD37F3"/>
    <w:rsid w:val="00CD5699"/>
    <w:rsid w:val="00CD654B"/>
    <w:rsid w:val="00CD68BA"/>
    <w:rsid w:val="00CD7D00"/>
    <w:rsid w:val="00CE1419"/>
    <w:rsid w:val="00CE16F9"/>
    <w:rsid w:val="00CE1B41"/>
    <w:rsid w:val="00CE223E"/>
    <w:rsid w:val="00CE2573"/>
    <w:rsid w:val="00CE2E0E"/>
    <w:rsid w:val="00CE3344"/>
    <w:rsid w:val="00CE42DB"/>
    <w:rsid w:val="00CE5324"/>
    <w:rsid w:val="00CE6734"/>
    <w:rsid w:val="00CF04A5"/>
    <w:rsid w:val="00CF0D23"/>
    <w:rsid w:val="00CF1147"/>
    <w:rsid w:val="00CF1478"/>
    <w:rsid w:val="00CF1A55"/>
    <w:rsid w:val="00CF3F0D"/>
    <w:rsid w:val="00CF5D8F"/>
    <w:rsid w:val="00CF749A"/>
    <w:rsid w:val="00CF7DED"/>
    <w:rsid w:val="00CF7EAD"/>
    <w:rsid w:val="00D00C8F"/>
    <w:rsid w:val="00D01B19"/>
    <w:rsid w:val="00D026B7"/>
    <w:rsid w:val="00D04768"/>
    <w:rsid w:val="00D056B8"/>
    <w:rsid w:val="00D063A9"/>
    <w:rsid w:val="00D06699"/>
    <w:rsid w:val="00D101F7"/>
    <w:rsid w:val="00D11EEA"/>
    <w:rsid w:val="00D127CF"/>
    <w:rsid w:val="00D128E2"/>
    <w:rsid w:val="00D12C27"/>
    <w:rsid w:val="00D12D5D"/>
    <w:rsid w:val="00D145F5"/>
    <w:rsid w:val="00D14F63"/>
    <w:rsid w:val="00D15FC3"/>
    <w:rsid w:val="00D17348"/>
    <w:rsid w:val="00D21D72"/>
    <w:rsid w:val="00D21EA6"/>
    <w:rsid w:val="00D22414"/>
    <w:rsid w:val="00D22B1B"/>
    <w:rsid w:val="00D22EEE"/>
    <w:rsid w:val="00D230FB"/>
    <w:rsid w:val="00D245C2"/>
    <w:rsid w:val="00D2474B"/>
    <w:rsid w:val="00D24CCE"/>
    <w:rsid w:val="00D25756"/>
    <w:rsid w:val="00D25CCD"/>
    <w:rsid w:val="00D26BD4"/>
    <w:rsid w:val="00D278A2"/>
    <w:rsid w:val="00D30185"/>
    <w:rsid w:val="00D316A1"/>
    <w:rsid w:val="00D31847"/>
    <w:rsid w:val="00D329F1"/>
    <w:rsid w:val="00D33337"/>
    <w:rsid w:val="00D34EB2"/>
    <w:rsid w:val="00D35055"/>
    <w:rsid w:val="00D355F0"/>
    <w:rsid w:val="00D358D1"/>
    <w:rsid w:val="00D3597C"/>
    <w:rsid w:val="00D359D1"/>
    <w:rsid w:val="00D36226"/>
    <w:rsid w:val="00D36A2A"/>
    <w:rsid w:val="00D40845"/>
    <w:rsid w:val="00D410E9"/>
    <w:rsid w:val="00D41722"/>
    <w:rsid w:val="00D42089"/>
    <w:rsid w:val="00D42539"/>
    <w:rsid w:val="00D429E7"/>
    <w:rsid w:val="00D43AC8"/>
    <w:rsid w:val="00D43C49"/>
    <w:rsid w:val="00D45ED6"/>
    <w:rsid w:val="00D50879"/>
    <w:rsid w:val="00D50FB8"/>
    <w:rsid w:val="00D51610"/>
    <w:rsid w:val="00D5203A"/>
    <w:rsid w:val="00D523F7"/>
    <w:rsid w:val="00D52A1C"/>
    <w:rsid w:val="00D54275"/>
    <w:rsid w:val="00D544C9"/>
    <w:rsid w:val="00D54B7E"/>
    <w:rsid w:val="00D54DC1"/>
    <w:rsid w:val="00D55F28"/>
    <w:rsid w:val="00D56113"/>
    <w:rsid w:val="00D563B5"/>
    <w:rsid w:val="00D565F3"/>
    <w:rsid w:val="00D57B20"/>
    <w:rsid w:val="00D6069C"/>
    <w:rsid w:val="00D611F3"/>
    <w:rsid w:val="00D61CF0"/>
    <w:rsid w:val="00D62D5B"/>
    <w:rsid w:val="00D63290"/>
    <w:rsid w:val="00D63775"/>
    <w:rsid w:val="00D639F7"/>
    <w:rsid w:val="00D641A4"/>
    <w:rsid w:val="00D643F4"/>
    <w:rsid w:val="00D648CE"/>
    <w:rsid w:val="00D64CEC"/>
    <w:rsid w:val="00D64F91"/>
    <w:rsid w:val="00D65155"/>
    <w:rsid w:val="00D65732"/>
    <w:rsid w:val="00D65DF5"/>
    <w:rsid w:val="00D6695E"/>
    <w:rsid w:val="00D670F8"/>
    <w:rsid w:val="00D71356"/>
    <w:rsid w:val="00D7146A"/>
    <w:rsid w:val="00D71636"/>
    <w:rsid w:val="00D71E2E"/>
    <w:rsid w:val="00D729AC"/>
    <w:rsid w:val="00D732DE"/>
    <w:rsid w:val="00D744E6"/>
    <w:rsid w:val="00D74C5D"/>
    <w:rsid w:val="00D751B7"/>
    <w:rsid w:val="00D75231"/>
    <w:rsid w:val="00D76474"/>
    <w:rsid w:val="00D76CF6"/>
    <w:rsid w:val="00D777B1"/>
    <w:rsid w:val="00D777D2"/>
    <w:rsid w:val="00D77E0A"/>
    <w:rsid w:val="00D80DE0"/>
    <w:rsid w:val="00D81C84"/>
    <w:rsid w:val="00D82FCE"/>
    <w:rsid w:val="00D833D9"/>
    <w:rsid w:val="00D83BD9"/>
    <w:rsid w:val="00D83D15"/>
    <w:rsid w:val="00D84609"/>
    <w:rsid w:val="00D85237"/>
    <w:rsid w:val="00D8615A"/>
    <w:rsid w:val="00D87E99"/>
    <w:rsid w:val="00D905E8"/>
    <w:rsid w:val="00D90977"/>
    <w:rsid w:val="00D90E3E"/>
    <w:rsid w:val="00D91BA2"/>
    <w:rsid w:val="00D922D9"/>
    <w:rsid w:val="00D923DE"/>
    <w:rsid w:val="00D93A83"/>
    <w:rsid w:val="00D94DCF"/>
    <w:rsid w:val="00D94EAE"/>
    <w:rsid w:val="00D95C09"/>
    <w:rsid w:val="00D9757B"/>
    <w:rsid w:val="00D97648"/>
    <w:rsid w:val="00DA050F"/>
    <w:rsid w:val="00DA0549"/>
    <w:rsid w:val="00DA12FA"/>
    <w:rsid w:val="00DA137B"/>
    <w:rsid w:val="00DA3135"/>
    <w:rsid w:val="00DA49D3"/>
    <w:rsid w:val="00DA4EF9"/>
    <w:rsid w:val="00DA524C"/>
    <w:rsid w:val="00DA57C3"/>
    <w:rsid w:val="00DA586F"/>
    <w:rsid w:val="00DA59E0"/>
    <w:rsid w:val="00DA5E9F"/>
    <w:rsid w:val="00DA6A8B"/>
    <w:rsid w:val="00DB08DA"/>
    <w:rsid w:val="00DB1498"/>
    <w:rsid w:val="00DB1F8D"/>
    <w:rsid w:val="00DB2383"/>
    <w:rsid w:val="00DB23E5"/>
    <w:rsid w:val="00DB2868"/>
    <w:rsid w:val="00DB35A2"/>
    <w:rsid w:val="00DB3A3F"/>
    <w:rsid w:val="00DB3DA7"/>
    <w:rsid w:val="00DB468F"/>
    <w:rsid w:val="00DB49C7"/>
    <w:rsid w:val="00DB4FCD"/>
    <w:rsid w:val="00DB5132"/>
    <w:rsid w:val="00DB645A"/>
    <w:rsid w:val="00DB6681"/>
    <w:rsid w:val="00DB6A5B"/>
    <w:rsid w:val="00DB70A2"/>
    <w:rsid w:val="00DB7F09"/>
    <w:rsid w:val="00DC00E8"/>
    <w:rsid w:val="00DC06F4"/>
    <w:rsid w:val="00DC1C56"/>
    <w:rsid w:val="00DC1D5F"/>
    <w:rsid w:val="00DC2872"/>
    <w:rsid w:val="00DC3081"/>
    <w:rsid w:val="00DC4756"/>
    <w:rsid w:val="00DC502E"/>
    <w:rsid w:val="00DC6379"/>
    <w:rsid w:val="00DC6AAD"/>
    <w:rsid w:val="00DC6C34"/>
    <w:rsid w:val="00DC7C77"/>
    <w:rsid w:val="00DD0D69"/>
    <w:rsid w:val="00DD0E23"/>
    <w:rsid w:val="00DD1278"/>
    <w:rsid w:val="00DD2BB6"/>
    <w:rsid w:val="00DD2D57"/>
    <w:rsid w:val="00DD3736"/>
    <w:rsid w:val="00DD3EA4"/>
    <w:rsid w:val="00DD46CB"/>
    <w:rsid w:val="00DD5A76"/>
    <w:rsid w:val="00DD5DD5"/>
    <w:rsid w:val="00DD607E"/>
    <w:rsid w:val="00DE0C27"/>
    <w:rsid w:val="00DE12CF"/>
    <w:rsid w:val="00DE2763"/>
    <w:rsid w:val="00DE33FF"/>
    <w:rsid w:val="00DE3830"/>
    <w:rsid w:val="00DE385D"/>
    <w:rsid w:val="00DE3A53"/>
    <w:rsid w:val="00DE3C4B"/>
    <w:rsid w:val="00DE3C77"/>
    <w:rsid w:val="00DE4D80"/>
    <w:rsid w:val="00DE5FF9"/>
    <w:rsid w:val="00DE68EA"/>
    <w:rsid w:val="00DE70F1"/>
    <w:rsid w:val="00DE72EC"/>
    <w:rsid w:val="00DE7614"/>
    <w:rsid w:val="00DF105A"/>
    <w:rsid w:val="00DF31A1"/>
    <w:rsid w:val="00DF3662"/>
    <w:rsid w:val="00DF43A6"/>
    <w:rsid w:val="00DF4DC7"/>
    <w:rsid w:val="00DF6A95"/>
    <w:rsid w:val="00DF6C11"/>
    <w:rsid w:val="00DF6F61"/>
    <w:rsid w:val="00DF78ED"/>
    <w:rsid w:val="00E0163A"/>
    <w:rsid w:val="00E01DCB"/>
    <w:rsid w:val="00E02066"/>
    <w:rsid w:val="00E02DE9"/>
    <w:rsid w:val="00E02F47"/>
    <w:rsid w:val="00E03DAD"/>
    <w:rsid w:val="00E05924"/>
    <w:rsid w:val="00E06E1B"/>
    <w:rsid w:val="00E07AF9"/>
    <w:rsid w:val="00E07CF6"/>
    <w:rsid w:val="00E101C6"/>
    <w:rsid w:val="00E13E86"/>
    <w:rsid w:val="00E14888"/>
    <w:rsid w:val="00E164DA"/>
    <w:rsid w:val="00E17926"/>
    <w:rsid w:val="00E20082"/>
    <w:rsid w:val="00E2214D"/>
    <w:rsid w:val="00E229B4"/>
    <w:rsid w:val="00E22D51"/>
    <w:rsid w:val="00E22E57"/>
    <w:rsid w:val="00E22E65"/>
    <w:rsid w:val="00E23086"/>
    <w:rsid w:val="00E23A59"/>
    <w:rsid w:val="00E26BA0"/>
    <w:rsid w:val="00E277A2"/>
    <w:rsid w:val="00E27D61"/>
    <w:rsid w:val="00E3087B"/>
    <w:rsid w:val="00E32429"/>
    <w:rsid w:val="00E33A4A"/>
    <w:rsid w:val="00E34672"/>
    <w:rsid w:val="00E348FD"/>
    <w:rsid w:val="00E3492F"/>
    <w:rsid w:val="00E349A7"/>
    <w:rsid w:val="00E34BD4"/>
    <w:rsid w:val="00E36EEA"/>
    <w:rsid w:val="00E37197"/>
    <w:rsid w:val="00E374D4"/>
    <w:rsid w:val="00E375AC"/>
    <w:rsid w:val="00E376B5"/>
    <w:rsid w:val="00E37F8B"/>
    <w:rsid w:val="00E430D9"/>
    <w:rsid w:val="00E43B21"/>
    <w:rsid w:val="00E444F5"/>
    <w:rsid w:val="00E46C1C"/>
    <w:rsid w:val="00E46FF6"/>
    <w:rsid w:val="00E47829"/>
    <w:rsid w:val="00E50B5E"/>
    <w:rsid w:val="00E50E7C"/>
    <w:rsid w:val="00E51545"/>
    <w:rsid w:val="00E51C2E"/>
    <w:rsid w:val="00E51D9E"/>
    <w:rsid w:val="00E52A70"/>
    <w:rsid w:val="00E537D1"/>
    <w:rsid w:val="00E53EA1"/>
    <w:rsid w:val="00E54C8F"/>
    <w:rsid w:val="00E55807"/>
    <w:rsid w:val="00E55AC7"/>
    <w:rsid w:val="00E56415"/>
    <w:rsid w:val="00E565BF"/>
    <w:rsid w:val="00E567E6"/>
    <w:rsid w:val="00E56971"/>
    <w:rsid w:val="00E56D53"/>
    <w:rsid w:val="00E57124"/>
    <w:rsid w:val="00E579C2"/>
    <w:rsid w:val="00E57AD1"/>
    <w:rsid w:val="00E57EAC"/>
    <w:rsid w:val="00E57EB1"/>
    <w:rsid w:val="00E61484"/>
    <w:rsid w:val="00E6196F"/>
    <w:rsid w:val="00E61A8F"/>
    <w:rsid w:val="00E623C6"/>
    <w:rsid w:val="00E624CB"/>
    <w:rsid w:val="00E62753"/>
    <w:rsid w:val="00E64C25"/>
    <w:rsid w:val="00E65095"/>
    <w:rsid w:val="00E6614B"/>
    <w:rsid w:val="00E667D8"/>
    <w:rsid w:val="00E67640"/>
    <w:rsid w:val="00E7017C"/>
    <w:rsid w:val="00E711D7"/>
    <w:rsid w:val="00E72337"/>
    <w:rsid w:val="00E729A5"/>
    <w:rsid w:val="00E73EDD"/>
    <w:rsid w:val="00E7425D"/>
    <w:rsid w:val="00E74E50"/>
    <w:rsid w:val="00E7501C"/>
    <w:rsid w:val="00E7596B"/>
    <w:rsid w:val="00E77D32"/>
    <w:rsid w:val="00E802BE"/>
    <w:rsid w:val="00E803EB"/>
    <w:rsid w:val="00E81219"/>
    <w:rsid w:val="00E815DB"/>
    <w:rsid w:val="00E815E1"/>
    <w:rsid w:val="00E81867"/>
    <w:rsid w:val="00E81DFA"/>
    <w:rsid w:val="00E82480"/>
    <w:rsid w:val="00E848A9"/>
    <w:rsid w:val="00E857D9"/>
    <w:rsid w:val="00E86C1F"/>
    <w:rsid w:val="00E87D1A"/>
    <w:rsid w:val="00E901A8"/>
    <w:rsid w:val="00E902B0"/>
    <w:rsid w:val="00E902E8"/>
    <w:rsid w:val="00E90A08"/>
    <w:rsid w:val="00E91CAC"/>
    <w:rsid w:val="00E9211C"/>
    <w:rsid w:val="00E92345"/>
    <w:rsid w:val="00E9296B"/>
    <w:rsid w:val="00E94258"/>
    <w:rsid w:val="00E94298"/>
    <w:rsid w:val="00E949C5"/>
    <w:rsid w:val="00E94EA6"/>
    <w:rsid w:val="00E96132"/>
    <w:rsid w:val="00E963DC"/>
    <w:rsid w:val="00E9656B"/>
    <w:rsid w:val="00E969AA"/>
    <w:rsid w:val="00E96C95"/>
    <w:rsid w:val="00E97B5A"/>
    <w:rsid w:val="00E97C19"/>
    <w:rsid w:val="00EA00CB"/>
    <w:rsid w:val="00EA05D0"/>
    <w:rsid w:val="00EA08A7"/>
    <w:rsid w:val="00EA0A02"/>
    <w:rsid w:val="00EA0D8E"/>
    <w:rsid w:val="00EA129A"/>
    <w:rsid w:val="00EA17E3"/>
    <w:rsid w:val="00EA23AC"/>
    <w:rsid w:val="00EA398F"/>
    <w:rsid w:val="00EA4080"/>
    <w:rsid w:val="00EA4950"/>
    <w:rsid w:val="00EA5988"/>
    <w:rsid w:val="00EA5D1A"/>
    <w:rsid w:val="00EA61F4"/>
    <w:rsid w:val="00EA647F"/>
    <w:rsid w:val="00EA7710"/>
    <w:rsid w:val="00EA7C3D"/>
    <w:rsid w:val="00EB1EFA"/>
    <w:rsid w:val="00EB2311"/>
    <w:rsid w:val="00EB2498"/>
    <w:rsid w:val="00EB3E33"/>
    <w:rsid w:val="00EB4B0B"/>
    <w:rsid w:val="00EB4DD5"/>
    <w:rsid w:val="00EB50AE"/>
    <w:rsid w:val="00EB5C87"/>
    <w:rsid w:val="00EB61A0"/>
    <w:rsid w:val="00EB62CB"/>
    <w:rsid w:val="00EB6878"/>
    <w:rsid w:val="00EB6A98"/>
    <w:rsid w:val="00EB6DB8"/>
    <w:rsid w:val="00EB7596"/>
    <w:rsid w:val="00EC0168"/>
    <w:rsid w:val="00EC04B4"/>
    <w:rsid w:val="00EC1057"/>
    <w:rsid w:val="00EC1E0E"/>
    <w:rsid w:val="00EC236D"/>
    <w:rsid w:val="00EC2472"/>
    <w:rsid w:val="00EC2E25"/>
    <w:rsid w:val="00EC5918"/>
    <w:rsid w:val="00EC6B16"/>
    <w:rsid w:val="00EC6E67"/>
    <w:rsid w:val="00ED0D99"/>
    <w:rsid w:val="00ED1527"/>
    <w:rsid w:val="00ED1F4A"/>
    <w:rsid w:val="00ED2961"/>
    <w:rsid w:val="00ED2E3A"/>
    <w:rsid w:val="00ED38F6"/>
    <w:rsid w:val="00ED5071"/>
    <w:rsid w:val="00ED56A3"/>
    <w:rsid w:val="00ED5803"/>
    <w:rsid w:val="00ED5A20"/>
    <w:rsid w:val="00ED6287"/>
    <w:rsid w:val="00ED6F43"/>
    <w:rsid w:val="00ED77A5"/>
    <w:rsid w:val="00ED795C"/>
    <w:rsid w:val="00ED7F3D"/>
    <w:rsid w:val="00EE0838"/>
    <w:rsid w:val="00EE1447"/>
    <w:rsid w:val="00EE1B07"/>
    <w:rsid w:val="00EE1BF1"/>
    <w:rsid w:val="00EE1DB7"/>
    <w:rsid w:val="00EE4196"/>
    <w:rsid w:val="00EE4756"/>
    <w:rsid w:val="00EE4864"/>
    <w:rsid w:val="00EE48F6"/>
    <w:rsid w:val="00EE58C7"/>
    <w:rsid w:val="00EE65B7"/>
    <w:rsid w:val="00EE67E9"/>
    <w:rsid w:val="00EE6E99"/>
    <w:rsid w:val="00EE7744"/>
    <w:rsid w:val="00EE7BA7"/>
    <w:rsid w:val="00EF00E9"/>
    <w:rsid w:val="00EF03E1"/>
    <w:rsid w:val="00EF11AA"/>
    <w:rsid w:val="00EF145E"/>
    <w:rsid w:val="00EF1838"/>
    <w:rsid w:val="00EF20F3"/>
    <w:rsid w:val="00EF2BBB"/>
    <w:rsid w:val="00EF4B0A"/>
    <w:rsid w:val="00EF5FD9"/>
    <w:rsid w:val="00EF6BA4"/>
    <w:rsid w:val="00F0066E"/>
    <w:rsid w:val="00F0082D"/>
    <w:rsid w:val="00F00C2A"/>
    <w:rsid w:val="00F013B7"/>
    <w:rsid w:val="00F0140C"/>
    <w:rsid w:val="00F015AB"/>
    <w:rsid w:val="00F01E60"/>
    <w:rsid w:val="00F0331C"/>
    <w:rsid w:val="00F0363B"/>
    <w:rsid w:val="00F03657"/>
    <w:rsid w:val="00F0378E"/>
    <w:rsid w:val="00F045E0"/>
    <w:rsid w:val="00F07C90"/>
    <w:rsid w:val="00F101C1"/>
    <w:rsid w:val="00F10603"/>
    <w:rsid w:val="00F10F07"/>
    <w:rsid w:val="00F110AA"/>
    <w:rsid w:val="00F11287"/>
    <w:rsid w:val="00F1140F"/>
    <w:rsid w:val="00F12414"/>
    <w:rsid w:val="00F12B9D"/>
    <w:rsid w:val="00F12EFC"/>
    <w:rsid w:val="00F12F0D"/>
    <w:rsid w:val="00F144C2"/>
    <w:rsid w:val="00F14AE9"/>
    <w:rsid w:val="00F158B9"/>
    <w:rsid w:val="00F15F49"/>
    <w:rsid w:val="00F2033E"/>
    <w:rsid w:val="00F20C0F"/>
    <w:rsid w:val="00F20F8A"/>
    <w:rsid w:val="00F21637"/>
    <w:rsid w:val="00F223C0"/>
    <w:rsid w:val="00F2383E"/>
    <w:rsid w:val="00F23AAB"/>
    <w:rsid w:val="00F246D5"/>
    <w:rsid w:val="00F25EBD"/>
    <w:rsid w:val="00F265CB"/>
    <w:rsid w:val="00F27167"/>
    <w:rsid w:val="00F304A4"/>
    <w:rsid w:val="00F3158B"/>
    <w:rsid w:val="00F31A31"/>
    <w:rsid w:val="00F32248"/>
    <w:rsid w:val="00F3247F"/>
    <w:rsid w:val="00F331E7"/>
    <w:rsid w:val="00F332D3"/>
    <w:rsid w:val="00F337B9"/>
    <w:rsid w:val="00F33C61"/>
    <w:rsid w:val="00F33DB8"/>
    <w:rsid w:val="00F3448B"/>
    <w:rsid w:val="00F35E22"/>
    <w:rsid w:val="00F36497"/>
    <w:rsid w:val="00F36E82"/>
    <w:rsid w:val="00F373D3"/>
    <w:rsid w:val="00F377E7"/>
    <w:rsid w:val="00F37EC7"/>
    <w:rsid w:val="00F40381"/>
    <w:rsid w:val="00F41116"/>
    <w:rsid w:val="00F43A21"/>
    <w:rsid w:val="00F43D0C"/>
    <w:rsid w:val="00F44DD6"/>
    <w:rsid w:val="00F4536C"/>
    <w:rsid w:val="00F457F4"/>
    <w:rsid w:val="00F45CE1"/>
    <w:rsid w:val="00F45EB9"/>
    <w:rsid w:val="00F46330"/>
    <w:rsid w:val="00F46B27"/>
    <w:rsid w:val="00F47317"/>
    <w:rsid w:val="00F47331"/>
    <w:rsid w:val="00F47349"/>
    <w:rsid w:val="00F47F39"/>
    <w:rsid w:val="00F5028F"/>
    <w:rsid w:val="00F51D7F"/>
    <w:rsid w:val="00F521CB"/>
    <w:rsid w:val="00F5365A"/>
    <w:rsid w:val="00F5375B"/>
    <w:rsid w:val="00F54396"/>
    <w:rsid w:val="00F54CD3"/>
    <w:rsid w:val="00F560D1"/>
    <w:rsid w:val="00F565AF"/>
    <w:rsid w:val="00F576FE"/>
    <w:rsid w:val="00F57BED"/>
    <w:rsid w:val="00F60198"/>
    <w:rsid w:val="00F6022B"/>
    <w:rsid w:val="00F60BFF"/>
    <w:rsid w:val="00F60E2B"/>
    <w:rsid w:val="00F643A2"/>
    <w:rsid w:val="00F659A9"/>
    <w:rsid w:val="00F66318"/>
    <w:rsid w:val="00F669CD"/>
    <w:rsid w:val="00F66AA4"/>
    <w:rsid w:val="00F67573"/>
    <w:rsid w:val="00F67BB6"/>
    <w:rsid w:val="00F67C01"/>
    <w:rsid w:val="00F7022D"/>
    <w:rsid w:val="00F70829"/>
    <w:rsid w:val="00F71147"/>
    <w:rsid w:val="00F713AB"/>
    <w:rsid w:val="00F71AAA"/>
    <w:rsid w:val="00F71DDA"/>
    <w:rsid w:val="00F737DB"/>
    <w:rsid w:val="00F745A4"/>
    <w:rsid w:val="00F74D01"/>
    <w:rsid w:val="00F756E7"/>
    <w:rsid w:val="00F7613A"/>
    <w:rsid w:val="00F80052"/>
    <w:rsid w:val="00F80222"/>
    <w:rsid w:val="00F80762"/>
    <w:rsid w:val="00F80966"/>
    <w:rsid w:val="00F80EAE"/>
    <w:rsid w:val="00F81A9F"/>
    <w:rsid w:val="00F82477"/>
    <w:rsid w:val="00F82627"/>
    <w:rsid w:val="00F82746"/>
    <w:rsid w:val="00F830D5"/>
    <w:rsid w:val="00F836F9"/>
    <w:rsid w:val="00F83B69"/>
    <w:rsid w:val="00F845D7"/>
    <w:rsid w:val="00F84E81"/>
    <w:rsid w:val="00F85488"/>
    <w:rsid w:val="00F867B4"/>
    <w:rsid w:val="00F92279"/>
    <w:rsid w:val="00F93A8E"/>
    <w:rsid w:val="00F94574"/>
    <w:rsid w:val="00F946F8"/>
    <w:rsid w:val="00F94936"/>
    <w:rsid w:val="00F95227"/>
    <w:rsid w:val="00F95C8A"/>
    <w:rsid w:val="00F9719D"/>
    <w:rsid w:val="00F979CF"/>
    <w:rsid w:val="00F97A4A"/>
    <w:rsid w:val="00FA03C1"/>
    <w:rsid w:val="00FA104A"/>
    <w:rsid w:val="00FA26F9"/>
    <w:rsid w:val="00FA2C75"/>
    <w:rsid w:val="00FA33A2"/>
    <w:rsid w:val="00FA48FD"/>
    <w:rsid w:val="00FA5122"/>
    <w:rsid w:val="00FA51CA"/>
    <w:rsid w:val="00FA56DB"/>
    <w:rsid w:val="00FA5A61"/>
    <w:rsid w:val="00FA5B37"/>
    <w:rsid w:val="00FA62EA"/>
    <w:rsid w:val="00FA69BB"/>
    <w:rsid w:val="00FA6C1B"/>
    <w:rsid w:val="00FB0285"/>
    <w:rsid w:val="00FB258A"/>
    <w:rsid w:val="00FB25C5"/>
    <w:rsid w:val="00FB25D4"/>
    <w:rsid w:val="00FB4584"/>
    <w:rsid w:val="00FB4888"/>
    <w:rsid w:val="00FB4B82"/>
    <w:rsid w:val="00FB4D21"/>
    <w:rsid w:val="00FB75A7"/>
    <w:rsid w:val="00FB762B"/>
    <w:rsid w:val="00FB7947"/>
    <w:rsid w:val="00FB7BF3"/>
    <w:rsid w:val="00FC0EBB"/>
    <w:rsid w:val="00FC24CF"/>
    <w:rsid w:val="00FC3204"/>
    <w:rsid w:val="00FC3BCE"/>
    <w:rsid w:val="00FC405B"/>
    <w:rsid w:val="00FC4BAA"/>
    <w:rsid w:val="00FC5415"/>
    <w:rsid w:val="00FC56B2"/>
    <w:rsid w:val="00FC5BAE"/>
    <w:rsid w:val="00FC5D29"/>
    <w:rsid w:val="00FC64FA"/>
    <w:rsid w:val="00FC6ADA"/>
    <w:rsid w:val="00FC798F"/>
    <w:rsid w:val="00FD0D64"/>
    <w:rsid w:val="00FD2B5B"/>
    <w:rsid w:val="00FD3D7E"/>
    <w:rsid w:val="00FD4373"/>
    <w:rsid w:val="00FD437F"/>
    <w:rsid w:val="00FD50D3"/>
    <w:rsid w:val="00FD597D"/>
    <w:rsid w:val="00FD7C65"/>
    <w:rsid w:val="00FE0726"/>
    <w:rsid w:val="00FE0AF4"/>
    <w:rsid w:val="00FE2607"/>
    <w:rsid w:val="00FE27C5"/>
    <w:rsid w:val="00FE45DE"/>
    <w:rsid w:val="00FE5C43"/>
    <w:rsid w:val="00FE660D"/>
    <w:rsid w:val="00FE6862"/>
    <w:rsid w:val="00FE6E6B"/>
    <w:rsid w:val="00FE7488"/>
    <w:rsid w:val="00FF095C"/>
    <w:rsid w:val="00FF1824"/>
    <w:rsid w:val="00FF201C"/>
    <w:rsid w:val="00FF29D9"/>
    <w:rsid w:val="00FF4D5A"/>
    <w:rsid w:val="00FF4F6D"/>
    <w:rsid w:val="00FF5656"/>
    <w:rsid w:val="00FF6C24"/>
    <w:rsid w:val="00FF6F3F"/>
    <w:rsid w:val="00FF78D6"/>
    <w:rsid w:val="00FF7DF2"/>
    <w:rsid w:val="51122967"/>
    <w:rsid w:val="595818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E97C19"/>
    <w:pPr>
      <w:jc w:val="center"/>
    </w:pPr>
  </w:style>
  <w:style w:type="paragraph" w:customStyle="1" w:styleId="ChartorTableNote">
    <w:name w:val="Chart or Table Note"/>
    <w:next w:val="Normal"/>
    <w:qFormat/>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023B06"/>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23B06"/>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2"/>
    <w:qFormat/>
    <w:rsid w:val="00744484"/>
    <w:pPr>
      <w:spacing w:before="0" w:after="0"/>
      <w:ind w:left="397" w:hanging="397"/>
    </w:pPr>
    <w:rPr>
      <w:sz w:val="20"/>
    </w:rPr>
  </w:style>
  <w:style w:type="character" w:customStyle="1" w:styleId="FootnoteTextChar">
    <w:name w:val="Footnote Text Char"/>
    <w:basedOn w:val="DefaultParagraphFont"/>
    <w:link w:val="FootnoteText"/>
    <w:uiPriority w:val="2"/>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customStyle="1" w:styleId="Dotpoint">
    <w:name w:val="Dot point"/>
    <w:basedOn w:val="Bullet"/>
    <w:link w:val="DotpointChar"/>
    <w:qFormat/>
    <w:rsid w:val="0095519B"/>
    <w:pPr>
      <w:spacing w:after="240" w:line="240" w:lineRule="auto"/>
    </w:pPr>
  </w:style>
  <w:style w:type="character" w:customStyle="1" w:styleId="DotpointChar">
    <w:name w:val="Dot point Char"/>
    <w:basedOn w:val="DefaultParagraphFont"/>
    <w:link w:val="Dotpoint"/>
    <w:qFormat/>
    <w:locked/>
    <w:rsid w:val="00A73B2C"/>
    <w:rPr>
      <w:rFonts w:ascii="Calibri Light" w:eastAsia="Times New Roman" w:hAnsi="Calibri Light" w:cs="Times New Roman"/>
      <w:szCs w:val="20"/>
      <w:lang w:eastAsia="en-AU"/>
    </w:rPr>
  </w:style>
  <w:style w:type="paragraph" w:styleId="Quote">
    <w:name w:val="Quote"/>
    <w:basedOn w:val="Normal"/>
    <w:next w:val="Normal"/>
    <w:link w:val="QuoteChar"/>
    <w:uiPriority w:val="29"/>
    <w:qFormat/>
    <w:rsid w:val="00045FCD"/>
    <w:pPr>
      <w:spacing w:before="0" w:after="240"/>
      <w:ind w:left="1077" w:right="1077"/>
    </w:pPr>
    <w:rPr>
      <w:iCs/>
      <w:color w:val="404040" w:themeColor="text1" w:themeTint="BF"/>
    </w:rPr>
  </w:style>
  <w:style w:type="character" w:customStyle="1" w:styleId="QuoteChar">
    <w:name w:val="Quote Char"/>
    <w:basedOn w:val="DefaultParagraphFont"/>
    <w:link w:val="Quote"/>
    <w:uiPriority w:val="29"/>
    <w:rsid w:val="00045FCD"/>
    <w:rPr>
      <w:rFonts w:ascii="Calibri Light" w:eastAsia="Times New Roman" w:hAnsi="Calibri Light" w:cs="Times New Roman"/>
      <w:iCs/>
      <w:color w:val="404040" w:themeColor="text1" w:themeTint="BF"/>
      <w:szCs w:val="20"/>
      <w:lang w:eastAsia="en-AU"/>
    </w:rPr>
  </w:style>
  <w:style w:type="paragraph" w:styleId="Revision">
    <w:name w:val="Revision"/>
    <w:hidden/>
    <w:uiPriority w:val="99"/>
    <w:semiHidden/>
    <w:rsid w:val="00997DC4"/>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08304A"/>
    <w:rPr>
      <w:rFonts w:ascii="Calibri Light" w:hAnsi="Calibri Light"/>
      <w:b/>
      <w:bCs/>
    </w:rPr>
  </w:style>
  <w:style w:type="character" w:customStyle="1" w:styleId="CommentSubjectChar">
    <w:name w:val="Comment Subject Char"/>
    <w:basedOn w:val="CommentTextChar"/>
    <w:link w:val="CommentSubject"/>
    <w:uiPriority w:val="99"/>
    <w:semiHidden/>
    <w:rsid w:val="0008304A"/>
    <w:rPr>
      <w:rFonts w:ascii="Calibri Light" w:eastAsia="Times New Roman" w:hAnsi="Calibri Light" w:cs="Times New Roman"/>
      <w:b/>
      <w:bCs/>
      <w:sz w:val="20"/>
      <w:szCs w:val="20"/>
      <w:lang w:eastAsia="en-AU"/>
    </w:rPr>
  </w:style>
  <w:style w:type="table" w:styleId="GridTable1Light">
    <w:name w:val="Grid Table 1 Light"/>
    <w:basedOn w:val="TableNormal"/>
    <w:uiPriority w:val="46"/>
    <w:rsid w:val="004351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557E2"/>
    <w:rPr>
      <w:color w:val="605E5C"/>
      <w:shd w:val="clear" w:color="auto" w:fill="E1DFDD"/>
    </w:rPr>
  </w:style>
  <w:style w:type="character" w:styleId="Mention">
    <w:name w:val="Mention"/>
    <w:basedOn w:val="DefaultParagraphFont"/>
    <w:uiPriority w:val="99"/>
    <w:unhideWhenUsed/>
    <w:rsid w:val="00C217CD"/>
    <w:rPr>
      <w:color w:val="2B579A"/>
      <w:shd w:val="clear" w:color="auto" w:fill="E1DFDD"/>
    </w:rPr>
  </w:style>
  <w:style w:type="character" w:customStyle="1" w:styleId="cf01">
    <w:name w:val="cf01"/>
    <w:basedOn w:val="DefaultParagraphFont"/>
    <w:rsid w:val="009B629D"/>
    <w:rPr>
      <w:rFonts w:ascii="Segoe UI" w:hAnsi="Segoe UI" w:cs="Segoe UI" w:hint="default"/>
      <w:sz w:val="18"/>
      <w:szCs w:val="18"/>
    </w:rPr>
  </w:style>
  <w:style w:type="character" w:customStyle="1" w:styleId="normaltextrun">
    <w:name w:val="normaltextrun"/>
    <w:basedOn w:val="DefaultParagraphFont"/>
    <w:rsid w:val="0043050D"/>
  </w:style>
  <w:style w:type="character" w:customStyle="1" w:styleId="eop">
    <w:name w:val="eop"/>
    <w:basedOn w:val="DefaultParagraphFont"/>
    <w:rsid w:val="0043050D"/>
  </w:style>
  <w:style w:type="character" w:customStyle="1" w:styleId="findhit">
    <w:name w:val="findhit"/>
    <w:basedOn w:val="DefaultParagraphFont"/>
    <w:rsid w:val="0043050D"/>
  </w:style>
  <w:style w:type="character" w:styleId="FollowedHyperlink">
    <w:name w:val="FollowedHyperlink"/>
    <w:basedOn w:val="DefaultParagraphFont"/>
    <w:uiPriority w:val="99"/>
    <w:semiHidden/>
    <w:unhideWhenUsed/>
    <w:rsid w:val="001C2CA8"/>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treasury.gov.au/publication/p2015-cpr-final-report" TargetMode="External"/><Relationship Id="rId3" Type="http://schemas.openxmlformats.org/officeDocument/2006/relationships/hyperlink" Target="https://treasury.gov.au/publication/p2015-cpr-final-report" TargetMode="External"/><Relationship Id="rId7" Type="http://schemas.openxmlformats.org/officeDocument/2006/relationships/hyperlink" Target="https://webarchive.nla.gov.au/awa/20030417022726/http:/tpareview.treasury.gov.au/content/report.asp" TargetMode="External"/><Relationship Id="rId2" Type="http://schemas.openxmlformats.org/officeDocument/2006/relationships/hyperlink" Target="https://www.accc.gov.au/about-us/publications/report-of-the-accc-inquiry-into-the-competitiveness-of-retail-prices-for-standard-groceries" TargetMode="External"/><Relationship Id="rId1" Type="http://schemas.openxmlformats.org/officeDocument/2006/relationships/hyperlink" Target="https://webarchive.nla.gov.au/awa/20030417022726/http:/tpareview.treasury.gov.au/content/report.asp" TargetMode="External"/><Relationship Id="rId6" Type="http://schemas.openxmlformats.org/officeDocument/2006/relationships/hyperlink" Target="https://webarchive.nla.gov.au/awa/20030417022726/http:/tpareview.treasury.gov.au/content/report.asp" TargetMode="External"/><Relationship Id="rId11" Type="http://schemas.openxmlformats.org/officeDocument/2006/relationships/hyperlink" Target="https://treasury.gov.au/publication/p2015-cpr-final-report" TargetMode="External"/><Relationship Id="rId5" Type="http://schemas.openxmlformats.org/officeDocument/2006/relationships/hyperlink" Target="https://catalogue.nla.gov.au/catalog/602438" TargetMode="External"/><Relationship Id="rId10" Type="http://schemas.openxmlformats.org/officeDocument/2006/relationships/hyperlink" Target="https://treasury.gov.au/publication/p2015-cpr-final-report" TargetMode="External"/><Relationship Id="rId4" Type="http://schemas.openxmlformats.org/officeDocument/2006/relationships/hyperlink" Target="https://treasury.gov.au/publication/p2015-cpr-final-report" TargetMode="External"/><Relationship Id="rId9" Type="http://schemas.openxmlformats.org/officeDocument/2006/relationships/hyperlink" Target="https://treasury.gov.au/publication/p2015-cpr-final-repor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AE718-C22F-40B9-9E9C-AA3C7A4A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3204</Words>
  <Characters>18167</Characters>
  <Application>Microsoft Office Word</Application>
  <DocSecurity>2</DocSecurity>
  <Lines>465</Lines>
  <Paragraphs>237</Paragraphs>
  <ScaleCrop>false</ScaleCrop>
  <HeadingPairs>
    <vt:vector size="2" baseType="variant">
      <vt:variant>
        <vt:lpstr>Title</vt:lpstr>
      </vt:variant>
      <vt:variant>
        <vt:i4>1</vt:i4>
      </vt:variant>
    </vt:vector>
  </HeadingPairs>
  <TitlesOfParts>
    <vt:vector size="1" baseType="lpstr">
      <vt:lpstr>Merger Reform – consultation paper appendices</vt:lpstr>
    </vt:vector>
  </TitlesOfParts>
  <Company/>
  <LinksUpToDate>false</LinksUpToDate>
  <CharactersWithSpaces>21134</CharactersWithSpaces>
  <SharedDoc>false</SharedDoc>
  <HLinks>
    <vt:vector size="156" baseType="variant">
      <vt:variant>
        <vt:i4>1048624</vt:i4>
      </vt:variant>
      <vt:variant>
        <vt:i4>86</vt:i4>
      </vt:variant>
      <vt:variant>
        <vt:i4>0</vt:i4>
      </vt:variant>
      <vt:variant>
        <vt:i4>5</vt:i4>
      </vt:variant>
      <vt:variant>
        <vt:lpwstr/>
      </vt:variant>
      <vt:variant>
        <vt:lpwstr>_Toc150852487</vt:lpwstr>
      </vt:variant>
      <vt:variant>
        <vt:i4>1048624</vt:i4>
      </vt:variant>
      <vt:variant>
        <vt:i4>80</vt:i4>
      </vt:variant>
      <vt:variant>
        <vt:i4>0</vt:i4>
      </vt:variant>
      <vt:variant>
        <vt:i4>5</vt:i4>
      </vt:variant>
      <vt:variant>
        <vt:lpwstr/>
      </vt:variant>
      <vt:variant>
        <vt:lpwstr>_Toc150852486</vt:lpwstr>
      </vt:variant>
      <vt:variant>
        <vt:i4>1048624</vt:i4>
      </vt:variant>
      <vt:variant>
        <vt:i4>74</vt:i4>
      </vt:variant>
      <vt:variant>
        <vt:i4>0</vt:i4>
      </vt:variant>
      <vt:variant>
        <vt:i4>5</vt:i4>
      </vt:variant>
      <vt:variant>
        <vt:lpwstr/>
      </vt:variant>
      <vt:variant>
        <vt:lpwstr>_Toc150852485</vt:lpwstr>
      </vt:variant>
      <vt:variant>
        <vt:i4>1048624</vt:i4>
      </vt:variant>
      <vt:variant>
        <vt:i4>68</vt:i4>
      </vt:variant>
      <vt:variant>
        <vt:i4>0</vt:i4>
      </vt:variant>
      <vt:variant>
        <vt:i4>5</vt:i4>
      </vt:variant>
      <vt:variant>
        <vt:lpwstr/>
      </vt:variant>
      <vt:variant>
        <vt:lpwstr>_Toc150852484</vt:lpwstr>
      </vt:variant>
      <vt:variant>
        <vt:i4>1048624</vt:i4>
      </vt:variant>
      <vt:variant>
        <vt:i4>62</vt:i4>
      </vt:variant>
      <vt:variant>
        <vt:i4>0</vt:i4>
      </vt:variant>
      <vt:variant>
        <vt:i4>5</vt:i4>
      </vt:variant>
      <vt:variant>
        <vt:lpwstr/>
      </vt:variant>
      <vt:variant>
        <vt:lpwstr>_Toc150852483</vt:lpwstr>
      </vt:variant>
      <vt:variant>
        <vt:i4>1048624</vt:i4>
      </vt:variant>
      <vt:variant>
        <vt:i4>56</vt:i4>
      </vt:variant>
      <vt:variant>
        <vt:i4>0</vt:i4>
      </vt:variant>
      <vt:variant>
        <vt:i4>5</vt:i4>
      </vt:variant>
      <vt:variant>
        <vt:lpwstr/>
      </vt:variant>
      <vt:variant>
        <vt:lpwstr>_Toc150852482</vt:lpwstr>
      </vt:variant>
      <vt:variant>
        <vt:i4>1048624</vt:i4>
      </vt:variant>
      <vt:variant>
        <vt:i4>50</vt:i4>
      </vt:variant>
      <vt:variant>
        <vt:i4>0</vt:i4>
      </vt:variant>
      <vt:variant>
        <vt:i4>5</vt:i4>
      </vt:variant>
      <vt:variant>
        <vt:lpwstr/>
      </vt:variant>
      <vt:variant>
        <vt:lpwstr>_Toc150852481</vt:lpwstr>
      </vt:variant>
      <vt:variant>
        <vt:i4>1048624</vt:i4>
      </vt:variant>
      <vt:variant>
        <vt:i4>44</vt:i4>
      </vt:variant>
      <vt:variant>
        <vt:i4>0</vt:i4>
      </vt:variant>
      <vt:variant>
        <vt:i4>5</vt:i4>
      </vt:variant>
      <vt:variant>
        <vt:lpwstr/>
      </vt:variant>
      <vt:variant>
        <vt:lpwstr>_Toc150852480</vt:lpwstr>
      </vt:variant>
      <vt:variant>
        <vt:i4>2031664</vt:i4>
      </vt:variant>
      <vt:variant>
        <vt:i4>38</vt:i4>
      </vt:variant>
      <vt:variant>
        <vt:i4>0</vt:i4>
      </vt:variant>
      <vt:variant>
        <vt:i4>5</vt:i4>
      </vt:variant>
      <vt:variant>
        <vt:lpwstr/>
      </vt:variant>
      <vt:variant>
        <vt:lpwstr>_Toc150852479</vt:lpwstr>
      </vt:variant>
      <vt:variant>
        <vt:i4>2031664</vt:i4>
      </vt:variant>
      <vt:variant>
        <vt:i4>32</vt:i4>
      </vt:variant>
      <vt:variant>
        <vt:i4>0</vt:i4>
      </vt:variant>
      <vt:variant>
        <vt:i4>5</vt:i4>
      </vt:variant>
      <vt:variant>
        <vt:lpwstr/>
      </vt:variant>
      <vt:variant>
        <vt:lpwstr>_Toc150852478</vt:lpwstr>
      </vt:variant>
      <vt:variant>
        <vt:i4>2031664</vt:i4>
      </vt:variant>
      <vt:variant>
        <vt:i4>26</vt:i4>
      </vt:variant>
      <vt:variant>
        <vt:i4>0</vt:i4>
      </vt:variant>
      <vt:variant>
        <vt:i4>5</vt:i4>
      </vt:variant>
      <vt:variant>
        <vt:lpwstr/>
      </vt:variant>
      <vt:variant>
        <vt:lpwstr>_Toc150852477</vt:lpwstr>
      </vt:variant>
      <vt:variant>
        <vt:i4>2031664</vt:i4>
      </vt:variant>
      <vt:variant>
        <vt:i4>20</vt:i4>
      </vt:variant>
      <vt:variant>
        <vt:i4>0</vt:i4>
      </vt:variant>
      <vt:variant>
        <vt:i4>5</vt:i4>
      </vt:variant>
      <vt:variant>
        <vt:lpwstr/>
      </vt:variant>
      <vt:variant>
        <vt:lpwstr>_Toc150852476</vt:lpwstr>
      </vt:variant>
      <vt:variant>
        <vt:i4>2031664</vt:i4>
      </vt:variant>
      <vt:variant>
        <vt:i4>14</vt:i4>
      </vt:variant>
      <vt:variant>
        <vt:i4>0</vt:i4>
      </vt:variant>
      <vt:variant>
        <vt:i4>5</vt:i4>
      </vt:variant>
      <vt:variant>
        <vt:lpwstr/>
      </vt:variant>
      <vt:variant>
        <vt:lpwstr>_Toc150852475</vt:lpwstr>
      </vt:variant>
      <vt:variant>
        <vt:i4>2031664</vt:i4>
      </vt:variant>
      <vt:variant>
        <vt:i4>8</vt:i4>
      </vt:variant>
      <vt:variant>
        <vt:i4>0</vt:i4>
      </vt:variant>
      <vt:variant>
        <vt:i4>5</vt:i4>
      </vt:variant>
      <vt:variant>
        <vt:lpwstr/>
      </vt:variant>
      <vt:variant>
        <vt:lpwstr>_Toc150852474</vt:lpwstr>
      </vt:variant>
      <vt:variant>
        <vt:i4>2031664</vt:i4>
      </vt:variant>
      <vt:variant>
        <vt:i4>2</vt:i4>
      </vt:variant>
      <vt:variant>
        <vt:i4>0</vt:i4>
      </vt:variant>
      <vt:variant>
        <vt:i4>5</vt:i4>
      </vt:variant>
      <vt:variant>
        <vt:lpwstr/>
      </vt:variant>
      <vt:variant>
        <vt:lpwstr>_Toc150852473</vt:lpwstr>
      </vt:variant>
      <vt:variant>
        <vt:i4>3604519</vt:i4>
      </vt:variant>
      <vt:variant>
        <vt:i4>30</vt:i4>
      </vt:variant>
      <vt:variant>
        <vt:i4>0</vt:i4>
      </vt:variant>
      <vt:variant>
        <vt:i4>5</vt:i4>
      </vt:variant>
      <vt:variant>
        <vt:lpwstr>https://treasury.gov.au/publication/p2015-cpr-final-report</vt:lpwstr>
      </vt:variant>
      <vt:variant>
        <vt:lpwstr/>
      </vt:variant>
      <vt:variant>
        <vt:i4>3604519</vt:i4>
      </vt:variant>
      <vt:variant>
        <vt:i4>27</vt:i4>
      </vt:variant>
      <vt:variant>
        <vt:i4>0</vt:i4>
      </vt:variant>
      <vt:variant>
        <vt:i4>5</vt:i4>
      </vt:variant>
      <vt:variant>
        <vt:lpwstr>https://treasury.gov.au/publication/p2015-cpr-final-report</vt:lpwstr>
      </vt:variant>
      <vt:variant>
        <vt:lpwstr/>
      </vt:variant>
      <vt:variant>
        <vt:i4>3604519</vt:i4>
      </vt:variant>
      <vt:variant>
        <vt:i4>24</vt:i4>
      </vt:variant>
      <vt:variant>
        <vt:i4>0</vt:i4>
      </vt:variant>
      <vt:variant>
        <vt:i4>5</vt:i4>
      </vt:variant>
      <vt:variant>
        <vt:lpwstr>https://treasury.gov.au/publication/p2015-cpr-final-report</vt:lpwstr>
      </vt:variant>
      <vt:variant>
        <vt:lpwstr/>
      </vt:variant>
      <vt:variant>
        <vt:i4>3604519</vt:i4>
      </vt:variant>
      <vt:variant>
        <vt:i4>21</vt:i4>
      </vt:variant>
      <vt:variant>
        <vt:i4>0</vt:i4>
      </vt:variant>
      <vt:variant>
        <vt:i4>5</vt:i4>
      </vt:variant>
      <vt:variant>
        <vt:lpwstr>https://treasury.gov.au/publication/p2015-cpr-final-report</vt:lpwstr>
      </vt:variant>
      <vt:variant>
        <vt:lpwstr/>
      </vt:variant>
      <vt:variant>
        <vt:i4>3276908</vt:i4>
      </vt:variant>
      <vt:variant>
        <vt:i4>18</vt:i4>
      </vt:variant>
      <vt:variant>
        <vt:i4>0</vt:i4>
      </vt:variant>
      <vt:variant>
        <vt:i4>5</vt:i4>
      </vt:variant>
      <vt:variant>
        <vt:lpwstr>https://webarchive.nla.gov.au/awa/20030417022726/http:/tpareview.treasury.gov.au/content/report.asp</vt:lpwstr>
      </vt:variant>
      <vt:variant>
        <vt:lpwstr/>
      </vt:variant>
      <vt:variant>
        <vt:i4>3276908</vt:i4>
      </vt:variant>
      <vt:variant>
        <vt:i4>15</vt:i4>
      </vt:variant>
      <vt:variant>
        <vt:i4>0</vt:i4>
      </vt:variant>
      <vt:variant>
        <vt:i4>5</vt:i4>
      </vt:variant>
      <vt:variant>
        <vt:lpwstr>https://webarchive.nla.gov.au/awa/20030417022726/http:/tpareview.treasury.gov.au/content/report.asp</vt:lpwstr>
      </vt:variant>
      <vt:variant>
        <vt:lpwstr/>
      </vt:variant>
      <vt:variant>
        <vt:i4>7864365</vt:i4>
      </vt:variant>
      <vt:variant>
        <vt:i4>12</vt:i4>
      </vt:variant>
      <vt:variant>
        <vt:i4>0</vt:i4>
      </vt:variant>
      <vt:variant>
        <vt:i4>5</vt:i4>
      </vt:variant>
      <vt:variant>
        <vt:lpwstr>https://catalogue.nla.gov.au/catalog/602438</vt:lpwstr>
      </vt:variant>
      <vt:variant>
        <vt:lpwstr/>
      </vt:variant>
      <vt:variant>
        <vt:i4>3604519</vt:i4>
      </vt:variant>
      <vt:variant>
        <vt:i4>9</vt:i4>
      </vt:variant>
      <vt:variant>
        <vt:i4>0</vt:i4>
      </vt:variant>
      <vt:variant>
        <vt:i4>5</vt:i4>
      </vt:variant>
      <vt:variant>
        <vt:lpwstr>https://treasury.gov.au/publication/p2015-cpr-final-report</vt:lpwstr>
      </vt:variant>
      <vt:variant>
        <vt:lpwstr/>
      </vt:variant>
      <vt:variant>
        <vt:i4>3604519</vt:i4>
      </vt:variant>
      <vt:variant>
        <vt:i4>6</vt:i4>
      </vt:variant>
      <vt:variant>
        <vt:i4>0</vt:i4>
      </vt:variant>
      <vt:variant>
        <vt:i4>5</vt:i4>
      </vt:variant>
      <vt:variant>
        <vt:lpwstr>https://treasury.gov.au/publication/p2015-cpr-final-report</vt:lpwstr>
      </vt:variant>
      <vt:variant>
        <vt:lpwstr/>
      </vt:variant>
      <vt:variant>
        <vt:i4>4980737</vt:i4>
      </vt:variant>
      <vt:variant>
        <vt:i4>3</vt:i4>
      </vt:variant>
      <vt:variant>
        <vt:i4>0</vt:i4>
      </vt:variant>
      <vt:variant>
        <vt:i4>5</vt:i4>
      </vt:variant>
      <vt:variant>
        <vt:lpwstr>https://www.accc.gov.au/about-us/publications/report-of-the-accc-inquiry-into-the-competitiveness-of-retail-prices-for-standard-groceries</vt:lpwstr>
      </vt:variant>
      <vt:variant>
        <vt:lpwstr/>
      </vt:variant>
      <vt:variant>
        <vt:i4>3276908</vt:i4>
      </vt:variant>
      <vt:variant>
        <vt:i4>0</vt:i4>
      </vt:variant>
      <vt:variant>
        <vt:i4>0</vt:i4>
      </vt:variant>
      <vt:variant>
        <vt:i4>5</vt:i4>
      </vt:variant>
      <vt:variant>
        <vt:lpwstr>https://webarchive.nla.gov.au/awa/20030417022726/http:/tpareview.treasury.gov.au/content/report.asp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Merger Reform – consultation paper appendices</dc:title>
  <dc:subject>Competition Review</dc:subject>
  <dc:creator/>
  <cp:keywords/>
  <cp:lastModifiedBy/>
  <cp:revision>1</cp:revision>
  <dcterms:created xsi:type="dcterms:W3CDTF">2023-11-17T01:37:00Z</dcterms:created>
  <dcterms:modified xsi:type="dcterms:W3CDTF">2023-11-17T01:41:00Z</dcterms:modified>
</cp:coreProperties>
</file>