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7A72"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p>
    <w:p w14:paraId="00485E54" w14:textId="77777777" w:rsidR="00E24AA1" w:rsidRDefault="00E24AA1" w:rsidP="00E24AA1">
      <w:pPr>
        <w:pStyle w:val="Baseparagraphcentred"/>
      </w:pPr>
    </w:p>
    <w:p w14:paraId="73577A2E" w14:textId="77777777" w:rsidR="00E24AA1" w:rsidRDefault="00E24AA1" w:rsidP="00E24AA1">
      <w:pPr>
        <w:pStyle w:val="Baseparagraphcentred"/>
      </w:pPr>
      <w:r>
        <w:t>THE PARLIAMENT OF THE COMMONWEALTH OF AUSTRALIA</w:t>
      </w:r>
    </w:p>
    <w:p w14:paraId="7DF7235B" w14:textId="77777777" w:rsidR="00E24AA1" w:rsidRDefault="00E24AA1" w:rsidP="00E24AA1">
      <w:pPr>
        <w:pStyle w:val="Baseparagraphcentred"/>
      </w:pPr>
    </w:p>
    <w:p w14:paraId="0D1450D3" w14:textId="77777777" w:rsidR="00E24AA1" w:rsidRDefault="00E24AA1" w:rsidP="00E24AA1">
      <w:pPr>
        <w:pStyle w:val="Baseparagraphcentred"/>
      </w:pPr>
    </w:p>
    <w:p w14:paraId="5F6D5E61" w14:textId="77777777" w:rsidR="00E24AA1" w:rsidRDefault="00E24AA1" w:rsidP="00E24AA1">
      <w:pPr>
        <w:pStyle w:val="Baseparagraphcentred"/>
      </w:pPr>
    </w:p>
    <w:sdt>
      <w:sdtPr>
        <w:id w:val="803427954"/>
        <w:placeholder>
          <w:docPart w:val="A9D80EE2281243E9BA16BE900719C30E"/>
        </w:placeholder>
        <w:temporary/>
        <w:showingPlcHdr/>
        <w:comboBox>
          <w:listItem w:value="Choose an item."/>
          <w:listItem w:displayText="HOUSE OF REPRESENTATIVES" w:value="HOUSE OF REPRESENTATIVES"/>
          <w:listItem w:displayText="SENATE" w:value="SENATE"/>
          <w:listItem w:displayText="EXPOSURE DRAFT EXPLANATORY MATERIALS" w:value="EXPOSURE DRAFT EXPLANATORY MATERIALS"/>
        </w:comboBox>
      </w:sdtPr>
      <w:sdtEndPr/>
      <w:sdtContent>
        <w:p w14:paraId="2C678448" w14:textId="77777777" w:rsidR="00A00B1D" w:rsidRDefault="00A00B1D" w:rsidP="00A00B1D">
          <w:pPr>
            <w:pStyle w:val="Baseparagraphcentred"/>
          </w:pPr>
          <w:r w:rsidRPr="002F5302">
            <w:rPr>
              <w:rStyle w:val="PlaceholderText"/>
            </w:rPr>
            <w:t>[HOUSE OF REPRESEN</w:t>
          </w:r>
          <w:r>
            <w:rPr>
              <w:rStyle w:val="PlaceholderText"/>
            </w:rPr>
            <w:t>T</w:t>
          </w:r>
          <w:r w:rsidRPr="002F5302">
            <w:rPr>
              <w:rStyle w:val="PlaceholderText"/>
            </w:rPr>
            <w:t>ATIVES/SENATE]</w:t>
          </w:r>
        </w:p>
      </w:sdtContent>
    </w:sdt>
    <w:p w14:paraId="56074740" w14:textId="77777777" w:rsidR="00E24AA1" w:rsidRDefault="00E24AA1" w:rsidP="00E24AA1">
      <w:pPr>
        <w:pStyle w:val="Baseparagraphcentred"/>
      </w:pPr>
    </w:p>
    <w:p w14:paraId="7045441B" w14:textId="77777777" w:rsidR="00E24AA1" w:rsidRDefault="00E24AA1" w:rsidP="00E24AA1">
      <w:pPr>
        <w:pStyle w:val="Baseparagraphcentred"/>
      </w:pPr>
    </w:p>
    <w:p w14:paraId="2C52B932" w14:textId="77777777" w:rsidR="00E24AA1" w:rsidRDefault="00E24AA1" w:rsidP="00E24AA1">
      <w:pPr>
        <w:pStyle w:val="Baseparagraphcentred"/>
        <w:pBdr>
          <w:bottom w:val="single" w:sz="4" w:space="1" w:color="auto"/>
        </w:pBdr>
      </w:pPr>
    </w:p>
    <w:bookmarkStart w:id="6" w:name="BillName"/>
    <w:bookmarkEnd w:id="6"/>
    <w:p w14:paraId="7C977087" w14:textId="34EE6C0C" w:rsidR="00E24AA1" w:rsidRPr="00E24AA1" w:rsidRDefault="002A52FA" w:rsidP="00E24AA1">
      <w:pPr>
        <w:pStyle w:val="BillName"/>
      </w:pPr>
      <w:r>
        <w:fldChar w:fldCharType="begin">
          <w:ffData>
            <w:name w:val=""/>
            <w:enabled/>
            <w:calcOnExit w:val="0"/>
            <w:textInput>
              <w:default w:val="Treasury Laws Amendment (Measures for Consultation) Bill 2023: ACNC Review Rec 17 – Secrecy Provisions"/>
            </w:textInput>
          </w:ffData>
        </w:fldChar>
      </w:r>
      <w:r>
        <w:instrText xml:space="preserve"> FORMTEXT </w:instrText>
      </w:r>
      <w:r>
        <w:fldChar w:fldCharType="separate"/>
      </w:r>
      <w:r w:rsidR="004E3874">
        <w:rPr>
          <w:noProof/>
        </w:rPr>
        <w:t>Treasury Laws Amendment (Measures for Consultation) Bill 2023: ACNC Review Rec 17 – Secrecy Provisions</w:t>
      </w:r>
      <w:r>
        <w:fldChar w:fldCharType="end"/>
      </w:r>
    </w:p>
    <w:p w14:paraId="58C4E22E" w14:textId="77777777" w:rsidR="00E24AA1" w:rsidRDefault="00E24AA1" w:rsidP="00E24AA1">
      <w:pPr>
        <w:pStyle w:val="Baseparagraphcentred"/>
        <w:pBdr>
          <w:top w:val="single" w:sz="4" w:space="1" w:color="auto"/>
        </w:pBdr>
      </w:pPr>
    </w:p>
    <w:p w14:paraId="1425D15C" w14:textId="77777777" w:rsidR="00E24AA1" w:rsidRDefault="00E24AA1" w:rsidP="00E24AA1">
      <w:pPr>
        <w:pStyle w:val="Baseparagraphcentred"/>
      </w:pPr>
    </w:p>
    <w:p w14:paraId="09DD7750" w14:textId="77777777" w:rsidR="00E24AA1" w:rsidRDefault="00E24AA1" w:rsidP="00E24AA1">
      <w:pPr>
        <w:pStyle w:val="Baseparagraphcentred"/>
      </w:pPr>
    </w:p>
    <w:p w14:paraId="1036F715" w14:textId="77777777" w:rsidR="00E24AA1" w:rsidRDefault="00E24AA1" w:rsidP="00E24AA1">
      <w:pPr>
        <w:pStyle w:val="Baseparagraphcentred"/>
      </w:pPr>
    </w:p>
    <w:p w14:paraId="489A60CC" w14:textId="77777777" w:rsidR="004E3874" w:rsidRDefault="004E3874" w:rsidP="00E24AA1">
      <w:pPr>
        <w:pStyle w:val="Baseparagraphcentred"/>
      </w:pPr>
      <w:r>
        <w:t>EXPOSURE DRAFT EXPLANATORY MATERIALS</w:t>
      </w:r>
    </w:p>
    <w:p w14:paraId="612A1163" w14:textId="4F1DE300" w:rsidR="00E24AA1" w:rsidRDefault="00E24AA1" w:rsidP="00E24AA1">
      <w:pPr>
        <w:pStyle w:val="Baseparagraphcentred"/>
      </w:pPr>
    </w:p>
    <w:p w14:paraId="25E9E486" w14:textId="77777777" w:rsidR="00E24AA1" w:rsidRDefault="00E24AA1" w:rsidP="00E24AA1">
      <w:pPr>
        <w:pStyle w:val="Baseparagraphcentred"/>
      </w:pPr>
    </w:p>
    <w:p w14:paraId="18F0AF31" w14:textId="77777777" w:rsidR="00E24AA1" w:rsidRDefault="00E24AA1" w:rsidP="00E24AA1">
      <w:pPr>
        <w:pStyle w:val="ParaCentredNoSpacing"/>
      </w:pPr>
    </w:p>
    <w:p w14:paraId="647D9B5A" w14:textId="77777777" w:rsidR="00E24AA1" w:rsidRPr="00967273" w:rsidRDefault="00E24AA1" w:rsidP="00E24AA1">
      <w:pPr>
        <w:pStyle w:val="Normalparatextnonumbers"/>
        <w:jc w:val="center"/>
        <w:rPr>
          <w:rFonts w:cs="Calibri"/>
          <w:color w:val="000000" w:themeColor="text1"/>
        </w:rPr>
      </w:pPr>
    </w:p>
    <w:p w14:paraId="278F1BE3" w14:textId="77777777" w:rsidR="008A3B5F" w:rsidRPr="00020288" w:rsidRDefault="008A3B5F" w:rsidP="008A3B5F">
      <w:pPr>
        <w:pStyle w:val="Normalparatextnonumbers"/>
      </w:pPr>
    </w:p>
    <w:p w14:paraId="2DCE5B1F" w14:textId="77777777" w:rsidR="004E3874" w:rsidRPr="0090171F" w:rsidRDefault="004E3874" w:rsidP="0090171F">
      <w:pPr>
        <w:pStyle w:val="Normalparatextnonumbers"/>
      </w:pPr>
      <w:bookmarkStart w:id="7" w:name="ConsultPreamble"/>
      <w:bookmarkEnd w:id="7"/>
      <w:r w:rsidRPr="0090171F">
        <w:br w:type="page"/>
      </w:r>
    </w:p>
    <w:p w14:paraId="608A7E24" w14:textId="77777777" w:rsidR="004E3874" w:rsidRPr="0090171F" w:rsidRDefault="004E3874" w:rsidP="004E3874">
      <w:pPr>
        <w:pStyle w:val="Normalparatextnonumbers"/>
        <w:numPr>
          <w:ilvl w:val="4"/>
          <w:numId w:val="2"/>
        </w:numPr>
        <w:rPr>
          <w:b/>
        </w:rPr>
      </w:pPr>
      <w:r w:rsidRPr="0090171F">
        <w:rPr>
          <w:b/>
        </w:rPr>
        <w:lastRenderedPageBreak/>
        <w:t>Consultation preamble</w:t>
      </w:r>
    </w:p>
    <w:p w14:paraId="3C1608AA" w14:textId="77777777" w:rsidR="004E3874" w:rsidRPr="0090171F" w:rsidRDefault="004E3874"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34573694" w14:textId="77777777" w:rsidR="004E3874" w:rsidRPr="0090171F" w:rsidRDefault="004E3874" w:rsidP="0090171F">
      <w:pPr>
        <w:pStyle w:val="Normalparatextnonumbers"/>
      </w:pPr>
      <w:r w:rsidRPr="0090171F">
        <w:t>•</w:t>
      </w:r>
      <w:r w:rsidRPr="0090171F">
        <w:tab/>
        <w:t xml:space="preserve">how the new law is intended to </w:t>
      </w:r>
      <w:proofErr w:type="gramStart"/>
      <w:r w:rsidRPr="0090171F">
        <w:t>operate;</w:t>
      </w:r>
      <w:proofErr w:type="gramEnd"/>
    </w:p>
    <w:p w14:paraId="10D596EC" w14:textId="77777777" w:rsidR="004E3874" w:rsidRPr="0090171F" w:rsidRDefault="004E3874"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6D0B9653" w14:textId="77777777" w:rsidR="004E3874" w:rsidRPr="0090171F" w:rsidRDefault="004E3874" w:rsidP="0090171F">
      <w:pPr>
        <w:pStyle w:val="Normalparatextnonumbers"/>
        <w:ind w:left="709" w:hanging="709"/>
      </w:pPr>
      <w:r w:rsidRPr="0090171F">
        <w:t>•</w:t>
      </w:r>
      <w:r w:rsidRPr="0090171F">
        <w:tab/>
        <w:t>the use of relevant examples, illustrations or diagrams as explanatory aids;</w:t>
      </w:r>
      <w:r w:rsidRPr="0090171F">
        <w:br/>
        <w:t>and</w:t>
      </w:r>
    </w:p>
    <w:p w14:paraId="7092F000" w14:textId="77777777" w:rsidR="004E3874" w:rsidRPr="0090171F" w:rsidRDefault="004E3874" w:rsidP="0090171F">
      <w:pPr>
        <w:pStyle w:val="Normalparatextnonumbers"/>
        <w:ind w:left="709" w:hanging="709"/>
      </w:pPr>
      <w:r w:rsidRPr="0090171F">
        <w:t>•</w:t>
      </w:r>
      <w:r w:rsidRPr="0090171F">
        <w:tab/>
        <w:t>any other matters affecting the readability or presentation of the explanatory material.</w:t>
      </w:r>
    </w:p>
    <w:p w14:paraId="47704846" w14:textId="070483F2" w:rsidR="00924E28" w:rsidRPr="00020288" w:rsidRDefault="004E3874" w:rsidP="00873094">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39916F62" w14:textId="77777777" w:rsidR="00873094" w:rsidRPr="00020288" w:rsidRDefault="00873094" w:rsidP="00873094">
      <w:pPr>
        <w:pStyle w:val="TOC1"/>
        <w:sectPr w:rsidR="00873094" w:rsidRPr="00020288" w:rsidSect="00000BFC">
          <w:footerReference w:type="even" r:id="rId12"/>
          <w:footerReference w:type="default" r:id="rId13"/>
          <w:headerReference w:type="first" r:id="rId14"/>
          <w:footerReference w:type="first" r:id="rId15"/>
          <w:type w:val="oddPage"/>
          <w:pgSz w:w="9979" w:h="14175" w:code="138"/>
          <w:pgMar w:top="567" w:right="1134" w:bottom="567" w:left="1134" w:header="709" w:footer="709" w:gutter="0"/>
          <w:cols w:space="708"/>
          <w:titlePg/>
          <w:docGrid w:linePitch="360"/>
        </w:sectPr>
      </w:pPr>
    </w:p>
    <w:p w14:paraId="1B6AE728"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36A07B7C" w14:textId="71B593C2" w:rsidR="005B412C" w:rsidRDefault="00873094" w:rsidP="005B412C">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5B412C">
        <w:rPr>
          <w:noProof/>
        </w:rPr>
        <w:t>Glossary</w:t>
      </w:r>
      <w:r w:rsidR="005B412C">
        <w:rPr>
          <w:noProof/>
        </w:rPr>
        <w:tab/>
      </w:r>
      <w:r w:rsidR="005B412C">
        <w:rPr>
          <w:noProof/>
        </w:rPr>
        <w:fldChar w:fldCharType="begin"/>
      </w:r>
      <w:r w:rsidR="005B412C">
        <w:rPr>
          <w:noProof/>
        </w:rPr>
        <w:instrText xml:space="preserve"> PAGEREF _Toc146548019 \h </w:instrText>
      </w:r>
      <w:r w:rsidR="005B412C">
        <w:rPr>
          <w:noProof/>
        </w:rPr>
      </w:r>
      <w:r w:rsidR="005B412C">
        <w:rPr>
          <w:noProof/>
        </w:rPr>
        <w:fldChar w:fldCharType="separate"/>
      </w:r>
      <w:r w:rsidR="005B412C">
        <w:rPr>
          <w:noProof/>
        </w:rPr>
        <w:t>iii</w:t>
      </w:r>
      <w:r w:rsidR="005B412C">
        <w:rPr>
          <w:noProof/>
        </w:rPr>
        <w:fldChar w:fldCharType="end"/>
      </w:r>
    </w:p>
    <w:p w14:paraId="45AE2813" w14:textId="539DF998" w:rsidR="005B412C" w:rsidRDefault="005B412C">
      <w:pPr>
        <w:pStyle w:val="TOC1"/>
        <w:rPr>
          <w:rFonts w:asciiTheme="minorHAnsi" w:eastAsiaTheme="minorEastAsia" w:hAnsiTheme="minorHAnsi" w:cstheme="minorBidi"/>
          <w:bCs w:val="0"/>
          <w:noProof/>
          <w:sz w:val="22"/>
          <w:szCs w:val="22"/>
          <w:lang w:eastAsia="en-AU"/>
        </w:rPr>
      </w:pPr>
      <w:r>
        <w:rPr>
          <w:noProof/>
        </w:rPr>
        <w:t>ACNC Review Rec 17 – Secrecy Provisions</w:t>
      </w:r>
      <w:r>
        <w:rPr>
          <w:noProof/>
        </w:rPr>
        <w:tab/>
      </w:r>
      <w:r>
        <w:rPr>
          <w:noProof/>
        </w:rPr>
        <w:fldChar w:fldCharType="begin"/>
      </w:r>
      <w:r>
        <w:rPr>
          <w:noProof/>
        </w:rPr>
        <w:instrText xml:space="preserve"> PAGEREF _Toc146548020 \h </w:instrText>
      </w:r>
      <w:r>
        <w:rPr>
          <w:noProof/>
        </w:rPr>
      </w:r>
      <w:r>
        <w:rPr>
          <w:noProof/>
        </w:rPr>
        <w:fldChar w:fldCharType="separate"/>
      </w:r>
      <w:r>
        <w:rPr>
          <w:noProof/>
        </w:rPr>
        <w:t>5</w:t>
      </w:r>
      <w:r>
        <w:rPr>
          <w:noProof/>
        </w:rPr>
        <w:fldChar w:fldCharType="end"/>
      </w:r>
    </w:p>
    <w:p w14:paraId="7FAAB55D" w14:textId="59A3A2D9" w:rsidR="00873094" w:rsidRPr="00020288" w:rsidRDefault="00873094" w:rsidP="00BC2E4A">
      <w:pPr>
        <w:pStyle w:val="TOC1"/>
      </w:pPr>
      <w:r w:rsidRPr="00BC2E4A">
        <w:fldChar w:fldCharType="end"/>
      </w:r>
    </w:p>
    <w:p w14:paraId="2132DABD" w14:textId="77777777" w:rsidR="00873094" w:rsidRPr="00020288" w:rsidRDefault="00873094" w:rsidP="00873094"/>
    <w:p w14:paraId="36FE5210" w14:textId="77777777" w:rsidR="00873094" w:rsidRPr="00020288" w:rsidRDefault="00873094" w:rsidP="00873094">
      <w:pPr>
        <w:sectPr w:rsidR="00873094" w:rsidRPr="00020288" w:rsidSect="00000BFC">
          <w:headerReference w:type="even" r:id="rId16"/>
          <w:headerReference w:type="default" r:id="rId17"/>
          <w:headerReference w:type="first" r:id="rId18"/>
          <w:footerReference w:type="first" r:id="rId19"/>
          <w:type w:val="oddPage"/>
          <w:pgSz w:w="9979" w:h="14175" w:code="9"/>
          <w:pgMar w:top="567" w:right="1134" w:bottom="567" w:left="1134" w:header="709" w:footer="709" w:gutter="0"/>
          <w:pgNumType w:start="1"/>
          <w:cols w:space="708"/>
          <w:titlePg/>
          <w:docGrid w:linePitch="360"/>
        </w:sectPr>
      </w:pPr>
    </w:p>
    <w:p w14:paraId="559EFBA4" w14:textId="77777777" w:rsidR="00873094" w:rsidRPr="00020288"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146548019"/>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4F289586"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5CF00F09" w14:textId="77777777" w:rsidTr="002425D9">
        <w:tc>
          <w:tcPr>
            <w:tcW w:w="3776" w:type="dxa"/>
            <w:shd w:val="clear" w:color="auto" w:fill="auto"/>
          </w:tcPr>
          <w:p w14:paraId="62FD1270"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21B94DF2" w14:textId="77777777" w:rsidR="00873094" w:rsidRPr="002E7A73" w:rsidRDefault="00873094" w:rsidP="00B7393A">
            <w:pPr>
              <w:pStyle w:val="Tableheaderrowtext"/>
            </w:pPr>
            <w:r w:rsidRPr="002E7A73">
              <w:t>Definition</w:t>
            </w:r>
          </w:p>
        </w:tc>
      </w:tr>
      <w:tr w:rsidR="00873094" w:rsidRPr="00020288" w14:paraId="3203307D" w14:textId="77777777" w:rsidTr="002425D9">
        <w:tc>
          <w:tcPr>
            <w:tcW w:w="3776" w:type="dxa"/>
          </w:tcPr>
          <w:p w14:paraId="007DA91C" w14:textId="72B9CFE2" w:rsidR="00873094" w:rsidRPr="00020288" w:rsidRDefault="004F276D" w:rsidP="002425D9">
            <w:pPr>
              <w:pStyle w:val="Normalparatextnonumbers"/>
            </w:pPr>
            <w:r>
              <w:t>ACNC Act</w:t>
            </w:r>
          </w:p>
        </w:tc>
        <w:tc>
          <w:tcPr>
            <w:tcW w:w="3874" w:type="dxa"/>
          </w:tcPr>
          <w:p w14:paraId="6FCD4CAB" w14:textId="7AF075FC" w:rsidR="00873094" w:rsidRPr="000C212A" w:rsidRDefault="000C212A" w:rsidP="002425D9">
            <w:pPr>
              <w:pStyle w:val="Normalparatextnonumbers"/>
              <w:rPr>
                <w:i/>
                <w:iCs/>
              </w:rPr>
            </w:pPr>
            <w:r w:rsidRPr="000C212A">
              <w:rPr>
                <w:i/>
                <w:iCs/>
              </w:rPr>
              <w:t>Australian Charities and Not</w:t>
            </w:r>
            <w:r>
              <w:rPr>
                <w:i/>
                <w:iCs/>
              </w:rPr>
              <w:t>-</w:t>
            </w:r>
            <w:r w:rsidRPr="000C212A">
              <w:rPr>
                <w:i/>
                <w:iCs/>
              </w:rPr>
              <w:t>for</w:t>
            </w:r>
            <w:r w:rsidR="004F276D">
              <w:rPr>
                <w:i/>
                <w:iCs/>
              </w:rPr>
              <w:t>-</w:t>
            </w:r>
            <w:r w:rsidRPr="000C212A">
              <w:rPr>
                <w:i/>
                <w:iCs/>
              </w:rPr>
              <w:t>profits Commission Act 2012</w:t>
            </w:r>
          </w:p>
        </w:tc>
      </w:tr>
      <w:tr w:rsidR="00873094" w:rsidRPr="00020288" w14:paraId="2F4FDE3D" w14:textId="77777777" w:rsidTr="002425D9">
        <w:tc>
          <w:tcPr>
            <w:tcW w:w="3776" w:type="dxa"/>
          </w:tcPr>
          <w:p w14:paraId="3F67EDDF" w14:textId="7871878F" w:rsidR="00873094" w:rsidRPr="00020288" w:rsidRDefault="00F95F79" w:rsidP="002425D9">
            <w:pPr>
              <w:pStyle w:val="Normalparatextnonumbers"/>
            </w:pPr>
            <w:r>
              <w:t>ACNC</w:t>
            </w:r>
          </w:p>
        </w:tc>
        <w:tc>
          <w:tcPr>
            <w:tcW w:w="3874" w:type="dxa"/>
          </w:tcPr>
          <w:p w14:paraId="111D6246" w14:textId="15A6E901" w:rsidR="00873094" w:rsidRPr="00020288" w:rsidRDefault="00F95F79" w:rsidP="002425D9">
            <w:pPr>
              <w:pStyle w:val="Normalparatextnonumbers"/>
            </w:pPr>
            <w:r w:rsidRPr="00F95F79">
              <w:t>Australian Charities and Not-for-profits Commission</w:t>
            </w:r>
          </w:p>
        </w:tc>
      </w:tr>
      <w:tr w:rsidR="00873094" w:rsidRPr="00020288" w14:paraId="09624673" w14:textId="77777777" w:rsidTr="002425D9">
        <w:tc>
          <w:tcPr>
            <w:tcW w:w="3776" w:type="dxa"/>
          </w:tcPr>
          <w:p w14:paraId="260D9697" w14:textId="75AAF2D8" w:rsidR="00873094" w:rsidRPr="00020288" w:rsidRDefault="004B6638" w:rsidP="002425D9">
            <w:pPr>
              <w:pStyle w:val="Normalparatextnonumbers"/>
            </w:pPr>
            <w:r>
              <w:t>Privacy Act</w:t>
            </w:r>
          </w:p>
        </w:tc>
        <w:tc>
          <w:tcPr>
            <w:tcW w:w="3874" w:type="dxa"/>
          </w:tcPr>
          <w:p w14:paraId="7256DCD2" w14:textId="41817ED9" w:rsidR="00873094" w:rsidRPr="004B6638" w:rsidRDefault="004B6638" w:rsidP="002425D9">
            <w:pPr>
              <w:pStyle w:val="Normalparatextnonumbers"/>
              <w:rPr>
                <w:i/>
                <w:iCs/>
              </w:rPr>
            </w:pPr>
            <w:r w:rsidRPr="004B6638">
              <w:rPr>
                <w:i/>
                <w:iCs/>
              </w:rPr>
              <w:t>Privacy Act 1988</w:t>
            </w:r>
          </w:p>
        </w:tc>
      </w:tr>
    </w:tbl>
    <w:p w14:paraId="26C1B3E6" w14:textId="77777777" w:rsidR="00873094" w:rsidRPr="00020288" w:rsidRDefault="00873094" w:rsidP="00873094"/>
    <w:p w14:paraId="70A2D50A" w14:textId="77777777" w:rsidR="00873094" w:rsidRPr="00020288" w:rsidRDefault="00873094" w:rsidP="00873094"/>
    <w:p w14:paraId="31D3D346" w14:textId="77777777" w:rsidR="00873094" w:rsidRPr="00020288" w:rsidRDefault="00873094" w:rsidP="00873094">
      <w:pPr>
        <w:pStyle w:val="Heading1"/>
        <w:rPr>
          <w:rFonts w:hint="eastAsia"/>
        </w:rPr>
        <w:sectPr w:rsidR="00873094" w:rsidRPr="00020288" w:rsidSect="00000BFC">
          <w:headerReference w:type="even" r:id="rId20"/>
          <w:headerReference w:type="default" r:id="rId21"/>
          <w:headerReference w:type="first" r:id="rId22"/>
          <w:footerReference w:type="first" r:id="rId23"/>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bookmarkStart w:id="41" w:name="GeneralOutline"/>
    <w:bookmarkEnd w:id="27"/>
    <w:bookmarkEnd w:id="28"/>
    <w:bookmarkEnd w:id="29"/>
    <w:bookmarkEnd w:id="31"/>
    <w:bookmarkEnd w:id="32"/>
    <w:bookmarkEnd w:id="33"/>
    <w:bookmarkEnd w:id="34"/>
    <w:bookmarkEnd w:id="35"/>
    <w:bookmarkEnd w:id="36"/>
    <w:bookmarkEnd w:id="37"/>
    <w:bookmarkEnd w:id="38"/>
    <w:bookmarkEnd w:id="39"/>
    <w:bookmarkEnd w:id="40"/>
    <w:bookmarkEnd w:id="41"/>
    <w:p w14:paraId="6E3BF15E" w14:textId="1756788F" w:rsidR="00873094" w:rsidRPr="00020288" w:rsidRDefault="00D20E91" w:rsidP="00873094">
      <w:pPr>
        <w:pStyle w:val="Chapterheading"/>
        <w:rPr>
          <w:rFonts w:hint="eastAsia"/>
        </w:rPr>
      </w:pPr>
      <w:r>
        <w:lastRenderedPageBreak/>
        <w:fldChar w:fldCharType="begin">
          <w:ffData>
            <w:name w:val="Text32"/>
            <w:enabled/>
            <w:calcOnExit w:val="0"/>
            <w:textInput>
              <w:default w:val="ACNC Review Rec 17 – Secrecy Provisions"/>
            </w:textInput>
          </w:ffData>
        </w:fldChar>
      </w:r>
      <w:bookmarkStart w:id="42" w:name="Text32"/>
      <w:r>
        <w:instrText xml:space="preserve"> FORMTEXT </w:instrText>
      </w:r>
      <w:r>
        <w:fldChar w:fldCharType="separate"/>
      </w:r>
      <w:bookmarkStart w:id="43" w:name="_Toc146548020"/>
      <w:r w:rsidR="004E3874">
        <w:rPr>
          <w:rFonts w:hint="eastAsia"/>
          <w:noProof/>
        </w:rPr>
        <w:t xml:space="preserve">ACNC Review Rec 17 </w:t>
      </w:r>
      <w:r w:rsidR="004E3874">
        <w:rPr>
          <w:rFonts w:hint="eastAsia"/>
          <w:noProof/>
        </w:rPr>
        <w:t>–</w:t>
      </w:r>
      <w:r w:rsidR="004E3874">
        <w:rPr>
          <w:rFonts w:hint="eastAsia"/>
          <w:noProof/>
        </w:rPr>
        <w:t xml:space="preserve"> Secrecy Provisions</w:t>
      </w:r>
      <w:bookmarkEnd w:id="43"/>
      <w:r>
        <w:fldChar w:fldCharType="end"/>
      </w:r>
      <w:bookmarkEnd w:id="42"/>
    </w:p>
    <w:p w14:paraId="4ADEA59D" w14:textId="77777777" w:rsidR="00873094" w:rsidRPr="00020288" w:rsidRDefault="00873094" w:rsidP="005D0844">
      <w:pPr>
        <w:pStyle w:val="Heading2"/>
        <w:rPr>
          <w:rFonts w:hint="eastAsia"/>
        </w:rPr>
      </w:pPr>
      <w:r w:rsidRPr="00020288">
        <w:t xml:space="preserve">Outline </w:t>
      </w:r>
      <w:r w:rsidRPr="005D0844">
        <w:t>of</w:t>
      </w:r>
      <w:r w:rsidRPr="00020288">
        <w:t xml:space="preserve"> chapter</w:t>
      </w:r>
    </w:p>
    <w:p w14:paraId="39E27951" w14:textId="5B6F28CD" w:rsidR="00036CF2" w:rsidRPr="000E521B" w:rsidRDefault="00417711" w:rsidP="006D05CD">
      <w:pPr>
        <w:pStyle w:val="Normalparatextwithnumbers"/>
      </w:pPr>
      <w:r>
        <w:t xml:space="preserve">Schedule [X] to the Bill amends the </w:t>
      </w:r>
      <w:r w:rsidR="004F276D">
        <w:t xml:space="preserve">ACNC Act to </w:t>
      </w:r>
      <w:r w:rsidR="00F3740B">
        <w:t xml:space="preserve">allow for the disclosure of information about ongoing </w:t>
      </w:r>
      <w:r w:rsidR="0027526F">
        <w:t xml:space="preserve">ACNC investigations, subject </w:t>
      </w:r>
      <w:r w:rsidR="00593F5C">
        <w:t xml:space="preserve">to </w:t>
      </w:r>
      <w:r w:rsidR="00206D72">
        <w:t xml:space="preserve">a safeguard </w:t>
      </w:r>
      <w:r w:rsidR="00593F5C">
        <w:t>of</w:t>
      </w:r>
      <w:r w:rsidR="0027526F">
        <w:t xml:space="preserve"> a public harm test. The amendments allow the Commissioner to authorise an ACNC officer </w:t>
      </w:r>
      <w:r w:rsidR="000F44DC">
        <w:t>to disclose information about</w:t>
      </w:r>
      <w:r w:rsidR="00A2081E">
        <w:t xml:space="preserve"> </w:t>
      </w:r>
      <w:r w:rsidR="00744C18">
        <w:t xml:space="preserve">a </w:t>
      </w:r>
      <w:r w:rsidR="00E302F1">
        <w:t>recognised assessment activity in relation to a</w:t>
      </w:r>
      <w:r w:rsidR="00E71193">
        <w:t xml:space="preserve"> registered</w:t>
      </w:r>
      <w:r w:rsidR="00E302F1">
        <w:t xml:space="preserve"> entity suspected of contravening a provision of the ACNC Act or not complying with a governance standard or external conduct standard</w:t>
      </w:r>
      <w:r w:rsidR="008428E4">
        <w:t>.</w:t>
      </w:r>
      <w:r w:rsidR="003D3358">
        <w:t xml:space="preserve"> </w:t>
      </w:r>
    </w:p>
    <w:p w14:paraId="699F83DE" w14:textId="4422DF80" w:rsidR="00873094" w:rsidRPr="00020288" w:rsidRDefault="00873094" w:rsidP="005D0844">
      <w:pPr>
        <w:pStyle w:val="Heading2"/>
        <w:rPr>
          <w:rFonts w:hint="eastAsia"/>
        </w:rPr>
      </w:pPr>
      <w:r w:rsidRPr="00020288">
        <w:t xml:space="preserve">Context of </w:t>
      </w:r>
      <w:r w:rsidRPr="005D0844">
        <w:t>amendments</w:t>
      </w:r>
    </w:p>
    <w:p w14:paraId="5197F159" w14:textId="5C3D741B" w:rsidR="00897235" w:rsidRDefault="006264C9" w:rsidP="006264C9">
      <w:pPr>
        <w:pStyle w:val="Normalparatextwithnumbers"/>
      </w:pPr>
      <w:r>
        <w:t xml:space="preserve">On 20 December 2017, the former Assistant Minister to the Treasurer announced a review of ACNC </w:t>
      </w:r>
      <w:r w:rsidR="00E302F1">
        <w:t>legislation</w:t>
      </w:r>
      <w:r>
        <w:t xml:space="preserve"> to evaluate </w:t>
      </w:r>
      <w:r w:rsidR="00BC1B8B" w:rsidRPr="00BC1B8B">
        <w:t>the performance of the legislative framework, the regulation of the</w:t>
      </w:r>
      <w:r w:rsidR="00E517EC">
        <w:t xml:space="preserve"> Australian not-for</w:t>
      </w:r>
      <w:r w:rsidR="001C231E">
        <w:t>-</w:t>
      </w:r>
      <w:r w:rsidR="00E517EC">
        <w:t>profit</w:t>
      </w:r>
      <w:r w:rsidR="00BC1B8B" w:rsidRPr="00BC1B8B">
        <w:t xml:space="preserve"> sector and to identify any improvements</w:t>
      </w:r>
      <w:r w:rsidR="00BC1B8B">
        <w:t>.</w:t>
      </w:r>
      <w:r>
        <w:t xml:space="preserve"> </w:t>
      </w:r>
    </w:p>
    <w:p w14:paraId="2E8D579E" w14:textId="49D485DB" w:rsidR="006264C9" w:rsidRDefault="006264C9" w:rsidP="006264C9">
      <w:pPr>
        <w:pStyle w:val="Normalparatextwithnumbers"/>
      </w:pPr>
      <w:r>
        <w:t xml:space="preserve">In 2018, the Review Panel (the panel) published its findings and recommendations in the </w:t>
      </w:r>
      <w:r w:rsidRPr="00004538">
        <w:rPr>
          <w:i/>
          <w:iCs/>
        </w:rPr>
        <w:t>Strengthening for Purpose: The Australian Charities and Not-for-profits Commission Legislation Review report</w:t>
      </w:r>
      <w:r>
        <w:t xml:space="preserve"> (the report).</w:t>
      </w:r>
    </w:p>
    <w:p w14:paraId="7F670529" w14:textId="77815951" w:rsidR="006264C9" w:rsidRDefault="006264C9" w:rsidP="006264C9">
      <w:pPr>
        <w:pStyle w:val="Normalparatextwithnumbers"/>
      </w:pPr>
      <w:r>
        <w:t>The panel identified that secrecy provisions in</w:t>
      </w:r>
      <w:r w:rsidR="00082117">
        <w:t xml:space="preserve"> the</w:t>
      </w:r>
      <w:r>
        <w:t xml:space="preserve"> ACNC </w:t>
      </w:r>
      <w:r w:rsidR="00082117">
        <w:t>Act</w:t>
      </w:r>
      <w:r>
        <w:t xml:space="preserve"> prevent the Commissioner from publicly disclosing the Commission’s regulatory activities (except to respond to or clarify issues already in the public domain). The panel found that expanding the Commissioner’s power to disclose information would:</w:t>
      </w:r>
    </w:p>
    <w:p w14:paraId="5B8C8390" w14:textId="77777777" w:rsidR="003F5094" w:rsidRDefault="006264C9" w:rsidP="003F5094">
      <w:pPr>
        <w:pStyle w:val="Normalparatextwithnumbers"/>
        <w:numPr>
          <w:ilvl w:val="0"/>
          <w:numId w:val="24"/>
        </w:numPr>
      </w:pPr>
      <w:r>
        <w:t>increase public confidence that the regulator is actively pursuing misconduct, and</w:t>
      </w:r>
    </w:p>
    <w:p w14:paraId="1BDFFA58" w14:textId="095D4E2B" w:rsidR="006264C9" w:rsidRDefault="006264C9" w:rsidP="003F5094">
      <w:pPr>
        <w:pStyle w:val="Normalparatextwithnumbers"/>
        <w:numPr>
          <w:ilvl w:val="0"/>
          <w:numId w:val="24"/>
        </w:numPr>
      </w:pPr>
      <w:r>
        <w:t xml:space="preserve">provide salutary guidance to other charities about poor behaviour. </w:t>
      </w:r>
    </w:p>
    <w:p w14:paraId="7A93BFDB" w14:textId="77777777" w:rsidR="006264C9" w:rsidRDefault="006264C9" w:rsidP="006264C9">
      <w:pPr>
        <w:pStyle w:val="Normalparatextwithnumbers"/>
      </w:pPr>
      <w:r>
        <w:t>The panel made the following recommendation (Recommendation 17):</w:t>
      </w:r>
    </w:p>
    <w:p w14:paraId="1134361D" w14:textId="77777777" w:rsidR="006264C9" w:rsidRPr="00DD3B08" w:rsidRDefault="006264C9" w:rsidP="00575883">
      <w:pPr>
        <w:pStyle w:val="Normalparatextwithnumbers"/>
        <w:numPr>
          <w:ilvl w:val="0"/>
          <w:numId w:val="0"/>
        </w:numPr>
        <w:ind w:left="907"/>
        <w:rPr>
          <w:i/>
          <w:iCs/>
        </w:rPr>
      </w:pPr>
      <w:r w:rsidRPr="00DD3B08">
        <w:rPr>
          <w:i/>
          <w:iCs/>
        </w:rPr>
        <w:t>The Commissioner be given a discretion to disclose information about regulatory activities (including investigations) when it is necessary to protect public trust and confidence in the sector.</w:t>
      </w:r>
    </w:p>
    <w:p w14:paraId="3E2F972C" w14:textId="6DA454ED" w:rsidR="006264C9" w:rsidRDefault="00722D0E" w:rsidP="00E062E5">
      <w:pPr>
        <w:pStyle w:val="Normalparatextwithnumbers"/>
      </w:pPr>
      <w:r>
        <w:t>Schedule [X]</w:t>
      </w:r>
      <w:r w:rsidR="00A859F8">
        <w:t xml:space="preserve"> </w:t>
      </w:r>
      <w:r w:rsidR="005D338B">
        <w:t xml:space="preserve">implements </w:t>
      </w:r>
      <w:r w:rsidR="00082117">
        <w:t>R</w:t>
      </w:r>
      <w:r w:rsidR="005D338B">
        <w:t xml:space="preserve">ecommendation 17 in relation to </w:t>
      </w:r>
      <w:r w:rsidR="00082117">
        <w:t>ongoing investigations.</w:t>
      </w:r>
    </w:p>
    <w:p w14:paraId="2ACE7945" w14:textId="534C01A2" w:rsidR="00873094" w:rsidRPr="00020288" w:rsidRDefault="00873094" w:rsidP="00AF50CE">
      <w:pPr>
        <w:pStyle w:val="Heading2"/>
        <w:rPr>
          <w:rFonts w:hint="eastAsia"/>
        </w:rPr>
      </w:pPr>
      <w:r w:rsidRPr="00AF50CE">
        <w:lastRenderedPageBreak/>
        <w:t>Comparison</w:t>
      </w:r>
      <w:r w:rsidRPr="00020288">
        <w:t xml:space="preserve"> of key features of new law and current law</w:t>
      </w:r>
    </w:p>
    <w:p w14:paraId="418A67EC" w14:textId="7962FF11"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2D6B0F64" w14:textId="7EFC11F8"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75C1A69E" w14:textId="646C8F39" w:rsidR="00873094" w:rsidRPr="00A61FE9" w:rsidRDefault="00873094" w:rsidP="00873094">
            <w:pPr>
              <w:pStyle w:val="Tableheaderrowtext"/>
              <w:numPr>
                <w:ilvl w:val="3"/>
                <w:numId w:val="2"/>
              </w:numPr>
              <w:ind w:left="1701" w:hanging="1701"/>
            </w:pPr>
            <w:r w:rsidRPr="00A61FE9">
              <w:t>New law</w:t>
            </w:r>
          </w:p>
        </w:tc>
        <w:tc>
          <w:tcPr>
            <w:tcW w:w="3874" w:type="dxa"/>
          </w:tcPr>
          <w:p w14:paraId="2121EC18" w14:textId="5062F273" w:rsidR="00873094" w:rsidRPr="00A61FE9" w:rsidRDefault="00873094" w:rsidP="00873094">
            <w:pPr>
              <w:pStyle w:val="Tableheaderrowtext"/>
              <w:numPr>
                <w:ilvl w:val="3"/>
                <w:numId w:val="2"/>
              </w:numPr>
              <w:ind w:left="1701" w:hanging="1701"/>
            </w:pPr>
            <w:r w:rsidRPr="00A61FE9">
              <w:t>Current law</w:t>
            </w:r>
          </w:p>
        </w:tc>
      </w:tr>
      <w:tr w:rsidR="00873094" w:rsidRPr="00020288" w14:paraId="2D7F881E" w14:textId="70124B3B" w:rsidTr="002425D9">
        <w:tc>
          <w:tcPr>
            <w:tcW w:w="3776" w:type="dxa"/>
          </w:tcPr>
          <w:p w14:paraId="7F3A2B6B" w14:textId="758F195B" w:rsidR="00873094" w:rsidRPr="00020288" w:rsidRDefault="0042130B" w:rsidP="002425D9">
            <w:pPr>
              <w:pStyle w:val="Tabletext"/>
            </w:pPr>
            <w:r>
              <w:t>The Commissioner may authorise an</w:t>
            </w:r>
            <w:r w:rsidR="00A933AC">
              <w:t xml:space="preserve"> ACNC officer </w:t>
            </w:r>
            <w:r>
              <w:t xml:space="preserve">to </w:t>
            </w:r>
            <w:r w:rsidR="007D46B7">
              <w:t xml:space="preserve">disclose protected </w:t>
            </w:r>
            <w:r w:rsidR="0053444B">
              <w:t>ACNC information</w:t>
            </w:r>
            <w:r w:rsidR="00AE1A42">
              <w:t xml:space="preserve"> where th</w:t>
            </w:r>
            <w:r w:rsidR="00101E5A">
              <w:t xml:space="preserve">e disclosure </w:t>
            </w:r>
            <w:r w:rsidR="00036A3D">
              <w:t xml:space="preserve">would describe </w:t>
            </w:r>
            <w:r w:rsidR="00EF4BAA">
              <w:t>an ongoing</w:t>
            </w:r>
            <w:r w:rsidR="006F6B14">
              <w:t xml:space="preserve"> or proposed</w:t>
            </w:r>
            <w:r w:rsidR="00EF4BAA">
              <w:t xml:space="preserve"> investigation</w:t>
            </w:r>
            <w:r w:rsidR="00C044F8">
              <w:t xml:space="preserve"> and</w:t>
            </w:r>
            <w:r w:rsidR="00DD5819">
              <w:t xml:space="preserve"> </w:t>
            </w:r>
            <w:r w:rsidR="00FE7DF0">
              <w:t>would prevent or minimise the risk of significant harm</w:t>
            </w:r>
            <w:r w:rsidR="00F73BDC">
              <w:t>, subject to a public harm test as a safeguard</w:t>
            </w:r>
            <w:r w:rsidR="00F5169F">
              <w:t>.</w:t>
            </w:r>
          </w:p>
        </w:tc>
        <w:tc>
          <w:tcPr>
            <w:tcW w:w="3874" w:type="dxa"/>
          </w:tcPr>
          <w:p w14:paraId="75A09BA2" w14:textId="33D5AC9A" w:rsidR="00873094" w:rsidRPr="00020288" w:rsidRDefault="00B5646F" w:rsidP="002425D9">
            <w:pPr>
              <w:pStyle w:val="Tabletext"/>
            </w:pPr>
            <w:r>
              <w:t>An ACNC officer c</w:t>
            </w:r>
            <w:r w:rsidR="00B40767">
              <w:t>annot</w:t>
            </w:r>
            <w:r w:rsidR="009B5825">
              <w:t xml:space="preserve"> disclose </w:t>
            </w:r>
            <w:r w:rsidR="00610031">
              <w:t>information about an ongoing</w:t>
            </w:r>
            <w:r w:rsidR="006F6B14">
              <w:t xml:space="preserve"> or proposed</w:t>
            </w:r>
            <w:r w:rsidR="00610031">
              <w:t xml:space="preserve"> investigation</w:t>
            </w:r>
            <w:r w:rsidR="00075B55">
              <w:t xml:space="preserve"> </w:t>
            </w:r>
            <w:r w:rsidR="000B144F">
              <w:t xml:space="preserve">where that information is </w:t>
            </w:r>
            <w:r w:rsidR="009B5825">
              <w:t>protected ACNC information</w:t>
            </w:r>
            <w:r w:rsidR="000B144F">
              <w:t>, unless that disclosure</w:t>
            </w:r>
            <w:r w:rsidR="00AA6C0D">
              <w:t xml:space="preserve"> </w:t>
            </w:r>
            <w:r w:rsidR="009F2B80">
              <w:t xml:space="preserve">is in performance of duties under the Act, </w:t>
            </w:r>
            <w:r w:rsidR="009F2D17">
              <w:t xml:space="preserve">to an Australian government agency, </w:t>
            </w:r>
            <w:r w:rsidR="00AB0F22">
              <w:t>or with consent, or the information has already been lawfully made available to the public</w:t>
            </w:r>
            <w:r w:rsidR="000E3F2F">
              <w:t>.</w:t>
            </w:r>
          </w:p>
        </w:tc>
      </w:tr>
    </w:tbl>
    <w:p w14:paraId="2456540E" w14:textId="2CF69C24" w:rsidR="00873094" w:rsidRPr="00020288" w:rsidRDefault="00873094" w:rsidP="00873094">
      <w:pPr>
        <w:pStyle w:val="Heading2"/>
        <w:numPr>
          <w:ilvl w:val="1"/>
          <w:numId w:val="2"/>
        </w:numPr>
        <w:tabs>
          <w:tab w:val="num" w:pos="567"/>
        </w:tabs>
        <w:ind w:left="567" w:hanging="567"/>
        <w:rPr>
          <w:rFonts w:hint="eastAsia"/>
        </w:rPr>
      </w:pPr>
      <w:r w:rsidRPr="00020288">
        <w:t>Detailed explanation of new law</w:t>
      </w:r>
    </w:p>
    <w:p w14:paraId="098E5F21" w14:textId="559D5B40" w:rsidR="0099370E" w:rsidRPr="00F4011D" w:rsidRDefault="00D74D42" w:rsidP="00F4011D">
      <w:pPr>
        <w:pStyle w:val="Normalparatextwithnumbers"/>
        <w:rPr>
          <w:b/>
          <w:bCs/>
          <w:i/>
          <w:iCs/>
        </w:rPr>
      </w:pPr>
      <w:r>
        <w:t>Schedule</w:t>
      </w:r>
      <w:r w:rsidR="00FC2134">
        <w:t xml:space="preserve"> [X] to the Bill establishes a new exception for </w:t>
      </w:r>
      <w:r w:rsidR="00C34E62">
        <w:t xml:space="preserve">the disclosure of protected ACNC information relating to </w:t>
      </w:r>
      <w:r w:rsidR="001B0869">
        <w:t xml:space="preserve">a </w:t>
      </w:r>
      <w:r w:rsidR="001B0869" w:rsidRPr="001B0869">
        <w:t>recognised assessment activity</w:t>
      </w:r>
      <w:r w:rsidR="00C34E62">
        <w:t>. The exception permits an</w:t>
      </w:r>
      <w:r w:rsidR="00FC2134">
        <w:t xml:space="preserve"> ACNC officer to </w:t>
      </w:r>
      <w:r w:rsidR="00FC2134" w:rsidRPr="00FC2134">
        <w:t>publish information about a</w:t>
      </w:r>
      <w:r w:rsidR="0063088B">
        <w:t xml:space="preserve"> new or </w:t>
      </w:r>
      <w:r w:rsidR="00FC2134" w:rsidRPr="00FC2134">
        <w:t xml:space="preserve">ongoing </w:t>
      </w:r>
      <w:r w:rsidR="001B0869" w:rsidRPr="001B0869">
        <w:t>recognised assessment activity</w:t>
      </w:r>
      <w:r w:rsidR="001B0869">
        <w:t xml:space="preserve"> </w:t>
      </w:r>
      <w:r w:rsidR="00AC469F">
        <w:t>if the ACNC Commissioner (the Commissioner) has authorised the disclosure.</w:t>
      </w:r>
      <w:r w:rsidR="007337DB">
        <w:t xml:space="preserve"> However, any disclosure is subject to safeguards</w:t>
      </w:r>
      <w:r w:rsidR="00E47190">
        <w:t xml:space="preserve"> including a public harm test.</w:t>
      </w:r>
      <w:r w:rsidR="00F4011D">
        <w:br/>
      </w:r>
      <w:r w:rsidR="0099370E" w:rsidRPr="00F4011D">
        <w:rPr>
          <w:b/>
          <w:bCs/>
          <w:i/>
          <w:iCs/>
        </w:rPr>
        <w:t xml:space="preserve">[Schedule [X], item 1, subsection 150-52(1) </w:t>
      </w:r>
      <w:r w:rsidR="00C274CF">
        <w:rPr>
          <w:b/>
          <w:bCs/>
          <w:i/>
          <w:iCs/>
        </w:rPr>
        <w:t>and paragraphs</w:t>
      </w:r>
      <w:r w:rsidR="00C274CF" w:rsidRPr="00A51A30">
        <w:rPr>
          <w:b/>
          <w:bCs/>
          <w:i/>
          <w:iCs/>
        </w:rPr>
        <w:t xml:space="preserve"> 150-52(</w:t>
      </w:r>
      <w:r w:rsidR="00F7683F">
        <w:rPr>
          <w:b/>
          <w:bCs/>
          <w:i/>
          <w:iCs/>
        </w:rPr>
        <w:t>3)-</w:t>
      </w:r>
      <w:r w:rsidR="00C274CF" w:rsidRPr="00A51A30">
        <w:rPr>
          <w:b/>
          <w:bCs/>
          <w:i/>
          <w:iCs/>
        </w:rPr>
        <w:t>(</w:t>
      </w:r>
      <w:r w:rsidR="00C274CF">
        <w:rPr>
          <w:b/>
          <w:bCs/>
          <w:i/>
          <w:iCs/>
        </w:rPr>
        <w:t>4</w:t>
      </w:r>
      <w:r w:rsidR="00C274CF" w:rsidRPr="00A51A30">
        <w:rPr>
          <w:b/>
          <w:bCs/>
          <w:i/>
          <w:iCs/>
        </w:rPr>
        <w:t>)</w:t>
      </w:r>
      <w:r w:rsidR="00C274CF">
        <w:rPr>
          <w:b/>
          <w:bCs/>
          <w:i/>
          <w:iCs/>
        </w:rPr>
        <w:t xml:space="preserve"> </w:t>
      </w:r>
      <w:r w:rsidR="0099370E" w:rsidRPr="00F4011D">
        <w:rPr>
          <w:b/>
          <w:bCs/>
          <w:i/>
          <w:iCs/>
        </w:rPr>
        <w:t>of the ACNC Act]</w:t>
      </w:r>
    </w:p>
    <w:p w14:paraId="4053DCCE" w14:textId="274B4E83" w:rsidR="00D36881" w:rsidRDefault="00AC469F" w:rsidP="00D66200">
      <w:pPr>
        <w:pStyle w:val="Normalparatextwithnumbers"/>
        <w:numPr>
          <w:ilvl w:val="1"/>
          <w:numId w:val="3"/>
        </w:numPr>
      </w:pPr>
      <w:r>
        <w:t xml:space="preserve">If an ACNC officer is to make a disclosure under this exception, the information must be published on the </w:t>
      </w:r>
      <w:r w:rsidR="0028531B">
        <w:t xml:space="preserve">ACNC website </w:t>
      </w:r>
      <w:r>
        <w:t xml:space="preserve">to allow the public to access the information easily. </w:t>
      </w:r>
      <w:r w:rsidR="00D36881">
        <w:br/>
      </w:r>
      <w:r w:rsidR="00B94D6A" w:rsidRPr="00B94D6A">
        <w:rPr>
          <w:rStyle w:val="References"/>
        </w:rPr>
        <w:t xml:space="preserve">[Schedule [X], item 1, </w:t>
      </w:r>
      <w:r w:rsidR="00B94D6A">
        <w:rPr>
          <w:rStyle w:val="References"/>
        </w:rPr>
        <w:t>paragraph</w:t>
      </w:r>
      <w:r w:rsidR="00B94D6A" w:rsidRPr="00B94D6A">
        <w:rPr>
          <w:rStyle w:val="References"/>
        </w:rPr>
        <w:t xml:space="preserve"> 150-52(</w:t>
      </w:r>
      <w:r w:rsidR="00B94D6A">
        <w:rPr>
          <w:rStyle w:val="References"/>
        </w:rPr>
        <w:t>2</w:t>
      </w:r>
      <w:r w:rsidR="00B94D6A" w:rsidRPr="00B94D6A">
        <w:rPr>
          <w:rStyle w:val="References"/>
        </w:rPr>
        <w:t>)</w:t>
      </w:r>
      <w:r w:rsidR="00B94D6A">
        <w:rPr>
          <w:rStyle w:val="References"/>
        </w:rPr>
        <w:t>(a)</w:t>
      </w:r>
      <w:r w:rsidR="00B94D6A" w:rsidRPr="00B94D6A">
        <w:rPr>
          <w:rStyle w:val="References"/>
        </w:rPr>
        <w:t xml:space="preserve"> of the ACNC Act]</w:t>
      </w:r>
    </w:p>
    <w:p w14:paraId="6C7DB41E" w14:textId="662DFB01" w:rsidR="0099370E" w:rsidRPr="00F4011D" w:rsidRDefault="004F11F4" w:rsidP="00A61ADE">
      <w:pPr>
        <w:pStyle w:val="Normalparatextwithnumbers"/>
        <w:rPr>
          <w:b/>
          <w:bCs/>
          <w:i/>
          <w:iCs/>
        </w:rPr>
      </w:pPr>
      <w:r w:rsidRPr="004F11F4">
        <w:t xml:space="preserve">The disclosure may also be made through any other </w:t>
      </w:r>
      <w:r w:rsidR="00A61ADE">
        <w:t>medium</w:t>
      </w:r>
      <w:r>
        <w:t>,</w:t>
      </w:r>
      <w:r w:rsidRPr="004F11F4">
        <w:t xml:space="preserve"> </w:t>
      </w:r>
      <w:proofErr w:type="gramStart"/>
      <w:r w:rsidRPr="004F11F4">
        <w:t>provided that</w:t>
      </w:r>
      <w:proofErr w:type="gramEnd"/>
      <w:r w:rsidRPr="004F11F4">
        <w:t xml:space="preserve"> </w:t>
      </w:r>
      <w:r w:rsidR="00A61ADE">
        <w:t>disclosure in that medium is</w:t>
      </w:r>
      <w:r w:rsidRPr="004F11F4">
        <w:t xml:space="preserve"> authorised in writing by the Commissioner</w:t>
      </w:r>
      <w:r w:rsidR="00A61ADE">
        <w:t>.</w:t>
      </w:r>
      <w:r w:rsidR="00F4011D">
        <w:br/>
      </w:r>
      <w:r w:rsidR="0099370E" w:rsidRPr="00F4011D">
        <w:rPr>
          <w:b/>
          <w:bCs/>
          <w:i/>
          <w:iCs/>
        </w:rPr>
        <w:t xml:space="preserve">[Schedule [X], item 1, </w:t>
      </w:r>
      <w:r w:rsidR="00B94D6A" w:rsidRPr="00F4011D">
        <w:rPr>
          <w:b/>
          <w:bCs/>
          <w:i/>
          <w:iCs/>
        </w:rPr>
        <w:t>paragraph</w:t>
      </w:r>
      <w:r w:rsidR="0099370E" w:rsidRPr="00F4011D">
        <w:rPr>
          <w:b/>
          <w:bCs/>
          <w:i/>
          <w:iCs/>
        </w:rPr>
        <w:t xml:space="preserve"> 150-52(2)</w:t>
      </w:r>
      <w:r w:rsidR="00B94D6A" w:rsidRPr="00F4011D">
        <w:rPr>
          <w:b/>
          <w:bCs/>
          <w:i/>
          <w:iCs/>
        </w:rPr>
        <w:t>(b)</w:t>
      </w:r>
      <w:r w:rsidR="0099370E" w:rsidRPr="00F4011D">
        <w:rPr>
          <w:b/>
          <w:bCs/>
          <w:i/>
          <w:iCs/>
        </w:rPr>
        <w:t xml:space="preserve"> of the ACNC Act]</w:t>
      </w:r>
    </w:p>
    <w:p w14:paraId="7EF3BA07" w14:textId="3FA014F4" w:rsidR="00377D7C" w:rsidRPr="00D66200" w:rsidRDefault="00377D7C" w:rsidP="00E062E5">
      <w:pPr>
        <w:pStyle w:val="Heading3"/>
        <w:rPr>
          <w:rFonts w:hint="eastAsia"/>
        </w:rPr>
      </w:pPr>
      <w:r>
        <w:t>Recognised Assessment Activity</w:t>
      </w:r>
    </w:p>
    <w:p w14:paraId="1FE93EEB" w14:textId="6AFC707D" w:rsidR="00377D7C" w:rsidRDefault="005309C0" w:rsidP="00404CEA">
      <w:pPr>
        <w:pStyle w:val="Normalparatextwithnumbers"/>
      </w:pPr>
      <w:r>
        <w:t xml:space="preserve">Recognised assessment activity </w:t>
      </w:r>
      <w:r w:rsidR="006B02A7">
        <w:t xml:space="preserve">is </w:t>
      </w:r>
      <w:r w:rsidR="00AE719E">
        <w:t>defined in section 55-10 of the</w:t>
      </w:r>
      <w:r>
        <w:t xml:space="preserve"> ACNC Act</w:t>
      </w:r>
      <w:r w:rsidR="00AE719E">
        <w:t>.</w:t>
      </w:r>
      <w:r>
        <w:t xml:space="preserve"> </w:t>
      </w:r>
      <w:r w:rsidR="00AE719E">
        <w:t xml:space="preserve">It </w:t>
      </w:r>
      <w:r w:rsidR="00CD3357">
        <w:t xml:space="preserve">includes </w:t>
      </w:r>
      <w:r w:rsidR="00A6001D">
        <w:t>an</w:t>
      </w:r>
      <w:r w:rsidR="00CD3357">
        <w:t xml:space="preserve"> activity carried out by the Commissioner involving the assessment of </w:t>
      </w:r>
      <w:r w:rsidR="00E71193">
        <w:t xml:space="preserve">an </w:t>
      </w:r>
      <w:r w:rsidR="00CD3357">
        <w:t xml:space="preserve">entity’s entitlement to registration as </w:t>
      </w:r>
      <w:r w:rsidR="00D66200">
        <w:t xml:space="preserve">a </w:t>
      </w:r>
      <w:r w:rsidR="00CD3357">
        <w:t>type or subtype of entity</w:t>
      </w:r>
      <w:r w:rsidR="00D93987">
        <w:t>,</w:t>
      </w:r>
      <w:r w:rsidR="00CD3357">
        <w:t xml:space="preserve"> or compliance with the ACNC Act and regulations</w:t>
      </w:r>
      <w:r w:rsidR="00377D7C">
        <w:t xml:space="preserve">. It also includes </w:t>
      </w:r>
      <w:r w:rsidR="00A6001D">
        <w:t>an</w:t>
      </w:r>
      <w:r w:rsidR="00377D7C">
        <w:t xml:space="preserve"> </w:t>
      </w:r>
      <w:r w:rsidR="00377D7C">
        <w:lastRenderedPageBreak/>
        <w:t xml:space="preserve">activity carried out by the Commissioner of Taxation involving assessment of </w:t>
      </w:r>
      <w:r w:rsidR="00BD7025">
        <w:t xml:space="preserve">an </w:t>
      </w:r>
      <w:r w:rsidR="00377D7C">
        <w:t>entity’s compliance with any taxation law.</w:t>
      </w:r>
    </w:p>
    <w:p w14:paraId="17F27778" w14:textId="77B66619" w:rsidR="00507093" w:rsidRPr="00F4011D" w:rsidRDefault="00D66200" w:rsidP="00F21C0B">
      <w:pPr>
        <w:pStyle w:val="Normalparatextwithnumbers"/>
        <w:numPr>
          <w:ilvl w:val="0"/>
          <w:numId w:val="0"/>
        </w:numPr>
        <w:ind w:left="709"/>
        <w:rPr>
          <w:b/>
          <w:bCs/>
          <w:i/>
          <w:iCs/>
        </w:rPr>
      </w:pPr>
      <w:r>
        <w:t xml:space="preserve">The </w:t>
      </w:r>
      <w:r w:rsidR="00377D7C">
        <w:t xml:space="preserve">amendments provide for disclosure of </w:t>
      </w:r>
      <w:r>
        <w:t xml:space="preserve">recognised assessment activity by the Commissioner if the activity is being carried out, or proposed to be carried out, in relation to a </w:t>
      </w:r>
      <w:r w:rsidR="005F3425">
        <w:t xml:space="preserve">suspected </w:t>
      </w:r>
      <w:r w:rsidR="00E460C6">
        <w:t>contravention of</w:t>
      </w:r>
      <w:r w:rsidR="00E460C6" w:rsidRPr="00E460C6">
        <w:t xml:space="preserve"> a provision of the ACNC Act or </w:t>
      </w:r>
      <w:r w:rsidR="00E460C6">
        <w:t>suspected non-compliance</w:t>
      </w:r>
      <w:r w:rsidR="00E460C6" w:rsidRPr="00E460C6">
        <w:t xml:space="preserve"> with a governance standard or an external conduct standard. </w:t>
      </w:r>
      <w:r w:rsidR="00404726" w:rsidDel="00EC4365">
        <w:t xml:space="preserve"> </w:t>
      </w:r>
      <w:r w:rsidR="007704F3">
        <w:t>The ame</w:t>
      </w:r>
      <w:r w:rsidR="007C08C4">
        <w:t>ndments do not allow for disclosures about recognised assessment activity being carried out by the Commissioner of Taxation.</w:t>
      </w:r>
      <w:r w:rsidR="00F4011D">
        <w:br/>
      </w:r>
      <w:r w:rsidR="00507093" w:rsidRPr="00F4011D">
        <w:rPr>
          <w:b/>
          <w:bCs/>
          <w:i/>
          <w:iCs/>
        </w:rPr>
        <w:t xml:space="preserve">[Schedule [X], item 1, </w:t>
      </w:r>
      <w:r w:rsidR="00FE1975" w:rsidRPr="00F4011D">
        <w:rPr>
          <w:b/>
          <w:bCs/>
          <w:i/>
          <w:iCs/>
        </w:rPr>
        <w:t>paragraphs</w:t>
      </w:r>
      <w:r w:rsidR="00507093" w:rsidRPr="00F4011D">
        <w:rPr>
          <w:b/>
          <w:bCs/>
          <w:i/>
          <w:iCs/>
        </w:rPr>
        <w:t xml:space="preserve"> 150-52(3)(a)</w:t>
      </w:r>
      <w:r w:rsidR="00073B0D" w:rsidRPr="00F4011D">
        <w:rPr>
          <w:b/>
          <w:bCs/>
          <w:i/>
          <w:iCs/>
        </w:rPr>
        <w:t xml:space="preserve"> and (b)</w:t>
      </w:r>
      <w:r w:rsidR="00507093" w:rsidRPr="00F4011D">
        <w:rPr>
          <w:b/>
          <w:bCs/>
          <w:i/>
          <w:iCs/>
        </w:rPr>
        <w:t xml:space="preserve"> of the ACNC Act]</w:t>
      </w:r>
    </w:p>
    <w:p w14:paraId="40D71106" w14:textId="4B7F208E" w:rsidR="00EC4365" w:rsidRPr="00404CEA" w:rsidRDefault="00EC4365" w:rsidP="00277911">
      <w:pPr>
        <w:pStyle w:val="Normalparatextwithnumbers"/>
      </w:pPr>
      <w:r>
        <w:t>In this way, the disclosure exception is limited to ongoing (or proposed) investigations by the ACNC into a</w:t>
      </w:r>
      <w:r w:rsidR="00BD7025">
        <w:t xml:space="preserve"> registered</w:t>
      </w:r>
      <w:r>
        <w:t xml:space="preserve"> entity’s conduct. </w:t>
      </w:r>
    </w:p>
    <w:p w14:paraId="106C474F" w14:textId="37171707" w:rsidR="00090CFE" w:rsidRDefault="003C1676" w:rsidP="00CE37B8">
      <w:pPr>
        <w:pStyle w:val="Heading3"/>
        <w:rPr>
          <w:rFonts w:hint="eastAsia"/>
        </w:rPr>
      </w:pPr>
      <w:r>
        <w:t>Authorisation by the Commissioner</w:t>
      </w:r>
    </w:p>
    <w:p w14:paraId="62615C27" w14:textId="373DB2CE" w:rsidR="007D4E10" w:rsidRDefault="007D4E10" w:rsidP="00F61218">
      <w:pPr>
        <w:pStyle w:val="Normalparatextwithnumbers"/>
      </w:pPr>
      <w:r>
        <w:t xml:space="preserve">The Commissioner may authorise an ACNC officer to disclose protected ACNC information about a new or ongoing </w:t>
      </w:r>
      <w:r w:rsidRPr="001B0869">
        <w:t xml:space="preserve">recognised assessment </w:t>
      </w:r>
      <w:r w:rsidR="00876F42">
        <w:t>activity</w:t>
      </w:r>
      <w:r w:rsidRPr="001B0869">
        <w:t xml:space="preserve"> </w:t>
      </w:r>
      <w:r>
        <w:t xml:space="preserve">if the Commissioner reasonably suspects that a registered entity contravened </w:t>
      </w:r>
      <w:r w:rsidRPr="00FC2134">
        <w:t>a provision of the ACNC Act</w:t>
      </w:r>
      <w:r>
        <w:t xml:space="preserve"> or has not complied with</w:t>
      </w:r>
      <w:r w:rsidRPr="00FC2134">
        <w:t xml:space="preserve"> a governance standard or an external conduct standard</w:t>
      </w:r>
      <w:r>
        <w:t xml:space="preserve">. </w:t>
      </w:r>
      <w:r w:rsidR="00D82CC9">
        <w:t>The</w:t>
      </w:r>
      <w:r>
        <w:t xml:space="preserve"> authorisation must be in writing.</w:t>
      </w:r>
      <w:r w:rsidR="00F4011D">
        <w:br/>
      </w:r>
      <w:r w:rsidRPr="00F4011D">
        <w:rPr>
          <w:b/>
          <w:bCs/>
          <w:i/>
          <w:iCs/>
        </w:rPr>
        <w:t>[Schedule [X], item 1, paragraph 150-52(3)(a) of the ACNC Act]</w:t>
      </w:r>
    </w:p>
    <w:p w14:paraId="4959D5BC" w14:textId="53D33AE2" w:rsidR="006673FA" w:rsidRPr="00F4011D" w:rsidRDefault="007D4E10" w:rsidP="00F61218">
      <w:pPr>
        <w:pStyle w:val="Normalparatextwithnumbers"/>
        <w:rPr>
          <w:b/>
          <w:bCs/>
          <w:i/>
          <w:iCs/>
        </w:rPr>
      </w:pPr>
      <w:r>
        <w:t xml:space="preserve">An authorisation made under </w:t>
      </w:r>
      <w:r w:rsidR="008B54AE">
        <w:t xml:space="preserve">this provision </w:t>
      </w:r>
      <w:r>
        <w:t>does not constitute a legislative instrument. This is because item 4 of</w:t>
      </w:r>
      <w:r w:rsidR="00736476">
        <w:t xml:space="preserve"> the table in section 6 of</w:t>
      </w:r>
      <w:r>
        <w:t xml:space="preserve"> the </w:t>
      </w:r>
      <w:r w:rsidRPr="00F4011D">
        <w:rPr>
          <w:i/>
          <w:iCs/>
        </w:rPr>
        <w:t>Legislation (Exemptions and Other Matters) Regulation 2015</w:t>
      </w:r>
      <w:r>
        <w:t xml:space="preserve"> provides that any instrument that authorises or approves a particular person to take a particular action or act in a particular way is not a legislative instrument.</w:t>
      </w:r>
      <w:r w:rsidR="00F4011D">
        <w:br/>
      </w:r>
      <w:bookmarkStart w:id="44" w:name="_Hlk146103397"/>
      <w:r w:rsidR="006673FA" w:rsidRPr="00F4011D">
        <w:rPr>
          <w:b/>
          <w:bCs/>
          <w:i/>
          <w:iCs/>
        </w:rPr>
        <w:t xml:space="preserve">[Schedule [X], item 1, </w:t>
      </w:r>
      <w:r w:rsidR="00B94D6A" w:rsidRPr="00F4011D">
        <w:rPr>
          <w:b/>
          <w:bCs/>
          <w:i/>
          <w:iCs/>
        </w:rPr>
        <w:t>paragraph</w:t>
      </w:r>
      <w:r w:rsidR="006673FA" w:rsidRPr="00F4011D">
        <w:rPr>
          <w:b/>
          <w:bCs/>
          <w:i/>
          <w:iCs/>
        </w:rPr>
        <w:t xml:space="preserve"> 150-52(2)(b) and </w:t>
      </w:r>
      <w:r w:rsidR="00B94D6A" w:rsidRPr="00F4011D">
        <w:rPr>
          <w:b/>
          <w:bCs/>
          <w:i/>
          <w:iCs/>
        </w:rPr>
        <w:t>subsection 150-52</w:t>
      </w:r>
      <w:r w:rsidR="006673FA" w:rsidRPr="00F4011D">
        <w:rPr>
          <w:b/>
          <w:bCs/>
          <w:i/>
          <w:iCs/>
        </w:rPr>
        <w:t>(3) of the ACNC Act]</w:t>
      </w:r>
    </w:p>
    <w:bookmarkEnd w:id="44"/>
    <w:p w14:paraId="46A805CA" w14:textId="609D75AD" w:rsidR="006673FA" w:rsidRPr="00F4011D" w:rsidRDefault="00A66DA7" w:rsidP="00F61218">
      <w:pPr>
        <w:pStyle w:val="Normalparatextwithnumbers"/>
        <w:rPr>
          <w:b/>
          <w:bCs/>
          <w:i/>
          <w:iCs/>
        </w:rPr>
      </w:pPr>
      <w:r>
        <w:t xml:space="preserve">Any decision made by the Commissioner </w:t>
      </w:r>
      <w:r w:rsidR="009B0B66">
        <w:t xml:space="preserve">or an ACNC officer in relation to the </w:t>
      </w:r>
      <w:r>
        <w:t>disclos</w:t>
      </w:r>
      <w:r w:rsidR="009B0B66">
        <w:t>ure</w:t>
      </w:r>
      <w:r>
        <w:t xml:space="preserve"> </w:t>
      </w:r>
      <w:r w:rsidR="009B0B66">
        <w:t xml:space="preserve">of </w:t>
      </w:r>
      <w:r>
        <w:t>information about a new or ongoing recognised assessment activity about a</w:t>
      </w:r>
      <w:r w:rsidR="00BD7025">
        <w:t xml:space="preserve"> registered</w:t>
      </w:r>
      <w:r>
        <w:t xml:space="preserve"> entity’s suspected contravention or non-compliance is not subject to merits review. This is appropriate given</w:t>
      </w:r>
      <w:r w:rsidR="00C3482D">
        <w:t xml:space="preserve"> the decision relates to </w:t>
      </w:r>
      <w:r w:rsidR="00406B1B">
        <w:t>an ongoing or proposed investigation into an enforcement matter. Additionally,</w:t>
      </w:r>
      <w:r>
        <w:t xml:space="preserve"> </w:t>
      </w:r>
      <w:r w:rsidRPr="00E72647">
        <w:t>disclosures will only occur if necessary to avoid public harm</w:t>
      </w:r>
      <w:r w:rsidR="00406B1B">
        <w:t>, so</w:t>
      </w:r>
      <w:r w:rsidR="005A2A58">
        <w:t xml:space="preserve"> </w:t>
      </w:r>
      <w:r w:rsidRPr="00E72647">
        <w:t>any delay caused by a</w:t>
      </w:r>
      <w:r w:rsidR="00A55622">
        <w:t xml:space="preserve"> merits</w:t>
      </w:r>
      <w:r w:rsidRPr="00E72647">
        <w:t xml:space="preserve"> review </w:t>
      </w:r>
      <w:r w:rsidR="00A55622">
        <w:t xml:space="preserve">process </w:t>
      </w:r>
      <w:r w:rsidRPr="00E72647">
        <w:t>could</w:t>
      </w:r>
      <w:r>
        <w:t xml:space="preserve"> </w:t>
      </w:r>
      <w:r w:rsidRPr="00E72647">
        <w:t>lead to public harm.</w:t>
      </w:r>
      <w:r w:rsidR="00F4011D">
        <w:br/>
      </w:r>
      <w:r w:rsidR="006673FA" w:rsidRPr="00F4011D">
        <w:rPr>
          <w:b/>
          <w:bCs/>
          <w:i/>
          <w:iCs/>
        </w:rPr>
        <w:t xml:space="preserve">[Schedule [X], item 1, </w:t>
      </w:r>
      <w:r w:rsidR="00B94D6A" w:rsidRPr="00F4011D">
        <w:rPr>
          <w:b/>
          <w:bCs/>
          <w:i/>
          <w:iCs/>
        </w:rPr>
        <w:t>paragraph</w:t>
      </w:r>
      <w:r w:rsidR="006673FA" w:rsidRPr="00F4011D">
        <w:rPr>
          <w:b/>
          <w:bCs/>
          <w:i/>
          <w:iCs/>
        </w:rPr>
        <w:t xml:space="preserve"> 150-52(2)(b) and </w:t>
      </w:r>
      <w:r w:rsidR="00B94D6A" w:rsidRPr="00F4011D">
        <w:rPr>
          <w:b/>
          <w:bCs/>
          <w:i/>
          <w:iCs/>
        </w:rPr>
        <w:t>subsection 150-52</w:t>
      </w:r>
      <w:r w:rsidR="006673FA" w:rsidRPr="00F4011D">
        <w:rPr>
          <w:b/>
          <w:bCs/>
          <w:i/>
          <w:iCs/>
        </w:rPr>
        <w:t>(3) of the ACNC Act]</w:t>
      </w:r>
    </w:p>
    <w:p w14:paraId="349D7362" w14:textId="592980B2" w:rsidR="00090CFE" w:rsidRPr="00167FF8" w:rsidRDefault="00090CFE" w:rsidP="006673FA">
      <w:pPr>
        <w:pStyle w:val="Heading4"/>
      </w:pPr>
      <w:r>
        <w:t xml:space="preserve">Public </w:t>
      </w:r>
      <w:r w:rsidR="00321896">
        <w:t>h</w:t>
      </w:r>
      <w:r>
        <w:t xml:space="preserve">arm </w:t>
      </w:r>
      <w:r w:rsidR="00321896">
        <w:t>t</w:t>
      </w:r>
      <w:r>
        <w:t>est</w:t>
      </w:r>
    </w:p>
    <w:p w14:paraId="21DA3FE9" w14:textId="46827020" w:rsidR="005233EE" w:rsidRDefault="00663498" w:rsidP="005749EB">
      <w:pPr>
        <w:pStyle w:val="Normalparatextwithnumbers"/>
      </w:pPr>
      <w:r>
        <w:t>Before the Commissioner authorises the disclosure of protected ACNC information in relation to a recognise</w:t>
      </w:r>
      <w:r w:rsidR="00D41466">
        <w:t>d</w:t>
      </w:r>
      <w:r>
        <w:t xml:space="preserve"> assessment activity, </w:t>
      </w:r>
      <w:r w:rsidR="00A46F3E">
        <w:t xml:space="preserve">the Commissioner must </w:t>
      </w:r>
      <w:r w:rsidR="00632EAC">
        <w:t>co</w:t>
      </w:r>
      <w:r w:rsidR="00690D3B">
        <w:t xml:space="preserve">mpare the harm </w:t>
      </w:r>
      <w:r w:rsidR="00207CFC">
        <w:t>likely to</w:t>
      </w:r>
      <w:r w:rsidR="00690D3B">
        <w:t xml:space="preserve"> be caused by the disclosure to the harm that </w:t>
      </w:r>
      <w:r w:rsidR="00690D3B">
        <w:lastRenderedPageBreak/>
        <w:t xml:space="preserve">disclosure may prevent (the </w:t>
      </w:r>
      <w:r w:rsidR="00AD1276">
        <w:t>‘public harm test’).</w:t>
      </w:r>
      <w:r w:rsidR="00623341">
        <w:t xml:space="preserve"> This operates as a safeguard, ensuring </w:t>
      </w:r>
      <w:r w:rsidR="00B149CA">
        <w:t xml:space="preserve">that </w:t>
      </w:r>
      <w:r w:rsidR="002204BE">
        <w:t xml:space="preserve">the disclosure does not </w:t>
      </w:r>
      <w:r w:rsidR="006E7226">
        <w:t>cause disproportionate harm</w:t>
      </w:r>
      <w:r w:rsidR="009737D1">
        <w:t>.</w:t>
      </w:r>
    </w:p>
    <w:p w14:paraId="43550D89" w14:textId="077EF78D" w:rsidR="00090CFE" w:rsidRDefault="005233EE" w:rsidP="005749EB">
      <w:pPr>
        <w:pStyle w:val="Normalparatextwithnumbers"/>
      </w:pPr>
      <w:r>
        <w:t>T</w:t>
      </w:r>
      <w:r w:rsidR="00A46F3E">
        <w:t xml:space="preserve">he Commissioner can only </w:t>
      </w:r>
      <w:r>
        <w:t>authorise</w:t>
      </w:r>
      <w:r w:rsidR="00A46F3E">
        <w:t xml:space="preserve"> a disclosure if</w:t>
      </w:r>
      <w:r w:rsidR="000F39D7">
        <w:t xml:space="preserve"> satisfied that</w:t>
      </w:r>
      <w:r w:rsidR="00A46F3E">
        <w:t xml:space="preserve"> the disclosure is necessary to:</w:t>
      </w:r>
    </w:p>
    <w:p w14:paraId="45319F27" w14:textId="053B0110" w:rsidR="00A46F3E" w:rsidRDefault="00061554" w:rsidP="006673FA">
      <w:pPr>
        <w:pStyle w:val="Dotpoint1"/>
      </w:pPr>
      <w:r w:rsidRPr="00061554">
        <w:t>prevent or minimise the risk of significant harm to public health, public safety or an individual</w:t>
      </w:r>
      <w:r>
        <w:t>; or</w:t>
      </w:r>
    </w:p>
    <w:p w14:paraId="5F5A3916" w14:textId="6D2D3A07" w:rsidR="00D93987" w:rsidRDefault="00AA5851" w:rsidP="006673FA">
      <w:pPr>
        <w:pStyle w:val="Dotpoint1"/>
      </w:pPr>
      <w:r>
        <w:t xml:space="preserve">prevent or minimise the risk of significant mismanagement or </w:t>
      </w:r>
      <w:r w:rsidRPr="00B31E72">
        <w:t>misappropriation of funds or assets of the</w:t>
      </w:r>
      <w:r>
        <w:t xml:space="preserve"> </w:t>
      </w:r>
      <w:r w:rsidR="00BD7025">
        <w:t xml:space="preserve">registered </w:t>
      </w:r>
      <w:r>
        <w:t>entity</w:t>
      </w:r>
      <w:r w:rsidR="00D93987">
        <w:t xml:space="preserve"> in question</w:t>
      </w:r>
      <w:r w:rsidR="00B31E72">
        <w:t>,</w:t>
      </w:r>
      <w:r>
        <w:t xml:space="preserve"> or </w:t>
      </w:r>
      <w:r w:rsidR="00B31E72">
        <w:t>contributions to</w:t>
      </w:r>
      <w:r>
        <w:t xml:space="preserve"> th</w:t>
      </w:r>
      <w:r w:rsidR="00D93987">
        <w:t xml:space="preserve">at </w:t>
      </w:r>
      <w:r w:rsidR="00BD7025">
        <w:t>registered</w:t>
      </w:r>
      <w:r w:rsidR="00D93987">
        <w:t xml:space="preserve"> </w:t>
      </w:r>
      <w:r>
        <w:t>entity; or</w:t>
      </w:r>
    </w:p>
    <w:p w14:paraId="43A47B3C" w14:textId="2998DE78" w:rsidR="00061554" w:rsidRDefault="00AA5851" w:rsidP="006673FA">
      <w:pPr>
        <w:pStyle w:val="Dotpoint1"/>
      </w:pPr>
      <w:r>
        <w:t>prevent or minimise the risk of significant harm to the public trust and confidence in the Australian not</w:t>
      </w:r>
      <w:r w:rsidR="001C231E">
        <w:t>-</w:t>
      </w:r>
      <w:r>
        <w:t>for</w:t>
      </w:r>
      <w:r w:rsidR="001C231E">
        <w:t>-</w:t>
      </w:r>
      <w:r>
        <w:t>profit sector, or to a part of the sector</w:t>
      </w:r>
      <w:r w:rsidR="008950A8">
        <w:t>.</w:t>
      </w:r>
    </w:p>
    <w:p w14:paraId="57E255AB" w14:textId="4FA700EB" w:rsidR="009A3A42" w:rsidRPr="000669E3" w:rsidRDefault="000669E3" w:rsidP="000669E3">
      <w:pPr>
        <w:pStyle w:val="Normalparatextwithnumbers"/>
        <w:numPr>
          <w:ilvl w:val="0"/>
          <w:numId w:val="0"/>
        </w:numPr>
        <w:ind w:left="709"/>
        <w:rPr>
          <w:b/>
          <w:bCs/>
          <w:i/>
          <w:iCs/>
        </w:rPr>
      </w:pPr>
      <w:r w:rsidRPr="000669E3">
        <w:rPr>
          <w:b/>
          <w:bCs/>
          <w:i/>
          <w:iCs/>
        </w:rPr>
        <w:t xml:space="preserve">[Schedule [X], item 1, </w:t>
      </w:r>
      <w:r w:rsidR="00B94D6A">
        <w:rPr>
          <w:b/>
          <w:bCs/>
          <w:i/>
          <w:iCs/>
        </w:rPr>
        <w:t>paragraph</w:t>
      </w:r>
      <w:r w:rsidRPr="000669E3">
        <w:rPr>
          <w:b/>
          <w:bCs/>
          <w:i/>
          <w:iCs/>
        </w:rPr>
        <w:t xml:space="preserve"> 150-52(3)(</w:t>
      </w:r>
      <w:r w:rsidR="001468BB">
        <w:rPr>
          <w:b/>
          <w:bCs/>
          <w:i/>
          <w:iCs/>
        </w:rPr>
        <w:t>c</w:t>
      </w:r>
      <w:r w:rsidRPr="000669E3">
        <w:rPr>
          <w:b/>
          <w:bCs/>
          <w:i/>
          <w:iCs/>
        </w:rPr>
        <w:t>) of the ACNC Act]</w:t>
      </w:r>
    </w:p>
    <w:p w14:paraId="01D93F32" w14:textId="113ED685" w:rsidR="00A141BF" w:rsidRDefault="00A141BF" w:rsidP="005749EB">
      <w:pPr>
        <w:pStyle w:val="Normalparatextwithnumbers"/>
      </w:pPr>
      <w:r>
        <w:t xml:space="preserve">The term ‘contribution’ is defined under </w:t>
      </w:r>
      <w:r w:rsidR="004B27BF">
        <w:t>section 205-40 of the ACNC</w:t>
      </w:r>
      <w:r>
        <w:t xml:space="preserve"> </w:t>
      </w:r>
      <w:r w:rsidR="004B27BF">
        <w:t>A</w:t>
      </w:r>
      <w:r>
        <w:t xml:space="preserve">ct to include the provision by an individual of their time or reputation to </w:t>
      </w:r>
      <w:r w:rsidR="00BD7025">
        <w:t xml:space="preserve">an </w:t>
      </w:r>
      <w:r>
        <w:t>entity. Th</w:t>
      </w:r>
      <w:r w:rsidR="00D93987">
        <w:t>e public harm test</w:t>
      </w:r>
      <w:r>
        <w:t xml:space="preserve"> </w:t>
      </w:r>
      <w:r w:rsidR="001C2802">
        <w:t>therefore involves consideration o</w:t>
      </w:r>
      <w:r w:rsidR="00E903D1">
        <w:t>f the risk of mismanagement of volunteers’ time or reputation</w:t>
      </w:r>
      <w:r w:rsidR="009A3A42">
        <w:t xml:space="preserve">. </w:t>
      </w:r>
    </w:p>
    <w:p w14:paraId="7AA4F06A" w14:textId="3B469C9D" w:rsidR="00AA5851" w:rsidRPr="00F4011D" w:rsidRDefault="009A3A42" w:rsidP="009054CC">
      <w:pPr>
        <w:pStyle w:val="Normalparatextwithnumbers"/>
        <w:rPr>
          <w:b/>
          <w:bCs/>
          <w:i/>
          <w:iCs/>
        </w:rPr>
      </w:pPr>
      <w:r>
        <w:t xml:space="preserve">The risk of significant harm to the public trust and confidence in the Australian not-for-profit sector is not limited to the entire sector, but also includes any part of it. </w:t>
      </w:r>
      <w:r w:rsidR="00DB646A">
        <w:t xml:space="preserve">This allows the Commissioner to authorise disclosure where </w:t>
      </w:r>
      <w:r w:rsidR="00D174B3">
        <w:t xml:space="preserve">this would prevent or minimise the risk of significant harm to </w:t>
      </w:r>
      <w:r w:rsidR="00D86A34">
        <w:t xml:space="preserve">trust and confidence in </w:t>
      </w:r>
      <w:r w:rsidR="0048001D">
        <w:t xml:space="preserve">part of the sector – for example, </w:t>
      </w:r>
      <w:r w:rsidR="00217434">
        <w:t xml:space="preserve">in particular types of </w:t>
      </w:r>
      <w:r w:rsidR="003E3118">
        <w:t xml:space="preserve">charities </w:t>
      </w:r>
      <w:r w:rsidR="002F153F">
        <w:t>–</w:t>
      </w:r>
      <w:r w:rsidR="003E3118">
        <w:t xml:space="preserve"> </w:t>
      </w:r>
      <w:r w:rsidR="002F153F">
        <w:t>even where the impact on the wider not</w:t>
      </w:r>
      <w:r w:rsidR="001C231E">
        <w:t>-</w:t>
      </w:r>
      <w:r w:rsidR="002F153F">
        <w:t>f</w:t>
      </w:r>
      <w:r w:rsidR="007074CF">
        <w:t>o</w:t>
      </w:r>
      <w:r w:rsidR="002F153F">
        <w:t>r</w:t>
      </w:r>
      <w:r w:rsidR="001C231E">
        <w:t>-</w:t>
      </w:r>
      <w:r w:rsidR="002F153F">
        <w:t xml:space="preserve">profit sector </w:t>
      </w:r>
      <w:r w:rsidR="007074CF">
        <w:t>may be</w:t>
      </w:r>
      <w:r w:rsidR="002F153F">
        <w:t xml:space="preserve"> less significant.</w:t>
      </w:r>
      <w:r w:rsidR="00F4011D">
        <w:br/>
      </w:r>
      <w:r w:rsidR="003A24E0" w:rsidRPr="00F4011D">
        <w:rPr>
          <w:b/>
          <w:bCs/>
          <w:i/>
          <w:iCs/>
        </w:rPr>
        <w:t xml:space="preserve">[Schedule [X], item 1, </w:t>
      </w:r>
      <w:r w:rsidR="00B94D6A" w:rsidRPr="00F4011D">
        <w:rPr>
          <w:b/>
          <w:bCs/>
          <w:i/>
          <w:iCs/>
        </w:rPr>
        <w:t>subparagraph</w:t>
      </w:r>
      <w:r w:rsidR="003A24E0" w:rsidRPr="00F4011D">
        <w:rPr>
          <w:b/>
          <w:bCs/>
          <w:i/>
          <w:iCs/>
        </w:rPr>
        <w:t xml:space="preserve"> 150-52(3)(c)</w:t>
      </w:r>
      <w:r w:rsidR="00A51A30" w:rsidRPr="00F4011D">
        <w:rPr>
          <w:b/>
          <w:bCs/>
          <w:i/>
          <w:iCs/>
        </w:rPr>
        <w:t>(iii</w:t>
      </w:r>
      <w:r w:rsidR="003A24E0" w:rsidRPr="00F4011D">
        <w:rPr>
          <w:b/>
          <w:bCs/>
          <w:i/>
          <w:iCs/>
        </w:rPr>
        <w:t>) of the ACNC Act]</w:t>
      </w:r>
    </w:p>
    <w:p w14:paraId="55F6119E" w14:textId="66CAC2F6" w:rsidR="004C2F8F" w:rsidRPr="00F4011D" w:rsidRDefault="004C2F8F" w:rsidP="00203844">
      <w:pPr>
        <w:pStyle w:val="Normalparatextwithnumbers"/>
        <w:rPr>
          <w:b/>
          <w:bCs/>
          <w:i/>
          <w:iCs/>
        </w:rPr>
      </w:pPr>
      <w:r>
        <w:t>If the information being considered for disclosure contains personal information, within the meaning of the Privacy Act, the Commissioner must be satisfied that the disclosure is necessary to achieve the objects of the ACNC Act before deciding to make a disclosure.</w:t>
      </w:r>
      <w:r w:rsidR="00F4011D">
        <w:br/>
      </w:r>
      <w:r w:rsidRPr="00F4011D">
        <w:rPr>
          <w:b/>
          <w:bCs/>
          <w:i/>
          <w:iCs/>
        </w:rPr>
        <w:t xml:space="preserve">[Schedule [X], item 1, </w:t>
      </w:r>
      <w:r w:rsidR="00B94D6A" w:rsidRPr="00F4011D">
        <w:rPr>
          <w:b/>
          <w:bCs/>
          <w:i/>
          <w:iCs/>
        </w:rPr>
        <w:t>paragraph</w:t>
      </w:r>
      <w:r w:rsidRPr="00F4011D">
        <w:rPr>
          <w:b/>
          <w:bCs/>
          <w:i/>
          <w:iCs/>
        </w:rPr>
        <w:t xml:space="preserve"> 150-52(3)(d) of the ACNC Act]</w:t>
      </w:r>
    </w:p>
    <w:p w14:paraId="548E9978" w14:textId="0B3996E1" w:rsidR="00527CBE" w:rsidRDefault="00347393" w:rsidP="005749EB">
      <w:pPr>
        <w:pStyle w:val="Normalparatextwithnumbers"/>
      </w:pPr>
      <w:r>
        <w:t xml:space="preserve">Even if the Commissioner determines that the disclosure of the information is necessary to prevent or minimise the risk of significant harm or </w:t>
      </w:r>
      <w:r w:rsidR="00CE783E">
        <w:t>significant</w:t>
      </w:r>
      <w:r>
        <w:t xml:space="preserve"> </w:t>
      </w:r>
      <w:r w:rsidR="00AE1367">
        <w:t>mismanagement</w:t>
      </w:r>
      <w:r>
        <w:t xml:space="preserve"> or </w:t>
      </w:r>
      <w:r w:rsidR="00AE1367">
        <w:t>misappropriation</w:t>
      </w:r>
      <w:r>
        <w:t xml:space="preserve"> under </w:t>
      </w:r>
      <w:r w:rsidR="00B94D6A">
        <w:t>paragraph</w:t>
      </w:r>
      <w:r>
        <w:t xml:space="preserve"> </w:t>
      </w:r>
      <w:r w:rsidR="00E169BD">
        <w:t>150-52</w:t>
      </w:r>
      <w:r>
        <w:t>(3)(c)</w:t>
      </w:r>
      <w:r w:rsidR="00AE1367">
        <w:t xml:space="preserve">, </w:t>
      </w:r>
      <w:r w:rsidR="00CE783E">
        <w:t xml:space="preserve">the Commissioner can only authorise the disclosure of information if </w:t>
      </w:r>
      <w:r w:rsidR="00792190">
        <w:t xml:space="preserve">any harm </w:t>
      </w:r>
      <w:r w:rsidR="00524DC5">
        <w:t>that is likely to be caused</w:t>
      </w:r>
      <w:r w:rsidR="00527CBE">
        <w:t xml:space="preserve"> </w:t>
      </w:r>
      <w:r w:rsidR="00830A26">
        <w:t xml:space="preserve">to </w:t>
      </w:r>
      <w:r w:rsidR="00527CBE">
        <w:t xml:space="preserve">the registered entity </w:t>
      </w:r>
      <w:r w:rsidR="00533264">
        <w:t>(mentioned in paragraph</w:t>
      </w:r>
      <w:r w:rsidR="00C245CF">
        <w:t> </w:t>
      </w:r>
      <w:r w:rsidR="00533264">
        <w:t>(3)(a))</w:t>
      </w:r>
      <w:r w:rsidR="00527CBE">
        <w:t xml:space="preserve"> </w:t>
      </w:r>
      <w:r w:rsidR="00B647B8">
        <w:t xml:space="preserve">through the disclosure </w:t>
      </w:r>
      <w:r w:rsidR="00527CBE">
        <w:t>is not disproportionate.</w:t>
      </w:r>
      <w:r w:rsidR="00527CBE">
        <w:br/>
      </w:r>
      <w:r w:rsidR="00B94D6A" w:rsidRPr="00B94D6A">
        <w:rPr>
          <w:rStyle w:val="References"/>
        </w:rPr>
        <w:t xml:space="preserve">[Schedule [X], item 1, </w:t>
      </w:r>
      <w:r w:rsidR="002E4C10">
        <w:rPr>
          <w:rStyle w:val="References"/>
        </w:rPr>
        <w:t>subsection</w:t>
      </w:r>
      <w:r w:rsidR="00B94D6A" w:rsidRPr="00B94D6A">
        <w:rPr>
          <w:rStyle w:val="References"/>
        </w:rPr>
        <w:t xml:space="preserve"> 150-52(</w:t>
      </w:r>
      <w:r w:rsidR="002E4C10">
        <w:rPr>
          <w:rStyle w:val="References"/>
        </w:rPr>
        <w:t>4</w:t>
      </w:r>
      <w:r w:rsidR="00B94D6A" w:rsidRPr="00B94D6A">
        <w:rPr>
          <w:rStyle w:val="References"/>
        </w:rPr>
        <w:t>) of the ACNC Act]</w:t>
      </w:r>
    </w:p>
    <w:p w14:paraId="2B68EF79" w14:textId="62817D14" w:rsidR="00AA5851" w:rsidRDefault="00527CBE" w:rsidP="005749EB">
      <w:pPr>
        <w:pStyle w:val="Normalparatextwithnumbers"/>
      </w:pPr>
      <w:r>
        <w:t xml:space="preserve">The Commissioner </w:t>
      </w:r>
      <w:r w:rsidR="00FB661F">
        <w:t>must also be satisfied that disclosure would not cause disproportionate harm to an individual</w:t>
      </w:r>
      <w:r w:rsidR="00F14954">
        <w:t xml:space="preserve"> who is</w:t>
      </w:r>
      <w:r w:rsidR="00B647B8">
        <w:t>:</w:t>
      </w:r>
      <w:r w:rsidR="00792190">
        <w:t xml:space="preserve"> </w:t>
      </w:r>
    </w:p>
    <w:p w14:paraId="3C87E2D0" w14:textId="3B5DE0F9" w:rsidR="005749EB" w:rsidRDefault="004F0D6A" w:rsidP="00203844">
      <w:pPr>
        <w:pStyle w:val="Dotpoint1"/>
      </w:pPr>
      <w:bookmarkStart w:id="45" w:name="tempbookmark"/>
      <w:r w:rsidRPr="004F0D6A">
        <w:t xml:space="preserve">employed by the </w:t>
      </w:r>
      <w:r w:rsidR="00BD7025">
        <w:t xml:space="preserve">registered </w:t>
      </w:r>
      <w:r w:rsidRPr="004F0D6A">
        <w:t>entity under a contract of service; or</w:t>
      </w:r>
    </w:p>
    <w:p w14:paraId="62F47BA4" w14:textId="1B8C82E1" w:rsidR="005749EB" w:rsidRDefault="004F0D6A" w:rsidP="00203844">
      <w:pPr>
        <w:pStyle w:val="Dotpoint1"/>
      </w:pPr>
      <w:r w:rsidRPr="004F0D6A">
        <w:t xml:space="preserve">engaged by the </w:t>
      </w:r>
      <w:r w:rsidR="00BD7025">
        <w:t xml:space="preserve">registered </w:t>
      </w:r>
      <w:r w:rsidRPr="004F0D6A">
        <w:t>entity under a contract for services; or</w:t>
      </w:r>
    </w:p>
    <w:p w14:paraId="47531BE9" w14:textId="3EC04B5F" w:rsidR="005749EB" w:rsidRDefault="007B27A9" w:rsidP="00203844">
      <w:pPr>
        <w:pStyle w:val="Dotpoint1"/>
      </w:pPr>
      <w:r w:rsidRPr="007B27A9">
        <w:lastRenderedPageBreak/>
        <w:t xml:space="preserve">being provided with services, or receiving benefits, under a program provided by the </w:t>
      </w:r>
      <w:r w:rsidR="00BD7025">
        <w:t xml:space="preserve">registered </w:t>
      </w:r>
      <w:r w:rsidRPr="007B27A9">
        <w:t>entity</w:t>
      </w:r>
      <w:r w:rsidR="004F0D6A" w:rsidRPr="004F0D6A">
        <w:t>; or</w:t>
      </w:r>
    </w:p>
    <w:p w14:paraId="066BE021" w14:textId="72184B28" w:rsidR="005749EB" w:rsidRDefault="004F0D6A" w:rsidP="00203844">
      <w:pPr>
        <w:pStyle w:val="Dotpoint1"/>
      </w:pPr>
      <w:r w:rsidRPr="004F0D6A">
        <w:t xml:space="preserve">a volunteer of the </w:t>
      </w:r>
      <w:r w:rsidR="00BD7025">
        <w:t xml:space="preserve">registered </w:t>
      </w:r>
      <w:r w:rsidRPr="004F0D6A">
        <w:t>entity; or</w:t>
      </w:r>
    </w:p>
    <w:p w14:paraId="23361A12" w14:textId="290840F5" w:rsidR="005749EB" w:rsidRDefault="004F0D6A" w:rsidP="00203844">
      <w:pPr>
        <w:pStyle w:val="Dotpoint1"/>
      </w:pPr>
      <w:r w:rsidRPr="004F0D6A">
        <w:t xml:space="preserve">a member of the </w:t>
      </w:r>
      <w:r w:rsidR="00BD7025">
        <w:t xml:space="preserve">registered </w:t>
      </w:r>
      <w:r w:rsidRPr="004F0D6A">
        <w:t>entity; or</w:t>
      </w:r>
      <w:bookmarkEnd w:id="45"/>
    </w:p>
    <w:p w14:paraId="2557EC8C" w14:textId="5ADC070D" w:rsidR="004F0D6A" w:rsidRPr="004F0D6A" w:rsidRDefault="004F0D6A" w:rsidP="00203844">
      <w:pPr>
        <w:pStyle w:val="Dotpoint1"/>
      </w:pPr>
      <w:r w:rsidRPr="004F0D6A">
        <w:t>otherwise connected to the</w:t>
      </w:r>
      <w:r w:rsidR="00F30303">
        <w:t xml:space="preserve"> </w:t>
      </w:r>
      <w:r w:rsidR="00BD7025">
        <w:t xml:space="preserve">registered </w:t>
      </w:r>
      <w:r w:rsidRPr="004F0D6A">
        <w:t>entity</w:t>
      </w:r>
      <w:r w:rsidR="00514DCD">
        <w:t>.</w:t>
      </w:r>
    </w:p>
    <w:p w14:paraId="0DD62B8E" w14:textId="69E75D4B" w:rsidR="004F0D6A" w:rsidRPr="00A51A30" w:rsidRDefault="00A51A30" w:rsidP="00A51A30">
      <w:pPr>
        <w:pStyle w:val="Normalparatextwithnumbers"/>
        <w:numPr>
          <w:ilvl w:val="0"/>
          <w:numId w:val="0"/>
        </w:numPr>
        <w:ind w:left="709"/>
        <w:rPr>
          <w:b/>
          <w:bCs/>
          <w:i/>
          <w:iCs/>
        </w:rPr>
      </w:pPr>
      <w:r w:rsidRPr="00A51A30">
        <w:rPr>
          <w:b/>
          <w:bCs/>
          <w:i/>
          <w:iCs/>
        </w:rPr>
        <w:t xml:space="preserve">[Schedule [X], item 1, </w:t>
      </w:r>
      <w:r w:rsidR="00B94D6A">
        <w:rPr>
          <w:b/>
          <w:bCs/>
          <w:i/>
          <w:iCs/>
        </w:rPr>
        <w:t>paragraphs</w:t>
      </w:r>
      <w:r w:rsidRPr="00A51A30">
        <w:rPr>
          <w:b/>
          <w:bCs/>
          <w:i/>
          <w:iCs/>
        </w:rPr>
        <w:t xml:space="preserve"> 150-52(</w:t>
      </w:r>
      <w:r w:rsidR="007F2C8E">
        <w:rPr>
          <w:b/>
          <w:bCs/>
          <w:i/>
          <w:iCs/>
        </w:rPr>
        <w:t>4</w:t>
      </w:r>
      <w:r w:rsidRPr="00A51A30">
        <w:rPr>
          <w:b/>
          <w:bCs/>
          <w:i/>
          <w:iCs/>
        </w:rPr>
        <w:t>)(</w:t>
      </w:r>
      <w:r w:rsidR="007F2C8E">
        <w:rPr>
          <w:b/>
          <w:bCs/>
          <w:i/>
          <w:iCs/>
        </w:rPr>
        <w:t>a</w:t>
      </w:r>
      <w:r w:rsidRPr="00A51A30">
        <w:rPr>
          <w:b/>
          <w:bCs/>
          <w:i/>
          <w:iCs/>
        </w:rPr>
        <w:t>)</w:t>
      </w:r>
      <w:r w:rsidR="007F2C8E">
        <w:rPr>
          <w:b/>
          <w:bCs/>
          <w:i/>
          <w:iCs/>
        </w:rPr>
        <w:t>-(f</w:t>
      </w:r>
      <w:r w:rsidRPr="00A51A30">
        <w:rPr>
          <w:b/>
          <w:bCs/>
          <w:i/>
          <w:iCs/>
        </w:rPr>
        <w:t>) of the ACNC Act]</w:t>
      </w:r>
    </w:p>
    <w:p w14:paraId="0F8E01BA" w14:textId="23BC9538" w:rsidR="0063353C" w:rsidRDefault="0063353C" w:rsidP="00D25F91">
      <w:pPr>
        <w:pStyle w:val="Normalparatextwithnumbers"/>
      </w:pPr>
      <w:r>
        <w:t xml:space="preserve">In determining whether the </w:t>
      </w:r>
      <w:r w:rsidR="005E6573">
        <w:t xml:space="preserve">harm likely to be caused to the </w:t>
      </w:r>
      <w:r w:rsidR="00862662">
        <w:t xml:space="preserve">registered </w:t>
      </w:r>
      <w:r w:rsidR="005E6573">
        <w:t>entity or to an individual listed in paragraphs</w:t>
      </w:r>
      <w:r w:rsidR="005E6573" w:rsidRPr="00654A7D">
        <w:t xml:space="preserve"> 150-52(4)(a)-(f</w:t>
      </w:r>
      <w:r w:rsidR="005E6573">
        <w:t>))</w:t>
      </w:r>
      <w:r w:rsidR="00425BBE">
        <w:t xml:space="preserve"> is disproportionate, the Commissioner must have regard to:</w:t>
      </w:r>
    </w:p>
    <w:p w14:paraId="27896E2F" w14:textId="14B540FD" w:rsidR="00425BBE" w:rsidRDefault="00EF0F48" w:rsidP="00425BBE">
      <w:pPr>
        <w:pStyle w:val="Dotpoint1"/>
      </w:pPr>
      <w:r>
        <w:t>t</w:t>
      </w:r>
      <w:r w:rsidR="00425BBE">
        <w:t xml:space="preserve">he </w:t>
      </w:r>
      <w:r w:rsidR="00325143">
        <w:t>risk and significan</w:t>
      </w:r>
      <w:r w:rsidR="00030A7C">
        <w:t>ce</w:t>
      </w:r>
      <w:r w:rsidR="00325143">
        <w:t xml:space="preserve"> of harm (or mismanagement or misappropriation) under paragraph 150-52(3)(c); and</w:t>
      </w:r>
    </w:p>
    <w:p w14:paraId="2AF08AAC" w14:textId="77777777" w:rsidR="00EF0F48" w:rsidRDefault="00325143" w:rsidP="00425BBE">
      <w:pPr>
        <w:pStyle w:val="Dotpoint1"/>
      </w:pPr>
      <w:r w:rsidRPr="00325143">
        <w:t>the seriousness of the suspected contravention or non-compliance</w:t>
      </w:r>
      <w:r w:rsidR="00EF0F48">
        <w:t>; and</w:t>
      </w:r>
    </w:p>
    <w:p w14:paraId="3C6159B6" w14:textId="0F3B9920" w:rsidR="00325143" w:rsidRDefault="00325143" w:rsidP="00425BBE">
      <w:pPr>
        <w:pStyle w:val="Dotpoint1"/>
      </w:pPr>
      <w:r w:rsidRPr="00325143">
        <w:t>the strength of the evidence available to the Commissioner</w:t>
      </w:r>
      <w:r w:rsidR="007B6EB0">
        <w:t>; and</w:t>
      </w:r>
    </w:p>
    <w:p w14:paraId="60DFEBDF" w14:textId="14309196" w:rsidR="007B6EB0" w:rsidRDefault="007B6EB0" w:rsidP="00425BBE">
      <w:pPr>
        <w:pStyle w:val="Dotpoint1"/>
      </w:pPr>
      <w:r w:rsidRPr="007B6EB0">
        <w:t xml:space="preserve">whether the suspected contravention or non-compliance is </w:t>
      </w:r>
      <w:r w:rsidR="009D6018">
        <w:t xml:space="preserve">likely to be </w:t>
      </w:r>
      <w:r w:rsidRPr="007B6EB0">
        <w:t xml:space="preserve">the result of an act or omission of the registered entity, or </w:t>
      </w:r>
      <w:r w:rsidR="00FB50CC">
        <w:t xml:space="preserve">of </w:t>
      </w:r>
      <w:r w:rsidRPr="007B6EB0">
        <w:t>an individual who has acted without the authority of the registered entity.</w:t>
      </w:r>
    </w:p>
    <w:p w14:paraId="1DDE4309" w14:textId="05BE08DE" w:rsidR="00090CFE" w:rsidRDefault="007F2C8E" w:rsidP="00FB50CC">
      <w:pPr>
        <w:pStyle w:val="Normalparatextwithnumbers"/>
        <w:numPr>
          <w:ilvl w:val="0"/>
          <w:numId w:val="0"/>
        </w:numPr>
        <w:ind w:left="709"/>
        <w:rPr>
          <w:b/>
          <w:bCs/>
          <w:i/>
          <w:iCs/>
        </w:rPr>
      </w:pPr>
      <w:r w:rsidRPr="007F2C8E">
        <w:rPr>
          <w:b/>
          <w:bCs/>
          <w:i/>
          <w:iCs/>
        </w:rPr>
        <w:t xml:space="preserve">[Schedule [X], item 1, </w:t>
      </w:r>
      <w:r w:rsidR="00B94D6A">
        <w:rPr>
          <w:b/>
          <w:bCs/>
          <w:i/>
          <w:iCs/>
        </w:rPr>
        <w:t>paragraphs</w:t>
      </w:r>
      <w:r w:rsidRPr="007F2C8E">
        <w:rPr>
          <w:b/>
          <w:bCs/>
          <w:i/>
          <w:iCs/>
        </w:rPr>
        <w:t xml:space="preserve"> 150-52(</w:t>
      </w:r>
      <w:r>
        <w:rPr>
          <w:b/>
          <w:bCs/>
          <w:i/>
          <w:iCs/>
        </w:rPr>
        <w:t>4</w:t>
      </w:r>
      <w:r w:rsidRPr="007F2C8E">
        <w:rPr>
          <w:b/>
          <w:bCs/>
          <w:i/>
          <w:iCs/>
        </w:rPr>
        <w:t>)(</w:t>
      </w:r>
      <w:r>
        <w:rPr>
          <w:b/>
          <w:bCs/>
          <w:i/>
          <w:iCs/>
        </w:rPr>
        <w:t>g</w:t>
      </w:r>
      <w:r w:rsidRPr="007F2C8E">
        <w:rPr>
          <w:b/>
          <w:bCs/>
          <w:i/>
          <w:iCs/>
        </w:rPr>
        <w:t>)</w:t>
      </w:r>
      <w:r>
        <w:rPr>
          <w:b/>
          <w:bCs/>
          <w:i/>
          <w:iCs/>
        </w:rPr>
        <w:t>-(</w:t>
      </w:r>
      <w:proofErr w:type="spellStart"/>
      <w:r>
        <w:rPr>
          <w:b/>
          <w:bCs/>
          <w:i/>
          <w:iCs/>
        </w:rPr>
        <w:t>i</w:t>
      </w:r>
      <w:proofErr w:type="spellEnd"/>
      <w:r>
        <w:rPr>
          <w:b/>
          <w:bCs/>
          <w:i/>
          <w:iCs/>
        </w:rPr>
        <w:t>)</w:t>
      </w:r>
      <w:r w:rsidRPr="007F2C8E">
        <w:rPr>
          <w:b/>
          <w:bCs/>
          <w:i/>
          <w:iCs/>
        </w:rPr>
        <w:t xml:space="preserve"> of the ACNC Act]</w:t>
      </w:r>
    </w:p>
    <w:p w14:paraId="3987D776" w14:textId="2FFC4A0C" w:rsidR="00F32A22" w:rsidRPr="00FB50CC" w:rsidRDefault="00076E37" w:rsidP="00277911">
      <w:pPr>
        <w:pStyle w:val="Normalparatextwithnumbers"/>
      </w:pPr>
      <w:r>
        <w:t xml:space="preserve">Consideration of these factors may involve </w:t>
      </w:r>
      <w:r w:rsidR="00BE2B71">
        <w:t xml:space="preserve">weighing them against each other. For example, </w:t>
      </w:r>
      <w:r w:rsidR="00811932">
        <w:t xml:space="preserve">if only limited evidence is available to the Commissioner, that may </w:t>
      </w:r>
      <w:r w:rsidR="009F22CA">
        <w:t>be a factor against disclosure</w:t>
      </w:r>
      <w:r w:rsidR="00AE4279">
        <w:t>. However,</w:t>
      </w:r>
      <w:r w:rsidR="009F22CA">
        <w:t xml:space="preserve"> if the </w:t>
      </w:r>
      <w:r w:rsidR="004E5CC7">
        <w:t xml:space="preserve">suspected </w:t>
      </w:r>
      <w:r w:rsidR="009A7A72">
        <w:t xml:space="preserve">contravention or non-compliance is very severe, the Commissioner may consider that </w:t>
      </w:r>
      <w:r w:rsidR="00E60EC7">
        <w:t xml:space="preserve">the harm </w:t>
      </w:r>
      <w:r w:rsidR="0076408B">
        <w:t xml:space="preserve">likely to be caused to the registered entity or an individual is not </w:t>
      </w:r>
      <w:r w:rsidR="009B20D4">
        <w:t>disproportionate to the public harm that disclosure would avoid</w:t>
      </w:r>
      <w:r w:rsidR="004D53A3">
        <w:t>, and therefore authorise disclosure</w:t>
      </w:r>
      <w:r w:rsidR="009B7206">
        <w:t xml:space="preserve"> even where there is limited evidence</w:t>
      </w:r>
      <w:r w:rsidR="004D53A3">
        <w:t>.</w:t>
      </w:r>
    </w:p>
    <w:p w14:paraId="693C65C8" w14:textId="67B7F479" w:rsidR="00167FF8" w:rsidRPr="00167FF8" w:rsidRDefault="00167FF8" w:rsidP="009552A3">
      <w:pPr>
        <w:pStyle w:val="Heading3"/>
        <w:rPr>
          <w:rFonts w:hint="eastAsia"/>
        </w:rPr>
      </w:pPr>
      <w:r>
        <w:t xml:space="preserve">Notifying an </w:t>
      </w:r>
      <w:r w:rsidR="00321896">
        <w:t>e</w:t>
      </w:r>
      <w:r>
        <w:t>ntity</w:t>
      </w:r>
      <w:r w:rsidR="00321896">
        <w:t xml:space="preserve"> before publication</w:t>
      </w:r>
    </w:p>
    <w:p w14:paraId="5A308C60" w14:textId="1473E687" w:rsidR="007531A3" w:rsidRPr="00F4011D" w:rsidRDefault="005540E8" w:rsidP="00F61218">
      <w:pPr>
        <w:pStyle w:val="Normalparatextwithnumbers"/>
        <w:rPr>
          <w:b/>
          <w:bCs/>
          <w:i/>
          <w:iCs/>
        </w:rPr>
      </w:pPr>
      <w:r>
        <w:t>T</w:t>
      </w:r>
      <w:r w:rsidR="00202149">
        <w:t>he Commissioner may give written notice to an entity advising them that the Commissioner is considering giving an authorisation</w:t>
      </w:r>
      <w:r>
        <w:t xml:space="preserve"> to publicly disclose information that concerns th</w:t>
      </w:r>
      <w:r w:rsidR="00823C20">
        <w:t>at</w:t>
      </w:r>
      <w:r>
        <w:t xml:space="preserve"> entity. </w:t>
      </w:r>
      <w:r w:rsidR="00AC3A7A">
        <w:t xml:space="preserve">The </w:t>
      </w:r>
      <w:r w:rsidR="00AC3A7A" w:rsidDel="000709CC">
        <w:t xml:space="preserve">entity </w:t>
      </w:r>
      <w:r w:rsidR="00C57A1A">
        <w:t>the</w:t>
      </w:r>
      <w:r w:rsidR="00F50241">
        <w:t xml:space="preserve"> Commissioner may give</w:t>
      </w:r>
      <w:r w:rsidR="00AC3A7A">
        <w:t xml:space="preserve"> notice</w:t>
      </w:r>
      <w:r w:rsidR="00F50241">
        <w:t xml:space="preserve"> </w:t>
      </w:r>
      <w:r w:rsidR="00AC3A7A">
        <w:t xml:space="preserve">to is not limited to the </w:t>
      </w:r>
      <w:r w:rsidR="00942980">
        <w:t xml:space="preserve">registered entity </w:t>
      </w:r>
      <w:r w:rsidR="00B03A27">
        <w:t>mentioned in paragraph (3)(a</w:t>
      </w:r>
      <w:proofErr w:type="gramStart"/>
      <w:r w:rsidR="00B03A27">
        <w:t>)</w:t>
      </w:r>
      <w:r w:rsidR="00942980">
        <w:t xml:space="preserve">, </w:t>
      </w:r>
      <w:r w:rsidR="00AC3A7A">
        <w:t>but</w:t>
      </w:r>
      <w:proofErr w:type="gramEnd"/>
      <w:r w:rsidR="00AC3A7A">
        <w:t xml:space="preserve"> can include </w:t>
      </w:r>
      <w:r w:rsidR="00125511">
        <w:t xml:space="preserve">any other entity </w:t>
      </w:r>
      <w:r w:rsidR="00942980">
        <w:t>that may be affected by the disclosure</w:t>
      </w:r>
      <w:r w:rsidR="00125511">
        <w:t xml:space="preserve">. </w:t>
      </w:r>
      <w:r w:rsidR="00D43F9D">
        <w:t>Any such notice does not constitute a legislative instrument, as</w:t>
      </w:r>
      <w:r w:rsidR="00EE6375">
        <w:t xml:space="preserve"> </w:t>
      </w:r>
      <w:r w:rsidR="001D6213">
        <w:t xml:space="preserve">table </w:t>
      </w:r>
      <w:r w:rsidR="00EE6375">
        <w:t xml:space="preserve">item 18 </w:t>
      </w:r>
      <w:r w:rsidR="00FE53E1">
        <w:t>in</w:t>
      </w:r>
      <w:r w:rsidR="00D43F9D">
        <w:t xml:space="preserve"> section 6 of the </w:t>
      </w:r>
      <w:r w:rsidR="00D43F9D" w:rsidRPr="00F4011D">
        <w:rPr>
          <w:i/>
          <w:iCs/>
        </w:rPr>
        <w:t>Legislation (Exemptions and Other Matters) Regulation 2015</w:t>
      </w:r>
      <w:r w:rsidR="00D43F9D">
        <w:t xml:space="preserve"> provides that a notice of a proposed decision is not a legislative instrument. </w:t>
      </w:r>
      <w:r w:rsidR="00F4011D">
        <w:br/>
      </w:r>
      <w:r w:rsidR="006D5F18" w:rsidRPr="00F4011D">
        <w:rPr>
          <w:b/>
          <w:bCs/>
          <w:i/>
          <w:iCs/>
        </w:rPr>
        <w:t>[Schedule [X], item 1, subsection 150-52(</w:t>
      </w:r>
      <w:r w:rsidR="00C57A1A" w:rsidRPr="00F4011D">
        <w:rPr>
          <w:b/>
          <w:bCs/>
          <w:i/>
          <w:iCs/>
        </w:rPr>
        <w:t>5</w:t>
      </w:r>
      <w:r w:rsidR="006D5F18" w:rsidRPr="00F4011D">
        <w:rPr>
          <w:b/>
          <w:bCs/>
          <w:i/>
          <w:iCs/>
        </w:rPr>
        <w:t>) of the ACNC Act]</w:t>
      </w:r>
    </w:p>
    <w:p w14:paraId="2DFC002A" w14:textId="0C9C3DF7" w:rsidR="00E507B2" w:rsidRPr="00F4011D" w:rsidRDefault="00EC7E1F" w:rsidP="00F61218">
      <w:pPr>
        <w:pStyle w:val="Normalparatextwithnumbers"/>
        <w:rPr>
          <w:b/>
          <w:bCs/>
          <w:i/>
          <w:iCs/>
        </w:rPr>
      </w:pPr>
      <w:r>
        <w:t xml:space="preserve">An entity that receives notice from the Commissioner of a potential authorisation may provide a response to the Commissioner if they wish. </w:t>
      </w:r>
      <w:r w:rsidR="005A06D1">
        <w:t>The Commissioner may</w:t>
      </w:r>
      <w:r w:rsidR="0039166F">
        <w:t xml:space="preserve"> </w:t>
      </w:r>
      <w:r w:rsidR="005A06D1">
        <w:t xml:space="preserve">publish on the ACNC website a copy of an entity’s </w:t>
      </w:r>
      <w:proofErr w:type="gramStart"/>
      <w:r w:rsidR="005A06D1">
        <w:lastRenderedPageBreak/>
        <w:t>response</w:t>
      </w:r>
      <w:proofErr w:type="gramEnd"/>
      <w:r w:rsidR="005A06D1">
        <w:t xml:space="preserve"> or any information included in the response</w:t>
      </w:r>
      <w:r w:rsidR="00F50241">
        <w:t xml:space="preserve"> as long as the entity has not requested the response (or information in it) be kept confidential.</w:t>
      </w:r>
      <w:r w:rsidR="00F4011D">
        <w:br/>
      </w:r>
      <w:r w:rsidR="00E507B2" w:rsidRPr="00F4011D">
        <w:rPr>
          <w:b/>
          <w:bCs/>
          <w:i/>
          <w:iCs/>
        </w:rPr>
        <w:t>[Schedule [X], item 1, subsection 150-52(6) of the ACNC Act]</w:t>
      </w:r>
    </w:p>
    <w:p w14:paraId="5EBB1D47" w14:textId="01288B9C" w:rsidR="001921AD" w:rsidRPr="00F4011D" w:rsidRDefault="00C35537" w:rsidP="00855DC2">
      <w:pPr>
        <w:pStyle w:val="Normalparatextwithnumbers"/>
        <w:rPr>
          <w:b/>
          <w:bCs/>
          <w:i/>
          <w:iCs/>
        </w:rPr>
      </w:pPr>
      <w:r>
        <w:t>However, the Commissioner is not obliged to</w:t>
      </w:r>
      <w:r w:rsidR="00C96761">
        <w:t xml:space="preserve"> provide notice to an</w:t>
      </w:r>
      <w:r w:rsidR="00CB3641">
        <w:t>y</w:t>
      </w:r>
      <w:r w:rsidR="00C96761">
        <w:t xml:space="preserve"> entity</w:t>
      </w:r>
      <w:r w:rsidR="00794734">
        <w:t>, nor</w:t>
      </w:r>
      <w:r w:rsidR="00C96761">
        <w:t xml:space="preserve"> publish an entity’s response (or information in it)</w:t>
      </w:r>
      <w:r w:rsidR="004775EA">
        <w:t xml:space="preserve"> before they decide to authorise </w:t>
      </w:r>
      <w:r w:rsidR="006238AE">
        <w:t xml:space="preserve">the disclosure of the information. </w:t>
      </w:r>
      <w:r w:rsidR="00F4011D">
        <w:br/>
      </w:r>
      <w:r w:rsidR="004C5C32" w:rsidRPr="00F4011D">
        <w:rPr>
          <w:b/>
          <w:bCs/>
          <w:i/>
          <w:iCs/>
        </w:rPr>
        <w:t>[Schedule [X], item 1, subsection</w:t>
      </w:r>
      <w:r w:rsidR="00B94D6A" w:rsidRPr="00F4011D">
        <w:rPr>
          <w:b/>
          <w:bCs/>
          <w:i/>
          <w:iCs/>
        </w:rPr>
        <w:t>s</w:t>
      </w:r>
      <w:r w:rsidR="004C5C32" w:rsidRPr="00F4011D">
        <w:rPr>
          <w:b/>
          <w:bCs/>
          <w:i/>
          <w:iCs/>
        </w:rPr>
        <w:t xml:space="preserve"> 150-52(</w:t>
      </w:r>
      <w:r w:rsidR="00E507B2" w:rsidRPr="00F4011D">
        <w:rPr>
          <w:b/>
          <w:bCs/>
          <w:i/>
          <w:iCs/>
        </w:rPr>
        <w:t>4</w:t>
      </w:r>
      <w:r w:rsidR="004C5C32" w:rsidRPr="00F4011D">
        <w:rPr>
          <w:b/>
          <w:bCs/>
          <w:i/>
          <w:iCs/>
        </w:rPr>
        <w:t>) and (7) of the ACNC Act]</w:t>
      </w:r>
    </w:p>
    <w:p w14:paraId="6CBE0DED" w14:textId="2DFA9203" w:rsidR="000B55D7" w:rsidRDefault="000B55D7" w:rsidP="000B55D7">
      <w:pPr>
        <w:pStyle w:val="Heading3"/>
        <w:rPr>
          <w:rFonts w:hint="eastAsia"/>
        </w:rPr>
      </w:pPr>
      <w:r>
        <w:t>Use of offence-specific defences</w:t>
      </w:r>
    </w:p>
    <w:p w14:paraId="0C6EC6A7" w14:textId="2D8D6719" w:rsidR="000B55D7" w:rsidRDefault="005E3F14" w:rsidP="000B55D7">
      <w:pPr>
        <w:pStyle w:val="Normalparatextwithnumbers"/>
      </w:pPr>
      <w:r>
        <w:t xml:space="preserve">Section </w:t>
      </w:r>
      <w:r w:rsidR="00A9337E">
        <w:t>150-25</w:t>
      </w:r>
      <w:r>
        <w:t xml:space="preserve"> of the ACNC Act makes it an offence for </w:t>
      </w:r>
      <w:r w:rsidR="00857F79">
        <w:t xml:space="preserve">an </w:t>
      </w:r>
      <w:r>
        <w:t>ACNC officer</w:t>
      </w:r>
      <w:r w:rsidR="00857F79">
        <w:t xml:space="preserve"> </w:t>
      </w:r>
      <w:r w:rsidR="00E07211">
        <w:t xml:space="preserve">to use or disclose protected ACNC information. </w:t>
      </w:r>
      <w:r w:rsidR="003D7A36">
        <w:t xml:space="preserve">The ACNC Act contains </w:t>
      </w:r>
      <w:proofErr w:type="gramStart"/>
      <w:r w:rsidR="003D7A36">
        <w:t>a number of</w:t>
      </w:r>
      <w:proofErr w:type="gramEnd"/>
      <w:r w:rsidR="003D7A36">
        <w:t xml:space="preserve"> exceptions that allow for the disclosure of protected ACNC information in limited circumstances.</w:t>
      </w:r>
    </w:p>
    <w:p w14:paraId="60951215" w14:textId="42A0BB76" w:rsidR="003D7A36" w:rsidRDefault="00742860">
      <w:pPr>
        <w:pStyle w:val="Normalparatextwithnumbers"/>
      </w:pPr>
      <w:r>
        <w:t xml:space="preserve">The exception inserted into the ACNC Act by Schedule [X] </w:t>
      </w:r>
      <w:r w:rsidR="00A50186">
        <w:t xml:space="preserve">therefore reverses the evidential burden of proof. </w:t>
      </w:r>
      <w:r w:rsidR="003320CC">
        <w:t>The Guide to Framing Commonwealth Offences states that the use of offence-specific offences will be appropriate in circumstances where the matter is peculiarly within the knowledge of the defendant, and it would be significantly more difficult and costly for the prosecution to disprove the matter.</w:t>
      </w:r>
    </w:p>
    <w:p w14:paraId="60E86A9B" w14:textId="55BC5241" w:rsidR="003320CC" w:rsidRPr="000B55D7" w:rsidRDefault="005558C8" w:rsidP="00277911">
      <w:pPr>
        <w:pStyle w:val="Normalparatextwithnumbers"/>
      </w:pPr>
      <w:r>
        <w:t xml:space="preserve">A disclosure can only be made </w:t>
      </w:r>
      <w:r w:rsidR="0073568B">
        <w:t>where authorised by the Commissioner</w:t>
      </w:r>
      <w:r w:rsidR="007C0DDD">
        <w:t xml:space="preserve">, and the Commissioner may </w:t>
      </w:r>
      <w:r w:rsidR="002E3839">
        <w:t xml:space="preserve">only </w:t>
      </w:r>
      <w:r w:rsidR="007C0DDD">
        <w:t>autho</w:t>
      </w:r>
      <w:r w:rsidR="002E3839">
        <w:t xml:space="preserve">rise disclosure of information relating to </w:t>
      </w:r>
      <w:r w:rsidR="00EC74B0">
        <w:t xml:space="preserve">ongoing or proposed </w:t>
      </w:r>
      <w:r w:rsidR="00045ADF">
        <w:t>recognise</w:t>
      </w:r>
      <w:r w:rsidR="003A7866">
        <w:t>d</w:t>
      </w:r>
      <w:r w:rsidR="00EC74B0">
        <w:t xml:space="preserve"> assessment activit</w:t>
      </w:r>
      <w:r w:rsidR="007D672E">
        <w:t xml:space="preserve">y. Whether the Commissioner has authorised disclosure, and whether </w:t>
      </w:r>
      <w:r w:rsidR="004B2946">
        <w:t>the</w:t>
      </w:r>
      <w:r w:rsidR="004C316D">
        <w:t xml:space="preserve"> ACNC is currently or proposing to conduct </w:t>
      </w:r>
      <w:r w:rsidR="003A7866">
        <w:t>recognised</w:t>
      </w:r>
      <w:r w:rsidR="004C316D">
        <w:t xml:space="preserve"> assessment activity into a</w:t>
      </w:r>
      <w:r w:rsidR="00EC4212">
        <w:t xml:space="preserve"> registered entity, </w:t>
      </w:r>
      <w:r w:rsidR="004F6991">
        <w:t xml:space="preserve">is peculiarly within the knowledge of ACNC officers. </w:t>
      </w:r>
      <w:r w:rsidR="00155909">
        <w:t xml:space="preserve">It may also be more difficult and costly for the prosecution to prove the matter. </w:t>
      </w:r>
      <w:r w:rsidR="002C3F7F">
        <w:t>Therefore, it is appropriate to reverse the evidential burden of proof in this instance.</w:t>
      </w:r>
    </w:p>
    <w:p w14:paraId="251D2037" w14:textId="77777777" w:rsidR="00873094" w:rsidRPr="00020288" w:rsidRDefault="00873094" w:rsidP="00AF50CE">
      <w:pPr>
        <w:pStyle w:val="Heading2"/>
        <w:rPr>
          <w:rFonts w:hint="eastAsia"/>
        </w:rPr>
      </w:pPr>
      <w:bookmarkStart w:id="46" w:name="_Toc78193246"/>
      <w:bookmarkStart w:id="47" w:name="_Toc78193403"/>
      <w:bookmarkStart w:id="48" w:name="_Toc78548476"/>
      <w:bookmarkStart w:id="49" w:name="_Toc78549747"/>
      <w:bookmarkStart w:id="50" w:name="_Toc78549791"/>
      <w:r w:rsidRPr="00020288">
        <w:t xml:space="preserve">Commencement, </w:t>
      </w:r>
      <w:r w:rsidRPr="00AF50CE">
        <w:t>application</w:t>
      </w:r>
      <w:r w:rsidRPr="00020288">
        <w:t>, and transitional provisions</w:t>
      </w:r>
    </w:p>
    <w:p w14:paraId="6969B678" w14:textId="338CA49F" w:rsidR="009A5A85" w:rsidRDefault="005B6733">
      <w:pPr>
        <w:pStyle w:val="Normalparatextwithnumbers"/>
      </w:pPr>
      <w:r>
        <w:t>Schedule [</w:t>
      </w:r>
      <w:r w:rsidR="00067C95">
        <w:t>X</w:t>
      </w:r>
      <w:r>
        <w:t>] to the Bill commences the day after Royal Assent</w:t>
      </w:r>
      <w:r w:rsidR="009A5A85">
        <w:t>.</w:t>
      </w:r>
    </w:p>
    <w:p w14:paraId="178A074B" w14:textId="1E2675B9" w:rsidR="009A5A85" w:rsidRPr="00020288" w:rsidRDefault="008C0123" w:rsidP="009A5A85">
      <w:pPr>
        <w:pStyle w:val="Normalparatextwithnumbers"/>
      </w:pPr>
      <w:r>
        <w:t xml:space="preserve">The amendments apply </w:t>
      </w:r>
      <w:r w:rsidR="00EA4719">
        <w:t>in re</w:t>
      </w:r>
      <w:r w:rsidR="00BA1240">
        <w:t>lation to recognised assessment activity</w:t>
      </w:r>
      <w:r w:rsidR="00067C95">
        <w:t xml:space="preserve"> carried out by the Commissioner on or after commencement</w:t>
      </w:r>
      <w:r w:rsidR="007C6FDC">
        <w:t xml:space="preserve"> relating to conduct</w:t>
      </w:r>
      <w:r w:rsidR="0050047A">
        <w:t xml:space="preserve"> of a</w:t>
      </w:r>
      <w:r w:rsidR="00BD7025">
        <w:t xml:space="preserve"> registered</w:t>
      </w:r>
      <w:r w:rsidR="0050047A">
        <w:t xml:space="preserve"> entity before, on or after commencement</w:t>
      </w:r>
      <w:r w:rsidR="009A5A85">
        <w:t>.</w:t>
      </w:r>
      <w:r w:rsidR="0050047A">
        <w:t xml:space="preserve"> This ensures that </w:t>
      </w:r>
      <w:r w:rsidR="00743D62">
        <w:t>the ACNC may disclose information about investigations which are ongoing at the time of commencement.</w:t>
      </w:r>
      <w:r w:rsidR="00743D62">
        <w:br/>
      </w:r>
      <w:r w:rsidR="00743D62" w:rsidRPr="00ED0733">
        <w:rPr>
          <w:rStyle w:val="References"/>
        </w:rPr>
        <w:t xml:space="preserve">[Schedule </w:t>
      </w:r>
      <w:r w:rsidR="00743D62">
        <w:rPr>
          <w:rStyle w:val="References"/>
        </w:rPr>
        <w:t>[X]</w:t>
      </w:r>
      <w:r w:rsidR="00743D62" w:rsidRPr="00ED0733">
        <w:rPr>
          <w:rStyle w:val="References"/>
        </w:rPr>
        <w:t>, item</w:t>
      </w:r>
      <w:r w:rsidR="00743D62">
        <w:rPr>
          <w:rStyle w:val="References"/>
        </w:rPr>
        <w:t xml:space="preserve"> </w:t>
      </w:r>
      <w:r w:rsidR="009A2CCA">
        <w:rPr>
          <w:rStyle w:val="References"/>
        </w:rPr>
        <w:t>2</w:t>
      </w:r>
      <w:r w:rsidR="00743D62" w:rsidRPr="00ED0733">
        <w:rPr>
          <w:rStyle w:val="References"/>
        </w:rPr>
        <w:t xml:space="preserve">] </w:t>
      </w:r>
    </w:p>
    <w:bookmarkEnd w:id="5"/>
    <w:bookmarkEnd w:id="46"/>
    <w:bookmarkEnd w:id="47"/>
    <w:bookmarkEnd w:id="48"/>
    <w:bookmarkEnd w:id="49"/>
    <w:bookmarkEnd w:id="50"/>
    <w:p w14:paraId="0C119981" w14:textId="77777777" w:rsidR="00B77D03" w:rsidRDefault="00B77D03" w:rsidP="004E3874">
      <w:pPr>
        <w:pStyle w:val="Normalparatextnonumbers"/>
      </w:pPr>
    </w:p>
    <w:sectPr w:rsidR="00B77D03" w:rsidSect="00000BFC">
      <w:headerReference w:type="first" r:id="rId2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AC3F" w14:textId="77777777" w:rsidR="00BD21EC" w:rsidRDefault="00BD21EC">
      <w:pPr>
        <w:spacing w:before="0" w:after="0"/>
      </w:pPr>
      <w:r>
        <w:separator/>
      </w:r>
    </w:p>
  </w:endnote>
  <w:endnote w:type="continuationSeparator" w:id="0">
    <w:p w14:paraId="5F230F64" w14:textId="77777777" w:rsidR="00BD21EC" w:rsidRDefault="00BD21EC">
      <w:pPr>
        <w:spacing w:before="0" w:after="0"/>
      </w:pPr>
      <w:r>
        <w:continuationSeparator/>
      </w:r>
    </w:p>
  </w:endnote>
  <w:endnote w:type="continuationNotice" w:id="1">
    <w:p w14:paraId="600E746E" w14:textId="77777777" w:rsidR="00BD21EC" w:rsidRDefault="00BD21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6C7C" w14:textId="1919BB07" w:rsidR="004E3874" w:rsidRDefault="004E3874" w:rsidP="004E3874">
    <w:pPr>
      <w:pStyle w:val="leftfoo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A1D" w14:textId="1044850C" w:rsidR="004E3874" w:rsidRDefault="004E3874" w:rsidP="004E3874">
    <w:pPr>
      <w:pStyle w:val="rightfooter"/>
    </w:pPr>
    <w:r>
      <w:fldChar w:fldCharType="begin"/>
    </w:r>
    <w:r>
      <w:instrText xml:space="preserve"> PAGE  \* MERGEFORMAT </w:instrText>
    </w:r>
    <w:r>
      <w:fldChar w:fldCharType="separate"/>
    </w:r>
    <w:r>
      <w:rPr>
        <w:noProof/>
      </w:rPr>
      <w:t>iii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A4BB"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6F29"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770C" w14:textId="77777777" w:rsidR="007A2DBD" w:rsidRPr="00091474" w:rsidRDefault="007A2DBD" w:rsidP="004E3874">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90F4" w14:textId="77777777" w:rsidR="00BD21EC" w:rsidRDefault="00BD21EC">
      <w:pPr>
        <w:spacing w:before="0" w:after="0"/>
      </w:pPr>
      <w:r>
        <w:separator/>
      </w:r>
    </w:p>
  </w:footnote>
  <w:footnote w:type="continuationSeparator" w:id="0">
    <w:p w14:paraId="62305A2B" w14:textId="77777777" w:rsidR="00BD21EC" w:rsidRDefault="00BD21EC">
      <w:pPr>
        <w:spacing w:before="0" w:after="0"/>
      </w:pPr>
      <w:r>
        <w:continuationSeparator/>
      </w:r>
    </w:p>
  </w:footnote>
  <w:footnote w:type="continuationNotice" w:id="1">
    <w:p w14:paraId="43D88DEB" w14:textId="77777777" w:rsidR="00BD21EC" w:rsidRDefault="00BD21E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69FCCEBF" w14:textId="77777777" w:rsidR="007A2DBD" w:rsidRDefault="00CF29F6">
        <w:pPr>
          <w:pStyle w:val="Header"/>
        </w:pPr>
        <w:r>
          <w:rPr>
            <w:noProof/>
          </w:rPr>
          <w:pict w14:anchorId="359DA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D495"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D31D" w14:textId="77777777"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E91AF1">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E538"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0EAA" w14:textId="57BF7135" w:rsidR="007A2DBD" w:rsidRPr="004E3874" w:rsidRDefault="00BF22B9" w:rsidP="004E3874">
    <w:pPr>
      <w:pStyle w:val="leftheader"/>
    </w:pPr>
    <w:fldSimple w:instr=" STYLEREF &quot;Chapter heading&quot; \* MERGEFORMAT ">
      <w:r w:rsidR="00CF29F6">
        <w:rPr>
          <w:noProof/>
        </w:rPr>
        <w:t>ACNC Review Rec 17 – Secrecy Provisions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3C4F" w14:textId="41CA8803" w:rsidR="007A2DBD" w:rsidRPr="004E3874" w:rsidRDefault="00BF22B9" w:rsidP="004E3874">
    <w:pPr>
      <w:pStyle w:val="rightheader"/>
    </w:pPr>
    <w:fldSimple w:instr=" STYLEREF &quot;Bill Name&quot; \* MERGEFORMAT ">
      <w:r w:rsidR="00CF29F6">
        <w:rPr>
          <w:noProof/>
        </w:rPr>
        <w:t>Treasury Laws Amendment (Measures for Consultation) Bill 2023: ACNC Review Rec 17 – Secrecy Provisions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8DE0"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D337" w14:textId="77777777" w:rsidR="004E3874" w:rsidRDefault="004E3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139"/>
    <w:multiLevelType w:val="hybridMultilevel"/>
    <w:tmpl w:val="32A080D4"/>
    <w:lvl w:ilvl="0" w:tplc="B47CA8CA">
      <w:start w:val="1"/>
      <w:numFmt w:val="bullet"/>
      <w:lvlText w:val=""/>
      <w:lvlJc w:val="left"/>
      <w:pPr>
        <w:ind w:left="720" w:hanging="360"/>
      </w:pPr>
      <w:rPr>
        <w:rFonts w:ascii="Symbol" w:hAnsi="Symbol"/>
      </w:rPr>
    </w:lvl>
    <w:lvl w:ilvl="1" w:tplc="E7240C5A">
      <w:start w:val="1"/>
      <w:numFmt w:val="bullet"/>
      <w:lvlText w:val=""/>
      <w:lvlJc w:val="left"/>
      <w:pPr>
        <w:ind w:left="720" w:hanging="360"/>
      </w:pPr>
      <w:rPr>
        <w:rFonts w:ascii="Symbol" w:hAnsi="Symbol"/>
      </w:rPr>
    </w:lvl>
    <w:lvl w:ilvl="2" w:tplc="128247AA">
      <w:start w:val="1"/>
      <w:numFmt w:val="bullet"/>
      <w:lvlText w:val=""/>
      <w:lvlJc w:val="left"/>
      <w:pPr>
        <w:ind w:left="720" w:hanging="360"/>
      </w:pPr>
      <w:rPr>
        <w:rFonts w:ascii="Symbol" w:hAnsi="Symbol"/>
      </w:rPr>
    </w:lvl>
    <w:lvl w:ilvl="3" w:tplc="A0428A9E">
      <w:start w:val="1"/>
      <w:numFmt w:val="bullet"/>
      <w:lvlText w:val=""/>
      <w:lvlJc w:val="left"/>
      <w:pPr>
        <w:ind w:left="720" w:hanging="360"/>
      </w:pPr>
      <w:rPr>
        <w:rFonts w:ascii="Symbol" w:hAnsi="Symbol"/>
      </w:rPr>
    </w:lvl>
    <w:lvl w:ilvl="4" w:tplc="6270C7B0">
      <w:start w:val="1"/>
      <w:numFmt w:val="bullet"/>
      <w:lvlText w:val=""/>
      <w:lvlJc w:val="left"/>
      <w:pPr>
        <w:ind w:left="720" w:hanging="360"/>
      </w:pPr>
      <w:rPr>
        <w:rFonts w:ascii="Symbol" w:hAnsi="Symbol"/>
      </w:rPr>
    </w:lvl>
    <w:lvl w:ilvl="5" w:tplc="5D2007D6">
      <w:start w:val="1"/>
      <w:numFmt w:val="bullet"/>
      <w:lvlText w:val=""/>
      <w:lvlJc w:val="left"/>
      <w:pPr>
        <w:ind w:left="720" w:hanging="360"/>
      </w:pPr>
      <w:rPr>
        <w:rFonts w:ascii="Symbol" w:hAnsi="Symbol"/>
      </w:rPr>
    </w:lvl>
    <w:lvl w:ilvl="6" w:tplc="F98AE99A">
      <w:start w:val="1"/>
      <w:numFmt w:val="bullet"/>
      <w:lvlText w:val=""/>
      <w:lvlJc w:val="left"/>
      <w:pPr>
        <w:ind w:left="720" w:hanging="360"/>
      </w:pPr>
      <w:rPr>
        <w:rFonts w:ascii="Symbol" w:hAnsi="Symbol"/>
      </w:rPr>
    </w:lvl>
    <w:lvl w:ilvl="7" w:tplc="62EA2B1A">
      <w:start w:val="1"/>
      <w:numFmt w:val="bullet"/>
      <w:lvlText w:val=""/>
      <w:lvlJc w:val="left"/>
      <w:pPr>
        <w:ind w:left="720" w:hanging="360"/>
      </w:pPr>
      <w:rPr>
        <w:rFonts w:ascii="Symbol" w:hAnsi="Symbol"/>
      </w:rPr>
    </w:lvl>
    <w:lvl w:ilvl="8" w:tplc="CAD02ADE">
      <w:start w:val="1"/>
      <w:numFmt w:val="bullet"/>
      <w:lvlText w:val=""/>
      <w:lvlJc w:val="left"/>
      <w:pPr>
        <w:ind w:left="720" w:hanging="360"/>
      </w:pPr>
      <w:rPr>
        <w:rFonts w:ascii="Symbol" w:hAnsi="Symbol"/>
      </w:rPr>
    </w:lvl>
  </w:abstractNum>
  <w:abstractNum w:abstractNumId="1" w15:restartNumberingAfterBreak="0">
    <w:nsid w:val="05AE0604"/>
    <w:multiLevelType w:val="hybridMultilevel"/>
    <w:tmpl w:val="0122EFAC"/>
    <w:lvl w:ilvl="0" w:tplc="5B122E08">
      <w:start w:val="1"/>
      <w:numFmt w:val="bullet"/>
      <w:lvlText w:val=""/>
      <w:lvlJc w:val="left"/>
      <w:pPr>
        <w:ind w:left="720" w:hanging="360"/>
      </w:pPr>
      <w:rPr>
        <w:rFonts w:ascii="Symbol" w:hAnsi="Symbol"/>
      </w:rPr>
    </w:lvl>
    <w:lvl w:ilvl="1" w:tplc="3348C2E4">
      <w:start w:val="1"/>
      <w:numFmt w:val="bullet"/>
      <w:lvlText w:val=""/>
      <w:lvlJc w:val="left"/>
      <w:pPr>
        <w:ind w:left="720" w:hanging="360"/>
      </w:pPr>
      <w:rPr>
        <w:rFonts w:ascii="Symbol" w:hAnsi="Symbol"/>
      </w:rPr>
    </w:lvl>
    <w:lvl w:ilvl="2" w:tplc="22EE4B82">
      <w:start w:val="1"/>
      <w:numFmt w:val="bullet"/>
      <w:lvlText w:val=""/>
      <w:lvlJc w:val="left"/>
      <w:pPr>
        <w:ind w:left="720" w:hanging="360"/>
      </w:pPr>
      <w:rPr>
        <w:rFonts w:ascii="Symbol" w:hAnsi="Symbol"/>
      </w:rPr>
    </w:lvl>
    <w:lvl w:ilvl="3" w:tplc="304A08F2">
      <w:start w:val="1"/>
      <w:numFmt w:val="bullet"/>
      <w:lvlText w:val=""/>
      <w:lvlJc w:val="left"/>
      <w:pPr>
        <w:ind w:left="720" w:hanging="360"/>
      </w:pPr>
      <w:rPr>
        <w:rFonts w:ascii="Symbol" w:hAnsi="Symbol"/>
      </w:rPr>
    </w:lvl>
    <w:lvl w:ilvl="4" w:tplc="79726596">
      <w:start w:val="1"/>
      <w:numFmt w:val="bullet"/>
      <w:lvlText w:val=""/>
      <w:lvlJc w:val="left"/>
      <w:pPr>
        <w:ind w:left="720" w:hanging="360"/>
      </w:pPr>
      <w:rPr>
        <w:rFonts w:ascii="Symbol" w:hAnsi="Symbol"/>
      </w:rPr>
    </w:lvl>
    <w:lvl w:ilvl="5" w:tplc="CC86CF14">
      <w:start w:val="1"/>
      <w:numFmt w:val="bullet"/>
      <w:lvlText w:val=""/>
      <w:lvlJc w:val="left"/>
      <w:pPr>
        <w:ind w:left="720" w:hanging="360"/>
      </w:pPr>
      <w:rPr>
        <w:rFonts w:ascii="Symbol" w:hAnsi="Symbol"/>
      </w:rPr>
    </w:lvl>
    <w:lvl w:ilvl="6" w:tplc="C3F0655E">
      <w:start w:val="1"/>
      <w:numFmt w:val="bullet"/>
      <w:lvlText w:val=""/>
      <w:lvlJc w:val="left"/>
      <w:pPr>
        <w:ind w:left="720" w:hanging="360"/>
      </w:pPr>
      <w:rPr>
        <w:rFonts w:ascii="Symbol" w:hAnsi="Symbol"/>
      </w:rPr>
    </w:lvl>
    <w:lvl w:ilvl="7" w:tplc="1CEE1A8E">
      <w:start w:val="1"/>
      <w:numFmt w:val="bullet"/>
      <w:lvlText w:val=""/>
      <w:lvlJc w:val="left"/>
      <w:pPr>
        <w:ind w:left="720" w:hanging="360"/>
      </w:pPr>
      <w:rPr>
        <w:rFonts w:ascii="Symbol" w:hAnsi="Symbol"/>
      </w:rPr>
    </w:lvl>
    <w:lvl w:ilvl="8" w:tplc="16F8958C">
      <w:start w:val="1"/>
      <w:numFmt w:val="bullet"/>
      <w:lvlText w:val=""/>
      <w:lvlJc w:val="left"/>
      <w:pPr>
        <w:ind w:left="720" w:hanging="360"/>
      </w:pPr>
      <w:rPr>
        <w:rFonts w:ascii="Symbol" w:hAnsi="Symbol"/>
      </w:rPr>
    </w:lvl>
  </w:abstractNum>
  <w:abstractNum w:abstractNumId="2" w15:restartNumberingAfterBreak="0">
    <w:nsid w:val="06AD540D"/>
    <w:multiLevelType w:val="hybridMultilevel"/>
    <w:tmpl w:val="57EC79C4"/>
    <w:lvl w:ilvl="0" w:tplc="D574518E">
      <w:start w:val="1"/>
      <w:numFmt w:val="bullet"/>
      <w:lvlText w:val=""/>
      <w:lvlJc w:val="left"/>
      <w:pPr>
        <w:ind w:left="720" w:hanging="360"/>
      </w:pPr>
      <w:rPr>
        <w:rFonts w:ascii="Symbol" w:hAnsi="Symbol"/>
      </w:rPr>
    </w:lvl>
    <w:lvl w:ilvl="1" w:tplc="4314D708">
      <w:start w:val="1"/>
      <w:numFmt w:val="bullet"/>
      <w:lvlText w:val=""/>
      <w:lvlJc w:val="left"/>
      <w:pPr>
        <w:ind w:left="720" w:hanging="360"/>
      </w:pPr>
      <w:rPr>
        <w:rFonts w:ascii="Symbol" w:hAnsi="Symbol"/>
      </w:rPr>
    </w:lvl>
    <w:lvl w:ilvl="2" w:tplc="02606102">
      <w:start w:val="1"/>
      <w:numFmt w:val="bullet"/>
      <w:lvlText w:val=""/>
      <w:lvlJc w:val="left"/>
      <w:pPr>
        <w:ind w:left="720" w:hanging="360"/>
      </w:pPr>
      <w:rPr>
        <w:rFonts w:ascii="Symbol" w:hAnsi="Symbol"/>
      </w:rPr>
    </w:lvl>
    <w:lvl w:ilvl="3" w:tplc="F55E9B90">
      <w:start w:val="1"/>
      <w:numFmt w:val="bullet"/>
      <w:lvlText w:val=""/>
      <w:lvlJc w:val="left"/>
      <w:pPr>
        <w:ind w:left="720" w:hanging="360"/>
      </w:pPr>
      <w:rPr>
        <w:rFonts w:ascii="Symbol" w:hAnsi="Symbol"/>
      </w:rPr>
    </w:lvl>
    <w:lvl w:ilvl="4" w:tplc="54E2BB90">
      <w:start w:val="1"/>
      <w:numFmt w:val="bullet"/>
      <w:lvlText w:val=""/>
      <w:lvlJc w:val="left"/>
      <w:pPr>
        <w:ind w:left="720" w:hanging="360"/>
      </w:pPr>
      <w:rPr>
        <w:rFonts w:ascii="Symbol" w:hAnsi="Symbol"/>
      </w:rPr>
    </w:lvl>
    <w:lvl w:ilvl="5" w:tplc="F6188E18">
      <w:start w:val="1"/>
      <w:numFmt w:val="bullet"/>
      <w:lvlText w:val=""/>
      <w:lvlJc w:val="left"/>
      <w:pPr>
        <w:ind w:left="720" w:hanging="360"/>
      </w:pPr>
      <w:rPr>
        <w:rFonts w:ascii="Symbol" w:hAnsi="Symbol"/>
      </w:rPr>
    </w:lvl>
    <w:lvl w:ilvl="6" w:tplc="944EE800">
      <w:start w:val="1"/>
      <w:numFmt w:val="bullet"/>
      <w:lvlText w:val=""/>
      <w:lvlJc w:val="left"/>
      <w:pPr>
        <w:ind w:left="720" w:hanging="360"/>
      </w:pPr>
      <w:rPr>
        <w:rFonts w:ascii="Symbol" w:hAnsi="Symbol"/>
      </w:rPr>
    </w:lvl>
    <w:lvl w:ilvl="7" w:tplc="D4AAFC8A">
      <w:start w:val="1"/>
      <w:numFmt w:val="bullet"/>
      <w:lvlText w:val=""/>
      <w:lvlJc w:val="left"/>
      <w:pPr>
        <w:ind w:left="720" w:hanging="360"/>
      </w:pPr>
      <w:rPr>
        <w:rFonts w:ascii="Symbol" w:hAnsi="Symbol"/>
      </w:rPr>
    </w:lvl>
    <w:lvl w:ilvl="8" w:tplc="CC4AD120">
      <w:start w:val="1"/>
      <w:numFmt w:val="bullet"/>
      <w:lvlText w:val=""/>
      <w:lvlJc w:val="left"/>
      <w:pPr>
        <w:ind w:left="720" w:hanging="360"/>
      </w:pPr>
      <w:rPr>
        <w:rFonts w:ascii="Symbol" w:hAnsi="Symbol"/>
      </w:rPr>
    </w:lvl>
  </w:abstractNum>
  <w:abstractNum w:abstractNumId="3" w15:restartNumberingAfterBreak="0">
    <w:nsid w:val="07142AC9"/>
    <w:multiLevelType w:val="hybridMultilevel"/>
    <w:tmpl w:val="560EBBBA"/>
    <w:lvl w:ilvl="0" w:tplc="77D6AA96">
      <w:start w:val="1"/>
      <w:numFmt w:val="bullet"/>
      <w:lvlText w:val=""/>
      <w:lvlJc w:val="left"/>
      <w:pPr>
        <w:ind w:left="720" w:hanging="360"/>
      </w:pPr>
      <w:rPr>
        <w:rFonts w:ascii="Symbol" w:hAnsi="Symbol"/>
      </w:rPr>
    </w:lvl>
    <w:lvl w:ilvl="1" w:tplc="A80C6C0E">
      <w:start w:val="1"/>
      <w:numFmt w:val="bullet"/>
      <w:lvlText w:val=""/>
      <w:lvlJc w:val="left"/>
      <w:pPr>
        <w:ind w:left="720" w:hanging="360"/>
      </w:pPr>
      <w:rPr>
        <w:rFonts w:ascii="Symbol" w:hAnsi="Symbol"/>
      </w:rPr>
    </w:lvl>
    <w:lvl w:ilvl="2" w:tplc="C736DC26">
      <w:start w:val="1"/>
      <w:numFmt w:val="bullet"/>
      <w:lvlText w:val=""/>
      <w:lvlJc w:val="left"/>
      <w:pPr>
        <w:ind w:left="720" w:hanging="360"/>
      </w:pPr>
      <w:rPr>
        <w:rFonts w:ascii="Symbol" w:hAnsi="Symbol"/>
      </w:rPr>
    </w:lvl>
    <w:lvl w:ilvl="3" w:tplc="5266A558">
      <w:start w:val="1"/>
      <w:numFmt w:val="bullet"/>
      <w:lvlText w:val=""/>
      <w:lvlJc w:val="left"/>
      <w:pPr>
        <w:ind w:left="720" w:hanging="360"/>
      </w:pPr>
      <w:rPr>
        <w:rFonts w:ascii="Symbol" w:hAnsi="Symbol"/>
      </w:rPr>
    </w:lvl>
    <w:lvl w:ilvl="4" w:tplc="A97ECAA8">
      <w:start w:val="1"/>
      <w:numFmt w:val="bullet"/>
      <w:lvlText w:val=""/>
      <w:lvlJc w:val="left"/>
      <w:pPr>
        <w:ind w:left="720" w:hanging="360"/>
      </w:pPr>
      <w:rPr>
        <w:rFonts w:ascii="Symbol" w:hAnsi="Symbol"/>
      </w:rPr>
    </w:lvl>
    <w:lvl w:ilvl="5" w:tplc="24120D5A">
      <w:start w:val="1"/>
      <w:numFmt w:val="bullet"/>
      <w:lvlText w:val=""/>
      <w:lvlJc w:val="left"/>
      <w:pPr>
        <w:ind w:left="720" w:hanging="360"/>
      </w:pPr>
      <w:rPr>
        <w:rFonts w:ascii="Symbol" w:hAnsi="Symbol"/>
      </w:rPr>
    </w:lvl>
    <w:lvl w:ilvl="6" w:tplc="841A4256">
      <w:start w:val="1"/>
      <w:numFmt w:val="bullet"/>
      <w:lvlText w:val=""/>
      <w:lvlJc w:val="left"/>
      <w:pPr>
        <w:ind w:left="720" w:hanging="360"/>
      </w:pPr>
      <w:rPr>
        <w:rFonts w:ascii="Symbol" w:hAnsi="Symbol"/>
      </w:rPr>
    </w:lvl>
    <w:lvl w:ilvl="7" w:tplc="61E4BCA2">
      <w:start w:val="1"/>
      <w:numFmt w:val="bullet"/>
      <w:lvlText w:val=""/>
      <w:lvlJc w:val="left"/>
      <w:pPr>
        <w:ind w:left="720" w:hanging="360"/>
      </w:pPr>
      <w:rPr>
        <w:rFonts w:ascii="Symbol" w:hAnsi="Symbol"/>
      </w:rPr>
    </w:lvl>
    <w:lvl w:ilvl="8" w:tplc="46C8CC5E">
      <w:start w:val="1"/>
      <w:numFmt w:val="bullet"/>
      <w:lvlText w:val=""/>
      <w:lvlJc w:val="left"/>
      <w:pPr>
        <w:ind w:left="720" w:hanging="360"/>
      </w:pPr>
      <w:rPr>
        <w:rFonts w:ascii="Symbol" w:hAnsi="Symbol"/>
      </w:rPr>
    </w:lvl>
  </w:abstractNum>
  <w:abstractNum w:abstractNumId="4"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6440D3"/>
    <w:multiLevelType w:val="hybridMultilevel"/>
    <w:tmpl w:val="5634851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29170CA0"/>
    <w:multiLevelType w:val="multilevel"/>
    <w:tmpl w:val="F2FE9D46"/>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B158AD"/>
    <w:multiLevelType w:val="hybridMultilevel"/>
    <w:tmpl w:val="667E6B48"/>
    <w:lvl w:ilvl="0" w:tplc="464AEEF8">
      <w:start w:val="1"/>
      <w:numFmt w:val="bullet"/>
      <w:lvlText w:val=""/>
      <w:lvlJc w:val="left"/>
      <w:pPr>
        <w:ind w:left="720" w:hanging="360"/>
      </w:pPr>
      <w:rPr>
        <w:rFonts w:ascii="Symbol" w:hAnsi="Symbol"/>
      </w:rPr>
    </w:lvl>
    <w:lvl w:ilvl="1" w:tplc="3768EF66">
      <w:start w:val="1"/>
      <w:numFmt w:val="bullet"/>
      <w:lvlText w:val=""/>
      <w:lvlJc w:val="left"/>
      <w:pPr>
        <w:ind w:left="720" w:hanging="360"/>
      </w:pPr>
      <w:rPr>
        <w:rFonts w:ascii="Symbol" w:hAnsi="Symbol"/>
      </w:rPr>
    </w:lvl>
    <w:lvl w:ilvl="2" w:tplc="A9C2044E">
      <w:start w:val="1"/>
      <w:numFmt w:val="bullet"/>
      <w:lvlText w:val=""/>
      <w:lvlJc w:val="left"/>
      <w:pPr>
        <w:ind w:left="720" w:hanging="360"/>
      </w:pPr>
      <w:rPr>
        <w:rFonts w:ascii="Symbol" w:hAnsi="Symbol"/>
      </w:rPr>
    </w:lvl>
    <w:lvl w:ilvl="3" w:tplc="69EE5188">
      <w:start w:val="1"/>
      <w:numFmt w:val="bullet"/>
      <w:lvlText w:val=""/>
      <w:lvlJc w:val="left"/>
      <w:pPr>
        <w:ind w:left="720" w:hanging="360"/>
      </w:pPr>
      <w:rPr>
        <w:rFonts w:ascii="Symbol" w:hAnsi="Symbol"/>
      </w:rPr>
    </w:lvl>
    <w:lvl w:ilvl="4" w:tplc="4808AC42">
      <w:start w:val="1"/>
      <w:numFmt w:val="bullet"/>
      <w:lvlText w:val=""/>
      <w:lvlJc w:val="left"/>
      <w:pPr>
        <w:ind w:left="720" w:hanging="360"/>
      </w:pPr>
      <w:rPr>
        <w:rFonts w:ascii="Symbol" w:hAnsi="Symbol"/>
      </w:rPr>
    </w:lvl>
    <w:lvl w:ilvl="5" w:tplc="F3D61D4E">
      <w:start w:val="1"/>
      <w:numFmt w:val="bullet"/>
      <w:lvlText w:val=""/>
      <w:lvlJc w:val="left"/>
      <w:pPr>
        <w:ind w:left="720" w:hanging="360"/>
      </w:pPr>
      <w:rPr>
        <w:rFonts w:ascii="Symbol" w:hAnsi="Symbol"/>
      </w:rPr>
    </w:lvl>
    <w:lvl w:ilvl="6" w:tplc="94E6A142">
      <w:start w:val="1"/>
      <w:numFmt w:val="bullet"/>
      <w:lvlText w:val=""/>
      <w:lvlJc w:val="left"/>
      <w:pPr>
        <w:ind w:left="720" w:hanging="360"/>
      </w:pPr>
      <w:rPr>
        <w:rFonts w:ascii="Symbol" w:hAnsi="Symbol"/>
      </w:rPr>
    </w:lvl>
    <w:lvl w:ilvl="7" w:tplc="DBB0A7D4">
      <w:start w:val="1"/>
      <w:numFmt w:val="bullet"/>
      <w:lvlText w:val=""/>
      <w:lvlJc w:val="left"/>
      <w:pPr>
        <w:ind w:left="720" w:hanging="360"/>
      </w:pPr>
      <w:rPr>
        <w:rFonts w:ascii="Symbol" w:hAnsi="Symbol"/>
      </w:rPr>
    </w:lvl>
    <w:lvl w:ilvl="8" w:tplc="04767DA2">
      <w:start w:val="1"/>
      <w:numFmt w:val="bullet"/>
      <w:lvlText w:val=""/>
      <w:lvlJc w:val="left"/>
      <w:pPr>
        <w:ind w:left="720" w:hanging="360"/>
      </w:pPr>
      <w:rPr>
        <w:rFonts w:ascii="Symbol" w:hAnsi="Symbol"/>
      </w:rPr>
    </w:lvl>
  </w:abstractNum>
  <w:abstractNum w:abstractNumId="10"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5D2CC9"/>
    <w:multiLevelType w:val="multilevel"/>
    <w:tmpl w:val="457E412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1069"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3" w15:restartNumberingAfterBreak="0">
    <w:nsid w:val="44372273"/>
    <w:multiLevelType w:val="hybridMultilevel"/>
    <w:tmpl w:val="97E8098A"/>
    <w:lvl w:ilvl="0" w:tplc="B4849AC8">
      <w:start w:val="1"/>
      <w:numFmt w:val="lowerRoman"/>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FA1A29"/>
    <w:multiLevelType w:val="hybridMultilevel"/>
    <w:tmpl w:val="760C22E0"/>
    <w:lvl w:ilvl="0" w:tplc="2D6CE736">
      <w:start w:val="1"/>
      <w:numFmt w:val="bullet"/>
      <w:lvlText w:val=""/>
      <w:lvlJc w:val="left"/>
      <w:pPr>
        <w:ind w:left="720" w:hanging="360"/>
      </w:pPr>
      <w:rPr>
        <w:rFonts w:ascii="Symbol" w:hAnsi="Symbol"/>
      </w:rPr>
    </w:lvl>
    <w:lvl w:ilvl="1" w:tplc="B706E326">
      <w:start w:val="1"/>
      <w:numFmt w:val="bullet"/>
      <w:lvlText w:val=""/>
      <w:lvlJc w:val="left"/>
      <w:pPr>
        <w:ind w:left="720" w:hanging="360"/>
      </w:pPr>
      <w:rPr>
        <w:rFonts w:ascii="Symbol" w:hAnsi="Symbol"/>
      </w:rPr>
    </w:lvl>
    <w:lvl w:ilvl="2" w:tplc="D138DFB8">
      <w:start w:val="1"/>
      <w:numFmt w:val="bullet"/>
      <w:lvlText w:val=""/>
      <w:lvlJc w:val="left"/>
      <w:pPr>
        <w:ind w:left="720" w:hanging="360"/>
      </w:pPr>
      <w:rPr>
        <w:rFonts w:ascii="Symbol" w:hAnsi="Symbol"/>
      </w:rPr>
    </w:lvl>
    <w:lvl w:ilvl="3" w:tplc="51521A42">
      <w:start w:val="1"/>
      <w:numFmt w:val="bullet"/>
      <w:lvlText w:val=""/>
      <w:lvlJc w:val="left"/>
      <w:pPr>
        <w:ind w:left="720" w:hanging="360"/>
      </w:pPr>
      <w:rPr>
        <w:rFonts w:ascii="Symbol" w:hAnsi="Symbol"/>
      </w:rPr>
    </w:lvl>
    <w:lvl w:ilvl="4" w:tplc="DAC43972">
      <w:start w:val="1"/>
      <w:numFmt w:val="bullet"/>
      <w:lvlText w:val=""/>
      <w:lvlJc w:val="left"/>
      <w:pPr>
        <w:ind w:left="720" w:hanging="360"/>
      </w:pPr>
      <w:rPr>
        <w:rFonts w:ascii="Symbol" w:hAnsi="Symbol"/>
      </w:rPr>
    </w:lvl>
    <w:lvl w:ilvl="5" w:tplc="490A5C7E">
      <w:start w:val="1"/>
      <w:numFmt w:val="bullet"/>
      <w:lvlText w:val=""/>
      <w:lvlJc w:val="left"/>
      <w:pPr>
        <w:ind w:left="720" w:hanging="360"/>
      </w:pPr>
      <w:rPr>
        <w:rFonts w:ascii="Symbol" w:hAnsi="Symbol"/>
      </w:rPr>
    </w:lvl>
    <w:lvl w:ilvl="6" w:tplc="DF147E34">
      <w:start w:val="1"/>
      <w:numFmt w:val="bullet"/>
      <w:lvlText w:val=""/>
      <w:lvlJc w:val="left"/>
      <w:pPr>
        <w:ind w:left="720" w:hanging="360"/>
      </w:pPr>
      <w:rPr>
        <w:rFonts w:ascii="Symbol" w:hAnsi="Symbol"/>
      </w:rPr>
    </w:lvl>
    <w:lvl w:ilvl="7" w:tplc="289C618A">
      <w:start w:val="1"/>
      <w:numFmt w:val="bullet"/>
      <w:lvlText w:val=""/>
      <w:lvlJc w:val="left"/>
      <w:pPr>
        <w:ind w:left="720" w:hanging="360"/>
      </w:pPr>
      <w:rPr>
        <w:rFonts w:ascii="Symbol" w:hAnsi="Symbol"/>
      </w:rPr>
    </w:lvl>
    <w:lvl w:ilvl="8" w:tplc="5E9016F2">
      <w:start w:val="1"/>
      <w:numFmt w:val="bullet"/>
      <w:lvlText w:val=""/>
      <w:lvlJc w:val="left"/>
      <w:pPr>
        <w:ind w:left="720" w:hanging="360"/>
      </w:pPr>
      <w:rPr>
        <w:rFonts w:ascii="Symbol" w:hAnsi="Symbol"/>
      </w:rPr>
    </w:lvl>
  </w:abstractNum>
  <w:abstractNum w:abstractNumId="15" w15:restartNumberingAfterBreak="0">
    <w:nsid w:val="56B1013F"/>
    <w:multiLevelType w:val="hybridMultilevel"/>
    <w:tmpl w:val="018E1A46"/>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5C915EFB"/>
    <w:multiLevelType w:val="hybridMultilevel"/>
    <w:tmpl w:val="33523D60"/>
    <w:lvl w:ilvl="0" w:tplc="1DAE1BDA">
      <w:start w:val="1"/>
      <w:numFmt w:val="bullet"/>
      <w:lvlText w:val=""/>
      <w:lvlJc w:val="left"/>
      <w:pPr>
        <w:ind w:left="720" w:hanging="360"/>
      </w:pPr>
      <w:rPr>
        <w:rFonts w:ascii="Symbol" w:hAnsi="Symbol"/>
      </w:rPr>
    </w:lvl>
    <w:lvl w:ilvl="1" w:tplc="CB2E4A22">
      <w:start w:val="1"/>
      <w:numFmt w:val="bullet"/>
      <w:lvlText w:val=""/>
      <w:lvlJc w:val="left"/>
      <w:pPr>
        <w:ind w:left="720" w:hanging="360"/>
      </w:pPr>
      <w:rPr>
        <w:rFonts w:ascii="Symbol" w:hAnsi="Symbol"/>
      </w:rPr>
    </w:lvl>
    <w:lvl w:ilvl="2" w:tplc="6EB0B864">
      <w:start w:val="1"/>
      <w:numFmt w:val="bullet"/>
      <w:lvlText w:val=""/>
      <w:lvlJc w:val="left"/>
      <w:pPr>
        <w:ind w:left="720" w:hanging="360"/>
      </w:pPr>
      <w:rPr>
        <w:rFonts w:ascii="Symbol" w:hAnsi="Symbol"/>
      </w:rPr>
    </w:lvl>
    <w:lvl w:ilvl="3" w:tplc="542EFD0A">
      <w:start w:val="1"/>
      <w:numFmt w:val="bullet"/>
      <w:lvlText w:val=""/>
      <w:lvlJc w:val="left"/>
      <w:pPr>
        <w:ind w:left="720" w:hanging="360"/>
      </w:pPr>
      <w:rPr>
        <w:rFonts w:ascii="Symbol" w:hAnsi="Symbol"/>
      </w:rPr>
    </w:lvl>
    <w:lvl w:ilvl="4" w:tplc="0FB0234E">
      <w:start w:val="1"/>
      <w:numFmt w:val="bullet"/>
      <w:lvlText w:val=""/>
      <w:lvlJc w:val="left"/>
      <w:pPr>
        <w:ind w:left="720" w:hanging="360"/>
      </w:pPr>
      <w:rPr>
        <w:rFonts w:ascii="Symbol" w:hAnsi="Symbol"/>
      </w:rPr>
    </w:lvl>
    <w:lvl w:ilvl="5" w:tplc="D3B0B77C">
      <w:start w:val="1"/>
      <w:numFmt w:val="bullet"/>
      <w:lvlText w:val=""/>
      <w:lvlJc w:val="left"/>
      <w:pPr>
        <w:ind w:left="720" w:hanging="360"/>
      </w:pPr>
      <w:rPr>
        <w:rFonts w:ascii="Symbol" w:hAnsi="Symbol"/>
      </w:rPr>
    </w:lvl>
    <w:lvl w:ilvl="6" w:tplc="A00C610E">
      <w:start w:val="1"/>
      <w:numFmt w:val="bullet"/>
      <w:lvlText w:val=""/>
      <w:lvlJc w:val="left"/>
      <w:pPr>
        <w:ind w:left="720" w:hanging="360"/>
      </w:pPr>
      <w:rPr>
        <w:rFonts w:ascii="Symbol" w:hAnsi="Symbol"/>
      </w:rPr>
    </w:lvl>
    <w:lvl w:ilvl="7" w:tplc="B680F4A2">
      <w:start w:val="1"/>
      <w:numFmt w:val="bullet"/>
      <w:lvlText w:val=""/>
      <w:lvlJc w:val="left"/>
      <w:pPr>
        <w:ind w:left="720" w:hanging="360"/>
      </w:pPr>
      <w:rPr>
        <w:rFonts w:ascii="Symbol" w:hAnsi="Symbol"/>
      </w:rPr>
    </w:lvl>
    <w:lvl w:ilvl="8" w:tplc="7BA03AF0">
      <w:start w:val="1"/>
      <w:numFmt w:val="bullet"/>
      <w:lvlText w:val=""/>
      <w:lvlJc w:val="left"/>
      <w:pPr>
        <w:ind w:left="720" w:hanging="360"/>
      </w:pPr>
      <w:rPr>
        <w:rFonts w:ascii="Symbol" w:hAnsi="Symbol"/>
      </w:rPr>
    </w:lvl>
  </w:abstractNum>
  <w:abstractNum w:abstractNumId="1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15:restartNumberingAfterBreak="0">
    <w:nsid w:val="5FE6516A"/>
    <w:multiLevelType w:val="multilevel"/>
    <w:tmpl w:val="52166DD0"/>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714FA"/>
    <w:multiLevelType w:val="hybridMultilevel"/>
    <w:tmpl w:val="C6320A26"/>
    <w:lvl w:ilvl="0" w:tplc="8E302A2C">
      <w:start w:val="1"/>
      <w:numFmt w:val="bullet"/>
      <w:lvlText w:val=""/>
      <w:lvlJc w:val="left"/>
      <w:pPr>
        <w:ind w:left="720" w:hanging="360"/>
      </w:pPr>
      <w:rPr>
        <w:rFonts w:ascii="Symbol" w:hAnsi="Symbol"/>
      </w:rPr>
    </w:lvl>
    <w:lvl w:ilvl="1" w:tplc="37785256">
      <w:start w:val="1"/>
      <w:numFmt w:val="bullet"/>
      <w:lvlText w:val=""/>
      <w:lvlJc w:val="left"/>
      <w:pPr>
        <w:ind w:left="720" w:hanging="360"/>
      </w:pPr>
      <w:rPr>
        <w:rFonts w:ascii="Symbol" w:hAnsi="Symbol"/>
      </w:rPr>
    </w:lvl>
    <w:lvl w:ilvl="2" w:tplc="0B8448E6">
      <w:start w:val="1"/>
      <w:numFmt w:val="bullet"/>
      <w:lvlText w:val=""/>
      <w:lvlJc w:val="left"/>
      <w:pPr>
        <w:ind w:left="720" w:hanging="360"/>
      </w:pPr>
      <w:rPr>
        <w:rFonts w:ascii="Symbol" w:hAnsi="Symbol"/>
      </w:rPr>
    </w:lvl>
    <w:lvl w:ilvl="3" w:tplc="292E3166">
      <w:start w:val="1"/>
      <w:numFmt w:val="bullet"/>
      <w:lvlText w:val=""/>
      <w:lvlJc w:val="left"/>
      <w:pPr>
        <w:ind w:left="720" w:hanging="360"/>
      </w:pPr>
      <w:rPr>
        <w:rFonts w:ascii="Symbol" w:hAnsi="Symbol"/>
      </w:rPr>
    </w:lvl>
    <w:lvl w:ilvl="4" w:tplc="8FC61448">
      <w:start w:val="1"/>
      <w:numFmt w:val="bullet"/>
      <w:lvlText w:val=""/>
      <w:lvlJc w:val="left"/>
      <w:pPr>
        <w:ind w:left="720" w:hanging="360"/>
      </w:pPr>
      <w:rPr>
        <w:rFonts w:ascii="Symbol" w:hAnsi="Symbol"/>
      </w:rPr>
    </w:lvl>
    <w:lvl w:ilvl="5" w:tplc="66D2E6C0">
      <w:start w:val="1"/>
      <w:numFmt w:val="bullet"/>
      <w:lvlText w:val=""/>
      <w:lvlJc w:val="left"/>
      <w:pPr>
        <w:ind w:left="720" w:hanging="360"/>
      </w:pPr>
      <w:rPr>
        <w:rFonts w:ascii="Symbol" w:hAnsi="Symbol"/>
      </w:rPr>
    </w:lvl>
    <w:lvl w:ilvl="6" w:tplc="F1EC7164">
      <w:start w:val="1"/>
      <w:numFmt w:val="bullet"/>
      <w:lvlText w:val=""/>
      <w:lvlJc w:val="left"/>
      <w:pPr>
        <w:ind w:left="720" w:hanging="360"/>
      </w:pPr>
      <w:rPr>
        <w:rFonts w:ascii="Symbol" w:hAnsi="Symbol"/>
      </w:rPr>
    </w:lvl>
    <w:lvl w:ilvl="7" w:tplc="91501C44">
      <w:start w:val="1"/>
      <w:numFmt w:val="bullet"/>
      <w:lvlText w:val=""/>
      <w:lvlJc w:val="left"/>
      <w:pPr>
        <w:ind w:left="720" w:hanging="360"/>
      </w:pPr>
      <w:rPr>
        <w:rFonts w:ascii="Symbol" w:hAnsi="Symbol"/>
      </w:rPr>
    </w:lvl>
    <w:lvl w:ilvl="8" w:tplc="ADF4DCBC">
      <w:start w:val="1"/>
      <w:numFmt w:val="bullet"/>
      <w:lvlText w:val=""/>
      <w:lvlJc w:val="left"/>
      <w:pPr>
        <w:ind w:left="720" w:hanging="360"/>
      </w:pPr>
      <w:rPr>
        <w:rFonts w:ascii="Symbol" w:hAnsi="Symbol"/>
      </w:rPr>
    </w:lvl>
  </w:abstractNum>
  <w:abstractNum w:abstractNumId="22"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5"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4"/>
  </w:num>
  <w:num w:numId="2" w16cid:durableId="1948731128">
    <w:abstractNumId w:val="23"/>
  </w:num>
  <w:num w:numId="3" w16cid:durableId="1829707682">
    <w:abstractNumId w:val="8"/>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8"/>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8"/>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8"/>
  </w:num>
  <w:num w:numId="7" w16cid:durableId="1022901957">
    <w:abstractNumId w:val="8"/>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10"/>
  </w:num>
  <w:num w:numId="9" w16cid:durableId="911041120">
    <w:abstractNumId w:val="25"/>
  </w:num>
  <w:num w:numId="10" w16cid:durableId="2017876939">
    <w:abstractNumId w:val="17"/>
  </w:num>
  <w:num w:numId="11" w16cid:durableId="679544403">
    <w:abstractNumId w:val="12"/>
  </w:num>
  <w:num w:numId="12" w16cid:durableId="974681568">
    <w:abstractNumId w:val="8"/>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23"/>
  </w:num>
  <w:num w:numId="14" w16cid:durableId="1648515472">
    <w:abstractNumId w:val="20"/>
  </w:num>
  <w:num w:numId="15" w16cid:durableId="407070147">
    <w:abstractNumId w:val="22"/>
  </w:num>
  <w:num w:numId="16" w16cid:durableId="1102265301">
    <w:abstractNumId w:val="8"/>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10"/>
  </w:num>
  <w:num w:numId="18" w16cid:durableId="680205999">
    <w:abstractNumId w:val="7"/>
  </w:num>
  <w:num w:numId="19" w16cid:durableId="1491290959">
    <w:abstractNumId w:val="18"/>
  </w:num>
  <w:num w:numId="20" w16cid:durableId="1101536722">
    <w:abstractNumId w:val="24"/>
  </w:num>
  <w:num w:numId="21" w16cid:durableId="1399742980">
    <w:abstractNumId w:val="23"/>
  </w:num>
  <w:num w:numId="22" w16cid:durableId="397169042">
    <w:abstractNumId w:val="5"/>
  </w:num>
  <w:num w:numId="23" w16cid:durableId="785856834">
    <w:abstractNumId w:val="11"/>
  </w:num>
  <w:num w:numId="24" w16cid:durableId="1637182579">
    <w:abstractNumId w:val="15"/>
  </w:num>
  <w:num w:numId="25" w16cid:durableId="2031564069">
    <w:abstractNumId w:val="6"/>
  </w:num>
  <w:num w:numId="26" w16cid:durableId="1186167926">
    <w:abstractNumId w:val="19"/>
  </w:num>
  <w:num w:numId="27" w16cid:durableId="90013282">
    <w:abstractNumId w:val="13"/>
  </w:num>
  <w:num w:numId="28" w16cid:durableId="1882742583">
    <w:abstractNumId w:val="8"/>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29" w16cid:durableId="449781525">
    <w:abstractNumId w:val="8"/>
  </w:num>
  <w:num w:numId="30" w16cid:durableId="654602448">
    <w:abstractNumId w:val="2"/>
  </w:num>
  <w:num w:numId="31" w16cid:durableId="1285304311">
    <w:abstractNumId w:val="14"/>
  </w:num>
  <w:num w:numId="32" w16cid:durableId="867529163">
    <w:abstractNumId w:val="16"/>
  </w:num>
  <w:num w:numId="33" w16cid:durableId="1702239872">
    <w:abstractNumId w:val="3"/>
  </w:num>
  <w:num w:numId="34" w16cid:durableId="1836874337">
    <w:abstractNumId w:val="0"/>
  </w:num>
  <w:num w:numId="35" w16cid:durableId="1563130536">
    <w:abstractNumId w:val="21"/>
  </w:num>
  <w:num w:numId="36" w16cid:durableId="211775669">
    <w:abstractNumId w:val="9"/>
  </w:num>
  <w:num w:numId="37" w16cid:durableId="129128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F1"/>
    <w:rsid w:val="00000161"/>
    <w:rsid w:val="00000BFC"/>
    <w:rsid w:val="000019D2"/>
    <w:rsid w:val="00004538"/>
    <w:rsid w:val="000103E5"/>
    <w:rsid w:val="000107BE"/>
    <w:rsid w:val="00010953"/>
    <w:rsid w:val="00012DBD"/>
    <w:rsid w:val="000133C2"/>
    <w:rsid w:val="00014B99"/>
    <w:rsid w:val="00017B8A"/>
    <w:rsid w:val="00020259"/>
    <w:rsid w:val="0002189E"/>
    <w:rsid w:val="00021DAA"/>
    <w:rsid w:val="00021FE7"/>
    <w:rsid w:val="00030A7C"/>
    <w:rsid w:val="00030B54"/>
    <w:rsid w:val="00032F45"/>
    <w:rsid w:val="00035CDF"/>
    <w:rsid w:val="00036A3D"/>
    <w:rsid w:val="00036CF2"/>
    <w:rsid w:val="00040058"/>
    <w:rsid w:val="00040795"/>
    <w:rsid w:val="00041348"/>
    <w:rsid w:val="00043E8E"/>
    <w:rsid w:val="0004510B"/>
    <w:rsid w:val="00045ADF"/>
    <w:rsid w:val="00045C65"/>
    <w:rsid w:val="000479F2"/>
    <w:rsid w:val="00047FF2"/>
    <w:rsid w:val="00050025"/>
    <w:rsid w:val="00050598"/>
    <w:rsid w:val="000527D9"/>
    <w:rsid w:val="00053775"/>
    <w:rsid w:val="000553D8"/>
    <w:rsid w:val="00056750"/>
    <w:rsid w:val="0006015F"/>
    <w:rsid w:val="00061554"/>
    <w:rsid w:val="000669E3"/>
    <w:rsid w:val="00067C95"/>
    <w:rsid w:val="000709CC"/>
    <w:rsid w:val="00072D74"/>
    <w:rsid w:val="0007324D"/>
    <w:rsid w:val="000737A8"/>
    <w:rsid w:val="000738DA"/>
    <w:rsid w:val="00073B0D"/>
    <w:rsid w:val="00073BE1"/>
    <w:rsid w:val="0007401E"/>
    <w:rsid w:val="00074585"/>
    <w:rsid w:val="00074CA9"/>
    <w:rsid w:val="00075B55"/>
    <w:rsid w:val="00076E37"/>
    <w:rsid w:val="00080077"/>
    <w:rsid w:val="00082117"/>
    <w:rsid w:val="00084E49"/>
    <w:rsid w:val="000853A5"/>
    <w:rsid w:val="00085C72"/>
    <w:rsid w:val="00087F47"/>
    <w:rsid w:val="00087FE9"/>
    <w:rsid w:val="00090A2C"/>
    <w:rsid w:val="00090CFE"/>
    <w:rsid w:val="0009367B"/>
    <w:rsid w:val="000A0CA1"/>
    <w:rsid w:val="000A3230"/>
    <w:rsid w:val="000A347B"/>
    <w:rsid w:val="000A3A15"/>
    <w:rsid w:val="000A4EB2"/>
    <w:rsid w:val="000A68D0"/>
    <w:rsid w:val="000A76E9"/>
    <w:rsid w:val="000B0311"/>
    <w:rsid w:val="000B0AEF"/>
    <w:rsid w:val="000B144F"/>
    <w:rsid w:val="000B164A"/>
    <w:rsid w:val="000B23D0"/>
    <w:rsid w:val="000B2C8C"/>
    <w:rsid w:val="000B3357"/>
    <w:rsid w:val="000B3372"/>
    <w:rsid w:val="000B35A6"/>
    <w:rsid w:val="000B4077"/>
    <w:rsid w:val="000B555D"/>
    <w:rsid w:val="000B55D7"/>
    <w:rsid w:val="000B6338"/>
    <w:rsid w:val="000B6B3E"/>
    <w:rsid w:val="000B7A2F"/>
    <w:rsid w:val="000B7D6E"/>
    <w:rsid w:val="000C05DE"/>
    <w:rsid w:val="000C2054"/>
    <w:rsid w:val="000C212A"/>
    <w:rsid w:val="000C4C6F"/>
    <w:rsid w:val="000C53CE"/>
    <w:rsid w:val="000D18C3"/>
    <w:rsid w:val="000D1A0A"/>
    <w:rsid w:val="000D1F67"/>
    <w:rsid w:val="000D4CC3"/>
    <w:rsid w:val="000D5AB7"/>
    <w:rsid w:val="000D7A67"/>
    <w:rsid w:val="000E129D"/>
    <w:rsid w:val="000E3F2F"/>
    <w:rsid w:val="000E439D"/>
    <w:rsid w:val="000E4D39"/>
    <w:rsid w:val="000E521B"/>
    <w:rsid w:val="000E546C"/>
    <w:rsid w:val="000E567A"/>
    <w:rsid w:val="000E69FD"/>
    <w:rsid w:val="000E7054"/>
    <w:rsid w:val="000E73B5"/>
    <w:rsid w:val="000E7866"/>
    <w:rsid w:val="000E7B27"/>
    <w:rsid w:val="000F173E"/>
    <w:rsid w:val="000F2366"/>
    <w:rsid w:val="000F3212"/>
    <w:rsid w:val="000F39D7"/>
    <w:rsid w:val="000F44DC"/>
    <w:rsid w:val="000F6AD2"/>
    <w:rsid w:val="000F75C8"/>
    <w:rsid w:val="00100D55"/>
    <w:rsid w:val="0010155C"/>
    <w:rsid w:val="00101E5A"/>
    <w:rsid w:val="00105E85"/>
    <w:rsid w:val="001064C7"/>
    <w:rsid w:val="001068AE"/>
    <w:rsid w:val="00106FDC"/>
    <w:rsid w:val="001103BE"/>
    <w:rsid w:val="00110417"/>
    <w:rsid w:val="001106F4"/>
    <w:rsid w:val="00110D22"/>
    <w:rsid w:val="00115509"/>
    <w:rsid w:val="00120544"/>
    <w:rsid w:val="001205A0"/>
    <w:rsid w:val="00121731"/>
    <w:rsid w:val="001227A2"/>
    <w:rsid w:val="00125003"/>
    <w:rsid w:val="00125511"/>
    <w:rsid w:val="0012569E"/>
    <w:rsid w:val="0012671B"/>
    <w:rsid w:val="00127C4A"/>
    <w:rsid w:val="00133F1C"/>
    <w:rsid w:val="00140583"/>
    <w:rsid w:val="00141701"/>
    <w:rsid w:val="00141EEE"/>
    <w:rsid w:val="00144C9A"/>
    <w:rsid w:val="00146138"/>
    <w:rsid w:val="001468BB"/>
    <w:rsid w:val="00150162"/>
    <w:rsid w:val="00150A49"/>
    <w:rsid w:val="00152273"/>
    <w:rsid w:val="00155131"/>
    <w:rsid w:val="00155909"/>
    <w:rsid w:val="00155B3A"/>
    <w:rsid w:val="00157FCF"/>
    <w:rsid w:val="00163457"/>
    <w:rsid w:val="001642C2"/>
    <w:rsid w:val="001653D0"/>
    <w:rsid w:val="00166E15"/>
    <w:rsid w:val="001673A9"/>
    <w:rsid w:val="00167FF8"/>
    <w:rsid w:val="00170C78"/>
    <w:rsid w:val="001713AD"/>
    <w:rsid w:val="00173169"/>
    <w:rsid w:val="00173710"/>
    <w:rsid w:val="001741A2"/>
    <w:rsid w:val="001743C4"/>
    <w:rsid w:val="001762B7"/>
    <w:rsid w:val="001770AC"/>
    <w:rsid w:val="00181103"/>
    <w:rsid w:val="001834EC"/>
    <w:rsid w:val="0018356E"/>
    <w:rsid w:val="001853BE"/>
    <w:rsid w:val="00185569"/>
    <w:rsid w:val="001873B2"/>
    <w:rsid w:val="0018781A"/>
    <w:rsid w:val="001902E8"/>
    <w:rsid w:val="001921AD"/>
    <w:rsid w:val="00194753"/>
    <w:rsid w:val="00195D1C"/>
    <w:rsid w:val="001A20F2"/>
    <w:rsid w:val="001A2705"/>
    <w:rsid w:val="001A2A8F"/>
    <w:rsid w:val="001A4A2F"/>
    <w:rsid w:val="001B07FA"/>
    <w:rsid w:val="001B0869"/>
    <w:rsid w:val="001B1306"/>
    <w:rsid w:val="001B1641"/>
    <w:rsid w:val="001B1A90"/>
    <w:rsid w:val="001B7CFF"/>
    <w:rsid w:val="001C1858"/>
    <w:rsid w:val="001C231E"/>
    <w:rsid w:val="001C2802"/>
    <w:rsid w:val="001C5CBF"/>
    <w:rsid w:val="001D012B"/>
    <w:rsid w:val="001D07D9"/>
    <w:rsid w:val="001D0D4D"/>
    <w:rsid w:val="001D2A04"/>
    <w:rsid w:val="001D3F8F"/>
    <w:rsid w:val="001D426B"/>
    <w:rsid w:val="001D573E"/>
    <w:rsid w:val="001D5FA3"/>
    <w:rsid w:val="001D6213"/>
    <w:rsid w:val="001D7446"/>
    <w:rsid w:val="001D78E4"/>
    <w:rsid w:val="001D798E"/>
    <w:rsid w:val="001E01BF"/>
    <w:rsid w:val="001F670B"/>
    <w:rsid w:val="001F696F"/>
    <w:rsid w:val="001F7F58"/>
    <w:rsid w:val="00201416"/>
    <w:rsid w:val="00202149"/>
    <w:rsid w:val="00202785"/>
    <w:rsid w:val="00203844"/>
    <w:rsid w:val="002046F5"/>
    <w:rsid w:val="00205C48"/>
    <w:rsid w:val="00206D72"/>
    <w:rsid w:val="00207CA3"/>
    <w:rsid w:val="00207CAE"/>
    <w:rsid w:val="00207CFC"/>
    <w:rsid w:val="00212719"/>
    <w:rsid w:val="00212CA4"/>
    <w:rsid w:val="00213016"/>
    <w:rsid w:val="00216433"/>
    <w:rsid w:val="00217434"/>
    <w:rsid w:val="002204BE"/>
    <w:rsid w:val="002275BC"/>
    <w:rsid w:val="00230C17"/>
    <w:rsid w:val="00231F40"/>
    <w:rsid w:val="00232160"/>
    <w:rsid w:val="0023409D"/>
    <w:rsid w:val="00234294"/>
    <w:rsid w:val="00236DDF"/>
    <w:rsid w:val="00237241"/>
    <w:rsid w:val="002372BC"/>
    <w:rsid w:val="00237577"/>
    <w:rsid w:val="00237643"/>
    <w:rsid w:val="002402F6"/>
    <w:rsid w:val="0024059B"/>
    <w:rsid w:val="002406E7"/>
    <w:rsid w:val="002425D9"/>
    <w:rsid w:val="00242B2A"/>
    <w:rsid w:val="00242B5A"/>
    <w:rsid w:val="002451CE"/>
    <w:rsid w:val="0024784F"/>
    <w:rsid w:val="00247B95"/>
    <w:rsid w:val="00250844"/>
    <w:rsid w:val="0025365E"/>
    <w:rsid w:val="002603A4"/>
    <w:rsid w:val="00260B8B"/>
    <w:rsid w:val="00260FB3"/>
    <w:rsid w:val="00260FC3"/>
    <w:rsid w:val="00262125"/>
    <w:rsid w:val="00267F47"/>
    <w:rsid w:val="0027000D"/>
    <w:rsid w:val="002704BC"/>
    <w:rsid w:val="00271153"/>
    <w:rsid w:val="002718D6"/>
    <w:rsid w:val="00271B09"/>
    <w:rsid w:val="00272A44"/>
    <w:rsid w:val="0027322A"/>
    <w:rsid w:val="00273277"/>
    <w:rsid w:val="00274D5C"/>
    <w:rsid w:val="0027526F"/>
    <w:rsid w:val="0027568E"/>
    <w:rsid w:val="00275C8D"/>
    <w:rsid w:val="00276753"/>
    <w:rsid w:val="00277911"/>
    <w:rsid w:val="002803CA"/>
    <w:rsid w:val="00280640"/>
    <w:rsid w:val="00280B81"/>
    <w:rsid w:val="00280E56"/>
    <w:rsid w:val="00280FA9"/>
    <w:rsid w:val="002816C3"/>
    <w:rsid w:val="0028468C"/>
    <w:rsid w:val="0028531B"/>
    <w:rsid w:val="002872AB"/>
    <w:rsid w:val="00287C8B"/>
    <w:rsid w:val="002933AF"/>
    <w:rsid w:val="002935AC"/>
    <w:rsid w:val="00293624"/>
    <w:rsid w:val="00295CB1"/>
    <w:rsid w:val="00297081"/>
    <w:rsid w:val="002A01D4"/>
    <w:rsid w:val="002A1F1A"/>
    <w:rsid w:val="002A2137"/>
    <w:rsid w:val="002A456C"/>
    <w:rsid w:val="002A52E5"/>
    <w:rsid w:val="002A52FA"/>
    <w:rsid w:val="002B0B67"/>
    <w:rsid w:val="002B13DC"/>
    <w:rsid w:val="002B1D9E"/>
    <w:rsid w:val="002B202C"/>
    <w:rsid w:val="002B623C"/>
    <w:rsid w:val="002B62FD"/>
    <w:rsid w:val="002B6F60"/>
    <w:rsid w:val="002B791C"/>
    <w:rsid w:val="002C3F7F"/>
    <w:rsid w:val="002C78D6"/>
    <w:rsid w:val="002D080A"/>
    <w:rsid w:val="002D0D40"/>
    <w:rsid w:val="002D2AE2"/>
    <w:rsid w:val="002D34A9"/>
    <w:rsid w:val="002D467E"/>
    <w:rsid w:val="002D4E6E"/>
    <w:rsid w:val="002D5629"/>
    <w:rsid w:val="002D5874"/>
    <w:rsid w:val="002D6090"/>
    <w:rsid w:val="002D6AD8"/>
    <w:rsid w:val="002D6BF6"/>
    <w:rsid w:val="002D6DB8"/>
    <w:rsid w:val="002D761A"/>
    <w:rsid w:val="002D7AD5"/>
    <w:rsid w:val="002E0FA7"/>
    <w:rsid w:val="002E179E"/>
    <w:rsid w:val="002E3839"/>
    <w:rsid w:val="002E4184"/>
    <w:rsid w:val="002E4C10"/>
    <w:rsid w:val="002E5719"/>
    <w:rsid w:val="002E5CB6"/>
    <w:rsid w:val="002F0589"/>
    <w:rsid w:val="002F153F"/>
    <w:rsid w:val="002F1CB0"/>
    <w:rsid w:val="002F3E0D"/>
    <w:rsid w:val="002F4B60"/>
    <w:rsid w:val="002F5302"/>
    <w:rsid w:val="002F7DE9"/>
    <w:rsid w:val="00301D9F"/>
    <w:rsid w:val="00303AEF"/>
    <w:rsid w:val="00304B02"/>
    <w:rsid w:val="003065F0"/>
    <w:rsid w:val="00307F2B"/>
    <w:rsid w:val="0031101C"/>
    <w:rsid w:val="00315CB7"/>
    <w:rsid w:val="00315D81"/>
    <w:rsid w:val="0031686D"/>
    <w:rsid w:val="00316D02"/>
    <w:rsid w:val="003208E3"/>
    <w:rsid w:val="00321896"/>
    <w:rsid w:val="00322182"/>
    <w:rsid w:val="00325143"/>
    <w:rsid w:val="003320CC"/>
    <w:rsid w:val="00334823"/>
    <w:rsid w:val="00336323"/>
    <w:rsid w:val="003445F1"/>
    <w:rsid w:val="00345BC4"/>
    <w:rsid w:val="00345E98"/>
    <w:rsid w:val="003467C0"/>
    <w:rsid w:val="00347393"/>
    <w:rsid w:val="00350D28"/>
    <w:rsid w:val="003510A8"/>
    <w:rsid w:val="00351274"/>
    <w:rsid w:val="00351D4D"/>
    <w:rsid w:val="0035238A"/>
    <w:rsid w:val="003556BF"/>
    <w:rsid w:val="003567A5"/>
    <w:rsid w:val="00361731"/>
    <w:rsid w:val="0036248E"/>
    <w:rsid w:val="003641CA"/>
    <w:rsid w:val="0036468F"/>
    <w:rsid w:val="00364F21"/>
    <w:rsid w:val="00365C33"/>
    <w:rsid w:val="00366672"/>
    <w:rsid w:val="0036790F"/>
    <w:rsid w:val="00367E15"/>
    <w:rsid w:val="00370E00"/>
    <w:rsid w:val="003724CC"/>
    <w:rsid w:val="0037485F"/>
    <w:rsid w:val="00377D7C"/>
    <w:rsid w:val="00383959"/>
    <w:rsid w:val="00387402"/>
    <w:rsid w:val="003879F7"/>
    <w:rsid w:val="0039166F"/>
    <w:rsid w:val="0039172F"/>
    <w:rsid w:val="003935BC"/>
    <w:rsid w:val="0039391C"/>
    <w:rsid w:val="00396CA1"/>
    <w:rsid w:val="003971ED"/>
    <w:rsid w:val="003972CF"/>
    <w:rsid w:val="003A0372"/>
    <w:rsid w:val="003A1C03"/>
    <w:rsid w:val="003A24E0"/>
    <w:rsid w:val="003A4EB8"/>
    <w:rsid w:val="003A6A94"/>
    <w:rsid w:val="003A7866"/>
    <w:rsid w:val="003B0242"/>
    <w:rsid w:val="003B1AC9"/>
    <w:rsid w:val="003B2029"/>
    <w:rsid w:val="003B2902"/>
    <w:rsid w:val="003B5C39"/>
    <w:rsid w:val="003B602E"/>
    <w:rsid w:val="003C03A4"/>
    <w:rsid w:val="003C04DF"/>
    <w:rsid w:val="003C0FB9"/>
    <w:rsid w:val="003C1676"/>
    <w:rsid w:val="003C1687"/>
    <w:rsid w:val="003C246A"/>
    <w:rsid w:val="003C6D66"/>
    <w:rsid w:val="003D1FA2"/>
    <w:rsid w:val="003D2A9F"/>
    <w:rsid w:val="003D2CB0"/>
    <w:rsid w:val="003D3184"/>
    <w:rsid w:val="003D3358"/>
    <w:rsid w:val="003D746C"/>
    <w:rsid w:val="003D7A36"/>
    <w:rsid w:val="003E046A"/>
    <w:rsid w:val="003E198F"/>
    <w:rsid w:val="003E24AE"/>
    <w:rsid w:val="003E2DFF"/>
    <w:rsid w:val="003E3118"/>
    <w:rsid w:val="003F139C"/>
    <w:rsid w:val="003F16B4"/>
    <w:rsid w:val="003F1AD7"/>
    <w:rsid w:val="003F1DD5"/>
    <w:rsid w:val="003F27C7"/>
    <w:rsid w:val="003F308F"/>
    <w:rsid w:val="003F30E0"/>
    <w:rsid w:val="003F3D8D"/>
    <w:rsid w:val="003F4886"/>
    <w:rsid w:val="003F5094"/>
    <w:rsid w:val="003F55E7"/>
    <w:rsid w:val="003F5C72"/>
    <w:rsid w:val="003F6877"/>
    <w:rsid w:val="003F6F88"/>
    <w:rsid w:val="00401341"/>
    <w:rsid w:val="004020CA"/>
    <w:rsid w:val="00403388"/>
    <w:rsid w:val="00404726"/>
    <w:rsid w:val="00404CEA"/>
    <w:rsid w:val="004064E3"/>
    <w:rsid w:val="00406764"/>
    <w:rsid w:val="00406B1B"/>
    <w:rsid w:val="00413042"/>
    <w:rsid w:val="004137F3"/>
    <w:rsid w:val="00414017"/>
    <w:rsid w:val="00416D06"/>
    <w:rsid w:val="00417711"/>
    <w:rsid w:val="004179E3"/>
    <w:rsid w:val="004205B3"/>
    <w:rsid w:val="004210DA"/>
    <w:rsid w:val="004212E5"/>
    <w:rsid w:val="0042130B"/>
    <w:rsid w:val="00421CC8"/>
    <w:rsid w:val="00423B5C"/>
    <w:rsid w:val="00423E29"/>
    <w:rsid w:val="004241CB"/>
    <w:rsid w:val="00425BBE"/>
    <w:rsid w:val="00427EDF"/>
    <w:rsid w:val="00430A32"/>
    <w:rsid w:val="0043275A"/>
    <w:rsid w:val="00436597"/>
    <w:rsid w:val="00437D97"/>
    <w:rsid w:val="004411F1"/>
    <w:rsid w:val="00441431"/>
    <w:rsid w:val="0044348B"/>
    <w:rsid w:val="004444C1"/>
    <w:rsid w:val="00445201"/>
    <w:rsid w:val="00453698"/>
    <w:rsid w:val="0045455A"/>
    <w:rsid w:val="004603EF"/>
    <w:rsid w:val="00461A44"/>
    <w:rsid w:val="004634D6"/>
    <w:rsid w:val="00464938"/>
    <w:rsid w:val="00470F14"/>
    <w:rsid w:val="00473377"/>
    <w:rsid w:val="004734A0"/>
    <w:rsid w:val="00475827"/>
    <w:rsid w:val="0047593B"/>
    <w:rsid w:val="00476090"/>
    <w:rsid w:val="004775EA"/>
    <w:rsid w:val="00477C04"/>
    <w:rsid w:val="0048001D"/>
    <w:rsid w:val="00482EFF"/>
    <w:rsid w:val="00483C6F"/>
    <w:rsid w:val="004844CF"/>
    <w:rsid w:val="00485FD0"/>
    <w:rsid w:val="00486738"/>
    <w:rsid w:val="00487D87"/>
    <w:rsid w:val="00492729"/>
    <w:rsid w:val="00492EFA"/>
    <w:rsid w:val="0049393F"/>
    <w:rsid w:val="00495EDC"/>
    <w:rsid w:val="00496642"/>
    <w:rsid w:val="00496C21"/>
    <w:rsid w:val="004971E2"/>
    <w:rsid w:val="0049742B"/>
    <w:rsid w:val="004A580C"/>
    <w:rsid w:val="004A649E"/>
    <w:rsid w:val="004A64A5"/>
    <w:rsid w:val="004B0CE5"/>
    <w:rsid w:val="004B1C70"/>
    <w:rsid w:val="004B1F33"/>
    <w:rsid w:val="004B27BF"/>
    <w:rsid w:val="004B2946"/>
    <w:rsid w:val="004B6638"/>
    <w:rsid w:val="004B71AD"/>
    <w:rsid w:val="004C0131"/>
    <w:rsid w:val="004C2F8F"/>
    <w:rsid w:val="004C316D"/>
    <w:rsid w:val="004C3575"/>
    <w:rsid w:val="004C46B6"/>
    <w:rsid w:val="004C5C32"/>
    <w:rsid w:val="004C5F69"/>
    <w:rsid w:val="004D036C"/>
    <w:rsid w:val="004D1752"/>
    <w:rsid w:val="004D1FDE"/>
    <w:rsid w:val="004D40D4"/>
    <w:rsid w:val="004D4BB2"/>
    <w:rsid w:val="004D53A3"/>
    <w:rsid w:val="004D717B"/>
    <w:rsid w:val="004E18FA"/>
    <w:rsid w:val="004E2367"/>
    <w:rsid w:val="004E3874"/>
    <w:rsid w:val="004E4E3E"/>
    <w:rsid w:val="004E5CC7"/>
    <w:rsid w:val="004E657D"/>
    <w:rsid w:val="004F074A"/>
    <w:rsid w:val="004F0D6A"/>
    <w:rsid w:val="004F11F4"/>
    <w:rsid w:val="004F1FAE"/>
    <w:rsid w:val="004F23C3"/>
    <w:rsid w:val="004F276D"/>
    <w:rsid w:val="004F5981"/>
    <w:rsid w:val="004F6991"/>
    <w:rsid w:val="004F731C"/>
    <w:rsid w:val="004F7C15"/>
    <w:rsid w:val="0050047A"/>
    <w:rsid w:val="00503DA0"/>
    <w:rsid w:val="0050472C"/>
    <w:rsid w:val="00504FF7"/>
    <w:rsid w:val="00505347"/>
    <w:rsid w:val="005066F5"/>
    <w:rsid w:val="00507093"/>
    <w:rsid w:val="005121D7"/>
    <w:rsid w:val="005122BB"/>
    <w:rsid w:val="00512704"/>
    <w:rsid w:val="00514DCD"/>
    <w:rsid w:val="00515FBB"/>
    <w:rsid w:val="005174C1"/>
    <w:rsid w:val="00517D6E"/>
    <w:rsid w:val="005206B5"/>
    <w:rsid w:val="00521832"/>
    <w:rsid w:val="00521A84"/>
    <w:rsid w:val="00522689"/>
    <w:rsid w:val="005233EE"/>
    <w:rsid w:val="0052361A"/>
    <w:rsid w:val="0052361B"/>
    <w:rsid w:val="00524DC5"/>
    <w:rsid w:val="00527CBE"/>
    <w:rsid w:val="005301A1"/>
    <w:rsid w:val="005309C0"/>
    <w:rsid w:val="00530D16"/>
    <w:rsid w:val="00531C67"/>
    <w:rsid w:val="00533264"/>
    <w:rsid w:val="00533517"/>
    <w:rsid w:val="0053444B"/>
    <w:rsid w:val="005356CB"/>
    <w:rsid w:val="00537783"/>
    <w:rsid w:val="005378B0"/>
    <w:rsid w:val="00541FE2"/>
    <w:rsid w:val="00542299"/>
    <w:rsid w:val="00544EDE"/>
    <w:rsid w:val="005515C0"/>
    <w:rsid w:val="00551D84"/>
    <w:rsid w:val="005540E8"/>
    <w:rsid w:val="005558C8"/>
    <w:rsid w:val="005561F0"/>
    <w:rsid w:val="005567B2"/>
    <w:rsid w:val="005576D2"/>
    <w:rsid w:val="0056025F"/>
    <w:rsid w:val="0056062F"/>
    <w:rsid w:val="00560875"/>
    <w:rsid w:val="00560DFC"/>
    <w:rsid w:val="00561FC2"/>
    <w:rsid w:val="005630FC"/>
    <w:rsid w:val="0056675C"/>
    <w:rsid w:val="00567A3C"/>
    <w:rsid w:val="0057163B"/>
    <w:rsid w:val="00571F04"/>
    <w:rsid w:val="00573487"/>
    <w:rsid w:val="005749EB"/>
    <w:rsid w:val="00575883"/>
    <w:rsid w:val="00576ED9"/>
    <w:rsid w:val="00583B78"/>
    <w:rsid w:val="00585435"/>
    <w:rsid w:val="00587C5C"/>
    <w:rsid w:val="0059200B"/>
    <w:rsid w:val="00592AFD"/>
    <w:rsid w:val="00593A57"/>
    <w:rsid w:val="00593E3F"/>
    <w:rsid w:val="00593F5C"/>
    <w:rsid w:val="005951C8"/>
    <w:rsid w:val="005952BD"/>
    <w:rsid w:val="00595652"/>
    <w:rsid w:val="00595F58"/>
    <w:rsid w:val="00596198"/>
    <w:rsid w:val="005A06D1"/>
    <w:rsid w:val="005A0F99"/>
    <w:rsid w:val="005A2A58"/>
    <w:rsid w:val="005A3AA3"/>
    <w:rsid w:val="005A3D06"/>
    <w:rsid w:val="005A4648"/>
    <w:rsid w:val="005A46B3"/>
    <w:rsid w:val="005A576F"/>
    <w:rsid w:val="005A66DF"/>
    <w:rsid w:val="005A76FD"/>
    <w:rsid w:val="005B0E32"/>
    <w:rsid w:val="005B412C"/>
    <w:rsid w:val="005B4CA4"/>
    <w:rsid w:val="005B6733"/>
    <w:rsid w:val="005C16A1"/>
    <w:rsid w:val="005C2BD1"/>
    <w:rsid w:val="005C4B06"/>
    <w:rsid w:val="005C4C60"/>
    <w:rsid w:val="005D0844"/>
    <w:rsid w:val="005D169F"/>
    <w:rsid w:val="005D338B"/>
    <w:rsid w:val="005D56D9"/>
    <w:rsid w:val="005D5944"/>
    <w:rsid w:val="005D5F12"/>
    <w:rsid w:val="005E0CF9"/>
    <w:rsid w:val="005E1542"/>
    <w:rsid w:val="005E3F14"/>
    <w:rsid w:val="005E455A"/>
    <w:rsid w:val="005E4AB0"/>
    <w:rsid w:val="005E6573"/>
    <w:rsid w:val="005E6B02"/>
    <w:rsid w:val="005E7A09"/>
    <w:rsid w:val="005F1668"/>
    <w:rsid w:val="005F2BE7"/>
    <w:rsid w:val="005F2D3F"/>
    <w:rsid w:val="005F3007"/>
    <w:rsid w:val="005F3425"/>
    <w:rsid w:val="005F4211"/>
    <w:rsid w:val="005F42D7"/>
    <w:rsid w:val="00601AA6"/>
    <w:rsid w:val="006042C2"/>
    <w:rsid w:val="00604D1F"/>
    <w:rsid w:val="00605C80"/>
    <w:rsid w:val="00605EBF"/>
    <w:rsid w:val="00607295"/>
    <w:rsid w:val="00607D08"/>
    <w:rsid w:val="00607E8A"/>
    <w:rsid w:val="00610031"/>
    <w:rsid w:val="00611143"/>
    <w:rsid w:val="00611FBB"/>
    <w:rsid w:val="00615FBA"/>
    <w:rsid w:val="00617034"/>
    <w:rsid w:val="006220EC"/>
    <w:rsid w:val="00622763"/>
    <w:rsid w:val="00622DAB"/>
    <w:rsid w:val="006232A7"/>
    <w:rsid w:val="00623341"/>
    <w:rsid w:val="006235C8"/>
    <w:rsid w:val="006238AE"/>
    <w:rsid w:val="00623DE9"/>
    <w:rsid w:val="00624905"/>
    <w:rsid w:val="006264C9"/>
    <w:rsid w:val="00630725"/>
    <w:rsid w:val="0063088B"/>
    <w:rsid w:val="00632EAC"/>
    <w:rsid w:val="006334FD"/>
    <w:rsid w:val="0063353C"/>
    <w:rsid w:val="006338F0"/>
    <w:rsid w:val="00634011"/>
    <w:rsid w:val="00634605"/>
    <w:rsid w:val="006373E4"/>
    <w:rsid w:val="00642049"/>
    <w:rsid w:val="00642420"/>
    <w:rsid w:val="00646094"/>
    <w:rsid w:val="006479AC"/>
    <w:rsid w:val="006503BB"/>
    <w:rsid w:val="00651955"/>
    <w:rsid w:val="00653905"/>
    <w:rsid w:val="00654965"/>
    <w:rsid w:val="00654A7D"/>
    <w:rsid w:val="00654D10"/>
    <w:rsid w:val="00655A7C"/>
    <w:rsid w:val="00657595"/>
    <w:rsid w:val="00663498"/>
    <w:rsid w:val="0066616E"/>
    <w:rsid w:val="00666DBE"/>
    <w:rsid w:val="006673FA"/>
    <w:rsid w:val="00673105"/>
    <w:rsid w:val="00676B60"/>
    <w:rsid w:val="00676F28"/>
    <w:rsid w:val="00681C0E"/>
    <w:rsid w:val="00682F35"/>
    <w:rsid w:val="00683847"/>
    <w:rsid w:val="00684159"/>
    <w:rsid w:val="00686FB6"/>
    <w:rsid w:val="00687077"/>
    <w:rsid w:val="00690C09"/>
    <w:rsid w:val="00690D3B"/>
    <w:rsid w:val="0069217F"/>
    <w:rsid w:val="006939C6"/>
    <w:rsid w:val="00695446"/>
    <w:rsid w:val="00696A1B"/>
    <w:rsid w:val="006A1816"/>
    <w:rsid w:val="006A2BC6"/>
    <w:rsid w:val="006A62FE"/>
    <w:rsid w:val="006B02A7"/>
    <w:rsid w:val="006B143E"/>
    <w:rsid w:val="006B44A9"/>
    <w:rsid w:val="006B4CDF"/>
    <w:rsid w:val="006B50E7"/>
    <w:rsid w:val="006B52D9"/>
    <w:rsid w:val="006B5FE5"/>
    <w:rsid w:val="006B6AB3"/>
    <w:rsid w:val="006C079C"/>
    <w:rsid w:val="006C192F"/>
    <w:rsid w:val="006C1F75"/>
    <w:rsid w:val="006C32EE"/>
    <w:rsid w:val="006C40A4"/>
    <w:rsid w:val="006C4DEF"/>
    <w:rsid w:val="006C5DCE"/>
    <w:rsid w:val="006C67F6"/>
    <w:rsid w:val="006D05CD"/>
    <w:rsid w:val="006D1F8E"/>
    <w:rsid w:val="006D5F18"/>
    <w:rsid w:val="006D6448"/>
    <w:rsid w:val="006E0237"/>
    <w:rsid w:val="006E2168"/>
    <w:rsid w:val="006E29C8"/>
    <w:rsid w:val="006E4093"/>
    <w:rsid w:val="006E4B3F"/>
    <w:rsid w:val="006E699E"/>
    <w:rsid w:val="006E6AF7"/>
    <w:rsid w:val="006E7226"/>
    <w:rsid w:val="006F2A63"/>
    <w:rsid w:val="006F474C"/>
    <w:rsid w:val="006F4D94"/>
    <w:rsid w:val="006F6B14"/>
    <w:rsid w:val="006F7C00"/>
    <w:rsid w:val="00704BA2"/>
    <w:rsid w:val="00706505"/>
    <w:rsid w:val="00707018"/>
    <w:rsid w:val="007074CF"/>
    <w:rsid w:val="00707682"/>
    <w:rsid w:val="007122B0"/>
    <w:rsid w:val="007124AD"/>
    <w:rsid w:val="00713971"/>
    <w:rsid w:val="00713A41"/>
    <w:rsid w:val="007145E8"/>
    <w:rsid w:val="0071565A"/>
    <w:rsid w:val="00715A38"/>
    <w:rsid w:val="00715D5C"/>
    <w:rsid w:val="00716F99"/>
    <w:rsid w:val="00721B15"/>
    <w:rsid w:val="00722D0E"/>
    <w:rsid w:val="00722FF0"/>
    <w:rsid w:val="00723A04"/>
    <w:rsid w:val="00726C44"/>
    <w:rsid w:val="00730800"/>
    <w:rsid w:val="00730B12"/>
    <w:rsid w:val="007316F0"/>
    <w:rsid w:val="007316F6"/>
    <w:rsid w:val="007319C8"/>
    <w:rsid w:val="00731BE4"/>
    <w:rsid w:val="0073326A"/>
    <w:rsid w:val="007337DB"/>
    <w:rsid w:val="00734238"/>
    <w:rsid w:val="0073568B"/>
    <w:rsid w:val="00736476"/>
    <w:rsid w:val="00737A2C"/>
    <w:rsid w:val="0074000D"/>
    <w:rsid w:val="00741D2B"/>
    <w:rsid w:val="0074234D"/>
    <w:rsid w:val="007426A8"/>
    <w:rsid w:val="00742860"/>
    <w:rsid w:val="00743D62"/>
    <w:rsid w:val="00743EC7"/>
    <w:rsid w:val="00744408"/>
    <w:rsid w:val="00744C18"/>
    <w:rsid w:val="007479A1"/>
    <w:rsid w:val="00747E3B"/>
    <w:rsid w:val="00752137"/>
    <w:rsid w:val="00752190"/>
    <w:rsid w:val="00752CBB"/>
    <w:rsid w:val="007531A3"/>
    <w:rsid w:val="00755495"/>
    <w:rsid w:val="007556B5"/>
    <w:rsid w:val="00756632"/>
    <w:rsid w:val="007571E3"/>
    <w:rsid w:val="007605B4"/>
    <w:rsid w:val="00763484"/>
    <w:rsid w:val="0076408B"/>
    <w:rsid w:val="00765148"/>
    <w:rsid w:val="00766AE2"/>
    <w:rsid w:val="00766B37"/>
    <w:rsid w:val="00767C27"/>
    <w:rsid w:val="007700D2"/>
    <w:rsid w:val="007704F3"/>
    <w:rsid w:val="00770E29"/>
    <w:rsid w:val="00771E10"/>
    <w:rsid w:val="00775391"/>
    <w:rsid w:val="00777A92"/>
    <w:rsid w:val="00780590"/>
    <w:rsid w:val="007831C6"/>
    <w:rsid w:val="0078507B"/>
    <w:rsid w:val="007850A3"/>
    <w:rsid w:val="007850C8"/>
    <w:rsid w:val="00786883"/>
    <w:rsid w:val="00792190"/>
    <w:rsid w:val="007931E5"/>
    <w:rsid w:val="007938A2"/>
    <w:rsid w:val="00794734"/>
    <w:rsid w:val="0079630D"/>
    <w:rsid w:val="00797306"/>
    <w:rsid w:val="007A1D80"/>
    <w:rsid w:val="007A296B"/>
    <w:rsid w:val="007A2CA5"/>
    <w:rsid w:val="007A2DBD"/>
    <w:rsid w:val="007B1509"/>
    <w:rsid w:val="007B2167"/>
    <w:rsid w:val="007B27A9"/>
    <w:rsid w:val="007B4FF6"/>
    <w:rsid w:val="007B50F2"/>
    <w:rsid w:val="007B541C"/>
    <w:rsid w:val="007B6304"/>
    <w:rsid w:val="007B6488"/>
    <w:rsid w:val="007B6EB0"/>
    <w:rsid w:val="007C08C4"/>
    <w:rsid w:val="007C0DDD"/>
    <w:rsid w:val="007C1F94"/>
    <w:rsid w:val="007C2B22"/>
    <w:rsid w:val="007C635C"/>
    <w:rsid w:val="007C6371"/>
    <w:rsid w:val="007C6FDC"/>
    <w:rsid w:val="007D0737"/>
    <w:rsid w:val="007D0907"/>
    <w:rsid w:val="007D2F94"/>
    <w:rsid w:val="007D3F0E"/>
    <w:rsid w:val="007D46B7"/>
    <w:rsid w:val="007D4E10"/>
    <w:rsid w:val="007D672E"/>
    <w:rsid w:val="007D67B6"/>
    <w:rsid w:val="007E1A4C"/>
    <w:rsid w:val="007E1ED8"/>
    <w:rsid w:val="007E3928"/>
    <w:rsid w:val="007E4891"/>
    <w:rsid w:val="007E61AC"/>
    <w:rsid w:val="007E62B0"/>
    <w:rsid w:val="007F2C8E"/>
    <w:rsid w:val="007F3792"/>
    <w:rsid w:val="007F3B53"/>
    <w:rsid w:val="007F3EF7"/>
    <w:rsid w:val="007F7815"/>
    <w:rsid w:val="00802C28"/>
    <w:rsid w:val="00805856"/>
    <w:rsid w:val="00806DC6"/>
    <w:rsid w:val="00807946"/>
    <w:rsid w:val="00807DD2"/>
    <w:rsid w:val="00810066"/>
    <w:rsid w:val="008111C7"/>
    <w:rsid w:val="00811932"/>
    <w:rsid w:val="008132B7"/>
    <w:rsid w:val="0081537A"/>
    <w:rsid w:val="008160D7"/>
    <w:rsid w:val="008161BE"/>
    <w:rsid w:val="00817BB1"/>
    <w:rsid w:val="0082284C"/>
    <w:rsid w:val="00823C20"/>
    <w:rsid w:val="00830A26"/>
    <w:rsid w:val="00831BEF"/>
    <w:rsid w:val="00834EE3"/>
    <w:rsid w:val="0083707F"/>
    <w:rsid w:val="00840195"/>
    <w:rsid w:val="00840882"/>
    <w:rsid w:val="00842367"/>
    <w:rsid w:val="008428E4"/>
    <w:rsid w:val="00843684"/>
    <w:rsid w:val="00843EAA"/>
    <w:rsid w:val="00847462"/>
    <w:rsid w:val="008518EF"/>
    <w:rsid w:val="00851EA8"/>
    <w:rsid w:val="00852C37"/>
    <w:rsid w:val="0085691A"/>
    <w:rsid w:val="00857F79"/>
    <w:rsid w:val="00861625"/>
    <w:rsid w:val="00862662"/>
    <w:rsid w:val="008641B9"/>
    <w:rsid w:val="00870071"/>
    <w:rsid w:val="00870190"/>
    <w:rsid w:val="00873094"/>
    <w:rsid w:val="00876F42"/>
    <w:rsid w:val="008834A2"/>
    <w:rsid w:val="00883A1C"/>
    <w:rsid w:val="00887314"/>
    <w:rsid w:val="00887C75"/>
    <w:rsid w:val="0089398B"/>
    <w:rsid w:val="008950A8"/>
    <w:rsid w:val="0089716D"/>
    <w:rsid w:val="00897235"/>
    <w:rsid w:val="008A15AE"/>
    <w:rsid w:val="008A2DA9"/>
    <w:rsid w:val="008A3B5F"/>
    <w:rsid w:val="008A4656"/>
    <w:rsid w:val="008A5A27"/>
    <w:rsid w:val="008A5C68"/>
    <w:rsid w:val="008B069D"/>
    <w:rsid w:val="008B104C"/>
    <w:rsid w:val="008B15E5"/>
    <w:rsid w:val="008B31D9"/>
    <w:rsid w:val="008B5295"/>
    <w:rsid w:val="008B54AE"/>
    <w:rsid w:val="008B5A94"/>
    <w:rsid w:val="008C0123"/>
    <w:rsid w:val="008C1F9C"/>
    <w:rsid w:val="008C3774"/>
    <w:rsid w:val="008C3DE0"/>
    <w:rsid w:val="008C4F25"/>
    <w:rsid w:val="008C5717"/>
    <w:rsid w:val="008C7920"/>
    <w:rsid w:val="008D0C6B"/>
    <w:rsid w:val="008D2F2C"/>
    <w:rsid w:val="008D3E37"/>
    <w:rsid w:val="008D5122"/>
    <w:rsid w:val="008E1F37"/>
    <w:rsid w:val="008E24C0"/>
    <w:rsid w:val="008E2EDA"/>
    <w:rsid w:val="008E3916"/>
    <w:rsid w:val="008E3DC9"/>
    <w:rsid w:val="008E6CEE"/>
    <w:rsid w:val="008F320E"/>
    <w:rsid w:val="008F3C56"/>
    <w:rsid w:val="008F489E"/>
    <w:rsid w:val="008F586C"/>
    <w:rsid w:val="008F66AF"/>
    <w:rsid w:val="0090171F"/>
    <w:rsid w:val="00902C85"/>
    <w:rsid w:val="00907EB9"/>
    <w:rsid w:val="009129B3"/>
    <w:rsid w:val="00915272"/>
    <w:rsid w:val="009172E0"/>
    <w:rsid w:val="00921158"/>
    <w:rsid w:val="00922A27"/>
    <w:rsid w:val="00923573"/>
    <w:rsid w:val="0092450E"/>
    <w:rsid w:val="00924E28"/>
    <w:rsid w:val="009275EE"/>
    <w:rsid w:val="009335AC"/>
    <w:rsid w:val="00934402"/>
    <w:rsid w:val="00941704"/>
    <w:rsid w:val="00942980"/>
    <w:rsid w:val="00943861"/>
    <w:rsid w:val="00944E96"/>
    <w:rsid w:val="00945D16"/>
    <w:rsid w:val="00945DEC"/>
    <w:rsid w:val="00947045"/>
    <w:rsid w:val="00950840"/>
    <w:rsid w:val="00953E57"/>
    <w:rsid w:val="009552A3"/>
    <w:rsid w:val="0096482D"/>
    <w:rsid w:val="00966036"/>
    <w:rsid w:val="0096636E"/>
    <w:rsid w:val="009664FB"/>
    <w:rsid w:val="00966650"/>
    <w:rsid w:val="00966872"/>
    <w:rsid w:val="009673E0"/>
    <w:rsid w:val="00970597"/>
    <w:rsid w:val="00971460"/>
    <w:rsid w:val="00971B21"/>
    <w:rsid w:val="009732E4"/>
    <w:rsid w:val="009737D1"/>
    <w:rsid w:val="009747C3"/>
    <w:rsid w:val="009766A8"/>
    <w:rsid w:val="00976CAB"/>
    <w:rsid w:val="00977718"/>
    <w:rsid w:val="00981E57"/>
    <w:rsid w:val="009833E9"/>
    <w:rsid w:val="0098690C"/>
    <w:rsid w:val="00990C15"/>
    <w:rsid w:val="00990D94"/>
    <w:rsid w:val="0099370E"/>
    <w:rsid w:val="0099381D"/>
    <w:rsid w:val="009963A5"/>
    <w:rsid w:val="00997CD4"/>
    <w:rsid w:val="009A0A83"/>
    <w:rsid w:val="009A1994"/>
    <w:rsid w:val="009A2CCA"/>
    <w:rsid w:val="009A2E27"/>
    <w:rsid w:val="009A3A42"/>
    <w:rsid w:val="009A3D62"/>
    <w:rsid w:val="009A4636"/>
    <w:rsid w:val="009A5A85"/>
    <w:rsid w:val="009A6AFC"/>
    <w:rsid w:val="009A6D01"/>
    <w:rsid w:val="009A6EFA"/>
    <w:rsid w:val="009A7A72"/>
    <w:rsid w:val="009A7B1B"/>
    <w:rsid w:val="009B09A0"/>
    <w:rsid w:val="009B0B66"/>
    <w:rsid w:val="009B121F"/>
    <w:rsid w:val="009B1846"/>
    <w:rsid w:val="009B20D4"/>
    <w:rsid w:val="009B387C"/>
    <w:rsid w:val="009B5825"/>
    <w:rsid w:val="009B7206"/>
    <w:rsid w:val="009C3B94"/>
    <w:rsid w:val="009C4820"/>
    <w:rsid w:val="009C62B4"/>
    <w:rsid w:val="009D01B1"/>
    <w:rsid w:val="009D095E"/>
    <w:rsid w:val="009D1C84"/>
    <w:rsid w:val="009D3E73"/>
    <w:rsid w:val="009D6018"/>
    <w:rsid w:val="009E0A99"/>
    <w:rsid w:val="009E2A3D"/>
    <w:rsid w:val="009E395A"/>
    <w:rsid w:val="009E5071"/>
    <w:rsid w:val="009E52CD"/>
    <w:rsid w:val="009E57D0"/>
    <w:rsid w:val="009E595E"/>
    <w:rsid w:val="009E6194"/>
    <w:rsid w:val="009F22CA"/>
    <w:rsid w:val="009F2B80"/>
    <w:rsid w:val="009F2D17"/>
    <w:rsid w:val="009F3FA5"/>
    <w:rsid w:val="009F3FF3"/>
    <w:rsid w:val="009F48A3"/>
    <w:rsid w:val="009F5020"/>
    <w:rsid w:val="009F5D38"/>
    <w:rsid w:val="009F5ED6"/>
    <w:rsid w:val="00A00B1D"/>
    <w:rsid w:val="00A0392C"/>
    <w:rsid w:val="00A03FA1"/>
    <w:rsid w:val="00A04BF2"/>
    <w:rsid w:val="00A065EC"/>
    <w:rsid w:val="00A076C7"/>
    <w:rsid w:val="00A07C8D"/>
    <w:rsid w:val="00A10330"/>
    <w:rsid w:val="00A12BAA"/>
    <w:rsid w:val="00A13BEA"/>
    <w:rsid w:val="00A141BF"/>
    <w:rsid w:val="00A14A75"/>
    <w:rsid w:val="00A14B48"/>
    <w:rsid w:val="00A165CC"/>
    <w:rsid w:val="00A2081E"/>
    <w:rsid w:val="00A21C16"/>
    <w:rsid w:val="00A25962"/>
    <w:rsid w:val="00A260CE"/>
    <w:rsid w:val="00A26364"/>
    <w:rsid w:val="00A26C75"/>
    <w:rsid w:val="00A274B3"/>
    <w:rsid w:val="00A36E8E"/>
    <w:rsid w:val="00A402C7"/>
    <w:rsid w:val="00A4050B"/>
    <w:rsid w:val="00A406C1"/>
    <w:rsid w:val="00A40FA4"/>
    <w:rsid w:val="00A41016"/>
    <w:rsid w:val="00A444AF"/>
    <w:rsid w:val="00A45543"/>
    <w:rsid w:val="00A458AD"/>
    <w:rsid w:val="00A46A66"/>
    <w:rsid w:val="00A46F3E"/>
    <w:rsid w:val="00A47232"/>
    <w:rsid w:val="00A50186"/>
    <w:rsid w:val="00A50270"/>
    <w:rsid w:val="00A51A30"/>
    <w:rsid w:val="00A55622"/>
    <w:rsid w:val="00A5614F"/>
    <w:rsid w:val="00A57FC6"/>
    <w:rsid w:val="00A6001D"/>
    <w:rsid w:val="00A60F1E"/>
    <w:rsid w:val="00A61ADE"/>
    <w:rsid w:val="00A62FF3"/>
    <w:rsid w:val="00A63A51"/>
    <w:rsid w:val="00A64910"/>
    <w:rsid w:val="00A64C31"/>
    <w:rsid w:val="00A66DA7"/>
    <w:rsid w:val="00A7043A"/>
    <w:rsid w:val="00A70F09"/>
    <w:rsid w:val="00A7111A"/>
    <w:rsid w:val="00A711E7"/>
    <w:rsid w:val="00A71673"/>
    <w:rsid w:val="00A7389C"/>
    <w:rsid w:val="00A74B1A"/>
    <w:rsid w:val="00A75081"/>
    <w:rsid w:val="00A80365"/>
    <w:rsid w:val="00A8267E"/>
    <w:rsid w:val="00A84EF2"/>
    <w:rsid w:val="00A8513F"/>
    <w:rsid w:val="00A855B9"/>
    <w:rsid w:val="00A859F8"/>
    <w:rsid w:val="00A85CDE"/>
    <w:rsid w:val="00A92CEE"/>
    <w:rsid w:val="00A9337E"/>
    <w:rsid w:val="00A933AC"/>
    <w:rsid w:val="00A9588A"/>
    <w:rsid w:val="00A9765D"/>
    <w:rsid w:val="00A97EF2"/>
    <w:rsid w:val="00AA0F7D"/>
    <w:rsid w:val="00AA2654"/>
    <w:rsid w:val="00AA5851"/>
    <w:rsid w:val="00AA5E09"/>
    <w:rsid w:val="00AA65E2"/>
    <w:rsid w:val="00AA6C0D"/>
    <w:rsid w:val="00AB014D"/>
    <w:rsid w:val="00AB057C"/>
    <w:rsid w:val="00AB0F22"/>
    <w:rsid w:val="00AB15A6"/>
    <w:rsid w:val="00AB1882"/>
    <w:rsid w:val="00AB4FED"/>
    <w:rsid w:val="00AB6448"/>
    <w:rsid w:val="00AB72C8"/>
    <w:rsid w:val="00AC049C"/>
    <w:rsid w:val="00AC0704"/>
    <w:rsid w:val="00AC0C2A"/>
    <w:rsid w:val="00AC0D20"/>
    <w:rsid w:val="00AC0E87"/>
    <w:rsid w:val="00AC1125"/>
    <w:rsid w:val="00AC179F"/>
    <w:rsid w:val="00AC212E"/>
    <w:rsid w:val="00AC321C"/>
    <w:rsid w:val="00AC3712"/>
    <w:rsid w:val="00AC3A7A"/>
    <w:rsid w:val="00AC3AD8"/>
    <w:rsid w:val="00AC469F"/>
    <w:rsid w:val="00AC6CC7"/>
    <w:rsid w:val="00AD1276"/>
    <w:rsid w:val="00AD1BA0"/>
    <w:rsid w:val="00AD465D"/>
    <w:rsid w:val="00AD52EA"/>
    <w:rsid w:val="00AD690E"/>
    <w:rsid w:val="00AE0BD8"/>
    <w:rsid w:val="00AE1367"/>
    <w:rsid w:val="00AE1A42"/>
    <w:rsid w:val="00AE41F3"/>
    <w:rsid w:val="00AE4279"/>
    <w:rsid w:val="00AE62D8"/>
    <w:rsid w:val="00AE66AC"/>
    <w:rsid w:val="00AE719E"/>
    <w:rsid w:val="00AF03AB"/>
    <w:rsid w:val="00AF37FB"/>
    <w:rsid w:val="00AF50CE"/>
    <w:rsid w:val="00AF6AA4"/>
    <w:rsid w:val="00AF7CC4"/>
    <w:rsid w:val="00B03A27"/>
    <w:rsid w:val="00B06C7A"/>
    <w:rsid w:val="00B07271"/>
    <w:rsid w:val="00B101A5"/>
    <w:rsid w:val="00B116E1"/>
    <w:rsid w:val="00B1186E"/>
    <w:rsid w:val="00B12420"/>
    <w:rsid w:val="00B136DF"/>
    <w:rsid w:val="00B149CA"/>
    <w:rsid w:val="00B150B0"/>
    <w:rsid w:val="00B157BD"/>
    <w:rsid w:val="00B21794"/>
    <w:rsid w:val="00B21F38"/>
    <w:rsid w:val="00B255C5"/>
    <w:rsid w:val="00B26A48"/>
    <w:rsid w:val="00B310C3"/>
    <w:rsid w:val="00B31E72"/>
    <w:rsid w:val="00B31FB5"/>
    <w:rsid w:val="00B32178"/>
    <w:rsid w:val="00B36649"/>
    <w:rsid w:val="00B379AD"/>
    <w:rsid w:val="00B403C3"/>
    <w:rsid w:val="00B40767"/>
    <w:rsid w:val="00B41EC2"/>
    <w:rsid w:val="00B53A9D"/>
    <w:rsid w:val="00B54618"/>
    <w:rsid w:val="00B5646F"/>
    <w:rsid w:val="00B57B49"/>
    <w:rsid w:val="00B60B52"/>
    <w:rsid w:val="00B61EF2"/>
    <w:rsid w:val="00B62F0B"/>
    <w:rsid w:val="00B63C4D"/>
    <w:rsid w:val="00B6418C"/>
    <w:rsid w:val="00B647B8"/>
    <w:rsid w:val="00B65CF9"/>
    <w:rsid w:val="00B66A63"/>
    <w:rsid w:val="00B67F43"/>
    <w:rsid w:val="00B738FD"/>
    <w:rsid w:val="00B7391D"/>
    <w:rsid w:val="00B7393A"/>
    <w:rsid w:val="00B74E2D"/>
    <w:rsid w:val="00B75A2F"/>
    <w:rsid w:val="00B76837"/>
    <w:rsid w:val="00B77D03"/>
    <w:rsid w:val="00B8187E"/>
    <w:rsid w:val="00B849E0"/>
    <w:rsid w:val="00B84AC4"/>
    <w:rsid w:val="00B850C5"/>
    <w:rsid w:val="00B86D58"/>
    <w:rsid w:val="00B904D0"/>
    <w:rsid w:val="00B90A50"/>
    <w:rsid w:val="00B92363"/>
    <w:rsid w:val="00B93385"/>
    <w:rsid w:val="00B94CD8"/>
    <w:rsid w:val="00B94D6A"/>
    <w:rsid w:val="00B94DC8"/>
    <w:rsid w:val="00B96479"/>
    <w:rsid w:val="00B977FE"/>
    <w:rsid w:val="00B97D1A"/>
    <w:rsid w:val="00BA08D6"/>
    <w:rsid w:val="00BA1240"/>
    <w:rsid w:val="00BA1C38"/>
    <w:rsid w:val="00BA2E86"/>
    <w:rsid w:val="00BA2FCA"/>
    <w:rsid w:val="00BA531C"/>
    <w:rsid w:val="00BA54C2"/>
    <w:rsid w:val="00BA5F58"/>
    <w:rsid w:val="00BB1F0C"/>
    <w:rsid w:val="00BB4E06"/>
    <w:rsid w:val="00BB5044"/>
    <w:rsid w:val="00BB5182"/>
    <w:rsid w:val="00BC017B"/>
    <w:rsid w:val="00BC051D"/>
    <w:rsid w:val="00BC19F6"/>
    <w:rsid w:val="00BC1B8B"/>
    <w:rsid w:val="00BC2E4A"/>
    <w:rsid w:val="00BC2FB6"/>
    <w:rsid w:val="00BC3E1D"/>
    <w:rsid w:val="00BC3F1E"/>
    <w:rsid w:val="00BC4AD6"/>
    <w:rsid w:val="00BC5588"/>
    <w:rsid w:val="00BC73E4"/>
    <w:rsid w:val="00BC7A3D"/>
    <w:rsid w:val="00BD0751"/>
    <w:rsid w:val="00BD0BD0"/>
    <w:rsid w:val="00BD21EC"/>
    <w:rsid w:val="00BD38FF"/>
    <w:rsid w:val="00BD45A8"/>
    <w:rsid w:val="00BD7025"/>
    <w:rsid w:val="00BD7378"/>
    <w:rsid w:val="00BD74D3"/>
    <w:rsid w:val="00BD7785"/>
    <w:rsid w:val="00BE2B71"/>
    <w:rsid w:val="00BE556E"/>
    <w:rsid w:val="00BE5BC9"/>
    <w:rsid w:val="00BE6382"/>
    <w:rsid w:val="00BE6F0C"/>
    <w:rsid w:val="00BF1FC2"/>
    <w:rsid w:val="00BF22B9"/>
    <w:rsid w:val="00BF420B"/>
    <w:rsid w:val="00C01347"/>
    <w:rsid w:val="00C0445D"/>
    <w:rsid w:val="00C044F8"/>
    <w:rsid w:val="00C07F17"/>
    <w:rsid w:val="00C10A32"/>
    <w:rsid w:val="00C11FBC"/>
    <w:rsid w:val="00C1270A"/>
    <w:rsid w:val="00C1311C"/>
    <w:rsid w:val="00C13BA9"/>
    <w:rsid w:val="00C17479"/>
    <w:rsid w:val="00C17BEB"/>
    <w:rsid w:val="00C2087B"/>
    <w:rsid w:val="00C216C0"/>
    <w:rsid w:val="00C21B7E"/>
    <w:rsid w:val="00C245CF"/>
    <w:rsid w:val="00C252BB"/>
    <w:rsid w:val="00C2649F"/>
    <w:rsid w:val="00C274CF"/>
    <w:rsid w:val="00C3482D"/>
    <w:rsid w:val="00C34E62"/>
    <w:rsid w:val="00C35334"/>
    <w:rsid w:val="00C35537"/>
    <w:rsid w:val="00C4038B"/>
    <w:rsid w:val="00C418F9"/>
    <w:rsid w:val="00C44674"/>
    <w:rsid w:val="00C448C5"/>
    <w:rsid w:val="00C5317A"/>
    <w:rsid w:val="00C53B5C"/>
    <w:rsid w:val="00C55135"/>
    <w:rsid w:val="00C55D49"/>
    <w:rsid w:val="00C57052"/>
    <w:rsid w:val="00C57A1A"/>
    <w:rsid w:val="00C61773"/>
    <w:rsid w:val="00C62DCF"/>
    <w:rsid w:val="00C6552C"/>
    <w:rsid w:val="00C71D55"/>
    <w:rsid w:val="00C72077"/>
    <w:rsid w:val="00C72250"/>
    <w:rsid w:val="00C732FB"/>
    <w:rsid w:val="00C77DF7"/>
    <w:rsid w:val="00C77E72"/>
    <w:rsid w:val="00C80791"/>
    <w:rsid w:val="00C823A6"/>
    <w:rsid w:val="00C82E97"/>
    <w:rsid w:val="00C84B91"/>
    <w:rsid w:val="00C85507"/>
    <w:rsid w:val="00C85C21"/>
    <w:rsid w:val="00C87031"/>
    <w:rsid w:val="00C921BD"/>
    <w:rsid w:val="00C93E28"/>
    <w:rsid w:val="00C9524B"/>
    <w:rsid w:val="00C95DE8"/>
    <w:rsid w:val="00C96761"/>
    <w:rsid w:val="00C96DEE"/>
    <w:rsid w:val="00CA4D10"/>
    <w:rsid w:val="00CA58A3"/>
    <w:rsid w:val="00CA6556"/>
    <w:rsid w:val="00CA6DD5"/>
    <w:rsid w:val="00CB2A81"/>
    <w:rsid w:val="00CB3641"/>
    <w:rsid w:val="00CB3CB6"/>
    <w:rsid w:val="00CB4F57"/>
    <w:rsid w:val="00CB550A"/>
    <w:rsid w:val="00CB719C"/>
    <w:rsid w:val="00CC0025"/>
    <w:rsid w:val="00CC045B"/>
    <w:rsid w:val="00CC1C11"/>
    <w:rsid w:val="00CC3BB5"/>
    <w:rsid w:val="00CC4AF4"/>
    <w:rsid w:val="00CC65F6"/>
    <w:rsid w:val="00CC7189"/>
    <w:rsid w:val="00CC74A2"/>
    <w:rsid w:val="00CD28E2"/>
    <w:rsid w:val="00CD3357"/>
    <w:rsid w:val="00CD3358"/>
    <w:rsid w:val="00CD558C"/>
    <w:rsid w:val="00CD72ED"/>
    <w:rsid w:val="00CE1EAD"/>
    <w:rsid w:val="00CE1F92"/>
    <w:rsid w:val="00CE2639"/>
    <w:rsid w:val="00CE37B8"/>
    <w:rsid w:val="00CE3C13"/>
    <w:rsid w:val="00CE5B6B"/>
    <w:rsid w:val="00CE783E"/>
    <w:rsid w:val="00CE7F16"/>
    <w:rsid w:val="00CF04CD"/>
    <w:rsid w:val="00CF0ACC"/>
    <w:rsid w:val="00CF16E1"/>
    <w:rsid w:val="00CF29F6"/>
    <w:rsid w:val="00CF2DF7"/>
    <w:rsid w:val="00CF4556"/>
    <w:rsid w:val="00CF4698"/>
    <w:rsid w:val="00CF473B"/>
    <w:rsid w:val="00CF5C9B"/>
    <w:rsid w:val="00CF6322"/>
    <w:rsid w:val="00CF6524"/>
    <w:rsid w:val="00D021A0"/>
    <w:rsid w:val="00D02601"/>
    <w:rsid w:val="00D03292"/>
    <w:rsid w:val="00D04320"/>
    <w:rsid w:val="00D04933"/>
    <w:rsid w:val="00D07FB9"/>
    <w:rsid w:val="00D10A4D"/>
    <w:rsid w:val="00D11FE5"/>
    <w:rsid w:val="00D122F8"/>
    <w:rsid w:val="00D12E63"/>
    <w:rsid w:val="00D16230"/>
    <w:rsid w:val="00D16BAA"/>
    <w:rsid w:val="00D174B3"/>
    <w:rsid w:val="00D1794C"/>
    <w:rsid w:val="00D20CE9"/>
    <w:rsid w:val="00D20E91"/>
    <w:rsid w:val="00D20ECE"/>
    <w:rsid w:val="00D20FDA"/>
    <w:rsid w:val="00D21B7A"/>
    <w:rsid w:val="00D223EA"/>
    <w:rsid w:val="00D23052"/>
    <w:rsid w:val="00D25769"/>
    <w:rsid w:val="00D25F91"/>
    <w:rsid w:val="00D26061"/>
    <w:rsid w:val="00D2660F"/>
    <w:rsid w:val="00D337A3"/>
    <w:rsid w:val="00D33AF3"/>
    <w:rsid w:val="00D34015"/>
    <w:rsid w:val="00D34E72"/>
    <w:rsid w:val="00D350FB"/>
    <w:rsid w:val="00D36369"/>
    <w:rsid w:val="00D366DF"/>
    <w:rsid w:val="00D36881"/>
    <w:rsid w:val="00D37193"/>
    <w:rsid w:val="00D4000C"/>
    <w:rsid w:val="00D40376"/>
    <w:rsid w:val="00D4083B"/>
    <w:rsid w:val="00D41466"/>
    <w:rsid w:val="00D41770"/>
    <w:rsid w:val="00D41A1F"/>
    <w:rsid w:val="00D43731"/>
    <w:rsid w:val="00D43F9D"/>
    <w:rsid w:val="00D43FAC"/>
    <w:rsid w:val="00D46243"/>
    <w:rsid w:val="00D46CBF"/>
    <w:rsid w:val="00D50280"/>
    <w:rsid w:val="00D50B58"/>
    <w:rsid w:val="00D545F4"/>
    <w:rsid w:val="00D55330"/>
    <w:rsid w:val="00D55F59"/>
    <w:rsid w:val="00D60D6C"/>
    <w:rsid w:val="00D629C3"/>
    <w:rsid w:val="00D62D5A"/>
    <w:rsid w:val="00D62D82"/>
    <w:rsid w:val="00D63D8E"/>
    <w:rsid w:val="00D65F01"/>
    <w:rsid w:val="00D66200"/>
    <w:rsid w:val="00D66B2F"/>
    <w:rsid w:val="00D6794A"/>
    <w:rsid w:val="00D67A1B"/>
    <w:rsid w:val="00D70D8C"/>
    <w:rsid w:val="00D7166A"/>
    <w:rsid w:val="00D71A86"/>
    <w:rsid w:val="00D73B4F"/>
    <w:rsid w:val="00D74D42"/>
    <w:rsid w:val="00D750C3"/>
    <w:rsid w:val="00D7512A"/>
    <w:rsid w:val="00D80187"/>
    <w:rsid w:val="00D82CC9"/>
    <w:rsid w:val="00D844AC"/>
    <w:rsid w:val="00D84986"/>
    <w:rsid w:val="00D8534D"/>
    <w:rsid w:val="00D85918"/>
    <w:rsid w:val="00D85956"/>
    <w:rsid w:val="00D85D04"/>
    <w:rsid w:val="00D86A34"/>
    <w:rsid w:val="00D90F76"/>
    <w:rsid w:val="00D9123F"/>
    <w:rsid w:val="00D91923"/>
    <w:rsid w:val="00D92D54"/>
    <w:rsid w:val="00D93561"/>
    <w:rsid w:val="00D93987"/>
    <w:rsid w:val="00D9482B"/>
    <w:rsid w:val="00DA3496"/>
    <w:rsid w:val="00DA3909"/>
    <w:rsid w:val="00DA5919"/>
    <w:rsid w:val="00DA67E1"/>
    <w:rsid w:val="00DB070F"/>
    <w:rsid w:val="00DB0A95"/>
    <w:rsid w:val="00DB41A8"/>
    <w:rsid w:val="00DB4211"/>
    <w:rsid w:val="00DB5067"/>
    <w:rsid w:val="00DB646A"/>
    <w:rsid w:val="00DB6C31"/>
    <w:rsid w:val="00DB7353"/>
    <w:rsid w:val="00DB7DCD"/>
    <w:rsid w:val="00DC1D96"/>
    <w:rsid w:val="00DC6A61"/>
    <w:rsid w:val="00DC76D0"/>
    <w:rsid w:val="00DD1934"/>
    <w:rsid w:val="00DD2E14"/>
    <w:rsid w:val="00DD3B08"/>
    <w:rsid w:val="00DD4A21"/>
    <w:rsid w:val="00DD5819"/>
    <w:rsid w:val="00DD5F20"/>
    <w:rsid w:val="00DD6352"/>
    <w:rsid w:val="00DD6655"/>
    <w:rsid w:val="00DD6CB7"/>
    <w:rsid w:val="00DE2C42"/>
    <w:rsid w:val="00DE3D76"/>
    <w:rsid w:val="00DE3FDE"/>
    <w:rsid w:val="00DE6EBD"/>
    <w:rsid w:val="00DE7F29"/>
    <w:rsid w:val="00DF0DA8"/>
    <w:rsid w:val="00DF45B4"/>
    <w:rsid w:val="00DF5D0C"/>
    <w:rsid w:val="00DF647C"/>
    <w:rsid w:val="00E010BF"/>
    <w:rsid w:val="00E020D6"/>
    <w:rsid w:val="00E04F66"/>
    <w:rsid w:val="00E05064"/>
    <w:rsid w:val="00E05376"/>
    <w:rsid w:val="00E062E5"/>
    <w:rsid w:val="00E06B3F"/>
    <w:rsid w:val="00E06E75"/>
    <w:rsid w:val="00E07211"/>
    <w:rsid w:val="00E1142A"/>
    <w:rsid w:val="00E11C2F"/>
    <w:rsid w:val="00E14534"/>
    <w:rsid w:val="00E16354"/>
    <w:rsid w:val="00E169BD"/>
    <w:rsid w:val="00E17D90"/>
    <w:rsid w:val="00E2336E"/>
    <w:rsid w:val="00E237DA"/>
    <w:rsid w:val="00E24AA1"/>
    <w:rsid w:val="00E26B56"/>
    <w:rsid w:val="00E26E04"/>
    <w:rsid w:val="00E27D54"/>
    <w:rsid w:val="00E302F1"/>
    <w:rsid w:val="00E3062D"/>
    <w:rsid w:val="00E30F76"/>
    <w:rsid w:val="00E311DC"/>
    <w:rsid w:val="00E31CD3"/>
    <w:rsid w:val="00E326A8"/>
    <w:rsid w:val="00E340DE"/>
    <w:rsid w:val="00E3531A"/>
    <w:rsid w:val="00E36EA5"/>
    <w:rsid w:val="00E4061F"/>
    <w:rsid w:val="00E41556"/>
    <w:rsid w:val="00E41F21"/>
    <w:rsid w:val="00E42C74"/>
    <w:rsid w:val="00E460C6"/>
    <w:rsid w:val="00E47190"/>
    <w:rsid w:val="00E50554"/>
    <w:rsid w:val="00E507B2"/>
    <w:rsid w:val="00E517EC"/>
    <w:rsid w:val="00E51C8B"/>
    <w:rsid w:val="00E541AE"/>
    <w:rsid w:val="00E57971"/>
    <w:rsid w:val="00E57990"/>
    <w:rsid w:val="00E60EC7"/>
    <w:rsid w:val="00E65995"/>
    <w:rsid w:val="00E65EEC"/>
    <w:rsid w:val="00E71193"/>
    <w:rsid w:val="00E71F45"/>
    <w:rsid w:val="00E72647"/>
    <w:rsid w:val="00E72862"/>
    <w:rsid w:val="00E73690"/>
    <w:rsid w:val="00E74F5A"/>
    <w:rsid w:val="00E7518D"/>
    <w:rsid w:val="00E75670"/>
    <w:rsid w:val="00E7713A"/>
    <w:rsid w:val="00E7751B"/>
    <w:rsid w:val="00E77963"/>
    <w:rsid w:val="00E816E3"/>
    <w:rsid w:val="00E86F47"/>
    <w:rsid w:val="00E903D1"/>
    <w:rsid w:val="00E90870"/>
    <w:rsid w:val="00E912DA"/>
    <w:rsid w:val="00E91AF1"/>
    <w:rsid w:val="00E91D35"/>
    <w:rsid w:val="00E92E7C"/>
    <w:rsid w:val="00E931C4"/>
    <w:rsid w:val="00E93B4E"/>
    <w:rsid w:val="00E93DEB"/>
    <w:rsid w:val="00E95EB2"/>
    <w:rsid w:val="00EA10F8"/>
    <w:rsid w:val="00EA2D70"/>
    <w:rsid w:val="00EA405B"/>
    <w:rsid w:val="00EA4719"/>
    <w:rsid w:val="00EB008B"/>
    <w:rsid w:val="00EB019C"/>
    <w:rsid w:val="00EB1E66"/>
    <w:rsid w:val="00EB2901"/>
    <w:rsid w:val="00EB5ABF"/>
    <w:rsid w:val="00EC3033"/>
    <w:rsid w:val="00EC39DB"/>
    <w:rsid w:val="00EC4212"/>
    <w:rsid w:val="00EC4365"/>
    <w:rsid w:val="00EC4FA9"/>
    <w:rsid w:val="00EC66E3"/>
    <w:rsid w:val="00EC6C27"/>
    <w:rsid w:val="00EC73FF"/>
    <w:rsid w:val="00EC74B0"/>
    <w:rsid w:val="00EC7E1F"/>
    <w:rsid w:val="00ED0733"/>
    <w:rsid w:val="00ED2FE6"/>
    <w:rsid w:val="00ED4207"/>
    <w:rsid w:val="00ED5E39"/>
    <w:rsid w:val="00ED7D4A"/>
    <w:rsid w:val="00EE0C24"/>
    <w:rsid w:val="00EE2586"/>
    <w:rsid w:val="00EE3E96"/>
    <w:rsid w:val="00EE503B"/>
    <w:rsid w:val="00EE6375"/>
    <w:rsid w:val="00EF02BF"/>
    <w:rsid w:val="00EF0611"/>
    <w:rsid w:val="00EF0B53"/>
    <w:rsid w:val="00EF0E5B"/>
    <w:rsid w:val="00EF0F48"/>
    <w:rsid w:val="00EF2EC3"/>
    <w:rsid w:val="00EF4BAA"/>
    <w:rsid w:val="00EF581B"/>
    <w:rsid w:val="00EF6DB8"/>
    <w:rsid w:val="00EF7D38"/>
    <w:rsid w:val="00F0098F"/>
    <w:rsid w:val="00F016DA"/>
    <w:rsid w:val="00F01FBD"/>
    <w:rsid w:val="00F02EA6"/>
    <w:rsid w:val="00F04C67"/>
    <w:rsid w:val="00F04F9D"/>
    <w:rsid w:val="00F057D9"/>
    <w:rsid w:val="00F05CE0"/>
    <w:rsid w:val="00F10AB3"/>
    <w:rsid w:val="00F116F2"/>
    <w:rsid w:val="00F11CA5"/>
    <w:rsid w:val="00F12459"/>
    <w:rsid w:val="00F12514"/>
    <w:rsid w:val="00F13442"/>
    <w:rsid w:val="00F13A76"/>
    <w:rsid w:val="00F14954"/>
    <w:rsid w:val="00F14E44"/>
    <w:rsid w:val="00F15104"/>
    <w:rsid w:val="00F16C15"/>
    <w:rsid w:val="00F178FF"/>
    <w:rsid w:val="00F209F8"/>
    <w:rsid w:val="00F21B59"/>
    <w:rsid w:val="00F22F58"/>
    <w:rsid w:val="00F254C2"/>
    <w:rsid w:val="00F25E65"/>
    <w:rsid w:val="00F30303"/>
    <w:rsid w:val="00F30320"/>
    <w:rsid w:val="00F31182"/>
    <w:rsid w:val="00F32A22"/>
    <w:rsid w:val="00F36CF8"/>
    <w:rsid w:val="00F3740B"/>
    <w:rsid w:val="00F4011D"/>
    <w:rsid w:val="00F40D35"/>
    <w:rsid w:val="00F426D8"/>
    <w:rsid w:val="00F4275F"/>
    <w:rsid w:val="00F43373"/>
    <w:rsid w:val="00F44718"/>
    <w:rsid w:val="00F44853"/>
    <w:rsid w:val="00F45A2E"/>
    <w:rsid w:val="00F46950"/>
    <w:rsid w:val="00F50141"/>
    <w:rsid w:val="00F50224"/>
    <w:rsid w:val="00F50241"/>
    <w:rsid w:val="00F51122"/>
    <w:rsid w:val="00F5169F"/>
    <w:rsid w:val="00F554CF"/>
    <w:rsid w:val="00F56395"/>
    <w:rsid w:val="00F56B34"/>
    <w:rsid w:val="00F6006E"/>
    <w:rsid w:val="00F60572"/>
    <w:rsid w:val="00F61218"/>
    <w:rsid w:val="00F62068"/>
    <w:rsid w:val="00F6241C"/>
    <w:rsid w:val="00F62519"/>
    <w:rsid w:val="00F64516"/>
    <w:rsid w:val="00F67C96"/>
    <w:rsid w:val="00F70C80"/>
    <w:rsid w:val="00F71310"/>
    <w:rsid w:val="00F719D8"/>
    <w:rsid w:val="00F71B07"/>
    <w:rsid w:val="00F72AEE"/>
    <w:rsid w:val="00F72B34"/>
    <w:rsid w:val="00F73BDC"/>
    <w:rsid w:val="00F74CB6"/>
    <w:rsid w:val="00F76029"/>
    <w:rsid w:val="00F7683F"/>
    <w:rsid w:val="00F76FE9"/>
    <w:rsid w:val="00F77556"/>
    <w:rsid w:val="00F77D7B"/>
    <w:rsid w:val="00F81AC4"/>
    <w:rsid w:val="00F831BC"/>
    <w:rsid w:val="00F87256"/>
    <w:rsid w:val="00F87726"/>
    <w:rsid w:val="00F91A39"/>
    <w:rsid w:val="00F9234A"/>
    <w:rsid w:val="00F929A1"/>
    <w:rsid w:val="00F95F79"/>
    <w:rsid w:val="00FA08DC"/>
    <w:rsid w:val="00FA35FA"/>
    <w:rsid w:val="00FA4628"/>
    <w:rsid w:val="00FA4B6A"/>
    <w:rsid w:val="00FA5BAB"/>
    <w:rsid w:val="00FB0A18"/>
    <w:rsid w:val="00FB0E77"/>
    <w:rsid w:val="00FB0FF1"/>
    <w:rsid w:val="00FB1DAD"/>
    <w:rsid w:val="00FB50CC"/>
    <w:rsid w:val="00FB5CD8"/>
    <w:rsid w:val="00FB661F"/>
    <w:rsid w:val="00FB7B84"/>
    <w:rsid w:val="00FC2134"/>
    <w:rsid w:val="00FC2425"/>
    <w:rsid w:val="00FD0F6E"/>
    <w:rsid w:val="00FD4AAC"/>
    <w:rsid w:val="00FD554D"/>
    <w:rsid w:val="00FD6400"/>
    <w:rsid w:val="00FE02DC"/>
    <w:rsid w:val="00FE13F8"/>
    <w:rsid w:val="00FE1975"/>
    <w:rsid w:val="00FE1CC5"/>
    <w:rsid w:val="00FE2322"/>
    <w:rsid w:val="00FE53E1"/>
    <w:rsid w:val="00FE5614"/>
    <w:rsid w:val="00FE680D"/>
    <w:rsid w:val="00FE7DF0"/>
    <w:rsid w:val="00FF58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5312E"/>
  <w15:chartTrackingRefBased/>
  <w15:docId w15:val="{918A6E6D-7F15-4BAD-9536-C4FE05DB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28"/>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28"/>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28"/>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numPr>
        <w:numId w:val="23"/>
      </w:numPr>
      <w:tabs>
        <w:tab w:val="left" w:pos="720"/>
      </w:tabs>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numPr>
        <w:ilvl w:val="2"/>
        <w:numId w:val="23"/>
      </w:numPr>
      <w:tabs>
        <w:tab w:val="left" w:pos="720"/>
      </w:tabs>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1106F4"/>
    <w:rPr>
      <w:sz w:val="16"/>
      <w:szCs w:val="16"/>
    </w:rPr>
  </w:style>
  <w:style w:type="paragraph" w:styleId="CommentText">
    <w:name w:val="annotation text"/>
    <w:basedOn w:val="Normal"/>
    <w:link w:val="CommentTextChar"/>
    <w:uiPriority w:val="99"/>
    <w:unhideWhenUsed/>
    <w:rsid w:val="001106F4"/>
    <w:rPr>
      <w:sz w:val="20"/>
      <w:szCs w:val="20"/>
    </w:rPr>
  </w:style>
  <w:style w:type="character" w:customStyle="1" w:styleId="CommentTextChar">
    <w:name w:val="Comment Text Char"/>
    <w:basedOn w:val="DefaultParagraphFont"/>
    <w:link w:val="CommentText"/>
    <w:uiPriority w:val="99"/>
    <w:rsid w:val="001106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106F4"/>
    <w:rPr>
      <w:b/>
      <w:bCs/>
    </w:rPr>
  </w:style>
  <w:style w:type="character" w:customStyle="1" w:styleId="CommentSubjectChar">
    <w:name w:val="Comment Subject Char"/>
    <w:basedOn w:val="CommentTextChar"/>
    <w:link w:val="CommentSubject"/>
    <w:uiPriority w:val="99"/>
    <w:semiHidden/>
    <w:rsid w:val="001106F4"/>
    <w:rPr>
      <w:rFonts w:ascii="Times New Roman" w:hAnsi="Times New Roman"/>
      <w:b/>
      <w:bCs/>
      <w:sz w:val="20"/>
      <w:szCs w:val="20"/>
    </w:rPr>
  </w:style>
  <w:style w:type="paragraph" w:customStyle="1" w:styleId="OutlineNumbered1">
    <w:name w:val="Outline Numbered 1"/>
    <w:basedOn w:val="Normal"/>
    <w:link w:val="OutlineNumbered1Char"/>
    <w:rsid w:val="004F0D6A"/>
    <w:pPr>
      <w:numPr>
        <w:numId w:val="26"/>
      </w:numPr>
    </w:pPr>
  </w:style>
  <w:style w:type="character" w:customStyle="1" w:styleId="NormalparatextnonumbersChar">
    <w:name w:val="Normal para text (no numbers) Char"/>
    <w:basedOn w:val="DefaultParagraphFont"/>
    <w:link w:val="Normalparatextnonumbers"/>
    <w:rsid w:val="00FD0F6E"/>
    <w:rPr>
      <w:rFonts w:ascii="Times New Roman" w:hAnsi="Times New Roman"/>
    </w:rPr>
  </w:style>
  <w:style w:type="character" w:customStyle="1" w:styleId="NormalparatextwithnumbersChar">
    <w:name w:val="Normal para text (with numbers) Char"/>
    <w:basedOn w:val="NormalparatextnonumbersChar"/>
    <w:link w:val="Normalparatextwithnumbers"/>
    <w:rsid w:val="00FD0F6E"/>
    <w:rPr>
      <w:rFonts w:ascii="Times New Roman" w:hAnsi="Times New Roman"/>
    </w:rPr>
  </w:style>
  <w:style w:type="character" w:customStyle="1" w:styleId="OutlineNumbered1Char">
    <w:name w:val="Outline Numbered 1 Char"/>
    <w:basedOn w:val="NormalparatextwithnumbersChar"/>
    <w:link w:val="OutlineNumbered1"/>
    <w:rsid w:val="00FD0F6E"/>
    <w:rPr>
      <w:rFonts w:ascii="Times New Roman" w:hAnsi="Times New Roman"/>
    </w:rPr>
  </w:style>
  <w:style w:type="paragraph" w:customStyle="1" w:styleId="OutlineNumbered2">
    <w:name w:val="Outline Numbered 2"/>
    <w:basedOn w:val="Normal"/>
    <w:link w:val="OutlineNumbered2Char"/>
    <w:rsid w:val="00FD0F6E"/>
    <w:pPr>
      <w:numPr>
        <w:ilvl w:val="1"/>
        <w:numId w:val="26"/>
      </w:numPr>
    </w:pPr>
  </w:style>
  <w:style w:type="character" w:customStyle="1" w:styleId="OutlineNumbered2Char">
    <w:name w:val="Outline Numbered 2 Char"/>
    <w:basedOn w:val="NormalparatextwithnumbersChar"/>
    <w:link w:val="OutlineNumbered2"/>
    <w:rsid w:val="00FD0F6E"/>
    <w:rPr>
      <w:rFonts w:ascii="Times New Roman" w:hAnsi="Times New Roman"/>
    </w:rPr>
  </w:style>
  <w:style w:type="paragraph" w:customStyle="1" w:styleId="OutlineNumbered3">
    <w:name w:val="Outline Numbered 3"/>
    <w:basedOn w:val="Normal"/>
    <w:link w:val="OutlineNumbered3Char"/>
    <w:rsid w:val="00FD0F6E"/>
    <w:pPr>
      <w:numPr>
        <w:ilvl w:val="2"/>
        <w:numId w:val="26"/>
      </w:numPr>
    </w:pPr>
  </w:style>
  <w:style w:type="character" w:customStyle="1" w:styleId="OutlineNumbered3Char">
    <w:name w:val="Outline Numbered 3 Char"/>
    <w:basedOn w:val="NormalparatextwithnumbersChar"/>
    <w:link w:val="OutlineNumbered3"/>
    <w:rsid w:val="00FD0F6E"/>
    <w:rPr>
      <w:rFonts w:ascii="Times New Roman" w:hAnsi="Times New Roman"/>
    </w:rPr>
  </w:style>
  <w:style w:type="paragraph" w:styleId="ListParagraph">
    <w:name w:val="List Paragraph"/>
    <w:basedOn w:val="Normal"/>
    <w:uiPriority w:val="34"/>
    <w:qFormat/>
    <w:rsid w:val="009A4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80EE2281243E9BA16BE900719C30E"/>
        <w:category>
          <w:name w:val="General"/>
          <w:gallery w:val="placeholder"/>
        </w:category>
        <w:types>
          <w:type w:val="bbPlcHdr"/>
        </w:types>
        <w:behaviors>
          <w:behavior w:val="content"/>
        </w:behaviors>
        <w:guid w:val="{AF12126B-198E-459A-934B-F189014E78B5}"/>
      </w:docPartPr>
      <w:docPartBody>
        <w:p w:rsidR="00721DA5" w:rsidRDefault="00C448F2" w:rsidP="00C448F2">
          <w:pPr>
            <w:pStyle w:val="A9D80EE2281243E9BA16BE900719C30E"/>
          </w:pPr>
          <w:r w:rsidRPr="002F5302">
            <w:rPr>
              <w:rStyle w:val="PlaceholderText"/>
            </w:rPr>
            <w:t>[insert name and title of approving Minister]</w:t>
          </w:r>
          <w:r w:rsidRPr="00D8088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F2"/>
    <w:rsid w:val="00483085"/>
    <w:rsid w:val="00721DA5"/>
    <w:rsid w:val="007B06DE"/>
    <w:rsid w:val="00C448F2"/>
    <w:rsid w:val="00E366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8F2"/>
    <w:rPr>
      <w:color w:val="808080"/>
    </w:rPr>
  </w:style>
  <w:style w:type="paragraph" w:customStyle="1" w:styleId="A9D80EE2281243E9BA16BE900719C30E">
    <w:name w:val="A9D80EE2281243E9BA16BE900719C30E"/>
    <w:rsid w:val="00C44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5D7SUYYWNZQE-140307370-2484</_dlc_DocId>
    <_dlc_DocIdUrl xmlns="fe39d773-a83d-4623-ae74-f25711a76616">
      <Url>https://austreasury.sharepoint.com/sites/leg-meas-function/_layouts/15/DocIdRedir.aspx?ID=5D7SUYYWNZQE-140307370-2484</Url>
      <Description>5D7SUYYWNZQE-140307370-2484</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Charities</TermName>
          <TermId xmlns="http://schemas.microsoft.com/office/infopath/2007/PartnerControls">bd0015b9-3540-424a-b9f7-6d1c7eed6dfa</TermId>
        </TermInfo>
      </Terms>
    </gfba5f33532c49208d2320ce38cc3c2b>
    <TaxCatchAll xmlns="ff38c824-6e29-4496-8487-69f397e7ed29">
      <Value>153</Value>
      <Value>3</Value>
      <Value>87</Value>
      <Value>1</Value>
      <Value>28</Value>
    </TaxCatchAll>
    <lcf76f155ced4ddcb4097134ff3c332f xmlns="7865330c-fbc7-491e-a33e-3e7ed08202e7">
      <Terms xmlns="http://schemas.microsoft.com/office/infopath/2007/PartnerControls"/>
    </lcf76f155ced4ddcb4097134ff3c332f>
    <DocumentSetDescription xmlns="http://schemas.microsoft.com/sharepoint/v3" xsi:nil="true"/>
    <Measureorigin xmlns="a289cb20-8bb9-401f-8d7b-706fb1a2988d" xsi:nil="true"/>
    <PT_x002f_Measure_x0020_No. xmlns="ff38c824-6e29-4496-8487-69f397e7ed29">TSY/47/0332</PT_x002f_Measure_x0020_No.>
    <Keydoc xmlns="a289cb20-8bb9-401f-8d7b-706fb1a2988d" xsi:nil="true"/>
    <Act_x0028_s_x0029_beingamended xmlns="a289cb20-8bb9-401f-8d7b-706fb1a2988d" xsi:nil="true"/>
    <Projectname xmlns="a289cb20-8bb9-401f-8d7b-706fb1a2988d">Primary Legislation - ACNC Secrecy</Projectname>
    <SharedWithUsers xmlns="ff38c824-6e29-4496-8487-69f397e7ed29">
      <UserInfo>
        <DisplayName>Harry, Ron</DisplayName>
        <AccountId>33</AccountId>
        <AccountType/>
      </UserInfo>
      <UserInfo>
        <DisplayName>Tanriverdi, Mustafa</DisplayName>
        <AccountId>522</AccountId>
        <AccountType/>
      </UserInfo>
      <UserInfo>
        <DisplayName>Croft, Eliza</DisplayName>
        <AccountId>149</AccountId>
        <AccountType/>
      </UserInfo>
      <UserInfo>
        <DisplayName>Leggett, Chris</DisplayName>
        <AccountId>36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8" ma:contentTypeDescription="Create a new document." ma:contentTypeScope="" ma:versionID="316af821a44ebdc507e406895bf40ee3">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813e0a2b78cdb0b969af0b93ac7d8272"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2.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3.xml><?xml version="1.0" encoding="utf-8"?>
<ds:datastoreItem xmlns:ds="http://schemas.openxmlformats.org/officeDocument/2006/customXml" ds:itemID="{803A0CDC-C784-412C-965F-5B95A8D2B3A1}">
  <ds:schemaRefs>
    <ds:schemaRef ds:uri="http://schemas.microsoft.com/sharepoint/events"/>
  </ds:schemaRefs>
</ds:datastoreItem>
</file>

<file path=customXml/itemProps4.xml><?xml version="1.0" encoding="utf-8"?>
<ds:datastoreItem xmlns:ds="http://schemas.openxmlformats.org/officeDocument/2006/customXml" ds:itemID="{6AB365E2-A817-49FA-9295-CAB62986032D}">
  <ds:schemaRefs>
    <ds:schemaRef ds:uri="fe39d773-a83d-4623-ae74-f25711a76616"/>
    <ds:schemaRef ds:uri="http://purl.org/dc/terms/"/>
    <ds:schemaRef ds:uri="http://schemas.microsoft.com/office/2006/documentManagement/types"/>
    <ds:schemaRef ds:uri="http://schemas.microsoft.com/sharepoint/v3"/>
    <ds:schemaRef ds:uri="a289cb20-8bb9-401f-8d7b-706fb1a2988d"/>
    <ds:schemaRef ds:uri="http://purl.org/dc/dcmitype/"/>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7865330c-fbc7-491e-a33e-3e7ed08202e7"/>
    <ds:schemaRef ds:uri="ff38c824-6e29-4496-8487-69f397e7ed29"/>
    <ds:schemaRef ds:uri="http://purl.org/dc/elements/1.1/"/>
  </ds:schemaRefs>
</ds:datastoreItem>
</file>

<file path=customXml/itemProps5.xml><?xml version="1.0" encoding="utf-8"?>
<ds:datastoreItem xmlns:ds="http://schemas.openxmlformats.org/officeDocument/2006/customXml" ds:itemID="{691F6E26-93F2-422B-BC61-5C3AAF3D5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12</Pages>
  <Words>2317</Words>
  <Characters>12860</Characters>
  <Application>Microsoft Office Word</Application>
  <DocSecurity>2</DocSecurity>
  <Lines>285</Lines>
  <Paragraphs>108</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(Integrity and Transparency) Bill 2023: ACNC Review Rec 17 - Secrecy Provisions</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(Integrity and Transparency) Bill 2023: ACNC Review Rec 17 - Secrecy Provisions</dc:title>
  <dc:subject/>
  <dc:creator>Australian Government</dc:creator>
  <cp:keywords/>
  <dc:description/>
  <cp:lastModifiedBy>van der Hoeven, Megan</cp:lastModifiedBy>
  <cp:revision>3</cp:revision>
  <dcterms:created xsi:type="dcterms:W3CDTF">2023-09-26T06:59:00Z</dcterms:created>
  <dcterms:modified xsi:type="dcterms:W3CDTF">2023-09-26T06:59:00Z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Type">
    <vt:lpwstr>EM</vt:lpwstr>
  </property>
  <property fmtid="{D5CDD505-2E9C-101B-9397-08002B2CF9AE}" pid="3" name="ContentTypeId">
    <vt:lpwstr>0x010100C720F3A58D1FCD479DB09520EEB08727</vt:lpwstr>
  </property>
  <property fmtid="{D5CDD505-2E9C-101B-9397-08002B2CF9AE}" pid="4" name="TSYRecordClass">
    <vt:lpwstr>1;#AE-20260-Destroy 7 years after action completed|623f5ec9-ec5d-4824-8e13-9c9bfc51fe7e</vt:lpwstr>
  </property>
  <property fmtid="{D5CDD505-2E9C-101B-9397-08002B2CF9AE}" pid="5" name="TSYTopic">
    <vt:lpwstr/>
  </property>
  <property fmtid="{D5CDD505-2E9C-101B-9397-08002B2CF9AE}" pid="6" name="Version">
    <vt:lpwstr>p</vt:lpwstr>
  </property>
  <property fmtid="{D5CDD505-2E9C-101B-9397-08002B2CF9AE}" pid="7" name="eTheme">
    <vt:lpwstr>1;#Law Design|318dd2d2-18da-4b8e-a458-14db2c1af95f</vt:lpwstr>
  </property>
  <property fmtid="{D5CDD505-2E9C-101B-9397-08002B2CF9AE}" pid="8" name="eActivity">
    <vt:lpwstr>28;#Legislative measures|0d31ce10-0017-4a46-8d2d-ba60058cb6a2</vt:lpwstr>
  </property>
  <property fmtid="{D5CDD505-2E9C-101B-9397-08002B2CF9AE}" pid="9" name="TSYStatu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87;#Charities|bd0015b9-3540-424a-b9f7-6d1c7eed6dfa</vt:lpwstr>
  </property>
  <property fmtid="{D5CDD505-2E9C-101B-9397-08002B2CF9AE}" pid="13" name="EmailAttachments">
    <vt:bool>false</vt:bool>
  </property>
  <property fmtid="{D5CDD505-2E9C-101B-9397-08002B2CF9AE}" pid="14" name="k8424359e03846678cc4a99dd97e9705">
    <vt:lpwstr>Treasury Enterprise Terms|69519368-d55f-4403-adc0-7b3d464d5501</vt:lpwstr>
  </property>
  <property fmtid="{D5CDD505-2E9C-101B-9397-08002B2CF9AE}" pid="15" name="MediaServiceImageTags">
    <vt:lpwstr/>
  </property>
  <property fmtid="{D5CDD505-2E9C-101B-9397-08002B2CF9AE}" pid="16" name="LMDivision">
    <vt:lpwstr>3;#Treasury Enterprise Terms|69519368-d55f-4403-adc0-7b3d464d5501</vt:lpwstr>
  </property>
  <property fmtid="{D5CDD505-2E9C-101B-9397-08002B2CF9AE}" pid="17" name="_dlc_DocIdItemGuid">
    <vt:lpwstr>d1fc22cd-5c46-44cc-896a-25d74fa86cee</vt:lpwstr>
  </property>
</Properties>
</file>