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68B1"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5441F9E8" w14:textId="77777777" w:rsidR="00E24AA1" w:rsidRDefault="00E24AA1" w:rsidP="00E24AA1">
      <w:pPr>
        <w:pStyle w:val="Baseparagraphcentred"/>
      </w:pPr>
    </w:p>
    <w:p w14:paraId="021D2E8C" w14:textId="77777777" w:rsidR="00E24AA1" w:rsidRDefault="00E24AA1" w:rsidP="00E24AA1">
      <w:pPr>
        <w:pStyle w:val="Baseparagraphcentred"/>
      </w:pPr>
      <w:r>
        <w:t>THE PARLIAMENT OF THE COMMONWEALTH OF AUSTRALIA</w:t>
      </w:r>
    </w:p>
    <w:p w14:paraId="348F6E9A" w14:textId="77777777" w:rsidR="00E24AA1" w:rsidRDefault="00E24AA1" w:rsidP="00E24AA1">
      <w:pPr>
        <w:pStyle w:val="Baseparagraphcentred"/>
      </w:pPr>
    </w:p>
    <w:p w14:paraId="7D92D732" w14:textId="77777777" w:rsidR="00E24AA1" w:rsidRDefault="00E24AA1" w:rsidP="00E24AA1">
      <w:pPr>
        <w:pStyle w:val="Baseparagraphcentred"/>
      </w:pPr>
    </w:p>
    <w:p w14:paraId="0556946D" w14:textId="77777777" w:rsidR="00E24AA1" w:rsidRDefault="00E24AA1" w:rsidP="00E24AA1">
      <w:pPr>
        <w:pStyle w:val="Baseparagraphcentred"/>
      </w:pPr>
    </w:p>
    <w:sdt>
      <w:sdtPr>
        <w:id w:val="803427954"/>
        <w:placeholder>
          <w:docPart w:val="4AB3FDBFF1094212BAB79BE263C377F1"/>
        </w:placeholder>
        <w:temporary/>
        <w:showingPlcHdr/>
        <w:comboBox>
          <w:listItem w:value="Choose an item."/>
          <w:listItem w:displayText="HOUSE OF REPRESENTATIVES" w:value="HOUSE OF REPRESENTATIVES"/>
          <w:listItem w:displayText="SENATE" w:value="SENATE"/>
        </w:comboBox>
      </w:sdtPr>
      <w:sdtEndPr/>
      <w:sdtContent>
        <w:p w14:paraId="6588C56E" w14:textId="17213B45" w:rsidR="00E24AA1" w:rsidRDefault="002F5302" w:rsidP="00E24AA1">
          <w:pPr>
            <w:pStyle w:val="Baseparagraphcentred"/>
          </w:pPr>
          <w:r w:rsidRPr="002F5302">
            <w:rPr>
              <w:rStyle w:val="PlaceholderText"/>
            </w:rPr>
            <w:t>[HOUSE OF REPRESEN</w:t>
          </w:r>
          <w:r w:rsidR="003510A8">
            <w:rPr>
              <w:rStyle w:val="PlaceholderText"/>
            </w:rPr>
            <w:t>T</w:t>
          </w:r>
          <w:r w:rsidRPr="002F5302">
            <w:rPr>
              <w:rStyle w:val="PlaceholderText"/>
            </w:rPr>
            <w:t>ATIVES/SENATE]</w:t>
          </w:r>
        </w:p>
      </w:sdtContent>
    </w:sdt>
    <w:p w14:paraId="4B0AF0C4" w14:textId="77777777" w:rsidR="00E24AA1" w:rsidRDefault="00E24AA1" w:rsidP="00E24AA1">
      <w:pPr>
        <w:pStyle w:val="Baseparagraphcentred"/>
      </w:pPr>
    </w:p>
    <w:p w14:paraId="7DC366F1" w14:textId="77777777" w:rsidR="00E24AA1" w:rsidRDefault="00E24AA1" w:rsidP="00E24AA1">
      <w:pPr>
        <w:pStyle w:val="Baseparagraphcentred"/>
      </w:pPr>
    </w:p>
    <w:p w14:paraId="4C51204A" w14:textId="77777777" w:rsidR="00E24AA1" w:rsidRDefault="00E24AA1" w:rsidP="00E24AA1">
      <w:pPr>
        <w:pStyle w:val="Baseparagraphcentred"/>
        <w:pBdr>
          <w:bottom w:val="single" w:sz="4" w:space="1" w:color="auto"/>
        </w:pBdr>
      </w:pPr>
    </w:p>
    <w:p w14:paraId="5F5090B8" w14:textId="772CD11E" w:rsidR="00E24AA1" w:rsidRPr="00E24AA1" w:rsidRDefault="00B40FDE" w:rsidP="00E24AA1">
      <w:pPr>
        <w:pStyle w:val="BillName"/>
      </w:pPr>
      <w:bookmarkStart w:id="6" w:name="BillName"/>
      <w:bookmarkEnd w:id="6"/>
      <w:r>
        <w:t>TREASURY LAWS AMENDMENT (</w:t>
      </w:r>
      <w:r w:rsidR="00F71C8D">
        <w:t>MEASURES FOR CONSULTATION</w:t>
      </w:r>
      <w:r w:rsidR="00B2142E">
        <w:t xml:space="preserve">) </w:t>
      </w:r>
      <w:r w:rsidR="003006D6">
        <w:t>BILL</w:t>
      </w:r>
      <w:r w:rsidR="00CF0382">
        <w:t xml:space="preserve"> </w:t>
      </w:r>
      <w:r w:rsidR="00B2142E">
        <w:t>2023</w:t>
      </w:r>
      <w:r w:rsidR="00D92846">
        <w:t>: PWC Response—promoter penalty laws reform</w:t>
      </w:r>
    </w:p>
    <w:p w14:paraId="30CCDAE1" w14:textId="77777777" w:rsidR="00E24AA1" w:rsidRDefault="00E24AA1" w:rsidP="00E24AA1">
      <w:pPr>
        <w:pStyle w:val="Baseparagraphcentred"/>
        <w:pBdr>
          <w:top w:val="single" w:sz="4" w:space="1" w:color="auto"/>
        </w:pBdr>
      </w:pPr>
    </w:p>
    <w:p w14:paraId="3DF5C321" w14:textId="77777777" w:rsidR="00E24AA1" w:rsidRDefault="00E24AA1" w:rsidP="00E24AA1">
      <w:pPr>
        <w:pStyle w:val="Baseparagraphcentred"/>
      </w:pPr>
    </w:p>
    <w:p w14:paraId="184B9737" w14:textId="77777777" w:rsidR="00E24AA1" w:rsidRDefault="00E24AA1" w:rsidP="00E24AA1">
      <w:pPr>
        <w:pStyle w:val="Baseparagraphcentred"/>
      </w:pPr>
    </w:p>
    <w:p w14:paraId="26F4E4BC" w14:textId="77777777" w:rsidR="00E24AA1" w:rsidRDefault="00E24AA1" w:rsidP="00E24AA1">
      <w:pPr>
        <w:pStyle w:val="Baseparagraphcentred"/>
      </w:pPr>
    </w:p>
    <w:p w14:paraId="1BF7CC47" w14:textId="77777777" w:rsidR="00E24AA1" w:rsidRDefault="00E24AA1" w:rsidP="00E24AA1">
      <w:pPr>
        <w:pStyle w:val="Baseparagraphcentred"/>
      </w:pPr>
      <w:r>
        <w:t>EXPLANATORY MEMORANDUM</w:t>
      </w:r>
    </w:p>
    <w:p w14:paraId="0C647A51" w14:textId="77777777" w:rsidR="00E24AA1" w:rsidRDefault="00E24AA1" w:rsidP="00E24AA1">
      <w:pPr>
        <w:pStyle w:val="Baseparagraphcentred"/>
      </w:pPr>
    </w:p>
    <w:p w14:paraId="05B52396" w14:textId="77777777" w:rsidR="00E24AA1" w:rsidRDefault="00E24AA1" w:rsidP="00E24AA1">
      <w:pPr>
        <w:pStyle w:val="Baseparagraphcentred"/>
      </w:pPr>
    </w:p>
    <w:p w14:paraId="1122E0C6" w14:textId="77777777" w:rsidR="00E24AA1" w:rsidRDefault="00E24AA1" w:rsidP="00E24AA1">
      <w:pPr>
        <w:pStyle w:val="ParaCentredNoSpacing"/>
      </w:pPr>
    </w:p>
    <w:p w14:paraId="0215D703" w14:textId="77777777" w:rsidR="00E24AA1" w:rsidRPr="00967273" w:rsidRDefault="00E24AA1" w:rsidP="00E24AA1">
      <w:pPr>
        <w:pStyle w:val="Normalparatextnonumbers"/>
        <w:jc w:val="center"/>
        <w:rPr>
          <w:rFonts w:cs="Calibri"/>
          <w:color w:val="000000" w:themeColor="text1"/>
        </w:rPr>
      </w:pPr>
    </w:p>
    <w:p w14:paraId="1AE641B8" w14:textId="63D11079" w:rsidR="00E24AA1" w:rsidRDefault="00E24AA1" w:rsidP="00E24AA1">
      <w:pPr>
        <w:pStyle w:val="Normalparatextnonumbers"/>
        <w:jc w:val="center"/>
      </w:pPr>
      <w:bookmarkStart w:id="7" w:name="CirculatedByCoverPageText"/>
      <w:r w:rsidRPr="00020288">
        <w:t xml:space="preserve">(Circulated by authority of </w:t>
      </w:r>
      <w:sdt>
        <w:sdtPr>
          <w:id w:val="-1218814150"/>
          <w:temporary/>
          <w:showingPlcHdr/>
          <w:comboBox>
            <w:listItem w:value="Choose an item."/>
            <w:listItem w:displayText="the Treasurer, the Hon Jim Chalmers MP" w:value="the Treasurer, the Hon Jim Chalmers MP"/>
            <w:listItem w:displayText="the Minister for Housing, Minister for Homelessness and Minister for Small Business, the Hon Julie Collins MP" w:value="the Minister for Housing, Minister for Homelessness and Minister for Small Business, the Hon Julie Collins MP"/>
            <w:listItem w:displayText="the Assistant Treasurer and Minister for Financial Services, the Hon Stephen Jones MP" w:value="the Assistant Treasurer and Minister for Financial Services, the Hon Stephen Jones MP"/>
            <w:listItem w:displayText="the Assistant Minister for Competition, Charities and Treasury, the Hon Dr Andrew Leigh MP" w:value="the Assistant Minister for Competition, Charities and Treasury, the Hon Dr Andrew Leigh MP"/>
          </w:comboBox>
        </w:sdtPr>
        <w:sdtEndPr/>
        <w:sdtContent>
          <w:r w:rsidR="002F5302" w:rsidRPr="002F5302">
            <w:rPr>
              <w:rStyle w:val="PlaceholderText"/>
            </w:rPr>
            <w:t>[insert name and title of approving Minister]</w:t>
          </w:r>
          <w:r w:rsidR="002F5302" w:rsidRPr="00D80889">
            <w:rPr>
              <w:rStyle w:val="PlaceholderText"/>
            </w:rPr>
            <w:t>.</w:t>
          </w:r>
        </w:sdtContent>
      </w:sdt>
      <w:r w:rsidR="002F5302">
        <w:t>)</w:t>
      </w:r>
      <w:bookmarkEnd w:id="7"/>
    </w:p>
    <w:p w14:paraId="0E73E918" w14:textId="77777777" w:rsidR="008A3B5F" w:rsidRPr="00020288" w:rsidRDefault="008A3B5F" w:rsidP="008A3B5F">
      <w:pPr>
        <w:pStyle w:val="Normalparatextnonumbers"/>
      </w:pPr>
    </w:p>
    <w:p w14:paraId="0FC1FF82" w14:textId="77777777" w:rsidR="0090171F" w:rsidRDefault="0090171F" w:rsidP="00873094">
      <w:pPr>
        <w:pStyle w:val="Normalparatextnonumbers"/>
      </w:pPr>
      <w:bookmarkStart w:id="8" w:name="ConsultPreamble"/>
      <w:bookmarkEnd w:id="8"/>
    </w:p>
    <w:p w14:paraId="2073E423" w14:textId="77777777" w:rsidR="00924E28" w:rsidRPr="00020288" w:rsidRDefault="00924E28" w:rsidP="00873094">
      <w:pPr>
        <w:pStyle w:val="Normalparatextnonumbers"/>
      </w:pPr>
    </w:p>
    <w:p w14:paraId="1903D840" w14:textId="77777777" w:rsidR="00873094" w:rsidRPr="00020288" w:rsidRDefault="00873094" w:rsidP="00873094">
      <w:pPr>
        <w:pStyle w:val="TOC1"/>
        <w:sectPr w:rsidR="00873094" w:rsidRPr="00020288" w:rsidSect="00000BFC">
          <w:headerReference w:type="default" r:id="rId12"/>
          <w:footerReference w:type="even" r:id="rId13"/>
          <w:footerReference w:type="default" r:id="rId14"/>
          <w:headerReference w:type="first" r:id="rId15"/>
          <w:footerReference w:type="first" r:id="rId16"/>
          <w:type w:val="oddPage"/>
          <w:pgSz w:w="9979" w:h="14175" w:code="138"/>
          <w:pgMar w:top="567" w:right="1134" w:bottom="567" w:left="1134" w:header="709" w:footer="709" w:gutter="0"/>
          <w:cols w:space="708"/>
          <w:titlePg/>
          <w:docGrid w:linePitch="360"/>
        </w:sectPr>
      </w:pPr>
    </w:p>
    <w:p w14:paraId="438BD84E" w14:textId="77777777" w:rsidR="00873094" w:rsidRPr="00020288" w:rsidRDefault="00873094" w:rsidP="00873094">
      <w:pPr>
        <w:pStyle w:val="TOCHeading"/>
      </w:pPr>
      <w:bookmarkStart w:id="9" w:name="_Toc80172450"/>
      <w:bookmarkStart w:id="10" w:name="_Toc80197114"/>
      <w:bookmarkStart w:id="11" w:name="_Toc81852681"/>
      <w:bookmarkEnd w:id="0"/>
      <w:bookmarkEnd w:id="1"/>
      <w:bookmarkEnd w:id="2"/>
      <w:bookmarkEnd w:id="3"/>
      <w:bookmarkEnd w:id="4"/>
      <w:r w:rsidRPr="00020288">
        <w:lastRenderedPageBreak/>
        <w:t>Table of Contents</w:t>
      </w:r>
      <w:bookmarkStart w:id="12" w:name="_Toc78549733"/>
      <w:bookmarkStart w:id="13" w:name="_Toc78549778"/>
      <w:bookmarkStart w:id="14" w:name="_Toc80097483"/>
      <w:bookmarkStart w:id="15" w:name="_Toc80097777"/>
      <w:bookmarkStart w:id="16" w:name="_Toc80115276"/>
      <w:bookmarkStart w:id="17" w:name="_Toc80172451"/>
      <w:bookmarkStart w:id="18" w:name="_Toc80197115"/>
      <w:bookmarkStart w:id="19" w:name="_Toc81852682"/>
      <w:bookmarkStart w:id="20" w:name="_Toc81852727"/>
      <w:bookmarkEnd w:id="9"/>
      <w:bookmarkEnd w:id="10"/>
      <w:bookmarkEnd w:id="11"/>
    </w:p>
    <w:p w14:paraId="0750E36D" w14:textId="6D01270F" w:rsidR="001064C7"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1064C7">
        <w:rPr>
          <w:noProof/>
        </w:rPr>
        <w:t>Glossary</w:t>
      </w:r>
      <w:r w:rsidR="001064C7">
        <w:rPr>
          <w:noProof/>
        </w:rPr>
        <w:tab/>
      </w:r>
      <w:r w:rsidR="001064C7">
        <w:rPr>
          <w:noProof/>
        </w:rPr>
        <w:tab/>
      </w:r>
      <w:r w:rsidR="001064C7">
        <w:rPr>
          <w:noProof/>
        </w:rPr>
        <w:fldChar w:fldCharType="begin"/>
      </w:r>
      <w:r w:rsidR="001064C7">
        <w:rPr>
          <w:noProof/>
        </w:rPr>
        <w:instrText xml:space="preserve"> PAGEREF _Toc125720216 \h </w:instrText>
      </w:r>
      <w:r w:rsidR="001064C7">
        <w:rPr>
          <w:noProof/>
        </w:rPr>
      </w:r>
      <w:r w:rsidR="001064C7">
        <w:rPr>
          <w:noProof/>
        </w:rPr>
        <w:fldChar w:fldCharType="separate"/>
      </w:r>
      <w:r w:rsidR="00426558">
        <w:rPr>
          <w:noProof/>
        </w:rPr>
        <w:t>iii</w:t>
      </w:r>
      <w:r w:rsidR="001064C7">
        <w:rPr>
          <w:noProof/>
        </w:rPr>
        <w:fldChar w:fldCharType="end"/>
      </w:r>
    </w:p>
    <w:p w14:paraId="453193A1" w14:textId="3AA58709" w:rsidR="001064C7" w:rsidRPr="004752D9" w:rsidRDefault="001064C7">
      <w:pPr>
        <w:pStyle w:val="TOC1"/>
        <w:rPr>
          <w:rFonts w:ascii="Helvetica" w:eastAsiaTheme="minorEastAsia" w:hAnsi="Helvetica" w:cstheme="minorBidi"/>
          <w:szCs w:val="24"/>
          <w:lang w:eastAsia="en-AU"/>
        </w:rPr>
      </w:pPr>
      <w:r>
        <w:rPr>
          <w:noProof/>
        </w:rPr>
        <w:t>General outline and financial</w:t>
      </w:r>
      <w:r w:rsidRPr="004752D9">
        <w:rPr>
          <w:rFonts w:ascii="Helvetica" w:hAnsi="Helvetica"/>
          <w:szCs w:val="24"/>
        </w:rPr>
        <w:t xml:space="preserve"> impact</w:t>
      </w:r>
      <w:r w:rsidRPr="004752D9">
        <w:rPr>
          <w:rFonts w:ascii="Helvetica" w:hAnsi="Helvetica"/>
          <w:szCs w:val="24"/>
        </w:rPr>
        <w:tab/>
      </w:r>
      <w:r w:rsidRPr="004752D9">
        <w:rPr>
          <w:rFonts w:ascii="Helvetica" w:hAnsi="Helvetica"/>
          <w:szCs w:val="24"/>
        </w:rPr>
        <w:fldChar w:fldCharType="begin"/>
      </w:r>
      <w:r w:rsidRPr="004752D9">
        <w:rPr>
          <w:rFonts w:ascii="Helvetica" w:hAnsi="Helvetica"/>
          <w:szCs w:val="24"/>
        </w:rPr>
        <w:instrText xml:space="preserve"> PAGEREF _Toc125720217 \h </w:instrText>
      </w:r>
      <w:r w:rsidRPr="004752D9">
        <w:rPr>
          <w:rFonts w:ascii="Helvetica" w:hAnsi="Helvetica"/>
          <w:szCs w:val="24"/>
        </w:rPr>
      </w:r>
      <w:r w:rsidRPr="004752D9">
        <w:rPr>
          <w:rFonts w:ascii="Helvetica" w:hAnsi="Helvetica"/>
          <w:szCs w:val="24"/>
        </w:rPr>
        <w:fldChar w:fldCharType="separate"/>
      </w:r>
      <w:r w:rsidR="00426558">
        <w:rPr>
          <w:rFonts w:ascii="Helvetica" w:hAnsi="Helvetica"/>
          <w:noProof/>
          <w:szCs w:val="24"/>
        </w:rPr>
        <w:t>1</w:t>
      </w:r>
      <w:r w:rsidRPr="004752D9">
        <w:rPr>
          <w:rFonts w:ascii="Helvetica" w:hAnsi="Helvetica"/>
          <w:szCs w:val="24"/>
        </w:rPr>
        <w:fldChar w:fldCharType="end"/>
      </w:r>
    </w:p>
    <w:p w14:paraId="19F968D3" w14:textId="3F5BEE32" w:rsidR="001064C7" w:rsidRPr="004752D9" w:rsidRDefault="001064C7">
      <w:pPr>
        <w:pStyle w:val="TOC1"/>
        <w:rPr>
          <w:rFonts w:ascii="Helvetica" w:eastAsiaTheme="minorEastAsia" w:hAnsi="Helvetica" w:cstheme="minorBidi"/>
          <w:szCs w:val="24"/>
          <w:lang w:eastAsia="en-AU"/>
        </w:rPr>
      </w:pPr>
      <w:r w:rsidRPr="004752D9">
        <w:rPr>
          <w:rFonts w:ascii="Helvetica" w:hAnsi="Helvetica"/>
          <w:noProof/>
          <w:szCs w:val="24"/>
          <w14:scene3d>
            <w14:camera w14:prst="orthographicFront"/>
            <w14:lightRig w14:rig="threePt" w14:dir="t">
              <w14:rot w14:lat="0" w14:lon="0" w14:rev="0"/>
            </w14:lightRig>
          </w14:scene3d>
        </w:rPr>
        <w:t>Chapter 1:</w:t>
      </w:r>
      <w:r w:rsidRPr="004752D9">
        <w:rPr>
          <w:rFonts w:ascii="Helvetica" w:eastAsiaTheme="minorEastAsia" w:hAnsi="Helvetica" w:cstheme="minorBidi"/>
          <w:bCs w:val="0"/>
          <w:noProof/>
          <w:szCs w:val="24"/>
          <w:lang w:eastAsia="en-AU"/>
        </w:rPr>
        <w:tab/>
      </w:r>
      <w:r w:rsidR="004752D9" w:rsidRPr="004752D9">
        <w:rPr>
          <w:rFonts w:ascii="Helvetica" w:eastAsiaTheme="minorEastAsia" w:hAnsi="Helvetica" w:cstheme="minorBidi"/>
          <w:bCs w:val="0"/>
          <w:noProof/>
          <w:szCs w:val="24"/>
          <w:lang w:eastAsia="en-AU"/>
        </w:rPr>
        <w:t>Promoter penalty laws reform</w:t>
      </w:r>
      <w:r w:rsidRPr="004752D9">
        <w:rPr>
          <w:rFonts w:ascii="Helvetica" w:hAnsi="Helvetica"/>
          <w:noProof/>
          <w:szCs w:val="24"/>
        </w:rPr>
        <w:tab/>
      </w:r>
      <w:r w:rsidR="00117604">
        <w:rPr>
          <w:rFonts w:ascii="Helvetica" w:hAnsi="Helvetica"/>
          <w:noProof/>
          <w:szCs w:val="24"/>
        </w:rPr>
        <w:t>3</w:t>
      </w:r>
    </w:p>
    <w:p w14:paraId="10371842" w14:textId="069E8E4B" w:rsidR="001064C7" w:rsidRDefault="001064C7">
      <w:pPr>
        <w:pStyle w:val="TOC1"/>
        <w:rPr>
          <w:rFonts w:asciiTheme="minorHAnsi" w:eastAsiaTheme="minorEastAsia" w:hAnsiTheme="minorHAnsi" w:cstheme="minorBidi"/>
          <w:bCs w:val="0"/>
          <w:noProof/>
          <w:sz w:val="22"/>
          <w:szCs w:val="22"/>
          <w:lang w:eastAsia="en-AU"/>
        </w:rPr>
      </w:pPr>
      <w:r w:rsidRPr="004752D9">
        <w:rPr>
          <w:rFonts w:ascii="Helvetica" w:hAnsi="Helvetica"/>
          <w:szCs w:val="24"/>
          <w14:scene3d>
            <w14:camera w14:prst="orthographicFront"/>
            <w14:lightRig w14:rig="threePt" w14:dir="t">
              <w14:rot w14:lat="0" w14:lon="0" w14:rev="0"/>
            </w14:lightRig>
          </w14:scene3d>
        </w:rPr>
        <w:t>Chapter 2:</w:t>
      </w:r>
      <w:r w:rsidRPr="004752D9">
        <w:rPr>
          <w:rFonts w:ascii="Helvetica" w:eastAsiaTheme="minorEastAsia" w:hAnsi="Helvetica" w:cstheme="minorBidi"/>
          <w:szCs w:val="24"/>
          <w:lang w:eastAsia="en-AU"/>
        </w:rPr>
        <w:tab/>
      </w:r>
      <w:r w:rsidRPr="004752D9">
        <w:rPr>
          <w:rFonts w:ascii="Helvetica" w:hAnsi="Helvetica"/>
          <w:szCs w:val="24"/>
        </w:rPr>
        <w:t>Statement of C</w:t>
      </w:r>
      <w:r w:rsidRPr="004752D9">
        <w:rPr>
          <w:rFonts w:ascii="Helvetica" w:hAnsi="Helvetica"/>
        </w:rPr>
        <w:t>ompa</w:t>
      </w:r>
      <w:r>
        <w:rPr>
          <w:noProof/>
        </w:rPr>
        <w:t>tibility with Human Rights</w:t>
      </w:r>
      <w:r>
        <w:rPr>
          <w:noProof/>
        </w:rPr>
        <w:tab/>
      </w:r>
      <w:r w:rsidR="000C06C2">
        <w:rPr>
          <w:noProof/>
        </w:rPr>
        <w:t>15</w:t>
      </w:r>
    </w:p>
    <w:p w14:paraId="1E211685" w14:textId="77777777" w:rsidR="00873094" w:rsidRPr="00020288" w:rsidRDefault="00873094" w:rsidP="000C06C2">
      <w:pPr>
        <w:pStyle w:val="TOC1"/>
        <w:ind w:left="0" w:firstLine="0"/>
      </w:pPr>
      <w:r w:rsidRPr="00BC2E4A">
        <w:fldChar w:fldCharType="end"/>
      </w:r>
    </w:p>
    <w:p w14:paraId="58BD3AA3" w14:textId="77777777" w:rsidR="00873094" w:rsidRPr="00020288" w:rsidRDefault="00873094" w:rsidP="00873094"/>
    <w:p w14:paraId="6E7F65A4" w14:textId="77777777" w:rsidR="00873094" w:rsidRPr="00020288" w:rsidRDefault="00873094" w:rsidP="00873094"/>
    <w:p w14:paraId="286B2A08" w14:textId="77777777" w:rsidR="00873094" w:rsidRPr="00020288" w:rsidRDefault="00873094" w:rsidP="00873094">
      <w:p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start="1"/>
          <w:cols w:space="708"/>
          <w:titlePg/>
          <w:docGrid w:linePitch="360"/>
        </w:sectPr>
      </w:pPr>
    </w:p>
    <w:p w14:paraId="32384CA6" w14:textId="77777777" w:rsidR="00873094" w:rsidRPr="00020288" w:rsidRDefault="00873094" w:rsidP="00873094">
      <w:pPr>
        <w:pStyle w:val="Heading1"/>
        <w:rPr>
          <w:rFonts w:hint="eastAsia"/>
        </w:rPr>
      </w:pPr>
      <w:bookmarkStart w:id="21" w:name="_Toc82021619"/>
      <w:bookmarkStart w:id="22" w:name="_Toc82067318"/>
      <w:bookmarkStart w:id="23" w:name="_Toc82072959"/>
      <w:bookmarkStart w:id="24" w:name="_Toc82073275"/>
      <w:bookmarkStart w:id="25" w:name="_Toc82073912"/>
      <w:bookmarkStart w:id="26" w:name="_Toc82074016"/>
      <w:bookmarkStart w:id="27" w:name="_Toc125720216"/>
      <w:r w:rsidRPr="00020288">
        <w:lastRenderedPageBreak/>
        <w:t>Glossary</w:t>
      </w:r>
      <w:bookmarkStart w:id="28" w:name="_Toc485286223"/>
      <w:bookmarkStart w:id="29" w:name="_Toc78193244"/>
      <w:bookmarkStart w:id="30" w:name="_Toc7819340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14AAE"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DC3E34D" w14:textId="77777777" w:rsidTr="002425D9">
        <w:tc>
          <w:tcPr>
            <w:tcW w:w="3776" w:type="dxa"/>
            <w:shd w:val="clear" w:color="auto" w:fill="auto"/>
          </w:tcPr>
          <w:p w14:paraId="41FACEE6" w14:textId="77777777" w:rsidR="00873094" w:rsidRPr="002E7A73" w:rsidRDefault="00873094" w:rsidP="00B7393A">
            <w:pPr>
              <w:pStyle w:val="Tableheaderrowtext"/>
            </w:pPr>
            <w:bookmarkStart w:id="31" w:name="GlossaryTableStart"/>
            <w:bookmarkEnd w:id="31"/>
            <w:r w:rsidRPr="002E7A73">
              <w:t>Abbreviation</w:t>
            </w:r>
          </w:p>
        </w:tc>
        <w:tc>
          <w:tcPr>
            <w:tcW w:w="3874" w:type="dxa"/>
            <w:shd w:val="clear" w:color="auto" w:fill="auto"/>
          </w:tcPr>
          <w:p w14:paraId="4DE037A7" w14:textId="77777777" w:rsidR="00873094" w:rsidRPr="002E7A73" w:rsidRDefault="00873094" w:rsidP="00B7393A">
            <w:pPr>
              <w:pStyle w:val="Tableheaderrowtext"/>
            </w:pPr>
            <w:r w:rsidRPr="002E7A73">
              <w:t>Definition</w:t>
            </w:r>
          </w:p>
        </w:tc>
      </w:tr>
      <w:tr w:rsidR="009A72BF" w:rsidRPr="00020288" w14:paraId="2145A458" w14:textId="77777777" w:rsidTr="002425D9">
        <w:tc>
          <w:tcPr>
            <w:tcW w:w="3776" w:type="dxa"/>
          </w:tcPr>
          <w:p w14:paraId="0E387B08" w14:textId="77777777" w:rsidR="009A72BF" w:rsidRPr="00283E3F" w:rsidRDefault="009A72BF" w:rsidP="002425D9">
            <w:pPr>
              <w:pStyle w:val="Normalparatextnonumbers"/>
            </w:pPr>
            <w:r>
              <w:t>ATO</w:t>
            </w:r>
          </w:p>
        </w:tc>
        <w:tc>
          <w:tcPr>
            <w:tcW w:w="3874" w:type="dxa"/>
          </w:tcPr>
          <w:p w14:paraId="27D4942F" w14:textId="77777777" w:rsidR="009A72BF" w:rsidRPr="00283E3F" w:rsidRDefault="009A72BF" w:rsidP="002425D9">
            <w:pPr>
              <w:pStyle w:val="Normalparatextnonumbers"/>
            </w:pPr>
            <w:r>
              <w:t>Australian Taxation Office</w:t>
            </w:r>
          </w:p>
        </w:tc>
      </w:tr>
      <w:tr w:rsidR="009A72BF" w:rsidRPr="00020288" w14:paraId="502F3BCD" w14:textId="77777777" w:rsidTr="002425D9">
        <w:tc>
          <w:tcPr>
            <w:tcW w:w="3776" w:type="dxa"/>
          </w:tcPr>
          <w:p w14:paraId="07BE9293" w14:textId="77777777" w:rsidR="009A72BF" w:rsidRPr="00283E3F" w:rsidRDefault="009A72BF" w:rsidP="002425D9">
            <w:pPr>
              <w:pStyle w:val="Normalparatextnonumbers"/>
            </w:pPr>
            <w:r w:rsidRPr="00283E3F">
              <w:t>Bill</w:t>
            </w:r>
          </w:p>
        </w:tc>
        <w:tc>
          <w:tcPr>
            <w:tcW w:w="3874" w:type="dxa"/>
          </w:tcPr>
          <w:p w14:paraId="3509B345" w14:textId="72B65226" w:rsidR="009A72BF" w:rsidRPr="00283E3F" w:rsidRDefault="009A72BF" w:rsidP="002425D9">
            <w:pPr>
              <w:pStyle w:val="Normalparatextnonumbers"/>
            </w:pPr>
            <w:r w:rsidRPr="00283E3F">
              <w:t>Treasury Laws Amendment (</w:t>
            </w:r>
            <w:r>
              <w:t>Measures for Consultation</w:t>
            </w:r>
            <w:r w:rsidRPr="00283E3F">
              <w:t>) Bill 2023</w:t>
            </w:r>
            <w:r w:rsidR="00BD72D8">
              <w:t>: PWC Response—promoter penalty laws reform</w:t>
            </w:r>
          </w:p>
        </w:tc>
      </w:tr>
      <w:tr w:rsidR="009A72BF" w:rsidRPr="00020288" w14:paraId="499B05EF" w14:textId="77777777" w:rsidTr="002425D9">
        <w:tc>
          <w:tcPr>
            <w:tcW w:w="3776" w:type="dxa"/>
          </w:tcPr>
          <w:p w14:paraId="200B0A4B" w14:textId="77777777" w:rsidR="009A72BF" w:rsidRPr="00020288" w:rsidRDefault="009A72BF" w:rsidP="002425D9">
            <w:pPr>
              <w:pStyle w:val="Normalparatextnonumbers"/>
            </w:pPr>
            <w:r>
              <w:t>ITAA 1936</w:t>
            </w:r>
          </w:p>
        </w:tc>
        <w:tc>
          <w:tcPr>
            <w:tcW w:w="3874" w:type="dxa"/>
          </w:tcPr>
          <w:p w14:paraId="6296ADEB" w14:textId="77777777" w:rsidR="009A72BF" w:rsidRPr="00FA4388" w:rsidRDefault="009A72BF" w:rsidP="002425D9">
            <w:pPr>
              <w:pStyle w:val="Normalparatextnonumbers"/>
              <w:rPr>
                <w:i/>
              </w:rPr>
            </w:pPr>
            <w:r w:rsidRPr="00FA4388">
              <w:rPr>
                <w:i/>
                <w:iCs/>
              </w:rPr>
              <w:t>Income Tax Assessment Act 1936</w:t>
            </w:r>
          </w:p>
        </w:tc>
      </w:tr>
      <w:tr w:rsidR="009A72BF" w:rsidRPr="00020288" w14:paraId="23FBE9AE" w14:textId="77777777" w:rsidTr="002425D9">
        <w:tc>
          <w:tcPr>
            <w:tcW w:w="3776" w:type="dxa"/>
          </w:tcPr>
          <w:p w14:paraId="5B3F7B70" w14:textId="77777777" w:rsidR="009A72BF" w:rsidRPr="00020288" w:rsidRDefault="009A72BF" w:rsidP="002425D9">
            <w:pPr>
              <w:pStyle w:val="Normalparatextnonumbers"/>
            </w:pPr>
            <w:r>
              <w:t>ITAA 1997</w:t>
            </w:r>
          </w:p>
        </w:tc>
        <w:tc>
          <w:tcPr>
            <w:tcW w:w="3874" w:type="dxa"/>
          </w:tcPr>
          <w:p w14:paraId="2D6F5AD2" w14:textId="77777777" w:rsidR="009A72BF" w:rsidRPr="00FA4388" w:rsidRDefault="009A72BF" w:rsidP="002425D9">
            <w:pPr>
              <w:pStyle w:val="Normalparatextnonumbers"/>
              <w:rPr>
                <w:i/>
              </w:rPr>
            </w:pPr>
            <w:r w:rsidRPr="00FA4388">
              <w:rPr>
                <w:i/>
                <w:iCs/>
              </w:rPr>
              <w:t>Income Tax Assessment Act 1997</w:t>
            </w:r>
          </w:p>
        </w:tc>
      </w:tr>
      <w:tr w:rsidR="009A72BF" w:rsidRPr="00020288" w14:paraId="544B80AB" w14:textId="77777777" w:rsidTr="002425D9">
        <w:tc>
          <w:tcPr>
            <w:tcW w:w="3776" w:type="dxa"/>
          </w:tcPr>
          <w:p w14:paraId="12408551" w14:textId="77777777" w:rsidR="009A72BF" w:rsidRPr="00283E3F" w:rsidRDefault="009A72BF" w:rsidP="002425D9">
            <w:pPr>
              <w:pStyle w:val="Normalparatextnonumbers"/>
            </w:pPr>
            <w:r w:rsidRPr="00283E3F">
              <w:t>SGE</w:t>
            </w:r>
          </w:p>
        </w:tc>
        <w:tc>
          <w:tcPr>
            <w:tcW w:w="3874" w:type="dxa"/>
          </w:tcPr>
          <w:p w14:paraId="50472461" w14:textId="77777777" w:rsidR="009A72BF" w:rsidRPr="00283E3F" w:rsidRDefault="009A72BF" w:rsidP="002425D9">
            <w:pPr>
              <w:pStyle w:val="Normalparatextnonumbers"/>
            </w:pPr>
            <w:r w:rsidRPr="00283E3F">
              <w:t>significant global entity</w:t>
            </w:r>
          </w:p>
        </w:tc>
      </w:tr>
      <w:tr w:rsidR="009A72BF" w:rsidRPr="00020288" w14:paraId="2C524905" w14:textId="77777777" w:rsidTr="002425D9">
        <w:tc>
          <w:tcPr>
            <w:tcW w:w="3776" w:type="dxa"/>
          </w:tcPr>
          <w:p w14:paraId="6F93FB62" w14:textId="77777777" w:rsidR="009A72BF" w:rsidRPr="00283E3F" w:rsidRDefault="009A72BF" w:rsidP="002425D9">
            <w:pPr>
              <w:pStyle w:val="Normalparatextnonumbers"/>
            </w:pPr>
            <w:r w:rsidRPr="00283E3F">
              <w:t>TAA 1953</w:t>
            </w:r>
          </w:p>
        </w:tc>
        <w:tc>
          <w:tcPr>
            <w:tcW w:w="3874" w:type="dxa"/>
          </w:tcPr>
          <w:p w14:paraId="1B1FC196" w14:textId="77777777" w:rsidR="009A72BF" w:rsidRPr="00283E3F" w:rsidRDefault="009A72BF" w:rsidP="002425D9">
            <w:pPr>
              <w:pStyle w:val="Normalparatextnonumbers"/>
            </w:pPr>
            <w:r w:rsidRPr="00283E3F">
              <w:rPr>
                <w:i/>
              </w:rPr>
              <w:t>Tax Administration Act 1953</w:t>
            </w:r>
          </w:p>
        </w:tc>
      </w:tr>
    </w:tbl>
    <w:p w14:paraId="0C79A6D9" w14:textId="77777777" w:rsidR="00873094" w:rsidRPr="00020288" w:rsidRDefault="00873094" w:rsidP="00873094"/>
    <w:p w14:paraId="2952ADF8" w14:textId="77777777" w:rsidR="00873094" w:rsidRPr="00020288" w:rsidRDefault="00873094" w:rsidP="00873094"/>
    <w:p w14:paraId="7D0FF457" w14:textId="77777777" w:rsidR="00873094" w:rsidRPr="00020288" w:rsidRDefault="00873094" w:rsidP="00873094">
      <w:pPr>
        <w:spacing w:before="0" w:after="0" w:line="360" w:lineRule="auto"/>
        <w:contextualSpacing/>
        <w:sectPr w:rsidR="00873094" w:rsidRPr="00020288" w:rsidSect="00DD6CB7">
          <w:headerReference w:type="even" r:id="rId21"/>
          <w:headerReference w:type="default" r:id="rId22"/>
          <w:footerReference w:type="even" r:id="rId23"/>
          <w:footerReference w:type="default" r:id="rId24"/>
          <w:headerReference w:type="first" r:id="rId25"/>
          <w:footerReference w:type="first" r:id="rId26"/>
          <w:type w:val="oddPage"/>
          <w:pgSz w:w="9979" w:h="14175" w:code="9"/>
          <w:pgMar w:top="567" w:right="1134" w:bottom="567" w:left="1134" w:header="709" w:footer="709" w:gutter="0"/>
          <w:pgNumType w:start="1"/>
          <w:cols w:space="708"/>
          <w:titlePg/>
          <w:docGrid w:linePitch="360"/>
        </w:sectPr>
      </w:pPr>
      <w:bookmarkStart w:id="32" w:name="GeneralOutline"/>
      <w:bookmarkStart w:id="33" w:name="_Toc78548467"/>
      <w:bookmarkStart w:id="34" w:name="_Toc78549738"/>
      <w:bookmarkStart w:id="35" w:name="_Toc78549783"/>
      <w:bookmarkEnd w:id="28"/>
      <w:bookmarkEnd w:id="29"/>
      <w:bookmarkEnd w:id="30"/>
      <w:bookmarkEnd w:id="32"/>
    </w:p>
    <w:bookmarkEnd w:id="33"/>
    <w:bookmarkEnd w:id="34"/>
    <w:bookmarkEnd w:id="35"/>
    <w:p w14:paraId="681DB2D3" w14:textId="5BC3029B" w:rsidR="00873094" w:rsidRPr="000E30B2" w:rsidRDefault="00BB2AE8" w:rsidP="00BB2AE8">
      <w:pPr>
        <w:pStyle w:val="Chapterheading"/>
        <w:tabs>
          <w:tab w:val="clear" w:pos="7371"/>
        </w:tabs>
        <w:ind w:left="0"/>
        <w:rPr>
          <w:rFonts w:hint="eastAsia"/>
        </w:rPr>
      </w:pPr>
      <w:r>
        <w:lastRenderedPageBreak/>
        <w:t>P</w:t>
      </w:r>
      <w:r w:rsidR="00D41A6A" w:rsidRPr="000E30B2">
        <w:t>romoter penalty laws</w:t>
      </w:r>
      <w:r w:rsidR="00965DB9" w:rsidRPr="000E30B2">
        <w:t xml:space="preserve"> reform</w:t>
      </w:r>
    </w:p>
    <w:p w14:paraId="269A8237" w14:textId="77777777" w:rsidR="00873094" w:rsidRPr="00A2749C" w:rsidRDefault="00873094" w:rsidP="005D0844">
      <w:pPr>
        <w:pStyle w:val="Heading2"/>
        <w:rPr>
          <w:rFonts w:hint="eastAsia"/>
        </w:rPr>
      </w:pPr>
      <w:bookmarkStart w:id="36" w:name="_Toc145334220"/>
      <w:bookmarkStart w:id="37" w:name="Chapter1"/>
      <w:r w:rsidRPr="00A2749C">
        <w:t>Outline of chapter</w:t>
      </w:r>
      <w:bookmarkEnd w:id="36"/>
    </w:p>
    <w:p w14:paraId="108238DF" w14:textId="5E331B16" w:rsidR="00873094" w:rsidRPr="00A2749C" w:rsidRDefault="0086387C" w:rsidP="00FA4388">
      <w:pPr>
        <w:pStyle w:val="Normalparatextwithnumbers"/>
        <w:tabs>
          <w:tab w:val="clear" w:pos="709"/>
          <w:tab w:val="num" w:pos="0"/>
        </w:tabs>
        <w:ind w:left="0" w:firstLine="0"/>
      </w:pPr>
      <w:r w:rsidRPr="00A2749C">
        <w:t>Schedule</w:t>
      </w:r>
      <w:r w:rsidR="00B25448" w:rsidRPr="00A2749C">
        <w:t xml:space="preserve"> [</w:t>
      </w:r>
      <w:r w:rsidR="00E0034B" w:rsidRPr="00A2749C">
        <w:t>#</w:t>
      </w:r>
      <w:r w:rsidR="00B25448" w:rsidRPr="00A2749C">
        <w:t xml:space="preserve">] to the Bill amends the TAA 1953 to </w:t>
      </w:r>
      <w:r w:rsidR="0002200F" w:rsidRPr="00A2749C">
        <w:t xml:space="preserve">increase the time the </w:t>
      </w:r>
      <w:r w:rsidR="00A2749C" w:rsidRPr="00A2749C">
        <w:t>Commissioner of Taxation</w:t>
      </w:r>
      <w:r w:rsidR="0002200F" w:rsidRPr="00A2749C">
        <w:t xml:space="preserve"> </w:t>
      </w:r>
      <w:proofErr w:type="gramStart"/>
      <w:r w:rsidR="0002200F" w:rsidRPr="00A2749C">
        <w:t>has to</w:t>
      </w:r>
      <w:proofErr w:type="gramEnd"/>
      <w:r w:rsidR="0002200F" w:rsidRPr="00A2749C">
        <w:t xml:space="preserve"> bring an application for civil penalty proceedings to the Federal Court of Australia, increase the maximum penalty applicable, and expand the application of the promoter penalty laws</w:t>
      </w:r>
      <w:r w:rsidR="00E0034B" w:rsidRPr="00A2749C">
        <w:t>.</w:t>
      </w:r>
    </w:p>
    <w:p w14:paraId="2A368C83" w14:textId="032BA5DD" w:rsidR="00873094" w:rsidRPr="007E27D6" w:rsidRDefault="00873094" w:rsidP="005D0844">
      <w:pPr>
        <w:pStyle w:val="Heading2"/>
        <w:rPr>
          <w:rFonts w:hint="eastAsia"/>
        </w:rPr>
      </w:pPr>
      <w:bookmarkStart w:id="38" w:name="_Toc145334221"/>
      <w:r w:rsidRPr="007E27D6">
        <w:t>Context of amendments</w:t>
      </w:r>
      <w:bookmarkEnd w:id="38"/>
    </w:p>
    <w:p w14:paraId="5A41BB96" w14:textId="7DFF56E5" w:rsidR="00551723" w:rsidRPr="007E27D6" w:rsidRDefault="00551723" w:rsidP="000824C5">
      <w:pPr>
        <w:pStyle w:val="Heading6"/>
        <w:rPr>
          <w:rFonts w:hint="eastAsia"/>
        </w:rPr>
      </w:pPr>
      <w:r w:rsidRPr="007E27D6">
        <w:t>General</w:t>
      </w:r>
    </w:p>
    <w:p w14:paraId="018FCA62" w14:textId="6D0F1C3D" w:rsidR="00BF5E10" w:rsidRPr="007E27D6" w:rsidRDefault="00BF5E10">
      <w:pPr>
        <w:pStyle w:val="Normalparatextwithnumbers"/>
        <w:numPr>
          <w:ilvl w:val="1"/>
          <w:numId w:val="3"/>
        </w:numPr>
      </w:pPr>
      <w:r w:rsidRPr="007E27D6">
        <w:t xml:space="preserve">The promoter penalty provisions in Division 290 of </w:t>
      </w:r>
      <w:r w:rsidR="000B0E6B">
        <w:t xml:space="preserve">Schedule 1 to </w:t>
      </w:r>
      <w:r w:rsidRPr="007E27D6">
        <w:t xml:space="preserve">the TAA 1953 (Promotion and implementation of schemes) were introduced in 2006 to deter </w:t>
      </w:r>
      <w:r w:rsidR="0093024D">
        <w:t>the promotion of tax avoidance and tax evasion schemes</w:t>
      </w:r>
      <w:r w:rsidRPr="007E27D6">
        <w:t xml:space="preserve">, where the benefit to be claimed is not permitted under the law. These provisions also prohibit </w:t>
      </w:r>
      <w:r w:rsidR="00601E1C">
        <w:t>entities</w:t>
      </w:r>
      <w:r w:rsidRPr="007E27D6">
        <w:t xml:space="preserve"> from misrepresenting arrangements as being endorsed by the ATO through product rulings.</w:t>
      </w:r>
    </w:p>
    <w:p w14:paraId="0453C382" w14:textId="56BF584C" w:rsidR="00BF5E10" w:rsidRPr="007E27D6" w:rsidRDefault="00B0049F" w:rsidP="00BF5E10">
      <w:pPr>
        <w:pStyle w:val="Normalparatextwithnumbers"/>
        <w:numPr>
          <w:ilvl w:val="1"/>
          <w:numId w:val="3"/>
        </w:numPr>
      </w:pPr>
      <w:r w:rsidRPr="007E27D6">
        <w:t xml:space="preserve">The promoter penalty provisions were </w:t>
      </w:r>
      <w:r w:rsidR="00844FD9">
        <w:t xml:space="preserve">introduced following </w:t>
      </w:r>
      <w:r w:rsidR="005D1FEE" w:rsidRPr="007E27D6">
        <w:t>the mass</w:t>
      </w:r>
      <w:r w:rsidR="00B44DB3">
        <w:t>-</w:t>
      </w:r>
      <w:r w:rsidR="005D1FEE" w:rsidRPr="007E27D6">
        <w:t xml:space="preserve">marketed tax avoidance </w:t>
      </w:r>
      <w:r w:rsidR="00BF5E10" w:rsidRPr="007E27D6">
        <w:t>and evasion schemes prevalent in the 1990s</w:t>
      </w:r>
      <w:r w:rsidR="00EE30B7">
        <w:t xml:space="preserve">. </w:t>
      </w:r>
      <w:r w:rsidR="00BF5E10" w:rsidRPr="007E27D6">
        <w:t>Over time, the nature of tax promoter activity has evolved as tax exploitation schemes have become more bespoke and complex, often operating across jurisdictional boundaries.</w:t>
      </w:r>
    </w:p>
    <w:p w14:paraId="30036D80" w14:textId="00D9AEF3" w:rsidR="00803033" w:rsidRPr="007E27D6" w:rsidRDefault="00803033" w:rsidP="00BF5E10">
      <w:pPr>
        <w:pStyle w:val="Normalparatextwithnumbers"/>
        <w:numPr>
          <w:ilvl w:val="1"/>
          <w:numId w:val="3"/>
        </w:numPr>
      </w:pPr>
      <w:r w:rsidRPr="007E27D6">
        <w:t>The amendments seek to</w:t>
      </w:r>
      <w:r w:rsidR="00461BFB" w:rsidRPr="007E27D6">
        <w:t xml:space="preserve"> </w:t>
      </w:r>
      <w:r w:rsidR="00C72210" w:rsidRPr="007E27D6">
        <w:t xml:space="preserve">boost the effectiveness of the operation of the promoter penalty provisions </w:t>
      </w:r>
      <w:r w:rsidR="00B9195C" w:rsidRPr="007E27D6">
        <w:t>without inhibiting the capacity of entities to provide independent and objective tax advice</w:t>
      </w:r>
      <w:r w:rsidR="00CF07D9" w:rsidRPr="007E27D6">
        <w:t>, including advice regarding tax planning.</w:t>
      </w:r>
      <w:r w:rsidR="000915B8" w:rsidRPr="007E27D6">
        <w:t xml:space="preserve"> The amendments improve the ability of the </w:t>
      </w:r>
      <w:r w:rsidR="002B72D3">
        <w:t>Commissioner</w:t>
      </w:r>
      <w:r w:rsidR="00CE68BF" w:rsidRPr="007E27D6">
        <w:t xml:space="preserve"> to target promoters of tax exploitation schemes and </w:t>
      </w:r>
      <w:r w:rsidR="004600B0">
        <w:t xml:space="preserve">schemes being </w:t>
      </w:r>
      <w:r w:rsidR="003C3AA5">
        <w:t>misrepresent</w:t>
      </w:r>
      <w:r w:rsidR="004600B0">
        <w:t>ed</w:t>
      </w:r>
      <w:r w:rsidR="003C3AA5">
        <w:t xml:space="preserve"> as</w:t>
      </w:r>
      <w:r w:rsidR="001158F0">
        <w:t xml:space="preserve"> having ATO endorsement</w:t>
      </w:r>
      <w:r w:rsidR="004600B0">
        <w:t xml:space="preserve">, and </w:t>
      </w:r>
      <w:r w:rsidR="00F717E1">
        <w:t xml:space="preserve">the ability to </w:t>
      </w:r>
      <w:r w:rsidR="00CE68BF" w:rsidRPr="007E27D6">
        <w:t>seek the application of civil penalties.</w:t>
      </w:r>
    </w:p>
    <w:p w14:paraId="6C331201" w14:textId="6C11F773" w:rsidR="005732E8" w:rsidRPr="007E27D6" w:rsidRDefault="00631293" w:rsidP="00BF5E10">
      <w:pPr>
        <w:pStyle w:val="Normalparatextwithnumbers"/>
        <w:numPr>
          <w:ilvl w:val="1"/>
          <w:numId w:val="3"/>
        </w:numPr>
      </w:pPr>
      <w:r>
        <w:t>T</w:t>
      </w:r>
      <w:r w:rsidR="001852B2">
        <w:t xml:space="preserve">he promotion of </w:t>
      </w:r>
      <w:r w:rsidR="00033177">
        <w:t xml:space="preserve">these </w:t>
      </w:r>
      <w:r w:rsidR="001852B2">
        <w:t>schemes puts</w:t>
      </w:r>
      <w:r w:rsidR="002A6855" w:rsidRPr="007E27D6">
        <w:t xml:space="preserve"> taxpayers </w:t>
      </w:r>
      <w:r w:rsidR="00033177">
        <w:t>who enter such schemes at</w:t>
      </w:r>
      <w:r w:rsidR="002A6855" w:rsidRPr="007E27D6">
        <w:t xml:space="preserve"> risk of shortfall</w:t>
      </w:r>
      <w:r w:rsidR="00033177">
        <w:t xml:space="preserve"> tax</w:t>
      </w:r>
      <w:r w:rsidR="002A6855" w:rsidRPr="007E27D6">
        <w:t>, penalties and interest</w:t>
      </w:r>
      <w:r w:rsidR="002C0508" w:rsidRPr="007E27D6">
        <w:t xml:space="preserve">. </w:t>
      </w:r>
      <w:r w:rsidR="00525AAB">
        <w:t xml:space="preserve">The amendments ensure </w:t>
      </w:r>
      <w:r w:rsidR="00E45E2B">
        <w:t xml:space="preserve">the </w:t>
      </w:r>
      <w:r>
        <w:t>i</w:t>
      </w:r>
      <w:r w:rsidRPr="007E27D6">
        <w:t>ncentives</w:t>
      </w:r>
      <w:r w:rsidR="00A91487" w:rsidRPr="007E27D6">
        <w:t xml:space="preserve"> for tax practitioners and other promoters to make unauthorised disclosures of confi</w:t>
      </w:r>
      <w:r w:rsidR="009A0E22" w:rsidRPr="007E27D6">
        <w:t xml:space="preserve">dential information, where that information is used to promote </w:t>
      </w:r>
      <w:r w:rsidR="002306AC">
        <w:t>these</w:t>
      </w:r>
      <w:r w:rsidR="009A0E22" w:rsidRPr="007E27D6">
        <w:t xml:space="preserve"> schemes, </w:t>
      </w:r>
      <w:r w:rsidR="00E45E2B">
        <w:t>are</w:t>
      </w:r>
      <w:r w:rsidR="009A0E22" w:rsidRPr="007E27D6">
        <w:t xml:space="preserve"> diminished.</w:t>
      </w:r>
    </w:p>
    <w:p w14:paraId="0166592E" w14:textId="50DD0514" w:rsidR="00803033" w:rsidRPr="00036C9F" w:rsidRDefault="00803033" w:rsidP="00BF5E10">
      <w:pPr>
        <w:pStyle w:val="Normalparatextwithnumbers"/>
        <w:numPr>
          <w:ilvl w:val="1"/>
          <w:numId w:val="3"/>
        </w:numPr>
      </w:pPr>
      <w:r w:rsidRPr="00036C9F">
        <w:t>Legislative references in this Chapter are t</w:t>
      </w:r>
      <w:r w:rsidR="00D044FE" w:rsidRPr="00036C9F">
        <w:t>o</w:t>
      </w:r>
      <w:r w:rsidRPr="00036C9F">
        <w:t xml:space="preserve"> </w:t>
      </w:r>
      <w:r w:rsidR="00DA43C9" w:rsidRPr="00036C9F">
        <w:t xml:space="preserve">Schedule 1 to the </w:t>
      </w:r>
      <w:r w:rsidRPr="00036C9F">
        <w:t>TAA 1953 unless otherwise specified.</w:t>
      </w:r>
    </w:p>
    <w:p w14:paraId="7D824633" w14:textId="6DBABC87" w:rsidR="0008762A" w:rsidRPr="003502D2" w:rsidRDefault="002A10BD" w:rsidP="00036C9F">
      <w:pPr>
        <w:pStyle w:val="Heading6"/>
        <w:rPr>
          <w:rFonts w:hint="eastAsia"/>
        </w:rPr>
      </w:pPr>
      <w:r w:rsidRPr="003502D2">
        <w:lastRenderedPageBreak/>
        <w:t xml:space="preserve">Time limitation to commence civil penalty </w:t>
      </w:r>
      <w:proofErr w:type="gramStart"/>
      <w:r w:rsidRPr="003502D2">
        <w:t>proceedings</w:t>
      </w:r>
      <w:proofErr w:type="gramEnd"/>
    </w:p>
    <w:p w14:paraId="66BA6F17" w14:textId="0DB3A283" w:rsidR="00565A2A" w:rsidRPr="00036C9F" w:rsidRDefault="00565A2A" w:rsidP="00565A2A">
      <w:pPr>
        <w:pStyle w:val="Normalparatextwithnumbers"/>
        <w:numPr>
          <w:ilvl w:val="1"/>
          <w:numId w:val="3"/>
        </w:numPr>
      </w:pPr>
      <w:r w:rsidRPr="00036C9F">
        <w:t xml:space="preserve">The promoter penalty laws provide a four-year period within which the Commissioner may </w:t>
      </w:r>
      <w:proofErr w:type="gramStart"/>
      <w:r w:rsidRPr="00036C9F">
        <w:t>take action</w:t>
      </w:r>
      <w:proofErr w:type="gramEnd"/>
      <w:r w:rsidRPr="00036C9F">
        <w:t xml:space="preserve"> against an entity on the basis of their involvement in the promotion of a tax exploitation scheme. The Commissioner may only </w:t>
      </w:r>
      <w:proofErr w:type="gramStart"/>
      <w:r w:rsidRPr="00036C9F">
        <w:t>take action</w:t>
      </w:r>
      <w:proofErr w:type="gramEnd"/>
      <w:r w:rsidRPr="00036C9F">
        <w:t xml:space="preserve"> against the entity within this period</w:t>
      </w:r>
      <w:r w:rsidR="00200C36">
        <w:t xml:space="preserve"> that commences from the time that the promoter last engaged in the promot</w:t>
      </w:r>
      <w:r w:rsidR="003965BB">
        <w:t>er</w:t>
      </w:r>
      <w:r w:rsidR="00200C36">
        <w:t xml:space="preserve"> conduct</w:t>
      </w:r>
      <w:r w:rsidRPr="00036C9F">
        <w:t>.</w:t>
      </w:r>
    </w:p>
    <w:p w14:paraId="15835C60" w14:textId="69E0F461" w:rsidR="001E5A88" w:rsidRPr="003502D2" w:rsidRDefault="001E5A88" w:rsidP="00E349BC">
      <w:pPr>
        <w:pStyle w:val="Normalparatextwithnumbers"/>
        <w:numPr>
          <w:ilvl w:val="1"/>
          <w:numId w:val="3"/>
        </w:numPr>
      </w:pPr>
      <w:r w:rsidRPr="003502D2">
        <w:t xml:space="preserve">The Commissioner frequently becomes aware of the promotion of schemes during client audits, which </w:t>
      </w:r>
      <w:r w:rsidR="00C46F2E">
        <w:t>often</w:t>
      </w:r>
      <w:r w:rsidRPr="003502D2">
        <w:t xml:space="preserve"> occur well after the 4-year limitation period commences. Having regard to the</w:t>
      </w:r>
      <w:r w:rsidR="00BA66CE" w:rsidRPr="003502D2">
        <w:t xml:space="preserve"> complexity of tax exploitation schemes, the Commissioner also requires significant time to gather evidence</w:t>
      </w:r>
      <w:r w:rsidR="000C73B4" w:rsidRPr="003502D2">
        <w:t>.</w:t>
      </w:r>
      <w:r w:rsidR="002672F7" w:rsidRPr="003502D2">
        <w:t xml:space="preserve"> This means</w:t>
      </w:r>
      <w:r w:rsidR="0093436D" w:rsidRPr="003502D2">
        <w:t xml:space="preserve"> the</w:t>
      </w:r>
      <w:r w:rsidR="00A234EE" w:rsidRPr="003502D2">
        <w:t xml:space="preserve"> </w:t>
      </w:r>
      <w:r w:rsidR="00E95CC7" w:rsidRPr="003502D2">
        <w:t xml:space="preserve">four-year </w:t>
      </w:r>
      <w:r w:rsidR="00D74FC0" w:rsidRPr="003502D2">
        <w:t xml:space="preserve">limitation period often has expired before the ATO is </w:t>
      </w:r>
      <w:proofErr w:type="gramStart"/>
      <w:r w:rsidR="00D74FC0" w:rsidRPr="003502D2">
        <w:t>in a position</w:t>
      </w:r>
      <w:proofErr w:type="gramEnd"/>
      <w:r w:rsidR="00D74FC0" w:rsidRPr="003502D2">
        <w:t xml:space="preserve"> to make an application to the Court.</w:t>
      </w:r>
    </w:p>
    <w:p w14:paraId="6B4B3005" w14:textId="3A165A54" w:rsidR="009A63D2" w:rsidRPr="005D776A" w:rsidRDefault="009A63D2" w:rsidP="003D0A9E">
      <w:pPr>
        <w:pStyle w:val="Heading6"/>
        <w:rPr>
          <w:rFonts w:hint="eastAsia"/>
        </w:rPr>
      </w:pPr>
      <w:r w:rsidRPr="005D1098">
        <w:t>Unimplemented avoidance</w:t>
      </w:r>
      <w:r w:rsidR="00065F0D">
        <w:t xml:space="preserve"> and evasion</w:t>
      </w:r>
      <w:r w:rsidRPr="005D1098">
        <w:t xml:space="preserve"> schemes</w:t>
      </w:r>
    </w:p>
    <w:p w14:paraId="737C2585" w14:textId="21ACAB8B" w:rsidR="00AC6ACB" w:rsidRPr="00E934D7" w:rsidRDefault="00223AE0" w:rsidP="00E349BC">
      <w:pPr>
        <w:pStyle w:val="Normalparatextwithnumbers"/>
        <w:numPr>
          <w:ilvl w:val="1"/>
          <w:numId w:val="3"/>
        </w:numPr>
      </w:pPr>
      <w:r>
        <w:t>T</w:t>
      </w:r>
      <w:r w:rsidR="009D7BF4">
        <w:t xml:space="preserve">he provisions </w:t>
      </w:r>
      <w:r w:rsidR="00050657">
        <w:t xml:space="preserve">concerning the </w:t>
      </w:r>
      <w:r w:rsidR="009D7BF4">
        <w:t>promotion</w:t>
      </w:r>
      <w:r w:rsidR="00050657">
        <w:t xml:space="preserve"> </w:t>
      </w:r>
      <w:r w:rsidR="00E4053F">
        <w:t>o</w:t>
      </w:r>
      <w:r w:rsidR="00050657">
        <w:t xml:space="preserve">f tax exploitation schemes are explicit that the scheme need not be </w:t>
      </w:r>
      <w:r>
        <w:t xml:space="preserve">implemented for a penalty to be imposed. However, the </w:t>
      </w:r>
      <w:r w:rsidR="00502160">
        <w:t xml:space="preserve">provisions concerning the misrepresentation of schemes </w:t>
      </w:r>
      <w:r w:rsidR="008E2579">
        <w:t>conforming to</w:t>
      </w:r>
      <w:r w:rsidR="00A23215">
        <w:t xml:space="preserve"> a product ruling do not explic</w:t>
      </w:r>
      <w:r w:rsidR="003D1095">
        <w:t xml:space="preserve">itly </w:t>
      </w:r>
      <w:r w:rsidR="008104F0">
        <w:t>distinguish between implemented and unimplemented schemes like the tax exploitation scheme provisions</w:t>
      </w:r>
      <w:r w:rsidR="007B27B0">
        <w:t xml:space="preserve"> do</w:t>
      </w:r>
      <w:r w:rsidR="008104F0">
        <w:t>.</w:t>
      </w:r>
      <w:r>
        <w:t xml:space="preserve"> </w:t>
      </w:r>
    </w:p>
    <w:p w14:paraId="09026FB6" w14:textId="2BE67504" w:rsidR="00E349BC" w:rsidRPr="00FA4388" w:rsidRDefault="00A65043" w:rsidP="003D0A9E">
      <w:pPr>
        <w:pStyle w:val="Normalparatextwithnumbers"/>
        <w:numPr>
          <w:ilvl w:val="1"/>
          <w:numId w:val="3"/>
        </w:numPr>
      </w:pPr>
      <w:r w:rsidRPr="00E934D7">
        <w:t>Promotions</w:t>
      </w:r>
      <w:r w:rsidR="00B013A1" w:rsidRPr="00E934D7">
        <w:t xml:space="preserve"> of schemes involving tax evasion are not subject to </w:t>
      </w:r>
      <w:r w:rsidR="00F15CD1" w:rsidRPr="00E934D7">
        <w:t>the</w:t>
      </w:r>
      <w:r w:rsidR="00B013A1" w:rsidRPr="00E934D7">
        <w:t xml:space="preserve"> time limitation</w:t>
      </w:r>
      <w:r w:rsidR="002F6BCC" w:rsidRPr="00E934D7">
        <w:t xml:space="preserve"> within which action may be taken</w:t>
      </w:r>
      <w:r w:rsidR="00D255CE" w:rsidRPr="00E934D7">
        <w:t xml:space="preserve"> </w:t>
      </w:r>
      <w:r w:rsidR="00256BD8" w:rsidRPr="00E934D7">
        <w:t>against an entity</w:t>
      </w:r>
      <w:r w:rsidR="00A07A2D" w:rsidRPr="00E934D7">
        <w:t>. However</w:t>
      </w:r>
      <w:r w:rsidR="00007711" w:rsidRPr="00E934D7">
        <w:t xml:space="preserve">, </w:t>
      </w:r>
      <w:r w:rsidR="00051CBF" w:rsidRPr="00E934D7">
        <w:t xml:space="preserve">this </w:t>
      </w:r>
      <w:r w:rsidR="00754F5E" w:rsidRPr="00E934D7">
        <w:t xml:space="preserve">exception </w:t>
      </w:r>
      <w:r w:rsidR="000A60BF" w:rsidRPr="00E934D7">
        <w:t>has been</w:t>
      </w:r>
      <w:r w:rsidR="00051CBF" w:rsidRPr="00E934D7">
        <w:t xml:space="preserve"> app</w:t>
      </w:r>
      <w:r w:rsidR="003677CB" w:rsidRPr="00E934D7">
        <w:t>l</w:t>
      </w:r>
      <w:r w:rsidR="00051CBF" w:rsidRPr="00E934D7">
        <w:t>ie</w:t>
      </w:r>
      <w:r w:rsidR="000A60BF" w:rsidRPr="00E934D7">
        <w:t xml:space="preserve">d </w:t>
      </w:r>
      <w:r w:rsidR="00D95FC9" w:rsidRPr="00E934D7">
        <w:t>only</w:t>
      </w:r>
      <w:r w:rsidR="00051CBF" w:rsidRPr="00E934D7">
        <w:t xml:space="preserve"> where the scheme has been implemented</w:t>
      </w:r>
      <w:r w:rsidR="001F5BD2" w:rsidRPr="00E934D7">
        <w:t xml:space="preserve"> and tax evasion has occurred</w:t>
      </w:r>
      <w:r w:rsidR="00772735" w:rsidRPr="00E934D7">
        <w:t>.</w:t>
      </w:r>
      <w:r w:rsidR="00FA32A4" w:rsidRPr="00E934D7">
        <w:t xml:space="preserve"> This has meant that</w:t>
      </w:r>
      <w:r w:rsidR="00FA6C45" w:rsidRPr="00E934D7">
        <w:t xml:space="preserve"> there is no meaningful operation</w:t>
      </w:r>
      <w:r w:rsidR="00122132" w:rsidRPr="006173E3">
        <w:t xml:space="preserve"> in relation to schemes which are not implemented</w:t>
      </w:r>
      <w:r w:rsidR="000869CC">
        <w:t xml:space="preserve"> up</w:t>
      </w:r>
      <w:r w:rsidR="00274C66" w:rsidRPr="006173E3">
        <w:t xml:space="preserve"> to the point where</w:t>
      </w:r>
      <w:r w:rsidR="002D0D9F" w:rsidRPr="006173E3">
        <w:t xml:space="preserve"> a scheme benefit is in fact obtained.</w:t>
      </w:r>
    </w:p>
    <w:p w14:paraId="4D93D836" w14:textId="3A087DE8" w:rsidR="003F0F9F" w:rsidRPr="006173E3" w:rsidRDefault="00036C9F" w:rsidP="003D0A9E">
      <w:pPr>
        <w:pStyle w:val="Heading6"/>
        <w:rPr>
          <w:rFonts w:hint="eastAsia"/>
        </w:rPr>
      </w:pPr>
      <w:r>
        <w:t>Penalties</w:t>
      </w:r>
    </w:p>
    <w:p w14:paraId="21CCF05C" w14:textId="2AA585F4" w:rsidR="00E236FB" w:rsidRPr="006173E3" w:rsidRDefault="003F0F9F" w:rsidP="00836E2C">
      <w:pPr>
        <w:pStyle w:val="Normalparatextwithnumbers"/>
        <w:numPr>
          <w:ilvl w:val="1"/>
          <w:numId w:val="3"/>
        </w:numPr>
      </w:pPr>
      <w:r w:rsidRPr="006173E3">
        <w:t>Under subsection 290-50(4) of Schedule 1 to the TAA 1953, the Federal Court of Australia may impose a maximum civil penalty which is the greater of</w:t>
      </w:r>
      <w:r w:rsidR="004F0294" w:rsidRPr="006173E3">
        <w:t xml:space="preserve"> 5,000 penalty</w:t>
      </w:r>
      <w:r w:rsidR="0085632B" w:rsidRPr="006173E3">
        <w:t xml:space="preserve"> units (currently $1.57 million) for individuals or 25,000 penalty </w:t>
      </w:r>
      <w:r w:rsidR="006D25BA" w:rsidRPr="006173E3">
        <w:t>units</w:t>
      </w:r>
      <w:r w:rsidR="0085632B" w:rsidRPr="006173E3">
        <w:t xml:space="preserve"> (currently $7.8 million) for a body corporate, or twice</w:t>
      </w:r>
      <w:r w:rsidR="008D60E9" w:rsidRPr="006173E3">
        <w:t xml:space="preserve"> the consideration received or receivable by the entity (and associates of the entity) in respect of the scheme</w:t>
      </w:r>
      <w:r w:rsidR="00266D24" w:rsidRPr="006173E3">
        <w:t>.</w:t>
      </w:r>
      <w:r w:rsidR="00004DF6" w:rsidRPr="006173E3">
        <w:t xml:space="preserve"> These penalties have not </w:t>
      </w:r>
      <w:r w:rsidR="006D25BA" w:rsidRPr="006173E3">
        <w:t>k</w:t>
      </w:r>
      <w:r w:rsidR="00004DF6" w:rsidRPr="006173E3">
        <w:t>ept pace with other developments in the law.</w:t>
      </w:r>
    </w:p>
    <w:p w14:paraId="4A6A1EC0" w14:textId="56AE1AD9" w:rsidR="006D25BA" w:rsidRPr="006173E3" w:rsidRDefault="006D25BA" w:rsidP="00836E2C">
      <w:pPr>
        <w:pStyle w:val="Normalparatextwithnumbers"/>
        <w:numPr>
          <w:ilvl w:val="1"/>
          <w:numId w:val="3"/>
        </w:numPr>
      </w:pPr>
      <w:r w:rsidRPr="006173E3">
        <w:t xml:space="preserve">When the promoter penalty provisions in Division 290 </w:t>
      </w:r>
      <w:r w:rsidR="00DC56DA">
        <w:t>in Schedule 1</w:t>
      </w:r>
      <w:r w:rsidR="00446B7C">
        <w:t xml:space="preserve"> to</w:t>
      </w:r>
      <w:r w:rsidRPr="006173E3">
        <w:t xml:space="preserve"> the TAA 1953 were introduced in 2006</w:t>
      </w:r>
      <w:r w:rsidR="00FF5DBD" w:rsidRPr="006173E3">
        <w:t xml:space="preserve">, the intention was to align the maximum penalty with the </w:t>
      </w:r>
      <w:r w:rsidR="00FF5DBD" w:rsidRPr="006173E3">
        <w:rPr>
          <w:i/>
        </w:rPr>
        <w:t>Trade Practices Act 1974</w:t>
      </w:r>
      <w:r w:rsidR="00FF5DBD" w:rsidRPr="006173E3">
        <w:t>. Since then, the maximum civil penalty under the promoter penalty laws has remained unchanged (in penalty units).</w:t>
      </w:r>
      <w:r w:rsidR="002E0BB6" w:rsidRPr="006173E3">
        <w:t xml:space="preserve"> By contrast, the maximum civil penalty has significantly increased, in penalty units, in comparable legislation, including both the </w:t>
      </w:r>
      <w:r w:rsidR="002E0BB6" w:rsidRPr="006173E3">
        <w:rPr>
          <w:i/>
        </w:rPr>
        <w:t xml:space="preserve">Competition and Consumer Act 2010 </w:t>
      </w:r>
      <w:r w:rsidR="002E0BB6" w:rsidRPr="006173E3">
        <w:t xml:space="preserve">(which replaced the </w:t>
      </w:r>
      <w:r w:rsidR="002E0BB6" w:rsidRPr="006173E3">
        <w:rPr>
          <w:i/>
        </w:rPr>
        <w:t>Trade Practices Act 1974</w:t>
      </w:r>
      <w:r w:rsidR="002E0BB6" w:rsidRPr="006173E3">
        <w:t xml:space="preserve">) and the </w:t>
      </w:r>
      <w:r w:rsidR="002E0BB6" w:rsidRPr="006173E3">
        <w:rPr>
          <w:i/>
        </w:rPr>
        <w:t>Corporations Act 2001</w:t>
      </w:r>
      <w:r w:rsidR="002E0BB6" w:rsidRPr="006173E3">
        <w:t>.</w:t>
      </w:r>
    </w:p>
    <w:p w14:paraId="5E4DB54F" w14:textId="359734C2" w:rsidR="003F3BA6" w:rsidRPr="00375C70" w:rsidRDefault="00396A68" w:rsidP="00375C70">
      <w:pPr>
        <w:pStyle w:val="Heading6"/>
        <w:rPr>
          <w:rFonts w:hint="eastAsia"/>
        </w:rPr>
      </w:pPr>
      <w:r w:rsidRPr="00375C70">
        <w:lastRenderedPageBreak/>
        <w:t>Meaning of promoter</w:t>
      </w:r>
    </w:p>
    <w:p w14:paraId="11447A34" w14:textId="2307C6D3" w:rsidR="00B76552" w:rsidRDefault="00396A68" w:rsidP="00BF5E10">
      <w:pPr>
        <w:pStyle w:val="Normalparatextwithnumbers"/>
        <w:numPr>
          <w:ilvl w:val="1"/>
          <w:numId w:val="3"/>
        </w:numPr>
      </w:pPr>
      <w:r w:rsidRPr="00375C70">
        <w:t xml:space="preserve">One element of the meaning of ‘promoter’ that the Commissioner is required to </w:t>
      </w:r>
      <w:r w:rsidR="008253CA">
        <w:t>establish</w:t>
      </w:r>
      <w:r w:rsidR="008253CA" w:rsidRPr="00375C70">
        <w:t xml:space="preserve"> </w:t>
      </w:r>
      <w:r w:rsidR="007A5971" w:rsidRPr="00375C70">
        <w:t xml:space="preserve">if the promoter penalty </w:t>
      </w:r>
      <w:r w:rsidR="00FC12D1" w:rsidRPr="00375C70">
        <w:t>laws</w:t>
      </w:r>
      <w:r w:rsidR="007A5971" w:rsidRPr="00375C70">
        <w:t xml:space="preserve"> are to apply where an entity is a promoter of a tax exploitation scheme, is that the entity has received (directly or </w:t>
      </w:r>
      <w:r w:rsidR="00FC12D1" w:rsidRPr="00375C70">
        <w:t>indirectly</w:t>
      </w:r>
      <w:r w:rsidR="007A5971" w:rsidRPr="00375C70">
        <w:t xml:space="preserve">) consideration in respect of marketing a scheme </w:t>
      </w:r>
      <w:r w:rsidR="00FE1DDF">
        <w:t>or</w:t>
      </w:r>
      <w:r w:rsidR="007A5971" w:rsidRPr="00375C70">
        <w:t xml:space="preserve"> encouraging growth or interest in a scheme. </w:t>
      </w:r>
      <w:r w:rsidR="002119E6" w:rsidRPr="00375C70">
        <w:t xml:space="preserve"> </w:t>
      </w:r>
    </w:p>
    <w:p w14:paraId="0790C363" w14:textId="59A45B03" w:rsidR="002119E6" w:rsidRDefault="007A5971" w:rsidP="00BF5E10">
      <w:pPr>
        <w:pStyle w:val="Normalparatextwithnumbers"/>
        <w:numPr>
          <w:ilvl w:val="1"/>
          <w:numId w:val="3"/>
        </w:numPr>
      </w:pPr>
      <w:r w:rsidRPr="00375C70">
        <w:t>This</w:t>
      </w:r>
      <w:r w:rsidR="00355F1F" w:rsidRPr="00375C70">
        <w:t xml:space="preserve"> element has restricted the Commissioner’s ability to apply these laws to genuine promoters due to the practical challenges in obtaining</w:t>
      </w:r>
      <w:r w:rsidR="0059121A" w:rsidRPr="00375C70">
        <w:t xml:space="preserve"> suffi</w:t>
      </w:r>
      <w:r w:rsidR="00836E2C" w:rsidRPr="00375C70">
        <w:t>ci</w:t>
      </w:r>
      <w:r w:rsidR="0059121A" w:rsidRPr="00375C70">
        <w:t>ent evidence showing that the promoter or an associate of the promoter has received consideration in respect of marketing, or encouraging growth or interest in, the tax exploitation scheme</w:t>
      </w:r>
      <w:r w:rsidR="00836E2C" w:rsidRPr="00375C70">
        <w:t>.</w:t>
      </w:r>
    </w:p>
    <w:p w14:paraId="02E37AB7" w14:textId="5AD9248D" w:rsidR="00257186" w:rsidRPr="008F2E54" w:rsidRDefault="007648A7" w:rsidP="00257186">
      <w:pPr>
        <w:pStyle w:val="Heading6"/>
        <w:rPr>
          <w:rFonts w:hint="eastAsia"/>
        </w:rPr>
      </w:pPr>
      <w:r w:rsidRPr="008F2E54">
        <w:t>Meaning of tax exploitation scheme</w:t>
      </w:r>
    </w:p>
    <w:p w14:paraId="6A98CE96" w14:textId="6E0DADEF" w:rsidR="000238FB" w:rsidRDefault="00F16281" w:rsidP="002C115C">
      <w:pPr>
        <w:pStyle w:val="Normalparatextwithnumbers"/>
        <w:numPr>
          <w:ilvl w:val="1"/>
          <w:numId w:val="3"/>
        </w:numPr>
      </w:pPr>
      <w:r>
        <w:t>Currently a tax exploitation scheme may not include</w:t>
      </w:r>
      <w:r w:rsidR="00592EA8">
        <w:t xml:space="preserve"> specific circumstances where the entity has </w:t>
      </w:r>
      <w:proofErr w:type="gramStart"/>
      <w:r w:rsidR="00592EA8">
        <w:t>entered into</w:t>
      </w:r>
      <w:proofErr w:type="gramEnd"/>
      <w:r w:rsidR="00592EA8">
        <w:t xml:space="preserve"> or carried out a scheme falling with</w:t>
      </w:r>
      <w:r w:rsidR="00260D30">
        <w:t>in</w:t>
      </w:r>
      <w:r w:rsidR="00592EA8">
        <w:t xml:space="preserve"> the requirements of the </w:t>
      </w:r>
      <w:r w:rsidR="00623763">
        <w:t>multinational anti</w:t>
      </w:r>
      <w:r w:rsidR="00041800">
        <w:t>-a</w:t>
      </w:r>
      <w:r w:rsidR="00623763">
        <w:t>voidance law</w:t>
      </w:r>
      <w:r w:rsidR="00C248C1">
        <w:t xml:space="preserve"> (MAAL)</w:t>
      </w:r>
      <w:r w:rsidR="00592EA8">
        <w:t xml:space="preserve"> or the </w:t>
      </w:r>
      <w:r w:rsidR="00D30FC7">
        <w:t xml:space="preserve">diverted profit tax </w:t>
      </w:r>
      <w:r w:rsidR="00C248C1">
        <w:t xml:space="preserve">(DPT) </w:t>
      </w:r>
      <w:r w:rsidR="00D30FC7">
        <w:t>provisions</w:t>
      </w:r>
      <w:r w:rsidR="00592EA8">
        <w:t>, or if the scheme is not yet implemented, it would</w:t>
      </w:r>
      <w:r w:rsidR="001A135D">
        <w:t xml:space="preserve"> be reasonable to conclude that those requirements would be satisfied. </w:t>
      </w:r>
      <w:r w:rsidR="00C833D0">
        <w:t xml:space="preserve">A tax exploitation scheme is a scheme </w:t>
      </w:r>
      <w:proofErr w:type="gramStart"/>
      <w:r w:rsidR="00C833D0">
        <w:t>entered into</w:t>
      </w:r>
      <w:proofErr w:type="gramEnd"/>
      <w:r w:rsidR="00C833D0">
        <w:t xml:space="preserve">, or carried out, for the sole or dominant purpose of </w:t>
      </w:r>
      <w:r w:rsidR="008A4F05">
        <w:t xml:space="preserve">obtaining </w:t>
      </w:r>
      <w:r w:rsidR="00C833D0">
        <w:t>a scheme benefit.</w:t>
      </w:r>
      <w:r w:rsidR="001A135D">
        <w:t xml:space="preserve"> </w:t>
      </w:r>
      <w:r w:rsidR="00C248C1">
        <w:t xml:space="preserve">The MAAL and DPT </w:t>
      </w:r>
      <w:r w:rsidR="001A135D">
        <w:t>provisions</w:t>
      </w:r>
      <w:r w:rsidR="00612914">
        <w:t xml:space="preserve"> apply to a scheme if a person who </w:t>
      </w:r>
      <w:proofErr w:type="gramStart"/>
      <w:r w:rsidR="00612914">
        <w:t>entered into</w:t>
      </w:r>
      <w:proofErr w:type="gramEnd"/>
      <w:r w:rsidR="00612914">
        <w:t xml:space="preserve"> or carried out the scheme or any part of the scheme did so for a principal purpose of, or for more than one principal </w:t>
      </w:r>
      <w:r w:rsidR="0032335A">
        <w:t>purpose</w:t>
      </w:r>
      <w:r w:rsidR="00612914">
        <w:t xml:space="preserve"> that includes a purpose of obtaining a tax benefit, or both obtaining a tax benefit and reducing a tax liability under a foreign law</w:t>
      </w:r>
      <w:r w:rsidR="00F94295">
        <w:t xml:space="preserve">. </w:t>
      </w:r>
    </w:p>
    <w:p w14:paraId="1F5C4001" w14:textId="7657E527" w:rsidR="007648A7" w:rsidRPr="008F2E54" w:rsidRDefault="00B2461C" w:rsidP="000238FB">
      <w:pPr>
        <w:pStyle w:val="Normalparatextwithnumbers"/>
        <w:numPr>
          <w:ilvl w:val="1"/>
          <w:numId w:val="3"/>
        </w:numPr>
      </w:pPr>
      <w:r>
        <w:t>This restric</w:t>
      </w:r>
      <w:r w:rsidR="007E216F">
        <w:t>ts</w:t>
      </w:r>
      <w:r>
        <w:t xml:space="preserve"> the Commissioner’s ability to target tax practitioners and other promoters that promote schemes to multinational enterprises to avoid the attribution of profits to the Australian arm of the enterprise and erode the </w:t>
      </w:r>
      <w:r w:rsidR="00B02076">
        <w:t xml:space="preserve">corporate </w:t>
      </w:r>
      <w:r>
        <w:t>tax base.</w:t>
      </w:r>
    </w:p>
    <w:p w14:paraId="5C16EBC4" w14:textId="15E9DD63" w:rsidR="00FC12D1" w:rsidRPr="008F2E54" w:rsidRDefault="00F36F9D" w:rsidP="002C115C">
      <w:pPr>
        <w:pStyle w:val="Heading6"/>
        <w:rPr>
          <w:rFonts w:hint="eastAsia"/>
        </w:rPr>
      </w:pPr>
      <w:r w:rsidRPr="008F2E54">
        <w:t>ATO rulings</w:t>
      </w:r>
    </w:p>
    <w:p w14:paraId="7BC8EEC8" w14:textId="293BE2F3" w:rsidR="00FA397D" w:rsidRDefault="00897871">
      <w:pPr>
        <w:pStyle w:val="Normalparatextwithnumbers"/>
        <w:numPr>
          <w:ilvl w:val="1"/>
          <w:numId w:val="3"/>
        </w:numPr>
      </w:pPr>
      <w:r>
        <w:t>There is no specific prohibition on promoters using a category of ATO ruling</w:t>
      </w:r>
      <w:r w:rsidR="00FA397D">
        <w:t xml:space="preserve">, </w:t>
      </w:r>
      <w:r>
        <w:t>other than a</w:t>
      </w:r>
      <w:r w:rsidR="005B2A7B">
        <w:t xml:space="preserve"> product ruling</w:t>
      </w:r>
      <w:r w:rsidR="00FA397D">
        <w:t>,</w:t>
      </w:r>
      <w:r w:rsidR="005B2A7B">
        <w:t xml:space="preserve"> to mislead clients by asserting that their scheme has ATO endorsement while implementing</w:t>
      </w:r>
      <w:r w:rsidR="002D48EC">
        <w:t xml:space="preserve"> the scheme in a way </w:t>
      </w:r>
      <w:r w:rsidR="00C77B3F">
        <w:t>in a materially different way from that</w:t>
      </w:r>
      <w:r w:rsidR="002D48EC">
        <w:t xml:space="preserve"> described in the ruling.</w:t>
      </w:r>
      <w:r w:rsidR="00827C5F">
        <w:t xml:space="preserve"> </w:t>
      </w:r>
    </w:p>
    <w:p w14:paraId="18F85381" w14:textId="2531A83D" w:rsidR="006C0F6D" w:rsidRDefault="006C0F6D">
      <w:pPr>
        <w:pStyle w:val="Normalparatextwithnumbers"/>
        <w:numPr>
          <w:ilvl w:val="1"/>
          <w:numId w:val="3"/>
        </w:numPr>
      </w:pPr>
      <w:r>
        <w:t xml:space="preserve">This means that tax practitioners </w:t>
      </w:r>
      <w:r w:rsidR="00125F58">
        <w:t xml:space="preserve">and other promoters </w:t>
      </w:r>
      <w:r>
        <w:t>cannot be held accountable</w:t>
      </w:r>
      <w:r w:rsidR="008B662C">
        <w:t xml:space="preserve">, for example, </w:t>
      </w:r>
      <w:r w:rsidR="003A0897">
        <w:t xml:space="preserve">for promoting schemes to clients </w:t>
      </w:r>
      <w:r w:rsidR="00E4576F">
        <w:t>falsely</w:t>
      </w:r>
      <w:r w:rsidR="003A0897">
        <w:t xml:space="preserve"> representing that an arrangement listed on the </w:t>
      </w:r>
      <w:r w:rsidR="004C5C36">
        <w:t>public</w:t>
      </w:r>
      <w:r w:rsidR="003A0897">
        <w:t xml:space="preserve"> register</w:t>
      </w:r>
      <w:r w:rsidR="004C5C36">
        <w:t xml:space="preserve"> of private rulings (which contain</w:t>
      </w:r>
      <w:r w:rsidR="00E4576F">
        <w:t>s</w:t>
      </w:r>
      <w:r w:rsidR="004C5C36">
        <w:t xml:space="preserve"> edited </w:t>
      </w:r>
      <w:r w:rsidR="006F3C60">
        <w:t>versions</w:t>
      </w:r>
      <w:r w:rsidR="004C5C36">
        <w:t xml:space="preserve"> of private rulings </w:t>
      </w:r>
      <w:r w:rsidR="00E4576F">
        <w:t>with identifying information removed)</w:t>
      </w:r>
      <w:r w:rsidR="003A0897">
        <w:t xml:space="preserve"> has been endorsed by the ATO</w:t>
      </w:r>
      <w:r w:rsidR="004C5C36">
        <w:t xml:space="preserve"> </w:t>
      </w:r>
      <w:r w:rsidR="006F3C60">
        <w:t>when</w:t>
      </w:r>
      <w:r w:rsidR="004C5C36">
        <w:t xml:space="preserve"> in reality, the circumstances </w:t>
      </w:r>
      <w:r w:rsidR="007A5D0A">
        <w:t>o</w:t>
      </w:r>
      <w:r w:rsidR="00B845F2">
        <w:t>f</w:t>
      </w:r>
      <w:r w:rsidR="007A5D0A">
        <w:t xml:space="preserve"> the </w:t>
      </w:r>
      <w:r w:rsidR="009B154A">
        <w:t xml:space="preserve">promoted </w:t>
      </w:r>
      <w:r w:rsidR="007A5D0A">
        <w:t>scheme</w:t>
      </w:r>
      <w:r w:rsidR="009B154A">
        <w:t xml:space="preserve"> </w:t>
      </w:r>
      <w:r w:rsidR="004C5C36">
        <w:t xml:space="preserve">are </w:t>
      </w:r>
      <w:r w:rsidR="009B154A">
        <w:t>materially</w:t>
      </w:r>
      <w:r w:rsidR="004C5C36">
        <w:t xml:space="preserve"> different and the tax </w:t>
      </w:r>
      <w:r w:rsidR="006F3C60">
        <w:t>outcome</w:t>
      </w:r>
      <w:r w:rsidR="004C5C36">
        <w:t xml:space="preserve"> </w:t>
      </w:r>
      <w:r w:rsidR="009B154A">
        <w:t xml:space="preserve">described in the ruling </w:t>
      </w:r>
      <w:r w:rsidR="004C5C36">
        <w:t>is not available.</w:t>
      </w:r>
      <w:r w:rsidR="006940C3">
        <w:t xml:space="preserve"> </w:t>
      </w:r>
    </w:p>
    <w:p w14:paraId="70B62AE7" w14:textId="2D8BF26C" w:rsidR="00E82660" w:rsidRDefault="00E82660" w:rsidP="00E82660">
      <w:pPr>
        <w:pStyle w:val="Normalparatextwithnumbers"/>
        <w:numPr>
          <w:ilvl w:val="1"/>
          <w:numId w:val="3"/>
        </w:numPr>
      </w:pPr>
      <w:r w:rsidRPr="00E62195">
        <w:lastRenderedPageBreak/>
        <w:t xml:space="preserve">A ‘public ruling’ is a written ruling by the Commissioner on the way in which the Commissioner considers a relevant tax law applies, or would apply, to entities generally or to a class of entities, or in relation to a class of schemes or a particular scheme and includes product </w:t>
      </w:r>
      <w:r w:rsidR="00FD0EBA">
        <w:t>rulings.</w:t>
      </w:r>
      <w:r w:rsidRPr="00E62195">
        <w:t xml:space="preserve"> These rulings are published on the ATO website.</w:t>
      </w:r>
    </w:p>
    <w:p w14:paraId="1C508952" w14:textId="0A5F5DE4" w:rsidR="002B290F" w:rsidRPr="00E62195" w:rsidRDefault="002B290F" w:rsidP="00E82660">
      <w:pPr>
        <w:pStyle w:val="Normalparatextwithnumbers"/>
        <w:numPr>
          <w:ilvl w:val="1"/>
          <w:numId w:val="3"/>
        </w:numPr>
      </w:pPr>
      <w:r w:rsidRPr="00B21E36">
        <w:t xml:space="preserve">A ‘private ruling’ is a written ruling by the Commissioner on the way in which the Commissioner considers a relevant provision applies, or would apply, to a taxpayer in relation to a specified scheme. </w:t>
      </w:r>
      <w:r>
        <w:t xml:space="preserve">The </w:t>
      </w:r>
      <w:r w:rsidRPr="00201167">
        <w:t>ATO maintains a public register of private rulings which contain</w:t>
      </w:r>
      <w:r>
        <w:t>s</w:t>
      </w:r>
      <w:r w:rsidRPr="00201167">
        <w:t xml:space="preserve"> edited versions of most private rulings, with identifying information removed. However, key features of the specified scheme are often deleted from these edited versions to avoid the taxpayer from being identified</w:t>
      </w:r>
      <w:r w:rsidRPr="001155C0">
        <w:t>.</w:t>
      </w:r>
    </w:p>
    <w:p w14:paraId="4BB293B4" w14:textId="06C4317C" w:rsidR="002C115C" w:rsidRPr="00FA4388" w:rsidRDefault="00746DF1" w:rsidP="00FA4388">
      <w:pPr>
        <w:pStyle w:val="Normalparatextwithnumbers"/>
        <w:numPr>
          <w:ilvl w:val="1"/>
          <w:numId w:val="3"/>
        </w:numPr>
      </w:pPr>
      <w:r>
        <w:t xml:space="preserve">An ‘oral ruling’ </w:t>
      </w:r>
      <w:r w:rsidRPr="008813A4">
        <w:t xml:space="preserve">is an expression of the Commissioner’s opinion of the way </w:t>
      </w:r>
      <w:r w:rsidR="00244286">
        <w:t>i</w:t>
      </w:r>
      <w:r w:rsidRPr="008813A4">
        <w:t>n which a relevant provision applies, or would apply, to an individual</w:t>
      </w:r>
      <w:r>
        <w:t xml:space="preserve">.   </w:t>
      </w:r>
    </w:p>
    <w:p w14:paraId="5555C324" w14:textId="7629C8AF" w:rsidR="00583CFD" w:rsidRPr="00583CFD" w:rsidRDefault="00583CFD" w:rsidP="00182DFD">
      <w:pPr>
        <w:pStyle w:val="Heading2"/>
        <w:rPr>
          <w:rFonts w:hint="eastAsia"/>
          <w:highlight w:val="yellow"/>
        </w:rPr>
      </w:pPr>
    </w:p>
    <w:p w14:paraId="1BCB945A" w14:textId="77777777" w:rsidR="00873094" w:rsidRPr="00020288" w:rsidRDefault="00873094" w:rsidP="00AF50CE">
      <w:pPr>
        <w:pStyle w:val="Heading2"/>
        <w:rPr>
          <w:rFonts w:hint="eastAsia"/>
        </w:rPr>
      </w:pPr>
      <w:bookmarkStart w:id="39" w:name="_Toc145334222"/>
      <w:r w:rsidRPr="00AF50CE">
        <w:t>Comparison</w:t>
      </w:r>
      <w:r w:rsidRPr="00020288">
        <w:t xml:space="preserve"> of key features of new law and current law</w:t>
      </w:r>
      <w:bookmarkEnd w:id="39"/>
    </w:p>
    <w:p w14:paraId="5B7E718F"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730BA5" w:rsidRPr="00020288" w14:paraId="59BA6FED"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1CD77143"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020E9EA" w14:textId="77777777" w:rsidR="00873094" w:rsidRPr="00A61FE9" w:rsidRDefault="00873094" w:rsidP="00873094">
            <w:pPr>
              <w:pStyle w:val="Tableheaderrowtext"/>
              <w:numPr>
                <w:ilvl w:val="3"/>
                <w:numId w:val="2"/>
              </w:numPr>
              <w:ind w:left="1701" w:hanging="1701"/>
            </w:pPr>
            <w:r w:rsidRPr="00A61FE9">
              <w:t>Current law</w:t>
            </w:r>
          </w:p>
        </w:tc>
      </w:tr>
      <w:tr w:rsidR="00036BC6" w:rsidRPr="00020288" w14:paraId="16111C76" w14:textId="77777777" w:rsidTr="002425D9">
        <w:tc>
          <w:tcPr>
            <w:tcW w:w="3776" w:type="dxa"/>
          </w:tcPr>
          <w:p w14:paraId="6064C098" w14:textId="5E748874" w:rsidR="00036BC6" w:rsidRPr="00020288" w:rsidRDefault="00036BC6" w:rsidP="00036BC6">
            <w:pPr>
              <w:pStyle w:val="Tabletext"/>
            </w:pPr>
            <w:r>
              <w:t xml:space="preserve">The Commissioner may only apply to the Federal Court of Australia for an order that an entity has contravened the promoter penalty laws within </w:t>
            </w:r>
            <w:r w:rsidRPr="00036BC6">
              <w:rPr>
                <w:b/>
                <w:bCs/>
              </w:rPr>
              <w:t>six years</w:t>
            </w:r>
            <w:r>
              <w:t xml:space="preserve"> </w:t>
            </w:r>
            <w:r w:rsidR="008D01A0">
              <w:t xml:space="preserve">from the time </w:t>
            </w:r>
            <w:r>
              <w:t>the conduct that is alleged to have contravened the laws</w:t>
            </w:r>
            <w:r w:rsidR="008D01A0">
              <w:t xml:space="preserve"> is last engaged in</w:t>
            </w:r>
            <w:r>
              <w:t>.</w:t>
            </w:r>
          </w:p>
        </w:tc>
        <w:tc>
          <w:tcPr>
            <w:tcW w:w="3874" w:type="dxa"/>
          </w:tcPr>
          <w:p w14:paraId="143D7DD5" w14:textId="016E6BD2" w:rsidR="00036BC6" w:rsidRPr="00020288" w:rsidRDefault="00036BC6" w:rsidP="00036BC6">
            <w:pPr>
              <w:pStyle w:val="Tabletext"/>
            </w:pPr>
            <w:r>
              <w:t xml:space="preserve">The Commissioner may only apply to the Federal Court of Australia for an order that an entity has contravened the promoter penalty laws within </w:t>
            </w:r>
            <w:r w:rsidRPr="00036BC6">
              <w:rPr>
                <w:b/>
                <w:bCs/>
              </w:rPr>
              <w:t>four years</w:t>
            </w:r>
            <w:r>
              <w:t xml:space="preserve"> </w:t>
            </w:r>
            <w:r w:rsidR="008D01A0">
              <w:t xml:space="preserve">from the </w:t>
            </w:r>
            <w:r w:rsidR="00C91A41">
              <w:t xml:space="preserve">time </w:t>
            </w:r>
            <w:r>
              <w:t>the conduct that is alleged to have contravened the laws</w:t>
            </w:r>
            <w:r w:rsidR="00C91A41">
              <w:t xml:space="preserve"> was last engaged in</w:t>
            </w:r>
            <w:r>
              <w:t>.</w:t>
            </w:r>
          </w:p>
        </w:tc>
      </w:tr>
      <w:tr w:rsidR="00036BC6" w:rsidRPr="00020288" w14:paraId="5B20A2A3" w14:textId="77777777" w:rsidTr="002425D9">
        <w:tc>
          <w:tcPr>
            <w:tcW w:w="3776" w:type="dxa"/>
          </w:tcPr>
          <w:p w14:paraId="297DAAAB" w14:textId="496FB851" w:rsidR="00036BC6" w:rsidRPr="00020288" w:rsidRDefault="00EE4A5E" w:rsidP="00036BC6">
            <w:pPr>
              <w:pStyle w:val="Tabletext"/>
            </w:pPr>
            <w:r>
              <w:t>The promoter penalty laws apply where a scheme</w:t>
            </w:r>
            <w:r w:rsidDel="00CF0DE8">
              <w:t xml:space="preserve"> </w:t>
            </w:r>
            <w:r>
              <w:t xml:space="preserve">has been promoted </w:t>
            </w:r>
            <w:proofErr w:type="gramStart"/>
            <w:r>
              <w:t>on the basis of</w:t>
            </w:r>
            <w:proofErr w:type="gramEnd"/>
            <w:r>
              <w:t xml:space="preserve"> conformity with a </w:t>
            </w:r>
            <w:r w:rsidR="00AE24B0">
              <w:t>public ruling, product ruling or oral</w:t>
            </w:r>
            <w:r>
              <w:t xml:space="preserve"> ruling</w:t>
            </w:r>
            <w:r w:rsidR="002E0B05">
              <w:t xml:space="preserve"> </w:t>
            </w:r>
            <w:r w:rsidR="00CF0DE8">
              <w:t xml:space="preserve">but </w:t>
            </w:r>
            <w:r w:rsidR="00EC5BEE">
              <w:t>that scheme</w:t>
            </w:r>
            <w:r w:rsidR="00A86329">
              <w:t xml:space="preserve"> </w:t>
            </w:r>
            <w:r w:rsidR="006D023E">
              <w:t>is</w:t>
            </w:r>
            <w:r w:rsidR="00A86329">
              <w:t xml:space="preserve"> </w:t>
            </w:r>
            <w:r w:rsidRPr="00F35A8E">
              <w:t xml:space="preserve">materially different from </w:t>
            </w:r>
            <w:r w:rsidR="002E0B05">
              <w:t>the scheme</w:t>
            </w:r>
            <w:r w:rsidRPr="00F35A8E">
              <w:t xml:space="preserve"> described in the ruling</w:t>
            </w:r>
            <w:r w:rsidR="00D14151">
              <w:t xml:space="preserve"> (irrespective of whether the scheme has been implemented)</w:t>
            </w:r>
            <w:r>
              <w:t>.</w:t>
            </w:r>
            <w:r w:rsidR="00CF0DE8">
              <w:t xml:space="preserve"> </w:t>
            </w:r>
          </w:p>
        </w:tc>
        <w:tc>
          <w:tcPr>
            <w:tcW w:w="3874" w:type="dxa"/>
          </w:tcPr>
          <w:p w14:paraId="550926C1" w14:textId="66B616BB" w:rsidR="00036BC6" w:rsidRPr="00020288" w:rsidRDefault="00B07B2B" w:rsidP="00036BC6">
            <w:pPr>
              <w:pStyle w:val="Tabletext"/>
            </w:pPr>
            <w:r>
              <w:t xml:space="preserve">The promoter penalty laws </w:t>
            </w:r>
            <w:r w:rsidR="00726872">
              <w:t xml:space="preserve">apply </w:t>
            </w:r>
            <w:r w:rsidR="00EE4A5E">
              <w:t>where a</w:t>
            </w:r>
            <w:r w:rsidR="00726872">
              <w:t xml:space="preserve"> scheme </w:t>
            </w:r>
            <w:r w:rsidR="00EE4A5E">
              <w:t xml:space="preserve">has been promoted </w:t>
            </w:r>
            <w:proofErr w:type="gramStart"/>
            <w:r w:rsidR="00EE4A5E">
              <w:t>on the basis of</w:t>
            </w:r>
            <w:proofErr w:type="gramEnd"/>
            <w:r w:rsidR="00EE4A5E">
              <w:t xml:space="preserve"> conformity with a product ruling, but</w:t>
            </w:r>
            <w:r w:rsidR="00726872">
              <w:t xml:space="preserve"> implemented </w:t>
            </w:r>
            <w:r w:rsidR="00F35A8E" w:rsidRPr="00F35A8E">
              <w:t>in a way that is materially different from that described in the product ruling</w:t>
            </w:r>
            <w:r w:rsidR="00EE4A5E">
              <w:t>.</w:t>
            </w:r>
          </w:p>
        </w:tc>
      </w:tr>
      <w:tr w:rsidR="00FA4388" w:rsidRPr="00FA4388" w14:paraId="79F0271B" w14:textId="77777777" w:rsidTr="002425D9">
        <w:tc>
          <w:tcPr>
            <w:tcW w:w="3776" w:type="dxa"/>
          </w:tcPr>
          <w:p w14:paraId="2712577A" w14:textId="0267552E" w:rsidR="00036BC6" w:rsidRPr="00FA4388" w:rsidRDefault="005975A5" w:rsidP="00036BC6">
            <w:pPr>
              <w:pStyle w:val="Tabletext"/>
            </w:pPr>
            <w:r w:rsidRPr="00FA4388">
              <w:t>The maximum penalty under the promoter penalty laws</w:t>
            </w:r>
            <w:r w:rsidR="00144727" w:rsidRPr="00FA4388">
              <w:t xml:space="preserve"> is the greate</w:t>
            </w:r>
            <w:r w:rsidR="00BC038E" w:rsidRPr="00FA4388">
              <w:t>st</w:t>
            </w:r>
            <w:r w:rsidR="00144727" w:rsidRPr="00FA4388">
              <w:t xml:space="preserve"> of:</w:t>
            </w:r>
          </w:p>
          <w:p w14:paraId="15CEA5BB" w14:textId="3C41645E" w:rsidR="00144727" w:rsidRPr="00FA4388" w:rsidRDefault="00144727" w:rsidP="00144727">
            <w:pPr>
              <w:pStyle w:val="Bullet"/>
              <w:rPr>
                <w:color w:val="auto"/>
                <w:sz w:val="20"/>
                <w:szCs w:val="20"/>
              </w:rPr>
            </w:pPr>
            <w:r w:rsidRPr="00FA4388">
              <w:rPr>
                <w:color w:val="auto"/>
                <w:sz w:val="20"/>
                <w:szCs w:val="20"/>
              </w:rPr>
              <w:lastRenderedPageBreak/>
              <w:t xml:space="preserve">5,000 penalty units (for an individual) or </w:t>
            </w:r>
            <w:r w:rsidR="003E7CA2" w:rsidRPr="00FA4388">
              <w:rPr>
                <w:color w:val="auto"/>
                <w:sz w:val="20"/>
                <w:szCs w:val="20"/>
              </w:rPr>
              <w:t>50</w:t>
            </w:r>
            <w:r w:rsidRPr="00FA4388">
              <w:rPr>
                <w:color w:val="auto"/>
                <w:sz w:val="20"/>
                <w:szCs w:val="20"/>
              </w:rPr>
              <w:t>,000 penalty units (for a body corporate</w:t>
            </w:r>
            <w:r w:rsidR="00066AE5" w:rsidRPr="00FA4388">
              <w:rPr>
                <w:color w:val="auto"/>
                <w:sz w:val="20"/>
                <w:szCs w:val="20"/>
              </w:rPr>
              <w:t xml:space="preserve"> or SGE</w:t>
            </w:r>
            <w:proofErr w:type="gramStart"/>
            <w:r w:rsidRPr="00FA4388">
              <w:rPr>
                <w:color w:val="auto"/>
                <w:sz w:val="20"/>
                <w:szCs w:val="20"/>
              </w:rPr>
              <w:t>);</w:t>
            </w:r>
            <w:proofErr w:type="gramEnd"/>
          </w:p>
          <w:p w14:paraId="4FC18130" w14:textId="083D20CE" w:rsidR="00144727" w:rsidRPr="00FA4388" w:rsidRDefault="00183201" w:rsidP="00DC52ED">
            <w:pPr>
              <w:pStyle w:val="Bullet"/>
              <w:rPr>
                <w:color w:val="auto"/>
                <w:sz w:val="20"/>
                <w:szCs w:val="20"/>
              </w:rPr>
            </w:pPr>
            <w:r w:rsidRPr="00FA4388">
              <w:rPr>
                <w:color w:val="auto"/>
                <w:sz w:val="20"/>
                <w:szCs w:val="20"/>
              </w:rPr>
              <w:t>3 times</w:t>
            </w:r>
            <w:r w:rsidR="00144727" w:rsidRPr="00FA4388">
              <w:rPr>
                <w:color w:val="auto"/>
                <w:sz w:val="20"/>
                <w:szCs w:val="20"/>
              </w:rPr>
              <w:t xml:space="preserve"> the </w:t>
            </w:r>
            <w:r w:rsidR="000F201D">
              <w:rPr>
                <w:color w:val="auto"/>
                <w:sz w:val="20"/>
                <w:szCs w:val="20"/>
              </w:rPr>
              <w:t>benefits</w:t>
            </w:r>
            <w:r w:rsidR="00144727" w:rsidRPr="00FA4388">
              <w:rPr>
                <w:color w:val="auto"/>
                <w:sz w:val="20"/>
                <w:szCs w:val="20"/>
              </w:rPr>
              <w:t xml:space="preserve"> received or receivable (directly or indirectly) by the entity and associates of the entity in respect of the </w:t>
            </w:r>
            <w:proofErr w:type="gramStart"/>
            <w:r w:rsidR="00144727" w:rsidRPr="00FA4388">
              <w:rPr>
                <w:color w:val="auto"/>
                <w:sz w:val="20"/>
                <w:szCs w:val="20"/>
              </w:rPr>
              <w:t>scheme</w:t>
            </w:r>
            <w:r w:rsidRPr="00FA4388">
              <w:rPr>
                <w:color w:val="auto"/>
                <w:sz w:val="20"/>
                <w:szCs w:val="20"/>
              </w:rPr>
              <w:t>;</w:t>
            </w:r>
            <w:proofErr w:type="gramEnd"/>
          </w:p>
          <w:p w14:paraId="0E0C2FF8" w14:textId="6564B6D2" w:rsidR="008C68F4" w:rsidRPr="00FA4388" w:rsidRDefault="009A3C28" w:rsidP="00FA4388">
            <w:pPr>
              <w:pStyle w:val="Bullet"/>
              <w:rPr>
                <w:color w:val="auto"/>
              </w:rPr>
            </w:pPr>
            <w:r w:rsidRPr="00FA4388">
              <w:rPr>
                <w:color w:val="auto"/>
                <w:sz w:val="20"/>
                <w:szCs w:val="20"/>
              </w:rPr>
              <w:t>For a body corporate</w:t>
            </w:r>
            <w:r w:rsidR="00977F9D" w:rsidRPr="00FA4388">
              <w:rPr>
                <w:color w:val="auto"/>
                <w:sz w:val="20"/>
                <w:szCs w:val="20"/>
              </w:rPr>
              <w:t xml:space="preserve"> or SGE</w:t>
            </w:r>
            <w:r w:rsidRPr="00FA4388">
              <w:rPr>
                <w:color w:val="auto"/>
                <w:sz w:val="20"/>
                <w:szCs w:val="20"/>
              </w:rPr>
              <w:t xml:space="preserve">, </w:t>
            </w:r>
            <w:r w:rsidR="00961876" w:rsidRPr="00FA4388">
              <w:rPr>
                <w:color w:val="auto"/>
                <w:sz w:val="20"/>
                <w:szCs w:val="20"/>
              </w:rPr>
              <w:t xml:space="preserve">10% of the aggregated turnover of the entity for the most recent income year to end before the entity </w:t>
            </w:r>
            <w:r w:rsidR="006670B0" w:rsidRPr="00FA4388">
              <w:rPr>
                <w:color w:val="auto"/>
                <w:sz w:val="20"/>
                <w:szCs w:val="20"/>
              </w:rPr>
              <w:t xml:space="preserve">engaged in conduct that </w:t>
            </w:r>
            <w:r w:rsidR="00961876" w:rsidRPr="00FA4388">
              <w:rPr>
                <w:color w:val="auto"/>
                <w:sz w:val="20"/>
                <w:szCs w:val="20"/>
              </w:rPr>
              <w:t>contravene</w:t>
            </w:r>
            <w:r w:rsidR="00CC79C9" w:rsidRPr="00FA4388">
              <w:rPr>
                <w:color w:val="auto"/>
                <w:sz w:val="20"/>
                <w:szCs w:val="20"/>
              </w:rPr>
              <w:t>s</w:t>
            </w:r>
            <w:r w:rsidR="0089166D" w:rsidRPr="00FA4388">
              <w:rPr>
                <w:color w:val="auto"/>
                <w:sz w:val="20"/>
                <w:szCs w:val="20"/>
              </w:rPr>
              <w:t xml:space="preserve"> the </w:t>
            </w:r>
            <w:r w:rsidR="00FB46B7" w:rsidRPr="00FA4388">
              <w:rPr>
                <w:color w:val="auto"/>
                <w:sz w:val="20"/>
                <w:szCs w:val="20"/>
              </w:rPr>
              <w:t xml:space="preserve">promoter penalty </w:t>
            </w:r>
            <w:r w:rsidR="00306A5E" w:rsidRPr="00FA4388">
              <w:rPr>
                <w:color w:val="auto"/>
                <w:sz w:val="20"/>
                <w:szCs w:val="20"/>
              </w:rPr>
              <w:t>laws, capped at</w:t>
            </w:r>
            <w:r w:rsidR="00352A75" w:rsidRPr="00FA4388">
              <w:rPr>
                <w:color w:val="auto"/>
                <w:sz w:val="20"/>
                <w:szCs w:val="20"/>
              </w:rPr>
              <w:t xml:space="preserve"> 2.5 million penalty units.</w:t>
            </w:r>
          </w:p>
        </w:tc>
        <w:tc>
          <w:tcPr>
            <w:tcW w:w="3874" w:type="dxa"/>
          </w:tcPr>
          <w:p w14:paraId="1EDD3D5B" w14:textId="7CCF0F2B" w:rsidR="00036BC6" w:rsidRPr="00FA4388" w:rsidRDefault="003E487B" w:rsidP="00036BC6">
            <w:pPr>
              <w:pStyle w:val="Tabletext"/>
            </w:pPr>
            <w:r w:rsidRPr="00FA4388">
              <w:lastRenderedPageBreak/>
              <w:t xml:space="preserve">The maximum penalty under the promoter penalty laws is </w:t>
            </w:r>
            <w:r w:rsidR="005B6CDF" w:rsidRPr="00FA4388">
              <w:t>the greater of</w:t>
            </w:r>
            <w:r w:rsidR="008A30D1" w:rsidRPr="00FA4388">
              <w:t>:</w:t>
            </w:r>
          </w:p>
          <w:p w14:paraId="70659F59" w14:textId="30DFE14C" w:rsidR="008A30D1" w:rsidRPr="00FA4388" w:rsidRDefault="00932CCF" w:rsidP="008A30D1">
            <w:pPr>
              <w:pStyle w:val="Bullet"/>
              <w:rPr>
                <w:color w:val="auto"/>
                <w:sz w:val="20"/>
                <w:szCs w:val="20"/>
              </w:rPr>
            </w:pPr>
            <w:r w:rsidRPr="00FA4388">
              <w:rPr>
                <w:color w:val="auto"/>
                <w:sz w:val="20"/>
                <w:szCs w:val="20"/>
              </w:rPr>
              <w:lastRenderedPageBreak/>
              <w:t>5,000 penalty units (for an individual) or 25,000 penalty units (for a body corporate);</w:t>
            </w:r>
            <w:r w:rsidR="00C70BF7" w:rsidRPr="00FA4388">
              <w:rPr>
                <w:color w:val="auto"/>
                <w:sz w:val="20"/>
                <w:szCs w:val="20"/>
              </w:rPr>
              <w:t xml:space="preserve"> and</w:t>
            </w:r>
          </w:p>
          <w:p w14:paraId="0498EE07" w14:textId="10682D37" w:rsidR="00932CCF" w:rsidRPr="00FA4388" w:rsidRDefault="005975A5" w:rsidP="005975A5">
            <w:pPr>
              <w:pStyle w:val="Bullet"/>
              <w:rPr>
                <w:color w:val="auto"/>
              </w:rPr>
            </w:pPr>
            <w:r w:rsidRPr="00FA4388">
              <w:rPr>
                <w:color w:val="auto"/>
                <w:sz w:val="20"/>
                <w:szCs w:val="20"/>
              </w:rPr>
              <w:t>twice the consideration received or receivable (directly or indirectly) by the entity and associates of the entity in respect of the scheme.</w:t>
            </w:r>
          </w:p>
        </w:tc>
      </w:tr>
      <w:tr w:rsidR="00036BC6" w:rsidRPr="00020288" w14:paraId="13E1B939" w14:textId="77777777" w:rsidTr="002425D9">
        <w:tc>
          <w:tcPr>
            <w:tcW w:w="3776" w:type="dxa"/>
          </w:tcPr>
          <w:p w14:paraId="0D19293A" w14:textId="28C5B9AE" w:rsidR="00036BC6" w:rsidRPr="00020288" w:rsidRDefault="009B6BB5" w:rsidP="00036BC6">
            <w:pPr>
              <w:pStyle w:val="Tabletext"/>
            </w:pPr>
            <w:r>
              <w:lastRenderedPageBreak/>
              <w:t xml:space="preserve">An entity can be considered a promoter of a tax exploitation scheme if </w:t>
            </w:r>
            <w:r w:rsidRPr="006A7234">
              <w:t>the entity</w:t>
            </w:r>
            <w:r>
              <w:t>,</w:t>
            </w:r>
            <w:r w:rsidRPr="006A7234">
              <w:t xml:space="preserve"> or an associate of the entity</w:t>
            </w:r>
            <w:r>
              <w:t>,</w:t>
            </w:r>
            <w:r w:rsidRPr="006A7234">
              <w:t xml:space="preserve"> receives (directly or indirectly) </w:t>
            </w:r>
            <w:r w:rsidR="004034F4">
              <w:t xml:space="preserve">a </w:t>
            </w:r>
            <w:r w:rsidR="004034F4" w:rsidRPr="0075780C">
              <w:rPr>
                <w:b/>
                <w:bCs/>
              </w:rPr>
              <w:t>benefit</w:t>
            </w:r>
            <w:r w:rsidRPr="006A7234">
              <w:t xml:space="preserve"> in respect of th</w:t>
            </w:r>
            <w:r>
              <w:t xml:space="preserve">e marketing or encouragement of that scheme </w:t>
            </w:r>
          </w:p>
        </w:tc>
        <w:tc>
          <w:tcPr>
            <w:tcW w:w="3874" w:type="dxa"/>
          </w:tcPr>
          <w:p w14:paraId="194F57A3" w14:textId="315A8AEC" w:rsidR="00036BC6" w:rsidRPr="00020288" w:rsidRDefault="00F80968" w:rsidP="00036BC6">
            <w:pPr>
              <w:pStyle w:val="Tabletext"/>
            </w:pPr>
            <w:r>
              <w:t xml:space="preserve">An entity </w:t>
            </w:r>
            <w:r w:rsidR="009B6BB5">
              <w:t>can only be</w:t>
            </w:r>
            <w:r w:rsidR="006A7234">
              <w:t xml:space="preserve"> considered a</w:t>
            </w:r>
            <w:r>
              <w:t xml:space="preserve"> promoter of a tax exploitation scheme </w:t>
            </w:r>
            <w:r w:rsidR="006A7234">
              <w:t>if</w:t>
            </w:r>
            <w:r>
              <w:t xml:space="preserve"> </w:t>
            </w:r>
            <w:r w:rsidR="006A7234" w:rsidRPr="006A7234">
              <w:t>the entity</w:t>
            </w:r>
            <w:r w:rsidR="006A7234">
              <w:t>,</w:t>
            </w:r>
            <w:r w:rsidR="006A7234" w:rsidRPr="006A7234">
              <w:t xml:space="preserve"> or an associate of the entity</w:t>
            </w:r>
            <w:r w:rsidR="006A7234">
              <w:t>,</w:t>
            </w:r>
            <w:r w:rsidR="006A7234" w:rsidRPr="006A7234">
              <w:t xml:space="preserve"> receives (directly or indirectly) </w:t>
            </w:r>
            <w:r w:rsidR="006A7234" w:rsidRPr="0075780C">
              <w:rPr>
                <w:b/>
                <w:bCs/>
              </w:rPr>
              <w:t>consideration</w:t>
            </w:r>
            <w:r w:rsidR="006A7234" w:rsidRPr="006A7234">
              <w:t xml:space="preserve"> in respect of th</w:t>
            </w:r>
            <w:r w:rsidR="006A7234">
              <w:t xml:space="preserve">e marketing or encouragement of </w:t>
            </w:r>
            <w:r w:rsidR="009B6BB5">
              <w:t>that scheme</w:t>
            </w:r>
          </w:p>
        </w:tc>
      </w:tr>
      <w:tr w:rsidR="00D33F64" w:rsidRPr="00020288" w14:paraId="3AF6B465" w14:textId="77777777" w:rsidTr="002425D9">
        <w:tc>
          <w:tcPr>
            <w:tcW w:w="3776" w:type="dxa"/>
          </w:tcPr>
          <w:p w14:paraId="67D70169" w14:textId="66321F53" w:rsidR="00D33F64" w:rsidRDefault="00A77985" w:rsidP="00036BC6">
            <w:pPr>
              <w:pStyle w:val="Tabletext"/>
            </w:pPr>
            <w:r>
              <w:t xml:space="preserve">A scheme </w:t>
            </w:r>
            <w:r w:rsidR="000D343E">
              <w:t xml:space="preserve">is </w:t>
            </w:r>
            <w:r>
              <w:t>a tax exploitation scheme, whether implemented or not, where</w:t>
            </w:r>
            <w:r w:rsidR="002E08A4">
              <w:t xml:space="preserve"> the scheme </w:t>
            </w:r>
            <w:r w:rsidR="000D343E">
              <w:t xml:space="preserve">satisfies, or it is reasonable to conclude that it </w:t>
            </w:r>
            <w:proofErr w:type="gramStart"/>
            <w:r w:rsidR="000D343E">
              <w:t>is capable of satisfying</w:t>
            </w:r>
            <w:proofErr w:type="gramEnd"/>
            <w:r w:rsidR="0069259B">
              <w:t xml:space="preserve"> </w:t>
            </w:r>
            <w:r w:rsidR="00EA5C8A">
              <w:t xml:space="preserve">the MAAL or DPT provisions in </w:t>
            </w:r>
            <w:r w:rsidR="0069259B">
              <w:t>sections</w:t>
            </w:r>
            <w:r w:rsidR="002E08A4" w:rsidRPr="002E08A4">
              <w:t xml:space="preserve"> 177DA </w:t>
            </w:r>
            <w:r w:rsidR="00EA5C8A">
              <w:t>and</w:t>
            </w:r>
            <w:r w:rsidR="002E08A4" w:rsidRPr="002E08A4">
              <w:t xml:space="preserve"> 177J </w:t>
            </w:r>
            <w:r w:rsidR="002E08A4">
              <w:t>of the ITAA 1936</w:t>
            </w:r>
            <w:r w:rsidR="00EA5C8A">
              <w:t>, respectively</w:t>
            </w:r>
            <w:r>
              <w:t>.</w:t>
            </w:r>
          </w:p>
        </w:tc>
        <w:tc>
          <w:tcPr>
            <w:tcW w:w="3874" w:type="dxa"/>
          </w:tcPr>
          <w:p w14:paraId="3E5E1920" w14:textId="16E1C33E" w:rsidR="00D33F64" w:rsidRDefault="00D33F64" w:rsidP="00036BC6">
            <w:pPr>
              <w:pStyle w:val="Tabletext"/>
            </w:pPr>
            <w:r>
              <w:t>A scheme can be considered a tax exploitation scheme</w:t>
            </w:r>
            <w:r w:rsidR="00914A59">
              <w:t>, whether implemented or not,</w:t>
            </w:r>
            <w:r>
              <w:t xml:space="preserve"> where </w:t>
            </w:r>
            <w:r w:rsidR="00C61442">
              <w:t xml:space="preserve">it is reasonable to conclude </w:t>
            </w:r>
            <w:r>
              <w:t xml:space="preserve">the scheme has </w:t>
            </w:r>
            <w:r w:rsidR="00851E62">
              <w:t xml:space="preserve">been carried out with the sole or dominant purpose of an entity </w:t>
            </w:r>
            <w:r w:rsidR="00A77985">
              <w:t>obtaining a scheme benefit.</w:t>
            </w:r>
          </w:p>
        </w:tc>
      </w:tr>
      <w:tr w:rsidR="007870D9" w:rsidRPr="00020288" w14:paraId="1D83E893" w14:textId="77777777" w:rsidTr="002425D9">
        <w:tc>
          <w:tcPr>
            <w:tcW w:w="3776" w:type="dxa"/>
          </w:tcPr>
          <w:p w14:paraId="5C17728D" w14:textId="77777777" w:rsidR="00AA60E7" w:rsidRDefault="007870D9" w:rsidP="007870D9">
            <w:pPr>
              <w:pStyle w:val="Tabletext"/>
            </w:pPr>
            <w:r>
              <w:t xml:space="preserve">The promoter penalty laws apply </w:t>
            </w:r>
            <w:r w:rsidR="00F00C56">
              <w:t xml:space="preserve">in respect of conduct </w:t>
            </w:r>
            <w:r w:rsidR="00AA60E7">
              <w:t>that results in:</w:t>
            </w:r>
          </w:p>
          <w:p w14:paraId="18BA7161" w14:textId="46975E73" w:rsidR="009A46F4" w:rsidRDefault="007870D9" w:rsidP="00AA60E7">
            <w:pPr>
              <w:pStyle w:val="Tabletext"/>
              <w:numPr>
                <w:ilvl w:val="0"/>
                <w:numId w:val="31"/>
              </w:numPr>
            </w:pPr>
            <w:r>
              <w:t>a scheme</w:t>
            </w:r>
            <w:r w:rsidR="00E835D0">
              <w:t>,</w:t>
            </w:r>
            <w:r>
              <w:t xml:space="preserve"> </w:t>
            </w:r>
            <w:proofErr w:type="gramStart"/>
            <w:r w:rsidR="00FE375F">
              <w:t>that</w:t>
            </w:r>
            <w:proofErr w:type="gramEnd"/>
            <w:r>
              <w:t xml:space="preserve"> </w:t>
            </w:r>
            <w:r w:rsidR="00F03C1A">
              <w:t xml:space="preserve">is materially different </w:t>
            </w:r>
            <w:r w:rsidR="00F2594A">
              <w:t>from th</w:t>
            </w:r>
            <w:r w:rsidR="00D23D88">
              <w:t>at outlined in a</w:t>
            </w:r>
            <w:r>
              <w:t xml:space="preserve"> </w:t>
            </w:r>
            <w:r w:rsidRPr="0075780C">
              <w:rPr>
                <w:b/>
                <w:bCs/>
              </w:rPr>
              <w:t>public, private or oral</w:t>
            </w:r>
            <w:r w:rsidRPr="0075780C">
              <w:t xml:space="preserve"> </w:t>
            </w:r>
            <w:r w:rsidR="00E907BB" w:rsidRPr="00DE6D8A">
              <w:t>ruling</w:t>
            </w:r>
            <w:r w:rsidR="00E835D0">
              <w:t>,</w:t>
            </w:r>
            <w:r w:rsidR="00E907BB">
              <w:t xml:space="preserve"> </w:t>
            </w:r>
            <w:r w:rsidR="00723B15">
              <w:t>being promoted</w:t>
            </w:r>
            <w:r w:rsidR="005D323B">
              <w:t xml:space="preserve"> </w:t>
            </w:r>
            <w:r w:rsidR="00C91309">
              <w:t>on the basis of con</w:t>
            </w:r>
            <w:r w:rsidR="005D323B">
              <w:t xml:space="preserve">forming with </w:t>
            </w:r>
            <w:r w:rsidR="00DF6735">
              <w:t>the</w:t>
            </w:r>
            <w:r w:rsidR="005D323B">
              <w:t xml:space="preserve"> ruling</w:t>
            </w:r>
            <w:r w:rsidR="00723B15">
              <w:t xml:space="preserve"> </w:t>
            </w:r>
            <w:r w:rsidR="00E907BB">
              <w:t xml:space="preserve">(irrespective of whether the scheme is </w:t>
            </w:r>
            <w:r w:rsidR="00820EB8">
              <w:t>implemented or not)</w:t>
            </w:r>
            <w:r w:rsidR="00743686">
              <w:t>;</w:t>
            </w:r>
          </w:p>
          <w:p w14:paraId="0C2E22F9" w14:textId="0C592566" w:rsidR="009A46F4" w:rsidRDefault="009A46F4" w:rsidP="009A46F4">
            <w:pPr>
              <w:pStyle w:val="Tabletext"/>
              <w:numPr>
                <w:ilvl w:val="0"/>
                <w:numId w:val="31"/>
              </w:numPr>
            </w:pPr>
            <w:r>
              <w:t>a scheme</w:t>
            </w:r>
            <w:r w:rsidR="002376F3">
              <w:t xml:space="preserve">, </w:t>
            </w:r>
            <w:proofErr w:type="gramStart"/>
            <w:r w:rsidR="002376F3">
              <w:t>that</w:t>
            </w:r>
            <w:proofErr w:type="gramEnd"/>
            <w:r w:rsidR="002376F3">
              <w:t xml:space="preserve"> has been promoted </w:t>
            </w:r>
            <w:r w:rsidR="005521CB">
              <w:t>on the basis of conforming with a ruling,</w:t>
            </w:r>
            <w:r>
              <w:t xml:space="preserve"> being implemented </w:t>
            </w:r>
            <w:r w:rsidR="002376F3">
              <w:t xml:space="preserve">in a way that is materially different </w:t>
            </w:r>
            <w:r w:rsidR="00A61AA8">
              <w:t>from that outlined in the ruling, regardless of whether the scheme is the subject of the ruling.</w:t>
            </w:r>
            <w:r w:rsidR="002376F3">
              <w:t xml:space="preserve"> </w:t>
            </w:r>
          </w:p>
          <w:p w14:paraId="790B4ED0" w14:textId="2C9CE059" w:rsidR="00E907BB" w:rsidRDefault="00E907BB" w:rsidP="002918A2">
            <w:pPr>
              <w:pStyle w:val="Tabletext"/>
              <w:ind w:left="394"/>
            </w:pPr>
          </w:p>
        </w:tc>
        <w:tc>
          <w:tcPr>
            <w:tcW w:w="3874" w:type="dxa"/>
          </w:tcPr>
          <w:p w14:paraId="41DB84D6" w14:textId="2930992C" w:rsidR="007870D9" w:rsidRDefault="007870D9" w:rsidP="007870D9">
            <w:pPr>
              <w:pStyle w:val="Tabletext"/>
            </w:pPr>
            <w:r>
              <w:t xml:space="preserve">The promoter penalty laws apply </w:t>
            </w:r>
            <w:r w:rsidR="002E0CC5">
              <w:t>in respect of conduct</w:t>
            </w:r>
            <w:r w:rsidR="00171137">
              <w:t xml:space="preserve"> that results in </w:t>
            </w:r>
            <w:r>
              <w:t>a scheme</w:t>
            </w:r>
            <w:r w:rsidR="008615FF">
              <w:t xml:space="preserve">, </w:t>
            </w:r>
            <w:proofErr w:type="gramStart"/>
            <w:r w:rsidR="008615FF">
              <w:t>that</w:t>
            </w:r>
            <w:proofErr w:type="gramEnd"/>
            <w:r w:rsidR="008615FF">
              <w:t xml:space="preserve"> has</w:t>
            </w:r>
            <w:r>
              <w:t xml:space="preserve"> been promoted on the basis of </w:t>
            </w:r>
            <w:r w:rsidR="00E04533">
              <w:t xml:space="preserve">conformity </w:t>
            </w:r>
            <w:r>
              <w:t xml:space="preserve">with a </w:t>
            </w:r>
            <w:r w:rsidRPr="0075780C">
              <w:rPr>
                <w:b/>
                <w:bCs/>
              </w:rPr>
              <w:t>product ruling</w:t>
            </w:r>
            <w:r w:rsidR="00F53C52">
              <w:rPr>
                <w:b/>
                <w:bCs/>
              </w:rPr>
              <w:t>,</w:t>
            </w:r>
            <w:r>
              <w:t xml:space="preserve"> </w:t>
            </w:r>
            <w:r w:rsidR="00171137">
              <w:t>being implemented in a materially different way from that outlined in the ruling</w:t>
            </w:r>
            <w:r>
              <w:t>.</w:t>
            </w:r>
          </w:p>
        </w:tc>
      </w:tr>
    </w:tbl>
    <w:p w14:paraId="3A06FE07" w14:textId="77777777" w:rsidR="00873094" w:rsidRPr="00020288" w:rsidRDefault="00873094" w:rsidP="00873094">
      <w:pPr>
        <w:pStyle w:val="Heading2"/>
        <w:numPr>
          <w:ilvl w:val="1"/>
          <w:numId w:val="2"/>
        </w:numPr>
        <w:tabs>
          <w:tab w:val="num" w:pos="567"/>
        </w:tabs>
        <w:ind w:left="567" w:hanging="567"/>
        <w:rPr>
          <w:rFonts w:hint="eastAsia"/>
        </w:rPr>
      </w:pPr>
      <w:bookmarkStart w:id="40" w:name="_Toc145334223"/>
      <w:r w:rsidRPr="00020288">
        <w:lastRenderedPageBreak/>
        <w:t>Detailed explanation of new law</w:t>
      </w:r>
      <w:bookmarkEnd w:id="40"/>
    </w:p>
    <w:p w14:paraId="09FB206B" w14:textId="73158DB3" w:rsidR="00621127" w:rsidRPr="00E94853" w:rsidRDefault="005D12D3" w:rsidP="00621127">
      <w:pPr>
        <w:pStyle w:val="Heading3"/>
        <w:rPr>
          <w:rFonts w:hint="eastAsia"/>
        </w:rPr>
      </w:pPr>
      <w:bookmarkStart w:id="41" w:name="_Toc145320940"/>
      <w:bookmarkStart w:id="42" w:name="_Toc145334224"/>
      <w:r w:rsidRPr="00E94853">
        <w:t>Extending t</w:t>
      </w:r>
      <w:r w:rsidR="00724B46" w:rsidRPr="00E94853">
        <w:t xml:space="preserve">ime limitation for ATO to commence civil </w:t>
      </w:r>
      <w:proofErr w:type="gramStart"/>
      <w:r w:rsidR="00724B46" w:rsidRPr="00E94853">
        <w:t>proceedings</w:t>
      </w:r>
      <w:bookmarkEnd w:id="41"/>
      <w:bookmarkEnd w:id="42"/>
      <w:proofErr w:type="gramEnd"/>
    </w:p>
    <w:p w14:paraId="1FDB62EE" w14:textId="4A4787A1" w:rsidR="000A1462" w:rsidRDefault="000A1462" w:rsidP="00621127">
      <w:pPr>
        <w:pStyle w:val="Normalparatextwithnumbers"/>
        <w:numPr>
          <w:ilvl w:val="1"/>
          <w:numId w:val="3"/>
        </w:numPr>
      </w:pPr>
      <w:r>
        <w:t xml:space="preserve">The </w:t>
      </w:r>
      <w:r w:rsidR="00C74016">
        <w:t>current</w:t>
      </w:r>
      <w:r>
        <w:t xml:space="preserve"> promoter penalty laws provide</w:t>
      </w:r>
      <w:r w:rsidR="00326B8C">
        <w:t xml:space="preserve"> a </w:t>
      </w:r>
      <w:r w:rsidR="00ED4F5F">
        <w:t>four</w:t>
      </w:r>
      <w:r w:rsidR="004B56DC">
        <w:t>-</w:t>
      </w:r>
      <w:r w:rsidR="00ED4F5F">
        <w:t xml:space="preserve">year </w:t>
      </w:r>
      <w:r w:rsidR="007865A0">
        <w:t>period</w:t>
      </w:r>
      <w:r w:rsidR="00ED4F5F">
        <w:t xml:space="preserve"> within which</w:t>
      </w:r>
      <w:r>
        <w:t xml:space="preserve"> the Commissioner may </w:t>
      </w:r>
      <w:proofErr w:type="gramStart"/>
      <w:r w:rsidR="00DA1699">
        <w:t>take action</w:t>
      </w:r>
      <w:proofErr w:type="gramEnd"/>
      <w:r w:rsidR="00DA1699">
        <w:t xml:space="preserve"> against an entity on the basis </w:t>
      </w:r>
      <w:r w:rsidR="00326B8C">
        <w:t xml:space="preserve">of their involvement in the promotion of </w:t>
      </w:r>
      <w:r w:rsidR="00ED4F5F">
        <w:t>a tax exploitation</w:t>
      </w:r>
      <w:r w:rsidR="00326B8C">
        <w:t xml:space="preserve"> scheme</w:t>
      </w:r>
      <w:r w:rsidR="00ED4F5F">
        <w:t>.</w:t>
      </w:r>
      <w:r w:rsidR="00326B8C">
        <w:t xml:space="preserve"> </w:t>
      </w:r>
      <w:r w:rsidR="007865A0">
        <w:t xml:space="preserve">The Commissioner may only </w:t>
      </w:r>
      <w:proofErr w:type="gramStart"/>
      <w:r w:rsidR="007865A0">
        <w:t>take action</w:t>
      </w:r>
      <w:proofErr w:type="gramEnd"/>
      <w:r w:rsidR="007865A0">
        <w:t xml:space="preserve"> against the entity within this period</w:t>
      </w:r>
      <w:r w:rsidR="00397945">
        <w:t xml:space="preserve">, which commences from the time the entity last engaged in </w:t>
      </w:r>
      <w:r w:rsidR="00941CA4">
        <w:t>conduct</w:t>
      </w:r>
      <w:r w:rsidR="004159EF">
        <w:t xml:space="preserve"> that </w:t>
      </w:r>
      <w:r w:rsidR="0022385D">
        <w:t>contravenes</w:t>
      </w:r>
      <w:r w:rsidR="004159EF">
        <w:t xml:space="preserve"> the </w:t>
      </w:r>
      <w:r w:rsidR="00811234">
        <w:t>promoter penalty provisions</w:t>
      </w:r>
      <w:r w:rsidR="007865A0">
        <w:t>.</w:t>
      </w:r>
    </w:p>
    <w:p w14:paraId="02174C17" w14:textId="0047D3D6" w:rsidR="00621127" w:rsidRDefault="0070313D" w:rsidP="00621127">
      <w:pPr>
        <w:pStyle w:val="Normalparatextwithnumbers"/>
        <w:numPr>
          <w:ilvl w:val="1"/>
          <w:numId w:val="3"/>
        </w:numPr>
      </w:pPr>
      <w:r>
        <w:t>Schedule # to t</w:t>
      </w:r>
      <w:r w:rsidR="00621127" w:rsidRPr="00AD33E6">
        <w:t xml:space="preserve">he Bill </w:t>
      </w:r>
      <w:r w:rsidR="0006630B">
        <w:t>extend</w:t>
      </w:r>
      <w:r w:rsidR="00341D10">
        <w:t>s</w:t>
      </w:r>
      <w:r w:rsidR="0006630B">
        <w:t xml:space="preserve"> </w:t>
      </w:r>
      <w:r w:rsidR="00ED4F5F">
        <w:t xml:space="preserve">this </w:t>
      </w:r>
      <w:r w:rsidR="00FB1487">
        <w:t>timeframe to</w:t>
      </w:r>
      <w:r w:rsidR="0006630B">
        <w:t xml:space="preserve"> 6 years.</w:t>
      </w:r>
      <w:r w:rsidR="00903D3F">
        <w:br/>
      </w:r>
      <w:r w:rsidR="00903D3F" w:rsidRPr="00DE7EDD">
        <w:rPr>
          <w:rStyle w:val="References"/>
        </w:rPr>
        <w:t xml:space="preserve">[Schedule </w:t>
      </w:r>
      <w:r w:rsidR="00A6156A">
        <w:rPr>
          <w:rStyle w:val="References"/>
        </w:rPr>
        <w:t>##</w:t>
      </w:r>
      <w:r w:rsidR="00903D3F" w:rsidRPr="00DE7EDD">
        <w:rPr>
          <w:rStyle w:val="References"/>
        </w:rPr>
        <w:t>, item</w:t>
      </w:r>
      <w:r w:rsidR="005B4359">
        <w:rPr>
          <w:rStyle w:val="References"/>
        </w:rPr>
        <w:t>s</w:t>
      </w:r>
      <w:r w:rsidR="00903D3F" w:rsidRPr="00DE7EDD">
        <w:rPr>
          <w:rStyle w:val="References"/>
        </w:rPr>
        <w:t xml:space="preserve"> </w:t>
      </w:r>
      <w:r w:rsidR="005D3546">
        <w:rPr>
          <w:rStyle w:val="References"/>
        </w:rPr>
        <w:t>1</w:t>
      </w:r>
      <w:r w:rsidR="004664B0">
        <w:rPr>
          <w:rStyle w:val="References"/>
        </w:rPr>
        <w:t>5</w:t>
      </w:r>
      <w:r w:rsidR="005D3546">
        <w:rPr>
          <w:rStyle w:val="References"/>
        </w:rPr>
        <w:t xml:space="preserve">, </w:t>
      </w:r>
      <w:r w:rsidR="00A6156A">
        <w:rPr>
          <w:rStyle w:val="References"/>
        </w:rPr>
        <w:t>1</w:t>
      </w:r>
      <w:r w:rsidR="004664B0">
        <w:rPr>
          <w:rStyle w:val="References"/>
        </w:rPr>
        <w:t>7</w:t>
      </w:r>
      <w:r w:rsidR="00903D3F" w:rsidRPr="00DE7EDD">
        <w:rPr>
          <w:rStyle w:val="References"/>
        </w:rPr>
        <w:t>,</w:t>
      </w:r>
      <w:r w:rsidR="00A6156A">
        <w:rPr>
          <w:rStyle w:val="References"/>
        </w:rPr>
        <w:t xml:space="preserve"> subsection</w:t>
      </w:r>
      <w:r w:rsidR="00563892">
        <w:rPr>
          <w:rStyle w:val="References"/>
        </w:rPr>
        <w:t>s</w:t>
      </w:r>
      <w:r w:rsidR="00A6156A">
        <w:rPr>
          <w:rStyle w:val="References"/>
        </w:rPr>
        <w:t xml:space="preserve"> 290-55</w:t>
      </w:r>
      <w:r w:rsidR="00563892">
        <w:rPr>
          <w:rStyle w:val="References"/>
        </w:rPr>
        <w:t xml:space="preserve">(4) and </w:t>
      </w:r>
      <w:r w:rsidR="00A6156A">
        <w:rPr>
          <w:rStyle w:val="References"/>
        </w:rPr>
        <w:t>(5)</w:t>
      </w:r>
      <w:r w:rsidR="00CF6C13">
        <w:rPr>
          <w:rStyle w:val="References"/>
        </w:rPr>
        <w:t xml:space="preserve"> </w:t>
      </w:r>
      <w:r w:rsidR="00CF6C13" w:rsidRPr="00A668C0">
        <w:rPr>
          <w:rStyle w:val="References"/>
        </w:rPr>
        <w:t>of</w:t>
      </w:r>
      <w:r w:rsidR="00CF6C13">
        <w:rPr>
          <w:rStyle w:val="References"/>
        </w:rPr>
        <w:t xml:space="preserve"> Schedule 1 to the TAA 1953</w:t>
      </w:r>
      <w:r w:rsidR="00903D3F" w:rsidRPr="00DE7EDD">
        <w:rPr>
          <w:rStyle w:val="References"/>
        </w:rPr>
        <w:t xml:space="preserve">] </w:t>
      </w:r>
      <w:r w:rsidR="00F806BF">
        <w:t xml:space="preserve"> </w:t>
      </w:r>
    </w:p>
    <w:p w14:paraId="3CE08BB1" w14:textId="3F92942D" w:rsidR="00AD125E" w:rsidRDefault="009156F3" w:rsidP="00DE7EDD">
      <w:pPr>
        <w:pStyle w:val="Normalparatextwithnumbers"/>
        <w:numPr>
          <w:ilvl w:val="1"/>
          <w:numId w:val="3"/>
        </w:numPr>
      </w:pPr>
      <w:r>
        <w:t>Allowing</w:t>
      </w:r>
      <w:r w:rsidR="001B5572">
        <w:t xml:space="preserve"> the Commissioner an extra two years to gather information and </w:t>
      </w:r>
      <w:r>
        <w:t>evidence assist</w:t>
      </w:r>
      <w:r w:rsidR="00F83B50">
        <w:t>s</w:t>
      </w:r>
      <w:r>
        <w:t xml:space="preserve"> the Commissioner to identify promoters and take appropriate action against them, ensuring promoters </w:t>
      </w:r>
      <w:r w:rsidR="00F83B50">
        <w:t>cannot</w:t>
      </w:r>
      <w:r>
        <w:t xml:space="preserve"> avoid consequences of their actions.</w:t>
      </w:r>
    </w:p>
    <w:p w14:paraId="02DE3205" w14:textId="5E967189" w:rsidR="00805216" w:rsidRPr="00234747" w:rsidRDefault="00805216" w:rsidP="00805216">
      <w:pPr>
        <w:pStyle w:val="Normalparatextwithnumbers"/>
        <w:numPr>
          <w:ilvl w:val="1"/>
          <w:numId w:val="3"/>
        </w:numPr>
        <w:rPr>
          <w:rStyle w:val="References"/>
          <w:b w:val="0"/>
          <w:i w:val="0"/>
        </w:rPr>
      </w:pPr>
      <w:r w:rsidRPr="00234747">
        <w:t>The</w:t>
      </w:r>
      <w:r w:rsidR="006465DB" w:rsidRPr="00234747">
        <w:t xml:space="preserve"> extended timeframe available to the Commissioner</w:t>
      </w:r>
      <w:r w:rsidRPr="00234747">
        <w:t xml:space="preserve"> </w:t>
      </w:r>
      <w:r w:rsidR="003A118E" w:rsidRPr="00234747">
        <w:t>applies</w:t>
      </w:r>
      <w:r w:rsidRPr="00234747">
        <w:t xml:space="preserve"> in relation to conduct engaged in before, on or after the commencement of the amendments.</w:t>
      </w:r>
      <w:r w:rsidRPr="00234747">
        <w:br/>
      </w:r>
      <w:r w:rsidRPr="00234747">
        <w:rPr>
          <w:rStyle w:val="References"/>
        </w:rPr>
        <w:t xml:space="preserve">[Schedule [#], </w:t>
      </w:r>
      <w:r w:rsidR="00174D1D">
        <w:rPr>
          <w:rStyle w:val="References"/>
        </w:rPr>
        <w:t>sub</w:t>
      </w:r>
      <w:r w:rsidRPr="00234747">
        <w:rPr>
          <w:rStyle w:val="References"/>
        </w:rPr>
        <w:t xml:space="preserve">item </w:t>
      </w:r>
      <w:r w:rsidR="008A65DD">
        <w:rPr>
          <w:rStyle w:val="References"/>
        </w:rPr>
        <w:t>32</w:t>
      </w:r>
      <w:r w:rsidR="003F301B">
        <w:rPr>
          <w:rStyle w:val="References"/>
        </w:rPr>
        <w:t>(2)</w:t>
      </w:r>
      <w:r w:rsidRPr="00234747">
        <w:rPr>
          <w:rStyle w:val="References"/>
        </w:rPr>
        <w:t xml:space="preserve">] </w:t>
      </w:r>
    </w:p>
    <w:p w14:paraId="70820B17" w14:textId="36D52901" w:rsidR="00805216" w:rsidRPr="00234747" w:rsidRDefault="00805216" w:rsidP="00AD125E">
      <w:pPr>
        <w:pStyle w:val="Normalparatextwithnumbers"/>
        <w:numPr>
          <w:ilvl w:val="1"/>
          <w:numId w:val="3"/>
        </w:numPr>
        <w:rPr>
          <w:rStyle w:val="References"/>
          <w:b w:val="0"/>
          <w:i w:val="0"/>
        </w:rPr>
      </w:pPr>
      <w:r w:rsidRPr="00234747">
        <w:rPr>
          <w:rStyle w:val="References"/>
          <w:b w:val="0"/>
          <w:i w:val="0"/>
        </w:rPr>
        <w:t xml:space="preserve">This means the ATO is in a better position to </w:t>
      </w:r>
      <w:proofErr w:type="gramStart"/>
      <w:r w:rsidRPr="00234747">
        <w:rPr>
          <w:rStyle w:val="References"/>
          <w:b w:val="0"/>
          <w:i w:val="0"/>
        </w:rPr>
        <w:t>take action</w:t>
      </w:r>
      <w:proofErr w:type="gramEnd"/>
      <w:r w:rsidRPr="00234747">
        <w:rPr>
          <w:rStyle w:val="References"/>
          <w:b w:val="0"/>
          <w:i w:val="0"/>
        </w:rPr>
        <w:t xml:space="preserve"> against promoters in breach before commencement of the amendments, for example in cases where the ATO becomes aware of the promotion of a scheme during a </w:t>
      </w:r>
      <w:r w:rsidR="00736B9F">
        <w:rPr>
          <w:rStyle w:val="References"/>
          <w:b w:val="0"/>
          <w:i w:val="0"/>
        </w:rPr>
        <w:t>taxpayer</w:t>
      </w:r>
      <w:r w:rsidRPr="00234747">
        <w:rPr>
          <w:rStyle w:val="References"/>
          <w:b w:val="0"/>
          <w:i w:val="0"/>
        </w:rPr>
        <w:t xml:space="preserve"> audit, a considerable time after the conduct occurred, or where a groundless professional privilege claim is designed to run down a time period.</w:t>
      </w:r>
    </w:p>
    <w:p w14:paraId="2A169D6B" w14:textId="77777777" w:rsidR="00F27218" w:rsidRDefault="00F27218" w:rsidP="00F27218">
      <w:pPr>
        <w:pStyle w:val="ExampleHeading"/>
        <w:numPr>
          <w:ilvl w:val="3"/>
          <w:numId w:val="3"/>
        </w:numPr>
      </w:pPr>
      <w:r>
        <w:t>– Existing breach</w:t>
      </w:r>
    </w:p>
    <w:p w14:paraId="40A1DE39" w14:textId="0EADBC20" w:rsidR="00F27218" w:rsidRDefault="00F27218" w:rsidP="00F27218">
      <w:pPr>
        <w:pStyle w:val="Exampletext"/>
        <w:rPr>
          <w:color w:val="auto"/>
        </w:rPr>
      </w:pPr>
      <w:r>
        <w:rPr>
          <w:color w:val="auto"/>
        </w:rPr>
        <w:t xml:space="preserve">On 30 June 2024, the ATO is in the process of gathering evidence in relation to conduct of a tax practitioner </w:t>
      </w:r>
      <w:r w:rsidR="00744751">
        <w:rPr>
          <w:color w:val="auto"/>
        </w:rPr>
        <w:t xml:space="preserve">who </w:t>
      </w:r>
      <w:r w:rsidR="007C502A">
        <w:rPr>
          <w:color w:val="auto"/>
        </w:rPr>
        <w:t xml:space="preserve">last </w:t>
      </w:r>
      <w:r w:rsidR="00A3682B">
        <w:rPr>
          <w:color w:val="auto"/>
        </w:rPr>
        <w:t>promoted a tax exploitation scheme</w:t>
      </w:r>
      <w:r w:rsidR="00C64A75">
        <w:rPr>
          <w:color w:val="auto"/>
        </w:rPr>
        <w:t xml:space="preserve"> </w:t>
      </w:r>
      <w:r>
        <w:rPr>
          <w:color w:val="auto"/>
        </w:rPr>
        <w:t xml:space="preserve">5 years </w:t>
      </w:r>
      <w:r w:rsidR="0071069D">
        <w:rPr>
          <w:color w:val="auto"/>
        </w:rPr>
        <w:t xml:space="preserve">ago. The </w:t>
      </w:r>
      <w:proofErr w:type="gramStart"/>
      <w:r w:rsidR="0071069D">
        <w:rPr>
          <w:color w:val="auto"/>
        </w:rPr>
        <w:t>6 year</w:t>
      </w:r>
      <w:proofErr w:type="gramEnd"/>
      <w:r w:rsidR="0071069D">
        <w:rPr>
          <w:color w:val="auto"/>
        </w:rPr>
        <w:t xml:space="preserve"> </w:t>
      </w:r>
      <w:r w:rsidR="008D3446">
        <w:rPr>
          <w:color w:val="auto"/>
        </w:rPr>
        <w:t xml:space="preserve">time period under these amendments would apply so that the ATO could </w:t>
      </w:r>
      <w:r w:rsidR="00FB5B5C">
        <w:rPr>
          <w:color w:val="auto"/>
        </w:rPr>
        <w:t xml:space="preserve">make an application to the </w:t>
      </w:r>
      <w:r w:rsidR="007C502A">
        <w:rPr>
          <w:color w:val="auto"/>
        </w:rPr>
        <w:t>Federal Court for the imposition of a promoter penalty on the tax practitioner</w:t>
      </w:r>
      <w:r>
        <w:rPr>
          <w:color w:val="auto"/>
        </w:rPr>
        <w:t xml:space="preserve">. </w:t>
      </w:r>
    </w:p>
    <w:p w14:paraId="7A3CB29F" w14:textId="6FC0A712" w:rsidR="00274BF8" w:rsidRPr="002F6E02" w:rsidRDefault="00F52FC2" w:rsidP="00274BF8">
      <w:pPr>
        <w:pStyle w:val="Heading3"/>
        <w:rPr>
          <w:rFonts w:hint="eastAsia"/>
        </w:rPr>
      </w:pPr>
      <w:bookmarkStart w:id="43" w:name="_Toc145320941"/>
      <w:bookmarkStart w:id="44" w:name="_Toc145334225"/>
      <w:r w:rsidRPr="002F6E02">
        <w:t>Penalties</w:t>
      </w:r>
      <w:bookmarkEnd w:id="43"/>
      <w:bookmarkEnd w:id="44"/>
    </w:p>
    <w:p w14:paraId="059D77D3" w14:textId="75BFA229" w:rsidR="00274BF8" w:rsidRPr="004C4C3B" w:rsidRDefault="004C4C3B" w:rsidP="00274BF8">
      <w:pPr>
        <w:pStyle w:val="Normalparatextwithnumbers"/>
        <w:numPr>
          <w:ilvl w:val="1"/>
          <w:numId w:val="3"/>
        </w:numPr>
      </w:pPr>
      <w:r>
        <w:t>Schedule # to the</w:t>
      </w:r>
      <w:r w:rsidRPr="004C4C3B">
        <w:t xml:space="preserve"> </w:t>
      </w:r>
      <w:r w:rsidR="00274BF8" w:rsidRPr="004C4C3B">
        <w:t xml:space="preserve">Bill </w:t>
      </w:r>
      <w:r w:rsidR="00DB6463" w:rsidRPr="004C4C3B">
        <w:t xml:space="preserve">strengthens the penalty provisions </w:t>
      </w:r>
      <w:r w:rsidR="002D18DF" w:rsidRPr="004C4C3B">
        <w:t>associated with</w:t>
      </w:r>
      <w:r w:rsidR="007D3ACC" w:rsidRPr="004C4C3B">
        <w:t xml:space="preserve"> a contravention </w:t>
      </w:r>
      <w:r w:rsidR="009A04EC" w:rsidRPr="004C4C3B">
        <w:t>of the promoter penalty laws</w:t>
      </w:r>
      <w:r w:rsidR="00274BF8" w:rsidRPr="004C4C3B">
        <w:t>.</w:t>
      </w:r>
      <w:r w:rsidR="00B34EF8" w:rsidRPr="004C4C3B">
        <w:t xml:space="preserve"> </w:t>
      </w:r>
      <w:r w:rsidR="00FC660C" w:rsidRPr="004C4C3B">
        <w:t>The amendments:</w:t>
      </w:r>
    </w:p>
    <w:p w14:paraId="0039C3A6" w14:textId="6F827600" w:rsidR="00274BF8" w:rsidRPr="00502089" w:rsidRDefault="00664D06" w:rsidP="00274BF8">
      <w:pPr>
        <w:pStyle w:val="Dotpoint1"/>
        <w:numPr>
          <w:ilvl w:val="0"/>
          <w:numId w:val="8"/>
        </w:numPr>
        <w:ind w:left="1418" w:hanging="709"/>
      </w:pPr>
      <w:r w:rsidRPr="00502089">
        <w:lastRenderedPageBreak/>
        <w:t xml:space="preserve">increase the penalty that </w:t>
      </w:r>
      <w:r w:rsidR="00C14460" w:rsidRPr="00502089">
        <w:t>can</w:t>
      </w:r>
      <w:r w:rsidRPr="00502089">
        <w:t xml:space="preserve"> be imposed on bodies corporate </w:t>
      </w:r>
      <w:r w:rsidR="0072540A" w:rsidRPr="00502089">
        <w:t xml:space="preserve">for breach of the promoter penalty laws from </w:t>
      </w:r>
      <w:r w:rsidRPr="00502089">
        <w:t xml:space="preserve">25,000 penalty units to 50,000 penalty </w:t>
      </w:r>
      <w:proofErr w:type="gramStart"/>
      <w:r w:rsidRPr="00502089">
        <w:t>units</w:t>
      </w:r>
      <w:r w:rsidR="00830D2E" w:rsidRPr="00502089">
        <w:t>;</w:t>
      </w:r>
      <w:proofErr w:type="gramEnd"/>
    </w:p>
    <w:p w14:paraId="431362B0" w14:textId="61DA620A" w:rsidR="00274BF8" w:rsidRPr="00502089" w:rsidRDefault="00D10270" w:rsidP="00274BF8">
      <w:pPr>
        <w:pStyle w:val="Dotpoint1"/>
        <w:numPr>
          <w:ilvl w:val="0"/>
          <w:numId w:val="8"/>
        </w:numPr>
        <w:ind w:left="1418" w:hanging="709"/>
      </w:pPr>
      <w:r w:rsidRPr="00502089">
        <w:t xml:space="preserve">extend the </w:t>
      </w:r>
      <w:r w:rsidR="000E4016">
        <w:t xml:space="preserve">civil </w:t>
      </w:r>
      <w:r w:rsidR="00A546F8">
        <w:t>penalt</w:t>
      </w:r>
      <w:r w:rsidR="000E4016">
        <w:t xml:space="preserve">ies </w:t>
      </w:r>
      <w:r w:rsidR="000C4A1F">
        <w:t>that can be applied to bod</w:t>
      </w:r>
      <w:r w:rsidR="0047775B">
        <w:t>ies</w:t>
      </w:r>
      <w:r w:rsidR="000C4A1F">
        <w:t xml:space="preserve"> corporate to </w:t>
      </w:r>
      <w:proofErr w:type="gramStart"/>
      <w:r w:rsidRPr="00502089" w:rsidDel="00DB565E">
        <w:t>SGEs</w:t>
      </w:r>
      <w:r w:rsidRPr="00502089">
        <w:t>;</w:t>
      </w:r>
      <w:proofErr w:type="gramEnd"/>
    </w:p>
    <w:p w14:paraId="76E66864" w14:textId="64ACE1E9" w:rsidR="007758FB" w:rsidRPr="00502089" w:rsidRDefault="00AC02D3" w:rsidP="00274BF8">
      <w:pPr>
        <w:pStyle w:val="Dotpoint1"/>
        <w:numPr>
          <w:ilvl w:val="0"/>
          <w:numId w:val="8"/>
        </w:numPr>
        <w:ind w:left="1418" w:hanging="709"/>
      </w:pPr>
      <w:r>
        <w:t xml:space="preserve">increase </w:t>
      </w:r>
      <w:r w:rsidR="00DE6C20">
        <w:t xml:space="preserve">one of the </w:t>
      </w:r>
      <w:r>
        <w:t>maximum civil penalt</w:t>
      </w:r>
      <w:r w:rsidR="00DE6C20">
        <w:t>ies</w:t>
      </w:r>
      <w:r>
        <w:t xml:space="preserve"> </w:t>
      </w:r>
      <w:r w:rsidR="002203C6">
        <w:t xml:space="preserve">that can be imposed from </w:t>
      </w:r>
      <w:r w:rsidR="00A7263A">
        <w:t xml:space="preserve">twice to </w:t>
      </w:r>
      <w:r w:rsidR="007758FB" w:rsidRPr="00502089">
        <w:t>three times the benefit received or receivable</w:t>
      </w:r>
      <w:r w:rsidR="002A389F" w:rsidRPr="00502089">
        <w:t>, directly or indirectly, by</w:t>
      </w:r>
      <w:r w:rsidR="00071F3D" w:rsidRPr="00502089">
        <w:t xml:space="preserve"> an entity</w:t>
      </w:r>
      <w:r w:rsidR="00D313BA">
        <w:t xml:space="preserve"> </w:t>
      </w:r>
      <w:r w:rsidR="00071F3D" w:rsidRPr="00502089">
        <w:t>or its associates</w:t>
      </w:r>
      <w:r w:rsidR="007758FB" w:rsidRPr="00502089">
        <w:t xml:space="preserve"> in respect of the </w:t>
      </w:r>
      <w:proofErr w:type="gramStart"/>
      <w:r w:rsidR="007758FB" w:rsidRPr="00502089">
        <w:t>scheme;</w:t>
      </w:r>
      <w:proofErr w:type="gramEnd"/>
    </w:p>
    <w:p w14:paraId="784F0BB4" w14:textId="268D33B6" w:rsidR="002C1A1F" w:rsidRPr="005161A5" w:rsidRDefault="007758FB" w:rsidP="00184798">
      <w:pPr>
        <w:pStyle w:val="Dotpoint1"/>
        <w:numPr>
          <w:ilvl w:val="0"/>
          <w:numId w:val="8"/>
        </w:numPr>
        <w:ind w:left="1418" w:hanging="709"/>
      </w:pPr>
      <w:r w:rsidRPr="005161A5">
        <w:t xml:space="preserve">insert a new alternative maximum </w:t>
      </w:r>
      <w:r w:rsidR="002B2CEC">
        <w:t xml:space="preserve">civil </w:t>
      </w:r>
      <w:r w:rsidRPr="005161A5">
        <w:t xml:space="preserve">penalty </w:t>
      </w:r>
      <w:r w:rsidR="00E77CF0" w:rsidRPr="005161A5">
        <w:t>for bodies corporate</w:t>
      </w:r>
      <w:r w:rsidR="00103A4A">
        <w:t xml:space="preserve"> and SGE</w:t>
      </w:r>
      <w:r w:rsidR="000D3207">
        <w:t>s</w:t>
      </w:r>
      <w:r w:rsidR="00E77CF0" w:rsidRPr="005161A5" w:rsidDel="000B72E9">
        <w:t xml:space="preserve"> </w:t>
      </w:r>
      <w:r w:rsidR="008C1B15">
        <w:t>being an</w:t>
      </w:r>
      <w:r w:rsidR="00C04FA4">
        <w:t xml:space="preserve"> amount</w:t>
      </w:r>
      <w:r w:rsidR="00E77CF0" w:rsidRPr="005161A5">
        <w:t xml:space="preserve"> </w:t>
      </w:r>
      <w:r w:rsidRPr="005161A5">
        <w:t>equivalent to 10% of the</w:t>
      </w:r>
      <w:r w:rsidR="00E77CF0" w:rsidRPr="005161A5">
        <w:t>ir</w:t>
      </w:r>
      <w:r w:rsidRPr="005161A5">
        <w:t xml:space="preserve"> aggregated turnover </w:t>
      </w:r>
      <w:r w:rsidR="009C72D3" w:rsidRPr="00DA6F5C">
        <w:t xml:space="preserve">for the most recent income year </w:t>
      </w:r>
      <w:r w:rsidR="00C85C0C" w:rsidRPr="00DA6F5C">
        <w:t xml:space="preserve">ending </w:t>
      </w:r>
      <w:r w:rsidR="009C72D3" w:rsidRPr="00DA6F5C">
        <w:t xml:space="preserve">before the </w:t>
      </w:r>
      <w:r w:rsidR="00B97456" w:rsidRPr="00DA6F5C">
        <w:t xml:space="preserve">relevant </w:t>
      </w:r>
      <w:r w:rsidR="00B97456" w:rsidRPr="007D3220">
        <w:t>breach</w:t>
      </w:r>
      <w:r w:rsidR="005261EF" w:rsidRPr="007D3220">
        <w:t xml:space="preserve"> occurred or began occurring</w:t>
      </w:r>
      <w:r w:rsidR="006A6C35" w:rsidRPr="00DA6F5C">
        <w:t>, capped at 2.5 million penalty unit</w:t>
      </w:r>
      <w:r w:rsidR="00C85C0C" w:rsidRPr="00DA6F5C">
        <w:t>s.</w:t>
      </w:r>
    </w:p>
    <w:p w14:paraId="59BDDA4C" w14:textId="4C8E88D6" w:rsidR="00274BF8" w:rsidRPr="003E4219" w:rsidRDefault="002C1A1F" w:rsidP="002C1A1F">
      <w:pPr>
        <w:pStyle w:val="Referenceafterdotpoint"/>
      </w:pPr>
      <w:r w:rsidRPr="003E4219">
        <w:t xml:space="preserve">[Schedule </w:t>
      </w:r>
      <w:r w:rsidR="00143A76" w:rsidRPr="003E4219">
        <w:t>#</w:t>
      </w:r>
      <w:r w:rsidRPr="003E4219">
        <w:t xml:space="preserve">, item </w:t>
      </w:r>
      <w:r w:rsidR="00143A76" w:rsidRPr="003E4219">
        <w:t>1</w:t>
      </w:r>
      <w:r w:rsidR="002B6B4F">
        <w:t>1</w:t>
      </w:r>
      <w:r w:rsidRPr="003E4219">
        <w:t xml:space="preserve">, </w:t>
      </w:r>
      <w:r w:rsidR="00356FDC" w:rsidRPr="003E4219">
        <w:t>subsection 290-50(4)</w:t>
      </w:r>
      <w:r w:rsidR="00ED3016" w:rsidRPr="003E4219">
        <w:t>, (4A) and (4B)</w:t>
      </w:r>
      <w:r w:rsidR="00CF6C13" w:rsidRPr="00CF6C13">
        <w:t xml:space="preserve"> of Schedule 1 to the TAA 1953</w:t>
      </w:r>
      <w:r w:rsidR="00356FDC" w:rsidRPr="003E4219">
        <w:t xml:space="preserve">] </w:t>
      </w:r>
      <w:r w:rsidRPr="003E4219">
        <w:t xml:space="preserve"> </w:t>
      </w:r>
    </w:p>
    <w:p w14:paraId="18B5C8B7" w14:textId="366B6518" w:rsidR="00184798" w:rsidRPr="00747EE2" w:rsidRDefault="00184798" w:rsidP="00184798">
      <w:pPr>
        <w:pStyle w:val="Normalparatextwithnumbers"/>
        <w:numPr>
          <w:ilvl w:val="1"/>
          <w:numId w:val="3"/>
        </w:numPr>
      </w:pPr>
      <w:r w:rsidRPr="00747EE2">
        <w:t xml:space="preserve">The </w:t>
      </w:r>
      <w:r w:rsidR="00A54FF3" w:rsidRPr="00747EE2">
        <w:t xml:space="preserve">amendments do not affect the maximum </w:t>
      </w:r>
      <w:r w:rsidR="00D9644A" w:rsidRPr="00747EE2">
        <w:t>penalty</w:t>
      </w:r>
      <w:r w:rsidR="004D0850" w:rsidRPr="00747EE2">
        <w:t xml:space="preserve"> that can be imposed on an individual</w:t>
      </w:r>
      <w:r w:rsidR="00AB0D82" w:rsidRPr="00747EE2">
        <w:t xml:space="preserve"> </w:t>
      </w:r>
      <w:r w:rsidR="00201B7E" w:rsidRPr="00747EE2">
        <w:t>of 5,000 penalty units</w:t>
      </w:r>
      <w:r w:rsidR="000B72E9">
        <w:t>.</w:t>
      </w:r>
      <w:r w:rsidR="00DB7A26">
        <w:t xml:space="preserve"> </w:t>
      </w:r>
      <w:r w:rsidR="00DB7A26">
        <w:rPr>
          <w:rStyle w:val="ui-provider"/>
        </w:rPr>
        <w:t>Consistent with the existing law, the amendments do not limit the power of the Court to ensure the penalty amount is appropriate.</w:t>
      </w:r>
    </w:p>
    <w:p w14:paraId="6ABDA9C9" w14:textId="77777777" w:rsidR="00747EE2" w:rsidRPr="001E3AAF" w:rsidRDefault="00747EE2" w:rsidP="00184798">
      <w:pPr>
        <w:pStyle w:val="Normalparatextwithnumbers"/>
        <w:numPr>
          <w:ilvl w:val="1"/>
          <w:numId w:val="3"/>
        </w:numPr>
      </w:pPr>
      <w:r w:rsidRPr="001E3AAF">
        <w:t xml:space="preserve">These amendments align the maximum civil penalties for promoters of tax exploitation schemes with the penalties in the </w:t>
      </w:r>
      <w:r w:rsidRPr="001E3AAF">
        <w:rPr>
          <w:i/>
          <w:iCs/>
        </w:rPr>
        <w:t>Corporations Act 2001</w:t>
      </w:r>
      <w:r w:rsidRPr="001E3AAF">
        <w:t xml:space="preserve">. </w:t>
      </w:r>
    </w:p>
    <w:p w14:paraId="38D316B7" w14:textId="14B32D13" w:rsidR="007E55A9" w:rsidRPr="001E3AAF" w:rsidRDefault="00510F23" w:rsidP="00184798">
      <w:pPr>
        <w:pStyle w:val="Normalparatextwithnumbers"/>
        <w:numPr>
          <w:ilvl w:val="1"/>
          <w:numId w:val="3"/>
        </w:numPr>
      </w:pPr>
      <w:r w:rsidRPr="001E3AAF">
        <w:t>Extending</w:t>
      </w:r>
      <w:r w:rsidR="0099719F">
        <w:t xml:space="preserve"> </w:t>
      </w:r>
      <w:r w:rsidRPr="001E3AAF">
        <w:t xml:space="preserve">the penalty provisions to </w:t>
      </w:r>
      <w:r w:rsidR="003D291E">
        <w:t xml:space="preserve">SGEs </w:t>
      </w:r>
      <w:r w:rsidR="001F5A45">
        <w:t xml:space="preserve">is intended to </w:t>
      </w:r>
      <w:r w:rsidR="00EA4C8D">
        <w:t>include</w:t>
      </w:r>
      <w:r w:rsidR="001F5A45">
        <w:t xml:space="preserve"> </w:t>
      </w:r>
      <w:r w:rsidR="007E4978">
        <w:t>large partnerships and trusts</w:t>
      </w:r>
      <w:r w:rsidR="003D291E">
        <w:t xml:space="preserve"> and is</w:t>
      </w:r>
      <w:r w:rsidR="00AB2A10" w:rsidRPr="001E3AAF">
        <w:t xml:space="preserve"> consistent with the tax integrity and reporting measures imposed on SGEs</w:t>
      </w:r>
      <w:r w:rsidR="00EA4C8D">
        <w:t xml:space="preserve">. This ensures </w:t>
      </w:r>
      <w:r w:rsidRPr="001E3AAF">
        <w:t>that multi</w:t>
      </w:r>
      <w:r w:rsidR="00462B8C" w:rsidRPr="001E3AAF">
        <w:t>disciplinary firms</w:t>
      </w:r>
      <w:r w:rsidR="005D7380">
        <w:t xml:space="preserve"> </w:t>
      </w:r>
      <w:r w:rsidR="00462B8C" w:rsidRPr="001E3AAF">
        <w:t>are accountable regardless of their entity structure.</w:t>
      </w:r>
    </w:p>
    <w:p w14:paraId="119BCC22" w14:textId="47C9AD70" w:rsidR="000A1A40" w:rsidRDefault="00C20DEA" w:rsidP="00B02F97">
      <w:pPr>
        <w:pStyle w:val="Normalparatextwithnumbers"/>
        <w:numPr>
          <w:ilvl w:val="1"/>
          <w:numId w:val="3"/>
        </w:numPr>
      </w:pPr>
      <w:r>
        <w:t>Broadly, the</w:t>
      </w:r>
      <w:r w:rsidRPr="00B02F97">
        <w:t xml:space="preserve"> </w:t>
      </w:r>
      <w:r w:rsidR="001C4000" w:rsidRPr="00B02F97">
        <w:t xml:space="preserve">aggregated turnover of an entity is the ordinary turnover of the entity </w:t>
      </w:r>
      <w:r w:rsidR="006D5516" w:rsidRPr="00B02F97">
        <w:t>together with the turnover of any entities that are connected to or affiliated with it. The new alternative maximum penalty applicable to bodies corporat</w:t>
      </w:r>
      <w:r w:rsidR="00D313BA">
        <w:t xml:space="preserve">e and </w:t>
      </w:r>
      <w:r w:rsidR="006D5516" w:rsidRPr="00B02F97" w:rsidDel="00D313BA">
        <w:t>SGEs</w:t>
      </w:r>
      <w:r w:rsidR="00532CF7" w:rsidRPr="00B02F97" w:rsidDel="00D313BA">
        <w:t xml:space="preserve"> </w:t>
      </w:r>
      <w:r w:rsidR="00532CF7" w:rsidRPr="00B02F97">
        <w:t>ensure</w:t>
      </w:r>
      <w:r w:rsidR="00885DF5">
        <w:t>s</w:t>
      </w:r>
      <w:r w:rsidR="00532CF7" w:rsidRPr="00B02F97">
        <w:t xml:space="preserve"> that the civil penalties able to be imposed by the Federal Court are material for </w:t>
      </w:r>
      <w:r w:rsidR="00B3351F">
        <w:t>these entities</w:t>
      </w:r>
      <w:r w:rsidR="00317AC8">
        <w:t xml:space="preserve">, which is designed to </w:t>
      </w:r>
      <w:r w:rsidR="00E1707A" w:rsidRPr="00B02F97">
        <w:t xml:space="preserve">deter such entities from treating </w:t>
      </w:r>
      <w:r w:rsidR="00317AC8">
        <w:t>these civil</w:t>
      </w:r>
      <w:r w:rsidR="00E1707A" w:rsidRPr="00B02F97">
        <w:t xml:space="preserve"> penalties as a mere cost of doing business.</w:t>
      </w:r>
    </w:p>
    <w:p w14:paraId="2BF484CD" w14:textId="72233E42" w:rsidR="00C45691" w:rsidRDefault="00572FA7" w:rsidP="00572FA7">
      <w:pPr>
        <w:pStyle w:val="Normalparatextwithnumbers"/>
        <w:numPr>
          <w:ilvl w:val="1"/>
          <w:numId w:val="3"/>
        </w:numPr>
      </w:pPr>
      <w:r>
        <w:t xml:space="preserve">To give effect </w:t>
      </w:r>
      <w:r w:rsidR="0046336E">
        <w:t xml:space="preserve">to these changes in relation to </w:t>
      </w:r>
      <w:r w:rsidR="0046336E" w:rsidDel="00774095">
        <w:t xml:space="preserve">SGEs that are </w:t>
      </w:r>
      <w:r w:rsidR="0046336E">
        <w:t>partner</w:t>
      </w:r>
      <w:r w:rsidR="00085003">
        <w:t>s</w:t>
      </w:r>
      <w:r w:rsidR="0046336E">
        <w:t>hips,</w:t>
      </w:r>
      <w:r w:rsidR="00FB4C5F">
        <w:t xml:space="preserve"> </w:t>
      </w:r>
      <w:r w:rsidR="009329DB">
        <w:t xml:space="preserve">any contravention of </w:t>
      </w:r>
      <w:r w:rsidR="00766729">
        <w:t>the</w:t>
      </w:r>
      <w:r w:rsidR="009329DB">
        <w:t xml:space="preserve"> civil penalty provision</w:t>
      </w:r>
      <w:r w:rsidR="00766729">
        <w:t>s</w:t>
      </w:r>
      <w:r w:rsidR="005A11B5">
        <w:t xml:space="preserve"> by a partnership</w:t>
      </w:r>
      <w:r w:rsidR="00AD5670">
        <w:t xml:space="preserve"> is taken to </w:t>
      </w:r>
      <w:r w:rsidR="00A00271">
        <w:t>be a contravention by each of the partners</w:t>
      </w:r>
      <w:r w:rsidR="009905B6">
        <w:t xml:space="preserve">. </w:t>
      </w:r>
      <w:r w:rsidR="006748A6">
        <w:t>All</w:t>
      </w:r>
      <w:r w:rsidR="00766456">
        <w:t xml:space="preserve"> partners</w:t>
      </w:r>
      <w:r w:rsidR="00A3298D">
        <w:t xml:space="preserve"> </w:t>
      </w:r>
      <w:r w:rsidR="00766456">
        <w:t xml:space="preserve">in </w:t>
      </w:r>
      <w:r w:rsidR="000E43C6">
        <w:t>the</w:t>
      </w:r>
      <w:r w:rsidR="00766456">
        <w:t xml:space="preserve"> partnership will be jointly and severally liable for a contravention by any partner </w:t>
      </w:r>
      <w:r w:rsidR="00A3298D">
        <w:t xml:space="preserve">acting in their capacity as a partner </w:t>
      </w:r>
      <w:r w:rsidR="00766456">
        <w:t xml:space="preserve">in the partnership. </w:t>
      </w:r>
      <w:r w:rsidR="00993C90">
        <w:br/>
      </w:r>
      <w:r w:rsidR="00993C90" w:rsidRPr="002854D5">
        <w:rPr>
          <w:rStyle w:val="References"/>
        </w:rPr>
        <w:t xml:space="preserve">[Schedule </w:t>
      </w:r>
      <w:r w:rsidR="0041489E">
        <w:rPr>
          <w:rStyle w:val="References"/>
        </w:rPr>
        <w:t>#</w:t>
      </w:r>
      <w:r w:rsidR="00993C90" w:rsidRPr="002854D5">
        <w:rPr>
          <w:rStyle w:val="References"/>
        </w:rPr>
        <w:t>, item</w:t>
      </w:r>
      <w:r w:rsidR="0000790C">
        <w:rPr>
          <w:rStyle w:val="References"/>
        </w:rPr>
        <w:t xml:space="preserve"> </w:t>
      </w:r>
      <w:r w:rsidR="006D4D96">
        <w:rPr>
          <w:rStyle w:val="References"/>
        </w:rPr>
        <w:t>30</w:t>
      </w:r>
      <w:r w:rsidR="00993C90" w:rsidRPr="002854D5">
        <w:rPr>
          <w:rStyle w:val="References"/>
        </w:rPr>
        <w:t xml:space="preserve">, </w:t>
      </w:r>
      <w:r w:rsidR="0000790C">
        <w:rPr>
          <w:rStyle w:val="References"/>
        </w:rPr>
        <w:t>section 444-30</w:t>
      </w:r>
      <w:r w:rsidR="00CF6C13">
        <w:rPr>
          <w:rStyle w:val="References"/>
        </w:rPr>
        <w:t xml:space="preserve"> </w:t>
      </w:r>
      <w:r w:rsidR="00CF6C13" w:rsidRPr="00A668C0">
        <w:rPr>
          <w:rStyle w:val="References"/>
        </w:rPr>
        <w:t>of</w:t>
      </w:r>
      <w:r w:rsidR="00CF6C13">
        <w:rPr>
          <w:rStyle w:val="References"/>
        </w:rPr>
        <w:t xml:space="preserve"> Schedule 1 to the TAA 1953</w:t>
      </w:r>
      <w:r w:rsidR="00993C90" w:rsidRPr="002854D5">
        <w:rPr>
          <w:rStyle w:val="References"/>
        </w:rPr>
        <w:t>]</w:t>
      </w:r>
    </w:p>
    <w:p w14:paraId="68562F90" w14:textId="4D18569F" w:rsidR="002854D5" w:rsidRDefault="0093568A" w:rsidP="00B02F97">
      <w:pPr>
        <w:pStyle w:val="Normalparatextwithnumbers"/>
        <w:numPr>
          <w:ilvl w:val="1"/>
          <w:numId w:val="3"/>
        </w:numPr>
      </w:pPr>
      <w:r>
        <w:t>W</w:t>
      </w:r>
      <w:r w:rsidR="00CC4A75" w:rsidRPr="00D51784">
        <w:t xml:space="preserve">here </w:t>
      </w:r>
      <w:r w:rsidR="00CE2B8F" w:rsidRPr="00D51784">
        <w:t>a civil penalty may be imposed in relation to a contravention by a trust</w:t>
      </w:r>
      <w:r w:rsidR="00835340" w:rsidRPr="00D51784">
        <w:t>, the contravention is taken to be committed by the trustee</w:t>
      </w:r>
      <w:r w:rsidR="004373EC" w:rsidRPr="00D51784">
        <w:t>, or by each trustee if there is more than one trustee of the trust</w:t>
      </w:r>
      <w:r w:rsidR="00F63BA4" w:rsidRPr="00D51784">
        <w:t xml:space="preserve">. </w:t>
      </w:r>
      <w:r w:rsidR="004D778B" w:rsidRPr="00D51784">
        <w:t xml:space="preserve">Where it follows that an amount is </w:t>
      </w:r>
      <w:r w:rsidR="004D778B" w:rsidRPr="00D51784">
        <w:lastRenderedPageBreak/>
        <w:t xml:space="preserve">payable by </w:t>
      </w:r>
      <w:r w:rsidR="00215CEE" w:rsidRPr="00D51784">
        <w:t xml:space="preserve">more than </w:t>
      </w:r>
      <w:r w:rsidR="004D778B" w:rsidRPr="00D51784">
        <w:t xml:space="preserve">one trustee, </w:t>
      </w:r>
      <w:r w:rsidR="00092618" w:rsidRPr="00D51784">
        <w:t>the trustees are jointly and severally liable.</w:t>
      </w:r>
      <w:r w:rsidR="004D778B" w:rsidRPr="00D51784">
        <w:t xml:space="preserve"> </w:t>
      </w:r>
      <w:r w:rsidR="002854D5">
        <w:rPr>
          <w:color w:val="FF0000"/>
        </w:rPr>
        <w:br/>
      </w:r>
      <w:r w:rsidR="002854D5" w:rsidRPr="005757D4">
        <w:rPr>
          <w:rStyle w:val="References"/>
        </w:rPr>
        <w:t>[</w:t>
      </w:r>
      <w:r w:rsidR="002854D5" w:rsidRPr="002854D5">
        <w:rPr>
          <w:rStyle w:val="References"/>
        </w:rPr>
        <w:t xml:space="preserve">Schedule </w:t>
      </w:r>
      <w:r w:rsidR="002854D5" w:rsidRPr="00D51784">
        <w:rPr>
          <w:rStyle w:val="References"/>
        </w:rPr>
        <w:t>#</w:t>
      </w:r>
      <w:r w:rsidR="002854D5" w:rsidRPr="002854D5">
        <w:rPr>
          <w:rStyle w:val="References"/>
        </w:rPr>
        <w:t xml:space="preserve">, </w:t>
      </w:r>
      <w:r w:rsidR="002854D5" w:rsidRPr="00D51784">
        <w:rPr>
          <w:rStyle w:val="References"/>
        </w:rPr>
        <w:t xml:space="preserve">item </w:t>
      </w:r>
      <w:r w:rsidR="0092381C">
        <w:rPr>
          <w:rStyle w:val="References"/>
        </w:rPr>
        <w:t>31</w:t>
      </w:r>
      <w:r w:rsidR="002854D5" w:rsidRPr="002854D5">
        <w:rPr>
          <w:rStyle w:val="References"/>
        </w:rPr>
        <w:t xml:space="preserve">, </w:t>
      </w:r>
      <w:r w:rsidR="002854D5" w:rsidRPr="00D51784">
        <w:rPr>
          <w:rStyle w:val="References"/>
        </w:rPr>
        <w:t>section 444-120</w:t>
      </w:r>
      <w:r w:rsidR="00CF6C13">
        <w:rPr>
          <w:rStyle w:val="References"/>
        </w:rPr>
        <w:t xml:space="preserve"> </w:t>
      </w:r>
      <w:r w:rsidR="00CF6C13" w:rsidRPr="00A668C0">
        <w:rPr>
          <w:rStyle w:val="References"/>
        </w:rPr>
        <w:t>of</w:t>
      </w:r>
      <w:r w:rsidR="00CF6C13">
        <w:rPr>
          <w:rStyle w:val="References"/>
        </w:rPr>
        <w:t xml:space="preserve"> Schedule 1 to the TAA 1953</w:t>
      </w:r>
      <w:r w:rsidR="002854D5" w:rsidRPr="005757D4">
        <w:rPr>
          <w:rStyle w:val="References"/>
        </w:rPr>
        <w:t xml:space="preserve">] </w:t>
      </w:r>
    </w:p>
    <w:p w14:paraId="6CDDC8B6" w14:textId="413381BF" w:rsidR="005F2573" w:rsidRDefault="002531CA" w:rsidP="00697221">
      <w:pPr>
        <w:pStyle w:val="Normalparatextwithnumbers"/>
        <w:numPr>
          <w:ilvl w:val="1"/>
          <w:numId w:val="3"/>
        </w:numPr>
      </w:pPr>
      <w:r>
        <w:t xml:space="preserve">An entity </w:t>
      </w:r>
      <w:r w:rsidR="00E53C1F">
        <w:t>who is a partner</w:t>
      </w:r>
      <w:r w:rsidR="00336B0E">
        <w:t xml:space="preserve"> in a partnership </w:t>
      </w:r>
      <w:r w:rsidR="00E079FE">
        <w:t>that is an SGE, or is a trustee of a trust that is an SGE</w:t>
      </w:r>
      <w:r w:rsidR="001C39B0">
        <w:t>,</w:t>
      </w:r>
      <w:r w:rsidR="002A1045">
        <w:t xml:space="preserve"> </w:t>
      </w:r>
      <w:r>
        <w:t>cannot rely on</w:t>
      </w:r>
      <w:r w:rsidR="00E30081">
        <w:t xml:space="preserve"> the exception of</w:t>
      </w:r>
      <w:r w:rsidR="00595948">
        <w:t xml:space="preserve"> reasonable</w:t>
      </w:r>
      <w:r w:rsidR="006D26E4">
        <w:t xml:space="preserve"> precautions</w:t>
      </w:r>
      <w:r w:rsidR="00AC4D30">
        <w:t xml:space="preserve"> </w:t>
      </w:r>
      <w:r w:rsidR="00070E64">
        <w:t xml:space="preserve">and exercise of due diligence </w:t>
      </w:r>
      <w:r w:rsidR="00474F61">
        <w:t xml:space="preserve">where the </w:t>
      </w:r>
      <w:r w:rsidR="00FA73E6">
        <w:t>relevant conduct was the act or default</w:t>
      </w:r>
      <w:r w:rsidR="003A35AC">
        <w:t xml:space="preserve"> of another entity</w:t>
      </w:r>
      <w:r w:rsidR="008A34CC">
        <w:t xml:space="preserve"> </w:t>
      </w:r>
      <w:r w:rsidR="00923876">
        <w:t xml:space="preserve">if the other </w:t>
      </w:r>
      <w:r w:rsidR="00CE6196">
        <w:t xml:space="preserve">entity </w:t>
      </w:r>
      <w:r w:rsidR="005F1DE7">
        <w:t>was</w:t>
      </w:r>
      <w:r w:rsidR="00697221">
        <w:t xml:space="preserve"> also</w:t>
      </w:r>
      <w:r w:rsidR="005F1DE7">
        <w:t xml:space="preserve"> a partner in the partnership</w:t>
      </w:r>
      <w:r w:rsidR="00190321">
        <w:t xml:space="preserve">, or </w:t>
      </w:r>
      <w:r w:rsidR="00697221">
        <w:t xml:space="preserve">was </w:t>
      </w:r>
      <w:r w:rsidR="00190321">
        <w:t xml:space="preserve">another trustee of that trust, when the </w:t>
      </w:r>
      <w:r w:rsidR="00697221">
        <w:t>conduct occurred.</w:t>
      </w:r>
      <w:r w:rsidR="005F2573">
        <w:br/>
      </w:r>
      <w:r w:rsidR="005F2573" w:rsidRPr="002854D5">
        <w:rPr>
          <w:rStyle w:val="References"/>
        </w:rPr>
        <w:t xml:space="preserve">[Schedule </w:t>
      </w:r>
      <w:r w:rsidR="005F2573">
        <w:rPr>
          <w:rStyle w:val="References"/>
        </w:rPr>
        <w:t>#</w:t>
      </w:r>
      <w:r w:rsidR="005F2573" w:rsidRPr="002854D5">
        <w:rPr>
          <w:rStyle w:val="References"/>
        </w:rPr>
        <w:t>, item</w:t>
      </w:r>
      <w:r w:rsidR="005F2573">
        <w:rPr>
          <w:rStyle w:val="References"/>
        </w:rPr>
        <w:t xml:space="preserve"> </w:t>
      </w:r>
      <w:r w:rsidR="00544FF0">
        <w:rPr>
          <w:rStyle w:val="References"/>
        </w:rPr>
        <w:t>14</w:t>
      </w:r>
      <w:r w:rsidR="005F2573" w:rsidRPr="002854D5">
        <w:rPr>
          <w:rStyle w:val="References"/>
        </w:rPr>
        <w:t xml:space="preserve">, </w:t>
      </w:r>
      <w:r w:rsidR="005F2573">
        <w:rPr>
          <w:rStyle w:val="References"/>
        </w:rPr>
        <w:t xml:space="preserve">section </w:t>
      </w:r>
      <w:r w:rsidR="00F74FE2">
        <w:rPr>
          <w:rStyle w:val="References"/>
        </w:rPr>
        <w:t>290-55</w:t>
      </w:r>
      <w:r w:rsidR="00A11073">
        <w:rPr>
          <w:rStyle w:val="References"/>
        </w:rPr>
        <w:t xml:space="preserve"> (2)</w:t>
      </w:r>
      <w:r w:rsidR="00CF6C13">
        <w:rPr>
          <w:rStyle w:val="References"/>
        </w:rPr>
        <w:t xml:space="preserve"> </w:t>
      </w:r>
      <w:r w:rsidR="00CF6C13" w:rsidRPr="00A668C0">
        <w:rPr>
          <w:rStyle w:val="References"/>
        </w:rPr>
        <w:t>of</w:t>
      </w:r>
      <w:r w:rsidR="00CF6C13">
        <w:rPr>
          <w:rStyle w:val="References"/>
        </w:rPr>
        <w:t xml:space="preserve"> Schedule 1 to the TAA 1953</w:t>
      </w:r>
      <w:r w:rsidR="004A7F98">
        <w:rPr>
          <w:rStyle w:val="References"/>
        </w:rPr>
        <w:t>]</w:t>
      </w:r>
      <w:r w:rsidR="005F2573" w:rsidRPr="002854D5">
        <w:rPr>
          <w:rStyle w:val="References"/>
        </w:rPr>
        <w:t xml:space="preserve"> </w:t>
      </w:r>
    </w:p>
    <w:p w14:paraId="6929F98C" w14:textId="19E34890" w:rsidR="00ED5F66" w:rsidRPr="00ED5F66" w:rsidRDefault="008D457F" w:rsidP="000C23C3">
      <w:pPr>
        <w:pStyle w:val="Normalparatextwithnumbers"/>
        <w:numPr>
          <w:ilvl w:val="1"/>
          <w:numId w:val="3"/>
        </w:numPr>
      </w:pPr>
      <w:r>
        <w:t xml:space="preserve">An entity who is a partner in a partnership, or is a trustee of a trust, cannot rely on the exception </w:t>
      </w:r>
      <w:r w:rsidR="004C15AF">
        <w:t>for having</w:t>
      </w:r>
      <w:r w:rsidR="00BA14C6">
        <w:t xml:space="preserve"> no </w:t>
      </w:r>
      <w:r>
        <w:t xml:space="preserve">knowledge </w:t>
      </w:r>
      <w:r w:rsidR="001B7954">
        <w:t>(</w:t>
      </w:r>
      <w:r>
        <w:t>or</w:t>
      </w:r>
      <w:r w:rsidR="001B7954">
        <w:t xml:space="preserve"> no</w:t>
      </w:r>
      <w:r w:rsidR="001C6A75">
        <w:t xml:space="preserve"> reasonable expectation of </w:t>
      </w:r>
      <w:r w:rsidR="004737AA">
        <w:t>having known</w:t>
      </w:r>
      <w:r w:rsidR="001C6A75">
        <w:t>)</w:t>
      </w:r>
      <w:r w:rsidR="004737AA">
        <w:t xml:space="preserve"> </w:t>
      </w:r>
      <w:r w:rsidR="000D5B21">
        <w:t xml:space="preserve"> where the </w:t>
      </w:r>
      <w:r w:rsidR="008043EA">
        <w:t>conduct of</w:t>
      </w:r>
      <w:r w:rsidR="000C23C3">
        <w:t>,</w:t>
      </w:r>
      <w:r w:rsidR="00AE690F">
        <w:t xml:space="preserve"> </w:t>
      </w:r>
      <w:r w:rsidR="006115C4">
        <w:t>the</w:t>
      </w:r>
      <w:r w:rsidR="00A14268">
        <w:t xml:space="preserve"> </w:t>
      </w:r>
      <w:r w:rsidR="000C23C3">
        <w:t xml:space="preserve">partnership or </w:t>
      </w:r>
      <w:r w:rsidR="007117C0">
        <w:t xml:space="preserve">a </w:t>
      </w:r>
      <w:r w:rsidR="00A14268">
        <w:t xml:space="preserve">partner in </w:t>
      </w:r>
      <w:r w:rsidR="007117C0">
        <w:t>the</w:t>
      </w:r>
      <w:r w:rsidR="00A14268">
        <w:t xml:space="preserve"> partnership</w:t>
      </w:r>
      <w:r w:rsidR="007117C0">
        <w:t>,</w:t>
      </w:r>
      <w:r w:rsidR="00A14268">
        <w:t xml:space="preserve"> or </w:t>
      </w:r>
      <w:r w:rsidR="007117C0">
        <w:t>the</w:t>
      </w:r>
      <w:r w:rsidR="00A14268">
        <w:t xml:space="preserve"> </w:t>
      </w:r>
      <w:r w:rsidR="000C23C3">
        <w:t xml:space="preserve">trust or </w:t>
      </w:r>
      <w:r w:rsidR="007117C0">
        <w:t xml:space="preserve">another </w:t>
      </w:r>
      <w:r w:rsidR="00A14268">
        <w:t xml:space="preserve">trustee of </w:t>
      </w:r>
      <w:r w:rsidR="007117C0">
        <w:t>the</w:t>
      </w:r>
      <w:r w:rsidR="00A14268">
        <w:t xml:space="preserve"> trust</w:t>
      </w:r>
      <w:r w:rsidR="000C23C3">
        <w:t>,</w:t>
      </w:r>
      <w:r w:rsidR="008043EA">
        <w:t xml:space="preserve"> results in that entity </w:t>
      </w:r>
      <w:r w:rsidR="00296CF2">
        <w:t>contravening</w:t>
      </w:r>
      <w:r w:rsidR="006B33B1" w:rsidDel="000C23C3">
        <w:t xml:space="preserve"> the </w:t>
      </w:r>
      <w:r w:rsidR="00296CF2">
        <w:t>prom</w:t>
      </w:r>
      <w:r w:rsidR="00A818DE">
        <w:t>o</w:t>
      </w:r>
      <w:r w:rsidR="00296CF2">
        <w:t>ter penalty provisions</w:t>
      </w:r>
      <w:r w:rsidR="008043EA">
        <w:t>.</w:t>
      </w:r>
      <w:r w:rsidR="00F94A7C">
        <w:br/>
      </w:r>
      <w:r w:rsidR="00F94A7C" w:rsidRPr="002854D5">
        <w:rPr>
          <w:rStyle w:val="References"/>
        </w:rPr>
        <w:t xml:space="preserve">[Schedule </w:t>
      </w:r>
      <w:r w:rsidR="00F94A7C">
        <w:rPr>
          <w:rStyle w:val="References"/>
        </w:rPr>
        <w:t>#</w:t>
      </w:r>
      <w:r w:rsidR="00F94A7C" w:rsidRPr="002854D5">
        <w:rPr>
          <w:rStyle w:val="References"/>
        </w:rPr>
        <w:t>, item</w:t>
      </w:r>
      <w:r w:rsidR="00734082">
        <w:rPr>
          <w:rStyle w:val="References"/>
        </w:rPr>
        <w:t xml:space="preserve"> </w:t>
      </w:r>
      <w:r w:rsidR="001A76F4">
        <w:rPr>
          <w:rStyle w:val="References"/>
        </w:rPr>
        <w:t>24</w:t>
      </w:r>
      <w:r w:rsidR="00FC6CD0">
        <w:rPr>
          <w:rStyle w:val="References"/>
        </w:rPr>
        <w:t>,</w:t>
      </w:r>
      <w:r w:rsidR="00A67A09">
        <w:rPr>
          <w:rStyle w:val="References"/>
        </w:rPr>
        <w:t xml:space="preserve"> subsection</w:t>
      </w:r>
      <w:r w:rsidR="00FC6CD0">
        <w:rPr>
          <w:rStyle w:val="References"/>
        </w:rPr>
        <w:t xml:space="preserve"> 290-55</w:t>
      </w:r>
      <w:r w:rsidR="001C0602">
        <w:rPr>
          <w:rStyle w:val="References"/>
        </w:rPr>
        <w:t xml:space="preserve"> </w:t>
      </w:r>
      <w:r w:rsidR="00A67A09">
        <w:rPr>
          <w:rStyle w:val="References"/>
        </w:rPr>
        <w:t>(7A)</w:t>
      </w:r>
      <w:r w:rsidR="00CF6C13">
        <w:rPr>
          <w:rStyle w:val="References"/>
        </w:rPr>
        <w:t xml:space="preserve"> </w:t>
      </w:r>
      <w:r w:rsidR="00CF6C13" w:rsidRPr="00A668C0">
        <w:rPr>
          <w:rStyle w:val="References"/>
        </w:rPr>
        <w:t>of</w:t>
      </w:r>
      <w:r w:rsidR="00CF6C13">
        <w:rPr>
          <w:rStyle w:val="References"/>
        </w:rPr>
        <w:t xml:space="preserve"> Schedule 1 to the TAA 1953</w:t>
      </w:r>
      <w:r w:rsidR="00F94A7C" w:rsidRPr="002854D5">
        <w:rPr>
          <w:rStyle w:val="References"/>
        </w:rPr>
        <w:t xml:space="preserve">] </w:t>
      </w:r>
    </w:p>
    <w:p w14:paraId="24432186" w14:textId="7E5E1994" w:rsidR="00496760" w:rsidRPr="002B570B" w:rsidRDefault="00F52FC2" w:rsidP="00496760">
      <w:pPr>
        <w:pStyle w:val="Heading3"/>
        <w:rPr>
          <w:rFonts w:hint="eastAsia"/>
        </w:rPr>
      </w:pPr>
      <w:bookmarkStart w:id="45" w:name="_Toc145320942"/>
      <w:bookmarkStart w:id="46" w:name="_Toc145334226"/>
      <w:r w:rsidRPr="002B570B">
        <w:t>M</w:t>
      </w:r>
      <w:r w:rsidR="00496760" w:rsidRPr="002B570B">
        <w:t>eaning of promoter</w:t>
      </w:r>
      <w:bookmarkEnd w:id="45"/>
      <w:bookmarkEnd w:id="46"/>
    </w:p>
    <w:p w14:paraId="3E69E586" w14:textId="3F636C0B" w:rsidR="00496760" w:rsidRDefault="00B275EE" w:rsidP="00496760">
      <w:pPr>
        <w:pStyle w:val="Normalparatextwithnumbers"/>
        <w:numPr>
          <w:ilvl w:val="1"/>
          <w:numId w:val="3"/>
        </w:numPr>
      </w:pPr>
      <w:r w:rsidRPr="00E95380">
        <w:t>Schedule # to the Bill broadens the meaning of ‘promoter’ to include entities that have received a benefit</w:t>
      </w:r>
      <w:r w:rsidR="00922CCF">
        <w:t>, rather than ‘consideration’</w:t>
      </w:r>
      <w:r w:rsidRPr="00E95380">
        <w:t xml:space="preserve"> in respect of the marketing or growth of interest in a scheme. </w:t>
      </w:r>
      <w:r w:rsidR="00363AA3">
        <w:t xml:space="preserve"> </w:t>
      </w:r>
      <w:r w:rsidR="00F66AC9">
        <w:br/>
      </w:r>
      <w:r w:rsidR="00F66AC9" w:rsidRPr="00F66AC9">
        <w:rPr>
          <w:rStyle w:val="References"/>
        </w:rPr>
        <w:t xml:space="preserve">[Schedule </w:t>
      </w:r>
      <w:r w:rsidR="00122027">
        <w:rPr>
          <w:rStyle w:val="References"/>
        </w:rPr>
        <w:t>#</w:t>
      </w:r>
      <w:r w:rsidR="00F66AC9" w:rsidRPr="00F66AC9">
        <w:rPr>
          <w:rStyle w:val="References"/>
        </w:rPr>
        <w:t>, item</w:t>
      </w:r>
      <w:r w:rsidR="00122027">
        <w:rPr>
          <w:rStyle w:val="References"/>
        </w:rPr>
        <w:t xml:space="preserve"> 2</w:t>
      </w:r>
      <w:r w:rsidR="003B29B9">
        <w:rPr>
          <w:rStyle w:val="References"/>
        </w:rPr>
        <w:t>6</w:t>
      </w:r>
      <w:r w:rsidR="00F66AC9" w:rsidRPr="00F66AC9">
        <w:rPr>
          <w:rStyle w:val="References"/>
        </w:rPr>
        <w:t xml:space="preserve">, </w:t>
      </w:r>
      <w:r w:rsidR="001419F1">
        <w:rPr>
          <w:rStyle w:val="References"/>
        </w:rPr>
        <w:t>par</w:t>
      </w:r>
      <w:r w:rsidR="007123BB">
        <w:rPr>
          <w:rStyle w:val="References"/>
        </w:rPr>
        <w:t>a</w:t>
      </w:r>
      <w:r w:rsidR="001419F1">
        <w:rPr>
          <w:rStyle w:val="References"/>
        </w:rPr>
        <w:t>graph</w:t>
      </w:r>
      <w:r w:rsidR="00122027">
        <w:rPr>
          <w:rStyle w:val="References"/>
        </w:rPr>
        <w:t xml:space="preserve"> 290-60(</w:t>
      </w:r>
      <w:r w:rsidR="00D718A9">
        <w:rPr>
          <w:rStyle w:val="References"/>
        </w:rPr>
        <w:t>1</w:t>
      </w:r>
      <w:r w:rsidR="00122027">
        <w:rPr>
          <w:rStyle w:val="References"/>
        </w:rPr>
        <w:t>)(b</w:t>
      </w:r>
      <w:r w:rsidR="009B4314">
        <w:rPr>
          <w:rStyle w:val="References"/>
        </w:rPr>
        <w:t>)</w:t>
      </w:r>
      <w:r w:rsidR="00CF6C13">
        <w:rPr>
          <w:rStyle w:val="References"/>
        </w:rPr>
        <w:t xml:space="preserve"> </w:t>
      </w:r>
      <w:r w:rsidR="00CF6C13" w:rsidRPr="00A668C0">
        <w:rPr>
          <w:rStyle w:val="References"/>
        </w:rPr>
        <w:t>of</w:t>
      </w:r>
      <w:r w:rsidR="00CF6C13">
        <w:rPr>
          <w:rStyle w:val="References"/>
        </w:rPr>
        <w:t xml:space="preserve"> Schedule 1 to the TAA 1953</w:t>
      </w:r>
      <w:r w:rsidR="00F66AC9" w:rsidRPr="00F66AC9">
        <w:rPr>
          <w:rStyle w:val="References"/>
        </w:rPr>
        <w:t xml:space="preserve">] </w:t>
      </w:r>
      <w:r w:rsidR="00B72965">
        <w:t xml:space="preserve"> </w:t>
      </w:r>
    </w:p>
    <w:p w14:paraId="1B2AFDBA" w14:textId="44C6A6F4" w:rsidR="00747EE2" w:rsidRDefault="00846F9D" w:rsidP="00747EE2">
      <w:pPr>
        <w:pStyle w:val="Normalparatextwithnumbers"/>
        <w:numPr>
          <w:ilvl w:val="1"/>
          <w:numId w:val="3"/>
        </w:numPr>
      </w:pPr>
      <w:r w:rsidRPr="00E95380">
        <w:t xml:space="preserve">This change allows the Commissioner to apply for an order that an entity has </w:t>
      </w:r>
      <w:r w:rsidR="00975EDF">
        <w:t>cont</w:t>
      </w:r>
      <w:r w:rsidR="00984319">
        <w:t>r</w:t>
      </w:r>
      <w:r w:rsidR="00975EDF">
        <w:t>avened</w:t>
      </w:r>
      <w:r w:rsidR="00975EDF" w:rsidRPr="00E95380">
        <w:t xml:space="preserve"> </w:t>
      </w:r>
      <w:r w:rsidRPr="00E95380">
        <w:t xml:space="preserve">the promoter penalty laws </w:t>
      </w:r>
      <w:r w:rsidR="002E4523">
        <w:t xml:space="preserve">where the promoter </w:t>
      </w:r>
      <w:r w:rsidRPr="00E95380">
        <w:t>has</w:t>
      </w:r>
      <w:r w:rsidRPr="00E95380" w:rsidDel="00EB7A14">
        <w:t xml:space="preserve"> </w:t>
      </w:r>
      <w:r w:rsidRPr="00E95380">
        <w:t>received a benefit</w:t>
      </w:r>
      <w:r w:rsidRPr="00E95380" w:rsidDel="003A3240">
        <w:t xml:space="preserve"> </w:t>
      </w:r>
      <w:r w:rsidRPr="00E95380">
        <w:t xml:space="preserve">from promoting </w:t>
      </w:r>
      <w:r w:rsidR="000C4723">
        <w:t>a</w:t>
      </w:r>
      <w:r w:rsidRPr="00E95380">
        <w:t xml:space="preserve"> scheme</w:t>
      </w:r>
      <w:r w:rsidR="003A3240" w:rsidRPr="003A3240">
        <w:t xml:space="preserve"> </w:t>
      </w:r>
      <w:r w:rsidR="003A3240">
        <w:t xml:space="preserve">that is not necessarily received directly from a client, such as increasing </w:t>
      </w:r>
      <w:r w:rsidR="00A017EA">
        <w:t>their client base</w:t>
      </w:r>
      <w:r w:rsidRPr="00E95380">
        <w:t xml:space="preserve">. </w:t>
      </w:r>
      <w:r w:rsidR="00B62218">
        <w:t xml:space="preserve">This amendment allows the Commissioner to apply the </w:t>
      </w:r>
      <w:r w:rsidR="00F45FA5">
        <w:t>test</w:t>
      </w:r>
      <w:r w:rsidR="00B62218">
        <w:t xml:space="preserve"> to situations where the benefit is less obvious, intangible or disguised. </w:t>
      </w:r>
    </w:p>
    <w:p w14:paraId="65FB29BE" w14:textId="404DA83C" w:rsidR="00CC01D4" w:rsidRDefault="00CC01D4" w:rsidP="00092B05">
      <w:pPr>
        <w:pStyle w:val="Normalparatextwithnumbers"/>
        <w:numPr>
          <w:ilvl w:val="1"/>
          <w:numId w:val="3"/>
        </w:numPr>
      </w:pPr>
      <w:r>
        <w:t>It is not intended that</w:t>
      </w:r>
      <w:r w:rsidR="00415AEF">
        <w:t xml:space="preserve"> a benefit needs to be quantifiable </w:t>
      </w:r>
      <w:proofErr w:type="gramStart"/>
      <w:r w:rsidR="00415AEF">
        <w:t>in order for</w:t>
      </w:r>
      <w:proofErr w:type="gramEnd"/>
      <w:r w:rsidR="00415AEF">
        <w:t xml:space="preserve"> a civil penalty to be imposed.</w:t>
      </w:r>
      <w:r w:rsidR="002B5AE0">
        <w:t xml:space="preserve"> It is intended that</w:t>
      </w:r>
      <w:r w:rsidR="00DF2288">
        <w:t xml:space="preserve"> anything that is consideration will </w:t>
      </w:r>
      <w:r w:rsidR="00765351">
        <w:t>still</w:t>
      </w:r>
      <w:r w:rsidR="00DF2288">
        <w:t xml:space="preserve"> be included in the </w:t>
      </w:r>
      <w:r w:rsidR="00765351">
        <w:t>concept of benefit</w:t>
      </w:r>
      <w:r w:rsidR="00B26238">
        <w:t>.</w:t>
      </w:r>
    </w:p>
    <w:p w14:paraId="2D582862" w14:textId="6434B085" w:rsidR="00BC4299" w:rsidRPr="00E95380" w:rsidRDefault="00092B05" w:rsidP="00092B05">
      <w:pPr>
        <w:pStyle w:val="Normalparatextwithnumbers"/>
        <w:numPr>
          <w:ilvl w:val="1"/>
          <w:numId w:val="3"/>
        </w:numPr>
      </w:pPr>
      <w:r>
        <w:t xml:space="preserve">The amendments also update a reference to the amount of consideration received or receivable by an entity to </w:t>
      </w:r>
      <w:r w:rsidR="00A64B0B">
        <w:t>refer to</w:t>
      </w:r>
      <w:r>
        <w:t xml:space="preserve"> the amount of </w:t>
      </w:r>
      <w:r w:rsidR="00C643E9">
        <w:t xml:space="preserve">the </w:t>
      </w:r>
      <w:r>
        <w:t>benefit.</w:t>
      </w:r>
      <w:r w:rsidR="00D812BE">
        <w:br/>
      </w:r>
      <w:r w:rsidR="00D812BE" w:rsidRPr="00343F46">
        <w:rPr>
          <w:rStyle w:val="References"/>
        </w:rPr>
        <w:t xml:space="preserve">[Schedule </w:t>
      </w:r>
      <w:r w:rsidR="00343F46">
        <w:rPr>
          <w:rStyle w:val="References"/>
        </w:rPr>
        <w:t>#</w:t>
      </w:r>
      <w:r w:rsidR="00D812BE" w:rsidRPr="00343F46">
        <w:rPr>
          <w:rStyle w:val="References"/>
        </w:rPr>
        <w:t>, item</w:t>
      </w:r>
      <w:r w:rsidR="00343F46">
        <w:rPr>
          <w:rStyle w:val="References"/>
        </w:rPr>
        <w:t xml:space="preserve"> 1</w:t>
      </w:r>
      <w:r w:rsidR="00964B8F">
        <w:rPr>
          <w:rStyle w:val="References"/>
        </w:rPr>
        <w:t>3</w:t>
      </w:r>
      <w:r w:rsidR="00D812BE" w:rsidRPr="00343F46">
        <w:rPr>
          <w:rStyle w:val="References"/>
        </w:rPr>
        <w:t xml:space="preserve">, </w:t>
      </w:r>
      <w:r w:rsidR="001917AB">
        <w:rPr>
          <w:rStyle w:val="References"/>
        </w:rPr>
        <w:t>paragraph 290-50(5)(a)</w:t>
      </w:r>
      <w:r w:rsidR="00CF6C13">
        <w:rPr>
          <w:rStyle w:val="References"/>
        </w:rPr>
        <w:t xml:space="preserve"> </w:t>
      </w:r>
      <w:r w:rsidR="00CF6C13" w:rsidRPr="00A668C0">
        <w:rPr>
          <w:rStyle w:val="References"/>
        </w:rPr>
        <w:t>of</w:t>
      </w:r>
      <w:r w:rsidR="00CF6C13">
        <w:rPr>
          <w:rStyle w:val="References"/>
        </w:rPr>
        <w:t xml:space="preserve"> Schedule 1 to the TAA 1953</w:t>
      </w:r>
      <w:r w:rsidR="00D812BE" w:rsidRPr="00343F46">
        <w:rPr>
          <w:rStyle w:val="References"/>
        </w:rPr>
        <w:t xml:space="preserve">] </w:t>
      </w:r>
    </w:p>
    <w:p w14:paraId="7760CC98" w14:textId="18A0FC83" w:rsidR="0099770D" w:rsidRPr="00562745" w:rsidRDefault="005052CD" w:rsidP="0099770D">
      <w:pPr>
        <w:pStyle w:val="Heading3"/>
        <w:rPr>
          <w:rFonts w:hint="eastAsia"/>
        </w:rPr>
      </w:pPr>
      <w:bookmarkStart w:id="47" w:name="_Toc145320943"/>
      <w:bookmarkStart w:id="48" w:name="_Toc145334227"/>
      <w:r w:rsidRPr="00562745">
        <w:t>Meaning of tax exploitation scheme</w:t>
      </w:r>
      <w:bookmarkEnd w:id="47"/>
      <w:bookmarkEnd w:id="48"/>
    </w:p>
    <w:p w14:paraId="7FF612C2" w14:textId="0343BF3C" w:rsidR="002B22BC" w:rsidRDefault="0099770D" w:rsidP="0099770D">
      <w:pPr>
        <w:pStyle w:val="Normalparatextwithnumbers"/>
        <w:numPr>
          <w:ilvl w:val="1"/>
          <w:numId w:val="3"/>
        </w:numPr>
      </w:pPr>
      <w:r w:rsidRPr="00AD33E6">
        <w:t xml:space="preserve">Schedule # to the Bill amends the </w:t>
      </w:r>
      <w:r w:rsidR="004135D3">
        <w:t>definition of tax exploitation scheme</w:t>
      </w:r>
      <w:r w:rsidR="004624F9">
        <w:t xml:space="preserve">. The expanded definition </w:t>
      </w:r>
      <w:r w:rsidR="001A30A8">
        <w:t>includes</w:t>
      </w:r>
      <w:r w:rsidR="00540009">
        <w:t xml:space="preserve"> schemes </w:t>
      </w:r>
      <w:r w:rsidR="0090539E">
        <w:t xml:space="preserve">that </w:t>
      </w:r>
      <w:r w:rsidR="00605DA7">
        <w:t>are</w:t>
      </w:r>
      <w:r w:rsidR="00C20AE3">
        <w:t xml:space="preserve"> subject to the </w:t>
      </w:r>
      <w:r w:rsidR="007937B7" w:rsidRPr="007937B7">
        <w:t>Multinational Anti Avoidance Law</w:t>
      </w:r>
      <w:r w:rsidR="007937B7">
        <w:t xml:space="preserve"> (MAAL) </w:t>
      </w:r>
      <w:r w:rsidR="00C969D7">
        <w:t>or the</w:t>
      </w:r>
      <w:r w:rsidR="00C969D7" w:rsidRPr="00C969D7">
        <w:t xml:space="preserve"> </w:t>
      </w:r>
      <w:r w:rsidR="00C969D7">
        <w:t>d</w:t>
      </w:r>
      <w:r w:rsidR="00C969D7" w:rsidRPr="00AB0810">
        <w:t>iverted profits tax</w:t>
      </w:r>
      <w:r w:rsidR="00C969D7">
        <w:t xml:space="preserve"> (DPT)</w:t>
      </w:r>
      <w:r w:rsidR="00AE7B98">
        <w:t xml:space="preserve"> due to the operation of</w:t>
      </w:r>
      <w:r w:rsidR="007937B7">
        <w:t xml:space="preserve"> s</w:t>
      </w:r>
      <w:r w:rsidR="00745CF9">
        <w:t xml:space="preserve">ection </w:t>
      </w:r>
      <w:r w:rsidR="007937B7">
        <w:t>177DA</w:t>
      </w:r>
      <w:r w:rsidR="00AE7B98">
        <w:t xml:space="preserve"> or </w:t>
      </w:r>
      <w:r w:rsidR="00745CF9">
        <w:t>section 177J</w:t>
      </w:r>
      <w:r w:rsidR="007937B7">
        <w:t xml:space="preserve"> of the ITAA 1936</w:t>
      </w:r>
      <w:r w:rsidR="0090539E">
        <w:t>, or that would reasonably</w:t>
      </w:r>
      <w:r w:rsidR="00D02B68">
        <w:t xml:space="preserve"> </w:t>
      </w:r>
      <w:r w:rsidR="00D02B68">
        <w:lastRenderedPageBreak/>
        <w:t>be</w:t>
      </w:r>
      <w:r w:rsidR="0090539E">
        <w:t xml:space="preserve"> expected </w:t>
      </w:r>
      <w:r w:rsidR="00D81FA7">
        <w:t xml:space="preserve">to </w:t>
      </w:r>
      <w:r w:rsidR="00037A3C">
        <w:t xml:space="preserve">be subject to </w:t>
      </w:r>
      <w:r w:rsidR="00D57D68">
        <w:t xml:space="preserve">either </w:t>
      </w:r>
      <w:r w:rsidR="00B34F25">
        <w:t>the MAAL or DPT</w:t>
      </w:r>
      <w:r w:rsidR="00D81FA7">
        <w:t xml:space="preserve"> if the scheme were implemented</w:t>
      </w:r>
      <w:r w:rsidR="00406F15">
        <w:t>.</w:t>
      </w:r>
    </w:p>
    <w:p w14:paraId="19E45978" w14:textId="5287E8D2" w:rsidR="000D69D5" w:rsidRPr="00E60C04" w:rsidRDefault="00480303" w:rsidP="00E60C04">
      <w:pPr>
        <w:pStyle w:val="DoubleDot"/>
        <w:numPr>
          <w:ilvl w:val="0"/>
          <w:numId w:val="0"/>
        </w:numPr>
        <w:ind w:left="720"/>
        <w:rPr>
          <w:color w:val="auto"/>
        </w:rPr>
      </w:pPr>
      <w:r w:rsidRPr="00E60C04">
        <w:rPr>
          <w:rStyle w:val="References"/>
          <w:color w:val="auto"/>
        </w:rPr>
        <w:t>[Schedule #, item</w:t>
      </w:r>
      <w:r w:rsidR="00871A46" w:rsidRPr="00E60C04">
        <w:rPr>
          <w:rStyle w:val="References"/>
          <w:color w:val="auto"/>
        </w:rPr>
        <w:t xml:space="preserve"> 2</w:t>
      </w:r>
      <w:r w:rsidR="00BF30FA">
        <w:rPr>
          <w:rStyle w:val="References"/>
          <w:color w:val="auto"/>
        </w:rPr>
        <w:t>7</w:t>
      </w:r>
      <w:r w:rsidRPr="00E60C04">
        <w:rPr>
          <w:rStyle w:val="References"/>
          <w:color w:val="auto"/>
        </w:rPr>
        <w:t xml:space="preserve">, </w:t>
      </w:r>
      <w:r w:rsidR="00992B66" w:rsidRPr="00E60C04">
        <w:rPr>
          <w:rStyle w:val="References"/>
          <w:color w:val="auto"/>
        </w:rPr>
        <w:t>sub</w:t>
      </w:r>
      <w:r w:rsidR="00992B66">
        <w:rPr>
          <w:rStyle w:val="References"/>
          <w:color w:val="auto"/>
        </w:rPr>
        <w:t>section</w:t>
      </w:r>
      <w:r w:rsidR="00992B66" w:rsidRPr="00E60C04">
        <w:rPr>
          <w:rStyle w:val="References"/>
          <w:color w:val="auto"/>
        </w:rPr>
        <w:t xml:space="preserve"> </w:t>
      </w:r>
      <w:r w:rsidR="00E94280" w:rsidRPr="00E60C04">
        <w:rPr>
          <w:b/>
          <w:bCs/>
          <w:i/>
          <w:iCs/>
          <w:color w:val="auto"/>
        </w:rPr>
        <w:t>290</w:t>
      </w:r>
      <w:r w:rsidR="00E94280" w:rsidRPr="00E60C04">
        <w:rPr>
          <w:b/>
          <w:bCs/>
          <w:i/>
          <w:iCs/>
          <w:color w:val="auto"/>
        </w:rPr>
        <w:noBreakHyphen/>
        <w:t>65(</w:t>
      </w:r>
      <w:r w:rsidR="00CF60F3">
        <w:rPr>
          <w:b/>
          <w:bCs/>
          <w:i/>
          <w:iCs/>
          <w:color w:val="auto"/>
        </w:rPr>
        <w:t>1A)</w:t>
      </w:r>
      <w:r w:rsidR="0003475F" w:rsidRPr="00E60C04">
        <w:rPr>
          <w:b/>
          <w:bCs/>
          <w:i/>
          <w:iCs/>
          <w:color w:val="auto"/>
        </w:rPr>
        <w:t xml:space="preserve"> </w:t>
      </w:r>
      <w:r w:rsidR="0003475F" w:rsidRPr="00E60C04">
        <w:rPr>
          <w:rStyle w:val="References"/>
          <w:color w:val="auto"/>
        </w:rPr>
        <w:t>of Schedule 1 to the TAA 1953</w:t>
      </w:r>
      <w:r w:rsidRPr="00E60C04">
        <w:rPr>
          <w:rStyle w:val="References"/>
          <w:color w:val="auto"/>
        </w:rPr>
        <w:t xml:space="preserve">] </w:t>
      </w:r>
    </w:p>
    <w:p w14:paraId="050F96AF" w14:textId="72DDAEB0" w:rsidR="00D430CC" w:rsidRDefault="00E87897" w:rsidP="00E60C04">
      <w:pPr>
        <w:pStyle w:val="Normalparatextwithnumbers"/>
        <w:numPr>
          <w:ilvl w:val="1"/>
          <w:numId w:val="3"/>
        </w:numPr>
      </w:pPr>
      <w:r w:rsidRPr="00BB5117">
        <w:t>Th</w:t>
      </w:r>
      <w:r w:rsidR="00BB5117" w:rsidRPr="00E60C04">
        <w:t>is</w:t>
      </w:r>
      <w:r w:rsidRPr="00BB5117">
        <w:t xml:space="preserve"> definition of ‘tax exploitation scheme’ does not apply to a scheme where it is reasonably arguable that a scheme benefit</w:t>
      </w:r>
      <w:r w:rsidR="004F5426" w:rsidRPr="00BB5117">
        <w:t xml:space="preserve"> is, or</w:t>
      </w:r>
      <w:r w:rsidRPr="00BB5117">
        <w:t xml:space="preserve"> would be</w:t>
      </w:r>
      <w:r w:rsidR="004F5426" w:rsidRPr="00BB5117">
        <w:t>,</w:t>
      </w:r>
      <w:r w:rsidRPr="00BB5117">
        <w:t xml:space="preserve"> available at law</w:t>
      </w:r>
      <w:r w:rsidR="0078359B">
        <w:t xml:space="preserve"> under </w:t>
      </w:r>
      <w:r w:rsidR="008E1C65">
        <w:t xml:space="preserve">paragraph </w:t>
      </w:r>
      <w:r w:rsidR="008B337B">
        <w:t>290-65(1)(b)</w:t>
      </w:r>
      <w:r w:rsidRPr="00CF6C13">
        <w:t>.</w:t>
      </w:r>
      <w:r w:rsidR="00DB7A26">
        <w:t xml:space="preserve"> </w:t>
      </w:r>
    </w:p>
    <w:p w14:paraId="7B0BEEA3" w14:textId="77777777" w:rsidR="0054766E" w:rsidRDefault="00861389" w:rsidP="00E850AC">
      <w:pPr>
        <w:pStyle w:val="Heading3"/>
        <w:rPr>
          <w:rFonts w:hint="eastAsia"/>
        </w:rPr>
      </w:pPr>
      <w:bookmarkStart w:id="49" w:name="_Toc145320944"/>
      <w:bookmarkStart w:id="50" w:name="_Toc145334228"/>
      <w:r w:rsidRPr="00562745">
        <w:t>ATO rulings</w:t>
      </w:r>
      <w:bookmarkEnd w:id="49"/>
      <w:bookmarkEnd w:id="50"/>
    </w:p>
    <w:p w14:paraId="7AB25673" w14:textId="1C00BDCB" w:rsidR="005830DD" w:rsidRPr="001155C0" w:rsidRDefault="005830DD" w:rsidP="005830DD">
      <w:pPr>
        <w:pStyle w:val="Normalparatextwithnumbers"/>
        <w:numPr>
          <w:ilvl w:val="1"/>
          <w:numId w:val="3"/>
        </w:numPr>
      </w:pPr>
      <w:r w:rsidRPr="001155C0">
        <w:t xml:space="preserve">Schedule # to the Bill </w:t>
      </w:r>
      <w:r>
        <w:t xml:space="preserve">extends the scope of the promoter penalty laws to </w:t>
      </w:r>
      <w:r w:rsidRPr="001155C0">
        <w:t>apply to all ATO rulings</w:t>
      </w:r>
      <w:r w:rsidR="00FD1DAF">
        <w:t>, specifically public</w:t>
      </w:r>
      <w:r w:rsidR="0065086C">
        <w:t>,</w:t>
      </w:r>
      <w:r w:rsidR="00FD1DAF">
        <w:t xml:space="preserve"> private and oral rulings</w:t>
      </w:r>
      <w:r>
        <w:t>.</w:t>
      </w:r>
      <w:r>
        <w:rPr>
          <w:color w:val="FF0000"/>
        </w:rPr>
        <w:t xml:space="preserve"> </w:t>
      </w:r>
      <w:r w:rsidRPr="001155C0">
        <w:t>Th</w:t>
      </w:r>
      <w:r w:rsidR="000608D1">
        <w:t xml:space="preserve">is ensures </w:t>
      </w:r>
      <w:r w:rsidR="00D554D6">
        <w:t>the</w:t>
      </w:r>
      <w:r w:rsidR="000608D1">
        <w:t xml:space="preserve"> </w:t>
      </w:r>
      <w:r>
        <w:t>promoter penalty laws</w:t>
      </w:r>
      <w:r w:rsidRPr="001155C0">
        <w:t xml:space="preserve"> prohibit a</w:t>
      </w:r>
      <w:r>
        <w:t>n entity</w:t>
      </w:r>
      <w:r w:rsidRPr="001155C0">
        <w:t xml:space="preserve"> from promoting a scheme on the basis of conformity with a public ruling, private ruling or oral ruling where the scheme</w:t>
      </w:r>
      <w:r>
        <w:t xml:space="preserve"> is </w:t>
      </w:r>
      <w:r w:rsidRPr="001155C0">
        <w:t xml:space="preserve">materially different from the </w:t>
      </w:r>
      <w:r w:rsidR="000F6245">
        <w:t>scheme</w:t>
      </w:r>
      <w:r w:rsidR="000F6245" w:rsidRPr="001155C0">
        <w:t xml:space="preserve"> </w:t>
      </w:r>
      <w:r w:rsidRPr="001155C0">
        <w:t>described in the ruling.</w:t>
      </w:r>
      <w:r w:rsidRPr="001155C0">
        <w:br/>
      </w:r>
      <w:r w:rsidRPr="001155C0">
        <w:rPr>
          <w:rStyle w:val="References"/>
        </w:rPr>
        <w:t>[Schedule #, items 4,</w:t>
      </w:r>
      <w:r w:rsidR="00030B1C">
        <w:rPr>
          <w:rStyle w:val="References"/>
        </w:rPr>
        <w:t xml:space="preserve"> 5, 6, 7, </w:t>
      </w:r>
      <w:r w:rsidR="00C94A20">
        <w:rPr>
          <w:rStyle w:val="References"/>
        </w:rPr>
        <w:t>9</w:t>
      </w:r>
      <w:r w:rsidR="00030B1C">
        <w:rPr>
          <w:rStyle w:val="References"/>
        </w:rPr>
        <w:t>,</w:t>
      </w:r>
      <w:r w:rsidRPr="001155C0">
        <w:rPr>
          <w:rStyle w:val="References"/>
        </w:rPr>
        <w:t xml:space="preserve"> </w:t>
      </w:r>
      <w:r w:rsidR="00A6731C">
        <w:rPr>
          <w:rStyle w:val="References"/>
        </w:rPr>
        <w:t>1</w:t>
      </w:r>
      <w:r w:rsidR="0003789C">
        <w:rPr>
          <w:rStyle w:val="References"/>
        </w:rPr>
        <w:t>6</w:t>
      </w:r>
      <w:r w:rsidR="00A6731C">
        <w:rPr>
          <w:rStyle w:val="References"/>
        </w:rPr>
        <w:t xml:space="preserve">, </w:t>
      </w:r>
      <w:r w:rsidR="00EC159A">
        <w:rPr>
          <w:rStyle w:val="References"/>
        </w:rPr>
        <w:t>2</w:t>
      </w:r>
      <w:r w:rsidR="00EC159A" w:rsidDel="000B553E">
        <w:rPr>
          <w:rStyle w:val="References"/>
        </w:rPr>
        <w:t>0</w:t>
      </w:r>
      <w:r w:rsidR="008D54AA">
        <w:rPr>
          <w:rStyle w:val="References"/>
        </w:rPr>
        <w:t xml:space="preserve">, </w:t>
      </w:r>
      <w:r w:rsidR="00EC159A">
        <w:rPr>
          <w:rStyle w:val="References"/>
        </w:rPr>
        <w:t>2</w:t>
      </w:r>
      <w:r w:rsidR="000B553E">
        <w:rPr>
          <w:rStyle w:val="References"/>
        </w:rPr>
        <w:t>2</w:t>
      </w:r>
      <w:r w:rsidR="00811C53">
        <w:rPr>
          <w:rStyle w:val="References"/>
        </w:rPr>
        <w:t xml:space="preserve"> and</w:t>
      </w:r>
      <w:r w:rsidR="00EC159A">
        <w:rPr>
          <w:rStyle w:val="References"/>
        </w:rPr>
        <w:t xml:space="preserve"> 2</w:t>
      </w:r>
      <w:r w:rsidR="00E10A80">
        <w:rPr>
          <w:rStyle w:val="References"/>
        </w:rPr>
        <w:t>3</w:t>
      </w:r>
      <w:r w:rsidRPr="001155C0">
        <w:rPr>
          <w:rStyle w:val="References"/>
        </w:rPr>
        <w:t xml:space="preserve">, subsections 290-50(1A), </w:t>
      </w:r>
      <w:r w:rsidRPr="00BE411C">
        <w:rPr>
          <w:rStyle w:val="References"/>
        </w:rPr>
        <w:t>(</w:t>
      </w:r>
      <w:r w:rsidR="00E133BB">
        <w:rPr>
          <w:rStyle w:val="References"/>
        </w:rPr>
        <w:t>2</w:t>
      </w:r>
      <w:r w:rsidR="00F210F6">
        <w:rPr>
          <w:rStyle w:val="References"/>
        </w:rPr>
        <w:t>), (2A</w:t>
      </w:r>
      <w:r w:rsidRPr="00BE411C">
        <w:rPr>
          <w:rStyle w:val="References"/>
        </w:rPr>
        <w:t xml:space="preserve">) and (5), </w:t>
      </w:r>
      <w:r w:rsidR="00811C53">
        <w:rPr>
          <w:rStyle w:val="References"/>
        </w:rPr>
        <w:t xml:space="preserve">and </w:t>
      </w:r>
      <w:r w:rsidR="0032029A">
        <w:rPr>
          <w:rStyle w:val="References"/>
        </w:rPr>
        <w:t>sub</w:t>
      </w:r>
      <w:r w:rsidR="0029027A">
        <w:rPr>
          <w:rStyle w:val="References"/>
        </w:rPr>
        <w:t>section</w:t>
      </w:r>
      <w:r w:rsidR="0032029A">
        <w:rPr>
          <w:rStyle w:val="References"/>
        </w:rPr>
        <w:t>s</w:t>
      </w:r>
      <w:r w:rsidR="0029027A">
        <w:rPr>
          <w:rStyle w:val="References"/>
        </w:rPr>
        <w:t xml:space="preserve"> 290-55</w:t>
      </w:r>
      <w:r w:rsidR="00200BF0">
        <w:rPr>
          <w:rStyle w:val="References"/>
        </w:rPr>
        <w:t xml:space="preserve">(5) and </w:t>
      </w:r>
      <w:r w:rsidR="0029027A">
        <w:rPr>
          <w:rStyle w:val="References"/>
        </w:rPr>
        <w:t>(7)</w:t>
      </w:r>
      <w:r w:rsidR="00FA4388">
        <w:rPr>
          <w:rStyle w:val="References"/>
        </w:rPr>
        <w:t xml:space="preserve"> </w:t>
      </w:r>
      <w:r w:rsidRPr="00BE411C">
        <w:rPr>
          <w:rStyle w:val="References"/>
        </w:rPr>
        <w:t>of Schedule 1 to the TAA 1953</w:t>
      </w:r>
      <w:r w:rsidRPr="001155C0">
        <w:rPr>
          <w:rStyle w:val="References"/>
        </w:rPr>
        <w:t xml:space="preserve">] </w:t>
      </w:r>
      <w:r w:rsidRPr="001155C0">
        <w:t xml:space="preserve"> </w:t>
      </w:r>
      <w:r>
        <w:t xml:space="preserve">  </w:t>
      </w:r>
    </w:p>
    <w:p w14:paraId="71F32BB8" w14:textId="48992523" w:rsidR="005830DD" w:rsidRDefault="005830DD" w:rsidP="005830DD">
      <w:pPr>
        <w:pStyle w:val="Normalparatextwithnumbers"/>
        <w:numPr>
          <w:ilvl w:val="1"/>
          <w:numId w:val="3"/>
        </w:numPr>
      </w:pPr>
      <w:proofErr w:type="gramStart"/>
      <w:r>
        <w:t>T</w:t>
      </w:r>
      <w:r w:rsidRPr="00E62195">
        <w:t>he majority of</w:t>
      </w:r>
      <w:proofErr w:type="gramEnd"/>
      <w:r w:rsidRPr="00E62195">
        <w:t xml:space="preserve"> public rulings that are not class rulings or product rulings are of broad application and may not sufficiently describe a scheme</w:t>
      </w:r>
      <w:r>
        <w:t xml:space="preserve"> for the purposes of the promoter penalty laws. </w:t>
      </w:r>
      <w:r w:rsidR="0016575D">
        <w:t>However, the scheme in this context takes its meaning as defined in subsection 995-1(1) of the ITAA 1997</w:t>
      </w:r>
      <w:r w:rsidR="002628B1">
        <w:t xml:space="preserve"> </w:t>
      </w:r>
      <w:r w:rsidR="00ED60C7">
        <w:t>and therefore may be narrowly or broadly determined.</w:t>
      </w:r>
      <w:r>
        <w:t xml:space="preserve"> </w:t>
      </w:r>
      <w:r w:rsidR="00ED60C7">
        <w:t>B</w:t>
      </w:r>
      <w:r w:rsidRPr="00B21E36">
        <w:t>y extending the promoter penalty regime to cover all public rulings, the intention is to cover as many rulings as possible that may be relied upon by promoters for false endorsement of a scheme as conforming with an ATO ruling.</w:t>
      </w:r>
      <w:r>
        <w:t xml:space="preserve"> By extending the promoter penalty regime to cover private rulings, t</w:t>
      </w:r>
      <w:r w:rsidRPr="008813A4">
        <w:t xml:space="preserve">his amendment ensures </w:t>
      </w:r>
      <w:r w:rsidR="00083649">
        <w:t>promoters are</w:t>
      </w:r>
      <w:r w:rsidRPr="008813A4">
        <w:t xml:space="preserve"> also held accountable for their part in the promotion of conformity of a scheme with </w:t>
      </w:r>
      <w:r>
        <w:t>one described</w:t>
      </w:r>
      <w:r w:rsidRPr="008813A4">
        <w:t xml:space="preserve"> in a private ruling (as represented in an edited version or as set out in the private ruling itself) that is materially different.</w:t>
      </w:r>
    </w:p>
    <w:p w14:paraId="7E594FA5" w14:textId="11F86861" w:rsidR="00C77679" w:rsidRDefault="00C77679" w:rsidP="005830DD">
      <w:pPr>
        <w:pStyle w:val="Normalparatextwithnumbers"/>
        <w:numPr>
          <w:ilvl w:val="1"/>
          <w:numId w:val="3"/>
        </w:numPr>
      </w:pPr>
      <w:r>
        <w:t>Covering</w:t>
      </w:r>
      <w:r w:rsidR="0029036F">
        <w:t xml:space="preserve"> oral rulings will ensure that p</w:t>
      </w:r>
      <w:r w:rsidR="00844304">
        <w:t xml:space="preserve">romoters who advise clients, including partners in </w:t>
      </w:r>
      <w:r w:rsidR="00FB322F" w:rsidRPr="008813A4">
        <w:t xml:space="preserve">multidisciplinary firms on their personal tax affairs </w:t>
      </w:r>
      <w:r w:rsidR="0008066B">
        <w:t>by asserting they are relying on oral advice from the ATO, but are applying</w:t>
      </w:r>
      <w:r w:rsidR="001B1830">
        <w:t xml:space="preserve"> a materially different scheme, are also </w:t>
      </w:r>
      <w:r w:rsidR="00FB322F" w:rsidRPr="008813A4">
        <w:t>potentially subject to promoter penalties being imposed</w:t>
      </w:r>
      <w:r w:rsidR="00FB322F">
        <w:t>.</w:t>
      </w:r>
    </w:p>
    <w:p w14:paraId="12A5C3F9" w14:textId="2C060778" w:rsidR="005830DD" w:rsidRPr="001155C0" w:rsidRDefault="005830DD" w:rsidP="005830DD">
      <w:pPr>
        <w:pStyle w:val="Normalparatextwithnumbers"/>
        <w:numPr>
          <w:ilvl w:val="1"/>
          <w:numId w:val="3"/>
        </w:numPr>
      </w:pPr>
      <w:r>
        <w:t>E</w:t>
      </w:r>
      <w:r w:rsidRPr="002C703D">
        <w:t>xtending the promoter penalty regime to cover private</w:t>
      </w:r>
      <w:r>
        <w:t>, public and oral</w:t>
      </w:r>
      <w:r w:rsidRPr="002C703D">
        <w:t xml:space="preserve"> rulings </w:t>
      </w:r>
      <w:r>
        <w:t>deters</w:t>
      </w:r>
      <w:r w:rsidRPr="002C703D">
        <w:t xml:space="preserve"> promoters from promoting schemes </w:t>
      </w:r>
      <w:r>
        <w:t>which incorrectly purport to conform with a ruling by</w:t>
      </w:r>
      <w:r w:rsidRPr="002C703D">
        <w:t xml:space="preserve"> the ATO</w:t>
      </w:r>
      <w:r>
        <w:t>.</w:t>
      </w:r>
    </w:p>
    <w:p w14:paraId="0E50A4AE" w14:textId="6EFABBE6" w:rsidR="0054766E" w:rsidRPr="0054766E" w:rsidRDefault="00642C72" w:rsidP="00AF4A70">
      <w:pPr>
        <w:pStyle w:val="Normalparatextwithnumbers"/>
        <w:numPr>
          <w:ilvl w:val="1"/>
          <w:numId w:val="3"/>
        </w:numPr>
      </w:pPr>
      <w:r w:rsidRPr="002A305B">
        <w:t xml:space="preserve">Schedule # to the Bill makes consequential amendments to the objects clause of Division 290 </w:t>
      </w:r>
      <w:r>
        <w:t>and to provisions throughout the promoter penalty regime</w:t>
      </w:r>
      <w:r w:rsidRPr="002A305B">
        <w:t xml:space="preserve"> to reflect these changes.</w:t>
      </w:r>
      <w:r w:rsidRPr="002A305B">
        <w:br/>
      </w:r>
      <w:r w:rsidRPr="002A305B">
        <w:rPr>
          <w:rStyle w:val="References"/>
        </w:rPr>
        <w:t>[Schedule #, items 1, 2</w:t>
      </w:r>
      <w:r w:rsidR="00721690">
        <w:rPr>
          <w:rStyle w:val="References"/>
        </w:rPr>
        <w:t>,</w:t>
      </w:r>
      <w:r w:rsidR="00C17BA1">
        <w:rPr>
          <w:rStyle w:val="References"/>
        </w:rPr>
        <w:t xml:space="preserve"> </w:t>
      </w:r>
      <w:r w:rsidRPr="002A305B">
        <w:rPr>
          <w:rStyle w:val="References"/>
        </w:rPr>
        <w:t>3</w:t>
      </w:r>
      <w:r w:rsidR="00721690">
        <w:rPr>
          <w:rStyle w:val="References"/>
        </w:rPr>
        <w:t xml:space="preserve"> and 2</w:t>
      </w:r>
      <w:r w:rsidR="007C7DBE">
        <w:rPr>
          <w:rStyle w:val="References"/>
        </w:rPr>
        <w:t>9</w:t>
      </w:r>
      <w:r w:rsidRPr="002A305B">
        <w:rPr>
          <w:rStyle w:val="References"/>
        </w:rPr>
        <w:t>, paragraphs 290-5(a) and (b)</w:t>
      </w:r>
      <w:r>
        <w:rPr>
          <w:rStyle w:val="References"/>
        </w:rPr>
        <w:t xml:space="preserve"> and paragraph 290-135(a)</w:t>
      </w:r>
      <w:r w:rsidR="0003475F">
        <w:rPr>
          <w:rStyle w:val="References"/>
        </w:rPr>
        <w:t xml:space="preserve"> </w:t>
      </w:r>
      <w:r w:rsidR="0003475F" w:rsidRPr="00A668C0">
        <w:rPr>
          <w:rStyle w:val="References"/>
        </w:rPr>
        <w:t>of</w:t>
      </w:r>
      <w:r w:rsidR="0003475F">
        <w:rPr>
          <w:rStyle w:val="References"/>
        </w:rPr>
        <w:t xml:space="preserve"> Schedule 1 to the TAA 1953</w:t>
      </w:r>
      <w:r w:rsidRPr="002A305B">
        <w:rPr>
          <w:rStyle w:val="References"/>
        </w:rPr>
        <w:t>]</w:t>
      </w:r>
    </w:p>
    <w:p w14:paraId="688262BB" w14:textId="6DDAFC51" w:rsidR="00E850AC" w:rsidRDefault="00E850AC" w:rsidP="00C76887">
      <w:pPr>
        <w:pStyle w:val="Heading3"/>
        <w:rPr>
          <w:rFonts w:hint="eastAsia"/>
        </w:rPr>
      </w:pPr>
      <w:bookmarkStart w:id="51" w:name="_Toc145320945"/>
      <w:bookmarkStart w:id="52" w:name="_Toc145334229"/>
      <w:r>
        <w:lastRenderedPageBreak/>
        <w:t>Promoting and implementing schemes otherwise in accordance with rulings</w:t>
      </w:r>
      <w:bookmarkEnd w:id="51"/>
      <w:bookmarkEnd w:id="52"/>
    </w:p>
    <w:p w14:paraId="6D129DA9" w14:textId="73F1B34A" w:rsidR="00E850AC" w:rsidRDefault="00E850AC" w:rsidP="00E850AC">
      <w:pPr>
        <w:pStyle w:val="Normalparatextwithnumbers"/>
        <w:numPr>
          <w:ilvl w:val="1"/>
          <w:numId w:val="3"/>
        </w:numPr>
      </w:pPr>
      <w:r>
        <w:t>These amendments ensure that a civil penalty can be imposed on an entity that engages in conduct which results in:</w:t>
      </w:r>
    </w:p>
    <w:p w14:paraId="7E3754A7" w14:textId="77777777" w:rsidR="00E850AC" w:rsidRDefault="00E850AC" w:rsidP="00E850AC">
      <w:pPr>
        <w:pStyle w:val="Dotpoint1"/>
      </w:pPr>
      <w:r>
        <w:t>an entity being a promoter of a tax exploitation scheme; or</w:t>
      </w:r>
    </w:p>
    <w:p w14:paraId="2BB7790A" w14:textId="77777777" w:rsidR="00E850AC" w:rsidRDefault="00E850AC" w:rsidP="00E850AC">
      <w:pPr>
        <w:pStyle w:val="Dotpoint1"/>
      </w:pPr>
      <w:r>
        <w:t xml:space="preserve">a scheme that is materially different from that described in a public, private or oral ruling being promoted </w:t>
      </w:r>
      <w:proofErr w:type="gramStart"/>
      <w:r>
        <w:t>on the basis of</w:t>
      </w:r>
      <w:proofErr w:type="gramEnd"/>
      <w:r>
        <w:t xml:space="preserve"> conforming with that ruling (whether the scheme is implemented or not); and</w:t>
      </w:r>
    </w:p>
    <w:p w14:paraId="38AB3D8A" w14:textId="4F024061" w:rsidR="00E850AC" w:rsidRDefault="00E850AC" w:rsidP="00E850AC">
      <w:pPr>
        <w:pStyle w:val="Dotpoint1"/>
      </w:pPr>
      <w:r>
        <w:t xml:space="preserve">a scheme that is promoted </w:t>
      </w:r>
      <w:proofErr w:type="gramStart"/>
      <w:r>
        <w:t>on the basis of</w:t>
      </w:r>
      <w:proofErr w:type="gramEnd"/>
      <w:r>
        <w:t xml:space="preserve"> conformity with a public, private or oral ruling, being implemented in a way that is materially different from the ruling, regardless of whether the scheme is the subject of the ruling.</w:t>
      </w:r>
    </w:p>
    <w:p w14:paraId="1C64A6DC" w14:textId="4757BC54" w:rsidR="00E850AC" w:rsidRDefault="00E850AC" w:rsidP="00E850AC">
      <w:pPr>
        <w:pStyle w:val="Referenceafterdotpoint"/>
      </w:pPr>
      <w:r>
        <w:t>[</w:t>
      </w:r>
      <w:r w:rsidRPr="00B15926">
        <w:t xml:space="preserve">Schedule </w:t>
      </w:r>
      <w:r w:rsidR="001F6549" w:rsidRPr="00B15926">
        <w:rPr>
          <w:rStyle w:val="References"/>
          <w:b/>
          <w:bCs w:val="0"/>
        </w:rPr>
        <w:t>#</w:t>
      </w:r>
      <w:r w:rsidRPr="00B15926">
        <w:t>,</w:t>
      </w:r>
      <w:r>
        <w:t xml:space="preserve"> items 4, 5</w:t>
      </w:r>
      <w:r w:rsidR="0063626E">
        <w:t>,</w:t>
      </w:r>
      <w:r>
        <w:t xml:space="preserve"> 6, 7</w:t>
      </w:r>
      <w:r w:rsidR="005E3297">
        <w:t>, 8</w:t>
      </w:r>
      <w:r w:rsidR="00654F0E">
        <w:t xml:space="preserve"> and </w:t>
      </w:r>
      <w:r w:rsidR="005E5558">
        <w:t>10</w:t>
      </w:r>
      <w:r>
        <w:t>, subsections 290-50(1A)</w:t>
      </w:r>
      <w:r w:rsidR="00A81A72">
        <w:t>,</w:t>
      </w:r>
      <w:r>
        <w:t xml:space="preserve"> (2) </w:t>
      </w:r>
      <w:r w:rsidR="00A81A72">
        <w:t xml:space="preserve">and (2A) </w:t>
      </w:r>
      <w:r>
        <w:t>of Schedule 1 to the TAA 1953]</w:t>
      </w:r>
    </w:p>
    <w:p w14:paraId="5C620396" w14:textId="77777777" w:rsidR="00E850AC" w:rsidRDefault="00E850AC" w:rsidP="00E850AC">
      <w:pPr>
        <w:pStyle w:val="Normalparatextwithnumbers"/>
        <w:numPr>
          <w:ilvl w:val="1"/>
          <w:numId w:val="3"/>
        </w:numPr>
      </w:pPr>
      <w:r>
        <w:t>Schedule # to the Bill clarifies that the promoter penalty provisions do not require that a scheme be implemented for a civil penalty to be imposed.</w:t>
      </w:r>
    </w:p>
    <w:p w14:paraId="37307E24" w14:textId="0BE0C679" w:rsidR="00E850AC" w:rsidRDefault="00E850AC" w:rsidP="00E850AC">
      <w:pPr>
        <w:pStyle w:val="Normalparatextwithnumbers"/>
        <w:numPr>
          <w:ilvl w:val="1"/>
          <w:numId w:val="3"/>
        </w:numPr>
      </w:pPr>
      <w:r>
        <w:t xml:space="preserve">It is intended that civil penalties can be imposed for the promotion of schemes as being in conformity with a public, private or oral ruling before, during or after implementation </w:t>
      </w:r>
      <w:proofErr w:type="gramStart"/>
      <w:r>
        <w:t>and also</w:t>
      </w:r>
      <w:proofErr w:type="gramEnd"/>
      <w:r>
        <w:t xml:space="preserve"> in situations where the scheme is not ultimately implemented. This covers situations where a scheme is in the</w:t>
      </w:r>
      <w:r w:rsidR="00FF45BD">
        <w:t xml:space="preserve"> </w:t>
      </w:r>
      <w:r>
        <w:t xml:space="preserve">preparatory states of being </w:t>
      </w:r>
      <w:r w:rsidR="00E561E1">
        <w:t>implemented</w:t>
      </w:r>
      <w:r>
        <w:t xml:space="preserve"> but i</w:t>
      </w:r>
      <w:r w:rsidR="002007F2">
        <w:t>s</w:t>
      </w:r>
      <w:r>
        <w:t xml:space="preserve"> not yet fully implemented.</w:t>
      </w:r>
      <w:r>
        <w:br/>
      </w:r>
      <w:r w:rsidRPr="00A668C0">
        <w:rPr>
          <w:rStyle w:val="References"/>
        </w:rPr>
        <w:t xml:space="preserve">[Schedule </w:t>
      </w:r>
      <w:r w:rsidR="001F6549">
        <w:rPr>
          <w:rStyle w:val="References"/>
        </w:rPr>
        <w:t>#</w:t>
      </w:r>
      <w:r w:rsidRPr="00A668C0">
        <w:rPr>
          <w:rStyle w:val="References"/>
        </w:rPr>
        <w:t>, item</w:t>
      </w:r>
      <w:r w:rsidR="00370B9B">
        <w:rPr>
          <w:rStyle w:val="References"/>
        </w:rPr>
        <w:t>s</w:t>
      </w:r>
      <w:r>
        <w:rPr>
          <w:rStyle w:val="References"/>
        </w:rPr>
        <w:t xml:space="preserve"> 4</w:t>
      </w:r>
      <w:r w:rsidR="008908F0">
        <w:rPr>
          <w:rStyle w:val="References"/>
        </w:rPr>
        <w:t>, 10</w:t>
      </w:r>
      <w:r w:rsidR="00370B9B">
        <w:rPr>
          <w:rStyle w:val="References"/>
        </w:rPr>
        <w:t xml:space="preserve"> and 1</w:t>
      </w:r>
      <w:r w:rsidR="00AE6577">
        <w:rPr>
          <w:rStyle w:val="References"/>
        </w:rPr>
        <w:t>2</w:t>
      </w:r>
      <w:r w:rsidRPr="00A668C0">
        <w:rPr>
          <w:rStyle w:val="References"/>
        </w:rPr>
        <w:t xml:space="preserve">, </w:t>
      </w:r>
      <w:r>
        <w:rPr>
          <w:rStyle w:val="References"/>
        </w:rPr>
        <w:t>subsection</w:t>
      </w:r>
      <w:r w:rsidR="00F415BE">
        <w:rPr>
          <w:rStyle w:val="References"/>
        </w:rPr>
        <w:t>s</w:t>
      </w:r>
      <w:r>
        <w:rPr>
          <w:rStyle w:val="References"/>
        </w:rPr>
        <w:t xml:space="preserve"> 290-50(</w:t>
      </w:r>
      <w:r w:rsidR="00295044">
        <w:rPr>
          <w:rStyle w:val="References"/>
        </w:rPr>
        <w:t>1A</w:t>
      </w:r>
      <w:r>
        <w:rPr>
          <w:rStyle w:val="References"/>
        </w:rPr>
        <w:t>)</w:t>
      </w:r>
      <w:r w:rsidR="00584704">
        <w:rPr>
          <w:rStyle w:val="References"/>
        </w:rPr>
        <w:t>, (3)</w:t>
      </w:r>
      <w:r w:rsidR="00F415BE">
        <w:rPr>
          <w:rStyle w:val="References"/>
        </w:rPr>
        <w:t xml:space="preserve"> and (5</w:t>
      </w:r>
      <w:r>
        <w:rPr>
          <w:rStyle w:val="References"/>
        </w:rPr>
        <w:t>)</w:t>
      </w:r>
      <w:r w:rsidRPr="00A668C0">
        <w:rPr>
          <w:rStyle w:val="References"/>
        </w:rPr>
        <w:t xml:space="preserve"> of</w:t>
      </w:r>
      <w:r>
        <w:rPr>
          <w:rStyle w:val="References"/>
        </w:rPr>
        <w:t xml:space="preserve"> Schedule 1 to the TAA 1953</w:t>
      </w:r>
      <w:r w:rsidRPr="00A668C0">
        <w:rPr>
          <w:rStyle w:val="References"/>
        </w:rPr>
        <w:t xml:space="preserve">] </w:t>
      </w:r>
    </w:p>
    <w:p w14:paraId="5A63ED17" w14:textId="7FA3EC0E" w:rsidR="00E850AC" w:rsidRDefault="00E850AC" w:rsidP="00E850AC">
      <w:pPr>
        <w:pStyle w:val="Normalparatextwithnumbers"/>
        <w:numPr>
          <w:ilvl w:val="1"/>
          <w:numId w:val="3"/>
        </w:numPr>
      </w:pPr>
      <w:r>
        <w:t xml:space="preserve">Further, these amendments clarify that the scheme that is promoted </w:t>
      </w:r>
      <w:proofErr w:type="gramStart"/>
      <w:r>
        <w:t>on the basis of</w:t>
      </w:r>
      <w:proofErr w:type="gramEnd"/>
      <w:r>
        <w:t xml:space="preserve"> conformity with a ruling, whether implemented or not, does not need to be the subject of that ruling. </w:t>
      </w:r>
      <w:proofErr w:type="gramStart"/>
      <w:r>
        <w:t>In particular, a</w:t>
      </w:r>
      <w:proofErr w:type="gramEnd"/>
      <w:r>
        <w:t xml:space="preserve"> civil penalty may still be imposed where the scheme promoted as conforming with a ruling is materially different from the description of the scheme outlined in the ruling. This overcomes the decisions in the cases of </w:t>
      </w:r>
      <w:r w:rsidRPr="00D249F7">
        <w:rPr>
          <w:i/>
          <w:iCs/>
        </w:rPr>
        <w:t xml:space="preserve">Commissioner of Taxation of the Commonwealth of Australia v Ludekens [2013] FCA 142 </w:t>
      </w:r>
      <w:r w:rsidRPr="00D249F7">
        <w:t xml:space="preserve">and </w:t>
      </w:r>
      <w:r w:rsidRPr="00D249F7">
        <w:rPr>
          <w:i/>
          <w:iCs/>
        </w:rPr>
        <w:t>Commissioner of Taxation v Ludekens [2013] FCAFC 100</w:t>
      </w:r>
      <w:r>
        <w:t>, where the Court held that it was</w:t>
      </w:r>
      <w:r w:rsidR="00370B9B">
        <w:t xml:space="preserve"> </w:t>
      </w:r>
      <w:r>
        <w:t xml:space="preserve">necessary for the scheme that was promoted as conforming with a ruling, to be the subject of a product ruling for the promoter penalty provision (subsection 290-50(2)) to apply. </w:t>
      </w:r>
      <w:r>
        <w:br/>
      </w:r>
      <w:r w:rsidRPr="00AC6047">
        <w:rPr>
          <w:rStyle w:val="References"/>
        </w:rPr>
        <w:t xml:space="preserve">[Schedule </w:t>
      </w:r>
      <w:r>
        <w:rPr>
          <w:rStyle w:val="References"/>
        </w:rPr>
        <w:t>#</w:t>
      </w:r>
      <w:r w:rsidRPr="00AC6047">
        <w:rPr>
          <w:rStyle w:val="References"/>
        </w:rPr>
        <w:t>, item</w:t>
      </w:r>
      <w:r>
        <w:rPr>
          <w:rStyle w:val="References"/>
        </w:rPr>
        <w:t>s</w:t>
      </w:r>
      <w:r w:rsidR="00BE411C">
        <w:rPr>
          <w:rStyle w:val="References"/>
        </w:rPr>
        <w:t xml:space="preserve"> </w:t>
      </w:r>
      <w:r w:rsidR="002832C3">
        <w:rPr>
          <w:rStyle w:val="References"/>
        </w:rPr>
        <w:t>5</w:t>
      </w:r>
      <w:r w:rsidR="0064751C">
        <w:rPr>
          <w:rStyle w:val="References"/>
        </w:rPr>
        <w:t>, 6 and 7</w:t>
      </w:r>
      <w:r>
        <w:rPr>
          <w:rStyle w:val="References"/>
        </w:rPr>
        <w:t>,</w:t>
      </w:r>
      <w:r w:rsidRPr="00AC6047">
        <w:rPr>
          <w:rStyle w:val="References"/>
        </w:rPr>
        <w:t xml:space="preserve"> </w:t>
      </w:r>
      <w:r>
        <w:rPr>
          <w:rStyle w:val="References"/>
        </w:rPr>
        <w:t>subsections 290-50(</w:t>
      </w:r>
      <w:r w:rsidR="0064751C">
        <w:rPr>
          <w:rStyle w:val="References"/>
        </w:rPr>
        <w:t>2</w:t>
      </w:r>
      <w:r>
        <w:rPr>
          <w:rStyle w:val="References"/>
        </w:rPr>
        <w:t>)</w:t>
      </w:r>
      <w:r w:rsidR="00295044">
        <w:rPr>
          <w:rStyle w:val="References"/>
        </w:rPr>
        <w:t xml:space="preserve"> </w:t>
      </w:r>
      <w:r w:rsidRPr="00A668C0">
        <w:rPr>
          <w:b/>
          <w:bCs/>
          <w:i/>
          <w:iCs/>
        </w:rPr>
        <w:t>of Schedule 1 to the TAA 1953</w:t>
      </w:r>
      <w:r w:rsidRPr="00AC6047">
        <w:rPr>
          <w:rStyle w:val="References"/>
        </w:rPr>
        <w:t>]</w:t>
      </w:r>
    </w:p>
    <w:p w14:paraId="36416068" w14:textId="2E803F6C" w:rsidR="00540BCD" w:rsidRDefault="00540BCD" w:rsidP="00EE58E4">
      <w:pPr>
        <w:pStyle w:val="Heading4"/>
      </w:pPr>
      <w:r>
        <w:lastRenderedPageBreak/>
        <w:t>Time limitation</w:t>
      </w:r>
      <w:r w:rsidR="00782E91">
        <w:t>s</w:t>
      </w:r>
    </w:p>
    <w:p w14:paraId="468B662B" w14:textId="59CA809C" w:rsidR="00E850AC" w:rsidRDefault="00E850AC" w:rsidP="00E850AC">
      <w:pPr>
        <w:pStyle w:val="Normalparatextwithnumbers"/>
        <w:numPr>
          <w:ilvl w:val="1"/>
          <w:numId w:val="3"/>
        </w:numPr>
      </w:pPr>
      <w:r>
        <w:t xml:space="preserve">Schedule </w:t>
      </w:r>
      <w:r w:rsidR="00AB2890">
        <w:t>#</w:t>
      </w:r>
      <w:r>
        <w:t xml:space="preserve"> to the Bill </w:t>
      </w:r>
      <w:r w:rsidR="00540BCD">
        <w:t>amends</w:t>
      </w:r>
      <w:r w:rsidR="00A86CB3">
        <w:t xml:space="preserve"> the time limitation provisions within the promoter penalty regime</w:t>
      </w:r>
      <w:r>
        <w:t xml:space="preserve"> to:</w:t>
      </w:r>
    </w:p>
    <w:p w14:paraId="6CDB5F27" w14:textId="0A5E7691" w:rsidR="00E850AC" w:rsidRDefault="00E850AC" w:rsidP="00E850AC">
      <w:pPr>
        <w:pStyle w:val="Dotpoint1"/>
        <w:rPr>
          <w:rStyle w:val="References"/>
        </w:rPr>
      </w:pPr>
      <w:r>
        <w:t>ensure that an application for a civil penalty in relation to a scheme that has not yet been implemented must be made within six years of the scheme being promoted; and</w:t>
      </w:r>
      <w:r>
        <w:br/>
      </w:r>
      <w:r w:rsidRPr="00AC6047">
        <w:rPr>
          <w:rStyle w:val="References"/>
        </w:rPr>
        <w:t>[Schedule</w:t>
      </w:r>
      <w:r>
        <w:rPr>
          <w:rStyle w:val="References"/>
        </w:rPr>
        <w:t xml:space="preserve"> #</w:t>
      </w:r>
      <w:r w:rsidRPr="00AC6047">
        <w:rPr>
          <w:rStyle w:val="References"/>
        </w:rPr>
        <w:t>, item</w:t>
      </w:r>
      <w:r>
        <w:rPr>
          <w:rStyle w:val="References"/>
        </w:rPr>
        <w:t>s 1</w:t>
      </w:r>
      <w:r w:rsidR="00321DC5">
        <w:rPr>
          <w:rStyle w:val="References"/>
        </w:rPr>
        <w:t>5</w:t>
      </w:r>
      <w:r>
        <w:rPr>
          <w:rStyle w:val="References"/>
        </w:rPr>
        <w:t xml:space="preserve"> and 1</w:t>
      </w:r>
      <w:r w:rsidR="00321DC5">
        <w:rPr>
          <w:rStyle w:val="References"/>
        </w:rPr>
        <w:t>7</w:t>
      </w:r>
      <w:r w:rsidR="003C5F99">
        <w:rPr>
          <w:rStyle w:val="References"/>
        </w:rPr>
        <w:t xml:space="preserve"> and 18</w:t>
      </w:r>
      <w:r w:rsidRPr="00AC6047">
        <w:rPr>
          <w:rStyle w:val="References"/>
        </w:rPr>
        <w:t xml:space="preserve">, </w:t>
      </w:r>
      <w:r>
        <w:rPr>
          <w:rStyle w:val="References"/>
        </w:rPr>
        <w:t>subsection 290-55(5)</w:t>
      </w:r>
      <w:r w:rsidR="002B301D">
        <w:rPr>
          <w:rStyle w:val="References"/>
        </w:rPr>
        <w:t xml:space="preserve"> of Schedule 1 to the TAA 1953</w:t>
      </w:r>
      <w:r w:rsidRPr="00AC6047">
        <w:rPr>
          <w:rStyle w:val="References"/>
        </w:rPr>
        <w:t xml:space="preserve">] </w:t>
      </w:r>
    </w:p>
    <w:p w14:paraId="42FFCEA0" w14:textId="64F74CC0" w:rsidR="0081703D" w:rsidRPr="008813A4" w:rsidRDefault="00E850AC" w:rsidP="0048419D">
      <w:pPr>
        <w:pStyle w:val="Dotpoint1"/>
      </w:pPr>
      <w:r w:rsidRPr="0027348B">
        <w:t>clarify that there is no time limitation in relation to schemes that have not been implemented where the scheme that is subject of an application by the Commissioner involves tax evasion; and</w:t>
      </w:r>
      <w:r w:rsidRPr="0027348B">
        <w:br/>
      </w:r>
      <w:r w:rsidRPr="0027348B">
        <w:rPr>
          <w:rStyle w:val="References"/>
        </w:rPr>
        <w:t>[Schedule #, item 1</w:t>
      </w:r>
      <w:r w:rsidR="008F1547">
        <w:rPr>
          <w:rStyle w:val="References"/>
        </w:rPr>
        <w:t>9</w:t>
      </w:r>
      <w:r w:rsidRPr="0027348B">
        <w:rPr>
          <w:rStyle w:val="References"/>
        </w:rPr>
        <w:t>, subsection 290-55(6)</w:t>
      </w:r>
      <w:r w:rsidR="000E7434">
        <w:rPr>
          <w:rStyle w:val="References"/>
        </w:rPr>
        <w:t xml:space="preserve"> of Schedule 1 to the TAA 1953</w:t>
      </w:r>
      <w:r w:rsidRPr="0027348B">
        <w:rPr>
          <w:rStyle w:val="References"/>
        </w:rPr>
        <w:t xml:space="preserve">] </w:t>
      </w:r>
    </w:p>
    <w:p w14:paraId="56B88985" w14:textId="77777777" w:rsidR="00873094" w:rsidRPr="00020288" w:rsidRDefault="00873094" w:rsidP="00AF50CE">
      <w:pPr>
        <w:pStyle w:val="Heading2"/>
        <w:rPr>
          <w:rFonts w:hint="eastAsia"/>
        </w:rPr>
      </w:pPr>
      <w:bookmarkStart w:id="53" w:name="_Toc145334230"/>
      <w:bookmarkStart w:id="54" w:name="_Toc78193246"/>
      <w:bookmarkStart w:id="55" w:name="_Toc78193403"/>
      <w:bookmarkStart w:id="56" w:name="_Toc78548476"/>
      <w:bookmarkStart w:id="57" w:name="_Toc78549747"/>
      <w:bookmarkStart w:id="58" w:name="_Toc78549791"/>
      <w:r w:rsidRPr="00020288">
        <w:t xml:space="preserve">Commencement, </w:t>
      </w:r>
      <w:r w:rsidRPr="00AF50CE">
        <w:t>application</w:t>
      </w:r>
      <w:r w:rsidRPr="00020288">
        <w:t>, and transitional provisions</w:t>
      </w:r>
      <w:bookmarkEnd w:id="53"/>
    </w:p>
    <w:p w14:paraId="008091E1" w14:textId="063815AB" w:rsidR="00116881" w:rsidRPr="008813A4" w:rsidRDefault="00B322B0" w:rsidP="00B322B0">
      <w:pPr>
        <w:pStyle w:val="Normalparatextwithnumbers"/>
        <w:numPr>
          <w:ilvl w:val="1"/>
          <w:numId w:val="3"/>
        </w:numPr>
      </w:pPr>
      <w:r>
        <w:t>S</w:t>
      </w:r>
      <w:r w:rsidR="006B4DEE" w:rsidRPr="008813A4">
        <w:t xml:space="preserve">chedule [#] to the Bill commences </w:t>
      </w:r>
      <w:r w:rsidR="00FC4E28" w:rsidRPr="008813A4">
        <w:t>on 1 July 2024</w:t>
      </w:r>
      <w:r w:rsidR="009D0544" w:rsidRPr="008813A4">
        <w:t xml:space="preserve"> (or, if not commenced by that date, on </w:t>
      </w:r>
      <w:r w:rsidR="00924158" w:rsidRPr="008813A4">
        <w:t xml:space="preserve">the first day of the first quarter following </w:t>
      </w:r>
      <w:r w:rsidR="00FD51F8" w:rsidRPr="008813A4">
        <w:t>Royal Assent</w:t>
      </w:r>
      <w:r w:rsidR="00924158" w:rsidRPr="008813A4">
        <w:t>).</w:t>
      </w:r>
    </w:p>
    <w:p w14:paraId="5F69210E" w14:textId="3A66CC1C" w:rsidR="00116881" w:rsidRPr="008813A4" w:rsidRDefault="005B5FF4" w:rsidP="00FA4388">
      <w:pPr>
        <w:pStyle w:val="Normalparatextwithnumbers"/>
        <w:numPr>
          <w:ilvl w:val="1"/>
          <w:numId w:val="3"/>
        </w:numPr>
        <w:rPr>
          <w:rStyle w:val="References"/>
          <w:b w:val="0"/>
          <w:i w:val="0"/>
        </w:rPr>
      </w:pPr>
      <w:r w:rsidRPr="008813A4">
        <w:t xml:space="preserve">The amendments to section 290-55 of Schedule 1 </w:t>
      </w:r>
      <w:r w:rsidR="004C1CCF" w:rsidRPr="008813A4">
        <w:t xml:space="preserve">apply </w:t>
      </w:r>
      <w:r w:rsidR="009C13AE" w:rsidRPr="008813A4">
        <w:t xml:space="preserve">in </w:t>
      </w:r>
      <w:r w:rsidR="00D37F0D" w:rsidRPr="008813A4">
        <w:t>relation</w:t>
      </w:r>
      <w:r w:rsidR="009C13AE" w:rsidRPr="008813A4">
        <w:t xml:space="preserve"> to conduct engaged in </w:t>
      </w:r>
      <w:r w:rsidR="00AE1ECC" w:rsidRPr="008813A4">
        <w:t>before</w:t>
      </w:r>
      <w:r w:rsidR="009C13AE" w:rsidRPr="008813A4">
        <w:t>, on</w:t>
      </w:r>
      <w:r w:rsidR="00AE1ECC" w:rsidRPr="008813A4">
        <w:t xml:space="preserve"> or after the commencement of the amendments</w:t>
      </w:r>
      <w:r w:rsidRPr="008813A4">
        <w:t>.</w:t>
      </w:r>
      <w:r w:rsidR="00E776C5" w:rsidRPr="008813A4">
        <w:br/>
      </w:r>
      <w:r w:rsidR="00D37F0D" w:rsidRPr="008813A4">
        <w:rPr>
          <w:rStyle w:val="References"/>
        </w:rPr>
        <w:t>[</w:t>
      </w:r>
      <w:r w:rsidR="00E776C5" w:rsidRPr="008813A4">
        <w:rPr>
          <w:rStyle w:val="References"/>
        </w:rPr>
        <w:t xml:space="preserve">Schedule </w:t>
      </w:r>
      <w:r w:rsidR="008E1833" w:rsidRPr="008813A4">
        <w:rPr>
          <w:rStyle w:val="References"/>
        </w:rPr>
        <w:t>[#]</w:t>
      </w:r>
      <w:r w:rsidR="00E776C5" w:rsidRPr="008813A4">
        <w:rPr>
          <w:rStyle w:val="References"/>
        </w:rPr>
        <w:t xml:space="preserve">, </w:t>
      </w:r>
      <w:r w:rsidR="00174D1D">
        <w:rPr>
          <w:rStyle w:val="References"/>
        </w:rPr>
        <w:t>sub</w:t>
      </w:r>
      <w:r w:rsidR="00E776C5" w:rsidRPr="008813A4">
        <w:rPr>
          <w:rStyle w:val="References"/>
        </w:rPr>
        <w:t>item</w:t>
      </w:r>
      <w:r w:rsidR="008E1833" w:rsidRPr="008813A4">
        <w:rPr>
          <w:rStyle w:val="References"/>
        </w:rPr>
        <w:t xml:space="preserve"> </w:t>
      </w:r>
      <w:r w:rsidR="00174D1D">
        <w:rPr>
          <w:rStyle w:val="References"/>
        </w:rPr>
        <w:t>32(2)</w:t>
      </w:r>
      <w:r w:rsidR="00845582" w:rsidRPr="008813A4">
        <w:rPr>
          <w:rStyle w:val="References"/>
        </w:rPr>
        <w:t>]</w:t>
      </w:r>
      <w:r w:rsidR="008778AA" w:rsidRPr="008813A4">
        <w:rPr>
          <w:rStyle w:val="References"/>
        </w:rPr>
        <w:t xml:space="preserve"> </w:t>
      </w:r>
    </w:p>
    <w:p w14:paraId="1A52440F" w14:textId="74D539F5" w:rsidR="009C401F" w:rsidRPr="00844B1D" w:rsidRDefault="00B322B0" w:rsidP="00FA4388">
      <w:pPr>
        <w:pStyle w:val="Normalparatextwithnumbers"/>
        <w:numPr>
          <w:ilvl w:val="1"/>
          <w:numId w:val="3"/>
        </w:numPr>
      </w:pPr>
      <w:r>
        <w:t>T</w:t>
      </w:r>
      <w:r w:rsidR="009C401F" w:rsidRPr="00844B1D">
        <w:t>he remaining amendments have effect from the date of commencement.</w:t>
      </w:r>
      <w:r w:rsidR="00307059">
        <w:br/>
      </w:r>
      <w:r w:rsidR="00307059" w:rsidRPr="00307059">
        <w:rPr>
          <w:rStyle w:val="References"/>
        </w:rPr>
        <w:t xml:space="preserve">[Schedule </w:t>
      </w:r>
      <w:r w:rsidR="00307059">
        <w:rPr>
          <w:rStyle w:val="References"/>
        </w:rPr>
        <w:t>#</w:t>
      </w:r>
      <w:r w:rsidR="00307059" w:rsidRPr="00307059">
        <w:rPr>
          <w:rStyle w:val="References"/>
        </w:rPr>
        <w:t xml:space="preserve">, </w:t>
      </w:r>
      <w:r w:rsidR="00307059">
        <w:rPr>
          <w:rStyle w:val="References"/>
        </w:rPr>
        <w:t>sub</w:t>
      </w:r>
      <w:r w:rsidR="00307059" w:rsidRPr="00307059">
        <w:rPr>
          <w:rStyle w:val="References"/>
        </w:rPr>
        <w:t>item</w:t>
      </w:r>
      <w:r w:rsidR="00307059">
        <w:rPr>
          <w:rStyle w:val="References"/>
        </w:rPr>
        <w:t xml:space="preserve"> 32(1)</w:t>
      </w:r>
      <w:r w:rsidR="00307059" w:rsidRPr="00307059">
        <w:rPr>
          <w:rStyle w:val="References"/>
        </w:rPr>
        <w:t xml:space="preserve">] </w:t>
      </w:r>
    </w:p>
    <w:bookmarkEnd w:id="5"/>
    <w:bookmarkEnd w:id="37"/>
    <w:bookmarkEnd w:id="54"/>
    <w:bookmarkEnd w:id="55"/>
    <w:bookmarkEnd w:id="56"/>
    <w:bookmarkEnd w:id="57"/>
    <w:bookmarkEnd w:id="58"/>
    <w:p w14:paraId="1F8CF465" w14:textId="29A68B97" w:rsidR="008E5800" w:rsidRPr="003A234F" w:rsidRDefault="008E5800" w:rsidP="00E65FAD">
      <w:pPr>
        <w:pStyle w:val="Normalparatextwithnumbers"/>
        <w:tabs>
          <w:tab w:val="clear" w:pos="709"/>
        </w:tabs>
        <w:ind w:left="142" w:hanging="142"/>
      </w:pPr>
    </w:p>
    <w:sectPr w:rsidR="008E5800" w:rsidRPr="003A234F" w:rsidSect="00000BFC">
      <w:headerReference w:type="even" r:id="rId27"/>
      <w:headerReference w:type="default" r:id="rId28"/>
      <w:headerReference w:type="first" r:id="rId2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915D" w14:textId="77777777" w:rsidR="003D5666" w:rsidRDefault="003D5666">
      <w:pPr>
        <w:spacing w:before="0" w:after="0"/>
      </w:pPr>
      <w:r>
        <w:separator/>
      </w:r>
    </w:p>
  </w:endnote>
  <w:endnote w:type="continuationSeparator" w:id="0">
    <w:p w14:paraId="642354BC" w14:textId="77777777" w:rsidR="003D5666" w:rsidRDefault="003D5666">
      <w:pPr>
        <w:spacing w:before="0" w:after="0"/>
      </w:pPr>
      <w:r>
        <w:continuationSeparator/>
      </w:r>
    </w:p>
  </w:endnote>
  <w:endnote w:type="continuationNotice" w:id="1">
    <w:p w14:paraId="721101B3" w14:textId="77777777" w:rsidR="003D5666" w:rsidRDefault="003D56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4376" w14:textId="77777777" w:rsidR="00F858FD" w:rsidRDefault="00F85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9E54" w14:textId="77777777" w:rsidR="00F858FD" w:rsidRDefault="00F85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36A2"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0714"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2D43"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5140"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2CED"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9C5B" w14:textId="77777777" w:rsidR="003D5666" w:rsidRDefault="003D5666">
      <w:pPr>
        <w:spacing w:before="0" w:after="0"/>
      </w:pPr>
      <w:r>
        <w:separator/>
      </w:r>
    </w:p>
  </w:footnote>
  <w:footnote w:type="continuationSeparator" w:id="0">
    <w:p w14:paraId="335518BB" w14:textId="77777777" w:rsidR="003D5666" w:rsidRDefault="003D5666">
      <w:pPr>
        <w:spacing w:before="0" w:after="0"/>
      </w:pPr>
      <w:r>
        <w:continuationSeparator/>
      </w:r>
    </w:p>
  </w:footnote>
  <w:footnote w:type="continuationNotice" w:id="1">
    <w:p w14:paraId="0E278C56" w14:textId="77777777" w:rsidR="003D5666" w:rsidRDefault="003D56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C283" w14:textId="77777777" w:rsidR="00F858FD" w:rsidRDefault="00F858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5DC4" w14:textId="5083110F" w:rsidR="007A2DBD" w:rsidRPr="006E5468" w:rsidRDefault="00031C1D" w:rsidP="006E5468">
    <w:pPr>
      <w:pStyle w:val="rightheader"/>
    </w:pPr>
    <w:fldSimple w:instr=" STYLEREF &quot;Bill Name&quot; \* MERGEFORMAT ">
      <w:r w:rsidR="003634BA">
        <w:rPr>
          <w:noProof/>
        </w:rPr>
        <w:t>TREASURY LAWS AMENDMENT (MEASURES FOR CONSULTATION) BILL 2023: PWC Response—promoter penalty laws reform</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A9CC"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5249" w14:textId="77777777" w:rsidR="007A2DBD" w:rsidRDefault="003634BA">
    <w:pPr>
      <w:pStyle w:val="Header"/>
    </w:pPr>
    <w:sdt>
      <w:sdtPr>
        <w:id w:val="-2071182601"/>
        <w:docPartObj>
          <w:docPartGallery w:val="Watermarks"/>
        </w:docPartObj>
      </w:sdtPr>
      <w:sdtEndPr/>
      <w:sdtContent>
        <w:r>
          <w:rPr>
            <w:noProof/>
          </w:rPr>
          <w:pict w14:anchorId="62258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FC7F" w14:textId="77777777" w:rsidR="007A2DBD" w:rsidRPr="009106AC" w:rsidRDefault="007A2DBD" w:rsidP="00242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4D35" w14:textId="061AEFF4"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426558">
      <w:rPr>
        <w:b/>
        <w:bCs/>
        <w:noProof/>
        <w:lang w:val="en-US"/>
      </w:rPr>
      <w:t>Error! Use the Home tab to apply ChapterNameOnly to the text that you want to appear here.</w:t>
    </w:r>
    <w:r>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CCF3" w14:textId="77777777" w:rsidR="007A2DBD" w:rsidRDefault="007A2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4284" w14:textId="0E5F036A" w:rsidR="007A2DBD" w:rsidRPr="00816825" w:rsidRDefault="00031C1D" w:rsidP="002425D9">
    <w:pPr>
      <w:pStyle w:val="leftheader"/>
    </w:pPr>
    <w:fldSimple w:instr=" STYLEREF  &quot;Heading 1&quot;  \* MERGEFORMAT ">
      <w:r w:rsidR="00D82CDE">
        <w:rPr>
          <w:noProof/>
        </w:rPr>
        <w:t>Glossary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F006" w14:textId="76DC8EBB" w:rsidR="007A2DBD" w:rsidRPr="001227A2" w:rsidRDefault="00031C1D" w:rsidP="001227A2">
    <w:pPr>
      <w:pStyle w:val="rightheader"/>
    </w:pPr>
    <w:fldSimple w:instr=" STYLEREF  &quot;Bill Name&quot;  \* MERGEFORMAT ">
      <w:r w:rsidR="00426558">
        <w:rPr>
          <w:noProof/>
        </w:rPr>
        <w:t>TREASURY LAWS AMENDMENT (Measures for Consultation) 2023</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0D26" w14:textId="79F3E3A7" w:rsidR="007A2DBD" w:rsidRPr="001227A2" w:rsidRDefault="007A2DBD" w:rsidP="002425D9">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3634BA">
      <w:rPr>
        <w:noProof/>
        <w:lang w:val="en-US"/>
      </w:rPr>
      <w:t>TREASURY LAWS AMENDMENT (MEASURES FOR CONSULTATION) BILL 2023: PWC Response—promoter penalty laws reform</w:t>
    </w:r>
    <w:r w:rsidRPr="001227A2">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3273" w14:textId="7D7BE777" w:rsidR="007A2DBD" w:rsidRPr="006E5468" w:rsidRDefault="004A2BC4" w:rsidP="006E5468">
    <w:pPr>
      <w:pStyle w:val="leftheader"/>
    </w:pPr>
    <w:r>
      <w:t>PWC Response—promoter penalty laws reform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26E12"/>
    <w:multiLevelType w:val="hybridMultilevel"/>
    <w:tmpl w:val="0A56030E"/>
    <w:lvl w:ilvl="0" w:tplc="A1D8770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89B66D6C"/>
    <w:styleLink w:val="Chapternumbering"/>
    <w:lvl w:ilvl="0">
      <w:start w:val="1"/>
      <w:numFmt w:val="decimal"/>
      <w:pStyle w:val="Chapterheading"/>
      <w:lvlText w:val="Chapter %1:"/>
      <w:lvlJc w:val="left"/>
      <w:pPr>
        <w:tabs>
          <w:tab w:val="num" w:pos="7371"/>
        </w:tabs>
        <w:ind w:left="4394"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D2CC9"/>
    <w:multiLevelType w:val="multilevel"/>
    <w:tmpl w:val="F0A0F4D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4F7B5C78"/>
    <w:multiLevelType w:val="hybridMultilevel"/>
    <w:tmpl w:val="CB2E2998"/>
    <w:lvl w:ilvl="0" w:tplc="C8389440">
      <w:start w:val="290"/>
      <w:numFmt w:val="bullet"/>
      <w:lvlText w:val="-"/>
      <w:lvlJc w:val="left"/>
      <w:pPr>
        <w:ind w:left="394" w:hanging="360"/>
      </w:pPr>
      <w:rPr>
        <w:rFonts w:ascii="Times New Roman" w:eastAsia="Times New Roman" w:hAnsi="Times New Roman" w:cs="Times New Roman"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9" w15:restartNumberingAfterBreak="0">
    <w:nsid w:val="50FD3DB5"/>
    <w:multiLevelType w:val="multilevel"/>
    <w:tmpl w:val="675497E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60490B74"/>
    <w:multiLevelType w:val="hybridMultilevel"/>
    <w:tmpl w:val="0DFCE690"/>
    <w:lvl w:ilvl="0" w:tplc="D9DA300E">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559DF"/>
    <w:multiLevelType w:val="hybridMultilevel"/>
    <w:tmpl w:val="B51EAF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753117">
    <w:abstractNumId w:val="0"/>
  </w:num>
  <w:num w:numId="2" w16cid:durableId="1686595146">
    <w:abstractNumId w:val="15"/>
  </w:num>
  <w:num w:numId="3" w16cid:durableId="271397637">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rPr>
          <w:rFonts w:hint="default"/>
          <w:color w:val="auto"/>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627929249">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81517575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77953034">
    <w:abstractNumId w:val="4"/>
  </w:num>
  <w:num w:numId="7" w16cid:durableId="154023949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410585704">
    <w:abstractNumId w:val="5"/>
  </w:num>
  <w:num w:numId="9" w16cid:durableId="1751123869">
    <w:abstractNumId w:val="17"/>
  </w:num>
  <w:num w:numId="10" w16cid:durableId="576134883">
    <w:abstractNumId w:val="10"/>
  </w:num>
  <w:num w:numId="11" w16cid:durableId="352264413">
    <w:abstractNumId w:val="7"/>
  </w:num>
  <w:num w:numId="12" w16cid:durableId="74719668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24926638">
    <w:abstractNumId w:val="15"/>
  </w:num>
  <w:num w:numId="14" w16cid:durableId="520163645">
    <w:abstractNumId w:val="12"/>
  </w:num>
  <w:num w:numId="15" w16cid:durableId="1076170686">
    <w:abstractNumId w:val="13"/>
  </w:num>
  <w:num w:numId="16" w16cid:durableId="123111938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582448171">
    <w:abstractNumId w:val="5"/>
  </w:num>
  <w:num w:numId="18" w16cid:durableId="772557315">
    <w:abstractNumId w:val="3"/>
  </w:num>
  <w:num w:numId="19" w16cid:durableId="887837276">
    <w:abstractNumId w:val="11"/>
  </w:num>
  <w:num w:numId="20" w16cid:durableId="6295232">
    <w:abstractNumId w:val="16"/>
  </w:num>
  <w:num w:numId="21" w16cid:durableId="1878547972">
    <w:abstractNumId w:val="15"/>
  </w:num>
  <w:num w:numId="22" w16cid:durableId="66420717">
    <w:abstractNumId w:val="1"/>
  </w:num>
  <w:num w:numId="23" w16cid:durableId="2027947451">
    <w:abstractNumId w:val="6"/>
  </w:num>
  <w:num w:numId="24" w16cid:durableId="110064179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84351461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rPr>
          <w:rFonts w:hint="default"/>
          <w:b w:val="0"/>
          <w:bCs w:val="0"/>
          <w:i w:val="0"/>
          <w:iCs w:val="0"/>
        </w:rPr>
      </w:lvl>
    </w:lvlOverride>
  </w:num>
  <w:num w:numId="26" w16cid:durableId="2054963566">
    <w:abstractNumId w:val="4"/>
  </w:num>
  <w:num w:numId="27" w16cid:durableId="931670008">
    <w:abstractNumId w:val="4"/>
  </w:num>
  <w:num w:numId="28" w16cid:durableId="87704049">
    <w:abstractNumId w:val="2"/>
  </w:num>
  <w:num w:numId="29" w16cid:durableId="665401414">
    <w:abstractNumId w:val="9"/>
  </w:num>
  <w:num w:numId="30" w16cid:durableId="949777473">
    <w:abstractNumId w:val="14"/>
  </w:num>
  <w:num w:numId="31" w16cid:durableId="1184246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C1"/>
    <w:rsid w:val="000002BC"/>
    <w:rsid w:val="00000BFC"/>
    <w:rsid w:val="000014E0"/>
    <w:rsid w:val="000020A3"/>
    <w:rsid w:val="00002A50"/>
    <w:rsid w:val="00002E1F"/>
    <w:rsid w:val="00002F1A"/>
    <w:rsid w:val="0000420C"/>
    <w:rsid w:val="00004692"/>
    <w:rsid w:val="00004DF6"/>
    <w:rsid w:val="00004E77"/>
    <w:rsid w:val="00006EC7"/>
    <w:rsid w:val="000072B0"/>
    <w:rsid w:val="00007711"/>
    <w:rsid w:val="0000790C"/>
    <w:rsid w:val="0001177C"/>
    <w:rsid w:val="00011D58"/>
    <w:rsid w:val="00011D9C"/>
    <w:rsid w:val="00013A2B"/>
    <w:rsid w:val="00014105"/>
    <w:rsid w:val="00014164"/>
    <w:rsid w:val="00015C20"/>
    <w:rsid w:val="00016714"/>
    <w:rsid w:val="00017027"/>
    <w:rsid w:val="00017B8A"/>
    <w:rsid w:val="00020397"/>
    <w:rsid w:val="00020D5D"/>
    <w:rsid w:val="00021352"/>
    <w:rsid w:val="00021DAA"/>
    <w:rsid w:val="0002200F"/>
    <w:rsid w:val="00022A0C"/>
    <w:rsid w:val="00023059"/>
    <w:rsid w:val="00023246"/>
    <w:rsid w:val="000238FB"/>
    <w:rsid w:val="00024A86"/>
    <w:rsid w:val="00024B8C"/>
    <w:rsid w:val="00024FE9"/>
    <w:rsid w:val="00025A90"/>
    <w:rsid w:val="00025B88"/>
    <w:rsid w:val="000261FF"/>
    <w:rsid w:val="00026468"/>
    <w:rsid w:val="000277AD"/>
    <w:rsid w:val="000279EB"/>
    <w:rsid w:val="0003041C"/>
    <w:rsid w:val="00030B1C"/>
    <w:rsid w:val="00030D32"/>
    <w:rsid w:val="000316AD"/>
    <w:rsid w:val="00031864"/>
    <w:rsid w:val="00031BE0"/>
    <w:rsid w:val="00031C1D"/>
    <w:rsid w:val="00031D90"/>
    <w:rsid w:val="0003223D"/>
    <w:rsid w:val="000323D9"/>
    <w:rsid w:val="000325DB"/>
    <w:rsid w:val="00032867"/>
    <w:rsid w:val="000329A9"/>
    <w:rsid w:val="00032A26"/>
    <w:rsid w:val="00032AC3"/>
    <w:rsid w:val="00032B53"/>
    <w:rsid w:val="00032F55"/>
    <w:rsid w:val="00032F79"/>
    <w:rsid w:val="00033177"/>
    <w:rsid w:val="000336B9"/>
    <w:rsid w:val="000344DC"/>
    <w:rsid w:val="000345FD"/>
    <w:rsid w:val="0003475F"/>
    <w:rsid w:val="00034E9F"/>
    <w:rsid w:val="0003531B"/>
    <w:rsid w:val="00035331"/>
    <w:rsid w:val="000366C0"/>
    <w:rsid w:val="00036BC6"/>
    <w:rsid w:val="00036C9F"/>
    <w:rsid w:val="0003757B"/>
    <w:rsid w:val="000375AD"/>
    <w:rsid w:val="0003789C"/>
    <w:rsid w:val="00037A3C"/>
    <w:rsid w:val="00037A4F"/>
    <w:rsid w:val="00037AB2"/>
    <w:rsid w:val="00037C54"/>
    <w:rsid w:val="00040058"/>
    <w:rsid w:val="0004073F"/>
    <w:rsid w:val="0004077D"/>
    <w:rsid w:val="00040C9C"/>
    <w:rsid w:val="0004105F"/>
    <w:rsid w:val="00041348"/>
    <w:rsid w:val="00041800"/>
    <w:rsid w:val="00041B0F"/>
    <w:rsid w:val="00041CBF"/>
    <w:rsid w:val="0004259E"/>
    <w:rsid w:val="00042A93"/>
    <w:rsid w:val="00043AF7"/>
    <w:rsid w:val="00043E8E"/>
    <w:rsid w:val="00043F18"/>
    <w:rsid w:val="000447D8"/>
    <w:rsid w:val="000449D0"/>
    <w:rsid w:val="000451C0"/>
    <w:rsid w:val="00045312"/>
    <w:rsid w:val="000476AA"/>
    <w:rsid w:val="00047FF2"/>
    <w:rsid w:val="00050563"/>
    <w:rsid w:val="00050657"/>
    <w:rsid w:val="0005073B"/>
    <w:rsid w:val="00050C52"/>
    <w:rsid w:val="00051A21"/>
    <w:rsid w:val="00051CBF"/>
    <w:rsid w:val="000525E6"/>
    <w:rsid w:val="00052AFD"/>
    <w:rsid w:val="00052EEF"/>
    <w:rsid w:val="00052F03"/>
    <w:rsid w:val="00053203"/>
    <w:rsid w:val="0005344E"/>
    <w:rsid w:val="00053973"/>
    <w:rsid w:val="00053BF4"/>
    <w:rsid w:val="0005460F"/>
    <w:rsid w:val="00056191"/>
    <w:rsid w:val="00056717"/>
    <w:rsid w:val="000568DF"/>
    <w:rsid w:val="00056B9B"/>
    <w:rsid w:val="00057A73"/>
    <w:rsid w:val="00057AC9"/>
    <w:rsid w:val="00057D49"/>
    <w:rsid w:val="000608D1"/>
    <w:rsid w:val="00061268"/>
    <w:rsid w:val="00061C32"/>
    <w:rsid w:val="00061DC6"/>
    <w:rsid w:val="00061EC9"/>
    <w:rsid w:val="00061FB3"/>
    <w:rsid w:val="0006207B"/>
    <w:rsid w:val="000623C3"/>
    <w:rsid w:val="00062484"/>
    <w:rsid w:val="00062893"/>
    <w:rsid w:val="00062A8D"/>
    <w:rsid w:val="000639D2"/>
    <w:rsid w:val="00065702"/>
    <w:rsid w:val="00065E5C"/>
    <w:rsid w:val="00065F0D"/>
    <w:rsid w:val="00066284"/>
    <w:rsid w:val="0006630B"/>
    <w:rsid w:val="000669F7"/>
    <w:rsid w:val="00066ACC"/>
    <w:rsid w:val="00066AE5"/>
    <w:rsid w:val="00066E2D"/>
    <w:rsid w:val="00067C9D"/>
    <w:rsid w:val="000709F6"/>
    <w:rsid w:val="00070E64"/>
    <w:rsid w:val="0007113D"/>
    <w:rsid w:val="00071326"/>
    <w:rsid w:val="00071A2C"/>
    <w:rsid w:val="00071B43"/>
    <w:rsid w:val="00071F3D"/>
    <w:rsid w:val="000721CE"/>
    <w:rsid w:val="00072E1E"/>
    <w:rsid w:val="000737DD"/>
    <w:rsid w:val="00073A03"/>
    <w:rsid w:val="00073B0B"/>
    <w:rsid w:val="00073CC9"/>
    <w:rsid w:val="00073D64"/>
    <w:rsid w:val="0007474D"/>
    <w:rsid w:val="0007493B"/>
    <w:rsid w:val="00074A60"/>
    <w:rsid w:val="0007637A"/>
    <w:rsid w:val="00076C93"/>
    <w:rsid w:val="00077F96"/>
    <w:rsid w:val="00080629"/>
    <w:rsid w:val="0008066B"/>
    <w:rsid w:val="00080C5E"/>
    <w:rsid w:val="00080D90"/>
    <w:rsid w:val="0008113D"/>
    <w:rsid w:val="00081452"/>
    <w:rsid w:val="00081935"/>
    <w:rsid w:val="0008208D"/>
    <w:rsid w:val="000822A2"/>
    <w:rsid w:val="0008232C"/>
    <w:rsid w:val="000824C5"/>
    <w:rsid w:val="00083649"/>
    <w:rsid w:val="0008496E"/>
    <w:rsid w:val="00085003"/>
    <w:rsid w:val="00085660"/>
    <w:rsid w:val="000868C4"/>
    <w:rsid w:val="000869CC"/>
    <w:rsid w:val="0008762A"/>
    <w:rsid w:val="00087DBA"/>
    <w:rsid w:val="00087F47"/>
    <w:rsid w:val="00087FE9"/>
    <w:rsid w:val="0009002D"/>
    <w:rsid w:val="00090041"/>
    <w:rsid w:val="000900BD"/>
    <w:rsid w:val="000906E8"/>
    <w:rsid w:val="00090A2C"/>
    <w:rsid w:val="0009140C"/>
    <w:rsid w:val="0009158D"/>
    <w:rsid w:val="000915B8"/>
    <w:rsid w:val="000923F2"/>
    <w:rsid w:val="00092618"/>
    <w:rsid w:val="00092B05"/>
    <w:rsid w:val="00092D38"/>
    <w:rsid w:val="00093FDE"/>
    <w:rsid w:val="0009403C"/>
    <w:rsid w:val="00094344"/>
    <w:rsid w:val="000944AD"/>
    <w:rsid w:val="00094F36"/>
    <w:rsid w:val="000953DC"/>
    <w:rsid w:val="000953EF"/>
    <w:rsid w:val="0009548D"/>
    <w:rsid w:val="00096650"/>
    <w:rsid w:val="000967F6"/>
    <w:rsid w:val="0009753F"/>
    <w:rsid w:val="00097AD3"/>
    <w:rsid w:val="000A02C1"/>
    <w:rsid w:val="000A12AB"/>
    <w:rsid w:val="000A1462"/>
    <w:rsid w:val="000A1963"/>
    <w:rsid w:val="000A19E2"/>
    <w:rsid w:val="000A1A40"/>
    <w:rsid w:val="000A1BE4"/>
    <w:rsid w:val="000A1DCF"/>
    <w:rsid w:val="000A2350"/>
    <w:rsid w:val="000A2610"/>
    <w:rsid w:val="000A2B98"/>
    <w:rsid w:val="000A3230"/>
    <w:rsid w:val="000A377B"/>
    <w:rsid w:val="000A5339"/>
    <w:rsid w:val="000A60BF"/>
    <w:rsid w:val="000A6AA4"/>
    <w:rsid w:val="000A6B24"/>
    <w:rsid w:val="000A6C79"/>
    <w:rsid w:val="000A6D14"/>
    <w:rsid w:val="000A71E0"/>
    <w:rsid w:val="000A7A1B"/>
    <w:rsid w:val="000A7C2E"/>
    <w:rsid w:val="000B0171"/>
    <w:rsid w:val="000B01DE"/>
    <w:rsid w:val="000B0C7F"/>
    <w:rsid w:val="000B0D6D"/>
    <w:rsid w:val="000B0E6B"/>
    <w:rsid w:val="000B19BA"/>
    <w:rsid w:val="000B1FC7"/>
    <w:rsid w:val="000B1FF7"/>
    <w:rsid w:val="000B2D7F"/>
    <w:rsid w:val="000B2D9C"/>
    <w:rsid w:val="000B321B"/>
    <w:rsid w:val="000B35EA"/>
    <w:rsid w:val="000B5422"/>
    <w:rsid w:val="000B553E"/>
    <w:rsid w:val="000B5CDB"/>
    <w:rsid w:val="000B6220"/>
    <w:rsid w:val="000B6629"/>
    <w:rsid w:val="000B6B3E"/>
    <w:rsid w:val="000B72E9"/>
    <w:rsid w:val="000B7446"/>
    <w:rsid w:val="000B77D2"/>
    <w:rsid w:val="000B7D6E"/>
    <w:rsid w:val="000C03B3"/>
    <w:rsid w:val="000C06C2"/>
    <w:rsid w:val="000C0B25"/>
    <w:rsid w:val="000C1CCA"/>
    <w:rsid w:val="000C23C3"/>
    <w:rsid w:val="000C2A2D"/>
    <w:rsid w:val="000C4723"/>
    <w:rsid w:val="000C4A1F"/>
    <w:rsid w:val="000C5027"/>
    <w:rsid w:val="000C5EB6"/>
    <w:rsid w:val="000C626D"/>
    <w:rsid w:val="000C6687"/>
    <w:rsid w:val="000C697D"/>
    <w:rsid w:val="000C69A0"/>
    <w:rsid w:val="000C6F94"/>
    <w:rsid w:val="000C73B4"/>
    <w:rsid w:val="000C784D"/>
    <w:rsid w:val="000C7D00"/>
    <w:rsid w:val="000D0CAE"/>
    <w:rsid w:val="000D0E88"/>
    <w:rsid w:val="000D123F"/>
    <w:rsid w:val="000D22E7"/>
    <w:rsid w:val="000D23B6"/>
    <w:rsid w:val="000D2819"/>
    <w:rsid w:val="000D3207"/>
    <w:rsid w:val="000D343E"/>
    <w:rsid w:val="000D3533"/>
    <w:rsid w:val="000D41C6"/>
    <w:rsid w:val="000D4B71"/>
    <w:rsid w:val="000D4C57"/>
    <w:rsid w:val="000D4CC3"/>
    <w:rsid w:val="000D5B21"/>
    <w:rsid w:val="000D67ED"/>
    <w:rsid w:val="000D6971"/>
    <w:rsid w:val="000D69D5"/>
    <w:rsid w:val="000D6C54"/>
    <w:rsid w:val="000D6EC7"/>
    <w:rsid w:val="000D70CF"/>
    <w:rsid w:val="000D71CC"/>
    <w:rsid w:val="000D7234"/>
    <w:rsid w:val="000E1DFF"/>
    <w:rsid w:val="000E26FD"/>
    <w:rsid w:val="000E287D"/>
    <w:rsid w:val="000E30B2"/>
    <w:rsid w:val="000E34AE"/>
    <w:rsid w:val="000E370F"/>
    <w:rsid w:val="000E371A"/>
    <w:rsid w:val="000E38A2"/>
    <w:rsid w:val="000E398A"/>
    <w:rsid w:val="000E3CBF"/>
    <w:rsid w:val="000E4016"/>
    <w:rsid w:val="000E41CD"/>
    <w:rsid w:val="000E43C6"/>
    <w:rsid w:val="000E4D39"/>
    <w:rsid w:val="000E521B"/>
    <w:rsid w:val="000E6943"/>
    <w:rsid w:val="000E73C9"/>
    <w:rsid w:val="000E7434"/>
    <w:rsid w:val="000E759C"/>
    <w:rsid w:val="000F00CF"/>
    <w:rsid w:val="000F036B"/>
    <w:rsid w:val="000F0A7D"/>
    <w:rsid w:val="000F0CE2"/>
    <w:rsid w:val="000F169E"/>
    <w:rsid w:val="000F1D74"/>
    <w:rsid w:val="000F201D"/>
    <w:rsid w:val="000F2477"/>
    <w:rsid w:val="000F29F6"/>
    <w:rsid w:val="000F2B78"/>
    <w:rsid w:val="000F3759"/>
    <w:rsid w:val="000F3916"/>
    <w:rsid w:val="000F3FA6"/>
    <w:rsid w:val="000F46F2"/>
    <w:rsid w:val="000F4D61"/>
    <w:rsid w:val="000F5D02"/>
    <w:rsid w:val="000F5E83"/>
    <w:rsid w:val="000F6245"/>
    <w:rsid w:val="000F653C"/>
    <w:rsid w:val="000F6998"/>
    <w:rsid w:val="000F72DC"/>
    <w:rsid w:val="000F7922"/>
    <w:rsid w:val="00100112"/>
    <w:rsid w:val="001008C6"/>
    <w:rsid w:val="00101C7C"/>
    <w:rsid w:val="001023A8"/>
    <w:rsid w:val="0010270D"/>
    <w:rsid w:val="0010278A"/>
    <w:rsid w:val="00102B69"/>
    <w:rsid w:val="001038B5"/>
    <w:rsid w:val="00103A4A"/>
    <w:rsid w:val="00104B9D"/>
    <w:rsid w:val="0010514C"/>
    <w:rsid w:val="001055C7"/>
    <w:rsid w:val="00105E85"/>
    <w:rsid w:val="001061E7"/>
    <w:rsid w:val="00106410"/>
    <w:rsid w:val="001064C7"/>
    <w:rsid w:val="0010667F"/>
    <w:rsid w:val="00106FDC"/>
    <w:rsid w:val="001070EC"/>
    <w:rsid w:val="001077F4"/>
    <w:rsid w:val="00107F84"/>
    <w:rsid w:val="00110317"/>
    <w:rsid w:val="001104FE"/>
    <w:rsid w:val="0011058D"/>
    <w:rsid w:val="00111103"/>
    <w:rsid w:val="001114CD"/>
    <w:rsid w:val="00112711"/>
    <w:rsid w:val="001132DB"/>
    <w:rsid w:val="0011399B"/>
    <w:rsid w:val="00113C2F"/>
    <w:rsid w:val="00114662"/>
    <w:rsid w:val="00114FD0"/>
    <w:rsid w:val="00115509"/>
    <w:rsid w:val="001155C0"/>
    <w:rsid w:val="001156FB"/>
    <w:rsid w:val="001158F0"/>
    <w:rsid w:val="00115FFE"/>
    <w:rsid w:val="001166BD"/>
    <w:rsid w:val="00116881"/>
    <w:rsid w:val="00116B19"/>
    <w:rsid w:val="00117229"/>
    <w:rsid w:val="00117604"/>
    <w:rsid w:val="00117F5B"/>
    <w:rsid w:val="001205E1"/>
    <w:rsid w:val="001213B3"/>
    <w:rsid w:val="00121810"/>
    <w:rsid w:val="00121DD4"/>
    <w:rsid w:val="00122027"/>
    <w:rsid w:val="00122132"/>
    <w:rsid w:val="00122308"/>
    <w:rsid w:val="001227A2"/>
    <w:rsid w:val="001232DA"/>
    <w:rsid w:val="0012336E"/>
    <w:rsid w:val="00125F58"/>
    <w:rsid w:val="0012627A"/>
    <w:rsid w:val="0012695A"/>
    <w:rsid w:val="00126D55"/>
    <w:rsid w:val="00127FBB"/>
    <w:rsid w:val="00131413"/>
    <w:rsid w:val="00131AEB"/>
    <w:rsid w:val="0013254F"/>
    <w:rsid w:val="00132A3B"/>
    <w:rsid w:val="001337E3"/>
    <w:rsid w:val="0013383D"/>
    <w:rsid w:val="00133A3F"/>
    <w:rsid w:val="00134272"/>
    <w:rsid w:val="001356A3"/>
    <w:rsid w:val="00135BDB"/>
    <w:rsid w:val="00135C7A"/>
    <w:rsid w:val="00135D11"/>
    <w:rsid w:val="00135E71"/>
    <w:rsid w:val="0013607F"/>
    <w:rsid w:val="001362B7"/>
    <w:rsid w:val="00140F44"/>
    <w:rsid w:val="00141291"/>
    <w:rsid w:val="0014150C"/>
    <w:rsid w:val="00141701"/>
    <w:rsid w:val="001419F1"/>
    <w:rsid w:val="00141C04"/>
    <w:rsid w:val="00141DAF"/>
    <w:rsid w:val="00141F51"/>
    <w:rsid w:val="00142336"/>
    <w:rsid w:val="0014297E"/>
    <w:rsid w:val="00142A77"/>
    <w:rsid w:val="00143040"/>
    <w:rsid w:val="00143058"/>
    <w:rsid w:val="00143311"/>
    <w:rsid w:val="001437C1"/>
    <w:rsid w:val="00143A76"/>
    <w:rsid w:val="00144727"/>
    <w:rsid w:val="00145034"/>
    <w:rsid w:val="001452B4"/>
    <w:rsid w:val="001462E5"/>
    <w:rsid w:val="00146AB7"/>
    <w:rsid w:val="00147CD0"/>
    <w:rsid w:val="00150090"/>
    <w:rsid w:val="00151505"/>
    <w:rsid w:val="00151A22"/>
    <w:rsid w:val="00151B63"/>
    <w:rsid w:val="00151E35"/>
    <w:rsid w:val="00151F05"/>
    <w:rsid w:val="00153784"/>
    <w:rsid w:val="001539B5"/>
    <w:rsid w:val="00153CC0"/>
    <w:rsid w:val="001540CE"/>
    <w:rsid w:val="001541FD"/>
    <w:rsid w:val="0015430D"/>
    <w:rsid w:val="00154467"/>
    <w:rsid w:val="00154959"/>
    <w:rsid w:val="00154C2C"/>
    <w:rsid w:val="001557FC"/>
    <w:rsid w:val="00155DAC"/>
    <w:rsid w:val="001560DC"/>
    <w:rsid w:val="001561B3"/>
    <w:rsid w:val="0015633D"/>
    <w:rsid w:val="0015774D"/>
    <w:rsid w:val="00157FCF"/>
    <w:rsid w:val="00160451"/>
    <w:rsid w:val="001614A6"/>
    <w:rsid w:val="00161BD4"/>
    <w:rsid w:val="0016275E"/>
    <w:rsid w:val="00163457"/>
    <w:rsid w:val="0016373E"/>
    <w:rsid w:val="00164979"/>
    <w:rsid w:val="001649D7"/>
    <w:rsid w:val="00164EB4"/>
    <w:rsid w:val="0016575D"/>
    <w:rsid w:val="001659B0"/>
    <w:rsid w:val="00165BAA"/>
    <w:rsid w:val="00165C7D"/>
    <w:rsid w:val="00167135"/>
    <w:rsid w:val="00167475"/>
    <w:rsid w:val="00167717"/>
    <w:rsid w:val="0017000D"/>
    <w:rsid w:val="001702AD"/>
    <w:rsid w:val="00170C78"/>
    <w:rsid w:val="00170DF9"/>
    <w:rsid w:val="00170E16"/>
    <w:rsid w:val="00171137"/>
    <w:rsid w:val="00171E68"/>
    <w:rsid w:val="00173446"/>
    <w:rsid w:val="0017375E"/>
    <w:rsid w:val="00173A2A"/>
    <w:rsid w:val="00173B78"/>
    <w:rsid w:val="001741A2"/>
    <w:rsid w:val="00174559"/>
    <w:rsid w:val="00174A97"/>
    <w:rsid w:val="00174D1D"/>
    <w:rsid w:val="001755C0"/>
    <w:rsid w:val="0017561F"/>
    <w:rsid w:val="0017608C"/>
    <w:rsid w:val="00176E90"/>
    <w:rsid w:val="00177CDF"/>
    <w:rsid w:val="0018045B"/>
    <w:rsid w:val="00180D22"/>
    <w:rsid w:val="00181431"/>
    <w:rsid w:val="00181D52"/>
    <w:rsid w:val="00181D61"/>
    <w:rsid w:val="00182875"/>
    <w:rsid w:val="00182C10"/>
    <w:rsid w:val="00182C53"/>
    <w:rsid w:val="00182DDE"/>
    <w:rsid w:val="00182DFD"/>
    <w:rsid w:val="00183201"/>
    <w:rsid w:val="00183ECA"/>
    <w:rsid w:val="00184060"/>
    <w:rsid w:val="00184798"/>
    <w:rsid w:val="00185102"/>
    <w:rsid w:val="001852B2"/>
    <w:rsid w:val="00185976"/>
    <w:rsid w:val="00185A52"/>
    <w:rsid w:val="0018659E"/>
    <w:rsid w:val="00186FC8"/>
    <w:rsid w:val="0018766C"/>
    <w:rsid w:val="001877EC"/>
    <w:rsid w:val="00187CC2"/>
    <w:rsid w:val="00187FFD"/>
    <w:rsid w:val="00190321"/>
    <w:rsid w:val="00190C91"/>
    <w:rsid w:val="00190D22"/>
    <w:rsid w:val="00190EAD"/>
    <w:rsid w:val="00191035"/>
    <w:rsid w:val="001915F9"/>
    <w:rsid w:val="001917AB"/>
    <w:rsid w:val="001918B1"/>
    <w:rsid w:val="0019267C"/>
    <w:rsid w:val="00192796"/>
    <w:rsid w:val="00192E0D"/>
    <w:rsid w:val="00193416"/>
    <w:rsid w:val="00193710"/>
    <w:rsid w:val="00193A05"/>
    <w:rsid w:val="00193A9C"/>
    <w:rsid w:val="00193B41"/>
    <w:rsid w:val="001946E0"/>
    <w:rsid w:val="001953CC"/>
    <w:rsid w:val="001959AC"/>
    <w:rsid w:val="00195C11"/>
    <w:rsid w:val="00195D1C"/>
    <w:rsid w:val="00195F97"/>
    <w:rsid w:val="00195FD2"/>
    <w:rsid w:val="00196D01"/>
    <w:rsid w:val="001970FB"/>
    <w:rsid w:val="001A135D"/>
    <w:rsid w:val="001A1CF6"/>
    <w:rsid w:val="001A2FBC"/>
    <w:rsid w:val="001A30A8"/>
    <w:rsid w:val="001A3CF8"/>
    <w:rsid w:val="001A6B44"/>
    <w:rsid w:val="001A6B49"/>
    <w:rsid w:val="001A7242"/>
    <w:rsid w:val="001A72A4"/>
    <w:rsid w:val="001A7604"/>
    <w:rsid w:val="001A76F4"/>
    <w:rsid w:val="001B0459"/>
    <w:rsid w:val="001B07FA"/>
    <w:rsid w:val="001B1306"/>
    <w:rsid w:val="001B17A9"/>
    <w:rsid w:val="001B1830"/>
    <w:rsid w:val="001B1C0A"/>
    <w:rsid w:val="001B22AE"/>
    <w:rsid w:val="001B313B"/>
    <w:rsid w:val="001B5317"/>
    <w:rsid w:val="001B5572"/>
    <w:rsid w:val="001B5959"/>
    <w:rsid w:val="001B60ED"/>
    <w:rsid w:val="001B65D2"/>
    <w:rsid w:val="001B6C09"/>
    <w:rsid w:val="001B72AF"/>
    <w:rsid w:val="001B75E2"/>
    <w:rsid w:val="001B7954"/>
    <w:rsid w:val="001C006D"/>
    <w:rsid w:val="001C022E"/>
    <w:rsid w:val="001C0602"/>
    <w:rsid w:val="001C0877"/>
    <w:rsid w:val="001C08FF"/>
    <w:rsid w:val="001C10F1"/>
    <w:rsid w:val="001C1904"/>
    <w:rsid w:val="001C1EF6"/>
    <w:rsid w:val="001C284B"/>
    <w:rsid w:val="001C30A8"/>
    <w:rsid w:val="001C39B0"/>
    <w:rsid w:val="001C4000"/>
    <w:rsid w:val="001C42F2"/>
    <w:rsid w:val="001C457E"/>
    <w:rsid w:val="001C5CBF"/>
    <w:rsid w:val="001C5F16"/>
    <w:rsid w:val="001C660C"/>
    <w:rsid w:val="001C69B6"/>
    <w:rsid w:val="001C6A75"/>
    <w:rsid w:val="001D0106"/>
    <w:rsid w:val="001D112A"/>
    <w:rsid w:val="001D1AA9"/>
    <w:rsid w:val="001D1B90"/>
    <w:rsid w:val="001D1CEC"/>
    <w:rsid w:val="001D22CF"/>
    <w:rsid w:val="001D244F"/>
    <w:rsid w:val="001D3B5C"/>
    <w:rsid w:val="001D50A0"/>
    <w:rsid w:val="001D5615"/>
    <w:rsid w:val="001D5CC9"/>
    <w:rsid w:val="001D5E12"/>
    <w:rsid w:val="001D637D"/>
    <w:rsid w:val="001D6665"/>
    <w:rsid w:val="001D7B96"/>
    <w:rsid w:val="001E0197"/>
    <w:rsid w:val="001E01BF"/>
    <w:rsid w:val="001E01C9"/>
    <w:rsid w:val="001E057B"/>
    <w:rsid w:val="001E13C3"/>
    <w:rsid w:val="001E17BF"/>
    <w:rsid w:val="001E2263"/>
    <w:rsid w:val="001E234D"/>
    <w:rsid w:val="001E2C26"/>
    <w:rsid w:val="001E3AAF"/>
    <w:rsid w:val="001E3EC8"/>
    <w:rsid w:val="001E3FC0"/>
    <w:rsid w:val="001E4B48"/>
    <w:rsid w:val="001E4BA0"/>
    <w:rsid w:val="001E54EB"/>
    <w:rsid w:val="001E5A88"/>
    <w:rsid w:val="001E6152"/>
    <w:rsid w:val="001E6742"/>
    <w:rsid w:val="001E7150"/>
    <w:rsid w:val="001E7328"/>
    <w:rsid w:val="001E78AB"/>
    <w:rsid w:val="001E7CF1"/>
    <w:rsid w:val="001E7E0A"/>
    <w:rsid w:val="001E7FDD"/>
    <w:rsid w:val="001F0BDC"/>
    <w:rsid w:val="001F0FB0"/>
    <w:rsid w:val="001F1231"/>
    <w:rsid w:val="001F1D3C"/>
    <w:rsid w:val="001F2120"/>
    <w:rsid w:val="001F37C6"/>
    <w:rsid w:val="001F3971"/>
    <w:rsid w:val="001F3C1A"/>
    <w:rsid w:val="001F4578"/>
    <w:rsid w:val="001F5559"/>
    <w:rsid w:val="001F5A45"/>
    <w:rsid w:val="001F5BD2"/>
    <w:rsid w:val="001F5ED4"/>
    <w:rsid w:val="001F6549"/>
    <w:rsid w:val="001F6769"/>
    <w:rsid w:val="001F6E5B"/>
    <w:rsid w:val="001F7190"/>
    <w:rsid w:val="001F7675"/>
    <w:rsid w:val="001F7E18"/>
    <w:rsid w:val="002002E9"/>
    <w:rsid w:val="00200469"/>
    <w:rsid w:val="002007F2"/>
    <w:rsid w:val="00200B3D"/>
    <w:rsid w:val="00200BF0"/>
    <w:rsid w:val="00200C36"/>
    <w:rsid w:val="00201167"/>
    <w:rsid w:val="00201AFE"/>
    <w:rsid w:val="00201B7E"/>
    <w:rsid w:val="00203C23"/>
    <w:rsid w:val="00203C63"/>
    <w:rsid w:val="00204EC8"/>
    <w:rsid w:val="00206061"/>
    <w:rsid w:val="00207370"/>
    <w:rsid w:val="00210069"/>
    <w:rsid w:val="00210524"/>
    <w:rsid w:val="00210655"/>
    <w:rsid w:val="002107EE"/>
    <w:rsid w:val="00210A6D"/>
    <w:rsid w:val="00210FCA"/>
    <w:rsid w:val="00211633"/>
    <w:rsid w:val="0021196A"/>
    <w:rsid w:val="002119E6"/>
    <w:rsid w:val="00212096"/>
    <w:rsid w:val="0021214C"/>
    <w:rsid w:val="0021228B"/>
    <w:rsid w:val="00212712"/>
    <w:rsid w:val="002131BD"/>
    <w:rsid w:val="00213D07"/>
    <w:rsid w:val="00213E9B"/>
    <w:rsid w:val="0021470C"/>
    <w:rsid w:val="00214B2C"/>
    <w:rsid w:val="00215367"/>
    <w:rsid w:val="00215CEE"/>
    <w:rsid w:val="002168AA"/>
    <w:rsid w:val="00217816"/>
    <w:rsid w:val="002203C6"/>
    <w:rsid w:val="00221C2B"/>
    <w:rsid w:val="00221CE4"/>
    <w:rsid w:val="00222A18"/>
    <w:rsid w:val="00222E5A"/>
    <w:rsid w:val="0022300C"/>
    <w:rsid w:val="0022357B"/>
    <w:rsid w:val="0022385D"/>
    <w:rsid w:val="00223A02"/>
    <w:rsid w:val="00223AE0"/>
    <w:rsid w:val="002240F2"/>
    <w:rsid w:val="00224CDC"/>
    <w:rsid w:val="00225062"/>
    <w:rsid w:val="0022636A"/>
    <w:rsid w:val="00226FA3"/>
    <w:rsid w:val="00227284"/>
    <w:rsid w:val="00227B90"/>
    <w:rsid w:val="002306AC"/>
    <w:rsid w:val="00230C17"/>
    <w:rsid w:val="00230C23"/>
    <w:rsid w:val="00230C79"/>
    <w:rsid w:val="0023108D"/>
    <w:rsid w:val="002311AE"/>
    <w:rsid w:val="00232DD1"/>
    <w:rsid w:val="00232DE3"/>
    <w:rsid w:val="002336F2"/>
    <w:rsid w:val="00233BF4"/>
    <w:rsid w:val="0023409D"/>
    <w:rsid w:val="002346EA"/>
    <w:rsid w:val="00234747"/>
    <w:rsid w:val="00234A30"/>
    <w:rsid w:val="00234B32"/>
    <w:rsid w:val="00235515"/>
    <w:rsid w:val="0023577A"/>
    <w:rsid w:val="00235A9C"/>
    <w:rsid w:val="00235CD8"/>
    <w:rsid w:val="00236743"/>
    <w:rsid w:val="00236D4E"/>
    <w:rsid w:val="002376F3"/>
    <w:rsid w:val="002403D3"/>
    <w:rsid w:val="00240EB6"/>
    <w:rsid w:val="002416A5"/>
    <w:rsid w:val="00241F40"/>
    <w:rsid w:val="002422BB"/>
    <w:rsid w:val="0024237E"/>
    <w:rsid w:val="002425D9"/>
    <w:rsid w:val="00242B2A"/>
    <w:rsid w:val="002436B6"/>
    <w:rsid w:val="00243708"/>
    <w:rsid w:val="00243C87"/>
    <w:rsid w:val="00244286"/>
    <w:rsid w:val="00244446"/>
    <w:rsid w:val="00244B3B"/>
    <w:rsid w:val="00244CDF"/>
    <w:rsid w:val="00245F2D"/>
    <w:rsid w:val="00245F92"/>
    <w:rsid w:val="00246C92"/>
    <w:rsid w:val="00247130"/>
    <w:rsid w:val="00247374"/>
    <w:rsid w:val="002475C6"/>
    <w:rsid w:val="0024784F"/>
    <w:rsid w:val="00247D37"/>
    <w:rsid w:val="002506FB"/>
    <w:rsid w:val="00250844"/>
    <w:rsid w:val="00251196"/>
    <w:rsid w:val="00251A2C"/>
    <w:rsid w:val="00252442"/>
    <w:rsid w:val="002531CA"/>
    <w:rsid w:val="00253F3A"/>
    <w:rsid w:val="0025456A"/>
    <w:rsid w:val="00254770"/>
    <w:rsid w:val="00255581"/>
    <w:rsid w:val="00255663"/>
    <w:rsid w:val="00255E0D"/>
    <w:rsid w:val="002564C1"/>
    <w:rsid w:val="002564FA"/>
    <w:rsid w:val="00256681"/>
    <w:rsid w:val="0025674C"/>
    <w:rsid w:val="0025687E"/>
    <w:rsid w:val="00256BD8"/>
    <w:rsid w:val="00257184"/>
    <w:rsid w:val="00257186"/>
    <w:rsid w:val="0026068C"/>
    <w:rsid w:val="00260963"/>
    <w:rsid w:val="00260B8B"/>
    <w:rsid w:val="00260C22"/>
    <w:rsid w:val="00260C8A"/>
    <w:rsid w:val="00260D30"/>
    <w:rsid w:val="00261410"/>
    <w:rsid w:val="00261E3E"/>
    <w:rsid w:val="00261E71"/>
    <w:rsid w:val="002627C6"/>
    <w:rsid w:val="002628B1"/>
    <w:rsid w:val="00262E54"/>
    <w:rsid w:val="00263600"/>
    <w:rsid w:val="00263AFC"/>
    <w:rsid w:val="0026433E"/>
    <w:rsid w:val="0026488A"/>
    <w:rsid w:val="00264D8E"/>
    <w:rsid w:val="00265D84"/>
    <w:rsid w:val="00266D24"/>
    <w:rsid w:val="002672F7"/>
    <w:rsid w:val="00267E16"/>
    <w:rsid w:val="0027044E"/>
    <w:rsid w:val="002704BC"/>
    <w:rsid w:val="0027061A"/>
    <w:rsid w:val="00270A70"/>
    <w:rsid w:val="00272A09"/>
    <w:rsid w:val="00272B5A"/>
    <w:rsid w:val="00272B9E"/>
    <w:rsid w:val="00272DFC"/>
    <w:rsid w:val="0027322A"/>
    <w:rsid w:val="002732EC"/>
    <w:rsid w:val="0027348B"/>
    <w:rsid w:val="00273FB3"/>
    <w:rsid w:val="00274458"/>
    <w:rsid w:val="00274540"/>
    <w:rsid w:val="0027454A"/>
    <w:rsid w:val="00274BF8"/>
    <w:rsid w:val="00274C66"/>
    <w:rsid w:val="00274D5C"/>
    <w:rsid w:val="00275A4B"/>
    <w:rsid w:val="00276753"/>
    <w:rsid w:val="00277669"/>
    <w:rsid w:val="0027785C"/>
    <w:rsid w:val="00277F47"/>
    <w:rsid w:val="0028037B"/>
    <w:rsid w:val="002804E6"/>
    <w:rsid w:val="00280F9E"/>
    <w:rsid w:val="00280FA9"/>
    <w:rsid w:val="0028175B"/>
    <w:rsid w:val="00281BCE"/>
    <w:rsid w:val="00281D32"/>
    <w:rsid w:val="00281F53"/>
    <w:rsid w:val="00281F5C"/>
    <w:rsid w:val="00282055"/>
    <w:rsid w:val="002826EF"/>
    <w:rsid w:val="0028278E"/>
    <w:rsid w:val="00282B9A"/>
    <w:rsid w:val="002832C3"/>
    <w:rsid w:val="002835EB"/>
    <w:rsid w:val="0028361A"/>
    <w:rsid w:val="0028377D"/>
    <w:rsid w:val="00283B2E"/>
    <w:rsid w:val="00283C3B"/>
    <w:rsid w:val="00283DB2"/>
    <w:rsid w:val="00283E3F"/>
    <w:rsid w:val="002840E7"/>
    <w:rsid w:val="002845B8"/>
    <w:rsid w:val="002849F2"/>
    <w:rsid w:val="00284AA2"/>
    <w:rsid w:val="00284DCB"/>
    <w:rsid w:val="0028508B"/>
    <w:rsid w:val="002854D5"/>
    <w:rsid w:val="002856BF"/>
    <w:rsid w:val="00285C19"/>
    <w:rsid w:val="00285D15"/>
    <w:rsid w:val="00286B6E"/>
    <w:rsid w:val="00286BC0"/>
    <w:rsid w:val="00287153"/>
    <w:rsid w:val="002872AB"/>
    <w:rsid w:val="0029027A"/>
    <w:rsid w:val="0029036F"/>
    <w:rsid w:val="00290C44"/>
    <w:rsid w:val="002918A2"/>
    <w:rsid w:val="00291D6C"/>
    <w:rsid w:val="0029270D"/>
    <w:rsid w:val="00293171"/>
    <w:rsid w:val="002935AC"/>
    <w:rsid w:val="00293D80"/>
    <w:rsid w:val="00294239"/>
    <w:rsid w:val="00295037"/>
    <w:rsid w:val="00295044"/>
    <w:rsid w:val="0029510F"/>
    <w:rsid w:val="00295640"/>
    <w:rsid w:val="00295BFF"/>
    <w:rsid w:val="00295CD9"/>
    <w:rsid w:val="00296256"/>
    <w:rsid w:val="0029668E"/>
    <w:rsid w:val="002966DC"/>
    <w:rsid w:val="00296CF2"/>
    <w:rsid w:val="00296D2D"/>
    <w:rsid w:val="00297081"/>
    <w:rsid w:val="00297770"/>
    <w:rsid w:val="002A0CB3"/>
    <w:rsid w:val="002A1045"/>
    <w:rsid w:val="002A10BD"/>
    <w:rsid w:val="002A130F"/>
    <w:rsid w:val="002A1814"/>
    <w:rsid w:val="002A19B5"/>
    <w:rsid w:val="002A1E12"/>
    <w:rsid w:val="002A1E4B"/>
    <w:rsid w:val="002A1FF1"/>
    <w:rsid w:val="002A2137"/>
    <w:rsid w:val="002A25CF"/>
    <w:rsid w:val="002A2D8F"/>
    <w:rsid w:val="002A305B"/>
    <w:rsid w:val="002A357A"/>
    <w:rsid w:val="002A389F"/>
    <w:rsid w:val="002A4686"/>
    <w:rsid w:val="002A4A9D"/>
    <w:rsid w:val="002A4B54"/>
    <w:rsid w:val="002A4BA7"/>
    <w:rsid w:val="002A4F0D"/>
    <w:rsid w:val="002A52E5"/>
    <w:rsid w:val="002A5633"/>
    <w:rsid w:val="002A6855"/>
    <w:rsid w:val="002A69AB"/>
    <w:rsid w:val="002A77F8"/>
    <w:rsid w:val="002A7ED8"/>
    <w:rsid w:val="002B09CD"/>
    <w:rsid w:val="002B0B67"/>
    <w:rsid w:val="002B13DC"/>
    <w:rsid w:val="002B1435"/>
    <w:rsid w:val="002B1A93"/>
    <w:rsid w:val="002B1D9E"/>
    <w:rsid w:val="002B22BC"/>
    <w:rsid w:val="002B290F"/>
    <w:rsid w:val="002B2CEC"/>
    <w:rsid w:val="002B301D"/>
    <w:rsid w:val="002B301E"/>
    <w:rsid w:val="002B3A87"/>
    <w:rsid w:val="002B40FB"/>
    <w:rsid w:val="002B412C"/>
    <w:rsid w:val="002B450C"/>
    <w:rsid w:val="002B466B"/>
    <w:rsid w:val="002B4D5D"/>
    <w:rsid w:val="002B4EE6"/>
    <w:rsid w:val="002B5247"/>
    <w:rsid w:val="002B5384"/>
    <w:rsid w:val="002B53A0"/>
    <w:rsid w:val="002B570B"/>
    <w:rsid w:val="002B57DB"/>
    <w:rsid w:val="002B5AE0"/>
    <w:rsid w:val="002B623C"/>
    <w:rsid w:val="002B6B4F"/>
    <w:rsid w:val="002B6D89"/>
    <w:rsid w:val="002B6F60"/>
    <w:rsid w:val="002B72D3"/>
    <w:rsid w:val="002B77DE"/>
    <w:rsid w:val="002B7C5A"/>
    <w:rsid w:val="002B7F54"/>
    <w:rsid w:val="002C0508"/>
    <w:rsid w:val="002C115C"/>
    <w:rsid w:val="002C1799"/>
    <w:rsid w:val="002C1A1F"/>
    <w:rsid w:val="002C23BA"/>
    <w:rsid w:val="002C362D"/>
    <w:rsid w:val="002C479F"/>
    <w:rsid w:val="002C4CEA"/>
    <w:rsid w:val="002C5141"/>
    <w:rsid w:val="002C5AB0"/>
    <w:rsid w:val="002C6336"/>
    <w:rsid w:val="002C6498"/>
    <w:rsid w:val="002C6B4F"/>
    <w:rsid w:val="002C703D"/>
    <w:rsid w:val="002C78D6"/>
    <w:rsid w:val="002C7D1D"/>
    <w:rsid w:val="002D0161"/>
    <w:rsid w:val="002D080A"/>
    <w:rsid w:val="002D09BD"/>
    <w:rsid w:val="002D0D9F"/>
    <w:rsid w:val="002D0DFB"/>
    <w:rsid w:val="002D0FCF"/>
    <w:rsid w:val="002D1713"/>
    <w:rsid w:val="002D18DF"/>
    <w:rsid w:val="002D198B"/>
    <w:rsid w:val="002D271F"/>
    <w:rsid w:val="002D283B"/>
    <w:rsid w:val="002D2985"/>
    <w:rsid w:val="002D2D39"/>
    <w:rsid w:val="002D3091"/>
    <w:rsid w:val="002D383D"/>
    <w:rsid w:val="002D48EC"/>
    <w:rsid w:val="002D4A8B"/>
    <w:rsid w:val="002D54FF"/>
    <w:rsid w:val="002D57B2"/>
    <w:rsid w:val="002D62FD"/>
    <w:rsid w:val="002D78E0"/>
    <w:rsid w:val="002D7D6E"/>
    <w:rsid w:val="002E04E0"/>
    <w:rsid w:val="002E08A4"/>
    <w:rsid w:val="002E08DB"/>
    <w:rsid w:val="002E092E"/>
    <w:rsid w:val="002E0B05"/>
    <w:rsid w:val="002E0BB6"/>
    <w:rsid w:val="002E0CC5"/>
    <w:rsid w:val="002E1473"/>
    <w:rsid w:val="002E18AD"/>
    <w:rsid w:val="002E19B9"/>
    <w:rsid w:val="002E1FDA"/>
    <w:rsid w:val="002E2266"/>
    <w:rsid w:val="002E22DE"/>
    <w:rsid w:val="002E23EF"/>
    <w:rsid w:val="002E277C"/>
    <w:rsid w:val="002E2EB7"/>
    <w:rsid w:val="002E2F40"/>
    <w:rsid w:val="002E317C"/>
    <w:rsid w:val="002E32E1"/>
    <w:rsid w:val="002E42F1"/>
    <w:rsid w:val="002E4523"/>
    <w:rsid w:val="002E46AF"/>
    <w:rsid w:val="002E4B2E"/>
    <w:rsid w:val="002E4C84"/>
    <w:rsid w:val="002E4D47"/>
    <w:rsid w:val="002E525B"/>
    <w:rsid w:val="002E5AC7"/>
    <w:rsid w:val="002E5E6A"/>
    <w:rsid w:val="002E7567"/>
    <w:rsid w:val="002E78A5"/>
    <w:rsid w:val="002F0399"/>
    <w:rsid w:val="002F1C7E"/>
    <w:rsid w:val="002F1CB0"/>
    <w:rsid w:val="002F3B09"/>
    <w:rsid w:val="002F3FB6"/>
    <w:rsid w:val="002F44B3"/>
    <w:rsid w:val="002F4B60"/>
    <w:rsid w:val="002F5302"/>
    <w:rsid w:val="002F530D"/>
    <w:rsid w:val="002F5A26"/>
    <w:rsid w:val="002F624A"/>
    <w:rsid w:val="002F6540"/>
    <w:rsid w:val="002F6BCC"/>
    <w:rsid w:val="002F6E02"/>
    <w:rsid w:val="002F7459"/>
    <w:rsid w:val="002F78B5"/>
    <w:rsid w:val="002F7E4F"/>
    <w:rsid w:val="003003B7"/>
    <w:rsid w:val="003006D6"/>
    <w:rsid w:val="00300EFF"/>
    <w:rsid w:val="00301A41"/>
    <w:rsid w:val="003029A3"/>
    <w:rsid w:val="0030412C"/>
    <w:rsid w:val="0030491A"/>
    <w:rsid w:val="00304AD5"/>
    <w:rsid w:val="00305B87"/>
    <w:rsid w:val="00305FD1"/>
    <w:rsid w:val="00306065"/>
    <w:rsid w:val="00306257"/>
    <w:rsid w:val="003066C9"/>
    <w:rsid w:val="00306A5E"/>
    <w:rsid w:val="00306BC7"/>
    <w:rsid w:val="00306C3E"/>
    <w:rsid w:val="00307059"/>
    <w:rsid w:val="00307507"/>
    <w:rsid w:val="00307C02"/>
    <w:rsid w:val="0031021F"/>
    <w:rsid w:val="0031058F"/>
    <w:rsid w:val="003106EF"/>
    <w:rsid w:val="003117BA"/>
    <w:rsid w:val="00311B90"/>
    <w:rsid w:val="00311E46"/>
    <w:rsid w:val="00312971"/>
    <w:rsid w:val="0031382F"/>
    <w:rsid w:val="00313C1F"/>
    <w:rsid w:val="00313E28"/>
    <w:rsid w:val="003140D8"/>
    <w:rsid w:val="0031431E"/>
    <w:rsid w:val="003146B3"/>
    <w:rsid w:val="00314CE8"/>
    <w:rsid w:val="0031528C"/>
    <w:rsid w:val="003152CE"/>
    <w:rsid w:val="00315D81"/>
    <w:rsid w:val="003167A6"/>
    <w:rsid w:val="00316C11"/>
    <w:rsid w:val="00316C79"/>
    <w:rsid w:val="00317AC8"/>
    <w:rsid w:val="0032008F"/>
    <w:rsid w:val="0032029A"/>
    <w:rsid w:val="00320D2A"/>
    <w:rsid w:val="00321DC5"/>
    <w:rsid w:val="00321F25"/>
    <w:rsid w:val="00322EAD"/>
    <w:rsid w:val="0032335A"/>
    <w:rsid w:val="00323873"/>
    <w:rsid w:val="00323B1F"/>
    <w:rsid w:val="00324CE6"/>
    <w:rsid w:val="0032501E"/>
    <w:rsid w:val="003260AE"/>
    <w:rsid w:val="00326B8C"/>
    <w:rsid w:val="00327600"/>
    <w:rsid w:val="00330597"/>
    <w:rsid w:val="00330D90"/>
    <w:rsid w:val="00331DED"/>
    <w:rsid w:val="00333310"/>
    <w:rsid w:val="0033341D"/>
    <w:rsid w:val="00334855"/>
    <w:rsid w:val="003349CC"/>
    <w:rsid w:val="003349E8"/>
    <w:rsid w:val="00334A59"/>
    <w:rsid w:val="00335F3C"/>
    <w:rsid w:val="003366B3"/>
    <w:rsid w:val="00336B0E"/>
    <w:rsid w:val="00337E81"/>
    <w:rsid w:val="00340970"/>
    <w:rsid w:val="00341229"/>
    <w:rsid w:val="00341698"/>
    <w:rsid w:val="00341D10"/>
    <w:rsid w:val="0034263E"/>
    <w:rsid w:val="00342C29"/>
    <w:rsid w:val="00343686"/>
    <w:rsid w:val="00343F46"/>
    <w:rsid w:val="003448AD"/>
    <w:rsid w:val="00344D2D"/>
    <w:rsid w:val="00345093"/>
    <w:rsid w:val="00345198"/>
    <w:rsid w:val="00345735"/>
    <w:rsid w:val="00345C38"/>
    <w:rsid w:val="00346D06"/>
    <w:rsid w:val="00346D47"/>
    <w:rsid w:val="003471B1"/>
    <w:rsid w:val="00347594"/>
    <w:rsid w:val="00347848"/>
    <w:rsid w:val="003478CB"/>
    <w:rsid w:val="00347908"/>
    <w:rsid w:val="00347915"/>
    <w:rsid w:val="003502D2"/>
    <w:rsid w:val="003505D6"/>
    <w:rsid w:val="00350EA2"/>
    <w:rsid w:val="003510A8"/>
    <w:rsid w:val="00351274"/>
    <w:rsid w:val="00351D4D"/>
    <w:rsid w:val="00351E4B"/>
    <w:rsid w:val="00352A75"/>
    <w:rsid w:val="00352B30"/>
    <w:rsid w:val="00352DA5"/>
    <w:rsid w:val="00353036"/>
    <w:rsid w:val="0035319E"/>
    <w:rsid w:val="00353E0F"/>
    <w:rsid w:val="00353FE8"/>
    <w:rsid w:val="00354B21"/>
    <w:rsid w:val="003556BF"/>
    <w:rsid w:val="00355784"/>
    <w:rsid w:val="00355C82"/>
    <w:rsid w:val="00355F1F"/>
    <w:rsid w:val="0035619D"/>
    <w:rsid w:val="00356FDC"/>
    <w:rsid w:val="00360000"/>
    <w:rsid w:val="0036161A"/>
    <w:rsid w:val="00361A22"/>
    <w:rsid w:val="003634BA"/>
    <w:rsid w:val="00363563"/>
    <w:rsid w:val="00363AA3"/>
    <w:rsid w:val="00363F09"/>
    <w:rsid w:val="003647DD"/>
    <w:rsid w:val="00364D82"/>
    <w:rsid w:val="0036573B"/>
    <w:rsid w:val="00367056"/>
    <w:rsid w:val="003677CB"/>
    <w:rsid w:val="003677F8"/>
    <w:rsid w:val="0036790F"/>
    <w:rsid w:val="00367ABC"/>
    <w:rsid w:val="003703E1"/>
    <w:rsid w:val="00370B9B"/>
    <w:rsid w:val="00370E02"/>
    <w:rsid w:val="00372242"/>
    <w:rsid w:val="0037230E"/>
    <w:rsid w:val="00372808"/>
    <w:rsid w:val="00372A97"/>
    <w:rsid w:val="00372C09"/>
    <w:rsid w:val="00372EA9"/>
    <w:rsid w:val="003731A7"/>
    <w:rsid w:val="00373548"/>
    <w:rsid w:val="003737E8"/>
    <w:rsid w:val="0037456B"/>
    <w:rsid w:val="00374C25"/>
    <w:rsid w:val="00374ECC"/>
    <w:rsid w:val="00375C70"/>
    <w:rsid w:val="00377033"/>
    <w:rsid w:val="00380AAC"/>
    <w:rsid w:val="00380BBB"/>
    <w:rsid w:val="00381285"/>
    <w:rsid w:val="00381D3A"/>
    <w:rsid w:val="0038209D"/>
    <w:rsid w:val="00382EAE"/>
    <w:rsid w:val="00383F95"/>
    <w:rsid w:val="00384D7E"/>
    <w:rsid w:val="003857B9"/>
    <w:rsid w:val="0038694A"/>
    <w:rsid w:val="0038728B"/>
    <w:rsid w:val="00387402"/>
    <w:rsid w:val="00387973"/>
    <w:rsid w:val="00387BA5"/>
    <w:rsid w:val="003904BF"/>
    <w:rsid w:val="0039151F"/>
    <w:rsid w:val="003919AB"/>
    <w:rsid w:val="00391D21"/>
    <w:rsid w:val="003934DF"/>
    <w:rsid w:val="0039391C"/>
    <w:rsid w:val="00393E60"/>
    <w:rsid w:val="003950BB"/>
    <w:rsid w:val="003952BD"/>
    <w:rsid w:val="003957B0"/>
    <w:rsid w:val="003965BB"/>
    <w:rsid w:val="00396A68"/>
    <w:rsid w:val="003971ED"/>
    <w:rsid w:val="003977E3"/>
    <w:rsid w:val="00397945"/>
    <w:rsid w:val="00397C0A"/>
    <w:rsid w:val="00397F96"/>
    <w:rsid w:val="003A0372"/>
    <w:rsid w:val="003A0897"/>
    <w:rsid w:val="003A118E"/>
    <w:rsid w:val="003A1990"/>
    <w:rsid w:val="003A234F"/>
    <w:rsid w:val="003A2BC1"/>
    <w:rsid w:val="003A3240"/>
    <w:rsid w:val="003A3480"/>
    <w:rsid w:val="003A34D1"/>
    <w:rsid w:val="003A3575"/>
    <w:rsid w:val="003A35AC"/>
    <w:rsid w:val="003A3628"/>
    <w:rsid w:val="003A4DD8"/>
    <w:rsid w:val="003A53A6"/>
    <w:rsid w:val="003A5594"/>
    <w:rsid w:val="003A5EC7"/>
    <w:rsid w:val="003A6A7E"/>
    <w:rsid w:val="003A78C4"/>
    <w:rsid w:val="003A7AD6"/>
    <w:rsid w:val="003B0250"/>
    <w:rsid w:val="003B05A6"/>
    <w:rsid w:val="003B05E9"/>
    <w:rsid w:val="003B08CD"/>
    <w:rsid w:val="003B09B1"/>
    <w:rsid w:val="003B0C1C"/>
    <w:rsid w:val="003B1896"/>
    <w:rsid w:val="003B29B9"/>
    <w:rsid w:val="003B2BCC"/>
    <w:rsid w:val="003B2CD9"/>
    <w:rsid w:val="003B2E00"/>
    <w:rsid w:val="003B2F65"/>
    <w:rsid w:val="003B3B5F"/>
    <w:rsid w:val="003B4A05"/>
    <w:rsid w:val="003B7423"/>
    <w:rsid w:val="003B7EA5"/>
    <w:rsid w:val="003C14B0"/>
    <w:rsid w:val="003C1AE9"/>
    <w:rsid w:val="003C223E"/>
    <w:rsid w:val="003C3AA5"/>
    <w:rsid w:val="003C4AAC"/>
    <w:rsid w:val="003C4AEE"/>
    <w:rsid w:val="003C5F99"/>
    <w:rsid w:val="003C68C3"/>
    <w:rsid w:val="003C6E16"/>
    <w:rsid w:val="003C702A"/>
    <w:rsid w:val="003C788A"/>
    <w:rsid w:val="003C7B16"/>
    <w:rsid w:val="003C7D94"/>
    <w:rsid w:val="003D08F4"/>
    <w:rsid w:val="003D0A9E"/>
    <w:rsid w:val="003D0E7E"/>
    <w:rsid w:val="003D1001"/>
    <w:rsid w:val="003D1067"/>
    <w:rsid w:val="003D1095"/>
    <w:rsid w:val="003D291E"/>
    <w:rsid w:val="003D3822"/>
    <w:rsid w:val="003D3D35"/>
    <w:rsid w:val="003D41F2"/>
    <w:rsid w:val="003D42AF"/>
    <w:rsid w:val="003D45D6"/>
    <w:rsid w:val="003D48D1"/>
    <w:rsid w:val="003D517F"/>
    <w:rsid w:val="003D5666"/>
    <w:rsid w:val="003D56F5"/>
    <w:rsid w:val="003D5DF4"/>
    <w:rsid w:val="003D5DF8"/>
    <w:rsid w:val="003D6374"/>
    <w:rsid w:val="003D69DC"/>
    <w:rsid w:val="003D7020"/>
    <w:rsid w:val="003D7887"/>
    <w:rsid w:val="003D78E2"/>
    <w:rsid w:val="003D7FD8"/>
    <w:rsid w:val="003E104F"/>
    <w:rsid w:val="003E148F"/>
    <w:rsid w:val="003E179F"/>
    <w:rsid w:val="003E1D0D"/>
    <w:rsid w:val="003E1DD8"/>
    <w:rsid w:val="003E1E74"/>
    <w:rsid w:val="003E2DBC"/>
    <w:rsid w:val="003E30E1"/>
    <w:rsid w:val="003E39E5"/>
    <w:rsid w:val="003E3CF1"/>
    <w:rsid w:val="003E4219"/>
    <w:rsid w:val="003E4403"/>
    <w:rsid w:val="003E46D4"/>
    <w:rsid w:val="003E487B"/>
    <w:rsid w:val="003E4AC3"/>
    <w:rsid w:val="003E4BFE"/>
    <w:rsid w:val="003E4D41"/>
    <w:rsid w:val="003E4F35"/>
    <w:rsid w:val="003E54AD"/>
    <w:rsid w:val="003E60C2"/>
    <w:rsid w:val="003E671F"/>
    <w:rsid w:val="003E76C1"/>
    <w:rsid w:val="003E76C8"/>
    <w:rsid w:val="003E7AB5"/>
    <w:rsid w:val="003E7C58"/>
    <w:rsid w:val="003E7C5E"/>
    <w:rsid w:val="003E7CA2"/>
    <w:rsid w:val="003E7E9A"/>
    <w:rsid w:val="003F0D9A"/>
    <w:rsid w:val="003F0F9F"/>
    <w:rsid w:val="003F12AD"/>
    <w:rsid w:val="003F12BD"/>
    <w:rsid w:val="003F1521"/>
    <w:rsid w:val="003F17FA"/>
    <w:rsid w:val="003F1A06"/>
    <w:rsid w:val="003F1AD7"/>
    <w:rsid w:val="003F2A92"/>
    <w:rsid w:val="003F301B"/>
    <w:rsid w:val="003F34CE"/>
    <w:rsid w:val="003F3BA6"/>
    <w:rsid w:val="003F3DEA"/>
    <w:rsid w:val="003F4407"/>
    <w:rsid w:val="003F45ED"/>
    <w:rsid w:val="003F5034"/>
    <w:rsid w:val="003F5683"/>
    <w:rsid w:val="003F5F45"/>
    <w:rsid w:val="003F61AA"/>
    <w:rsid w:val="003F6FFF"/>
    <w:rsid w:val="003F7138"/>
    <w:rsid w:val="003F7DB7"/>
    <w:rsid w:val="00400B9D"/>
    <w:rsid w:val="00401698"/>
    <w:rsid w:val="00401F5A"/>
    <w:rsid w:val="0040297A"/>
    <w:rsid w:val="004034F4"/>
    <w:rsid w:val="004040F1"/>
    <w:rsid w:val="004054C6"/>
    <w:rsid w:val="00405D3E"/>
    <w:rsid w:val="00406F15"/>
    <w:rsid w:val="00407084"/>
    <w:rsid w:val="00407501"/>
    <w:rsid w:val="0040796B"/>
    <w:rsid w:val="00410953"/>
    <w:rsid w:val="00410CE5"/>
    <w:rsid w:val="00413088"/>
    <w:rsid w:val="004135D3"/>
    <w:rsid w:val="00414017"/>
    <w:rsid w:val="004146AC"/>
    <w:rsid w:val="0041489E"/>
    <w:rsid w:val="0041550E"/>
    <w:rsid w:val="004159EF"/>
    <w:rsid w:val="00415AEF"/>
    <w:rsid w:val="00415B68"/>
    <w:rsid w:val="00415C4E"/>
    <w:rsid w:val="00416C4E"/>
    <w:rsid w:val="00416D94"/>
    <w:rsid w:val="004177C6"/>
    <w:rsid w:val="00420C5A"/>
    <w:rsid w:val="00421109"/>
    <w:rsid w:val="00421604"/>
    <w:rsid w:val="00421726"/>
    <w:rsid w:val="00421C1B"/>
    <w:rsid w:val="004222B3"/>
    <w:rsid w:val="00422B89"/>
    <w:rsid w:val="00423EE1"/>
    <w:rsid w:val="0042424A"/>
    <w:rsid w:val="00424883"/>
    <w:rsid w:val="00425F69"/>
    <w:rsid w:val="00426358"/>
    <w:rsid w:val="00426558"/>
    <w:rsid w:val="00427799"/>
    <w:rsid w:val="00427EDF"/>
    <w:rsid w:val="00427F01"/>
    <w:rsid w:val="004305A5"/>
    <w:rsid w:val="00430A32"/>
    <w:rsid w:val="00430AA7"/>
    <w:rsid w:val="00431C26"/>
    <w:rsid w:val="00431D0C"/>
    <w:rsid w:val="00431EF9"/>
    <w:rsid w:val="00431FFA"/>
    <w:rsid w:val="0043212A"/>
    <w:rsid w:val="0043227D"/>
    <w:rsid w:val="0043285B"/>
    <w:rsid w:val="004344FC"/>
    <w:rsid w:val="0043478E"/>
    <w:rsid w:val="00434DF5"/>
    <w:rsid w:val="00434E04"/>
    <w:rsid w:val="00435360"/>
    <w:rsid w:val="00435A8E"/>
    <w:rsid w:val="004373EC"/>
    <w:rsid w:val="00437D9A"/>
    <w:rsid w:val="00440FB0"/>
    <w:rsid w:val="004411F1"/>
    <w:rsid w:val="00442616"/>
    <w:rsid w:val="00442DEE"/>
    <w:rsid w:val="00442E7F"/>
    <w:rsid w:val="00443AD1"/>
    <w:rsid w:val="00443FBE"/>
    <w:rsid w:val="004444F6"/>
    <w:rsid w:val="004454CB"/>
    <w:rsid w:val="00445C12"/>
    <w:rsid w:val="00445E64"/>
    <w:rsid w:val="00445EF5"/>
    <w:rsid w:val="00445F9F"/>
    <w:rsid w:val="00446B7C"/>
    <w:rsid w:val="00447184"/>
    <w:rsid w:val="0044739A"/>
    <w:rsid w:val="00447530"/>
    <w:rsid w:val="00450D4A"/>
    <w:rsid w:val="00450E41"/>
    <w:rsid w:val="004511B0"/>
    <w:rsid w:val="00451359"/>
    <w:rsid w:val="00451709"/>
    <w:rsid w:val="0045176B"/>
    <w:rsid w:val="00451F60"/>
    <w:rsid w:val="00452A93"/>
    <w:rsid w:val="00452ED4"/>
    <w:rsid w:val="004537A5"/>
    <w:rsid w:val="0045422A"/>
    <w:rsid w:val="00454C85"/>
    <w:rsid w:val="0045552F"/>
    <w:rsid w:val="00455810"/>
    <w:rsid w:val="00455B76"/>
    <w:rsid w:val="00455BEE"/>
    <w:rsid w:val="004576C7"/>
    <w:rsid w:val="004579B3"/>
    <w:rsid w:val="00457C3A"/>
    <w:rsid w:val="00457D41"/>
    <w:rsid w:val="004600B0"/>
    <w:rsid w:val="004603EF"/>
    <w:rsid w:val="00460C83"/>
    <w:rsid w:val="00461025"/>
    <w:rsid w:val="00461BFB"/>
    <w:rsid w:val="004624F9"/>
    <w:rsid w:val="004627A8"/>
    <w:rsid w:val="00462B8C"/>
    <w:rsid w:val="004632A5"/>
    <w:rsid w:val="0046336E"/>
    <w:rsid w:val="00463B67"/>
    <w:rsid w:val="00464794"/>
    <w:rsid w:val="00465CB7"/>
    <w:rsid w:val="0046629E"/>
    <w:rsid w:val="004664B0"/>
    <w:rsid w:val="00466C05"/>
    <w:rsid w:val="00466DAB"/>
    <w:rsid w:val="00466F4C"/>
    <w:rsid w:val="004671E3"/>
    <w:rsid w:val="004678CB"/>
    <w:rsid w:val="00467BE4"/>
    <w:rsid w:val="00467F99"/>
    <w:rsid w:val="004701F4"/>
    <w:rsid w:val="0047062A"/>
    <w:rsid w:val="00470763"/>
    <w:rsid w:val="004710C4"/>
    <w:rsid w:val="00471CD7"/>
    <w:rsid w:val="004723EC"/>
    <w:rsid w:val="00472797"/>
    <w:rsid w:val="004727DF"/>
    <w:rsid w:val="00472D58"/>
    <w:rsid w:val="004733F5"/>
    <w:rsid w:val="004737AA"/>
    <w:rsid w:val="0047382B"/>
    <w:rsid w:val="00474996"/>
    <w:rsid w:val="00474F61"/>
    <w:rsid w:val="004752D9"/>
    <w:rsid w:val="0047593B"/>
    <w:rsid w:val="00476615"/>
    <w:rsid w:val="004767C7"/>
    <w:rsid w:val="00476A50"/>
    <w:rsid w:val="0047775B"/>
    <w:rsid w:val="00477BFF"/>
    <w:rsid w:val="00477C04"/>
    <w:rsid w:val="00480303"/>
    <w:rsid w:val="004803A6"/>
    <w:rsid w:val="00480867"/>
    <w:rsid w:val="00480B8C"/>
    <w:rsid w:val="00481B06"/>
    <w:rsid w:val="00481CB6"/>
    <w:rsid w:val="00481FE0"/>
    <w:rsid w:val="00482E6E"/>
    <w:rsid w:val="0048304D"/>
    <w:rsid w:val="00483633"/>
    <w:rsid w:val="00483F30"/>
    <w:rsid w:val="0048419D"/>
    <w:rsid w:val="004843C0"/>
    <w:rsid w:val="0048459D"/>
    <w:rsid w:val="004857F3"/>
    <w:rsid w:val="0048594A"/>
    <w:rsid w:val="00485CDC"/>
    <w:rsid w:val="00485FD0"/>
    <w:rsid w:val="004862DF"/>
    <w:rsid w:val="0048675D"/>
    <w:rsid w:val="00486AEE"/>
    <w:rsid w:val="00486C41"/>
    <w:rsid w:val="00487235"/>
    <w:rsid w:val="00487F55"/>
    <w:rsid w:val="004900C2"/>
    <w:rsid w:val="00491C02"/>
    <w:rsid w:val="00491E94"/>
    <w:rsid w:val="00492729"/>
    <w:rsid w:val="0049295E"/>
    <w:rsid w:val="004930C0"/>
    <w:rsid w:val="00494623"/>
    <w:rsid w:val="00494635"/>
    <w:rsid w:val="0049520E"/>
    <w:rsid w:val="0049560B"/>
    <w:rsid w:val="00496642"/>
    <w:rsid w:val="00496760"/>
    <w:rsid w:val="00496BAE"/>
    <w:rsid w:val="00496C21"/>
    <w:rsid w:val="004971E2"/>
    <w:rsid w:val="004974F5"/>
    <w:rsid w:val="00497AED"/>
    <w:rsid w:val="00497D33"/>
    <w:rsid w:val="004A02D8"/>
    <w:rsid w:val="004A0894"/>
    <w:rsid w:val="004A2BC4"/>
    <w:rsid w:val="004A3914"/>
    <w:rsid w:val="004A3E8C"/>
    <w:rsid w:val="004A3F4A"/>
    <w:rsid w:val="004A4E3F"/>
    <w:rsid w:val="004A5236"/>
    <w:rsid w:val="004A52FD"/>
    <w:rsid w:val="004A535B"/>
    <w:rsid w:val="004A55B8"/>
    <w:rsid w:val="004A5733"/>
    <w:rsid w:val="004A576D"/>
    <w:rsid w:val="004A6072"/>
    <w:rsid w:val="004A6279"/>
    <w:rsid w:val="004A636A"/>
    <w:rsid w:val="004A671C"/>
    <w:rsid w:val="004A6900"/>
    <w:rsid w:val="004A72A7"/>
    <w:rsid w:val="004A7811"/>
    <w:rsid w:val="004A7F98"/>
    <w:rsid w:val="004B0C52"/>
    <w:rsid w:val="004B1417"/>
    <w:rsid w:val="004B176A"/>
    <w:rsid w:val="004B1804"/>
    <w:rsid w:val="004B196F"/>
    <w:rsid w:val="004B1AF2"/>
    <w:rsid w:val="004B1C70"/>
    <w:rsid w:val="004B1E31"/>
    <w:rsid w:val="004B1F33"/>
    <w:rsid w:val="004B1F8F"/>
    <w:rsid w:val="004B3E74"/>
    <w:rsid w:val="004B4B33"/>
    <w:rsid w:val="004B4E25"/>
    <w:rsid w:val="004B4E66"/>
    <w:rsid w:val="004B5503"/>
    <w:rsid w:val="004B56DC"/>
    <w:rsid w:val="004B5A53"/>
    <w:rsid w:val="004B6492"/>
    <w:rsid w:val="004B655E"/>
    <w:rsid w:val="004B67F0"/>
    <w:rsid w:val="004B72BD"/>
    <w:rsid w:val="004B7A56"/>
    <w:rsid w:val="004C004A"/>
    <w:rsid w:val="004C0C5F"/>
    <w:rsid w:val="004C12F9"/>
    <w:rsid w:val="004C15AF"/>
    <w:rsid w:val="004C1986"/>
    <w:rsid w:val="004C1B59"/>
    <w:rsid w:val="004C1CCF"/>
    <w:rsid w:val="004C21CC"/>
    <w:rsid w:val="004C252C"/>
    <w:rsid w:val="004C2834"/>
    <w:rsid w:val="004C2FD2"/>
    <w:rsid w:val="004C3EB2"/>
    <w:rsid w:val="004C4090"/>
    <w:rsid w:val="004C43DA"/>
    <w:rsid w:val="004C4477"/>
    <w:rsid w:val="004C4C3B"/>
    <w:rsid w:val="004C56C7"/>
    <w:rsid w:val="004C5C36"/>
    <w:rsid w:val="004C6649"/>
    <w:rsid w:val="004C6E25"/>
    <w:rsid w:val="004C7156"/>
    <w:rsid w:val="004D034B"/>
    <w:rsid w:val="004D0556"/>
    <w:rsid w:val="004D0850"/>
    <w:rsid w:val="004D0948"/>
    <w:rsid w:val="004D0A82"/>
    <w:rsid w:val="004D12CA"/>
    <w:rsid w:val="004D19D0"/>
    <w:rsid w:val="004D2551"/>
    <w:rsid w:val="004D3520"/>
    <w:rsid w:val="004D3BA5"/>
    <w:rsid w:val="004D3D1D"/>
    <w:rsid w:val="004D4BC7"/>
    <w:rsid w:val="004D4D96"/>
    <w:rsid w:val="004D5633"/>
    <w:rsid w:val="004D57F0"/>
    <w:rsid w:val="004D59C2"/>
    <w:rsid w:val="004D5EFA"/>
    <w:rsid w:val="004D606E"/>
    <w:rsid w:val="004D6230"/>
    <w:rsid w:val="004D6622"/>
    <w:rsid w:val="004D76F7"/>
    <w:rsid w:val="004D778B"/>
    <w:rsid w:val="004E15B6"/>
    <w:rsid w:val="004E1F4D"/>
    <w:rsid w:val="004E2F20"/>
    <w:rsid w:val="004E335B"/>
    <w:rsid w:val="004E4268"/>
    <w:rsid w:val="004E51EB"/>
    <w:rsid w:val="004E553E"/>
    <w:rsid w:val="004E6618"/>
    <w:rsid w:val="004E6FC9"/>
    <w:rsid w:val="004E707C"/>
    <w:rsid w:val="004E763D"/>
    <w:rsid w:val="004E7FB3"/>
    <w:rsid w:val="004F0294"/>
    <w:rsid w:val="004F047A"/>
    <w:rsid w:val="004F08DD"/>
    <w:rsid w:val="004F11E2"/>
    <w:rsid w:val="004F165D"/>
    <w:rsid w:val="004F182F"/>
    <w:rsid w:val="004F1857"/>
    <w:rsid w:val="004F23C3"/>
    <w:rsid w:val="004F24C2"/>
    <w:rsid w:val="004F24D9"/>
    <w:rsid w:val="004F2611"/>
    <w:rsid w:val="004F382F"/>
    <w:rsid w:val="004F3A4B"/>
    <w:rsid w:val="004F3A8C"/>
    <w:rsid w:val="004F4B5B"/>
    <w:rsid w:val="004F4CB1"/>
    <w:rsid w:val="004F4E27"/>
    <w:rsid w:val="004F5426"/>
    <w:rsid w:val="004F6104"/>
    <w:rsid w:val="004F6166"/>
    <w:rsid w:val="004F692C"/>
    <w:rsid w:val="004F6FCD"/>
    <w:rsid w:val="004F7A15"/>
    <w:rsid w:val="004F7C15"/>
    <w:rsid w:val="005009F9"/>
    <w:rsid w:val="00500ECA"/>
    <w:rsid w:val="005015E1"/>
    <w:rsid w:val="00502089"/>
    <w:rsid w:val="00502160"/>
    <w:rsid w:val="005029B1"/>
    <w:rsid w:val="00502ED7"/>
    <w:rsid w:val="00502EEB"/>
    <w:rsid w:val="005037C4"/>
    <w:rsid w:val="00503A31"/>
    <w:rsid w:val="00503B96"/>
    <w:rsid w:val="0050461D"/>
    <w:rsid w:val="005052CD"/>
    <w:rsid w:val="00505347"/>
    <w:rsid w:val="00505539"/>
    <w:rsid w:val="00505B37"/>
    <w:rsid w:val="005066F5"/>
    <w:rsid w:val="00507928"/>
    <w:rsid w:val="00507A46"/>
    <w:rsid w:val="00507C15"/>
    <w:rsid w:val="00507F99"/>
    <w:rsid w:val="00510036"/>
    <w:rsid w:val="00510549"/>
    <w:rsid w:val="00510A28"/>
    <w:rsid w:val="00510F23"/>
    <w:rsid w:val="00510FF2"/>
    <w:rsid w:val="00511905"/>
    <w:rsid w:val="00512DE1"/>
    <w:rsid w:val="005134DF"/>
    <w:rsid w:val="0051366C"/>
    <w:rsid w:val="00513714"/>
    <w:rsid w:val="0051387F"/>
    <w:rsid w:val="00513F17"/>
    <w:rsid w:val="0051475E"/>
    <w:rsid w:val="00514E9B"/>
    <w:rsid w:val="005161A5"/>
    <w:rsid w:val="00516AF7"/>
    <w:rsid w:val="00516C28"/>
    <w:rsid w:val="005174B5"/>
    <w:rsid w:val="005178A8"/>
    <w:rsid w:val="00517D6E"/>
    <w:rsid w:val="005200DB"/>
    <w:rsid w:val="005211BA"/>
    <w:rsid w:val="005211F0"/>
    <w:rsid w:val="005212E7"/>
    <w:rsid w:val="005222CE"/>
    <w:rsid w:val="005223EA"/>
    <w:rsid w:val="005225D4"/>
    <w:rsid w:val="00522786"/>
    <w:rsid w:val="0052283F"/>
    <w:rsid w:val="00523A0C"/>
    <w:rsid w:val="00524A17"/>
    <w:rsid w:val="00525270"/>
    <w:rsid w:val="005254CA"/>
    <w:rsid w:val="00525AAB"/>
    <w:rsid w:val="00525C61"/>
    <w:rsid w:val="00525CE7"/>
    <w:rsid w:val="005261EF"/>
    <w:rsid w:val="00526EB0"/>
    <w:rsid w:val="005273CE"/>
    <w:rsid w:val="0052776D"/>
    <w:rsid w:val="0052788D"/>
    <w:rsid w:val="00527D56"/>
    <w:rsid w:val="0053038B"/>
    <w:rsid w:val="00530687"/>
    <w:rsid w:val="00531393"/>
    <w:rsid w:val="00531865"/>
    <w:rsid w:val="00531C67"/>
    <w:rsid w:val="00531F41"/>
    <w:rsid w:val="0053206D"/>
    <w:rsid w:val="005321D1"/>
    <w:rsid w:val="005328ED"/>
    <w:rsid w:val="00532C1E"/>
    <w:rsid w:val="00532CF7"/>
    <w:rsid w:val="00534BE8"/>
    <w:rsid w:val="00534C9B"/>
    <w:rsid w:val="00534E2A"/>
    <w:rsid w:val="00535041"/>
    <w:rsid w:val="00535493"/>
    <w:rsid w:val="005356CB"/>
    <w:rsid w:val="00535A87"/>
    <w:rsid w:val="00535E6D"/>
    <w:rsid w:val="00535F91"/>
    <w:rsid w:val="00536D46"/>
    <w:rsid w:val="00536F0E"/>
    <w:rsid w:val="00536F62"/>
    <w:rsid w:val="00540009"/>
    <w:rsid w:val="00540030"/>
    <w:rsid w:val="005409D6"/>
    <w:rsid w:val="00540BCD"/>
    <w:rsid w:val="005410DE"/>
    <w:rsid w:val="00541534"/>
    <w:rsid w:val="0054245D"/>
    <w:rsid w:val="0054259B"/>
    <w:rsid w:val="0054301B"/>
    <w:rsid w:val="00544023"/>
    <w:rsid w:val="00544401"/>
    <w:rsid w:val="00544FF0"/>
    <w:rsid w:val="0054596F"/>
    <w:rsid w:val="0054602A"/>
    <w:rsid w:val="005463FB"/>
    <w:rsid w:val="00546C10"/>
    <w:rsid w:val="0054766E"/>
    <w:rsid w:val="0055015C"/>
    <w:rsid w:val="00550778"/>
    <w:rsid w:val="00550A1E"/>
    <w:rsid w:val="005515C0"/>
    <w:rsid w:val="00551723"/>
    <w:rsid w:val="00551C6F"/>
    <w:rsid w:val="00551D30"/>
    <w:rsid w:val="005521CB"/>
    <w:rsid w:val="00552C7B"/>
    <w:rsid w:val="005545EC"/>
    <w:rsid w:val="00554B65"/>
    <w:rsid w:val="00554BFE"/>
    <w:rsid w:val="00554D17"/>
    <w:rsid w:val="00554E58"/>
    <w:rsid w:val="005557C3"/>
    <w:rsid w:val="00555A24"/>
    <w:rsid w:val="00555C4C"/>
    <w:rsid w:val="005564CB"/>
    <w:rsid w:val="00557FB8"/>
    <w:rsid w:val="00560266"/>
    <w:rsid w:val="00560287"/>
    <w:rsid w:val="005602B1"/>
    <w:rsid w:val="00561BDE"/>
    <w:rsid w:val="00562745"/>
    <w:rsid w:val="0056296A"/>
    <w:rsid w:val="005633FA"/>
    <w:rsid w:val="00563458"/>
    <w:rsid w:val="00563892"/>
    <w:rsid w:val="0056437F"/>
    <w:rsid w:val="00564B22"/>
    <w:rsid w:val="005654FA"/>
    <w:rsid w:val="00565A2A"/>
    <w:rsid w:val="0056675C"/>
    <w:rsid w:val="00566B6A"/>
    <w:rsid w:val="00567C5E"/>
    <w:rsid w:val="00570366"/>
    <w:rsid w:val="00570A04"/>
    <w:rsid w:val="00570ACC"/>
    <w:rsid w:val="00570F2B"/>
    <w:rsid w:val="00570F5C"/>
    <w:rsid w:val="0057151E"/>
    <w:rsid w:val="0057163B"/>
    <w:rsid w:val="00572008"/>
    <w:rsid w:val="005720EB"/>
    <w:rsid w:val="00572FA7"/>
    <w:rsid w:val="005732E8"/>
    <w:rsid w:val="0057331F"/>
    <w:rsid w:val="00573753"/>
    <w:rsid w:val="0057376F"/>
    <w:rsid w:val="00573FE9"/>
    <w:rsid w:val="0057464F"/>
    <w:rsid w:val="00574C19"/>
    <w:rsid w:val="0057537D"/>
    <w:rsid w:val="00575679"/>
    <w:rsid w:val="005757D4"/>
    <w:rsid w:val="00575AB0"/>
    <w:rsid w:val="00575B8F"/>
    <w:rsid w:val="0057608E"/>
    <w:rsid w:val="00576970"/>
    <w:rsid w:val="005770F3"/>
    <w:rsid w:val="005801E5"/>
    <w:rsid w:val="00580989"/>
    <w:rsid w:val="0058209F"/>
    <w:rsid w:val="0058226B"/>
    <w:rsid w:val="00582368"/>
    <w:rsid w:val="005824CA"/>
    <w:rsid w:val="00582FA0"/>
    <w:rsid w:val="005830DD"/>
    <w:rsid w:val="005834E6"/>
    <w:rsid w:val="00583CFD"/>
    <w:rsid w:val="00584476"/>
    <w:rsid w:val="00584704"/>
    <w:rsid w:val="00585197"/>
    <w:rsid w:val="005853BF"/>
    <w:rsid w:val="00585AD3"/>
    <w:rsid w:val="005870DD"/>
    <w:rsid w:val="0058789F"/>
    <w:rsid w:val="00587A0C"/>
    <w:rsid w:val="00590EE4"/>
    <w:rsid w:val="00590FC5"/>
    <w:rsid w:val="0059121A"/>
    <w:rsid w:val="005912BC"/>
    <w:rsid w:val="0059155A"/>
    <w:rsid w:val="0059200B"/>
    <w:rsid w:val="00592691"/>
    <w:rsid w:val="00592D81"/>
    <w:rsid w:val="00592EA8"/>
    <w:rsid w:val="00593C38"/>
    <w:rsid w:val="00594421"/>
    <w:rsid w:val="00594651"/>
    <w:rsid w:val="00595100"/>
    <w:rsid w:val="00595197"/>
    <w:rsid w:val="005952F8"/>
    <w:rsid w:val="00595543"/>
    <w:rsid w:val="00595948"/>
    <w:rsid w:val="0059622E"/>
    <w:rsid w:val="00596C2C"/>
    <w:rsid w:val="0059724E"/>
    <w:rsid w:val="005975A5"/>
    <w:rsid w:val="00597885"/>
    <w:rsid w:val="00597E4A"/>
    <w:rsid w:val="005A11B5"/>
    <w:rsid w:val="005A1284"/>
    <w:rsid w:val="005A12A5"/>
    <w:rsid w:val="005A241E"/>
    <w:rsid w:val="005A2B01"/>
    <w:rsid w:val="005A303A"/>
    <w:rsid w:val="005A326A"/>
    <w:rsid w:val="005A3AA3"/>
    <w:rsid w:val="005A3F02"/>
    <w:rsid w:val="005A4C04"/>
    <w:rsid w:val="005A4CB4"/>
    <w:rsid w:val="005A544D"/>
    <w:rsid w:val="005A5949"/>
    <w:rsid w:val="005A5EEC"/>
    <w:rsid w:val="005A61CE"/>
    <w:rsid w:val="005A7124"/>
    <w:rsid w:val="005A762A"/>
    <w:rsid w:val="005A78D6"/>
    <w:rsid w:val="005A7CB0"/>
    <w:rsid w:val="005B0CC5"/>
    <w:rsid w:val="005B177E"/>
    <w:rsid w:val="005B1A18"/>
    <w:rsid w:val="005B1AC4"/>
    <w:rsid w:val="005B1CD1"/>
    <w:rsid w:val="005B1FAD"/>
    <w:rsid w:val="005B2A7B"/>
    <w:rsid w:val="005B2A8D"/>
    <w:rsid w:val="005B2ACD"/>
    <w:rsid w:val="005B2C2B"/>
    <w:rsid w:val="005B2D95"/>
    <w:rsid w:val="005B3045"/>
    <w:rsid w:val="005B3633"/>
    <w:rsid w:val="005B3E67"/>
    <w:rsid w:val="005B4183"/>
    <w:rsid w:val="005B4359"/>
    <w:rsid w:val="005B513E"/>
    <w:rsid w:val="005B5FF4"/>
    <w:rsid w:val="005B66F7"/>
    <w:rsid w:val="005B6CDF"/>
    <w:rsid w:val="005B7A6C"/>
    <w:rsid w:val="005C17D9"/>
    <w:rsid w:val="005C215A"/>
    <w:rsid w:val="005C2BD1"/>
    <w:rsid w:val="005C3F90"/>
    <w:rsid w:val="005C4189"/>
    <w:rsid w:val="005C4627"/>
    <w:rsid w:val="005C5120"/>
    <w:rsid w:val="005C5479"/>
    <w:rsid w:val="005C5CDE"/>
    <w:rsid w:val="005C5F23"/>
    <w:rsid w:val="005C60C3"/>
    <w:rsid w:val="005C66CA"/>
    <w:rsid w:val="005C6841"/>
    <w:rsid w:val="005C69C7"/>
    <w:rsid w:val="005C748D"/>
    <w:rsid w:val="005C7671"/>
    <w:rsid w:val="005C78F6"/>
    <w:rsid w:val="005C79AF"/>
    <w:rsid w:val="005C7CA8"/>
    <w:rsid w:val="005D0706"/>
    <w:rsid w:val="005D0844"/>
    <w:rsid w:val="005D1098"/>
    <w:rsid w:val="005D128B"/>
    <w:rsid w:val="005D12D3"/>
    <w:rsid w:val="005D169F"/>
    <w:rsid w:val="005D1773"/>
    <w:rsid w:val="005D1E0C"/>
    <w:rsid w:val="005D1FEE"/>
    <w:rsid w:val="005D2C38"/>
    <w:rsid w:val="005D323B"/>
    <w:rsid w:val="005D3546"/>
    <w:rsid w:val="005D3854"/>
    <w:rsid w:val="005D38DA"/>
    <w:rsid w:val="005D3D6E"/>
    <w:rsid w:val="005D411E"/>
    <w:rsid w:val="005D4603"/>
    <w:rsid w:val="005D4938"/>
    <w:rsid w:val="005D5AB8"/>
    <w:rsid w:val="005D5F12"/>
    <w:rsid w:val="005D6562"/>
    <w:rsid w:val="005D6D13"/>
    <w:rsid w:val="005D703F"/>
    <w:rsid w:val="005D7188"/>
    <w:rsid w:val="005D72A3"/>
    <w:rsid w:val="005D7380"/>
    <w:rsid w:val="005D7601"/>
    <w:rsid w:val="005E1542"/>
    <w:rsid w:val="005E1B52"/>
    <w:rsid w:val="005E2AE2"/>
    <w:rsid w:val="005E3297"/>
    <w:rsid w:val="005E3CD2"/>
    <w:rsid w:val="005E436A"/>
    <w:rsid w:val="005E45ED"/>
    <w:rsid w:val="005E4883"/>
    <w:rsid w:val="005E5558"/>
    <w:rsid w:val="005E613F"/>
    <w:rsid w:val="005E6581"/>
    <w:rsid w:val="005E6E04"/>
    <w:rsid w:val="005E790B"/>
    <w:rsid w:val="005E7A46"/>
    <w:rsid w:val="005F084C"/>
    <w:rsid w:val="005F1369"/>
    <w:rsid w:val="005F1DE7"/>
    <w:rsid w:val="005F2573"/>
    <w:rsid w:val="005F2792"/>
    <w:rsid w:val="005F2D26"/>
    <w:rsid w:val="005F3292"/>
    <w:rsid w:val="005F3443"/>
    <w:rsid w:val="005F36E2"/>
    <w:rsid w:val="005F3A2E"/>
    <w:rsid w:val="005F3F85"/>
    <w:rsid w:val="005F4075"/>
    <w:rsid w:val="005F47B4"/>
    <w:rsid w:val="005F606C"/>
    <w:rsid w:val="005F68DA"/>
    <w:rsid w:val="005F7381"/>
    <w:rsid w:val="005F78F5"/>
    <w:rsid w:val="005F797D"/>
    <w:rsid w:val="00600A69"/>
    <w:rsid w:val="00601C7C"/>
    <w:rsid w:val="00601E1C"/>
    <w:rsid w:val="0060258A"/>
    <w:rsid w:val="00603F39"/>
    <w:rsid w:val="00604113"/>
    <w:rsid w:val="006042AE"/>
    <w:rsid w:val="006042C2"/>
    <w:rsid w:val="00604633"/>
    <w:rsid w:val="006056E5"/>
    <w:rsid w:val="00605C00"/>
    <w:rsid w:val="00605DA7"/>
    <w:rsid w:val="00606C1D"/>
    <w:rsid w:val="006070D4"/>
    <w:rsid w:val="00607641"/>
    <w:rsid w:val="00607BA8"/>
    <w:rsid w:val="00607E0E"/>
    <w:rsid w:val="006107A8"/>
    <w:rsid w:val="006107FC"/>
    <w:rsid w:val="006110B7"/>
    <w:rsid w:val="006115C4"/>
    <w:rsid w:val="00611FEE"/>
    <w:rsid w:val="0061208F"/>
    <w:rsid w:val="00612417"/>
    <w:rsid w:val="00612490"/>
    <w:rsid w:val="00612914"/>
    <w:rsid w:val="00612E79"/>
    <w:rsid w:val="00612FB5"/>
    <w:rsid w:val="00613053"/>
    <w:rsid w:val="006131D8"/>
    <w:rsid w:val="0061479C"/>
    <w:rsid w:val="00614ECC"/>
    <w:rsid w:val="0061537C"/>
    <w:rsid w:val="00615BEF"/>
    <w:rsid w:val="006166E3"/>
    <w:rsid w:val="006173E3"/>
    <w:rsid w:val="00621127"/>
    <w:rsid w:val="00621816"/>
    <w:rsid w:val="006221E0"/>
    <w:rsid w:val="00622763"/>
    <w:rsid w:val="0062280A"/>
    <w:rsid w:val="0062326B"/>
    <w:rsid w:val="006235C8"/>
    <w:rsid w:val="00623763"/>
    <w:rsid w:val="00623C31"/>
    <w:rsid w:val="00624755"/>
    <w:rsid w:val="00624905"/>
    <w:rsid w:val="00624D93"/>
    <w:rsid w:val="00625007"/>
    <w:rsid w:val="00625322"/>
    <w:rsid w:val="0062561F"/>
    <w:rsid w:val="00626EA2"/>
    <w:rsid w:val="00627AB2"/>
    <w:rsid w:val="00627C06"/>
    <w:rsid w:val="00627C70"/>
    <w:rsid w:val="00630725"/>
    <w:rsid w:val="00631293"/>
    <w:rsid w:val="00632251"/>
    <w:rsid w:val="00632AB8"/>
    <w:rsid w:val="00632BEE"/>
    <w:rsid w:val="00634C08"/>
    <w:rsid w:val="00635EEC"/>
    <w:rsid w:val="00635F0E"/>
    <w:rsid w:val="00635F51"/>
    <w:rsid w:val="0063626E"/>
    <w:rsid w:val="00636D4B"/>
    <w:rsid w:val="00637FB5"/>
    <w:rsid w:val="00640017"/>
    <w:rsid w:val="00640C26"/>
    <w:rsid w:val="00641CE9"/>
    <w:rsid w:val="00642105"/>
    <w:rsid w:val="00642420"/>
    <w:rsid w:val="0064296B"/>
    <w:rsid w:val="00642C72"/>
    <w:rsid w:val="0064316B"/>
    <w:rsid w:val="0064341C"/>
    <w:rsid w:val="00644168"/>
    <w:rsid w:val="00644538"/>
    <w:rsid w:val="00645141"/>
    <w:rsid w:val="00645704"/>
    <w:rsid w:val="00645C3D"/>
    <w:rsid w:val="00645D88"/>
    <w:rsid w:val="006464E4"/>
    <w:rsid w:val="006465DB"/>
    <w:rsid w:val="00646D7C"/>
    <w:rsid w:val="0064751C"/>
    <w:rsid w:val="006479AC"/>
    <w:rsid w:val="00650126"/>
    <w:rsid w:val="0065086C"/>
    <w:rsid w:val="0065088D"/>
    <w:rsid w:val="00650CFD"/>
    <w:rsid w:val="006512E6"/>
    <w:rsid w:val="00651D31"/>
    <w:rsid w:val="00652A78"/>
    <w:rsid w:val="0065317C"/>
    <w:rsid w:val="00653572"/>
    <w:rsid w:val="00654F0E"/>
    <w:rsid w:val="0065514F"/>
    <w:rsid w:val="006552A7"/>
    <w:rsid w:val="006552F6"/>
    <w:rsid w:val="006560C7"/>
    <w:rsid w:val="0065647C"/>
    <w:rsid w:val="00656FD3"/>
    <w:rsid w:val="00657041"/>
    <w:rsid w:val="0066095B"/>
    <w:rsid w:val="00660CCA"/>
    <w:rsid w:val="00660D93"/>
    <w:rsid w:val="00660FC3"/>
    <w:rsid w:val="0066119A"/>
    <w:rsid w:val="0066294D"/>
    <w:rsid w:val="006635ED"/>
    <w:rsid w:val="00663839"/>
    <w:rsid w:val="00663991"/>
    <w:rsid w:val="00663EB2"/>
    <w:rsid w:val="00664D06"/>
    <w:rsid w:val="0066519F"/>
    <w:rsid w:val="006663C2"/>
    <w:rsid w:val="00667006"/>
    <w:rsid w:val="006670B0"/>
    <w:rsid w:val="00667254"/>
    <w:rsid w:val="006674BD"/>
    <w:rsid w:val="006679FC"/>
    <w:rsid w:val="00667E03"/>
    <w:rsid w:val="00667FE9"/>
    <w:rsid w:val="0067139E"/>
    <w:rsid w:val="00671564"/>
    <w:rsid w:val="00672C9E"/>
    <w:rsid w:val="00672F8D"/>
    <w:rsid w:val="00672FDA"/>
    <w:rsid w:val="00673FE5"/>
    <w:rsid w:val="00674535"/>
    <w:rsid w:val="006748A6"/>
    <w:rsid w:val="00674C80"/>
    <w:rsid w:val="00680047"/>
    <w:rsid w:val="00680148"/>
    <w:rsid w:val="00680D53"/>
    <w:rsid w:val="00680FE6"/>
    <w:rsid w:val="00681196"/>
    <w:rsid w:val="006812A0"/>
    <w:rsid w:val="0068157D"/>
    <w:rsid w:val="00681D8C"/>
    <w:rsid w:val="0068232F"/>
    <w:rsid w:val="00682881"/>
    <w:rsid w:val="006834D6"/>
    <w:rsid w:val="00683847"/>
    <w:rsid w:val="006839D5"/>
    <w:rsid w:val="00683B2A"/>
    <w:rsid w:val="00683D30"/>
    <w:rsid w:val="006841C5"/>
    <w:rsid w:val="00685674"/>
    <w:rsid w:val="006874E1"/>
    <w:rsid w:val="0068778C"/>
    <w:rsid w:val="00691A58"/>
    <w:rsid w:val="00692005"/>
    <w:rsid w:val="0069202D"/>
    <w:rsid w:val="0069259B"/>
    <w:rsid w:val="006925AC"/>
    <w:rsid w:val="00692A0E"/>
    <w:rsid w:val="00692A25"/>
    <w:rsid w:val="006930B0"/>
    <w:rsid w:val="006933C7"/>
    <w:rsid w:val="00693EF3"/>
    <w:rsid w:val="006940C3"/>
    <w:rsid w:val="00694FC1"/>
    <w:rsid w:val="006962F1"/>
    <w:rsid w:val="00696619"/>
    <w:rsid w:val="0069669A"/>
    <w:rsid w:val="00696B4C"/>
    <w:rsid w:val="00696B5E"/>
    <w:rsid w:val="00696E98"/>
    <w:rsid w:val="006970B3"/>
    <w:rsid w:val="00697221"/>
    <w:rsid w:val="006975B5"/>
    <w:rsid w:val="00697C6C"/>
    <w:rsid w:val="00697FAF"/>
    <w:rsid w:val="006A01CE"/>
    <w:rsid w:val="006A0894"/>
    <w:rsid w:val="006A0E92"/>
    <w:rsid w:val="006A0F71"/>
    <w:rsid w:val="006A1215"/>
    <w:rsid w:val="006A16FC"/>
    <w:rsid w:val="006A1871"/>
    <w:rsid w:val="006A22D8"/>
    <w:rsid w:val="006A2401"/>
    <w:rsid w:val="006A29F5"/>
    <w:rsid w:val="006A2BC6"/>
    <w:rsid w:val="006A2E5D"/>
    <w:rsid w:val="006A3D2F"/>
    <w:rsid w:val="006A466E"/>
    <w:rsid w:val="006A4AD0"/>
    <w:rsid w:val="006A4B15"/>
    <w:rsid w:val="006A52B4"/>
    <w:rsid w:val="006A5C2E"/>
    <w:rsid w:val="006A5F3C"/>
    <w:rsid w:val="006A67AD"/>
    <w:rsid w:val="006A699F"/>
    <w:rsid w:val="006A6C35"/>
    <w:rsid w:val="006A6C61"/>
    <w:rsid w:val="006A6F66"/>
    <w:rsid w:val="006A71C5"/>
    <w:rsid w:val="006A7234"/>
    <w:rsid w:val="006A7677"/>
    <w:rsid w:val="006A76C1"/>
    <w:rsid w:val="006B2466"/>
    <w:rsid w:val="006B2E70"/>
    <w:rsid w:val="006B2FC9"/>
    <w:rsid w:val="006B33B1"/>
    <w:rsid w:val="006B3581"/>
    <w:rsid w:val="006B3BC2"/>
    <w:rsid w:val="006B3DDC"/>
    <w:rsid w:val="006B4B96"/>
    <w:rsid w:val="006B4DEE"/>
    <w:rsid w:val="006B526F"/>
    <w:rsid w:val="006B59DF"/>
    <w:rsid w:val="006B6B71"/>
    <w:rsid w:val="006B6EC6"/>
    <w:rsid w:val="006B76F5"/>
    <w:rsid w:val="006B79A1"/>
    <w:rsid w:val="006C08DD"/>
    <w:rsid w:val="006C0F6D"/>
    <w:rsid w:val="006C1652"/>
    <w:rsid w:val="006C192F"/>
    <w:rsid w:val="006C2400"/>
    <w:rsid w:val="006C2DAF"/>
    <w:rsid w:val="006C2E3F"/>
    <w:rsid w:val="006C3C0E"/>
    <w:rsid w:val="006C3F22"/>
    <w:rsid w:val="006C3FC8"/>
    <w:rsid w:val="006C4056"/>
    <w:rsid w:val="006C40A4"/>
    <w:rsid w:val="006C40FA"/>
    <w:rsid w:val="006C41E9"/>
    <w:rsid w:val="006C4B9E"/>
    <w:rsid w:val="006C53B5"/>
    <w:rsid w:val="006C571F"/>
    <w:rsid w:val="006C59DA"/>
    <w:rsid w:val="006C63B5"/>
    <w:rsid w:val="006C659C"/>
    <w:rsid w:val="006C67F6"/>
    <w:rsid w:val="006C7B63"/>
    <w:rsid w:val="006D023E"/>
    <w:rsid w:val="006D0871"/>
    <w:rsid w:val="006D0F50"/>
    <w:rsid w:val="006D25BA"/>
    <w:rsid w:val="006D26E4"/>
    <w:rsid w:val="006D2EE4"/>
    <w:rsid w:val="006D32C6"/>
    <w:rsid w:val="006D4B4B"/>
    <w:rsid w:val="006D4D96"/>
    <w:rsid w:val="006D4E1F"/>
    <w:rsid w:val="006D4FB9"/>
    <w:rsid w:val="006D5516"/>
    <w:rsid w:val="006D56FA"/>
    <w:rsid w:val="006D6304"/>
    <w:rsid w:val="006D6436"/>
    <w:rsid w:val="006D675F"/>
    <w:rsid w:val="006D6AFE"/>
    <w:rsid w:val="006D7AA6"/>
    <w:rsid w:val="006E0237"/>
    <w:rsid w:val="006E0822"/>
    <w:rsid w:val="006E0FA5"/>
    <w:rsid w:val="006E19FE"/>
    <w:rsid w:val="006E1A3B"/>
    <w:rsid w:val="006E1C3A"/>
    <w:rsid w:val="006E2235"/>
    <w:rsid w:val="006E3224"/>
    <w:rsid w:val="006E33B3"/>
    <w:rsid w:val="006E3752"/>
    <w:rsid w:val="006E46C0"/>
    <w:rsid w:val="006E4887"/>
    <w:rsid w:val="006E4D61"/>
    <w:rsid w:val="006E5468"/>
    <w:rsid w:val="006E699E"/>
    <w:rsid w:val="006E73B1"/>
    <w:rsid w:val="006E75B0"/>
    <w:rsid w:val="006F0668"/>
    <w:rsid w:val="006F0F57"/>
    <w:rsid w:val="006F0F85"/>
    <w:rsid w:val="006F1534"/>
    <w:rsid w:val="006F1F2F"/>
    <w:rsid w:val="006F210C"/>
    <w:rsid w:val="006F2816"/>
    <w:rsid w:val="006F2B2E"/>
    <w:rsid w:val="006F300C"/>
    <w:rsid w:val="006F36C0"/>
    <w:rsid w:val="006F3BE3"/>
    <w:rsid w:val="006F3C60"/>
    <w:rsid w:val="006F46EB"/>
    <w:rsid w:val="006F478E"/>
    <w:rsid w:val="006F4D96"/>
    <w:rsid w:val="006F4FB1"/>
    <w:rsid w:val="006F50C2"/>
    <w:rsid w:val="006F54BC"/>
    <w:rsid w:val="006F5975"/>
    <w:rsid w:val="006F5D7F"/>
    <w:rsid w:val="006F628B"/>
    <w:rsid w:val="006F7867"/>
    <w:rsid w:val="006F7C1C"/>
    <w:rsid w:val="007000D2"/>
    <w:rsid w:val="007000D3"/>
    <w:rsid w:val="00700D35"/>
    <w:rsid w:val="00701CFB"/>
    <w:rsid w:val="00702899"/>
    <w:rsid w:val="00702BBE"/>
    <w:rsid w:val="0070313D"/>
    <w:rsid w:val="007031B7"/>
    <w:rsid w:val="00703D0C"/>
    <w:rsid w:val="00703D2D"/>
    <w:rsid w:val="00704927"/>
    <w:rsid w:val="00704E11"/>
    <w:rsid w:val="00704FFB"/>
    <w:rsid w:val="00705B51"/>
    <w:rsid w:val="007066E2"/>
    <w:rsid w:val="007068B6"/>
    <w:rsid w:val="00706EE0"/>
    <w:rsid w:val="007074AC"/>
    <w:rsid w:val="007074D7"/>
    <w:rsid w:val="0070780B"/>
    <w:rsid w:val="00707D50"/>
    <w:rsid w:val="00707E29"/>
    <w:rsid w:val="0071020C"/>
    <w:rsid w:val="00710297"/>
    <w:rsid w:val="00710441"/>
    <w:rsid w:val="0071069D"/>
    <w:rsid w:val="007108C6"/>
    <w:rsid w:val="00710CCE"/>
    <w:rsid w:val="00710E16"/>
    <w:rsid w:val="00711795"/>
    <w:rsid w:val="007117C0"/>
    <w:rsid w:val="00711B0D"/>
    <w:rsid w:val="00711BA1"/>
    <w:rsid w:val="0071207D"/>
    <w:rsid w:val="007120E2"/>
    <w:rsid w:val="007123BB"/>
    <w:rsid w:val="00712860"/>
    <w:rsid w:val="00713A9E"/>
    <w:rsid w:val="00713CF1"/>
    <w:rsid w:val="007140F4"/>
    <w:rsid w:val="007145E8"/>
    <w:rsid w:val="0071464F"/>
    <w:rsid w:val="00714904"/>
    <w:rsid w:val="00714B60"/>
    <w:rsid w:val="00716267"/>
    <w:rsid w:val="00716E58"/>
    <w:rsid w:val="007177D1"/>
    <w:rsid w:val="007208D0"/>
    <w:rsid w:val="00720D27"/>
    <w:rsid w:val="00720E98"/>
    <w:rsid w:val="00721690"/>
    <w:rsid w:val="0072268E"/>
    <w:rsid w:val="0072343F"/>
    <w:rsid w:val="00723683"/>
    <w:rsid w:val="00723B15"/>
    <w:rsid w:val="00723BAF"/>
    <w:rsid w:val="00724B46"/>
    <w:rsid w:val="00724CB1"/>
    <w:rsid w:val="0072540A"/>
    <w:rsid w:val="0072571E"/>
    <w:rsid w:val="00725B90"/>
    <w:rsid w:val="00725FA0"/>
    <w:rsid w:val="00726031"/>
    <w:rsid w:val="007265DE"/>
    <w:rsid w:val="00726872"/>
    <w:rsid w:val="00727265"/>
    <w:rsid w:val="00727401"/>
    <w:rsid w:val="00727F01"/>
    <w:rsid w:val="007309B5"/>
    <w:rsid w:val="00730BA5"/>
    <w:rsid w:val="0073133F"/>
    <w:rsid w:val="007315A3"/>
    <w:rsid w:val="007316F6"/>
    <w:rsid w:val="00731858"/>
    <w:rsid w:val="00731BE4"/>
    <w:rsid w:val="00732AA6"/>
    <w:rsid w:val="00732C15"/>
    <w:rsid w:val="007331BF"/>
    <w:rsid w:val="0073326A"/>
    <w:rsid w:val="0073343F"/>
    <w:rsid w:val="00734082"/>
    <w:rsid w:val="00734238"/>
    <w:rsid w:val="00734399"/>
    <w:rsid w:val="00735F16"/>
    <w:rsid w:val="00736585"/>
    <w:rsid w:val="00736660"/>
    <w:rsid w:val="00736B9F"/>
    <w:rsid w:val="007374AD"/>
    <w:rsid w:val="00737750"/>
    <w:rsid w:val="00740664"/>
    <w:rsid w:val="007408EA"/>
    <w:rsid w:val="007408FF"/>
    <w:rsid w:val="00740B9F"/>
    <w:rsid w:val="00741060"/>
    <w:rsid w:val="0074137E"/>
    <w:rsid w:val="00741DBC"/>
    <w:rsid w:val="00742210"/>
    <w:rsid w:val="007426A8"/>
    <w:rsid w:val="0074291B"/>
    <w:rsid w:val="00742B4A"/>
    <w:rsid w:val="0074323F"/>
    <w:rsid w:val="00743686"/>
    <w:rsid w:val="00743A36"/>
    <w:rsid w:val="00743BBE"/>
    <w:rsid w:val="007445C6"/>
    <w:rsid w:val="00744751"/>
    <w:rsid w:val="00744954"/>
    <w:rsid w:val="00745CF9"/>
    <w:rsid w:val="00745F9F"/>
    <w:rsid w:val="00746947"/>
    <w:rsid w:val="00746DF1"/>
    <w:rsid w:val="007472E7"/>
    <w:rsid w:val="007479A1"/>
    <w:rsid w:val="00747EE2"/>
    <w:rsid w:val="007502E7"/>
    <w:rsid w:val="007509EC"/>
    <w:rsid w:val="007512E2"/>
    <w:rsid w:val="00751938"/>
    <w:rsid w:val="00751D85"/>
    <w:rsid w:val="00752137"/>
    <w:rsid w:val="00752190"/>
    <w:rsid w:val="00752E42"/>
    <w:rsid w:val="007533BC"/>
    <w:rsid w:val="00753855"/>
    <w:rsid w:val="007539CE"/>
    <w:rsid w:val="00753BE9"/>
    <w:rsid w:val="007542DD"/>
    <w:rsid w:val="00754771"/>
    <w:rsid w:val="00754F5E"/>
    <w:rsid w:val="0075505E"/>
    <w:rsid w:val="00755B1A"/>
    <w:rsid w:val="00756E79"/>
    <w:rsid w:val="007577D9"/>
    <w:rsid w:val="0075780C"/>
    <w:rsid w:val="00757D9C"/>
    <w:rsid w:val="00757EF0"/>
    <w:rsid w:val="0076038F"/>
    <w:rsid w:val="00760725"/>
    <w:rsid w:val="00760AA9"/>
    <w:rsid w:val="00760B26"/>
    <w:rsid w:val="00760D41"/>
    <w:rsid w:val="00761324"/>
    <w:rsid w:val="007613BE"/>
    <w:rsid w:val="00761C9F"/>
    <w:rsid w:val="0076204E"/>
    <w:rsid w:val="0076259C"/>
    <w:rsid w:val="00763484"/>
    <w:rsid w:val="0076349E"/>
    <w:rsid w:val="00763D03"/>
    <w:rsid w:val="007648A7"/>
    <w:rsid w:val="00764A92"/>
    <w:rsid w:val="0076504F"/>
    <w:rsid w:val="00765109"/>
    <w:rsid w:val="00765351"/>
    <w:rsid w:val="00765F85"/>
    <w:rsid w:val="00766055"/>
    <w:rsid w:val="007661C0"/>
    <w:rsid w:val="00766456"/>
    <w:rsid w:val="00766729"/>
    <w:rsid w:val="0076686D"/>
    <w:rsid w:val="00766AE2"/>
    <w:rsid w:val="00766B37"/>
    <w:rsid w:val="0076726B"/>
    <w:rsid w:val="007678C5"/>
    <w:rsid w:val="00771237"/>
    <w:rsid w:val="0077262F"/>
    <w:rsid w:val="00772735"/>
    <w:rsid w:val="007733A3"/>
    <w:rsid w:val="00773A77"/>
    <w:rsid w:val="00773AB1"/>
    <w:rsid w:val="00773C08"/>
    <w:rsid w:val="00773C52"/>
    <w:rsid w:val="00774095"/>
    <w:rsid w:val="00775870"/>
    <w:rsid w:val="007758FB"/>
    <w:rsid w:val="00776CFF"/>
    <w:rsid w:val="007771A5"/>
    <w:rsid w:val="00777711"/>
    <w:rsid w:val="00777A92"/>
    <w:rsid w:val="00777DFA"/>
    <w:rsid w:val="00780117"/>
    <w:rsid w:val="007801C5"/>
    <w:rsid w:val="0078048A"/>
    <w:rsid w:val="007808EB"/>
    <w:rsid w:val="00780C85"/>
    <w:rsid w:val="00781E78"/>
    <w:rsid w:val="0078255F"/>
    <w:rsid w:val="00782724"/>
    <w:rsid w:val="0078283A"/>
    <w:rsid w:val="00782CC5"/>
    <w:rsid w:val="00782E91"/>
    <w:rsid w:val="0078318F"/>
    <w:rsid w:val="0078359B"/>
    <w:rsid w:val="00783B8E"/>
    <w:rsid w:val="00783E26"/>
    <w:rsid w:val="00784660"/>
    <w:rsid w:val="007850A3"/>
    <w:rsid w:val="00785D4C"/>
    <w:rsid w:val="007865A0"/>
    <w:rsid w:val="00786983"/>
    <w:rsid w:val="00786CCC"/>
    <w:rsid w:val="007870D9"/>
    <w:rsid w:val="00787A32"/>
    <w:rsid w:val="00787E36"/>
    <w:rsid w:val="007908C6"/>
    <w:rsid w:val="00790B88"/>
    <w:rsid w:val="007911D0"/>
    <w:rsid w:val="00791830"/>
    <w:rsid w:val="00791A37"/>
    <w:rsid w:val="00791F1D"/>
    <w:rsid w:val="00792403"/>
    <w:rsid w:val="007925CD"/>
    <w:rsid w:val="007937B7"/>
    <w:rsid w:val="00793D00"/>
    <w:rsid w:val="00794A6C"/>
    <w:rsid w:val="00794C1E"/>
    <w:rsid w:val="00795F80"/>
    <w:rsid w:val="00796091"/>
    <w:rsid w:val="00796BE1"/>
    <w:rsid w:val="00796C54"/>
    <w:rsid w:val="0079725F"/>
    <w:rsid w:val="007A134A"/>
    <w:rsid w:val="007A204B"/>
    <w:rsid w:val="007A2DBD"/>
    <w:rsid w:val="007A2F06"/>
    <w:rsid w:val="007A31B2"/>
    <w:rsid w:val="007A377B"/>
    <w:rsid w:val="007A3A2C"/>
    <w:rsid w:val="007A4D12"/>
    <w:rsid w:val="007A5971"/>
    <w:rsid w:val="007A5D0A"/>
    <w:rsid w:val="007A684F"/>
    <w:rsid w:val="007A7CF5"/>
    <w:rsid w:val="007B0091"/>
    <w:rsid w:val="007B033A"/>
    <w:rsid w:val="007B05D0"/>
    <w:rsid w:val="007B05F1"/>
    <w:rsid w:val="007B0C90"/>
    <w:rsid w:val="007B0D65"/>
    <w:rsid w:val="007B0FFD"/>
    <w:rsid w:val="007B1129"/>
    <w:rsid w:val="007B1509"/>
    <w:rsid w:val="007B174E"/>
    <w:rsid w:val="007B22B3"/>
    <w:rsid w:val="007B27B0"/>
    <w:rsid w:val="007B2FC9"/>
    <w:rsid w:val="007B3800"/>
    <w:rsid w:val="007B427C"/>
    <w:rsid w:val="007B43DB"/>
    <w:rsid w:val="007B4B16"/>
    <w:rsid w:val="007B6304"/>
    <w:rsid w:val="007B66EA"/>
    <w:rsid w:val="007B6A50"/>
    <w:rsid w:val="007B7438"/>
    <w:rsid w:val="007C17F9"/>
    <w:rsid w:val="007C1C1A"/>
    <w:rsid w:val="007C1F94"/>
    <w:rsid w:val="007C2454"/>
    <w:rsid w:val="007C2C94"/>
    <w:rsid w:val="007C2D77"/>
    <w:rsid w:val="007C3604"/>
    <w:rsid w:val="007C3F45"/>
    <w:rsid w:val="007C3F8E"/>
    <w:rsid w:val="007C3FCD"/>
    <w:rsid w:val="007C4248"/>
    <w:rsid w:val="007C43AF"/>
    <w:rsid w:val="007C4EF2"/>
    <w:rsid w:val="007C502A"/>
    <w:rsid w:val="007C54C5"/>
    <w:rsid w:val="007C5634"/>
    <w:rsid w:val="007C619E"/>
    <w:rsid w:val="007C61EB"/>
    <w:rsid w:val="007C6236"/>
    <w:rsid w:val="007C6371"/>
    <w:rsid w:val="007C661D"/>
    <w:rsid w:val="007C69D6"/>
    <w:rsid w:val="007C7619"/>
    <w:rsid w:val="007C79EF"/>
    <w:rsid w:val="007C7DBE"/>
    <w:rsid w:val="007C7DF5"/>
    <w:rsid w:val="007D018C"/>
    <w:rsid w:val="007D03A9"/>
    <w:rsid w:val="007D05B9"/>
    <w:rsid w:val="007D0737"/>
    <w:rsid w:val="007D09CF"/>
    <w:rsid w:val="007D2644"/>
    <w:rsid w:val="007D26D5"/>
    <w:rsid w:val="007D2997"/>
    <w:rsid w:val="007D3220"/>
    <w:rsid w:val="007D35E7"/>
    <w:rsid w:val="007D3ACC"/>
    <w:rsid w:val="007D42F0"/>
    <w:rsid w:val="007D507B"/>
    <w:rsid w:val="007D5A6D"/>
    <w:rsid w:val="007D5B8C"/>
    <w:rsid w:val="007D5F5A"/>
    <w:rsid w:val="007D608A"/>
    <w:rsid w:val="007D6472"/>
    <w:rsid w:val="007D6B7C"/>
    <w:rsid w:val="007D7177"/>
    <w:rsid w:val="007D75C8"/>
    <w:rsid w:val="007D767B"/>
    <w:rsid w:val="007E0655"/>
    <w:rsid w:val="007E0721"/>
    <w:rsid w:val="007E079F"/>
    <w:rsid w:val="007E094D"/>
    <w:rsid w:val="007E0DD7"/>
    <w:rsid w:val="007E12AF"/>
    <w:rsid w:val="007E1C87"/>
    <w:rsid w:val="007E1ED8"/>
    <w:rsid w:val="007E216F"/>
    <w:rsid w:val="007E22D1"/>
    <w:rsid w:val="007E2726"/>
    <w:rsid w:val="007E27D6"/>
    <w:rsid w:val="007E3612"/>
    <w:rsid w:val="007E4296"/>
    <w:rsid w:val="007E43FF"/>
    <w:rsid w:val="007E4442"/>
    <w:rsid w:val="007E4978"/>
    <w:rsid w:val="007E4BCF"/>
    <w:rsid w:val="007E4CD8"/>
    <w:rsid w:val="007E4E00"/>
    <w:rsid w:val="007E5186"/>
    <w:rsid w:val="007E55A9"/>
    <w:rsid w:val="007E5990"/>
    <w:rsid w:val="007E5D78"/>
    <w:rsid w:val="007E62B0"/>
    <w:rsid w:val="007E6DDE"/>
    <w:rsid w:val="007E708A"/>
    <w:rsid w:val="007E750C"/>
    <w:rsid w:val="007E79C2"/>
    <w:rsid w:val="007F0513"/>
    <w:rsid w:val="007F0A75"/>
    <w:rsid w:val="007F0EC4"/>
    <w:rsid w:val="007F156C"/>
    <w:rsid w:val="007F1861"/>
    <w:rsid w:val="007F378D"/>
    <w:rsid w:val="007F3B08"/>
    <w:rsid w:val="007F3B53"/>
    <w:rsid w:val="007F46F4"/>
    <w:rsid w:val="007F5603"/>
    <w:rsid w:val="007F580E"/>
    <w:rsid w:val="007F634B"/>
    <w:rsid w:val="007F6A01"/>
    <w:rsid w:val="007F70E2"/>
    <w:rsid w:val="007F752B"/>
    <w:rsid w:val="007F79D6"/>
    <w:rsid w:val="007F7E7E"/>
    <w:rsid w:val="00800721"/>
    <w:rsid w:val="0080092D"/>
    <w:rsid w:val="00800987"/>
    <w:rsid w:val="008011B2"/>
    <w:rsid w:val="008014E6"/>
    <w:rsid w:val="008018D4"/>
    <w:rsid w:val="00801CBA"/>
    <w:rsid w:val="0080205B"/>
    <w:rsid w:val="008024C7"/>
    <w:rsid w:val="00802871"/>
    <w:rsid w:val="00802ACE"/>
    <w:rsid w:val="00802E4A"/>
    <w:rsid w:val="00803033"/>
    <w:rsid w:val="008043EA"/>
    <w:rsid w:val="008046A9"/>
    <w:rsid w:val="00805216"/>
    <w:rsid w:val="00805657"/>
    <w:rsid w:val="00805A54"/>
    <w:rsid w:val="00805D35"/>
    <w:rsid w:val="00805FDE"/>
    <w:rsid w:val="008065A5"/>
    <w:rsid w:val="00806753"/>
    <w:rsid w:val="00806DC6"/>
    <w:rsid w:val="00807620"/>
    <w:rsid w:val="00807E4F"/>
    <w:rsid w:val="008104F0"/>
    <w:rsid w:val="00810CCD"/>
    <w:rsid w:val="008111C7"/>
    <w:rsid w:val="00811234"/>
    <w:rsid w:val="00811628"/>
    <w:rsid w:val="00811662"/>
    <w:rsid w:val="00811A37"/>
    <w:rsid w:val="00811C53"/>
    <w:rsid w:val="00811D78"/>
    <w:rsid w:val="00811E39"/>
    <w:rsid w:val="00812201"/>
    <w:rsid w:val="00812B79"/>
    <w:rsid w:val="008130A1"/>
    <w:rsid w:val="008130C3"/>
    <w:rsid w:val="008132B7"/>
    <w:rsid w:val="00813374"/>
    <w:rsid w:val="00813625"/>
    <w:rsid w:val="00813633"/>
    <w:rsid w:val="00813AD2"/>
    <w:rsid w:val="00813F7F"/>
    <w:rsid w:val="00814BCC"/>
    <w:rsid w:val="00815207"/>
    <w:rsid w:val="0081626C"/>
    <w:rsid w:val="0081703D"/>
    <w:rsid w:val="008172E0"/>
    <w:rsid w:val="00820858"/>
    <w:rsid w:val="00820B2C"/>
    <w:rsid w:val="00820C2D"/>
    <w:rsid w:val="00820EB8"/>
    <w:rsid w:val="00822637"/>
    <w:rsid w:val="0082284C"/>
    <w:rsid w:val="008229CD"/>
    <w:rsid w:val="008235BE"/>
    <w:rsid w:val="00824E3B"/>
    <w:rsid w:val="008252A5"/>
    <w:rsid w:val="00825310"/>
    <w:rsid w:val="008253CA"/>
    <w:rsid w:val="00825902"/>
    <w:rsid w:val="00825A61"/>
    <w:rsid w:val="00825CCB"/>
    <w:rsid w:val="008266B2"/>
    <w:rsid w:val="0082780E"/>
    <w:rsid w:val="00827C5F"/>
    <w:rsid w:val="00827FE2"/>
    <w:rsid w:val="00830639"/>
    <w:rsid w:val="00830D2E"/>
    <w:rsid w:val="00830E7C"/>
    <w:rsid w:val="00831000"/>
    <w:rsid w:val="00832982"/>
    <w:rsid w:val="0083385B"/>
    <w:rsid w:val="00833D6D"/>
    <w:rsid w:val="00834E0A"/>
    <w:rsid w:val="00835340"/>
    <w:rsid w:val="0083561D"/>
    <w:rsid w:val="00835D66"/>
    <w:rsid w:val="00835E9F"/>
    <w:rsid w:val="00836E2C"/>
    <w:rsid w:val="00837039"/>
    <w:rsid w:val="00837A5B"/>
    <w:rsid w:val="00837EA5"/>
    <w:rsid w:val="008400D6"/>
    <w:rsid w:val="00840882"/>
    <w:rsid w:val="00841014"/>
    <w:rsid w:val="00841C48"/>
    <w:rsid w:val="00841D05"/>
    <w:rsid w:val="00841E47"/>
    <w:rsid w:val="00842DBF"/>
    <w:rsid w:val="008431CB"/>
    <w:rsid w:val="008432F5"/>
    <w:rsid w:val="008439E5"/>
    <w:rsid w:val="00843F71"/>
    <w:rsid w:val="00844304"/>
    <w:rsid w:val="00844B1D"/>
    <w:rsid w:val="00844CF9"/>
    <w:rsid w:val="00844FD9"/>
    <w:rsid w:val="00845582"/>
    <w:rsid w:val="00846468"/>
    <w:rsid w:val="00846F9D"/>
    <w:rsid w:val="008470A6"/>
    <w:rsid w:val="008475C4"/>
    <w:rsid w:val="00850783"/>
    <w:rsid w:val="00850B99"/>
    <w:rsid w:val="00850FF3"/>
    <w:rsid w:val="00851BFC"/>
    <w:rsid w:val="00851E62"/>
    <w:rsid w:val="0085277F"/>
    <w:rsid w:val="00852EB4"/>
    <w:rsid w:val="00853614"/>
    <w:rsid w:val="0085380A"/>
    <w:rsid w:val="00853CCB"/>
    <w:rsid w:val="0085476F"/>
    <w:rsid w:val="00854C91"/>
    <w:rsid w:val="00854D9C"/>
    <w:rsid w:val="00854E70"/>
    <w:rsid w:val="0085632B"/>
    <w:rsid w:val="008574BC"/>
    <w:rsid w:val="00857D5C"/>
    <w:rsid w:val="008600A3"/>
    <w:rsid w:val="008600AF"/>
    <w:rsid w:val="00860C31"/>
    <w:rsid w:val="00861389"/>
    <w:rsid w:val="008615BD"/>
    <w:rsid w:val="008615FF"/>
    <w:rsid w:val="008618CE"/>
    <w:rsid w:val="0086252D"/>
    <w:rsid w:val="0086264B"/>
    <w:rsid w:val="00862A25"/>
    <w:rsid w:val="00862AD8"/>
    <w:rsid w:val="00863316"/>
    <w:rsid w:val="0086387C"/>
    <w:rsid w:val="00863BA4"/>
    <w:rsid w:val="008649A5"/>
    <w:rsid w:val="008649E2"/>
    <w:rsid w:val="00865E7F"/>
    <w:rsid w:val="00870071"/>
    <w:rsid w:val="0087025E"/>
    <w:rsid w:val="008705A5"/>
    <w:rsid w:val="008706BA"/>
    <w:rsid w:val="00870D3C"/>
    <w:rsid w:val="0087128E"/>
    <w:rsid w:val="00871A46"/>
    <w:rsid w:val="00871A47"/>
    <w:rsid w:val="00871AAC"/>
    <w:rsid w:val="00872281"/>
    <w:rsid w:val="00872397"/>
    <w:rsid w:val="0087285C"/>
    <w:rsid w:val="00873094"/>
    <w:rsid w:val="008734A1"/>
    <w:rsid w:val="00874047"/>
    <w:rsid w:val="00875452"/>
    <w:rsid w:val="00875662"/>
    <w:rsid w:val="00875C5F"/>
    <w:rsid w:val="00875DF9"/>
    <w:rsid w:val="0087654B"/>
    <w:rsid w:val="0087665E"/>
    <w:rsid w:val="008769D5"/>
    <w:rsid w:val="00876DA1"/>
    <w:rsid w:val="008778AA"/>
    <w:rsid w:val="00877A7E"/>
    <w:rsid w:val="00877C7F"/>
    <w:rsid w:val="0088092C"/>
    <w:rsid w:val="00880960"/>
    <w:rsid w:val="008813A4"/>
    <w:rsid w:val="00881D2E"/>
    <w:rsid w:val="00882497"/>
    <w:rsid w:val="008828EA"/>
    <w:rsid w:val="00882914"/>
    <w:rsid w:val="00882A1F"/>
    <w:rsid w:val="008835F0"/>
    <w:rsid w:val="00883A1C"/>
    <w:rsid w:val="00883BA9"/>
    <w:rsid w:val="00883D6E"/>
    <w:rsid w:val="00884A13"/>
    <w:rsid w:val="008859AD"/>
    <w:rsid w:val="00885DF5"/>
    <w:rsid w:val="008861D5"/>
    <w:rsid w:val="008869C6"/>
    <w:rsid w:val="0088721A"/>
    <w:rsid w:val="008908F0"/>
    <w:rsid w:val="0089122A"/>
    <w:rsid w:val="0089166D"/>
    <w:rsid w:val="0089179A"/>
    <w:rsid w:val="00891AF8"/>
    <w:rsid w:val="0089285F"/>
    <w:rsid w:val="0089288E"/>
    <w:rsid w:val="00893239"/>
    <w:rsid w:val="00894B29"/>
    <w:rsid w:val="008951DF"/>
    <w:rsid w:val="00895703"/>
    <w:rsid w:val="00895748"/>
    <w:rsid w:val="00895A0B"/>
    <w:rsid w:val="00895B87"/>
    <w:rsid w:val="00896080"/>
    <w:rsid w:val="008964EB"/>
    <w:rsid w:val="008966E9"/>
    <w:rsid w:val="00896928"/>
    <w:rsid w:val="00897057"/>
    <w:rsid w:val="00897871"/>
    <w:rsid w:val="00897DDD"/>
    <w:rsid w:val="008A0036"/>
    <w:rsid w:val="008A0AE3"/>
    <w:rsid w:val="008A1DE2"/>
    <w:rsid w:val="008A1EFF"/>
    <w:rsid w:val="008A30D1"/>
    <w:rsid w:val="008A3279"/>
    <w:rsid w:val="008A34CC"/>
    <w:rsid w:val="008A3AEA"/>
    <w:rsid w:val="008A3B5F"/>
    <w:rsid w:val="008A4F05"/>
    <w:rsid w:val="008A4FD8"/>
    <w:rsid w:val="008A55C2"/>
    <w:rsid w:val="008A5A27"/>
    <w:rsid w:val="008A63D8"/>
    <w:rsid w:val="008A65DD"/>
    <w:rsid w:val="008A74DD"/>
    <w:rsid w:val="008B0BD9"/>
    <w:rsid w:val="008B1014"/>
    <w:rsid w:val="008B1266"/>
    <w:rsid w:val="008B2279"/>
    <w:rsid w:val="008B2B05"/>
    <w:rsid w:val="008B2E8C"/>
    <w:rsid w:val="008B337B"/>
    <w:rsid w:val="008B5BAD"/>
    <w:rsid w:val="008B662C"/>
    <w:rsid w:val="008B6AA9"/>
    <w:rsid w:val="008B6C4D"/>
    <w:rsid w:val="008B6FC1"/>
    <w:rsid w:val="008B7015"/>
    <w:rsid w:val="008B7047"/>
    <w:rsid w:val="008B7DCD"/>
    <w:rsid w:val="008C12BA"/>
    <w:rsid w:val="008C134A"/>
    <w:rsid w:val="008C1B15"/>
    <w:rsid w:val="008C3A16"/>
    <w:rsid w:val="008C3FB6"/>
    <w:rsid w:val="008C4CF7"/>
    <w:rsid w:val="008C515A"/>
    <w:rsid w:val="008C5717"/>
    <w:rsid w:val="008C5E83"/>
    <w:rsid w:val="008C68F4"/>
    <w:rsid w:val="008C6AA6"/>
    <w:rsid w:val="008C6BBE"/>
    <w:rsid w:val="008C7639"/>
    <w:rsid w:val="008C7AC7"/>
    <w:rsid w:val="008D01A0"/>
    <w:rsid w:val="008D1DB1"/>
    <w:rsid w:val="008D1E16"/>
    <w:rsid w:val="008D1EB9"/>
    <w:rsid w:val="008D2A95"/>
    <w:rsid w:val="008D2C26"/>
    <w:rsid w:val="008D3446"/>
    <w:rsid w:val="008D37E6"/>
    <w:rsid w:val="008D3AB5"/>
    <w:rsid w:val="008D438D"/>
    <w:rsid w:val="008D457F"/>
    <w:rsid w:val="008D48CD"/>
    <w:rsid w:val="008D4F91"/>
    <w:rsid w:val="008D54AA"/>
    <w:rsid w:val="008D553F"/>
    <w:rsid w:val="008D60E9"/>
    <w:rsid w:val="008D6196"/>
    <w:rsid w:val="008D63C4"/>
    <w:rsid w:val="008D6581"/>
    <w:rsid w:val="008D691B"/>
    <w:rsid w:val="008D6ECE"/>
    <w:rsid w:val="008D751D"/>
    <w:rsid w:val="008E03A3"/>
    <w:rsid w:val="008E1718"/>
    <w:rsid w:val="008E1833"/>
    <w:rsid w:val="008E1C65"/>
    <w:rsid w:val="008E22A4"/>
    <w:rsid w:val="008E2579"/>
    <w:rsid w:val="008E3DC9"/>
    <w:rsid w:val="008E4287"/>
    <w:rsid w:val="008E46BC"/>
    <w:rsid w:val="008E46CC"/>
    <w:rsid w:val="008E4A12"/>
    <w:rsid w:val="008E4B75"/>
    <w:rsid w:val="008E4E2E"/>
    <w:rsid w:val="008E4FB2"/>
    <w:rsid w:val="008E5800"/>
    <w:rsid w:val="008E7133"/>
    <w:rsid w:val="008E7E45"/>
    <w:rsid w:val="008F1547"/>
    <w:rsid w:val="008F1E1D"/>
    <w:rsid w:val="008F21DA"/>
    <w:rsid w:val="008F2B7F"/>
    <w:rsid w:val="008F2C47"/>
    <w:rsid w:val="008F2C62"/>
    <w:rsid w:val="008F2E54"/>
    <w:rsid w:val="008F36F4"/>
    <w:rsid w:val="008F4820"/>
    <w:rsid w:val="008F52B4"/>
    <w:rsid w:val="008F5AC1"/>
    <w:rsid w:val="008F5BEF"/>
    <w:rsid w:val="008F7935"/>
    <w:rsid w:val="008F7D4C"/>
    <w:rsid w:val="008F7E3B"/>
    <w:rsid w:val="00900E9A"/>
    <w:rsid w:val="009010D5"/>
    <w:rsid w:val="009014CD"/>
    <w:rsid w:val="0090171F"/>
    <w:rsid w:val="009018C7"/>
    <w:rsid w:val="00903324"/>
    <w:rsid w:val="009035D3"/>
    <w:rsid w:val="009038DC"/>
    <w:rsid w:val="00903D3F"/>
    <w:rsid w:val="00903D5B"/>
    <w:rsid w:val="00903E00"/>
    <w:rsid w:val="00904748"/>
    <w:rsid w:val="00904878"/>
    <w:rsid w:val="00904D1A"/>
    <w:rsid w:val="0090539E"/>
    <w:rsid w:val="00905BFC"/>
    <w:rsid w:val="00905DB4"/>
    <w:rsid w:val="00906491"/>
    <w:rsid w:val="00906A9A"/>
    <w:rsid w:val="00907EB9"/>
    <w:rsid w:val="0091007D"/>
    <w:rsid w:val="00910318"/>
    <w:rsid w:val="00910675"/>
    <w:rsid w:val="00910AB9"/>
    <w:rsid w:val="00910E07"/>
    <w:rsid w:val="00911804"/>
    <w:rsid w:val="00911EFC"/>
    <w:rsid w:val="00912783"/>
    <w:rsid w:val="00914159"/>
    <w:rsid w:val="009142EC"/>
    <w:rsid w:val="00914A59"/>
    <w:rsid w:val="009152A5"/>
    <w:rsid w:val="0091530B"/>
    <w:rsid w:val="00915656"/>
    <w:rsid w:val="009156F3"/>
    <w:rsid w:val="00915774"/>
    <w:rsid w:val="00916A2B"/>
    <w:rsid w:val="00916E18"/>
    <w:rsid w:val="0091711F"/>
    <w:rsid w:val="009171AD"/>
    <w:rsid w:val="009173F6"/>
    <w:rsid w:val="00917623"/>
    <w:rsid w:val="00917650"/>
    <w:rsid w:val="00917A8F"/>
    <w:rsid w:val="00917C28"/>
    <w:rsid w:val="00920876"/>
    <w:rsid w:val="00920DA4"/>
    <w:rsid w:val="009211A5"/>
    <w:rsid w:val="0092121E"/>
    <w:rsid w:val="0092181A"/>
    <w:rsid w:val="00921ACD"/>
    <w:rsid w:val="0092204C"/>
    <w:rsid w:val="00922CCF"/>
    <w:rsid w:val="00923530"/>
    <w:rsid w:val="00923732"/>
    <w:rsid w:val="0092381C"/>
    <w:rsid w:val="00923876"/>
    <w:rsid w:val="00923D42"/>
    <w:rsid w:val="00924158"/>
    <w:rsid w:val="0092445B"/>
    <w:rsid w:val="00924BFB"/>
    <w:rsid w:val="00924C5B"/>
    <w:rsid w:val="00924C87"/>
    <w:rsid w:val="00924E28"/>
    <w:rsid w:val="00925638"/>
    <w:rsid w:val="00925775"/>
    <w:rsid w:val="009257BC"/>
    <w:rsid w:val="0092587B"/>
    <w:rsid w:val="009258D6"/>
    <w:rsid w:val="009259C9"/>
    <w:rsid w:val="009265A5"/>
    <w:rsid w:val="00926A8B"/>
    <w:rsid w:val="00926B3D"/>
    <w:rsid w:val="00927195"/>
    <w:rsid w:val="009275EE"/>
    <w:rsid w:val="00927845"/>
    <w:rsid w:val="00927B2E"/>
    <w:rsid w:val="0093024D"/>
    <w:rsid w:val="00930B0F"/>
    <w:rsid w:val="00930D28"/>
    <w:rsid w:val="00930EAA"/>
    <w:rsid w:val="00932460"/>
    <w:rsid w:val="00932869"/>
    <w:rsid w:val="009329DB"/>
    <w:rsid w:val="00932CCF"/>
    <w:rsid w:val="00933389"/>
    <w:rsid w:val="00933F91"/>
    <w:rsid w:val="0093436D"/>
    <w:rsid w:val="00934D16"/>
    <w:rsid w:val="00935048"/>
    <w:rsid w:val="0093568A"/>
    <w:rsid w:val="00936E51"/>
    <w:rsid w:val="00936E8C"/>
    <w:rsid w:val="00937639"/>
    <w:rsid w:val="00940087"/>
    <w:rsid w:val="00940D95"/>
    <w:rsid w:val="0094104C"/>
    <w:rsid w:val="00941B48"/>
    <w:rsid w:val="00941CA4"/>
    <w:rsid w:val="00941F7A"/>
    <w:rsid w:val="0094233B"/>
    <w:rsid w:val="00942B79"/>
    <w:rsid w:val="0094419C"/>
    <w:rsid w:val="0094429B"/>
    <w:rsid w:val="00944322"/>
    <w:rsid w:val="009453F6"/>
    <w:rsid w:val="00945DEC"/>
    <w:rsid w:val="00945EAF"/>
    <w:rsid w:val="0094615F"/>
    <w:rsid w:val="0094617B"/>
    <w:rsid w:val="00946602"/>
    <w:rsid w:val="00947696"/>
    <w:rsid w:val="009504B7"/>
    <w:rsid w:val="00950B59"/>
    <w:rsid w:val="0095177B"/>
    <w:rsid w:val="00951AE6"/>
    <w:rsid w:val="00952037"/>
    <w:rsid w:val="00952452"/>
    <w:rsid w:val="009537CF"/>
    <w:rsid w:val="00953F16"/>
    <w:rsid w:val="00954CA2"/>
    <w:rsid w:val="0095610F"/>
    <w:rsid w:val="009562E7"/>
    <w:rsid w:val="00956C38"/>
    <w:rsid w:val="009578E5"/>
    <w:rsid w:val="00957D1E"/>
    <w:rsid w:val="00957FBA"/>
    <w:rsid w:val="00960250"/>
    <w:rsid w:val="009602B1"/>
    <w:rsid w:val="0096046A"/>
    <w:rsid w:val="009608C4"/>
    <w:rsid w:val="009609E7"/>
    <w:rsid w:val="00960A26"/>
    <w:rsid w:val="009612DE"/>
    <w:rsid w:val="00961876"/>
    <w:rsid w:val="00961D8B"/>
    <w:rsid w:val="0096235E"/>
    <w:rsid w:val="00962918"/>
    <w:rsid w:val="00962B05"/>
    <w:rsid w:val="00962B9A"/>
    <w:rsid w:val="00962E45"/>
    <w:rsid w:val="009649D4"/>
    <w:rsid w:val="00964B8F"/>
    <w:rsid w:val="00965333"/>
    <w:rsid w:val="00965668"/>
    <w:rsid w:val="00965DB9"/>
    <w:rsid w:val="00965DF4"/>
    <w:rsid w:val="00966650"/>
    <w:rsid w:val="00966A0F"/>
    <w:rsid w:val="00966B19"/>
    <w:rsid w:val="00966CFB"/>
    <w:rsid w:val="009673E0"/>
    <w:rsid w:val="0096744F"/>
    <w:rsid w:val="00970096"/>
    <w:rsid w:val="0097050A"/>
    <w:rsid w:val="00970AC2"/>
    <w:rsid w:val="00970E62"/>
    <w:rsid w:val="00970EBB"/>
    <w:rsid w:val="0097260B"/>
    <w:rsid w:val="00972931"/>
    <w:rsid w:val="009732E4"/>
    <w:rsid w:val="00974255"/>
    <w:rsid w:val="009747C3"/>
    <w:rsid w:val="009754AC"/>
    <w:rsid w:val="00975EDF"/>
    <w:rsid w:val="00976CF7"/>
    <w:rsid w:val="00977F9D"/>
    <w:rsid w:val="009809B8"/>
    <w:rsid w:val="00980A22"/>
    <w:rsid w:val="0098112C"/>
    <w:rsid w:val="00981C2D"/>
    <w:rsid w:val="00982292"/>
    <w:rsid w:val="00982341"/>
    <w:rsid w:val="009827E1"/>
    <w:rsid w:val="00982A48"/>
    <w:rsid w:val="00982A7F"/>
    <w:rsid w:val="00982DCA"/>
    <w:rsid w:val="00983352"/>
    <w:rsid w:val="00983899"/>
    <w:rsid w:val="009838C1"/>
    <w:rsid w:val="00984319"/>
    <w:rsid w:val="00985F67"/>
    <w:rsid w:val="0098660B"/>
    <w:rsid w:val="00986F3F"/>
    <w:rsid w:val="00987810"/>
    <w:rsid w:val="009905B6"/>
    <w:rsid w:val="009906A3"/>
    <w:rsid w:val="00990B8B"/>
    <w:rsid w:val="00990DE3"/>
    <w:rsid w:val="00990E62"/>
    <w:rsid w:val="009919FA"/>
    <w:rsid w:val="00991FFA"/>
    <w:rsid w:val="009923EE"/>
    <w:rsid w:val="00992B40"/>
    <w:rsid w:val="00992B66"/>
    <w:rsid w:val="0099381D"/>
    <w:rsid w:val="009939AA"/>
    <w:rsid w:val="009939CA"/>
    <w:rsid w:val="00993C90"/>
    <w:rsid w:val="009947C7"/>
    <w:rsid w:val="009949C3"/>
    <w:rsid w:val="00994DF3"/>
    <w:rsid w:val="00995541"/>
    <w:rsid w:val="00996929"/>
    <w:rsid w:val="0099719F"/>
    <w:rsid w:val="0099770D"/>
    <w:rsid w:val="00997EE7"/>
    <w:rsid w:val="009A04EC"/>
    <w:rsid w:val="009A0E22"/>
    <w:rsid w:val="009A0E24"/>
    <w:rsid w:val="009A0F63"/>
    <w:rsid w:val="009A0FCB"/>
    <w:rsid w:val="009A1838"/>
    <w:rsid w:val="009A1994"/>
    <w:rsid w:val="009A1AE0"/>
    <w:rsid w:val="009A22EF"/>
    <w:rsid w:val="009A25C3"/>
    <w:rsid w:val="009A27B2"/>
    <w:rsid w:val="009A3C28"/>
    <w:rsid w:val="009A46F4"/>
    <w:rsid w:val="009A4CF1"/>
    <w:rsid w:val="009A63D2"/>
    <w:rsid w:val="009A6ADD"/>
    <w:rsid w:val="009A72BF"/>
    <w:rsid w:val="009B154A"/>
    <w:rsid w:val="009B1865"/>
    <w:rsid w:val="009B1DA4"/>
    <w:rsid w:val="009B1DEF"/>
    <w:rsid w:val="009B2166"/>
    <w:rsid w:val="009B23D6"/>
    <w:rsid w:val="009B24BF"/>
    <w:rsid w:val="009B3FB0"/>
    <w:rsid w:val="009B3FD1"/>
    <w:rsid w:val="009B409E"/>
    <w:rsid w:val="009B4314"/>
    <w:rsid w:val="009B44C1"/>
    <w:rsid w:val="009B5403"/>
    <w:rsid w:val="009B6BB5"/>
    <w:rsid w:val="009B6CBA"/>
    <w:rsid w:val="009B6F2E"/>
    <w:rsid w:val="009B7707"/>
    <w:rsid w:val="009C0719"/>
    <w:rsid w:val="009C0FF2"/>
    <w:rsid w:val="009C13AE"/>
    <w:rsid w:val="009C1BFF"/>
    <w:rsid w:val="009C1C05"/>
    <w:rsid w:val="009C1ECE"/>
    <w:rsid w:val="009C21E4"/>
    <w:rsid w:val="009C2680"/>
    <w:rsid w:val="009C2FF3"/>
    <w:rsid w:val="009C401F"/>
    <w:rsid w:val="009C512A"/>
    <w:rsid w:val="009C5989"/>
    <w:rsid w:val="009C5C60"/>
    <w:rsid w:val="009C66DF"/>
    <w:rsid w:val="009C6C2A"/>
    <w:rsid w:val="009C6D8D"/>
    <w:rsid w:val="009C71B4"/>
    <w:rsid w:val="009C72D3"/>
    <w:rsid w:val="009C7AB3"/>
    <w:rsid w:val="009D002E"/>
    <w:rsid w:val="009D029A"/>
    <w:rsid w:val="009D0544"/>
    <w:rsid w:val="009D07CB"/>
    <w:rsid w:val="009D095E"/>
    <w:rsid w:val="009D16A1"/>
    <w:rsid w:val="009D1908"/>
    <w:rsid w:val="009D202D"/>
    <w:rsid w:val="009D2AEC"/>
    <w:rsid w:val="009D2FA3"/>
    <w:rsid w:val="009D3752"/>
    <w:rsid w:val="009D5AE7"/>
    <w:rsid w:val="009D5F22"/>
    <w:rsid w:val="009D6349"/>
    <w:rsid w:val="009D6678"/>
    <w:rsid w:val="009D6C0D"/>
    <w:rsid w:val="009D6E58"/>
    <w:rsid w:val="009D7BF4"/>
    <w:rsid w:val="009D7C2C"/>
    <w:rsid w:val="009E00BD"/>
    <w:rsid w:val="009E02A6"/>
    <w:rsid w:val="009E09E1"/>
    <w:rsid w:val="009E1072"/>
    <w:rsid w:val="009E1AED"/>
    <w:rsid w:val="009E2B7F"/>
    <w:rsid w:val="009E2C75"/>
    <w:rsid w:val="009E2C8F"/>
    <w:rsid w:val="009E348F"/>
    <w:rsid w:val="009E3B44"/>
    <w:rsid w:val="009E3C8E"/>
    <w:rsid w:val="009E41D9"/>
    <w:rsid w:val="009E48D8"/>
    <w:rsid w:val="009E4B99"/>
    <w:rsid w:val="009E5F43"/>
    <w:rsid w:val="009E6276"/>
    <w:rsid w:val="009E6D47"/>
    <w:rsid w:val="009E6E0B"/>
    <w:rsid w:val="009E70AD"/>
    <w:rsid w:val="009F024E"/>
    <w:rsid w:val="009F0745"/>
    <w:rsid w:val="009F11FE"/>
    <w:rsid w:val="009F1CA7"/>
    <w:rsid w:val="009F1E51"/>
    <w:rsid w:val="009F348C"/>
    <w:rsid w:val="009F3990"/>
    <w:rsid w:val="009F3FA5"/>
    <w:rsid w:val="009F4411"/>
    <w:rsid w:val="009F4526"/>
    <w:rsid w:val="009F5792"/>
    <w:rsid w:val="009F5D38"/>
    <w:rsid w:val="009F6D82"/>
    <w:rsid w:val="009F7378"/>
    <w:rsid w:val="009F76D1"/>
    <w:rsid w:val="009F7955"/>
    <w:rsid w:val="009F7957"/>
    <w:rsid w:val="009F79B7"/>
    <w:rsid w:val="00A0008F"/>
    <w:rsid w:val="00A00271"/>
    <w:rsid w:val="00A00711"/>
    <w:rsid w:val="00A00964"/>
    <w:rsid w:val="00A017EA"/>
    <w:rsid w:val="00A022AB"/>
    <w:rsid w:val="00A02BBF"/>
    <w:rsid w:val="00A043C1"/>
    <w:rsid w:val="00A04493"/>
    <w:rsid w:val="00A048F4"/>
    <w:rsid w:val="00A04A13"/>
    <w:rsid w:val="00A04BB4"/>
    <w:rsid w:val="00A04BF2"/>
    <w:rsid w:val="00A051A4"/>
    <w:rsid w:val="00A05430"/>
    <w:rsid w:val="00A055F8"/>
    <w:rsid w:val="00A05F06"/>
    <w:rsid w:val="00A06E97"/>
    <w:rsid w:val="00A06F80"/>
    <w:rsid w:val="00A07468"/>
    <w:rsid w:val="00A07983"/>
    <w:rsid w:val="00A07A2D"/>
    <w:rsid w:val="00A07AE7"/>
    <w:rsid w:val="00A07C8D"/>
    <w:rsid w:val="00A07D7F"/>
    <w:rsid w:val="00A10FDF"/>
    <w:rsid w:val="00A11073"/>
    <w:rsid w:val="00A112C1"/>
    <w:rsid w:val="00A11387"/>
    <w:rsid w:val="00A11E95"/>
    <w:rsid w:val="00A11F35"/>
    <w:rsid w:val="00A123E0"/>
    <w:rsid w:val="00A12487"/>
    <w:rsid w:val="00A12D1B"/>
    <w:rsid w:val="00A13654"/>
    <w:rsid w:val="00A13A75"/>
    <w:rsid w:val="00A13BEA"/>
    <w:rsid w:val="00A14268"/>
    <w:rsid w:val="00A145DC"/>
    <w:rsid w:val="00A14632"/>
    <w:rsid w:val="00A14B48"/>
    <w:rsid w:val="00A1561A"/>
    <w:rsid w:val="00A15A73"/>
    <w:rsid w:val="00A15D23"/>
    <w:rsid w:val="00A15EFD"/>
    <w:rsid w:val="00A1637A"/>
    <w:rsid w:val="00A168B3"/>
    <w:rsid w:val="00A1736B"/>
    <w:rsid w:val="00A20DBB"/>
    <w:rsid w:val="00A2109C"/>
    <w:rsid w:val="00A2177F"/>
    <w:rsid w:val="00A21F45"/>
    <w:rsid w:val="00A22066"/>
    <w:rsid w:val="00A223C1"/>
    <w:rsid w:val="00A22D2F"/>
    <w:rsid w:val="00A22F70"/>
    <w:rsid w:val="00A22FFC"/>
    <w:rsid w:val="00A23215"/>
    <w:rsid w:val="00A234EE"/>
    <w:rsid w:val="00A23D2F"/>
    <w:rsid w:val="00A23D52"/>
    <w:rsid w:val="00A24C0B"/>
    <w:rsid w:val="00A24D48"/>
    <w:rsid w:val="00A25402"/>
    <w:rsid w:val="00A25664"/>
    <w:rsid w:val="00A2653E"/>
    <w:rsid w:val="00A2699A"/>
    <w:rsid w:val="00A26C75"/>
    <w:rsid w:val="00A270C0"/>
    <w:rsid w:val="00A27349"/>
    <w:rsid w:val="00A2749C"/>
    <w:rsid w:val="00A27D47"/>
    <w:rsid w:val="00A304C8"/>
    <w:rsid w:val="00A3121E"/>
    <w:rsid w:val="00A3298D"/>
    <w:rsid w:val="00A32A2E"/>
    <w:rsid w:val="00A33148"/>
    <w:rsid w:val="00A33681"/>
    <w:rsid w:val="00A336D7"/>
    <w:rsid w:val="00A339D8"/>
    <w:rsid w:val="00A33F0F"/>
    <w:rsid w:val="00A3493D"/>
    <w:rsid w:val="00A35A97"/>
    <w:rsid w:val="00A35F87"/>
    <w:rsid w:val="00A36539"/>
    <w:rsid w:val="00A3682B"/>
    <w:rsid w:val="00A37349"/>
    <w:rsid w:val="00A374D6"/>
    <w:rsid w:val="00A416A8"/>
    <w:rsid w:val="00A41725"/>
    <w:rsid w:val="00A42B6E"/>
    <w:rsid w:val="00A443CA"/>
    <w:rsid w:val="00A444AF"/>
    <w:rsid w:val="00A44ABE"/>
    <w:rsid w:val="00A44F75"/>
    <w:rsid w:val="00A451BE"/>
    <w:rsid w:val="00A458CB"/>
    <w:rsid w:val="00A45BA9"/>
    <w:rsid w:val="00A4631A"/>
    <w:rsid w:val="00A46B90"/>
    <w:rsid w:val="00A46C0F"/>
    <w:rsid w:val="00A4732E"/>
    <w:rsid w:val="00A50270"/>
    <w:rsid w:val="00A50CFA"/>
    <w:rsid w:val="00A51478"/>
    <w:rsid w:val="00A51CE8"/>
    <w:rsid w:val="00A524FA"/>
    <w:rsid w:val="00A52776"/>
    <w:rsid w:val="00A52A78"/>
    <w:rsid w:val="00A52A87"/>
    <w:rsid w:val="00A535DF"/>
    <w:rsid w:val="00A538F4"/>
    <w:rsid w:val="00A546F8"/>
    <w:rsid w:val="00A54FF3"/>
    <w:rsid w:val="00A555D7"/>
    <w:rsid w:val="00A5614F"/>
    <w:rsid w:val="00A57045"/>
    <w:rsid w:val="00A571AF"/>
    <w:rsid w:val="00A576A5"/>
    <w:rsid w:val="00A578A4"/>
    <w:rsid w:val="00A605A5"/>
    <w:rsid w:val="00A60DEF"/>
    <w:rsid w:val="00A610AD"/>
    <w:rsid w:val="00A61277"/>
    <w:rsid w:val="00A6156A"/>
    <w:rsid w:val="00A61602"/>
    <w:rsid w:val="00A61872"/>
    <w:rsid w:val="00A61AA8"/>
    <w:rsid w:val="00A61C03"/>
    <w:rsid w:val="00A627DB"/>
    <w:rsid w:val="00A62CAD"/>
    <w:rsid w:val="00A62D91"/>
    <w:rsid w:val="00A63A51"/>
    <w:rsid w:val="00A6487D"/>
    <w:rsid w:val="00A64B0B"/>
    <w:rsid w:val="00A64D76"/>
    <w:rsid w:val="00A64DE7"/>
    <w:rsid w:val="00A64F2A"/>
    <w:rsid w:val="00A65043"/>
    <w:rsid w:val="00A653F4"/>
    <w:rsid w:val="00A66ABD"/>
    <w:rsid w:val="00A6702A"/>
    <w:rsid w:val="00A672D3"/>
    <w:rsid w:val="00A6731C"/>
    <w:rsid w:val="00A67556"/>
    <w:rsid w:val="00A67A09"/>
    <w:rsid w:val="00A67BFE"/>
    <w:rsid w:val="00A67C06"/>
    <w:rsid w:val="00A67D44"/>
    <w:rsid w:val="00A70072"/>
    <w:rsid w:val="00A70213"/>
    <w:rsid w:val="00A7069B"/>
    <w:rsid w:val="00A70D9A"/>
    <w:rsid w:val="00A70F09"/>
    <w:rsid w:val="00A7111A"/>
    <w:rsid w:val="00A71173"/>
    <w:rsid w:val="00A7149A"/>
    <w:rsid w:val="00A71B8E"/>
    <w:rsid w:val="00A71CF0"/>
    <w:rsid w:val="00A7263A"/>
    <w:rsid w:val="00A74A4C"/>
    <w:rsid w:val="00A74B1A"/>
    <w:rsid w:val="00A74D37"/>
    <w:rsid w:val="00A7564F"/>
    <w:rsid w:val="00A75900"/>
    <w:rsid w:val="00A765C0"/>
    <w:rsid w:val="00A769B6"/>
    <w:rsid w:val="00A77985"/>
    <w:rsid w:val="00A805F6"/>
    <w:rsid w:val="00A81253"/>
    <w:rsid w:val="00A818DE"/>
    <w:rsid w:val="00A81A72"/>
    <w:rsid w:val="00A81AF3"/>
    <w:rsid w:val="00A831B0"/>
    <w:rsid w:val="00A835AE"/>
    <w:rsid w:val="00A84C75"/>
    <w:rsid w:val="00A84DA8"/>
    <w:rsid w:val="00A84DB7"/>
    <w:rsid w:val="00A855B9"/>
    <w:rsid w:val="00A857E9"/>
    <w:rsid w:val="00A85CDE"/>
    <w:rsid w:val="00A86329"/>
    <w:rsid w:val="00A8643A"/>
    <w:rsid w:val="00A86CB3"/>
    <w:rsid w:val="00A86D53"/>
    <w:rsid w:val="00A87C8E"/>
    <w:rsid w:val="00A90098"/>
    <w:rsid w:val="00A90806"/>
    <w:rsid w:val="00A90A88"/>
    <w:rsid w:val="00A90E0B"/>
    <w:rsid w:val="00A91487"/>
    <w:rsid w:val="00A919C5"/>
    <w:rsid w:val="00A9453D"/>
    <w:rsid w:val="00A94A3F"/>
    <w:rsid w:val="00A94DFC"/>
    <w:rsid w:val="00A94F2B"/>
    <w:rsid w:val="00A95594"/>
    <w:rsid w:val="00A95706"/>
    <w:rsid w:val="00A9588A"/>
    <w:rsid w:val="00A96356"/>
    <w:rsid w:val="00A9652C"/>
    <w:rsid w:val="00AA00A4"/>
    <w:rsid w:val="00AA0510"/>
    <w:rsid w:val="00AA0E32"/>
    <w:rsid w:val="00AA0F19"/>
    <w:rsid w:val="00AA0FB6"/>
    <w:rsid w:val="00AA14AC"/>
    <w:rsid w:val="00AA1B9F"/>
    <w:rsid w:val="00AA1F99"/>
    <w:rsid w:val="00AA2058"/>
    <w:rsid w:val="00AA231D"/>
    <w:rsid w:val="00AA2654"/>
    <w:rsid w:val="00AA2AA5"/>
    <w:rsid w:val="00AA32A9"/>
    <w:rsid w:val="00AA35BA"/>
    <w:rsid w:val="00AA3BE4"/>
    <w:rsid w:val="00AA4910"/>
    <w:rsid w:val="00AA5835"/>
    <w:rsid w:val="00AA59E3"/>
    <w:rsid w:val="00AA60E7"/>
    <w:rsid w:val="00AA62FF"/>
    <w:rsid w:val="00AA71BF"/>
    <w:rsid w:val="00AA775B"/>
    <w:rsid w:val="00AA7F93"/>
    <w:rsid w:val="00AB0148"/>
    <w:rsid w:val="00AB0810"/>
    <w:rsid w:val="00AB0D82"/>
    <w:rsid w:val="00AB0ED2"/>
    <w:rsid w:val="00AB18FF"/>
    <w:rsid w:val="00AB2786"/>
    <w:rsid w:val="00AB2890"/>
    <w:rsid w:val="00AB2A10"/>
    <w:rsid w:val="00AB34DB"/>
    <w:rsid w:val="00AB376D"/>
    <w:rsid w:val="00AB46C4"/>
    <w:rsid w:val="00AB5438"/>
    <w:rsid w:val="00AB69E8"/>
    <w:rsid w:val="00AB7115"/>
    <w:rsid w:val="00AB7BF4"/>
    <w:rsid w:val="00AC0164"/>
    <w:rsid w:val="00AC02D3"/>
    <w:rsid w:val="00AC0AA8"/>
    <w:rsid w:val="00AC0E87"/>
    <w:rsid w:val="00AC29BB"/>
    <w:rsid w:val="00AC2E2A"/>
    <w:rsid w:val="00AC2FF0"/>
    <w:rsid w:val="00AC34F5"/>
    <w:rsid w:val="00AC3929"/>
    <w:rsid w:val="00AC3A66"/>
    <w:rsid w:val="00AC3AD8"/>
    <w:rsid w:val="00AC4D30"/>
    <w:rsid w:val="00AC4F00"/>
    <w:rsid w:val="00AC53F7"/>
    <w:rsid w:val="00AC564E"/>
    <w:rsid w:val="00AC5E17"/>
    <w:rsid w:val="00AC6047"/>
    <w:rsid w:val="00AC66CE"/>
    <w:rsid w:val="00AC6729"/>
    <w:rsid w:val="00AC6ACB"/>
    <w:rsid w:val="00AC6B9F"/>
    <w:rsid w:val="00AC7AC1"/>
    <w:rsid w:val="00AC7B1E"/>
    <w:rsid w:val="00AD02A2"/>
    <w:rsid w:val="00AD0C29"/>
    <w:rsid w:val="00AD125E"/>
    <w:rsid w:val="00AD1511"/>
    <w:rsid w:val="00AD151B"/>
    <w:rsid w:val="00AD15AB"/>
    <w:rsid w:val="00AD1A77"/>
    <w:rsid w:val="00AD2425"/>
    <w:rsid w:val="00AD30AA"/>
    <w:rsid w:val="00AD33D8"/>
    <w:rsid w:val="00AD3C39"/>
    <w:rsid w:val="00AD4637"/>
    <w:rsid w:val="00AD46FA"/>
    <w:rsid w:val="00AD4E31"/>
    <w:rsid w:val="00AD5670"/>
    <w:rsid w:val="00AD5F42"/>
    <w:rsid w:val="00AD60AB"/>
    <w:rsid w:val="00AD60D3"/>
    <w:rsid w:val="00AD63B6"/>
    <w:rsid w:val="00AD691A"/>
    <w:rsid w:val="00AD7029"/>
    <w:rsid w:val="00AD785A"/>
    <w:rsid w:val="00AD7DAD"/>
    <w:rsid w:val="00AE07AD"/>
    <w:rsid w:val="00AE08A3"/>
    <w:rsid w:val="00AE124D"/>
    <w:rsid w:val="00AE1565"/>
    <w:rsid w:val="00AE1ECC"/>
    <w:rsid w:val="00AE20C0"/>
    <w:rsid w:val="00AE2356"/>
    <w:rsid w:val="00AE24B0"/>
    <w:rsid w:val="00AE2804"/>
    <w:rsid w:val="00AE31E8"/>
    <w:rsid w:val="00AE399F"/>
    <w:rsid w:val="00AE3E41"/>
    <w:rsid w:val="00AE4590"/>
    <w:rsid w:val="00AE516B"/>
    <w:rsid w:val="00AE5677"/>
    <w:rsid w:val="00AE61AB"/>
    <w:rsid w:val="00AE6577"/>
    <w:rsid w:val="00AE658D"/>
    <w:rsid w:val="00AE66AC"/>
    <w:rsid w:val="00AE690F"/>
    <w:rsid w:val="00AE6CA7"/>
    <w:rsid w:val="00AE74D4"/>
    <w:rsid w:val="00AE7B98"/>
    <w:rsid w:val="00AF0BEF"/>
    <w:rsid w:val="00AF12BE"/>
    <w:rsid w:val="00AF1E7C"/>
    <w:rsid w:val="00AF2021"/>
    <w:rsid w:val="00AF27A7"/>
    <w:rsid w:val="00AF2CC9"/>
    <w:rsid w:val="00AF30CE"/>
    <w:rsid w:val="00AF3646"/>
    <w:rsid w:val="00AF4A70"/>
    <w:rsid w:val="00AF50CE"/>
    <w:rsid w:val="00AF5A60"/>
    <w:rsid w:val="00AF5CE6"/>
    <w:rsid w:val="00AF6115"/>
    <w:rsid w:val="00AF6897"/>
    <w:rsid w:val="00AF70EB"/>
    <w:rsid w:val="00AF7177"/>
    <w:rsid w:val="00AF7CC4"/>
    <w:rsid w:val="00B001ED"/>
    <w:rsid w:val="00B0049F"/>
    <w:rsid w:val="00B0099F"/>
    <w:rsid w:val="00B013A1"/>
    <w:rsid w:val="00B0155A"/>
    <w:rsid w:val="00B01D93"/>
    <w:rsid w:val="00B02076"/>
    <w:rsid w:val="00B02912"/>
    <w:rsid w:val="00B02F97"/>
    <w:rsid w:val="00B03044"/>
    <w:rsid w:val="00B0323F"/>
    <w:rsid w:val="00B03B17"/>
    <w:rsid w:val="00B04391"/>
    <w:rsid w:val="00B04518"/>
    <w:rsid w:val="00B0511A"/>
    <w:rsid w:val="00B05DCA"/>
    <w:rsid w:val="00B065BE"/>
    <w:rsid w:val="00B06C7A"/>
    <w:rsid w:val="00B07271"/>
    <w:rsid w:val="00B07324"/>
    <w:rsid w:val="00B073CD"/>
    <w:rsid w:val="00B0767B"/>
    <w:rsid w:val="00B07B2B"/>
    <w:rsid w:val="00B07B53"/>
    <w:rsid w:val="00B10465"/>
    <w:rsid w:val="00B11A2A"/>
    <w:rsid w:val="00B11C8B"/>
    <w:rsid w:val="00B1220E"/>
    <w:rsid w:val="00B12D41"/>
    <w:rsid w:val="00B130F0"/>
    <w:rsid w:val="00B13B45"/>
    <w:rsid w:val="00B14593"/>
    <w:rsid w:val="00B15162"/>
    <w:rsid w:val="00B1584C"/>
    <w:rsid w:val="00B15926"/>
    <w:rsid w:val="00B159EC"/>
    <w:rsid w:val="00B15B22"/>
    <w:rsid w:val="00B15D3B"/>
    <w:rsid w:val="00B15F8A"/>
    <w:rsid w:val="00B16141"/>
    <w:rsid w:val="00B162F3"/>
    <w:rsid w:val="00B1681B"/>
    <w:rsid w:val="00B178FB"/>
    <w:rsid w:val="00B17D1C"/>
    <w:rsid w:val="00B17D6E"/>
    <w:rsid w:val="00B17DB4"/>
    <w:rsid w:val="00B20976"/>
    <w:rsid w:val="00B2109E"/>
    <w:rsid w:val="00B2142E"/>
    <w:rsid w:val="00B21DD5"/>
    <w:rsid w:val="00B21E36"/>
    <w:rsid w:val="00B220DB"/>
    <w:rsid w:val="00B22B78"/>
    <w:rsid w:val="00B2461C"/>
    <w:rsid w:val="00B246E4"/>
    <w:rsid w:val="00B24F94"/>
    <w:rsid w:val="00B25448"/>
    <w:rsid w:val="00B25489"/>
    <w:rsid w:val="00B255C5"/>
    <w:rsid w:val="00B25627"/>
    <w:rsid w:val="00B26238"/>
    <w:rsid w:val="00B26E14"/>
    <w:rsid w:val="00B275EE"/>
    <w:rsid w:val="00B27755"/>
    <w:rsid w:val="00B2777F"/>
    <w:rsid w:val="00B27D9C"/>
    <w:rsid w:val="00B30079"/>
    <w:rsid w:val="00B305D6"/>
    <w:rsid w:val="00B313A5"/>
    <w:rsid w:val="00B317B6"/>
    <w:rsid w:val="00B322B0"/>
    <w:rsid w:val="00B3351F"/>
    <w:rsid w:val="00B3369C"/>
    <w:rsid w:val="00B33D93"/>
    <w:rsid w:val="00B3414D"/>
    <w:rsid w:val="00B34274"/>
    <w:rsid w:val="00B34EF8"/>
    <w:rsid w:val="00B34F25"/>
    <w:rsid w:val="00B35414"/>
    <w:rsid w:val="00B356CD"/>
    <w:rsid w:val="00B36649"/>
    <w:rsid w:val="00B36E15"/>
    <w:rsid w:val="00B37A21"/>
    <w:rsid w:val="00B402BE"/>
    <w:rsid w:val="00B4096D"/>
    <w:rsid w:val="00B40AB4"/>
    <w:rsid w:val="00B40BBD"/>
    <w:rsid w:val="00B40FDE"/>
    <w:rsid w:val="00B4105F"/>
    <w:rsid w:val="00B423FE"/>
    <w:rsid w:val="00B42533"/>
    <w:rsid w:val="00B42C34"/>
    <w:rsid w:val="00B42D45"/>
    <w:rsid w:val="00B43959"/>
    <w:rsid w:val="00B43C92"/>
    <w:rsid w:val="00B43E57"/>
    <w:rsid w:val="00B44DB3"/>
    <w:rsid w:val="00B4591B"/>
    <w:rsid w:val="00B45FC8"/>
    <w:rsid w:val="00B46128"/>
    <w:rsid w:val="00B46C7D"/>
    <w:rsid w:val="00B46E91"/>
    <w:rsid w:val="00B475BB"/>
    <w:rsid w:val="00B4795A"/>
    <w:rsid w:val="00B47BDC"/>
    <w:rsid w:val="00B5017C"/>
    <w:rsid w:val="00B5027E"/>
    <w:rsid w:val="00B50400"/>
    <w:rsid w:val="00B50A66"/>
    <w:rsid w:val="00B50FF7"/>
    <w:rsid w:val="00B51BE2"/>
    <w:rsid w:val="00B5250C"/>
    <w:rsid w:val="00B52EC1"/>
    <w:rsid w:val="00B530E3"/>
    <w:rsid w:val="00B53157"/>
    <w:rsid w:val="00B53794"/>
    <w:rsid w:val="00B539F0"/>
    <w:rsid w:val="00B53EC7"/>
    <w:rsid w:val="00B543D9"/>
    <w:rsid w:val="00B54E83"/>
    <w:rsid w:val="00B55059"/>
    <w:rsid w:val="00B550BD"/>
    <w:rsid w:val="00B553C2"/>
    <w:rsid w:val="00B5561C"/>
    <w:rsid w:val="00B56187"/>
    <w:rsid w:val="00B56C58"/>
    <w:rsid w:val="00B56C6B"/>
    <w:rsid w:val="00B56E1C"/>
    <w:rsid w:val="00B57094"/>
    <w:rsid w:val="00B601A6"/>
    <w:rsid w:val="00B601E1"/>
    <w:rsid w:val="00B60709"/>
    <w:rsid w:val="00B6088B"/>
    <w:rsid w:val="00B60CDD"/>
    <w:rsid w:val="00B611D0"/>
    <w:rsid w:val="00B61E71"/>
    <w:rsid w:val="00B61EF2"/>
    <w:rsid w:val="00B62218"/>
    <w:rsid w:val="00B62597"/>
    <w:rsid w:val="00B62BF1"/>
    <w:rsid w:val="00B63758"/>
    <w:rsid w:val="00B637BD"/>
    <w:rsid w:val="00B64385"/>
    <w:rsid w:val="00B64478"/>
    <w:rsid w:val="00B6498D"/>
    <w:rsid w:val="00B64D07"/>
    <w:rsid w:val="00B65A99"/>
    <w:rsid w:val="00B65CF9"/>
    <w:rsid w:val="00B66C5C"/>
    <w:rsid w:val="00B6700C"/>
    <w:rsid w:val="00B6733E"/>
    <w:rsid w:val="00B674EF"/>
    <w:rsid w:val="00B67D91"/>
    <w:rsid w:val="00B7049D"/>
    <w:rsid w:val="00B70900"/>
    <w:rsid w:val="00B70E72"/>
    <w:rsid w:val="00B714D7"/>
    <w:rsid w:val="00B72965"/>
    <w:rsid w:val="00B738F9"/>
    <w:rsid w:val="00B7393A"/>
    <w:rsid w:val="00B74CF2"/>
    <w:rsid w:val="00B75AC9"/>
    <w:rsid w:val="00B75B15"/>
    <w:rsid w:val="00B75DEB"/>
    <w:rsid w:val="00B76552"/>
    <w:rsid w:val="00B76628"/>
    <w:rsid w:val="00B76BE2"/>
    <w:rsid w:val="00B7716C"/>
    <w:rsid w:val="00B77D03"/>
    <w:rsid w:val="00B77EA8"/>
    <w:rsid w:val="00B8035E"/>
    <w:rsid w:val="00B80460"/>
    <w:rsid w:val="00B804B3"/>
    <w:rsid w:val="00B80A9E"/>
    <w:rsid w:val="00B813F4"/>
    <w:rsid w:val="00B816A5"/>
    <w:rsid w:val="00B8187E"/>
    <w:rsid w:val="00B821FC"/>
    <w:rsid w:val="00B83203"/>
    <w:rsid w:val="00B83646"/>
    <w:rsid w:val="00B83840"/>
    <w:rsid w:val="00B83E67"/>
    <w:rsid w:val="00B84054"/>
    <w:rsid w:val="00B84484"/>
    <w:rsid w:val="00B845E6"/>
    <w:rsid w:val="00B845F2"/>
    <w:rsid w:val="00B84A3E"/>
    <w:rsid w:val="00B851DC"/>
    <w:rsid w:val="00B85FA9"/>
    <w:rsid w:val="00B871C1"/>
    <w:rsid w:val="00B87710"/>
    <w:rsid w:val="00B90042"/>
    <w:rsid w:val="00B903D5"/>
    <w:rsid w:val="00B90993"/>
    <w:rsid w:val="00B9195C"/>
    <w:rsid w:val="00B9197F"/>
    <w:rsid w:val="00B91A09"/>
    <w:rsid w:val="00B91A90"/>
    <w:rsid w:val="00B92491"/>
    <w:rsid w:val="00B9267B"/>
    <w:rsid w:val="00B931DC"/>
    <w:rsid w:val="00B94047"/>
    <w:rsid w:val="00B94515"/>
    <w:rsid w:val="00B94D30"/>
    <w:rsid w:val="00B95BD1"/>
    <w:rsid w:val="00B96324"/>
    <w:rsid w:val="00B9635C"/>
    <w:rsid w:val="00B96479"/>
    <w:rsid w:val="00B97456"/>
    <w:rsid w:val="00B9798E"/>
    <w:rsid w:val="00BA0070"/>
    <w:rsid w:val="00BA111E"/>
    <w:rsid w:val="00BA14C6"/>
    <w:rsid w:val="00BA1B77"/>
    <w:rsid w:val="00BA2107"/>
    <w:rsid w:val="00BA23BB"/>
    <w:rsid w:val="00BA25DD"/>
    <w:rsid w:val="00BA25E2"/>
    <w:rsid w:val="00BA2C92"/>
    <w:rsid w:val="00BA3A51"/>
    <w:rsid w:val="00BA4B6B"/>
    <w:rsid w:val="00BA4C97"/>
    <w:rsid w:val="00BA4F3C"/>
    <w:rsid w:val="00BA54C2"/>
    <w:rsid w:val="00BA60F0"/>
    <w:rsid w:val="00BA66CE"/>
    <w:rsid w:val="00BA6B7A"/>
    <w:rsid w:val="00BA7E78"/>
    <w:rsid w:val="00BB0152"/>
    <w:rsid w:val="00BB02DF"/>
    <w:rsid w:val="00BB058D"/>
    <w:rsid w:val="00BB0F6B"/>
    <w:rsid w:val="00BB2AE8"/>
    <w:rsid w:val="00BB3193"/>
    <w:rsid w:val="00BB3E36"/>
    <w:rsid w:val="00BB4687"/>
    <w:rsid w:val="00BB508F"/>
    <w:rsid w:val="00BB50EB"/>
    <w:rsid w:val="00BB5117"/>
    <w:rsid w:val="00BB6EDA"/>
    <w:rsid w:val="00BB786B"/>
    <w:rsid w:val="00BB788A"/>
    <w:rsid w:val="00BC038E"/>
    <w:rsid w:val="00BC08D7"/>
    <w:rsid w:val="00BC0C65"/>
    <w:rsid w:val="00BC1430"/>
    <w:rsid w:val="00BC2C35"/>
    <w:rsid w:val="00BC2E4A"/>
    <w:rsid w:val="00BC33E8"/>
    <w:rsid w:val="00BC38EA"/>
    <w:rsid w:val="00BC3F1E"/>
    <w:rsid w:val="00BC4299"/>
    <w:rsid w:val="00BC4D19"/>
    <w:rsid w:val="00BC5AAB"/>
    <w:rsid w:val="00BC5BB4"/>
    <w:rsid w:val="00BC5C47"/>
    <w:rsid w:val="00BC6FBF"/>
    <w:rsid w:val="00BC77AA"/>
    <w:rsid w:val="00BD01E2"/>
    <w:rsid w:val="00BD057B"/>
    <w:rsid w:val="00BD0751"/>
    <w:rsid w:val="00BD1A65"/>
    <w:rsid w:val="00BD1AF8"/>
    <w:rsid w:val="00BD2425"/>
    <w:rsid w:val="00BD2591"/>
    <w:rsid w:val="00BD2EA0"/>
    <w:rsid w:val="00BD3226"/>
    <w:rsid w:val="00BD388F"/>
    <w:rsid w:val="00BD38FF"/>
    <w:rsid w:val="00BD3E8F"/>
    <w:rsid w:val="00BD4A47"/>
    <w:rsid w:val="00BD4A88"/>
    <w:rsid w:val="00BD5711"/>
    <w:rsid w:val="00BD5C9E"/>
    <w:rsid w:val="00BD72D8"/>
    <w:rsid w:val="00BD77F2"/>
    <w:rsid w:val="00BD7CAA"/>
    <w:rsid w:val="00BE3143"/>
    <w:rsid w:val="00BE3193"/>
    <w:rsid w:val="00BE3881"/>
    <w:rsid w:val="00BE411C"/>
    <w:rsid w:val="00BE44DA"/>
    <w:rsid w:val="00BE581C"/>
    <w:rsid w:val="00BE5BC9"/>
    <w:rsid w:val="00BE5DA9"/>
    <w:rsid w:val="00BE635B"/>
    <w:rsid w:val="00BE6382"/>
    <w:rsid w:val="00BE68BD"/>
    <w:rsid w:val="00BE7F3A"/>
    <w:rsid w:val="00BF0462"/>
    <w:rsid w:val="00BF20E1"/>
    <w:rsid w:val="00BF2804"/>
    <w:rsid w:val="00BF2DE8"/>
    <w:rsid w:val="00BF2FB3"/>
    <w:rsid w:val="00BF30FA"/>
    <w:rsid w:val="00BF3503"/>
    <w:rsid w:val="00BF358C"/>
    <w:rsid w:val="00BF3DEA"/>
    <w:rsid w:val="00BF3FF4"/>
    <w:rsid w:val="00BF4894"/>
    <w:rsid w:val="00BF4B6C"/>
    <w:rsid w:val="00BF52CB"/>
    <w:rsid w:val="00BF5E10"/>
    <w:rsid w:val="00BF688A"/>
    <w:rsid w:val="00BF6E42"/>
    <w:rsid w:val="00BF7173"/>
    <w:rsid w:val="00BF77A4"/>
    <w:rsid w:val="00BF7822"/>
    <w:rsid w:val="00C0061C"/>
    <w:rsid w:val="00C00937"/>
    <w:rsid w:val="00C00B87"/>
    <w:rsid w:val="00C011D9"/>
    <w:rsid w:val="00C0187F"/>
    <w:rsid w:val="00C01ADE"/>
    <w:rsid w:val="00C025F3"/>
    <w:rsid w:val="00C0356D"/>
    <w:rsid w:val="00C03DA3"/>
    <w:rsid w:val="00C0402B"/>
    <w:rsid w:val="00C040C0"/>
    <w:rsid w:val="00C042C0"/>
    <w:rsid w:val="00C042E0"/>
    <w:rsid w:val="00C04F3D"/>
    <w:rsid w:val="00C04FA4"/>
    <w:rsid w:val="00C05225"/>
    <w:rsid w:val="00C05343"/>
    <w:rsid w:val="00C0544E"/>
    <w:rsid w:val="00C06100"/>
    <w:rsid w:val="00C06346"/>
    <w:rsid w:val="00C06702"/>
    <w:rsid w:val="00C06952"/>
    <w:rsid w:val="00C071BA"/>
    <w:rsid w:val="00C07D64"/>
    <w:rsid w:val="00C11642"/>
    <w:rsid w:val="00C11D97"/>
    <w:rsid w:val="00C1276E"/>
    <w:rsid w:val="00C12D79"/>
    <w:rsid w:val="00C136BF"/>
    <w:rsid w:val="00C13D72"/>
    <w:rsid w:val="00C13EC2"/>
    <w:rsid w:val="00C1402A"/>
    <w:rsid w:val="00C1422F"/>
    <w:rsid w:val="00C14460"/>
    <w:rsid w:val="00C14852"/>
    <w:rsid w:val="00C1487F"/>
    <w:rsid w:val="00C1494B"/>
    <w:rsid w:val="00C155A7"/>
    <w:rsid w:val="00C15611"/>
    <w:rsid w:val="00C15E16"/>
    <w:rsid w:val="00C16646"/>
    <w:rsid w:val="00C17659"/>
    <w:rsid w:val="00C17BA1"/>
    <w:rsid w:val="00C17E78"/>
    <w:rsid w:val="00C20207"/>
    <w:rsid w:val="00C2087B"/>
    <w:rsid w:val="00C20AE3"/>
    <w:rsid w:val="00C20DEA"/>
    <w:rsid w:val="00C21622"/>
    <w:rsid w:val="00C21BA4"/>
    <w:rsid w:val="00C21CC0"/>
    <w:rsid w:val="00C22FC0"/>
    <w:rsid w:val="00C22FCB"/>
    <w:rsid w:val="00C230F4"/>
    <w:rsid w:val="00C234F5"/>
    <w:rsid w:val="00C2409C"/>
    <w:rsid w:val="00C24488"/>
    <w:rsid w:val="00C248C1"/>
    <w:rsid w:val="00C25262"/>
    <w:rsid w:val="00C25297"/>
    <w:rsid w:val="00C25521"/>
    <w:rsid w:val="00C257E8"/>
    <w:rsid w:val="00C26370"/>
    <w:rsid w:val="00C2649F"/>
    <w:rsid w:val="00C26BB3"/>
    <w:rsid w:val="00C26E03"/>
    <w:rsid w:val="00C27933"/>
    <w:rsid w:val="00C27CE4"/>
    <w:rsid w:val="00C30220"/>
    <w:rsid w:val="00C32C0D"/>
    <w:rsid w:val="00C32E91"/>
    <w:rsid w:val="00C337C3"/>
    <w:rsid w:val="00C33A43"/>
    <w:rsid w:val="00C35916"/>
    <w:rsid w:val="00C35EF4"/>
    <w:rsid w:val="00C37985"/>
    <w:rsid w:val="00C408BB"/>
    <w:rsid w:val="00C42AEE"/>
    <w:rsid w:val="00C432B4"/>
    <w:rsid w:val="00C4373A"/>
    <w:rsid w:val="00C43CF1"/>
    <w:rsid w:val="00C43EB2"/>
    <w:rsid w:val="00C4451E"/>
    <w:rsid w:val="00C45226"/>
    <w:rsid w:val="00C45631"/>
    <w:rsid w:val="00C45691"/>
    <w:rsid w:val="00C45745"/>
    <w:rsid w:val="00C45B26"/>
    <w:rsid w:val="00C45DAE"/>
    <w:rsid w:val="00C464A3"/>
    <w:rsid w:val="00C46F2E"/>
    <w:rsid w:val="00C47287"/>
    <w:rsid w:val="00C478C6"/>
    <w:rsid w:val="00C47B9D"/>
    <w:rsid w:val="00C509E1"/>
    <w:rsid w:val="00C510B7"/>
    <w:rsid w:val="00C529C6"/>
    <w:rsid w:val="00C52F4A"/>
    <w:rsid w:val="00C5301D"/>
    <w:rsid w:val="00C53546"/>
    <w:rsid w:val="00C53A7F"/>
    <w:rsid w:val="00C53ACB"/>
    <w:rsid w:val="00C546D1"/>
    <w:rsid w:val="00C5497E"/>
    <w:rsid w:val="00C55D28"/>
    <w:rsid w:val="00C55D7C"/>
    <w:rsid w:val="00C55F27"/>
    <w:rsid w:val="00C55F79"/>
    <w:rsid w:val="00C56398"/>
    <w:rsid w:val="00C57052"/>
    <w:rsid w:val="00C57145"/>
    <w:rsid w:val="00C57514"/>
    <w:rsid w:val="00C60473"/>
    <w:rsid w:val="00C60CDE"/>
    <w:rsid w:val="00C61442"/>
    <w:rsid w:val="00C61F80"/>
    <w:rsid w:val="00C6201D"/>
    <w:rsid w:val="00C62353"/>
    <w:rsid w:val="00C62D76"/>
    <w:rsid w:val="00C63467"/>
    <w:rsid w:val="00C6408A"/>
    <w:rsid w:val="00C6437E"/>
    <w:rsid w:val="00C643E9"/>
    <w:rsid w:val="00C64774"/>
    <w:rsid w:val="00C64A75"/>
    <w:rsid w:val="00C64C8C"/>
    <w:rsid w:val="00C65555"/>
    <w:rsid w:val="00C665A9"/>
    <w:rsid w:val="00C6663C"/>
    <w:rsid w:val="00C666AD"/>
    <w:rsid w:val="00C66A42"/>
    <w:rsid w:val="00C66FF4"/>
    <w:rsid w:val="00C676E0"/>
    <w:rsid w:val="00C67F2C"/>
    <w:rsid w:val="00C70120"/>
    <w:rsid w:val="00C70510"/>
    <w:rsid w:val="00C70BF7"/>
    <w:rsid w:val="00C7110F"/>
    <w:rsid w:val="00C717D8"/>
    <w:rsid w:val="00C72210"/>
    <w:rsid w:val="00C725F2"/>
    <w:rsid w:val="00C72AC7"/>
    <w:rsid w:val="00C74016"/>
    <w:rsid w:val="00C7453C"/>
    <w:rsid w:val="00C75A3F"/>
    <w:rsid w:val="00C75D2E"/>
    <w:rsid w:val="00C76760"/>
    <w:rsid w:val="00C76887"/>
    <w:rsid w:val="00C76EB7"/>
    <w:rsid w:val="00C770FC"/>
    <w:rsid w:val="00C77679"/>
    <w:rsid w:val="00C77B3F"/>
    <w:rsid w:val="00C77B69"/>
    <w:rsid w:val="00C80848"/>
    <w:rsid w:val="00C80905"/>
    <w:rsid w:val="00C80F5E"/>
    <w:rsid w:val="00C8114C"/>
    <w:rsid w:val="00C81C35"/>
    <w:rsid w:val="00C824EC"/>
    <w:rsid w:val="00C82F28"/>
    <w:rsid w:val="00C833D0"/>
    <w:rsid w:val="00C83523"/>
    <w:rsid w:val="00C83716"/>
    <w:rsid w:val="00C84A9B"/>
    <w:rsid w:val="00C84B2F"/>
    <w:rsid w:val="00C84D92"/>
    <w:rsid w:val="00C85774"/>
    <w:rsid w:val="00C8592A"/>
    <w:rsid w:val="00C85C0C"/>
    <w:rsid w:val="00C87A95"/>
    <w:rsid w:val="00C87D1E"/>
    <w:rsid w:val="00C90E6A"/>
    <w:rsid w:val="00C91309"/>
    <w:rsid w:val="00C91A41"/>
    <w:rsid w:val="00C91E9A"/>
    <w:rsid w:val="00C9256F"/>
    <w:rsid w:val="00C928E0"/>
    <w:rsid w:val="00C92B18"/>
    <w:rsid w:val="00C9338A"/>
    <w:rsid w:val="00C93D19"/>
    <w:rsid w:val="00C93E28"/>
    <w:rsid w:val="00C949B2"/>
    <w:rsid w:val="00C94A20"/>
    <w:rsid w:val="00C94D48"/>
    <w:rsid w:val="00C95127"/>
    <w:rsid w:val="00C95255"/>
    <w:rsid w:val="00C954EA"/>
    <w:rsid w:val="00C969D7"/>
    <w:rsid w:val="00C970B9"/>
    <w:rsid w:val="00CA0CA1"/>
    <w:rsid w:val="00CA171A"/>
    <w:rsid w:val="00CA1A8E"/>
    <w:rsid w:val="00CA3259"/>
    <w:rsid w:val="00CA360C"/>
    <w:rsid w:val="00CA36DF"/>
    <w:rsid w:val="00CA3FB1"/>
    <w:rsid w:val="00CA5DCE"/>
    <w:rsid w:val="00CA6424"/>
    <w:rsid w:val="00CA6AE6"/>
    <w:rsid w:val="00CA6D93"/>
    <w:rsid w:val="00CA6DB5"/>
    <w:rsid w:val="00CA7688"/>
    <w:rsid w:val="00CB0C88"/>
    <w:rsid w:val="00CB0EA4"/>
    <w:rsid w:val="00CB123A"/>
    <w:rsid w:val="00CB131D"/>
    <w:rsid w:val="00CB1976"/>
    <w:rsid w:val="00CB21E3"/>
    <w:rsid w:val="00CB3CB6"/>
    <w:rsid w:val="00CB41D1"/>
    <w:rsid w:val="00CB4791"/>
    <w:rsid w:val="00CB4F57"/>
    <w:rsid w:val="00CB5105"/>
    <w:rsid w:val="00CB51EA"/>
    <w:rsid w:val="00CB5C3F"/>
    <w:rsid w:val="00CB5EA7"/>
    <w:rsid w:val="00CB7239"/>
    <w:rsid w:val="00CB73B5"/>
    <w:rsid w:val="00CB748D"/>
    <w:rsid w:val="00CB787A"/>
    <w:rsid w:val="00CC0025"/>
    <w:rsid w:val="00CC00FE"/>
    <w:rsid w:val="00CC01D4"/>
    <w:rsid w:val="00CC07ED"/>
    <w:rsid w:val="00CC137C"/>
    <w:rsid w:val="00CC1520"/>
    <w:rsid w:val="00CC249D"/>
    <w:rsid w:val="00CC2B72"/>
    <w:rsid w:val="00CC2D94"/>
    <w:rsid w:val="00CC4A75"/>
    <w:rsid w:val="00CC6AA6"/>
    <w:rsid w:val="00CC6C01"/>
    <w:rsid w:val="00CC6CCD"/>
    <w:rsid w:val="00CC6CD1"/>
    <w:rsid w:val="00CC6D30"/>
    <w:rsid w:val="00CC6F60"/>
    <w:rsid w:val="00CC79C9"/>
    <w:rsid w:val="00CD04AE"/>
    <w:rsid w:val="00CD0B6C"/>
    <w:rsid w:val="00CD0CCA"/>
    <w:rsid w:val="00CD1283"/>
    <w:rsid w:val="00CD12FB"/>
    <w:rsid w:val="00CD2D77"/>
    <w:rsid w:val="00CD3358"/>
    <w:rsid w:val="00CD3C9B"/>
    <w:rsid w:val="00CD3E98"/>
    <w:rsid w:val="00CD3FC7"/>
    <w:rsid w:val="00CD4148"/>
    <w:rsid w:val="00CD418A"/>
    <w:rsid w:val="00CD476B"/>
    <w:rsid w:val="00CD5110"/>
    <w:rsid w:val="00CD516B"/>
    <w:rsid w:val="00CD5A6E"/>
    <w:rsid w:val="00CD60BE"/>
    <w:rsid w:val="00CD66C3"/>
    <w:rsid w:val="00CD6CAC"/>
    <w:rsid w:val="00CD6F71"/>
    <w:rsid w:val="00CD718C"/>
    <w:rsid w:val="00CD7615"/>
    <w:rsid w:val="00CE0013"/>
    <w:rsid w:val="00CE037B"/>
    <w:rsid w:val="00CE09ED"/>
    <w:rsid w:val="00CE0DE4"/>
    <w:rsid w:val="00CE12D1"/>
    <w:rsid w:val="00CE19E9"/>
    <w:rsid w:val="00CE2639"/>
    <w:rsid w:val="00CE290A"/>
    <w:rsid w:val="00CE2B8F"/>
    <w:rsid w:val="00CE318B"/>
    <w:rsid w:val="00CE43C0"/>
    <w:rsid w:val="00CE44BA"/>
    <w:rsid w:val="00CE46FF"/>
    <w:rsid w:val="00CE482A"/>
    <w:rsid w:val="00CE4840"/>
    <w:rsid w:val="00CE4BC2"/>
    <w:rsid w:val="00CE4EA5"/>
    <w:rsid w:val="00CE5551"/>
    <w:rsid w:val="00CE5B6B"/>
    <w:rsid w:val="00CE5C04"/>
    <w:rsid w:val="00CE6196"/>
    <w:rsid w:val="00CE68BF"/>
    <w:rsid w:val="00CE7195"/>
    <w:rsid w:val="00CE7A49"/>
    <w:rsid w:val="00CE7B09"/>
    <w:rsid w:val="00CE7E43"/>
    <w:rsid w:val="00CF0382"/>
    <w:rsid w:val="00CF04CD"/>
    <w:rsid w:val="00CF07D9"/>
    <w:rsid w:val="00CF0990"/>
    <w:rsid w:val="00CF0DE8"/>
    <w:rsid w:val="00CF16E1"/>
    <w:rsid w:val="00CF2F02"/>
    <w:rsid w:val="00CF369B"/>
    <w:rsid w:val="00CF3CDA"/>
    <w:rsid w:val="00CF3D50"/>
    <w:rsid w:val="00CF41D0"/>
    <w:rsid w:val="00CF5926"/>
    <w:rsid w:val="00CF60F3"/>
    <w:rsid w:val="00CF64F8"/>
    <w:rsid w:val="00CF6524"/>
    <w:rsid w:val="00CF6593"/>
    <w:rsid w:val="00CF6AA3"/>
    <w:rsid w:val="00CF6C13"/>
    <w:rsid w:val="00CF73A4"/>
    <w:rsid w:val="00CF765E"/>
    <w:rsid w:val="00CF7782"/>
    <w:rsid w:val="00CF7A35"/>
    <w:rsid w:val="00D008AD"/>
    <w:rsid w:val="00D013B6"/>
    <w:rsid w:val="00D019F2"/>
    <w:rsid w:val="00D01E9C"/>
    <w:rsid w:val="00D020F8"/>
    <w:rsid w:val="00D024F6"/>
    <w:rsid w:val="00D02601"/>
    <w:rsid w:val="00D02B68"/>
    <w:rsid w:val="00D0343F"/>
    <w:rsid w:val="00D03DBD"/>
    <w:rsid w:val="00D03F15"/>
    <w:rsid w:val="00D0427D"/>
    <w:rsid w:val="00D04320"/>
    <w:rsid w:val="00D044FE"/>
    <w:rsid w:val="00D04773"/>
    <w:rsid w:val="00D04933"/>
    <w:rsid w:val="00D04C55"/>
    <w:rsid w:val="00D050A1"/>
    <w:rsid w:val="00D050B3"/>
    <w:rsid w:val="00D0619D"/>
    <w:rsid w:val="00D06FF3"/>
    <w:rsid w:val="00D10270"/>
    <w:rsid w:val="00D11995"/>
    <w:rsid w:val="00D11E8E"/>
    <w:rsid w:val="00D123A3"/>
    <w:rsid w:val="00D1254E"/>
    <w:rsid w:val="00D12B72"/>
    <w:rsid w:val="00D12BB7"/>
    <w:rsid w:val="00D133FE"/>
    <w:rsid w:val="00D13746"/>
    <w:rsid w:val="00D14151"/>
    <w:rsid w:val="00D14419"/>
    <w:rsid w:val="00D1462E"/>
    <w:rsid w:val="00D14769"/>
    <w:rsid w:val="00D148A6"/>
    <w:rsid w:val="00D149AE"/>
    <w:rsid w:val="00D14CDB"/>
    <w:rsid w:val="00D14F73"/>
    <w:rsid w:val="00D15CCA"/>
    <w:rsid w:val="00D15E7A"/>
    <w:rsid w:val="00D15F71"/>
    <w:rsid w:val="00D166FB"/>
    <w:rsid w:val="00D177A5"/>
    <w:rsid w:val="00D17B62"/>
    <w:rsid w:val="00D216DA"/>
    <w:rsid w:val="00D21AE0"/>
    <w:rsid w:val="00D21B7A"/>
    <w:rsid w:val="00D222CF"/>
    <w:rsid w:val="00D22DF8"/>
    <w:rsid w:val="00D2307F"/>
    <w:rsid w:val="00D23228"/>
    <w:rsid w:val="00D239BE"/>
    <w:rsid w:val="00D23D88"/>
    <w:rsid w:val="00D2409C"/>
    <w:rsid w:val="00D245D0"/>
    <w:rsid w:val="00D24808"/>
    <w:rsid w:val="00D24F24"/>
    <w:rsid w:val="00D255CE"/>
    <w:rsid w:val="00D256BC"/>
    <w:rsid w:val="00D2590F"/>
    <w:rsid w:val="00D25945"/>
    <w:rsid w:val="00D25AB3"/>
    <w:rsid w:val="00D25B11"/>
    <w:rsid w:val="00D27058"/>
    <w:rsid w:val="00D270EB"/>
    <w:rsid w:val="00D275B4"/>
    <w:rsid w:val="00D27B5A"/>
    <w:rsid w:val="00D27DD9"/>
    <w:rsid w:val="00D30FC7"/>
    <w:rsid w:val="00D3137D"/>
    <w:rsid w:val="00D313BA"/>
    <w:rsid w:val="00D31A33"/>
    <w:rsid w:val="00D31ED6"/>
    <w:rsid w:val="00D32532"/>
    <w:rsid w:val="00D32AE2"/>
    <w:rsid w:val="00D32F05"/>
    <w:rsid w:val="00D339F2"/>
    <w:rsid w:val="00D33AF3"/>
    <w:rsid w:val="00D33F64"/>
    <w:rsid w:val="00D34512"/>
    <w:rsid w:val="00D34E72"/>
    <w:rsid w:val="00D366DF"/>
    <w:rsid w:val="00D36793"/>
    <w:rsid w:val="00D3685A"/>
    <w:rsid w:val="00D36F7A"/>
    <w:rsid w:val="00D37F0D"/>
    <w:rsid w:val="00D4083B"/>
    <w:rsid w:val="00D41310"/>
    <w:rsid w:val="00D41A6A"/>
    <w:rsid w:val="00D41DE1"/>
    <w:rsid w:val="00D42E24"/>
    <w:rsid w:val="00D43038"/>
    <w:rsid w:val="00D430CC"/>
    <w:rsid w:val="00D43B93"/>
    <w:rsid w:val="00D441E0"/>
    <w:rsid w:val="00D44581"/>
    <w:rsid w:val="00D44B3F"/>
    <w:rsid w:val="00D467C6"/>
    <w:rsid w:val="00D46883"/>
    <w:rsid w:val="00D46B25"/>
    <w:rsid w:val="00D46F5E"/>
    <w:rsid w:val="00D47AD1"/>
    <w:rsid w:val="00D47D86"/>
    <w:rsid w:val="00D47F0E"/>
    <w:rsid w:val="00D503DD"/>
    <w:rsid w:val="00D50822"/>
    <w:rsid w:val="00D511AF"/>
    <w:rsid w:val="00D513F3"/>
    <w:rsid w:val="00D51784"/>
    <w:rsid w:val="00D519E8"/>
    <w:rsid w:val="00D51B30"/>
    <w:rsid w:val="00D51DA5"/>
    <w:rsid w:val="00D52BF1"/>
    <w:rsid w:val="00D52C2B"/>
    <w:rsid w:val="00D539EE"/>
    <w:rsid w:val="00D53D8D"/>
    <w:rsid w:val="00D54007"/>
    <w:rsid w:val="00D54245"/>
    <w:rsid w:val="00D543AE"/>
    <w:rsid w:val="00D5466C"/>
    <w:rsid w:val="00D554D6"/>
    <w:rsid w:val="00D55582"/>
    <w:rsid w:val="00D55F59"/>
    <w:rsid w:val="00D568A3"/>
    <w:rsid w:val="00D57D68"/>
    <w:rsid w:val="00D60117"/>
    <w:rsid w:val="00D60170"/>
    <w:rsid w:val="00D60554"/>
    <w:rsid w:val="00D608CB"/>
    <w:rsid w:val="00D61345"/>
    <w:rsid w:val="00D61E59"/>
    <w:rsid w:val="00D62C94"/>
    <w:rsid w:val="00D62D5A"/>
    <w:rsid w:val="00D62E38"/>
    <w:rsid w:val="00D63A72"/>
    <w:rsid w:val="00D63E33"/>
    <w:rsid w:val="00D64595"/>
    <w:rsid w:val="00D64D46"/>
    <w:rsid w:val="00D64DED"/>
    <w:rsid w:val="00D65EF5"/>
    <w:rsid w:val="00D66119"/>
    <w:rsid w:val="00D663FE"/>
    <w:rsid w:val="00D66900"/>
    <w:rsid w:val="00D674AA"/>
    <w:rsid w:val="00D703DE"/>
    <w:rsid w:val="00D7166A"/>
    <w:rsid w:val="00D718A9"/>
    <w:rsid w:val="00D719D3"/>
    <w:rsid w:val="00D71A86"/>
    <w:rsid w:val="00D71B6A"/>
    <w:rsid w:val="00D71EFA"/>
    <w:rsid w:val="00D72A1E"/>
    <w:rsid w:val="00D72E32"/>
    <w:rsid w:val="00D7380D"/>
    <w:rsid w:val="00D749E7"/>
    <w:rsid w:val="00D74FC0"/>
    <w:rsid w:val="00D750C3"/>
    <w:rsid w:val="00D75231"/>
    <w:rsid w:val="00D75918"/>
    <w:rsid w:val="00D75DE0"/>
    <w:rsid w:val="00D7623A"/>
    <w:rsid w:val="00D764FE"/>
    <w:rsid w:val="00D7735A"/>
    <w:rsid w:val="00D777B8"/>
    <w:rsid w:val="00D80690"/>
    <w:rsid w:val="00D807F5"/>
    <w:rsid w:val="00D812BE"/>
    <w:rsid w:val="00D81942"/>
    <w:rsid w:val="00D81F8B"/>
    <w:rsid w:val="00D81FA7"/>
    <w:rsid w:val="00D82102"/>
    <w:rsid w:val="00D821C2"/>
    <w:rsid w:val="00D82430"/>
    <w:rsid w:val="00D82CDE"/>
    <w:rsid w:val="00D83DF3"/>
    <w:rsid w:val="00D85145"/>
    <w:rsid w:val="00D85257"/>
    <w:rsid w:val="00D85918"/>
    <w:rsid w:val="00D85956"/>
    <w:rsid w:val="00D85D04"/>
    <w:rsid w:val="00D85EAB"/>
    <w:rsid w:val="00D86516"/>
    <w:rsid w:val="00D867AB"/>
    <w:rsid w:val="00D86A7B"/>
    <w:rsid w:val="00D86FF5"/>
    <w:rsid w:val="00D87FDA"/>
    <w:rsid w:val="00D90A27"/>
    <w:rsid w:val="00D90D35"/>
    <w:rsid w:val="00D914B0"/>
    <w:rsid w:val="00D91636"/>
    <w:rsid w:val="00D9207F"/>
    <w:rsid w:val="00D92200"/>
    <w:rsid w:val="00D92846"/>
    <w:rsid w:val="00D92D54"/>
    <w:rsid w:val="00D9386D"/>
    <w:rsid w:val="00D939CE"/>
    <w:rsid w:val="00D93AA7"/>
    <w:rsid w:val="00D93FBE"/>
    <w:rsid w:val="00D9442C"/>
    <w:rsid w:val="00D9451D"/>
    <w:rsid w:val="00D948DE"/>
    <w:rsid w:val="00D952CD"/>
    <w:rsid w:val="00D95F25"/>
    <w:rsid w:val="00D95FC9"/>
    <w:rsid w:val="00D9644A"/>
    <w:rsid w:val="00D97F2D"/>
    <w:rsid w:val="00D97F99"/>
    <w:rsid w:val="00DA00C0"/>
    <w:rsid w:val="00DA05FC"/>
    <w:rsid w:val="00DA08E6"/>
    <w:rsid w:val="00DA0981"/>
    <w:rsid w:val="00DA1699"/>
    <w:rsid w:val="00DA1762"/>
    <w:rsid w:val="00DA1F2C"/>
    <w:rsid w:val="00DA2A19"/>
    <w:rsid w:val="00DA2E56"/>
    <w:rsid w:val="00DA31E0"/>
    <w:rsid w:val="00DA3496"/>
    <w:rsid w:val="00DA3C32"/>
    <w:rsid w:val="00DA43C9"/>
    <w:rsid w:val="00DA5430"/>
    <w:rsid w:val="00DA5E02"/>
    <w:rsid w:val="00DA63C5"/>
    <w:rsid w:val="00DA66B7"/>
    <w:rsid w:val="00DA6F5C"/>
    <w:rsid w:val="00DB081A"/>
    <w:rsid w:val="00DB0A95"/>
    <w:rsid w:val="00DB0AA2"/>
    <w:rsid w:val="00DB1315"/>
    <w:rsid w:val="00DB182A"/>
    <w:rsid w:val="00DB1846"/>
    <w:rsid w:val="00DB2C49"/>
    <w:rsid w:val="00DB2CAF"/>
    <w:rsid w:val="00DB34CD"/>
    <w:rsid w:val="00DB3513"/>
    <w:rsid w:val="00DB48AA"/>
    <w:rsid w:val="00DB4C79"/>
    <w:rsid w:val="00DB5042"/>
    <w:rsid w:val="00DB565E"/>
    <w:rsid w:val="00DB57FA"/>
    <w:rsid w:val="00DB581F"/>
    <w:rsid w:val="00DB5A4A"/>
    <w:rsid w:val="00DB6463"/>
    <w:rsid w:val="00DB650A"/>
    <w:rsid w:val="00DB6722"/>
    <w:rsid w:val="00DB6D1A"/>
    <w:rsid w:val="00DB6D78"/>
    <w:rsid w:val="00DB789E"/>
    <w:rsid w:val="00DB7A26"/>
    <w:rsid w:val="00DC06DC"/>
    <w:rsid w:val="00DC1251"/>
    <w:rsid w:val="00DC162C"/>
    <w:rsid w:val="00DC2237"/>
    <w:rsid w:val="00DC2C2F"/>
    <w:rsid w:val="00DC309E"/>
    <w:rsid w:val="00DC3A15"/>
    <w:rsid w:val="00DC3B59"/>
    <w:rsid w:val="00DC44A2"/>
    <w:rsid w:val="00DC46BC"/>
    <w:rsid w:val="00DC47F3"/>
    <w:rsid w:val="00DC4A0D"/>
    <w:rsid w:val="00DC4C09"/>
    <w:rsid w:val="00DC4DED"/>
    <w:rsid w:val="00DC52ED"/>
    <w:rsid w:val="00DC56DA"/>
    <w:rsid w:val="00DC5BEB"/>
    <w:rsid w:val="00DC6099"/>
    <w:rsid w:val="00DC74AB"/>
    <w:rsid w:val="00DC7D13"/>
    <w:rsid w:val="00DC7EC1"/>
    <w:rsid w:val="00DD13A2"/>
    <w:rsid w:val="00DD1852"/>
    <w:rsid w:val="00DD1DE3"/>
    <w:rsid w:val="00DD1F38"/>
    <w:rsid w:val="00DD23DF"/>
    <w:rsid w:val="00DD2727"/>
    <w:rsid w:val="00DD28F4"/>
    <w:rsid w:val="00DD3604"/>
    <w:rsid w:val="00DD39AC"/>
    <w:rsid w:val="00DD40A4"/>
    <w:rsid w:val="00DD4432"/>
    <w:rsid w:val="00DD4E3D"/>
    <w:rsid w:val="00DD4E9E"/>
    <w:rsid w:val="00DD58C3"/>
    <w:rsid w:val="00DD6655"/>
    <w:rsid w:val="00DD6CB7"/>
    <w:rsid w:val="00DD702F"/>
    <w:rsid w:val="00DE019E"/>
    <w:rsid w:val="00DE2A0D"/>
    <w:rsid w:val="00DE2AEE"/>
    <w:rsid w:val="00DE350A"/>
    <w:rsid w:val="00DE35F8"/>
    <w:rsid w:val="00DE3FBF"/>
    <w:rsid w:val="00DE422D"/>
    <w:rsid w:val="00DE6073"/>
    <w:rsid w:val="00DE64A5"/>
    <w:rsid w:val="00DE6C20"/>
    <w:rsid w:val="00DE6CE1"/>
    <w:rsid w:val="00DE6D8A"/>
    <w:rsid w:val="00DE6E53"/>
    <w:rsid w:val="00DE6EBD"/>
    <w:rsid w:val="00DE6F91"/>
    <w:rsid w:val="00DE6FFA"/>
    <w:rsid w:val="00DE76D0"/>
    <w:rsid w:val="00DE7AED"/>
    <w:rsid w:val="00DE7E33"/>
    <w:rsid w:val="00DE7EDD"/>
    <w:rsid w:val="00DF00DB"/>
    <w:rsid w:val="00DF0392"/>
    <w:rsid w:val="00DF0578"/>
    <w:rsid w:val="00DF07BE"/>
    <w:rsid w:val="00DF2288"/>
    <w:rsid w:val="00DF22CA"/>
    <w:rsid w:val="00DF3068"/>
    <w:rsid w:val="00DF347F"/>
    <w:rsid w:val="00DF357E"/>
    <w:rsid w:val="00DF3F42"/>
    <w:rsid w:val="00DF4DB6"/>
    <w:rsid w:val="00DF53EA"/>
    <w:rsid w:val="00DF5B14"/>
    <w:rsid w:val="00DF5D0C"/>
    <w:rsid w:val="00DF5F62"/>
    <w:rsid w:val="00DF647C"/>
    <w:rsid w:val="00DF6529"/>
    <w:rsid w:val="00DF6735"/>
    <w:rsid w:val="00DF6F44"/>
    <w:rsid w:val="00DF725B"/>
    <w:rsid w:val="00DF759D"/>
    <w:rsid w:val="00E0034B"/>
    <w:rsid w:val="00E00957"/>
    <w:rsid w:val="00E00CB6"/>
    <w:rsid w:val="00E010C4"/>
    <w:rsid w:val="00E01457"/>
    <w:rsid w:val="00E020D6"/>
    <w:rsid w:val="00E031EF"/>
    <w:rsid w:val="00E03D91"/>
    <w:rsid w:val="00E04533"/>
    <w:rsid w:val="00E053F7"/>
    <w:rsid w:val="00E05405"/>
    <w:rsid w:val="00E06E59"/>
    <w:rsid w:val="00E06EBD"/>
    <w:rsid w:val="00E079FE"/>
    <w:rsid w:val="00E07A54"/>
    <w:rsid w:val="00E10923"/>
    <w:rsid w:val="00E10A80"/>
    <w:rsid w:val="00E11119"/>
    <w:rsid w:val="00E1142A"/>
    <w:rsid w:val="00E11935"/>
    <w:rsid w:val="00E133B9"/>
    <w:rsid w:val="00E133BB"/>
    <w:rsid w:val="00E1351B"/>
    <w:rsid w:val="00E14261"/>
    <w:rsid w:val="00E14AD2"/>
    <w:rsid w:val="00E153EE"/>
    <w:rsid w:val="00E15CA9"/>
    <w:rsid w:val="00E164D9"/>
    <w:rsid w:val="00E1707A"/>
    <w:rsid w:val="00E17139"/>
    <w:rsid w:val="00E17A59"/>
    <w:rsid w:val="00E17D02"/>
    <w:rsid w:val="00E17D90"/>
    <w:rsid w:val="00E202D7"/>
    <w:rsid w:val="00E203EE"/>
    <w:rsid w:val="00E20A2E"/>
    <w:rsid w:val="00E21268"/>
    <w:rsid w:val="00E2186A"/>
    <w:rsid w:val="00E218B3"/>
    <w:rsid w:val="00E21EB9"/>
    <w:rsid w:val="00E22945"/>
    <w:rsid w:val="00E2336E"/>
    <w:rsid w:val="00E236FB"/>
    <w:rsid w:val="00E23949"/>
    <w:rsid w:val="00E24AA1"/>
    <w:rsid w:val="00E24AEC"/>
    <w:rsid w:val="00E25092"/>
    <w:rsid w:val="00E25DB1"/>
    <w:rsid w:val="00E25EAC"/>
    <w:rsid w:val="00E26366"/>
    <w:rsid w:val="00E266E2"/>
    <w:rsid w:val="00E26B56"/>
    <w:rsid w:val="00E27761"/>
    <w:rsid w:val="00E27D54"/>
    <w:rsid w:val="00E30081"/>
    <w:rsid w:val="00E30485"/>
    <w:rsid w:val="00E305CB"/>
    <w:rsid w:val="00E30828"/>
    <w:rsid w:val="00E30A2A"/>
    <w:rsid w:val="00E30B3B"/>
    <w:rsid w:val="00E323B0"/>
    <w:rsid w:val="00E326A0"/>
    <w:rsid w:val="00E326A8"/>
    <w:rsid w:val="00E32EF5"/>
    <w:rsid w:val="00E34243"/>
    <w:rsid w:val="00E3483C"/>
    <w:rsid w:val="00E349BC"/>
    <w:rsid w:val="00E34AAA"/>
    <w:rsid w:val="00E3535D"/>
    <w:rsid w:val="00E35497"/>
    <w:rsid w:val="00E357DB"/>
    <w:rsid w:val="00E35B56"/>
    <w:rsid w:val="00E35BFD"/>
    <w:rsid w:val="00E36569"/>
    <w:rsid w:val="00E36DEE"/>
    <w:rsid w:val="00E36FD2"/>
    <w:rsid w:val="00E373B3"/>
    <w:rsid w:val="00E40462"/>
    <w:rsid w:val="00E4053F"/>
    <w:rsid w:val="00E4061F"/>
    <w:rsid w:val="00E416DA"/>
    <w:rsid w:val="00E419DC"/>
    <w:rsid w:val="00E41AB0"/>
    <w:rsid w:val="00E427FE"/>
    <w:rsid w:val="00E42AD7"/>
    <w:rsid w:val="00E42EB6"/>
    <w:rsid w:val="00E431FD"/>
    <w:rsid w:val="00E43AAD"/>
    <w:rsid w:val="00E446B6"/>
    <w:rsid w:val="00E451E1"/>
    <w:rsid w:val="00E454D1"/>
    <w:rsid w:val="00E4576F"/>
    <w:rsid w:val="00E45A93"/>
    <w:rsid w:val="00E45BA9"/>
    <w:rsid w:val="00E45E2B"/>
    <w:rsid w:val="00E461EC"/>
    <w:rsid w:val="00E46A48"/>
    <w:rsid w:val="00E50407"/>
    <w:rsid w:val="00E50554"/>
    <w:rsid w:val="00E511DC"/>
    <w:rsid w:val="00E51277"/>
    <w:rsid w:val="00E512C7"/>
    <w:rsid w:val="00E5156D"/>
    <w:rsid w:val="00E51F67"/>
    <w:rsid w:val="00E51FBE"/>
    <w:rsid w:val="00E520BB"/>
    <w:rsid w:val="00E52645"/>
    <w:rsid w:val="00E52F92"/>
    <w:rsid w:val="00E53B78"/>
    <w:rsid w:val="00E53C1F"/>
    <w:rsid w:val="00E5437A"/>
    <w:rsid w:val="00E5443C"/>
    <w:rsid w:val="00E5471A"/>
    <w:rsid w:val="00E5569C"/>
    <w:rsid w:val="00E55941"/>
    <w:rsid w:val="00E55D39"/>
    <w:rsid w:val="00E561E1"/>
    <w:rsid w:val="00E5717C"/>
    <w:rsid w:val="00E57971"/>
    <w:rsid w:val="00E57E71"/>
    <w:rsid w:val="00E601C1"/>
    <w:rsid w:val="00E60C04"/>
    <w:rsid w:val="00E6113C"/>
    <w:rsid w:val="00E61650"/>
    <w:rsid w:val="00E62195"/>
    <w:rsid w:val="00E6328C"/>
    <w:rsid w:val="00E6329C"/>
    <w:rsid w:val="00E65FAD"/>
    <w:rsid w:val="00E66CC2"/>
    <w:rsid w:val="00E66EC6"/>
    <w:rsid w:val="00E67F6B"/>
    <w:rsid w:val="00E700E3"/>
    <w:rsid w:val="00E701E6"/>
    <w:rsid w:val="00E70343"/>
    <w:rsid w:val="00E7079B"/>
    <w:rsid w:val="00E70B3F"/>
    <w:rsid w:val="00E70E66"/>
    <w:rsid w:val="00E72266"/>
    <w:rsid w:val="00E72713"/>
    <w:rsid w:val="00E72828"/>
    <w:rsid w:val="00E72862"/>
    <w:rsid w:val="00E73690"/>
    <w:rsid w:val="00E75EE6"/>
    <w:rsid w:val="00E75F0E"/>
    <w:rsid w:val="00E76440"/>
    <w:rsid w:val="00E76ECB"/>
    <w:rsid w:val="00E772C7"/>
    <w:rsid w:val="00E7751B"/>
    <w:rsid w:val="00E776C5"/>
    <w:rsid w:val="00E779FE"/>
    <w:rsid w:val="00E77AF3"/>
    <w:rsid w:val="00E77CF0"/>
    <w:rsid w:val="00E80051"/>
    <w:rsid w:val="00E80886"/>
    <w:rsid w:val="00E817EE"/>
    <w:rsid w:val="00E81D70"/>
    <w:rsid w:val="00E81F2D"/>
    <w:rsid w:val="00E821C1"/>
    <w:rsid w:val="00E82660"/>
    <w:rsid w:val="00E834FB"/>
    <w:rsid w:val="00E835D0"/>
    <w:rsid w:val="00E83C82"/>
    <w:rsid w:val="00E84A68"/>
    <w:rsid w:val="00E850AC"/>
    <w:rsid w:val="00E85167"/>
    <w:rsid w:val="00E858FB"/>
    <w:rsid w:val="00E85F4C"/>
    <w:rsid w:val="00E86128"/>
    <w:rsid w:val="00E86191"/>
    <w:rsid w:val="00E8653F"/>
    <w:rsid w:val="00E8681A"/>
    <w:rsid w:val="00E87275"/>
    <w:rsid w:val="00E87897"/>
    <w:rsid w:val="00E8791D"/>
    <w:rsid w:val="00E9035E"/>
    <w:rsid w:val="00E907BB"/>
    <w:rsid w:val="00E910C1"/>
    <w:rsid w:val="00E91906"/>
    <w:rsid w:val="00E91D7A"/>
    <w:rsid w:val="00E92E7C"/>
    <w:rsid w:val="00E934D7"/>
    <w:rsid w:val="00E93DEB"/>
    <w:rsid w:val="00E93FD9"/>
    <w:rsid w:val="00E94280"/>
    <w:rsid w:val="00E9473B"/>
    <w:rsid w:val="00E94853"/>
    <w:rsid w:val="00E94A81"/>
    <w:rsid w:val="00E95380"/>
    <w:rsid w:val="00E957AA"/>
    <w:rsid w:val="00E95A4D"/>
    <w:rsid w:val="00E95CC7"/>
    <w:rsid w:val="00E95EB2"/>
    <w:rsid w:val="00E96163"/>
    <w:rsid w:val="00E9679E"/>
    <w:rsid w:val="00E96D0A"/>
    <w:rsid w:val="00E971F0"/>
    <w:rsid w:val="00E9791D"/>
    <w:rsid w:val="00E97E77"/>
    <w:rsid w:val="00EA0440"/>
    <w:rsid w:val="00EA0F09"/>
    <w:rsid w:val="00EA1377"/>
    <w:rsid w:val="00EA1A69"/>
    <w:rsid w:val="00EA1D81"/>
    <w:rsid w:val="00EA2975"/>
    <w:rsid w:val="00EA2F82"/>
    <w:rsid w:val="00EA41DF"/>
    <w:rsid w:val="00EA42C0"/>
    <w:rsid w:val="00EA4616"/>
    <w:rsid w:val="00EA47B1"/>
    <w:rsid w:val="00EA4990"/>
    <w:rsid w:val="00EA4C8D"/>
    <w:rsid w:val="00EA5B19"/>
    <w:rsid w:val="00EA5C8A"/>
    <w:rsid w:val="00EA5F56"/>
    <w:rsid w:val="00EA5FFC"/>
    <w:rsid w:val="00EA662D"/>
    <w:rsid w:val="00EA6B99"/>
    <w:rsid w:val="00EA7632"/>
    <w:rsid w:val="00EB035D"/>
    <w:rsid w:val="00EB0835"/>
    <w:rsid w:val="00EB11F0"/>
    <w:rsid w:val="00EB1FE1"/>
    <w:rsid w:val="00EB2A2B"/>
    <w:rsid w:val="00EB3891"/>
    <w:rsid w:val="00EB3CB2"/>
    <w:rsid w:val="00EB3FDB"/>
    <w:rsid w:val="00EB4916"/>
    <w:rsid w:val="00EB4C1C"/>
    <w:rsid w:val="00EB5A2C"/>
    <w:rsid w:val="00EB6F87"/>
    <w:rsid w:val="00EB7327"/>
    <w:rsid w:val="00EB7A14"/>
    <w:rsid w:val="00EB7B6F"/>
    <w:rsid w:val="00EC0651"/>
    <w:rsid w:val="00EC1255"/>
    <w:rsid w:val="00EC159A"/>
    <w:rsid w:val="00EC17C9"/>
    <w:rsid w:val="00EC1BE4"/>
    <w:rsid w:val="00EC1C0E"/>
    <w:rsid w:val="00EC367B"/>
    <w:rsid w:val="00EC5742"/>
    <w:rsid w:val="00EC5BEE"/>
    <w:rsid w:val="00EC616B"/>
    <w:rsid w:val="00EC7A89"/>
    <w:rsid w:val="00ED03D7"/>
    <w:rsid w:val="00ED2B65"/>
    <w:rsid w:val="00ED2FE6"/>
    <w:rsid w:val="00ED3016"/>
    <w:rsid w:val="00ED443B"/>
    <w:rsid w:val="00ED4F5F"/>
    <w:rsid w:val="00ED5323"/>
    <w:rsid w:val="00ED58AC"/>
    <w:rsid w:val="00ED5E39"/>
    <w:rsid w:val="00ED5F66"/>
    <w:rsid w:val="00ED60C7"/>
    <w:rsid w:val="00ED6A94"/>
    <w:rsid w:val="00EE074F"/>
    <w:rsid w:val="00EE0C12"/>
    <w:rsid w:val="00EE1168"/>
    <w:rsid w:val="00EE1299"/>
    <w:rsid w:val="00EE1390"/>
    <w:rsid w:val="00EE155E"/>
    <w:rsid w:val="00EE1569"/>
    <w:rsid w:val="00EE1642"/>
    <w:rsid w:val="00EE1D6D"/>
    <w:rsid w:val="00EE2688"/>
    <w:rsid w:val="00EE2FC2"/>
    <w:rsid w:val="00EE30B7"/>
    <w:rsid w:val="00EE325F"/>
    <w:rsid w:val="00EE4582"/>
    <w:rsid w:val="00EE4A5E"/>
    <w:rsid w:val="00EE4FB5"/>
    <w:rsid w:val="00EE582B"/>
    <w:rsid w:val="00EE58E4"/>
    <w:rsid w:val="00EE70A5"/>
    <w:rsid w:val="00EF0E5B"/>
    <w:rsid w:val="00EF0F31"/>
    <w:rsid w:val="00EF0FF0"/>
    <w:rsid w:val="00EF121C"/>
    <w:rsid w:val="00EF1E4D"/>
    <w:rsid w:val="00EF2C56"/>
    <w:rsid w:val="00EF2F6A"/>
    <w:rsid w:val="00EF30E3"/>
    <w:rsid w:val="00EF3409"/>
    <w:rsid w:val="00EF4056"/>
    <w:rsid w:val="00EF4371"/>
    <w:rsid w:val="00EF601B"/>
    <w:rsid w:val="00EF6722"/>
    <w:rsid w:val="00EF68AC"/>
    <w:rsid w:val="00EF6A05"/>
    <w:rsid w:val="00EF6A66"/>
    <w:rsid w:val="00EF6DB8"/>
    <w:rsid w:val="00F00C56"/>
    <w:rsid w:val="00F011F9"/>
    <w:rsid w:val="00F01385"/>
    <w:rsid w:val="00F01A6E"/>
    <w:rsid w:val="00F01B6D"/>
    <w:rsid w:val="00F021E5"/>
    <w:rsid w:val="00F027F5"/>
    <w:rsid w:val="00F03030"/>
    <w:rsid w:val="00F03AF1"/>
    <w:rsid w:val="00F03B27"/>
    <w:rsid w:val="00F03C1A"/>
    <w:rsid w:val="00F042A1"/>
    <w:rsid w:val="00F04C67"/>
    <w:rsid w:val="00F04F5F"/>
    <w:rsid w:val="00F06297"/>
    <w:rsid w:val="00F06324"/>
    <w:rsid w:val="00F06F43"/>
    <w:rsid w:val="00F074A6"/>
    <w:rsid w:val="00F075D6"/>
    <w:rsid w:val="00F07A35"/>
    <w:rsid w:val="00F07DF7"/>
    <w:rsid w:val="00F07F76"/>
    <w:rsid w:val="00F100EB"/>
    <w:rsid w:val="00F1098A"/>
    <w:rsid w:val="00F1208E"/>
    <w:rsid w:val="00F128F6"/>
    <w:rsid w:val="00F12DB6"/>
    <w:rsid w:val="00F13975"/>
    <w:rsid w:val="00F13A90"/>
    <w:rsid w:val="00F14225"/>
    <w:rsid w:val="00F1524E"/>
    <w:rsid w:val="00F15961"/>
    <w:rsid w:val="00F15C09"/>
    <w:rsid w:val="00F15CD1"/>
    <w:rsid w:val="00F16281"/>
    <w:rsid w:val="00F16A4C"/>
    <w:rsid w:val="00F16C15"/>
    <w:rsid w:val="00F1700C"/>
    <w:rsid w:val="00F17EC9"/>
    <w:rsid w:val="00F209F8"/>
    <w:rsid w:val="00F20C9F"/>
    <w:rsid w:val="00F210F6"/>
    <w:rsid w:val="00F21104"/>
    <w:rsid w:val="00F21533"/>
    <w:rsid w:val="00F215AB"/>
    <w:rsid w:val="00F21E54"/>
    <w:rsid w:val="00F22802"/>
    <w:rsid w:val="00F2298E"/>
    <w:rsid w:val="00F229B2"/>
    <w:rsid w:val="00F22F58"/>
    <w:rsid w:val="00F2355C"/>
    <w:rsid w:val="00F254C2"/>
    <w:rsid w:val="00F25623"/>
    <w:rsid w:val="00F2594A"/>
    <w:rsid w:val="00F26763"/>
    <w:rsid w:val="00F26C5F"/>
    <w:rsid w:val="00F27215"/>
    <w:rsid w:val="00F27218"/>
    <w:rsid w:val="00F27359"/>
    <w:rsid w:val="00F278DC"/>
    <w:rsid w:val="00F309FE"/>
    <w:rsid w:val="00F3129C"/>
    <w:rsid w:val="00F31727"/>
    <w:rsid w:val="00F32D0F"/>
    <w:rsid w:val="00F33348"/>
    <w:rsid w:val="00F33BE5"/>
    <w:rsid w:val="00F35353"/>
    <w:rsid w:val="00F35A8E"/>
    <w:rsid w:val="00F35D56"/>
    <w:rsid w:val="00F35DDA"/>
    <w:rsid w:val="00F3685C"/>
    <w:rsid w:val="00F36F2A"/>
    <w:rsid w:val="00F36F9D"/>
    <w:rsid w:val="00F373C8"/>
    <w:rsid w:val="00F37DD8"/>
    <w:rsid w:val="00F37F16"/>
    <w:rsid w:val="00F37FD8"/>
    <w:rsid w:val="00F40894"/>
    <w:rsid w:val="00F408A0"/>
    <w:rsid w:val="00F40FC7"/>
    <w:rsid w:val="00F415BE"/>
    <w:rsid w:val="00F41681"/>
    <w:rsid w:val="00F41995"/>
    <w:rsid w:val="00F41B88"/>
    <w:rsid w:val="00F41FFE"/>
    <w:rsid w:val="00F42581"/>
    <w:rsid w:val="00F426D8"/>
    <w:rsid w:val="00F426EF"/>
    <w:rsid w:val="00F4272B"/>
    <w:rsid w:val="00F42A1E"/>
    <w:rsid w:val="00F42D2F"/>
    <w:rsid w:val="00F42D9B"/>
    <w:rsid w:val="00F43970"/>
    <w:rsid w:val="00F444BB"/>
    <w:rsid w:val="00F444EB"/>
    <w:rsid w:val="00F44D42"/>
    <w:rsid w:val="00F453C0"/>
    <w:rsid w:val="00F45D04"/>
    <w:rsid w:val="00F45FA5"/>
    <w:rsid w:val="00F4630C"/>
    <w:rsid w:val="00F46453"/>
    <w:rsid w:val="00F469D3"/>
    <w:rsid w:val="00F46E4B"/>
    <w:rsid w:val="00F47028"/>
    <w:rsid w:val="00F47173"/>
    <w:rsid w:val="00F47391"/>
    <w:rsid w:val="00F47807"/>
    <w:rsid w:val="00F478A5"/>
    <w:rsid w:val="00F50A90"/>
    <w:rsid w:val="00F514F8"/>
    <w:rsid w:val="00F51ACD"/>
    <w:rsid w:val="00F52117"/>
    <w:rsid w:val="00F52982"/>
    <w:rsid w:val="00F52FC2"/>
    <w:rsid w:val="00F5366C"/>
    <w:rsid w:val="00F536C0"/>
    <w:rsid w:val="00F53C52"/>
    <w:rsid w:val="00F53D01"/>
    <w:rsid w:val="00F53FE1"/>
    <w:rsid w:val="00F541C4"/>
    <w:rsid w:val="00F552FF"/>
    <w:rsid w:val="00F554CF"/>
    <w:rsid w:val="00F55C71"/>
    <w:rsid w:val="00F5681F"/>
    <w:rsid w:val="00F60343"/>
    <w:rsid w:val="00F6095B"/>
    <w:rsid w:val="00F61429"/>
    <w:rsid w:val="00F61F9E"/>
    <w:rsid w:val="00F62519"/>
    <w:rsid w:val="00F63244"/>
    <w:rsid w:val="00F63BA4"/>
    <w:rsid w:val="00F63E42"/>
    <w:rsid w:val="00F64866"/>
    <w:rsid w:val="00F66357"/>
    <w:rsid w:val="00F66AC9"/>
    <w:rsid w:val="00F7022F"/>
    <w:rsid w:val="00F705C3"/>
    <w:rsid w:val="00F705FE"/>
    <w:rsid w:val="00F70649"/>
    <w:rsid w:val="00F706BB"/>
    <w:rsid w:val="00F70A44"/>
    <w:rsid w:val="00F70C76"/>
    <w:rsid w:val="00F71310"/>
    <w:rsid w:val="00F7170F"/>
    <w:rsid w:val="00F717E1"/>
    <w:rsid w:val="00F71C8D"/>
    <w:rsid w:val="00F725D4"/>
    <w:rsid w:val="00F72AEE"/>
    <w:rsid w:val="00F732D2"/>
    <w:rsid w:val="00F73556"/>
    <w:rsid w:val="00F73D72"/>
    <w:rsid w:val="00F748E3"/>
    <w:rsid w:val="00F74AAA"/>
    <w:rsid w:val="00F74F1F"/>
    <w:rsid w:val="00F74FE2"/>
    <w:rsid w:val="00F76029"/>
    <w:rsid w:val="00F772D5"/>
    <w:rsid w:val="00F773FC"/>
    <w:rsid w:val="00F77424"/>
    <w:rsid w:val="00F77D7C"/>
    <w:rsid w:val="00F80450"/>
    <w:rsid w:val="00F806BF"/>
    <w:rsid w:val="00F80828"/>
    <w:rsid w:val="00F80968"/>
    <w:rsid w:val="00F81D6D"/>
    <w:rsid w:val="00F8208E"/>
    <w:rsid w:val="00F820B7"/>
    <w:rsid w:val="00F82101"/>
    <w:rsid w:val="00F8224A"/>
    <w:rsid w:val="00F82996"/>
    <w:rsid w:val="00F82BC5"/>
    <w:rsid w:val="00F82E66"/>
    <w:rsid w:val="00F8300B"/>
    <w:rsid w:val="00F83130"/>
    <w:rsid w:val="00F831AA"/>
    <w:rsid w:val="00F83B50"/>
    <w:rsid w:val="00F83C92"/>
    <w:rsid w:val="00F8428D"/>
    <w:rsid w:val="00F843DE"/>
    <w:rsid w:val="00F84D07"/>
    <w:rsid w:val="00F856A0"/>
    <w:rsid w:val="00F857EA"/>
    <w:rsid w:val="00F858FD"/>
    <w:rsid w:val="00F8624B"/>
    <w:rsid w:val="00F867EB"/>
    <w:rsid w:val="00F87A5C"/>
    <w:rsid w:val="00F9077C"/>
    <w:rsid w:val="00F90BEB"/>
    <w:rsid w:val="00F91E70"/>
    <w:rsid w:val="00F926A0"/>
    <w:rsid w:val="00F928BA"/>
    <w:rsid w:val="00F94295"/>
    <w:rsid w:val="00F946BB"/>
    <w:rsid w:val="00F94A7C"/>
    <w:rsid w:val="00F95361"/>
    <w:rsid w:val="00F95518"/>
    <w:rsid w:val="00F95A0A"/>
    <w:rsid w:val="00F9606D"/>
    <w:rsid w:val="00F9731D"/>
    <w:rsid w:val="00F9779D"/>
    <w:rsid w:val="00F97AFA"/>
    <w:rsid w:val="00FA0508"/>
    <w:rsid w:val="00FA0A72"/>
    <w:rsid w:val="00FA173B"/>
    <w:rsid w:val="00FA2231"/>
    <w:rsid w:val="00FA2382"/>
    <w:rsid w:val="00FA2931"/>
    <w:rsid w:val="00FA2A7E"/>
    <w:rsid w:val="00FA32A4"/>
    <w:rsid w:val="00FA397D"/>
    <w:rsid w:val="00FA3F74"/>
    <w:rsid w:val="00FA3F7C"/>
    <w:rsid w:val="00FA4388"/>
    <w:rsid w:val="00FA49BE"/>
    <w:rsid w:val="00FA4BC2"/>
    <w:rsid w:val="00FA4F99"/>
    <w:rsid w:val="00FA60B7"/>
    <w:rsid w:val="00FA6443"/>
    <w:rsid w:val="00FA664B"/>
    <w:rsid w:val="00FA6C45"/>
    <w:rsid w:val="00FA73E6"/>
    <w:rsid w:val="00FA76E1"/>
    <w:rsid w:val="00FA7736"/>
    <w:rsid w:val="00FA7D5F"/>
    <w:rsid w:val="00FA7DCA"/>
    <w:rsid w:val="00FB0EB9"/>
    <w:rsid w:val="00FB107C"/>
    <w:rsid w:val="00FB1487"/>
    <w:rsid w:val="00FB1B3C"/>
    <w:rsid w:val="00FB1D58"/>
    <w:rsid w:val="00FB20E1"/>
    <w:rsid w:val="00FB322F"/>
    <w:rsid w:val="00FB3979"/>
    <w:rsid w:val="00FB3A5A"/>
    <w:rsid w:val="00FB3F67"/>
    <w:rsid w:val="00FB464B"/>
    <w:rsid w:val="00FB46B7"/>
    <w:rsid w:val="00FB4C5F"/>
    <w:rsid w:val="00FB5B5C"/>
    <w:rsid w:val="00FB65CD"/>
    <w:rsid w:val="00FB6A8E"/>
    <w:rsid w:val="00FC07D7"/>
    <w:rsid w:val="00FC0851"/>
    <w:rsid w:val="00FC10DE"/>
    <w:rsid w:val="00FC12D1"/>
    <w:rsid w:val="00FC23B0"/>
    <w:rsid w:val="00FC2820"/>
    <w:rsid w:val="00FC2A5E"/>
    <w:rsid w:val="00FC2CDF"/>
    <w:rsid w:val="00FC3157"/>
    <w:rsid w:val="00FC3223"/>
    <w:rsid w:val="00FC3E95"/>
    <w:rsid w:val="00FC42AD"/>
    <w:rsid w:val="00FC4816"/>
    <w:rsid w:val="00FC4D49"/>
    <w:rsid w:val="00FC4E28"/>
    <w:rsid w:val="00FC5336"/>
    <w:rsid w:val="00FC613B"/>
    <w:rsid w:val="00FC64E9"/>
    <w:rsid w:val="00FC660C"/>
    <w:rsid w:val="00FC6726"/>
    <w:rsid w:val="00FC6929"/>
    <w:rsid w:val="00FC6CD0"/>
    <w:rsid w:val="00FC7FFE"/>
    <w:rsid w:val="00FD089F"/>
    <w:rsid w:val="00FD0AF9"/>
    <w:rsid w:val="00FD0E49"/>
    <w:rsid w:val="00FD0EBA"/>
    <w:rsid w:val="00FD1465"/>
    <w:rsid w:val="00FD1DAF"/>
    <w:rsid w:val="00FD25D0"/>
    <w:rsid w:val="00FD2906"/>
    <w:rsid w:val="00FD3ADE"/>
    <w:rsid w:val="00FD508C"/>
    <w:rsid w:val="00FD51F8"/>
    <w:rsid w:val="00FD558E"/>
    <w:rsid w:val="00FD5F28"/>
    <w:rsid w:val="00FD61EC"/>
    <w:rsid w:val="00FD669C"/>
    <w:rsid w:val="00FD69D7"/>
    <w:rsid w:val="00FD6ADC"/>
    <w:rsid w:val="00FD7613"/>
    <w:rsid w:val="00FD7D32"/>
    <w:rsid w:val="00FD7E5F"/>
    <w:rsid w:val="00FE15C6"/>
    <w:rsid w:val="00FE17D6"/>
    <w:rsid w:val="00FE1CC6"/>
    <w:rsid w:val="00FE1DDF"/>
    <w:rsid w:val="00FE21E1"/>
    <w:rsid w:val="00FE2322"/>
    <w:rsid w:val="00FE2962"/>
    <w:rsid w:val="00FE375F"/>
    <w:rsid w:val="00FE3E12"/>
    <w:rsid w:val="00FE48A5"/>
    <w:rsid w:val="00FE4A1A"/>
    <w:rsid w:val="00FE5441"/>
    <w:rsid w:val="00FE58AF"/>
    <w:rsid w:val="00FE5DF4"/>
    <w:rsid w:val="00FE65A8"/>
    <w:rsid w:val="00FE6E83"/>
    <w:rsid w:val="00FE70D3"/>
    <w:rsid w:val="00FE7FF0"/>
    <w:rsid w:val="00FF07DF"/>
    <w:rsid w:val="00FF2297"/>
    <w:rsid w:val="00FF22F1"/>
    <w:rsid w:val="00FF300E"/>
    <w:rsid w:val="00FF3221"/>
    <w:rsid w:val="00FF3409"/>
    <w:rsid w:val="00FF40EA"/>
    <w:rsid w:val="00FF4273"/>
    <w:rsid w:val="00FF45BD"/>
    <w:rsid w:val="00FF49EC"/>
    <w:rsid w:val="00FF5561"/>
    <w:rsid w:val="00FF5655"/>
    <w:rsid w:val="00FF5DBD"/>
    <w:rsid w:val="00FF62EE"/>
    <w:rsid w:val="00FF6724"/>
    <w:rsid w:val="00FF7E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EF59"/>
  <w15:chartTrackingRefBased/>
  <w15:docId w15:val="{2E531726-7A63-40A2-9113-D741F74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qFormat/>
    <w:rsid w:val="00492729"/>
    <w:pPr>
      <w:keepLines w:val="0"/>
      <w:numPr>
        <w:ilvl w:val="4"/>
        <w:numId w:val="27"/>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Id w:val="6"/>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Id w:val="6"/>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tabs>
        <w:tab w:val="num" w:pos="709"/>
      </w:tabs>
      <w:ind w:left="709" w:hanging="709"/>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9827E1"/>
    <w:rPr>
      <w:sz w:val="16"/>
      <w:szCs w:val="16"/>
    </w:rPr>
  </w:style>
  <w:style w:type="paragraph" w:styleId="CommentText">
    <w:name w:val="annotation text"/>
    <w:basedOn w:val="Normal"/>
    <w:link w:val="CommentTextChar"/>
    <w:uiPriority w:val="99"/>
    <w:unhideWhenUsed/>
    <w:rsid w:val="009827E1"/>
    <w:rPr>
      <w:sz w:val="20"/>
      <w:szCs w:val="20"/>
    </w:rPr>
  </w:style>
  <w:style w:type="character" w:customStyle="1" w:styleId="CommentTextChar">
    <w:name w:val="Comment Text Char"/>
    <w:basedOn w:val="DefaultParagraphFont"/>
    <w:link w:val="CommentText"/>
    <w:uiPriority w:val="99"/>
    <w:rsid w:val="009827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7E1"/>
    <w:rPr>
      <w:b/>
      <w:bCs/>
    </w:rPr>
  </w:style>
  <w:style w:type="character" w:customStyle="1" w:styleId="CommentSubjectChar">
    <w:name w:val="Comment Subject Char"/>
    <w:basedOn w:val="CommentTextChar"/>
    <w:link w:val="CommentSubject"/>
    <w:uiPriority w:val="99"/>
    <w:semiHidden/>
    <w:rsid w:val="009827E1"/>
    <w:rPr>
      <w:rFonts w:ascii="Times New Roman" w:hAnsi="Times New Roman"/>
      <w:b/>
      <w:bCs/>
      <w:sz w:val="20"/>
      <w:szCs w:val="20"/>
    </w:rPr>
  </w:style>
  <w:style w:type="character" w:styleId="Mention">
    <w:name w:val="Mention"/>
    <w:basedOn w:val="DefaultParagraphFont"/>
    <w:uiPriority w:val="99"/>
    <w:unhideWhenUsed/>
    <w:rsid w:val="009827E1"/>
    <w:rPr>
      <w:color w:val="2B579A"/>
      <w:shd w:val="clear" w:color="auto" w:fill="E1DFDD"/>
    </w:rPr>
  </w:style>
  <w:style w:type="character" w:styleId="FollowedHyperlink">
    <w:name w:val="FollowedHyperlink"/>
    <w:basedOn w:val="DefaultParagraphFont"/>
    <w:uiPriority w:val="99"/>
    <w:semiHidden/>
    <w:unhideWhenUsed/>
    <w:rsid w:val="00C6663C"/>
    <w:rPr>
      <w:color w:val="954F72" w:themeColor="followedHyperlink"/>
      <w:u w:val="single"/>
    </w:rPr>
  </w:style>
  <w:style w:type="paragraph" w:customStyle="1" w:styleId="Bullet">
    <w:name w:val="Bullet"/>
    <w:basedOn w:val="Normal"/>
    <w:link w:val="BulletChar"/>
    <w:rsid w:val="00952037"/>
    <w:pPr>
      <w:numPr>
        <w:numId w:val="23"/>
      </w:numPr>
      <w:tabs>
        <w:tab w:val="left" w:pos="720"/>
      </w:tabs>
    </w:pPr>
    <w:rPr>
      <w:rFonts w:eastAsia="Calibri"/>
      <w:color w:val="2F5496" w:themeColor="accent1" w:themeShade="BF"/>
      <w:lang w:eastAsia="en-GB"/>
    </w:rPr>
  </w:style>
  <w:style w:type="character" w:customStyle="1" w:styleId="InstructionalguidancedotpointChar">
    <w:name w:val="Instructional guidance dot point Char"/>
    <w:basedOn w:val="InstructionalguidanceChar"/>
    <w:link w:val="Instructionalguidancedotpoint"/>
    <w:uiPriority w:val="99"/>
    <w:rsid w:val="00952037"/>
    <w:rPr>
      <w:rFonts w:ascii="Calibri" w:eastAsia="Calibri" w:hAnsi="Calibri"/>
      <w:color w:val="2F5496" w:themeColor="accent1" w:themeShade="BF"/>
      <w:lang w:eastAsia="en-GB"/>
    </w:rPr>
  </w:style>
  <w:style w:type="character" w:customStyle="1" w:styleId="BulletChar">
    <w:name w:val="Bullet Char"/>
    <w:basedOn w:val="InstructionalguidancedotpointChar"/>
    <w:link w:val="Bullet"/>
    <w:rsid w:val="00952037"/>
    <w:rPr>
      <w:rFonts w:ascii="Times New Roman" w:eastAsia="Calibri" w:hAnsi="Times New Roman"/>
      <w:color w:val="2F5496" w:themeColor="accent1" w:themeShade="BF"/>
      <w:lang w:eastAsia="en-GB"/>
    </w:rPr>
  </w:style>
  <w:style w:type="paragraph" w:customStyle="1" w:styleId="DoubleDot">
    <w:name w:val="Double Dot"/>
    <w:basedOn w:val="Normal"/>
    <w:link w:val="DoubleDotChar"/>
    <w:rsid w:val="00952037"/>
    <w:pPr>
      <w:numPr>
        <w:ilvl w:val="2"/>
        <w:numId w:val="23"/>
      </w:numPr>
      <w:tabs>
        <w:tab w:val="left" w:pos="720"/>
      </w:tabs>
    </w:pPr>
    <w:rPr>
      <w:rFonts w:eastAsia="Calibri"/>
      <w:color w:val="2F5496" w:themeColor="accent1" w:themeShade="BF"/>
      <w:lang w:eastAsia="en-GB"/>
    </w:rPr>
  </w:style>
  <w:style w:type="character" w:customStyle="1" w:styleId="DoubleDotChar">
    <w:name w:val="Double Dot Char"/>
    <w:basedOn w:val="InstructionalguidancedotpointChar"/>
    <w:link w:val="DoubleDot"/>
    <w:rsid w:val="00952037"/>
    <w:rPr>
      <w:rFonts w:ascii="Times New Roman" w:eastAsia="Calibri" w:hAnsi="Times New Roman"/>
      <w:color w:val="2F5496" w:themeColor="accent1" w:themeShade="BF"/>
      <w:lang w:eastAsia="en-GB"/>
    </w:rPr>
  </w:style>
  <w:style w:type="paragraph" w:styleId="TOC4">
    <w:name w:val="toc 4"/>
    <w:basedOn w:val="Normal"/>
    <w:next w:val="Normal"/>
    <w:autoRedefine/>
    <w:uiPriority w:val="39"/>
    <w:semiHidden/>
    <w:unhideWhenUsed/>
    <w:rsid w:val="006E5468"/>
    <w:pPr>
      <w:spacing w:after="100"/>
      <w:ind w:left="660"/>
    </w:pPr>
  </w:style>
  <w:style w:type="paragraph" w:styleId="TOC5">
    <w:name w:val="toc 5"/>
    <w:basedOn w:val="Normal"/>
    <w:next w:val="Normal"/>
    <w:autoRedefine/>
    <w:uiPriority w:val="39"/>
    <w:semiHidden/>
    <w:unhideWhenUsed/>
    <w:rsid w:val="006E5468"/>
    <w:pPr>
      <w:spacing w:after="100"/>
      <w:ind w:left="880"/>
    </w:pPr>
  </w:style>
  <w:style w:type="paragraph" w:styleId="TOC6">
    <w:name w:val="toc 6"/>
    <w:basedOn w:val="Normal"/>
    <w:next w:val="Normal"/>
    <w:autoRedefine/>
    <w:uiPriority w:val="39"/>
    <w:semiHidden/>
    <w:unhideWhenUsed/>
    <w:rsid w:val="006E5468"/>
    <w:pPr>
      <w:spacing w:after="100"/>
      <w:ind w:left="1100"/>
    </w:pPr>
  </w:style>
  <w:style w:type="paragraph" w:styleId="TOC7">
    <w:name w:val="toc 7"/>
    <w:basedOn w:val="Normal"/>
    <w:next w:val="Normal"/>
    <w:autoRedefine/>
    <w:uiPriority w:val="39"/>
    <w:semiHidden/>
    <w:unhideWhenUsed/>
    <w:rsid w:val="006E5468"/>
    <w:pPr>
      <w:spacing w:after="100"/>
      <w:ind w:left="1320"/>
    </w:pPr>
  </w:style>
  <w:style w:type="paragraph" w:styleId="TOC8">
    <w:name w:val="toc 8"/>
    <w:basedOn w:val="Normal"/>
    <w:next w:val="Normal"/>
    <w:autoRedefine/>
    <w:uiPriority w:val="39"/>
    <w:semiHidden/>
    <w:unhideWhenUsed/>
    <w:rsid w:val="006E5468"/>
    <w:pPr>
      <w:spacing w:after="100"/>
      <w:ind w:left="1540"/>
    </w:pPr>
  </w:style>
  <w:style w:type="paragraph" w:styleId="TOC9">
    <w:name w:val="toc 9"/>
    <w:basedOn w:val="Normal"/>
    <w:next w:val="Normal"/>
    <w:autoRedefine/>
    <w:uiPriority w:val="39"/>
    <w:semiHidden/>
    <w:unhideWhenUsed/>
    <w:rsid w:val="006E5468"/>
    <w:pPr>
      <w:spacing w:after="100"/>
      <w:ind w:left="1760"/>
    </w:pPr>
  </w:style>
  <w:style w:type="character" w:customStyle="1" w:styleId="NormalparatextwithnumbersChar">
    <w:name w:val="Normal para text (with numbers) Char"/>
    <w:basedOn w:val="DefaultParagraphFont"/>
    <w:link w:val="Normalparatextwithnumbers"/>
    <w:rsid w:val="005C79AF"/>
    <w:rPr>
      <w:rFonts w:ascii="Times New Roman" w:hAnsi="Times New Roman"/>
    </w:rPr>
  </w:style>
  <w:style w:type="paragraph" w:styleId="ListParagraph">
    <w:name w:val="List Paragraph"/>
    <w:basedOn w:val="Normal"/>
    <w:uiPriority w:val="34"/>
    <w:qFormat/>
    <w:rsid w:val="000A1A40"/>
    <w:pPr>
      <w:spacing w:before="0" w:after="0"/>
      <w:ind w:left="720"/>
    </w:pPr>
    <w:rPr>
      <w:rFonts w:ascii="Calibri" w:hAnsi="Calibri" w:cs="Calibri"/>
    </w:rPr>
  </w:style>
  <w:style w:type="paragraph" w:customStyle="1" w:styleId="OutlineNumbered1">
    <w:name w:val="Outline Numbered 1"/>
    <w:basedOn w:val="Normal"/>
    <w:link w:val="OutlineNumbered1Char"/>
    <w:rsid w:val="00BB786B"/>
    <w:pPr>
      <w:numPr>
        <w:numId w:val="29"/>
      </w:numPr>
    </w:pPr>
  </w:style>
  <w:style w:type="character" w:customStyle="1" w:styleId="OutlineNumbered1Char">
    <w:name w:val="Outline Numbered 1 Char"/>
    <w:basedOn w:val="NormalparatextwithnumbersChar"/>
    <w:link w:val="OutlineNumbered1"/>
    <w:rsid w:val="00BB786B"/>
    <w:rPr>
      <w:rFonts w:ascii="Times New Roman" w:hAnsi="Times New Roman"/>
    </w:rPr>
  </w:style>
  <w:style w:type="paragraph" w:customStyle="1" w:styleId="OutlineNumbered2">
    <w:name w:val="Outline Numbered 2"/>
    <w:basedOn w:val="Normal"/>
    <w:link w:val="OutlineNumbered2Char"/>
    <w:rsid w:val="00BB786B"/>
    <w:pPr>
      <w:numPr>
        <w:ilvl w:val="1"/>
        <w:numId w:val="29"/>
      </w:numPr>
    </w:pPr>
  </w:style>
  <w:style w:type="character" w:customStyle="1" w:styleId="OutlineNumbered2Char">
    <w:name w:val="Outline Numbered 2 Char"/>
    <w:basedOn w:val="NormalparatextwithnumbersChar"/>
    <w:link w:val="OutlineNumbered2"/>
    <w:rsid w:val="00BB786B"/>
    <w:rPr>
      <w:rFonts w:ascii="Times New Roman" w:hAnsi="Times New Roman"/>
    </w:rPr>
  </w:style>
  <w:style w:type="paragraph" w:customStyle="1" w:styleId="OutlineNumbered3">
    <w:name w:val="Outline Numbered 3"/>
    <w:basedOn w:val="Normal"/>
    <w:link w:val="OutlineNumbered3Char"/>
    <w:rsid w:val="00BB786B"/>
    <w:pPr>
      <w:numPr>
        <w:ilvl w:val="2"/>
        <w:numId w:val="29"/>
      </w:numPr>
    </w:pPr>
  </w:style>
  <w:style w:type="character" w:customStyle="1" w:styleId="OutlineNumbered3Char">
    <w:name w:val="Outline Numbered 3 Char"/>
    <w:basedOn w:val="NormalparatextwithnumbersChar"/>
    <w:link w:val="OutlineNumbered3"/>
    <w:rsid w:val="00BB786B"/>
    <w:rPr>
      <w:rFonts w:ascii="Times New Roman" w:hAnsi="Times New Roman"/>
    </w:rPr>
  </w:style>
  <w:style w:type="character" w:customStyle="1" w:styleId="ui-provider">
    <w:name w:val="ui-provider"/>
    <w:basedOn w:val="DefaultParagraphFont"/>
    <w:rsid w:val="00DB7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7680">
      <w:bodyDiv w:val="1"/>
      <w:marLeft w:val="0"/>
      <w:marRight w:val="0"/>
      <w:marTop w:val="0"/>
      <w:marBottom w:val="0"/>
      <w:divBdr>
        <w:top w:val="none" w:sz="0" w:space="0" w:color="auto"/>
        <w:left w:val="none" w:sz="0" w:space="0" w:color="auto"/>
        <w:bottom w:val="none" w:sz="0" w:space="0" w:color="auto"/>
        <w:right w:val="none" w:sz="0" w:space="0" w:color="auto"/>
      </w:divBdr>
    </w:div>
    <w:div w:id="743063604">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366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3FDBFF1094212BAB79BE263C377F1"/>
        <w:category>
          <w:name w:val="General"/>
          <w:gallery w:val="placeholder"/>
        </w:category>
        <w:types>
          <w:type w:val="bbPlcHdr"/>
        </w:types>
        <w:behaviors>
          <w:behavior w:val="content"/>
        </w:behaviors>
        <w:guid w:val="{5789C205-4590-4539-9CAE-1B6A84321EF8}"/>
      </w:docPartPr>
      <w:docPartBody>
        <w:p w:rsidR="002F7959" w:rsidRDefault="00AB4B03">
          <w:pPr>
            <w:pStyle w:val="4AB3FDBFF1094212BAB79BE263C377F1"/>
          </w:pPr>
          <w:r w:rsidRPr="002F5302">
            <w:rPr>
              <w:rStyle w:val="PlaceholderText"/>
            </w:rPr>
            <w:t>[insert name and title of approving Minister]</w:t>
          </w:r>
          <w:r w:rsidRPr="00D808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66"/>
    <w:rsid w:val="0003052E"/>
    <w:rsid w:val="00036638"/>
    <w:rsid w:val="000E7A46"/>
    <w:rsid w:val="00156DAF"/>
    <w:rsid w:val="00157196"/>
    <w:rsid w:val="002F7959"/>
    <w:rsid w:val="00383168"/>
    <w:rsid w:val="00447C0F"/>
    <w:rsid w:val="005533A5"/>
    <w:rsid w:val="00616DD7"/>
    <w:rsid w:val="00774E50"/>
    <w:rsid w:val="007B3EB6"/>
    <w:rsid w:val="00864866"/>
    <w:rsid w:val="0093393A"/>
    <w:rsid w:val="00AB4B03"/>
    <w:rsid w:val="00B6675B"/>
    <w:rsid w:val="00C56BE6"/>
    <w:rsid w:val="00C901F3"/>
    <w:rsid w:val="00D04B9D"/>
    <w:rsid w:val="00D56265"/>
    <w:rsid w:val="00E521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B3FDBFF1094212BAB79BE263C377F1">
    <w:name w:val="4AB3FDBFF1094212BAB79BE263C37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5D7SUYYWNZQE-140307370-2147</_dlc_DocId>
    <_dlc_DocIdUrl xmlns="fe39d773-a83d-4623-ae74-f25711a76616">
      <Url>https://austreasury.sharepoint.com/sites/leg-meas-function/_layouts/15/DocIdRedir.aspx?ID=5D7SUYYWNZQE-140307370-2147</Url>
      <Description>5D7SUYYWNZQE-140307370-2147</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45cbb05c-9508-47f1-902e-7b8414a82b21</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Personal Tax</TermName>
          <TermId xmlns="http://schemas.microsoft.com/office/infopath/2007/PartnerControls">4ccbe142-44ee-4a73-b192-b57e486e389f</TermId>
        </TermInfo>
      </Terms>
    </gfba5f33532c49208d2320ce38cc3c2b>
    <TaxCatchAll xmlns="ff38c824-6e29-4496-8487-69f397e7ed29">
      <Value>133</Value>
      <Value>3</Value>
      <Value>73</Value>
      <Value>1</Value>
      <Value>28</Value>
    </TaxCatchAll>
    <SharedWithUsers xmlns="ff38c824-6e29-4496-8487-69f397e7ed29">
      <UserInfo>
        <DisplayName>Koit, Tania</DisplayName>
        <AccountId>25</AccountId>
        <AccountType/>
      </UserInfo>
      <UserInfo>
        <DisplayName>Chiu, Jenny</DisplayName>
        <AccountId>135</AccountId>
        <AccountType/>
      </UserInfo>
      <UserInfo>
        <DisplayName>Copley, Sarah</DisplayName>
        <AccountId>57</AccountId>
        <AccountType/>
      </UserInfo>
      <UserInfo>
        <DisplayName>Lewis, Larissa</DisplayName>
        <AccountId>34</AccountId>
        <AccountType/>
      </UserInfo>
      <UserInfo>
        <DisplayName>Li, Julia</DisplayName>
        <AccountId>49</AccountId>
        <AccountType/>
      </UserInfo>
      <UserInfo>
        <DisplayName>Jaramillo, Justin</DisplayName>
        <AccountId>103</AccountId>
        <AccountType/>
      </UserInfo>
      <UserInfo>
        <DisplayName>Hogan, Kevin</DisplayName>
        <AccountId>543</AccountId>
        <AccountType/>
      </UserInfo>
      <UserInfo>
        <DisplayName>Logan, Alex</DisplayName>
        <AccountId>133</AccountId>
        <AccountType/>
      </UserInfo>
      <UserInfo>
        <DisplayName>Anderson, Roslyn</DisplayName>
        <AccountId>59</AccountId>
        <AccountType/>
      </UserInfo>
      <UserInfo>
        <DisplayName>Cleland, Josie</DisplayName>
        <AccountId>127</AccountId>
        <AccountType/>
      </UserInfo>
    </SharedWithUsers>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TSY/47/0446</PT_x002f_Measure_x0020_No.>
    <Keydoc xmlns="a289cb20-8bb9-401f-8d7b-706fb1a2988d" xsi:nil="true"/>
    <Act_x0028_s_x0029_beingamended xmlns="a289cb20-8bb9-401f-8d7b-706fb1a2988d" xsi:nil="true"/>
    <Projectname xmlns="a289cb20-8bb9-401f-8d7b-706fb1a2988d">PWC Response</Projec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2.xml><?xml version="1.0" encoding="utf-8"?>
<ds:datastoreItem xmlns:ds="http://schemas.openxmlformats.org/officeDocument/2006/customXml" ds:itemID="{6AB365E2-A817-49FA-9295-CAB62986032D}">
  <ds:schemaRefs>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7865330c-fbc7-491e-a33e-3e7ed08202e7"/>
    <ds:schemaRef ds:uri="a289cb20-8bb9-401f-8d7b-706fb1a2988d"/>
    <ds:schemaRef ds:uri="http://purl.org/dc/dcmitype/"/>
    <ds:schemaRef ds:uri="http://purl.org/dc/elements/1.1/"/>
    <ds:schemaRef ds:uri="fe39d773-a83d-4623-ae74-f25711a76616"/>
    <ds:schemaRef ds:uri="ff38c824-6e29-4496-8487-69f397e7ed29"/>
    <ds:schemaRef ds:uri="http://www.w3.org/XML/1998/namespace"/>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5.xml><?xml version="1.0" encoding="utf-8"?>
<ds:datastoreItem xmlns:ds="http://schemas.openxmlformats.org/officeDocument/2006/customXml" ds:itemID="{4C0B2965-377A-4246-8B4E-F5F52FC8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6</TotalTime>
  <Pages>17</Pages>
  <Words>3863</Words>
  <Characters>22024</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Explanatory memorandum - Exposure draft: Treasury Laws Amendment (measures for consultation) Bill 2023: PWC response—Promoter Penalty Laws Reform</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Exposure draft: Treasury Laws Amendment (measures for consultation) Bill 2023: PWC response—Promoter Penalty Laws Reform</dc:title>
  <dc:subject/>
  <dc:creator>Treasury</dc:creator>
  <cp:keywords/>
  <dc:description/>
  <cp:lastModifiedBy>van der Hoeven, Megan</cp:lastModifiedBy>
  <cp:revision>4</cp:revision>
  <cp:lastPrinted>2023-09-11T16:18:00Z</cp:lastPrinted>
  <dcterms:created xsi:type="dcterms:W3CDTF">2023-09-15T02:19:00Z</dcterms:created>
  <dcterms:modified xsi:type="dcterms:W3CDTF">2023-09-15T02:20:00Z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EM</vt:lpwstr>
  </property>
  <property fmtid="{D5CDD505-2E9C-101B-9397-08002B2CF9AE}" pid="3" name="_dlc_DocIdItemGuid">
    <vt:lpwstr>03071bfe-126a-49c2-834f-88be4f7c2e0a</vt:lpwstr>
  </property>
  <property fmtid="{D5CDD505-2E9C-101B-9397-08002B2CF9AE}" pid="4" name="ContentTypeId">
    <vt:lpwstr>0x010100C720F3A58D1FCD479DB09520EEB08727</vt:lpwstr>
  </property>
  <property fmtid="{D5CDD505-2E9C-101B-9397-08002B2CF9AE}" pid="5" name="TSYRecordClass">
    <vt:lpwstr>1;#AE-20260-Destroy 7 years after action completed|623f5ec9-ec5d-4824-8e13-9c9bfc51fe7e</vt:lpwstr>
  </property>
  <property fmtid="{D5CDD505-2E9C-101B-9397-08002B2CF9AE}" pid="6" name="TSYTopic">
    <vt:lpwstr/>
  </property>
  <property fmtid="{D5CDD505-2E9C-101B-9397-08002B2CF9AE}" pid="7" name="Version">
    <vt:lpwstr>p</vt:lpwstr>
  </property>
  <property fmtid="{D5CDD505-2E9C-101B-9397-08002B2CF9AE}" pid="8" name="eTheme">
    <vt:lpwstr>1;#Law Design|318dd2d2-18da-4b8e-a458-14db2c1af95f</vt:lpwstr>
  </property>
  <property fmtid="{D5CDD505-2E9C-101B-9397-08002B2CF9AE}" pid="9" name="TSYStatus">
    <vt:lpwstr/>
  </property>
  <property fmtid="{D5CDD505-2E9C-101B-9397-08002B2CF9AE}" pid="10" name="eDocumentType">
    <vt:lpwstr>133;#Explanatory materials|45cbb05c-9508-47f1-902e-7b8414a82b21</vt:lpwstr>
  </property>
  <property fmtid="{D5CDD505-2E9C-101B-9397-08002B2CF9AE}" pid="11" name="eTopic">
    <vt:lpwstr>73;#Personal Tax|4ccbe142-44ee-4a73-b192-b57e486e389f</vt:lpwstr>
  </property>
  <property fmtid="{D5CDD505-2E9C-101B-9397-08002B2CF9AE}" pid="12" name="eActivity">
    <vt:lpwstr>28;#Legislative measures|0d31ce10-0017-4a46-8d2d-ba60058cb6a2</vt:lpwstr>
  </property>
  <property fmtid="{D5CDD505-2E9C-101B-9397-08002B2CF9AE}" pid="13" name="k8424359e03846678cc4a99dd97e9705">
    <vt:lpwstr>Treasury Enterprise Terms|69519368-d55f-4403-adc0-7b3d464d5501</vt:lpwstr>
  </property>
  <property fmtid="{D5CDD505-2E9C-101B-9397-08002B2CF9AE}" pid="14" name="MediaServiceImageTags">
    <vt:lpwstr/>
  </property>
  <property fmtid="{D5CDD505-2E9C-101B-9397-08002B2CF9AE}" pid="15" name="LMDivision">
    <vt:lpwstr>3;#Treasury Enterprise Terms|69519368-d55f-4403-adc0-7b3d464d5501</vt:lpwstr>
  </property>
</Properties>
</file>