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11239" w14:paraId="68B8C008" w14:textId="77777777" w:rsidTr="00611239">
        <w:tc>
          <w:tcPr>
            <w:tcW w:w="5000" w:type="pct"/>
            <w:shd w:val="clear" w:color="auto" w:fill="auto"/>
          </w:tcPr>
          <w:p w14:paraId="7BCDFF59" w14:textId="77777777" w:rsidR="00611239" w:rsidRDefault="00611239" w:rsidP="0061123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8CA01EE" w14:textId="77777777" w:rsidR="00611239" w:rsidRPr="00611239" w:rsidRDefault="00611239" w:rsidP="00611239">
            <w:pPr>
              <w:rPr>
                <w:b/>
                <w:sz w:val="20"/>
              </w:rPr>
            </w:pPr>
          </w:p>
        </w:tc>
      </w:tr>
    </w:tbl>
    <w:p w14:paraId="12ABD211" w14:textId="77777777" w:rsidR="00611239" w:rsidRDefault="00611239" w:rsidP="00C90438">
      <w:pPr>
        <w:rPr>
          <w:sz w:val="32"/>
          <w:szCs w:val="32"/>
        </w:rPr>
      </w:pPr>
    </w:p>
    <w:p w14:paraId="64A6A3E0" w14:textId="77777777" w:rsidR="00664C63" w:rsidRPr="00932FA3" w:rsidRDefault="00664C63" w:rsidP="00C90438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7E9B013" w14:textId="77777777" w:rsidR="00664C63" w:rsidRDefault="002E6903" w:rsidP="00C90438">
      <w:pPr>
        <w:pStyle w:val="ShortT"/>
      </w:pPr>
      <w:r w:rsidRPr="002E6903">
        <w:t xml:space="preserve">Treasury Laws Amendment (Measures for </w:t>
      </w:r>
      <w:r w:rsidR="00C90438">
        <w:t>Consultation</w:t>
      </w:r>
      <w:r w:rsidRPr="002E6903">
        <w:t>) Bill 2023</w:t>
      </w:r>
      <w:r w:rsidR="00664C63">
        <w:t xml:space="preserve">: </w:t>
      </w:r>
      <w:r>
        <w:t>PWC Response—promoter penalty laws reform</w:t>
      </w:r>
    </w:p>
    <w:p w14:paraId="0B14B1BB" w14:textId="77777777" w:rsidR="00664C63" w:rsidRDefault="00664C63" w:rsidP="00C90438">
      <w:pPr>
        <w:jc w:val="center"/>
      </w:pPr>
    </w:p>
    <w:p w14:paraId="33F30AD5" w14:textId="77777777" w:rsidR="00664C63" w:rsidRDefault="00664C63" w:rsidP="00C9043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4AF181DD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DF35431" w14:textId="77777777" w:rsidR="00664C63" w:rsidRPr="00402376" w:rsidRDefault="00664C63" w:rsidP="00C90438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1219419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FDF9E" w14:textId="77777777" w:rsidR="00664C63" w:rsidRPr="00402376" w:rsidRDefault="00664C63" w:rsidP="00C90438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26C31" w14:textId="77777777" w:rsidR="00664C63" w:rsidRPr="00402376" w:rsidRDefault="00664C63" w:rsidP="00C90438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D6BB2" w14:textId="77777777" w:rsidR="00664C63" w:rsidRPr="00402376" w:rsidRDefault="00664C63" w:rsidP="00C90438">
            <w:pPr>
              <w:pStyle w:val="TableHeading"/>
            </w:pPr>
            <w:r w:rsidRPr="00402376">
              <w:t>Column 3</w:t>
            </w:r>
          </w:p>
        </w:tc>
      </w:tr>
      <w:tr w:rsidR="00664C63" w14:paraId="4099DA02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F6F57B" w14:textId="77777777" w:rsidR="00664C63" w:rsidRPr="00402376" w:rsidRDefault="00664C63" w:rsidP="00C90438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345A88" w14:textId="77777777" w:rsidR="00664C63" w:rsidRPr="00402376" w:rsidRDefault="00664C63" w:rsidP="00C90438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81EE26" w14:textId="77777777" w:rsidR="00664C63" w:rsidRPr="00402376" w:rsidRDefault="00664C63" w:rsidP="00C90438">
            <w:pPr>
              <w:pStyle w:val="TableHeading"/>
            </w:pPr>
            <w:r w:rsidRPr="00402376">
              <w:t>Date/Details</w:t>
            </w:r>
          </w:p>
        </w:tc>
      </w:tr>
      <w:tr w:rsidR="00664C63" w14:paraId="1D0B2FA7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94D4D06" w14:textId="77777777" w:rsidR="00664C63" w:rsidRDefault="00664C63" w:rsidP="00C90438">
            <w:pPr>
              <w:pStyle w:val="Tabletext"/>
            </w:pPr>
            <w:r>
              <w:t xml:space="preserve">1.  </w:t>
            </w:r>
            <w:r w:rsidR="00516529">
              <w:t>Promoter penalty reform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5590D843" w14:textId="77777777" w:rsidR="00516529" w:rsidRDefault="00516529" w:rsidP="00C90438">
            <w:pPr>
              <w:pStyle w:val="Tabletext"/>
            </w:pPr>
            <w:r>
              <w:t>The later of:</w:t>
            </w:r>
          </w:p>
          <w:p w14:paraId="30C57090" w14:textId="77777777" w:rsidR="00516529" w:rsidRDefault="00516529" w:rsidP="00C90438">
            <w:pPr>
              <w:pStyle w:val="Tablea"/>
            </w:pPr>
            <w:r>
              <w:t>(a)</w:t>
            </w:r>
            <w:r w:rsidR="00F65BB6">
              <w:tab/>
            </w:r>
            <w:r w:rsidR="00C90438">
              <w:t>1 July</w:t>
            </w:r>
            <w:r>
              <w:t xml:space="preserve"> 2024; and</w:t>
            </w:r>
          </w:p>
          <w:p w14:paraId="217BFF35" w14:textId="77777777" w:rsidR="00664C63" w:rsidRDefault="00516529" w:rsidP="00C90438">
            <w:pPr>
              <w:pStyle w:val="Tablea"/>
            </w:pPr>
            <w:r>
              <w:t>(b)</w:t>
            </w:r>
            <w:r>
              <w:tab/>
              <w:t xml:space="preserve">the first </w:t>
            </w:r>
            <w:r w:rsidR="00034529">
              <w:t>1 January</w:t>
            </w:r>
            <w:r>
              <w:t xml:space="preserve">, </w:t>
            </w:r>
            <w:r w:rsidR="00034529">
              <w:t>1 April</w:t>
            </w:r>
            <w:r>
              <w:t xml:space="preserve">, </w:t>
            </w:r>
            <w:r w:rsidR="00C90438">
              <w:t>1 </w:t>
            </w:r>
            <w:proofErr w:type="gramStart"/>
            <w:r w:rsidR="00C90438">
              <w:t>July</w:t>
            </w:r>
            <w:proofErr w:type="gramEnd"/>
            <w:r>
              <w:t xml:space="preserve"> or </w:t>
            </w:r>
            <w:r w:rsidR="00C90438">
              <w:t>1 October</w:t>
            </w:r>
            <w:r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CFA6541" w14:textId="77777777" w:rsidR="00664C63" w:rsidRDefault="00664C63" w:rsidP="00C90438">
            <w:pPr>
              <w:pStyle w:val="Tabletext"/>
            </w:pPr>
          </w:p>
        </w:tc>
      </w:tr>
    </w:tbl>
    <w:p w14:paraId="512FE69E" w14:textId="77777777" w:rsidR="0033411C" w:rsidRDefault="00516529" w:rsidP="00C90438">
      <w:pPr>
        <w:pStyle w:val="ActHead6"/>
        <w:pageBreakBefore/>
      </w:pPr>
      <w:r w:rsidRPr="00611239">
        <w:rPr>
          <w:rStyle w:val="CharAmSchNo"/>
        </w:rPr>
        <w:lastRenderedPageBreak/>
        <w:t>Schedule #</w:t>
      </w:r>
      <w:r>
        <w:rPr>
          <w:rFonts w:cs="Arial"/>
        </w:rPr>
        <w:t>—</w:t>
      </w:r>
      <w:r w:rsidRPr="00611239">
        <w:rPr>
          <w:rStyle w:val="CharAmSchText"/>
        </w:rPr>
        <w:t>Promoter penalty law reform</w:t>
      </w:r>
    </w:p>
    <w:p w14:paraId="35AF2A25" w14:textId="77777777" w:rsidR="00A916C1" w:rsidRPr="00611239" w:rsidRDefault="00A916C1" w:rsidP="00C90438">
      <w:pPr>
        <w:pStyle w:val="Header"/>
      </w:pPr>
      <w:r w:rsidRPr="00611239">
        <w:rPr>
          <w:rStyle w:val="CharAmPartNo"/>
        </w:rPr>
        <w:t xml:space="preserve"> </w:t>
      </w:r>
      <w:r w:rsidRPr="00611239">
        <w:rPr>
          <w:rStyle w:val="CharAmPartText"/>
        </w:rPr>
        <w:t xml:space="preserve"> </w:t>
      </w:r>
    </w:p>
    <w:p w14:paraId="1BF092C1" w14:textId="77777777" w:rsidR="00516529" w:rsidRDefault="00516529" w:rsidP="00C90438">
      <w:pPr>
        <w:pStyle w:val="ActHead9"/>
      </w:pPr>
      <w:r w:rsidRPr="00516529">
        <w:t>Taxation Administration Act 1953</w:t>
      </w:r>
    </w:p>
    <w:p w14:paraId="773AAA43" w14:textId="77777777" w:rsidR="00C37F13" w:rsidRDefault="003839D4" w:rsidP="00C90438">
      <w:pPr>
        <w:pStyle w:val="ItemHead"/>
      </w:pPr>
      <w:proofErr w:type="gramStart"/>
      <w:r>
        <w:t>1</w:t>
      </w:r>
      <w:r w:rsidR="00C37F13">
        <w:t xml:space="preserve">  After</w:t>
      </w:r>
      <w:proofErr w:type="gramEnd"/>
      <w:r w:rsidR="00C37F13">
        <w:t xml:space="preserve"> </w:t>
      </w:r>
      <w:r w:rsidR="00C90438">
        <w:t>paragraph 2</w:t>
      </w:r>
      <w:r w:rsidR="00C37F13">
        <w:t>90</w:t>
      </w:r>
      <w:r w:rsidR="00C90438">
        <w:noBreakHyphen/>
      </w:r>
      <w:r w:rsidR="00C37F13">
        <w:t xml:space="preserve">5(a) in </w:t>
      </w:r>
      <w:r w:rsidR="00C90438">
        <w:t>Schedule 1</w:t>
      </w:r>
    </w:p>
    <w:p w14:paraId="20A2B65E" w14:textId="77777777" w:rsidR="00C37F13" w:rsidRDefault="00C37F13" w:rsidP="00C90438">
      <w:pPr>
        <w:pStyle w:val="Item"/>
      </w:pPr>
      <w:r>
        <w:t>Insert:</w:t>
      </w:r>
    </w:p>
    <w:p w14:paraId="1D3AE887" w14:textId="77777777" w:rsidR="00C37F13" w:rsidRPr="00C37F13" w:rsidRDefault="00C37F13" w:rsidP="00C90438">
      <w:pPr>
        <w:pStyle w:val="paragraph"/>
      </w:pPr>
      <w:r>
        <w:tab/>
        <w:t>(aa)</w:t>
      </w:r>
      <w:r>
        <w:tab/>
        <w:t xml:space="preserve">to deter the promotion of schemes </w:t>
      </w:r>
      <w:proofErr w:type="gramStart"/>
      <w:r>
        <w:t>on the basis of</w:t>
      </w:r>
      <w:proofErr w:type="gramEnd"/>
      <w:r>
        <w:t xml:space="preserve"> conformity with a </w:t>
      </w:r>
      <w:r w:rsidR="00C90438" w:rsidRPr="00C90438">
        <w:rPr>
          <w:position w:val="6"/>
          <w:sz w:val="16"/>
        </w:rPr>
        <w:t>*</w:t>
      </w:r>
      <w:r>
        <w:t xml:space="preserve">public ruling, </w:t>
      </w:r>
      <w:r w:rsidR="00C90438" w:rsidRPr="00C90438">
        <w:rPr>
          <w:position w:val="6"/>
          <w:sz w:val="16"/>
        </w:rPr>
        <w:t>*</w:t>
      </w:r>
      <w:r>
        <w:t xml:space="preserve">private ruling or </w:t>
      </w:r>
      <w:r w:rsidR="00C90438" w:rsidRPr="00C90438">
        <w:rPr>
          <w:position w:val="6"/>
          <w:sz w:val="16"/>
        </w:rPr>
        <w:t>*</w:t>
      </w:r>
      <w:r>
        <w:t>oral ruling if the scheme is materially different from that described in the ruling; and</w:t>
      </w:r>
    </w:p>
    <w:p w14:paraId="77F7353E" w14:textId="77777777" w:rsidR="00110463" w:rsidRDefault="003839D4" w:rsidP="00C90438">
      <w:pPr>
        <w:pStyle w:val="ItemHead"/>
      </w:pPr>
      <w:proofErr w:type="gramStart"/>
      <w:r>
        <w:t>2</w:t>
      </w:r>
      <w:r w:rsidR="00110463">
        <w:t xml:space="preserve">  </w:t>
      </w:r>
      <w:r w:rsidR="00C90438">
        <w:t>Paragraph</w:t>
      </w:r>
      <w:proofErr w:type="gramEnd"/>
      <w:r w:rsidR="00C90438">
        <w:t> 2</w:t>
      </w:r>
      <w:r w:rsidR="00ED600D">
        <w:t>90</w:t>
      </w:r>
      <w:r w:rsidR="00C90438">
        <w:noBreakHyphen/>
      </w:r>
      <w:r w:rsidR="00ED600D">
        <w:t xml:space="preserve">5(b) in </w:t>
      </w:r>
      <w:r w:rsidR="00C90438">
        <w:t>Schedule 1</w:t>
      </w:r>
    </w:p>
    <w:p w14:paraId="61C2802F" w14:textId="77777777" w:rsidR="00ED600D" w:rsidRDefault="00ED600D" w:rsidP="00C90438">
      <w:pPr>
        <w:pStyle w:val="Item"/>
      </w:pPr>
      <w:r>
        <w:t>Omit “</w:t>
      </w:r>
      <w:r w:rsidR="00C90438" w:rsidRPr="00C90438">
        <w:rPr>
          <w:position w:val="6"/>
          <w:sz w:val="16"/>
        </w:rPr>
        <w:t>*</w:t>
      </w:r>
      <w:r>
        <w:t>product ruling”, substitute “public ruling, private ruling or oral ruling”.</w:t>
      </w:r>
    </w:p>
    <w:p w14:paraId="7DBC843B" w14:textId="77777777" w:rsidR="00ED600D" w:rsidRDefault="003839D4" w:rsidP="00C90438">
      <w:pPr>
        <w:pStyle w:val="ItemHead"/>
      </w:pPr>
      <w:proofErr w:type="gramStart"/>
      <w:r>
        <w:t>3</w:t>
      </w:r>
      <w:r w:rsidR="00ED600D">
        <w:t xml:space="preserve">  </w:t>
      </w:r>
      <w:r w:rsidR="00C90438">
        <w:t>Paragraph</w:t>
      </w:r>
      <w:proofErr w:type="gramEnd"/>
      <w:r w:rsidR="00C90438">
        <w:t> 2</w:t>
      </w:r>
      <w:r w:rsidR="00ED600D">
        <w:t>90</w:t>
      </w:r>
      <w:r w:rsidR="00C90438">
        <w:noBreakHyphen/>
      </w:r>
      <w:r w:rsidR="00ED600D">
        <w:t xml:space="preserve">5(b) in </w:t>
      </w:r>
      <w:r w:rsidR="00C90438">
        <w:t>Schedule 1</w:t>
      </w:r>
    </w:p>
    <w:p w14:paraId="4429C09F" w14:textId="77777777" w:rsidR="00ED600D" w:rsidRDefault="00ED600D" w:rsidP="00C90438">
      <w:pPr>
        <w:pStyle w:val="Item"/>
      </w:pPr>
      <w:r>
        <w:t>Omit “the product ruling”, substitute “the ruling”.</w:t>
      </w:r>
    </w:p>
    <w:p w14:paraId="10CF70E7" w14:textId="77777777" w:rsidR="00516529" w:rsidRDefault="003839D4" w:rsidP="00C90438">
      <w:pPr>
        <w:pStyle w:val="ItemHead"/>
      </w:pPr>
      <w:proofErr w:type="gramStart"/>
      <w:r>
        <w:t>4</w:t>
      </w:r>
      <w:r w:rsidR="00516529">
        <w:t xml:space="preserve">  After</w:t>
      </w:r>
      <w:proofErr w:type="gramEnd"/>
      <w:r w:rsidR="00516529">
        <w:t xml:space="preserve"> </w:t>
      </w:r>
      <w:r w:rsidR="00C90438">
        <w:t>subsection 2</w:t>
      </w:r>
      <w:r w:rsidR="00516529">
        <w:t>90</w:t>
      </w:r>
      <w:r w:rsidR="00C90438">
        <w:noBreakHyphen/>
      </w:r>
      <w:r w:rsidR="00516529">
        <w:t xml:space="preserve">50(1) in </w:t>
      </w:r>
      <w:r w:rsidR="00C90438">
        <w:t>Schedule 1</w:t>
      </w:r>
    </w:p>
    <w:p w14:paraId="012AF8EE" w14:textId="77777777" w:rsidR="00516529" w:rsidRDefault="00516529" w:rsidP="00C90438">
      <w:pPr>
        <w:pStyle w:val="Item"/>
      </w:pPr>
      <w:r>
        <w:t>Insert:</w:t>
      </w:r>
    </w:p>
    <w:p w14:paraId="689C7FFA" w14:textId="77777777" w:rsidR="00516529" w:rsidRDefault="00516529" w:rsidP="00C90438">
      <w:pPr>
        <w:pStyle w:val="SubsectionHead"/>
      </w:pPr>
      <w:r>
        <w:t>Promoting</w:t>
      </w:r>
      <w:r w:rsidRPr="00516529">
        <w:t xml:space="preserve"> scheme otherwise than in accordance with ruling</w:t>
      </w:r>
    </w:p>
    <w:p w14:paraId="56E67888" w14:textId="77777777" w:rsidR="00516529" w:rsidRDefault="00516529" w:rsidP="00C90438">
      <w:pPr>
        <w:pStyle w:val="subsection"/>
      </w:pPr>
      <w:r>
        <w:tab/>
        <w:t>(1A)</w:t>
      </w:r>
      <w:r>
        <w:tab/>
      </w:r>
      <w:r w:rsidRPr="00516529">
        <w:t xml:space="preserve">An entity must not engage in conduct that results in a </w:t>
      </w:r>
      <w:r w:rsidR="00C90438" w:rsidRPr="00C90438">
        <w:rPr>
          <w:position w:val="6"/>
          <w:sz w:val="16"/>
        </w:rPr>
        <w:t>*</w:t>
      </w:r>
      <w:r w:rsidRPr="00516529">
        <w:t xml:space="preserve">scheme </w:t>
      </w:r>
      <w:r w:rsidR="008E2D56">
        <w:t xml:space="preserve">that </w:t>
      </w:r>
      <w:r w:rsidR="008E2D56" w:rsidRPr="00822DE3">
        <w:t>is</w:t>
      </w:r>
      <w:r w:rsidR="00822DE3">
        <w:t xml:space="preserve"> </w:t>
      </w:r>
      <w:r w:rsidR="008E2D56">
        <w:t xml:space="preserve">materially different from that described in a </w:t>
      </w:r>
      <w:r w:rsidR="00C90438" w:rsidRPr="00C90438">
        <w:rPr>
          <w:position w:val="6"/>
          <w:sz w:val="16"/>
        </w:rPr>
        <w:t>*</w:t>
      </w:r>
      <w:r w:rsidR="006A7140">
        <w:t xml:space="preserve">public ruling, </w:t>
      </w:r>
      <w:r w:rsidR="00C90438" w:rsidRPr="00C90438">
        <w:rPr>
          <w:position w:val="6"/>
          <w:sz w:val="16"/>
        </w:rPr>
        <w:t>*</w:t>
      </w:r>
      <w:r w:rsidR="006A7140">
        <w:t xml:space="preserve">private ruling or </w:t>
      </w:r>
      <w:r w:rsidR="00C90438" w:rsidRPr="00C90438">
        <w:rPr>
          <w:position w:val="6"/>
          <w:sz w:val="16"/>
        </w:rPr>
        <w:t>*</w:t>
      </w:r>
      <w:r w:rsidR="006A7140">
        <w:t>oral ruling</w:t>
      </w:r>
      <w:r w:rsidR="008E2D56">
        <w:t xml:space="preserve"> </w:t>
      </w:r>
      <w:r>
        <w:t xml:space="preserve">being promoted </w:t>
      </w:r>
      <w:proofErr w:type="gramStart"/>
      <w:r w:rsidRPr="00516529">
        <w:t>on the basis of</w:t>
      </w:r>
      <w:proofErr w:type="gramEnd"/>
      <w:r w:rsidRPr="00516529">
        <w:t xml:space="preserve"> conformity with </w:t>
      </w:r>
      <w:r w:rsidR="008E2D56">
        <w:t>that ruling.</w:t>
      </w:r>
    </w:p>
    <w:p w14:paraId="62AACF1F" w14:textId="77777777" w:rsidR="006A7140" w:rsidRDefault="003839D4" w:rsidP="00C90438">
      <w:pPr>
        <w:pStyle w:val="ItemHead"/>
      </w:pPr>
      <w:proofErr w:type="gramStart"/>
      <w:r>
        <w:t>5</w:t>
      </w:r>
      <w:r w:rsidR="006A7140">
        <w:t xml:space="preserve">  </w:t>
      </w:r>
      <w:r w:rsidR="00C90438">
        <w:t>Subsection</w:t>
      </w:r>
      <w:proofErr w:type="gramEnd"/>
      <w:r w:rsidR="00C90438">
        <w:t> 2</w:t>
      </w:r>
      <w:r w:rsidR="006A7140">
        <w:t>90</w:t>
      </w:r>
      <w:r w:rsidR="00C90438">
        <w:noBreakHyphen/>
      </w:r>
      <w:r w:rsidR="006A7140">
        <w:t xml:space="preserve">50(2) in </w:t>
      </w:r>
      <w:r w:rsidR="00C90438">
        <w:t>Schedule 1</w:t>
      </w:r>
    </w:p>
    <w:p w14:paraId="4DD8D0AC" w14:textId="77777777" w:rsidR="006A7140" w:rsidRDefault="006A7140" w:rsidP="00C90438">
      <w:pPr>
        <w:pStyle w:val="Item"/>
      </w:pPr>
      <w:r>
        <w:t>Omit “</w:t>
      </w:r>
      <w:r w:rsidR="00C90438" w:rsidRPr="00C90438">
        <w:rPr>
          <w:position w:val="6"/>
          <w:sz w:val="16"/>
        </w:rPr>
        <w:t>*</w:t>
      </w:r>
      <w:r>
        <w:t>product ruling”, substitute “</w:t>
      </w:r>
      <w:r w:rsidR="00C90438" w:rsidRPr="00C90438">
        <w:rPr>
          <w:position w:val="6"/>
          <w:sz w:val="16"/>
        </w:rPr>
        <w:t>*</w:t>
      </w:r>
      <w:r>
        <w:t xml:space="preserve">public ruling, </w:t>
      </w:r>
      <w:r w:rsidR="00C90438" w:rsidRPr="00C90438">
        <w:rPr>
          <w:position w:val="6"/>
          <w:sz w:val="16"/>
        </w:rPr>
        <w:t>*</w:t>
      </w:r>
      <w:r>
        <w:t xml:space="preserve">private ruling or </w:t>
      </w:r>
      <w:r w:rsidR="00C90438" w:rsidRPr="00C90438">
        <w:rPr>
          <w:position w:val="6"/>
          <w:sz w:val="16"/>
        </w:rPr>
        <w:t>*</w:t>
      </w:r>
      <w:r>
        <w:t>oral ruling</w:t>
      </w:r>
      <w:r w:rsidR="005A4B0B">
        <w:t xml:space="preserve"> (whether or not the ruling actually relates to the scheme)</w:t>
      </w:r>
      <w:r>
        <w:t>”.</w:t>
      </w:r>
    </w:p>
    <w:p w14:paraId="11CA2C5B" w14:textId="77777777" w:rsidR="006A7140" w:rsidRDefault="003839D4" w:rsidP="00C90438">
      <w:pPr>
        <w:pStyle w:val="ItemHead"/>
      </w:pPr>
      <w:proofErr w:type="gramStart"/>
      <w:r>
        <w:t>6</w:t>
      </w:r>
      <w:r w:rsidR="006A7140">
        <w:t xml:space="preserve">  </w:t>
      </w:r>
      <w:r w:rsidR="00C90438">
        <w:t>Subsection</w:t>
      </w:r>
      <w:proofErr w:type="gramEnd"/>
      <w:r w:rsidR="00C90438">
        <w:t> 2</w:t>
      </w:r>
      <w:r w:rsidR="006A7140">
        <w:t>90</w:t>
      </w:r>
      <w:r w:rsidR="00C90438">
        <w:noBreakHyphen/>
      </w:r>
      <w:r w:rsidR="006A7140">
        <w:t xml:space="preserve">50(2) in </w:t>
      </w:r>
      <w:r w:rsidR="00C90438">
        <w:t>Schedule 1</w:t>
      </w:r>
    </w:p>
    <w:p w14:paraId="141458AE" w14:textId="77777777" w:rsidR="006A7140" w:rsidRDefault="006A7140" w:rsidP="00C90438">
      <w:pPr>
        <w:pStyle w:val="Item"/>
      </w:pPr>
      <w:r>
        <w:t>Omit “the product ruling”, substitute “the ruling”.</w:t>
      </w:r>
    </w:p>
    <w:p w14:paraId="6B9AD8D6" w14:textId="77777777" w:rsidR="006A7140" w:rsidRDefault="003839D4" w:rsidP="00C90438">
      <w:pPr>
        <w:pStyle w:val="ItemHead"/>
      </w:pPr>
      <w:proofErr w:type="gramStart"/>
      <w:r>
        <w:t>7</w:t>
      </w:r>
      <w:r w:rsidR="006A7140">
        <w:t xml:space="preserve">  </w:t>
      </w:r>
      <w:r w:rsidR="00C90438">
        <w:t>Subsection</w:t>
      </w:r>
      <w:proofErr w:type="gramEnd"/>
      <w:r w:rsidR="00C90438">
        <w:t> 2</w:t>
      </w:r>
      <w:r w:rsidR="006A7140">
        <w:t>90</w:t>
      </w:r>
      <w:r w:rsidR="00C90438">
        <w:noBreakHyphen/>
      </w:r>
      <w:r w:rsidR="006A7140">
        <w:t xml:space="preserve">50(2) in </w:t>
      </w:r>
      <w:r w:rsidR="00C90438">
        <w:t>Schedule 1</w:t>
      </w:r>
      <w:r w:rsidR="006A7140">
        <w:t xml:space="preserve"> (note)</w:t>
      </w:r>
    </w:p>
    <w:p w14:paraId="2E7D6A7A" w14:textId="77777777" w:rsidR="006A7140" w:rsidRDefault="006A7140" w:rsidP="00C90438">
      <w:pPr>
        <w:pStyle w:val="Item"/>
      </w:pPr>
      <w:r>
        <w:t>Omit “product”.</w:t>
      </w:r>
    </w:p>
    <w:p w14:paraId="1C6A90FB" w14:textId="77777777" w:rsidR="00D27B06" w:rsidRDefault="003839D4" w:rsidP="00C90438">
      <w:pPr>
        <w:pStyle w:val="ItemHead"/>
      </w:pPr>
      <w:proofErr w:type="gramStart"/>
      <w:r>
        <w:t>8</w:t>
      </w:r>
      <w:r w:rsidR="00D27B06">
        <w:t xml:space="preserve">  </w:t>
      </w:r>
      <w:r w:rsidR="00C90438">
        <w:t>Subsection</w:t>
      </w:r>
      <w:proofErr w:type="gramEnd"/>
      <w:r w:rsidR="00C90438">
        <w:t> 2</w:t>
      </w:r>
      <w:r w:rsidR="00D27B06">
        <w:t>90</w:t>
      </w:r>
      <w:r w:rsidR="00C90438">
        <w:noBreakHyphen/>
      </w:r>
      <w:r w:rsidR="00D27B06">
        <w:t>50(2A)</w:t>
      </w:r>
      <w:r w:rsidR="0016009B">
        <w:t xml:space="preserve"> in </w:t>
      </w:r>
      <w:r w:rsidR="00C90438">
        <w:t>Schedule 1</w:t>
      </w:r>
    </w:p>
    <w:p w14:paraId="3F48ABAD" w14:textId="77777777" w:rsidR="00D27B06" w:rsidRDefault="00D27B06" w:rsidP="00C90438">
      <w:pPr>
        <w:pStyle w:val="Item"/>
      </w:pPr>
      <w:r>
        <w:t>Omit “</w:t>
      </w:r>
      <w:r w:rsidR="00C90438">
        <w:t>subsection (</w:t>
      </w:r>
      <w:r>
        <w:t>2)”, substitute “</w:t>
      </w:r>
      <w:r w:rsidR="00C90438">
        <w:t>subsections (</w:t>
      </w:r>
      <w:r>
        <w:t>1A) and (2)”.</w:t>
      </w:r>
    </w:p>
    <w:p w14:paraId="61EED20E" w14:textId="77777777" w:rsidR="006A7140" w:rsidRDefault="003839D4" w:rsidP="00C90438">
      <w:pPr>
        <w:pStyle w:val="ItemHead"/>
      </w:pPr>
      <w:proofErr w:type="gramStart"/>
      <w:r>
        <w:lastRenderedPageBreak/>
        <w:t>9</w:t>
      </w:r>
      <w:r w:rsidR="006A7140">
        <w:t xml:space="preserve">  </w:t>
      </w:r>
      <w:r w:rsidR="00C90438">
        <w:t>Subsection</w:t>
      </w:r>
      <w:proofErr w:type="gramEnd"/>
      <w:r w:rsidR="00C90438">
        <w:t> 2</w:t>
      </w:r>
      <w:r w:rsidR="006A7140">
        <w:t>90</w:t>
      </w:r>
      <w:r w:rsidR="00C90438">
        <w:noBreakHyphen/>
      </w:r>
      <w:r w:rsidR="006A7140">
        <w:t xml:space="preserve">50(2A) in </w:t>
      </w:r>
      <w:r w:rsidR="00C90438">
        <w:t>Schedule 1</w:t>
      </w:r>
      <w:r w:rsidR="006A7140">
        <w:t xml:space="preserve"> (note 2)</w:t>
      </w:r>
    </w:p>
    <w:p w14:paraId="21FD447F" w14:textId="77777777" w:rsidR="006A7140" w:rsidRDefault="006A7140" w:rsidP="00C90438">
      <w:pPr>
        <w:pStyle w:val="Item"/>
      </w:pPr>
      <w:r>
        <w:t>Omit “product”.</w:t>
      </w:r>
    </w:p>
    <w:p w14:paraId="0C3974B6" w14:textId="77777777" w:rsidR="00516529" w:rsidRDefault="003839D4" w:rsidP="00C90438">
      <w:pPr>
        <w:pStyle w:val="ItemHead"/>
      </w:pPr>
      <w:proofErr w:type="gramStart"/>
      <w:r>
        <w:t>10</w:t>
      </w:r>
      <w:r w:rsidR="00516529">
        <w:t xml:space="preserve">  </w:t>
      </w:r>
      <w:r w:rsidR="00C90438">
        <w:t>Subsection</w:t>
      </w:r>
      <w:proofErr w:type="gramEnd"/>
      <w:r w:rsidR="00C90438">
        <w:t> 2</w:t>
      </w:r>
      <w:r w:rsidR="00691351">
        <w:t>90</w:t>
      </w:r>
      <w:r w:rsidR="00C90438">
        <w:noBreakHyphen/>
      </w:r>
      <w:r w:rsidR="00691351">
        <w:t xml:space="preserve">50(3) </w:t>
      </w:r>
      <w:r w:rsidR="00516529">
        <w:t xml:space="preserve">in </w:t>
      </w:r>
      <w:r w:rsidR="00C90438">
        <w:t>Schedule 1</w:t>
      </w:r>
    </w:p>
    <w:p w14:paraId="133F22EA" w14:textId="77777777" w:rsidR="00516529" w:rsidRDefault="00691351" w:rsidP="00C90438">
      <w:pPr>
        <w:pStyle w:val="Item"/>
      </w:pPr>
      <w:r>
        <w:t xml:space="preserve">After “(1)”, </w:t>
      </w:r>
      <w:r w:rsidR="00AB511B">
        <w:t>insert</w:t>
      </w:r>
      <w:r>
        <w:t xml:space="preserve"> “, (1A)”.</w:t>
      </w:r>
    </w:p>
    <w:p w14:paraId="782B38B5" w14:textId="77777777" w:rsidR="00500F6D" w:rsidRDefault="003839D4" w:rsidP="00C90438">
      <w:pPr>
        <w:pStyle w:val="ItemHead"/>
      </w:pPr>
      <w:proofErr w:type="gramStart"/>
      <w:r>
        <w:t>11</w:t>
      </w:r>
      <w:r w:rsidR="00500F6D">
        <w:t xml:space="preserve">  </w:t>
      </w:r>
      <w:r w:rsidR="00C90438">
        <w:t>Subsection</w:t>
      </w:r>
      <w:proofErr w:type="gramEnd"/>
      <w:r w:rsidR="00C90438">
        <w:t> 2</w:t>
      </w:r>
      <w:r w:rsidR="00935F4B">
        <w:t>90</w:t>
      </w:r>
      <w:r w:rsidR="00C90438">
        <w:noBreakHyphen/>
      </w:r>
      <w:r w:rsidR="00935F4B">
        <w:t xml:space="preserve">50(4) in </w:t>
      </w:r>
      <w:r w:rsidR="00C90438">
        <w:t>Schedule 1</w:t>
      </w:r>
    </w:p>
    <w:p w14:paraId="2D2B5F75" w14:textId="77777777" w:rsidR="00935F4B" w:rsidRDefault="00935F4B" w:rsidP="00C90438">
      <w:pPr>
        <w:pStyle w:val="Item"/>
      </w:pPr>
      <w:r>
        <w:t>Repeal the subsection, substitute:</w:t>
      </w:r>
    </w:p>
    <w:p w14:paraId="73F9CDF6" w14:textId="77777777" w:rsidR="00935F4B" w:rsidRDefault="00935F4B" w:rsidP="00C90438">
      <w:pPr>
        <w:pStyle w:val="SubsectionHead"/>
      </w:pPr>
      <w:r>
        <w:t>Amount of penalty</w:t>
      </w:r>
    </w:p>
    <w:p w14:paraId="515F5AFD" w14:textId="77777777" w:rsidR="00935F4B" w:rsidRDefault="00935F4B" w:rsidP="00C90438">
      <w:pPr>
        <w:pStyle w:val="subsection"/>
      </w:pPr>
      <w:r>
        <w:tab/>
        <w:t>(4)</w:t>
      </w:r>
      <w:r>
        <w:tab/>
        <w:t xml:space="preserve">The maximum amount of the penalty for a contravention </w:t>
      </w:r>
      <w:r w:rsidR="00641A3F">
        <w:t xml:space="preserve">by an </w:t>
      </w:r>
      <w:r w:rsidR="00992F4C">
        <w:t>individual</w:t>
      </w:r>
      <w:r w:rsidR="00641A3F">
        <w:t xml:space="preserve"> </w:t>
      </w:r>
      <w:r>
        <w:t>is the greate</w:t>
      </w:r>
      <w:r w:rsidR="00992F4C">
        <w:t>r</w:t>
      </w:r>
      <w:r>
        <w:t xml:space="preserve"> of:</w:t>
      </w:r>
    </w:p>
    <w:p w14:paraId="5232893B" w14:textId="77777777" w:rsidR="00935F4B" w:rsidRDefault="00935F4B" w:rsidP="00C90438">
      <w:pPr>
        <w:pStyle w:val="paragraph"/>
      </w:pPr>
      <w:r>
        <w:tab/>
        <w:t>(a)</w:t>
      </w:r>
      <w:r>
        <w:tab/>
      </w:r>
      <w:r w:rsidR="00345C2F">
        <w:t>5,000 penalty units</w:t>
      </w:r>
      <w:r>
        <w:t>;</w:t>
      </w:r>
      <w:r w:rsidR="00992F4C">
        <w:t xml:space="preserve"> and</w:t>
      </w:r>
    </w:p>
    <w:p w14:paraId="77C776CB" w14:textId="77777777" w:rsidR="00992F4C" w:rsidRDefault="00935F4B" w:rsidP="00C90438">
      <w:pPr>
        <w:pStyle w:val="paragraph"/>
      </w:pPr>
      <w:r>
        <w:tab/>
        <w:t>(b)</w:t>
      </w:r>
      <w:r>
        <w:tab/>
        <w:t xml:space="preserve">3 times </w:t>
      </w:r>
      <w:r w:rsidR="00F4339D">
        <w:t xml:space="preserve">the </w:t>
      </w:r>
      <w:r w:rsidR="00B23F4E" w:rsidRPr="00B23F4E">
        <w:t xml:space="preserve">total </w:t>
      </w:r>
      <w:r w:rsidR="00F4339D" w:rsidRPr="00B23F4E">
        <w:t>value</w:t>
      </w:r>
      <w:r w:rsidR="00B23F4E" w:rsidRPr="00B23F4E">
        <w:t xml:space="preserve"> of all</w:t>
      </w:r>
      <w:r w:rsidR="00B23F4E">
        <w:rPr>
          <w:i/>
        </w:rPr>
        <w:t xml:space="preserve"> </w:t>
      </w:r>
      <w:r w:rsidR="00B23F4E" w:rsidRPr="00B23F4E">
        <w:t>benefits</w:t>
      </w:r>
      <w:r w:rsidR="00B23F4E">
        <w:rPr>
          <w:i/>
        </w:rPr>
        <w:t xml:space="preserve"> </w:t>
      </w:r>
      <w:r w:rsidR="00B23F4E" w:rsidRPr="00B23F4E">
        <w:t xml:space="preserve">received or receivable (directly or indirectly) by the </w:t>
      </w:r>
      <w:r w:rsidR="00992F4C">
        <w:t>individual</w:t>
      </w:r>
      <w:r w:rsidR="00B23F4E" w:rsidRPr="00B23F4E">
        <w:t xml:space="preserve"> and </w:t>
      </w:r>
      <w:r w:rsidR="00C90438" w:rsidRPr="00C90438">
        <w:rPr>
          <w:position w:val="6"/>
          <w:sz w:val="16"/>
        </w:rPr>
        <w:t>*</w:t>
      </w:r>
      <w:r w:rsidR="00B23F4E" w:rsidRPr="00B23F4E">
        <w:t xml:space="preserve">associates of the </w:t>
      </w:r>
      <w:r w:rsidR="00992F4C">
        <w:t xml:space="preserve">individual </w:t>
      </w:r>
      <w:r w:rsidR="00B23F4E" w:rsidRPr="00B23F4E">
        <w:t xml:space="preserve">in respect of the </w:t>
      </w:r>
      <w:r w:rsidR="00C90438" w:rsidRPr="00C90438">
        <w:rPr>
          <w:position w:val="6"/>
          <w:sz w:val="16"/>
        </w:rPr>
        <w:t>*</w:t>
      </w:r>
      <w:r w:rsidR="00B23F4E" w:rsidRPr="00B23F4E">
        <w:t>scheme</w:t>
      </w:r>
      <w:r w:rsidR="00992F4C">
        <w:t>.</w:t>
      </w:r>
    </w:p>
    <w:p w14:paraId="3A254C32" w14:textId="77777777" w:rsidR="00935F4B" w:rsidRDefault="00935F4B" w:rsidP="00C90438">
      <w:pPr>
        <w:pStyle w:val="notetext"/>
      </w:pPr>
      <w:r w:rsidRPr="00935F4B">
        <w:t>Note:</w:t>
      </w:r>
      <w:r w:rsidRPr="00935F4B">
        <w:tab/>
        <w:t xml:space="preserve">See </w:t>
      </w:r>
      <w:r w:rsidR="00C90438">
        <w:t>section 4</w:t>
      </w:r>
      <w:r w:rsidRPr="00935F4B">
        <w:t xml:space="preserve">AA of the </w:t>
      </w:r>
      <w:r w:rsidRPr="00935F4B">
        <w:rPr>
          <w:i/>
        </w:rPr>
        <w:t>Crimes Act 1914</w:t>
      </w:r>
      <w:r w:rsidRPr="00935F4B">
        <w:t xml:space="preserve"> for the current value of a penalty unit.</w:t>
      </w:r>
    </w:p>
    <w:p w14:paraId="43E8FD25" w14:textId="77777777" w:rsidR="00992F4C" w:rsidRDefault="00992F4C" w:rsidP="00C90438">
      <w:pPr>
        <w:pStyle w:val="subsection"/>
      </w:pPr>
      <w:r>
        <w:tab/>
        <w:t>(4A)</w:t>
      </w:r>
      <w:r>
        <w:tab/>
        <w:t>The maximum amount of the penalty for a contravention by an entity that is a body corporate</w:t>
      </w:r>
      <w:r w:rsidR="00822DE3">
        <w:t xml:space="preserve"> </w:t>
      </w:r>
      <w:r>
        <w:t>is the greatest of the following:</w:t>
      </w:r>
    </w:p>
    <w:p w14:paraId="5C444C42" w14:textId="77777777" w:rsidR="00992F4C" w:rsidRDefault="00992F4C" w:rsidP="00C90438">
      <w:pPr>
        <w:pStyle w:val="paragraph"/>
      </w:pPr>
      <w:r>
        <w:tab/>
        <w:t>(a)</w:t>
      </w:r>
      <w:r>
        <w:tab/>
        <w:t xml:space="preserve">50,000 penalty </w:t>
      </w:r>
      <w:proofErr w:type="gramStart"/>
      <w:r>
        <w:t>units;</w:t>
      </w:r>
      <w:proofErr w:type="gramEnd"/>
    </w:p>
    <w:p w14:paraId="432E5552" w14:textId="77777777" w:rsidR="00992F4C" w:rsidRDefault="00992F4C" w:rsidP="00C90438">
      <w:pPr>
        <w:pStyle w:val="paragraph"/>
      </w:pPr>
      <w:r>
        <w:tab/>
        <w:t>(b)</w:t>
      </w:r>
      <w:r>
        <w:tab/>
        <w:t xml:space="preserve">3 times the </w:t>
      </w:r>
      <w:r w:rsidRPr="00B23F4E">
        <w:t>total value of all</w:t>
      </w:r>
      <w:r>
        <w:rPr>
          <w:i/>
        </w:rPr>
        <w:t xml:space="preserve"> </w:t>
      </w:r>
      <w:r w:rsidRPr="00B23F4E">
        <w:t>benefits</w:t>
      </w:r>
      <w:r>
        <w:rPr>
          <w:i/>
        </w:rPr>
        <w:t xml:space="preserve"> </w:t>
      </w:r>
      <w:r w:rsidRPr="00B23F4E">
        <w:t xml:space="preserve">received or receivable (directly or indirectly) by the entity and </w:t>
      </w:r>
      <w:r w:rsidR="00C90438" w:rsidRPr="00C90438">
        <w:rPr>
          <w:position w:val="6"/>
          <w:sz w:val="16"/>
        </w:rPr>
        <w:t>*</w:t>
      </w:r>
      <w:r w:rsidRPr="00B23F4E">
        <w:t xml:space="preserve">associates of the entity in respect of the </w:t>
      </w:r>
      <w:r w:rsidR="00C90438" w:rsidRPr="00C90438">
        <w:rPr>
          <w:position w:val="6"/>
          <w:sz w:val="16"/>
        </w:rPr>
        <w:t>*</w:t>
      </w:r>
      <w:proofErr w:type="gramStart"/>
      <w:r w:rsidRPr="00B23F4E">
        <w:t>scheme</w:t>
      </w:r>
      <w:r>
        <w:t>;</w:t>
      </w:r>
      <w:proofErr w:type="gramEnd"/>
    </w:p>
    <w:p w14:paraId="638C005B" w14:textId="77777777" w:rsidR="00992F4C" w:rsidRDefault="00992F4C" w:rsidP="00C90438">
      <w:pPr>
        <w:pStyle w:val="paragraph"/>
      </w:pPr>
      <w:r>
        <w:tab/>
        <w:t>(c)</w:t>
      </w:r>
      <w:r>
        <w:tab/>
        <w:t>either:</w:t>
      </w:r>
    </w:p>
    <w:p w14:paraId="0CF68D89" w14:textId="77777777" w:rsidR="00992F4C" w:rsidRDefault="00992F4C" w:rsidP="00C90438">
      <w:pPr>
        <w:pStyle w:val="paragraphsub"/>
      </w:pPr>
      <w:r>
        <w:tab/>
        <w:t>(i)</w:t>
      </w:r>
      <w:r>
        <w:tab/>
      </w:r>
      <w:r w:rsidRPr="00935F4B">
        <w:t xml:space="preserve">10% of the </w:t>
      </w:r>
      <w:r w:rsidR="00C90438" w:rsidRPr="00C90438">
        <w:rPr>
          <w:position w:val="6"/>
          <w:sz w:val="16"/>
        </w:rPr>
        <w:t>*</w:t>
      </w:r>
      <w:r w:rsidRPr="00BD5007">
        <w:t>aggregated turnover</w:t>
      </w:r>
      <w:r w:rsidRPr="00935F4B">
        <w:t xml:space="preserve"> of the </w:t>
      </w:r>
      <w:r>
        <w:t>entity</w:t>
      </w:r>
      <w:r w:rsidRPr="00935F4B">
        <w:t xml:space="preserve"> for the </w:t>
      </w:r>
      <w:r>
        <w:t>most recent income year</w:t>
      </w:r>
      <w:r w:rsidRPr="00935F4B">
        <w:t xml:space="preserve"> </w:t>
      </w:r>
      <w:r>
        <w:t xml:space="preserve">to end before </w:t>
      </w:r>
      <w:r w:rsidRPr="00935F4B">
        <w:t xml:space="preserve">the </w:t>
      </w:r>
      <w:r>
        <w:t xml:space="preserve">entity </w:t>
      </w:r>
      <w:r w:rsidRPr="00935F4B">
        <w:t>contravened, or began to contravene, the provision</w:t>
      </w:r>
      <w:r>
        <w:t>; or</w:t>
      </w:r>
    </w:p>
    <w:p w14:paraId="69A07884" w14:textId="77777777" w:rsidR="00992F4C" w:rsidRDefault="00992F4C" w:rsidP="00C90438">
      <w:pPr>
        <w:pStyle w:val="paragraphsub"/>
      </w:pPr>
      <w:r>
        <w:tab/>
      </w:r>
      <w:r w:rsidRPr="00935F4B">
        <w:t>(ii)</w:t>
      </w:r>
      <w:r w:rsidRPr="00935F4B">
        <w:tab/>
        <w:t>if the amount worked out under subparagraph (i) is greater than an amount equal to 2.5 million penalty units—2.5 million penalty units.</w:t>
      </w:r>
    </w:p>
    <w:p w14:paraId="4C3C3F30" w14:textId="77777777" w:rsidR="00992F4C" w:rsidRDefault="00992F4C" w:rsidP="00C90438">
      <w:pPr>
        <w:pStyle w:val="notetext"/>
      </w:pPr>
      <w:r w:rsidRPr="00935F4B">
        <w:t>Note:</w:t>
      </w:r>
      <w:r w:rsidRPr="00935F4B">
        <w:tab/>
        <w:t xml:space="preserve">See </w:t>
      </w:r>
      <w:r w:rsidR="00C90438">
        <w:t>section 4</w:t>
      </w:r>
      <w:r w:rsidRPr="00935F4B">
        <w:t xml:space="preserve">AA of the </w:t>
      </w:r>
      <w:r w:rsidRPr="00935F4B">
        <w:rPr>
          <w:i/>
        </w:rPr>
        <w:t>Crimes Act 1914</w:t>
      </w:r>
      <w:r w:rsidRPr="00935F4B">
        <w:t xml:space="preserve"> for the current value of a penalty unit.</w:t>
      </w:r>
    </w:p>
    <w:p w14:paraId="3E50E91B" w14:textId="77777777" w:rsidR="00822DE3" w:rsidRDefault="00822DE3" w:rsidP="00C90438">
      <w:pPr>
        <w:pStyle w:val="subsection"/>
      </w:pPr>
      <w:r>
        <w:tab/>
        <w:t>(4B)</w:t>
      </w:r>
      <w:r>
        <w:tab/>
      </w:r>
      <w:r w:rsidR="007132B6">
        <w:t xml:space="preserve">Despite </w:t>
      </w:r>
      <w:r w:rsidR="00C90438">
        <w:t>subsections (</w:t>
      </w:r>
      <w:r w:rsidR="007132B6">
        <w:t xml:space="preserve">4) and (4A), the </w:t>
      </w:r>
      <w:r>
        <w:t>maximum amount of the penalty for a contravention by an entity that is:</w:t>
      </w:r>
    </w:p>
    <w:p w14:paraId="410B9463" w14:textId="77777777" w:rsidR="00822DE3" w:rsidRDefault="00822DE3" w:rsidP="00C90438">
      <w:pPr>
        <w:pStyle w:val="paragraph"/>
      </w:pPr>
      <w:r>
        <w:tab/>
        <w:t>(a)</w:t>
      </w:r>
      <w:r>
        <w:tab/>
        <w:t xml:space="preserve">a partner in a partnership that is a </w:t>
      </w:r>
      <w:r w:rsidR="00C90438" w:rsidRPr="00C90438">
        <w:rPr>
          <w:position w:val="6"/>
          <w:sz w:val="16"/>
        </w:rPr>
        <w:t>*</w:t>
      </w:r>
      <w:r>
        <w:t>significant global entity; or</w:t>
      </w:r>
    </w:p>
    <w:p w14:paraId="74488329" w14:textId="77777777" w:rsidR="00822DE3" w:rsidRDefault="00822DE3" w:rsidP="00C90438">
      <w:pPr>
        <w:pStyle w:val="paragraph"/>
      </w:pPr>
      <w:r>
        <w:tab/>
        <w:t>(b)</w:t>
      </w:r>
      <w:r>
        <w:tab/>
        <w:t xml:space="preserve">a trustee of a trust that is a significant global </w:t>
      </w:r>
      <w:proofErr w:type="gramStart"/>
      <w:r>
        <w:t>entity;</w:t>
      </w:r>
      <w:proofErr w:type="gramEnd"/>
    </w:p>
    <w:p w14:paraId="1CDCBD00" w14:textId="77777777" w:rsidR="00C16ED1" w:rsidRPr="00C16ED1" w:rsidRDefault="00C16ED1" w:rsidP="00C90438">
      <w:pPr>
        <w:pStyle w:val="subsection2"/>
      </w:pPr>
      <w:r w:rsidRPr="00C16ED1">
        <w:t>is the greatest of the following:</w:t>
      </w:r>
    </w:p>
    <w:p w14:paraId="5B4B5B47" w14:textId="77777777" w:rsidR="00C16ED1" w:rsidRDefault="00C16ED1" w:rsidP="00C90438">
      <w:pPr>
        <w:pStyle w:val="paragraph"/>
      </w:pPr>
      <w:r>
        <w:lastRenderedPageBreak/>
        <w:tab/>
        <w:t>(c)</w:t>
      </w:r>
      <w:r>
        <w:tab/>
        <w:t xml:space="preserve">50,000 penalty </w:t>
      </w:r>
      <w:proofErr w:type="gramStart"/>
      <w:r>
        <w:t>units;</w:t>
      </w:r>
      <w:proofErr w:type="gramEnd"/>
    </w:p>
    <w:p w14:paraId="74F9880F" w14:textId="77777777" w:rsidR="00C16ED1" w:rsidRDefault="00C16ED1" w:rsidP="00C90438">
      <w:pPr>
        <w:pStyle w:val="paragraph"/>
      </w:pPr>
      <w:r>
        <w:tab/>
        <w:t>(d)</w:t>
      </w:r>
      <w:r>
        <w:tab/>
        <w:t xml:space="preserve">3 times the </w:t>
      </w:r>
      <w:r w:rsidRPr="00B23F4E">
        <w:t>total value of all</w:t>
      </w:r>
      <w:r>
        <w:rPr>
          <w:i/>
        </w:rPr>
        <w:t xml:space="preserve"> </w:t>
      </w:r>
      <w:r w:rsidRPr="00B23F4E">
        <w:t>benefits</w:t>
      </w:r>
      <w:r>
        <w:rPr>
          <w:i/>
        </w:rPr>
        <w:t xml:space="preserve"> </w:t>
      </w:r>
      <w:r w:rsidRPr="00B23F4E">
        <w:t xml:space="preserve">received or receivable (directly or indirectly) by the </w:t>
      </w:r>
      <w:r>
        <w:t>significant global entity</w:t>
      </w:r>
      <w:r w:rsidRPr="00B23F4E">
        <w:t xml:space="preserve"> and </w:t>
      </w:r>
      <w:r w:rsidR="00C90438" w:rsidRPr="00C90438">
        <w:rPr>
          <w:position w:val="6"/>
          <w:sz w:val="16"/>
        </w:rPr>
        <w:t>*</w:t>
      </w:r>
      <w:r w:rsidRPr="00B23F4E">
        <w:t xml:space="preserve">associates of the </w:t>
      </w:r>
      <w:r>
        <w:t xml:space="preserve">significant global </w:t>
      </w:r>
      <w:r w:rsidRPr="00B23F4E">
        <w:t xml:space="preserve">entity in respect of the </w:t>
      </w:r>
      <w:r w:rsidR="00C90438" w:rsidRPr="00C90438">
        <w:rPr>
          <w:position w:val="6"/>
          <w:sz w:val="16"/>
        </w:rPr>
        <w:t>*</w:t>
      </w:r>
      <w:proofErr w:type="gramStart"/>
      <w:r w:rsidRPr="00B23F4E">
        <w:t>scheme</w:t>
      </w:r>
      <w:r>
        <w:t>;</w:t>
      </w:r>
      <w:proofErr w:type="gramEnd"/>
    </w:p>
    <w:p w14:paraId="23E59C6A" w14:textId="77777777" w:rsidR="00C16ED1" w:rsidRDefault="00C16ED1" w:rsidP="00C90438">
      <w:pPr>
        <w:pStyle w:val="paragraph"/>
      </w:pPr>
      <w:r>
        <w:tab/>
        <w:t>(e)</w:t>
      </w:r>
      <w:r>
        <w:tab/>
        <w:t>either:</w:t>
      </w:r>
    </w:p>
    <w:p w14:paraId="3AAE56D0" w14:textId="77777777" w:rsidR="00C16ED1" w:rsidRDefault="00C16ED1" w:rsidP="00C90438">
      <w:pPr>
        <w:pStyle w:val="paragraphsub"/>
      </w:pPr>
      <w:r>
        <w:tab/>
        <w:t>(i)</w:t>
      </w:r>
      <w:r>
        <w:tab/>
      </w:r>
      <w:r w:rsidRPr="00935F4B">
        <w:t xml:space="preserve">10% of the </w:t>
      </w:r>
      <w:r w:rsidR="00C90438" w:rsidRPr="00C90438">
        <w:rPr>
          <w:position w:val="6"/>
          <w:sz w:val="16"/>
        </w:rPr>
        <w:t>*</w:t>
      </w:r>
      <w:r w:rsidRPr="00BD5007">
        <w:t>aggregated turnover</w:t>
      </w:r>
      <w:r w:rsidRPr="00935F4B">
        <w:t xml:space="preserve"> of the </w:t>
      </w:r>
      <w:r>
        <w:t>significant global entity</w:t>
      </w:r>
      <w:r w:rsidRPr="00935F4B">
        <w:t xml:space="preserve"> for the </w:t>
      </w:r>
      <w:r>
        <w:t>most recent income year</w:t>
      </w:r>
      <w:r w:rsidRPr="00935F4B">
        <w:t xml:space="preserve"> </w:t>
      </w:r>
      <w:r>
        <w:t xml:space="preserve">to end before </w:t>
      </w:r>
      <w:r w:rsidRPr="00935F4B">
        <w:t xml:space="preserve">the </w:t>
      </w:r>
      <w:r>
        <w:t xml:space="preserve">entity </w:t>
      </w:r>
      <w:r w:rsidRPr="00935F4B">
        <w:t>contravened, or began to contravene, the provision</w:t>
      </w:r>
      <w:r>
        <w:t>; or</w:t>
      </w:r>
    </w:p>
    <w:p w14:paraId="4D454E44" w14:textId="77777777" w:rsidR="00C16ED1" w:rsidRDefault="00C16ED1" w:rsidP="00C90438">
      <w:pPr>
        <w:pStyle w:val="paragraphsub"/>
      </w:pPr>
      <w:r>
        <w:tab/>
      </w:r>
      <w:r w:rsidRPr="00935F4B">
        <w:t>(ii)</w:t>
      </w:r>
      <w:r w:rsidRPr="00935F4B">
        <w:tab/>
        <w:t>if the amount worked out under subparagraph (i) is greater than an amount equal to 2.5 million penalty units—2.5 million penalty units.</w:t>
      </w:r>
    </w:p>
    <w:p w14:paraId="76D86556" w14:textId="77777777" w:rsidR="00C16ED1" w:rsidRDefault="00C16ED1" w:rsidP="00C90438">
      <w:pPr>
        <w:pStyle w:val="notetext"/>
      </w:pPr>
      <w:r w:rsidRPr="00935F4B">
        <w:t>Note:</w:t>
      </w:r>
      <w:r w:rsidRPr="00935F4B">
        <w:tab/>
        <w:t xml:space="preserve">See </w:t>
      </w:r>
      <w:r w:rsidR="00C90438">
        <w:t>section 4</w:t>
      </w:r>
      <w:r w:rsidRPr="00935F4B">
        <w:t xml:space="preserve">AA of the </w:t>
      </w:r>
      <w:r w:rsidRPr="00935F4B">
        <w:rPr>
          <w:i/>
        </w:rPr>
        <w:t>Crimes Act 1914</w:t>
      </w:r>
      <w:r w:rsidRPr="00935F4B">
        <w:t xml:space="preserve"> for the current value of a penalty unit.</w:t>
      </w:r>
    </w:p>
    <w:p w14:paraId="66B47DE4" w14:textId="77777777" w:rsidR="00691351" w:rsidRDefault="003839D4" w:rsidP="00C90438">
      <w:pPr>
        <w:pStyle w:val="ItemHead"/>
      </w:pPr>
      <w:proofErr w:type="gramStart"/>
      <w:r>
        <w:t>12</w:t>
      </w:r>
      <w:r w:rsidR="00691351">
        <w:t xml:space="preserve">  </w:t>
      </w:r>
      <w:r w:rsidR="00C90438">
        <w:t>Subsection</w:t>
      </w:r>
      <w:proofErr w:type="gramEnd"/>
      <w:r w:rsidR="00C90438">
        <w:t> 2</w:t>
      </w:r>
      <w:r w:rsidR="00691351">
        <w:t>90</w:t>
      </w:r>
      <w:r w:rsidR="00C90438">
        <w:noBreakHyphen/>
      </w:r>
      <w:r w:rsidR="00691351">
        <w:t xml:space="preserve">50(5) in </w:t>
      </w:r>
      <w:r w:rsidR="00C90438">
        <w:t>Schedule 1</w:t>
      </w:r>
    </w:p>
    <w:p w14:paraId="354E722A" w14:textId="77777777" w:rsidR="00691351" w:rsidRPr="00516529" w:rsidRDefault="00691351" w:rsidP="00C90438">
      <w:pPr>
        <w:pStyle w:val="Item"/>
      </w:pPr>
      <w:r>
        <w:t xml:space="preserve">After “(1)”, </w:t>
      </w:r>
      <w:r w:rsidR="00AB511B">
        <w:t>insert</w:t>
      </w:r>
      <w:r>
        <w:t xml:space="preserve"> “, (1A)”.</w:t>
      </w:r>
    </w:p>
    <w:p w14:paraId="1D7E8309" w14:textId="77777777" w:rsidR="00BD5007" w:rsidRDefault="003839D4" w:rsidP="00C90438">
      <w:pPr>
        <w:pStyle w:val="ItemHead"/>
      </w:pPr>
      <w:proofErr w:type="gramStart"/>
      <w:r>
        <w:t>13</w:t>
      </w:r>
      <w:r w:rsidR="00BD5007">
        <w:t xml:space="preserve">  </w:t>
      </w:r>
      <w:r w:rsidR="00C90438">
        <w:t>Paragraph</w:t>
      </w:r>
      <w:proofErr w:type="gramEnd"/>
      <w:r w:rsidR="00C90438">
        <w:t> 2</w:t>
      </w:r>
      <w:r w:rsidR="00BD5007">
        <w:t>90</w:t>
      </w:r>
      <w:r w:rsidR="00C90438">
        <w:noBreakHyphen/>
      </w:r>
      <w:r w:rsidR="00BD5007">
        <w:t xml:space="preserve">50(5)(a) in </w:t>
      </w:r>
      <w:r w:rsidR="00C90438">
        <w:t>Schedule 1</w:t>
      </w:r>
    </w:p>
    <w:p w14:paraId="1975B894" w14:textId="77777777" w:rsidR="00BD5007" w:rsidRDefault="00BD5007" w:rsidP="00C90438">
      <w:pPr>
        <w:pStyle w:val="Item"/>
      </w:pPr>
      <w:r>
        <w:t>Omit “consideration”, substitute “benefit”.</w:t>
      </w:r>
    </w:p>
    <w:p w14:paraId="5436C41B" w14:textId="77777777" w:rsidR="001E1E56" w:rsidRDefault="003839D4" w:rsidP="00C90438">
      <w:pPr>
        <w:pStyle w:val="ItemHead"/>
      </w:pPr>
      <w:proofErr w:type="gramStart"/>
      <w:r>
        <w:t>14</w:t>
      </w:r>
      <w:r w:rsidR="001E1E56">
        <w:t xml:space="preserve">  </w:t>
      </w:r>
      <w:r w:rsidR="00C90438">
        <w:t>Subsection</w:t>
      </w:r>
      <w:proofErr w:type="gramEnd"/>
      <w:r w:rsidR="00C90438">
        <w:t> 2</w:t>
      </w:r>
      <w:r w:rsidR="001E1E56">
        <w:t>90</w:t>
      </w:r>
      <w:r w:rsidR="00C90438">
        <w:noBreakHyphen/>
      </w:r>
      <w:r w:rsidR="001E1E56">
        <w:t xml:space="preserve">55(2) in </w:t>
      </w:r>
      <w:r w:rsidR="00C90438">
        <w:t>Schedule 1</w:t>
      </w:r>
    </w:p>
    <w:p w14:paraId="540E1E71" w14:textId="77777777" w:rsidR="001E1E56" w:rsidRDefault="001E1E56" w:rsidP="00C90438">
      <w:pPr>
        <w:pStyle w:val="Item"/>
      </w:pPr>
      <w:r>
        <w:t>Repeal the subsection, substitute:</w:t>
      </w:r>
    </w:p>
    <w:p w14:paraId="3CB2BEB3" w14:textId="77777777" w:rsidR="001E1E56" w:rsidRDefault="001E1E56" w:rsidP="00C90438">
      <w:pPr>
        <w:pStyle w:val="subsection"/>
      </w:pPr>
      <w:r w:rsidRPr="001E1E56">
        <w:tab/>
        <w:t>(2)</w:t>
      </w:r>
      <w:r w:rsidRPr="001E1E56">
        <w:tab/>
        <w:t>The other entity referred to in paragraph (1)(b) does not include</w:t>
      </w:r>
      <w:r>
        <w:t>:</w:t>
      </w:r>
    </w:p>
    <w:p w14:paraId="304AB737" w14:textId="77777777" w:rsidR="001E1E56" w:rsidRDefault="001E1E56" w:rsidP="00C90438">
      <w:pPr>
        <w:pStyle w:val="paragraph"/>
      </w:pPr>
      <w:r>
        <w:tab/>
        <w:t>(a)</w:t>
      </w:r>
      <w:r>
        <w:tab/>
      </w:r>
      <w:r w:rsidRPr="001E1E56">
        <w:t>someone who was an employee or agent of the entity when the alleged conduct occurred</w:t>
      </w:r>
      <w:r>
        <w:t>; or</w:t>
      </w:r>
    </w:p>
    <w:p w14:paraId="3D6378D2" w14:textId="77777777" w:rsidR="001E1E56" w:rsidRDefault="001E1E56" w:rsidP="00C90438">
      <w:pPr>
        <w:pStyle w:val="paragraph"/>
      </w:pPr>
      <w:r>
        <w:tab/>
        <w:t>(b)</w:t>
      </w:r>
      <w:r>
        <w:tab/>
        <w:t>if the entity is a body corporate—someone who was a director of the entity when the alleged conduct occurred; or</w:t>
      </w:r>
    </w:p>
    <w:p w14:paraId="2C1EE0D7" w14:textId="77777777" w:rsidR="001E1E56" w:rsidRDefault="001E1E56" w:rsidP="00C90438">
      <w:pPr>
        <w:pStyle w:val="paragraph"/>
      </w:pPr>
      <w:r>
        <w:tab/>
        <w:t>(c)</w:t>
      </w:r>
      <w:r>
        <w:tab/>
        <w:t xml:space="preserve">if the entity is a partner in a partnership that is a </w:t>
      </w:r>
      <w:r w:rsidR="00C90438" w:rsidRPr="00C90438">
        <w:rPr>
          <w:position w:val="6"/>
          <w:sz w:val="16"/>
        </w:rPr>
        <w:t>*</w:t>
      </w:r>
      <w:r>
        <w:t>significant global entity—someone who was a partner in the partnership when the alleged conduct occurred; or</w:t>
      </w:r>
    </w:p>
    <w:p w14:paraId="37A455B3" w14:textId="77777777" w:rsidR="001E1E56" w:rsidRDefault="001E1E56" w:rsidP="00C90438">
      <w:pPr>
        <w:pStyle w:val="paragraph"/>
      </w:pPr>
      <w:r>
        <w:tab/>
        <w:t>(d)</w:t>
      </w:r>
      <w:r>
        <w:tab/>
        <w:t>if the entity is a trustee of a trust that is a significant global entity</w:t>
      </w:r>
      <w:r w:rsidR="00F962DE">
        <w:t xml:space="preserve"> and has more than one trustee</w:t>
      </w:r>
      <w:r>
        <w:t>—someone who was also a trustee of the trust when the alleged conduct occurred.</w:t>
      </w:r>
    </w:p>
    <w:p w14:paraId="36787358" w14:textId="77777777" w:rsidR="00691351" w:rsidRDefault="003839D4" w:rsidP="00C90438">
      <w:pPr>
        <w:pStyle w:val="ItemHead"/>
      </w:pPr>
      <w:proofErr w:type="gramStart"/>
      <w:r>
        <w:t>15</w:t>
      </w:r>
      <w:r w:rsidR="00691351">
        <w:t xml:space="preserve">  </w:t>
      </w:r>
      <w:r w:rsidR="00C90438">
        <w:t>Subsection</w:t>
      </w:r>
      <w:proofErr w:type="gramEnd"/>
      <w:r w:rsidR="00C90438">
        <w:t> 2</w:t>
      </w:r>
      <w:r w:rsidR="00691351">
        <w:t>90</w:t>
      </w:r>
      <w:r w:rsidR="00C90438">
        <w:noBreakHyphen/>
      </w:r>
      <w:r w:rsidR="00691351">
        <w:t xml:space="preserve">55(4) in </w:t>
      </w:r>
      <w:r w:rsidR="00C90438">
        <w:t>Schedule 1</w:t>
      </w:r>
    </w:p>
    <w:p w14:paraId="45EDBD1A" w14:textId="77777777" w:rsidR="00691351" w:rsidRPr="00516529" w:rsidRDefault="00691351" w:rsidP="00C90438">
      <w:pPr>
        <w:pStyle w:val="Item"/>
      </w:pPr>
      <w:r>
        <w:t>Omit “4 years”, substitute “6 years”.</w:t>
      </w:r>
    </w:p>
    <w:p w14:paraId="4C7C68E2" w14:textId="77777777" w:rsidR="00691351" w:rsidRDefault="003839D4" w:rsidP="00C90438">
      <w:pPr>
        <w:pStyle w:val="ItemHead"/>
      </w:pPr>
      <w:proofErr w:type="gramStart"/>
      <w:r>
        <w:lastRenderedPageBreak/>
        <w:t>16</w:t>
      </w:r>
      <w:r w:rsidR="00691351">
        <w:t xml:space="preserve">  </w:t>
      </w:r>
      <w:r w:rsidR="00C90438">
        <w:t>Subsection</w:t>
      </w:r>
      <w:proofErr w:type="gramEnd"/>
      <w:r w:rsidR="00C90438">
        <w:t> 2</w:t>
      </w:r>
      <w:r w:rsidR="00691351">
        <w:t>90</w:t>
      </w:r>
      <w:r w:rsidR="00C90438">
        <w:noBreakHyphen/>
      </w:r>
      <w:r w:rsidR="00691351">
        <w:t xml:space="preserve">55(5) in </w:t>
      </w:r>
      <w:r w:rsidR="00C90438">
        <w:t>Schedule 1</w:t>
      </w:r>
    </w:p>
    <w:p w14:paraId="5BD08928" w14:textId="77777777" w:rsidR="002827CD" w:rsidRDefault="002827CD" w:rsidP="00C90438">
      <w:pPr>
        <w:pStyle w:val="Item"/>
      </w:pPr>
      <w:r>
        <w:t>Omit “</w:t>
      </w:r>
      <w:r w:rsidR="00C90438" w:rsidRPr="00C90438">
        <w:rPr>
          <w:position w:val="6"/>
          <w:sz w:val="16"/>
        </w:rPr>
        <w:t>*</w:t>
      </w:r>
      <w:r>
        <w:t>product ruling”, substitute “</w:t>
      </w:r>
      <w:r w:rsidR="00C90438" w:rsidRPr="00C90438">
        <w:rPr>
          <w:position w:val="6"/>
          <w:sz w:val="16"/>
        </w:rPr>
        <w:t>*</w:t>
      </w:r>
      <w:r>
        <w:t xml:space="preserve">public ruling, </w:t>
      </w:r>
      <w:r w:rsidR="00C90438" w:rsidRPr="00C90438">
        <w:rPr>
          <w:position w:val="6"/>
          <w:sz w:val="16"/>
        </w:rPr>
        <w:t>*</w:t>
      </w:r>
      <w:r>
        <w:t xml:space="preserve">private ruling or </w:t>
      </w:r>
      <w:r w:rsidR="00C90438" w:rsidRPr="00C90438">
        <w:rPr>
          <w:position w:val="6"/>
          <w:sz w:val="16"/>
        </w:rPr>
        <w:t>*</w:t>
      </w:r>
      <w:r>
        <w:t>oral ruling”.</w:t>
      </w:r>
    </w:p>
    <w:p w14:paraId="6A2AA250" w14:textId="77777777" w:rsidR="00DB1E13" w:rsidRDefault="003839D4" w:rsidP="00C90438">
      <w:pPr>
        <w:pStyle w:val="ItemHead"/>
      </w:pPr>
      <w:proofErr w:type="gramStart"/>
      <w:r>
        <w:t>17</w:t>
      </w:r>
      <w:r w:rsidR="00DB1E13">
        <w:t xml:space="preserve">  </w:t>
      </w:r>
      <w:r w:rsidR="00C90438">
        <w:t>Subsection</w:t>
      </w:r>
      <w:proofErr w:type="gramEnd"/>
      <w:r w:rsidR="00C90438">
        <w:t> 2</w:t>
      </w:r>
      <w:r w:rsidR="00DB1E13">
        <w:t>90</w:t>
      </w:r>
      <w:r w:rsidR="00C90438">
        <w:noBreakHyphen/>
      </w:r>
      <w:r w:rsidR="00DB1E13">
        <w:t xml:space="preserve">55(5) in </w:t>
      </w:r>
      <w:r w:rsidR="00C90438">
        <w:t>Schedule 1</w:t>
      </w:r>
    </w:p>
    <w:p w14:paraId="00A1CEA7" w14:textId="77777777" w:rsidR="00DB1E13" w:rsidRPr="00516529" w:rsidRDefault="00DB1E13" w:rsidP="00C90438">
      <w:pPr>
        <w:pStyle w:val="Item"/>
      </w:pPr>
      <w:r>
        <w:t>Omit “4 years”, substitute “6 years”.</w:t>
      </w:r>
    </w:p>
    <w:p w14:paraId="5A818C3F" w14:textId="77777777" w:rsidR="002827CD" w:rsidRDefault="003839D4" w:rsidP="00C90438">
      <w:pPr>
        <w:pStyle w:val="ItemHead"/>
      </w:pPr>
      <w:proofErr w:type="gramStart"/>
      <w:r>
        <w:t>18</w:t>
      </w:r>
      <w:r w:rsidR="002827CD">
        <w:t xml:space="preserve">  </w:t>
      </w:r>
      <w:r w:rsidR="00C90438">
        <w:t>Subsection</w:t>
      </w:r>
      <w:proofErr w:type="gramEnd"/>
      <w:r w:rsidR="00C90438">
        <w:t> 2</w:t>
      </w:r>
      <w:r w:rsidR="002827CD">
        <w:t>90</w:t>
      </w:r>
      <w:r w:rsidR="00C90438">
        <w:noBreakHyphen/>
      </w:r>
      <w:r w:rsidR="002827CD">
        <w:t xml:space="preserve">55(5) in </w:t>
      </w:r>
      <w:r w:rsidR="00C90438">
        <w:t>Schedule 1</w:t>
      </w:r>
    </w:p>
    <w:p w14:paraId="36EE33D7" w14:textId="77777777" w:rsidR="002827CD" w:rsidRDefault="002827CD" w:rsidP="00C90438">
      <w:pPr>
        <w:pStyle w:val="Item"/>
      </w:pPr>
      <w:r>
        <w:t>Omit all the words after “last engaged”, substitute:</w:t>
      </w:r>
    </w:p>
    <w:p w14:paraId="6B479412" w14:textId="77777777" w:rsidR="00485DAA" w:rsidRDefault="002827CD" w:rsidP="00C90438">
      <w:pPr>
        <w:pStyle w:val="subsection"/>
      </w:pPr>
      <w:r>
        <w:tab/>
      </w:r>
      <w:r>
        <w:tab/>
      </w:r>
      <w:r w:rsidR="00691351" w:rsidRPr="00691351">
        <w:t>in conduct in relation to</w:t>
      </w:r>
      <w:r w:rsidR="00485DAA">
        <w:t>:</w:t>
      </w:r>
    </w:p>
    <w:p w14:paraId="340875FE" w14:textId="77777777" w:rsidR="00485DAA" w:rsidRDefault="00485DAA" w:rsidP="00C90438">
      <w:pPr>
        <w:pStyle w:val="paragraph"/>
      </w:pPr>
      <w:r>
        <w:tab/>
        <w:t>(a)</w:t>
      </w:r>
      <w:r>
        <w:tab/>
        <w:t>if the scheme has been implemented—the implementation of the scheme; or</w:t>
      </w:r>
    </w:p>
    <w:p w14:paraId="43A36A10" w14:textId="77777777" w:rsidR="001B0106" w:rsidRDefault="00485DAA" w:rsidP="00C90438">
      <w:pPr>
        <w:pStyle w:val="paragraph"/>
      </w:pPr>
      <w:r>
        <w:tab/>
        <w:t>(b)</w:t>
      </w:r>
      <w:r>
        <w:tab/>
        <w:t>if the scheme has not been implemented—</w:t>
      </w:r>
      <w:r w:rsidR="001B0106">
        <w:t xml:space="preserve">the </w:t>
      </w:r>
      <w:r w:rsidR="001B0106" w:rsidRPr="00F962DE">
        <w:t>promotion</w:t>
      </w:r>
      <w:r w:rsidR="00691351" w:rsidRPr="001B0106">
        <w:t xml:space="preserve"> </w:t>
      </w:r>
      <w:r w:rsidR="00691351" w:rsidRPr="00691351">
        <w:t>of the scheme.</w:t>
      </w:r>
    </w:p>
    <w:p w14:paraId="6F28CB04" w14:textId="77777777" w:rsidR="00516529" w:rsidRDefault="003839D4" w:rsidP="00C90438">
      <w:pPr>
        <w:pStyle w:val="ItemHead"/>
      </w:pPr>
      <w:proofErr w:type="gramStart"/>
      <w:r>
        <w:t>19</w:t>
      </w:r>
      <w:r w:rsidR="00516529">
        <w:t xml:space="preserve">  </w:t>
      </w:r>
      <w:r w:rsidR="00C90438">
        <w:t>Subsection</w:t>
      </w:r>
      <w:proofErr w:type="gramEnd"/>
      <w:r w:rsidR="00C90438">
        <w:t> 2</w:t>
      </w:r>
      <w:r w:rsidR="00691351">
        <w:t>90</w:t>
      </w:r>
      <w:r w:rsidR="00C90438">
        <w:noBreakHyphen/>
      </w:r>
      <w:r w:rsidR="00691351">
        <w:t>55(</w:t>
      </w:r>
      <w:r w:rsidR="00C36B3D">
        <w:t>6</w:t>
      </w:r>
      <w:r w:rsidR="00691351">
        <w:t xml:space="preserve">) </w:t>
      </w:r>
      <w:r w:rsidR="00516529">
        <w:t xml:space="preserve">in </w:t>
      </w:r>
      <w:r w:rsidR="00C90438">
        <w:t>Schedule 1</w:t>
      </w:r>
    </w:p>
    <w:p w14:paraId="0B01452D" w14:textId="77777777" w:rsidR="00516529" w:rsidRPr="00516529" w:rsidRDefault="00706793" w:rsidP="00C90438">
      <w:pPr>
        <w:pStyle w:val="Item"/>
      </w:pPr>
      <w:r>
        <w:t xml:space="preserve">Omit “a </w:t>
      </w:r>
      <w:r w:rsidR="00C90438" w:rsidRPr="00C90438">
        <w:rPr>
          <w:position w:val="6"/>
          <w:sz w:val="16"/>
        </w:rPr>
        <w:t>*</w:t>
      </w:r>
      <w:r>
        <w:t>scheme involving”, substitute “</w:t>
      </w:r>
      <w:r w:rsidR="00C90438" w:rsidRPr="00C90438">
        <w:rPr>
          <w:position w:val="6"/>
          <w:sz w:val="16"/>
        </w:rPr>
        <w:t>*</w:t>
      </w:r>
      <w:r>
        <w:t>schemes that involve, or if implemented would involve,”.</w:t>
      </w:r>
    </w:p>
    <w:p w14:paraId="4AC79867" w14:textId="77777777" w:rsidR="00516529" w:rsidRDefault="003839D4" w:rsidP="00C90438">
      <w:pPr>
        <w:pStyle w:val="ItemHead"/>
      </w:pPr>
      <w:proofErr w:type="gramStart"/>
      <w:r>
        <w:t>20</w:t>
      </w:r>
      <w:r w:rsidR="00516529">
        <w:t xml:space="preserve"> </w:t>
      </w:r>
      <w:r w:rsidR="00F13827">
        <w:t xml:space="preserve"> </w:t>
      </w:r>
      <w:r w:rsidR="008E2D56">
        <w:t>After</w:t>
      </w:r>
      <w:proofErr w:type="gramEnd"/>
      <w:r w:rsidR="008E2D56">
        <w:t xml:space="preserve"> </w:t>
      </w:r>
      <w:r w:rsidR="00C90438">
        <w:t>paragraph 2</w:t>
      </w:r>
      <w:r w:rsidR="008E2D56">
        <w:t>90</w:t>
      </w:r>
      <w:r w:rsidR="00C90438">
        <w:noBreakHyphen/>
      </w:r>
      <w:r w:rsidR="008E2D56">
        <w:t>55(7)(a)</w:t>
      </w:r>
      <w:r w:rsidR="00516529">
        <w:t xml:space="preserve"> in </w:t>
      </w:r>
      <w:r w:rsidR="00C90438">
        <w:t>Schedule 1</w:t>
      </w:r>
    </w:p>
    <w:p w14:paraId="662E8514" w14:textId="77777777" w:rsidR="00516529" w:rsidRDefault="008E2D56" w:rsidP="00C90438">
      <w:pPr>
        <w:pStyle w:val="Item"/>
      </w:pPr>
      <w:r>
        <w:t>Insert:</w:t>
      </w:r>
    </w:p>
    <w:p w14:paraId="21B42C0E" w14:textId="77777777" w:rsidR="008E2D56" w:rsidRDefault="008E2D56" w:rsidP="00C90438">
      <w:pPr>
        <w:pStyle w:val="paragraph"/>
      </w:pPr>
      <w:r>
        <w:tab/>
        <w:t>(aa)</w:t>
      </w:r>
      <w:r>
        <w:tab/>
        <w:t xml:space="preserve">that results in a </w:t>
      </w:r>
      <w:r w:rsidR="00C90438" w:rsidRPr="00C90438">
        <w:rPr>
          <w:position w:val="6"/>
          <w:sz w:val="16"/>
        </w:rPr>
        <w:t>*</w:t>
      </w:r>
      <w:r>
        <w:t xml:space="preserve">scheme that is materially different from that described in a </w:t>
      </w:r>
      <w:r w:rsidR="00C90438" w:rsidRPr="00C90438">
        <w:rPr>
          <w:position w:val="6"/>
          <w:sz w:val="16"/>
        </w:rPr>
        <w:t>*</w:t>
      </w:r>
      <w:r w:rsidR="000110A4">
        <w:t xml:space="preserve">public ruling, </w:t>
      </w:r>
      <w:r w:rsidR="00C90438" w:rsidRPr="00C90438">
        <w:rPr>
          <w:position w:val="6"/>
          <w:sz w:val="16"/>
        </w:rPr>
        <w:t>*</w:t>
      </w:r>
      <w:r w:rsidR="000110A4">
        <w:t xml:space="preserve">private ruling or </w:t>
      </w:r>
      <w:r w:rsidR="00C90438" w:rsidRPr="00C90438">
        <w:rPr>
          <w:position w:val="6"/>
          <w:sz w:val="16"/>
        </w:rPr>
        <w:t>*</w:t>
      </w:r>
      <w:r w:rsidR="000110A4">
        <w:t>oral ruling</w:t>
      </w:r>
      <w:r>
        <w:t xml:space="preserve"> being promoted </w:t>
      </w:r>
      <w:proofErr w:type="gramStart"/>
      <w:r w:rsidRPr="00516529">
        <w:t>on the basis of</w:t>
      </w:r>
      <w:proofErr w:type="gramEnd"/>
      <w:r w:rsidRPr="00516529">
        <w:t xml:space="preserve"> conformity with </w:t>
      </w:r>
      <w:r>
        <w:t>that ruling; or</w:t>
      </w:r>
    </w:p>
    <w:p w14:paraId="180ADC1F" w14:textId="77777777" w:rsidR="008E2D56" w:rsidRDefault="003839D4" w:rsidP="00C90438">
      <w:pPr>
        <w:pStyle w:val="ItemHead"/>
      </w:pPr>
      <w:proofErr w:type="gramStart"/>
      <w:r>
        <w:t>21</w:t>
      </w:r>
      <w:r w:rsidR="008E2D56">
        <w:t xml:space="preserve">  </w:t>
      </w:r>
      <w:r w:rsidR="00C90438">
        <w:t>Paragraph</w:t>
      </w:r>
      <w:proofErr w:type="gramEnd"/>
      <w:r w:rsidR="00C90438">
        <w:t> 2</w:t>
      </w:r>
      <w:r w:rsidR="008E2D56">
        <w:t>90</w:t>
      </w:r>
      <w:r w:rsidR="00C90438">
        <w:noBreakHyphen/>
      </w:r>
      <w:r w:rsidR="008E2D56">
        <w:t xml:space="preserve">55(7)(b) in </w:t>
      </w:r>
      <w:r w:rsidR="00C90438">
        <w:t>Schedule 1</w:t>
      </w:r>
    </w:p>
    <w:p w14:paraId="73AB4C3A" w14:textId="77777777" w:rsidR="008E2D56" w:rsidRPr="008E2D56" w:rsidRDefault="008E2D56" w:rsidP="00C90438">
      <w:pPr>
        <w:pStyle w:val="Item"/>
      </w:pPr>
      <w:r w:rsidRPr="008E2D56">
        <w:t>Omit “</w:t>
      </w:r>
      <w:r w:rsidR="00C90438" w:rsidRPr="00C90438">
        <w:rPr>
          <w:position w:val="6"/>
          <w:sz w:val="16"/>
        </w:rPr>
        <w:t>*</w:t>
      </w:r>
      <w:r w:rsidRPr="008E2D56">
        <w:t>scheme”, substitute “scheme”.</w:t>
      </w:r>
    </w:p>
    <w:p w14:paraId="0D984B67" w14:textId="77777777" w:rsidR="000110A4" w:rsidRDefault="003839D4" w:rsidP="00C90438">
      <w:pPr>
        <w:pStyle w:val="ItemHead"/>
      </w:pPr>
      <w:proofErr w:type="gramStart"/>
      <w:r>
        <w:t>22</w:t>
      </w:r>
      <w:r w:rsidR="000110A4">
        <w:t xml:space="preserve">  </w:t>
      </w:r>
      <w:r w:rsidR="00C90438">
        <w:t>Paragraph</w:t>
      </w:r>
      <w:proofErr w:type="gramEnd"/>
      <w:r w:rsidR="00C90438">
        <w:t> 2</w:t>
      </w:r>
      <w:r w:rsidR="000110A4">
        <w:t>90</w:t>
      </w:r>
      <w:r w:rsidR="00C90438">
        <w:noBreakHyphen/>
      </w:r>
      <w:r w:rsidR="000110A4">
        <w:t xml:space="preserve">55(7)(b) in </w:t>
      </w:r>
      <w:r w:rsidR="00C90438">
        <w:t>Schedule 1</w:t>
      </w:r>
    </w:p>
    <w:p w14:paraId="26916B7D" w14:textId="77777777" w:rsidR="000110A4" w:rsidRDefault="000110A4" w:rsidP="00C90438">
      <w:pPr>
        <w:pStyle w:val="Item"/>
      </w:pPr>
      <w:r>
        <w:t>Omit “</w:t>
      </w:r>
      <w:r w:rsidR="00C90438" w:rsidRPr="00C90438">
        <w:rPr>
          <w:position w:val="6"/>
          <w:sz w:val="16"/>
        </w:rPr>
        <w:t>*</w:t>
      </w:r>
      <w:r>
        <w:t>product ruling”, substitute “public ruling, private ruling or oral ruling”.</w:t>
      </w:r>
    </w:p>
    <w:p w14:paraId="33D54F50" w14:textId="77777777" w:rsidR="000110A4" w:rsidRDefault="003839D4" w:rsidP="00C90438">
      <w:pPr>
        <w:pStyle w:val="ItemHead"/>
      </w:pPr>
      <w:proofErr w:type="gramStart"/>
      <w:r>
        <w:t>23</w:t>
      </w:r>
      <w:r w:rsidR="000110A4">
        <w:t xml:space="preserve">  </w:t>
      </w:r>
      <w:r w:rsidR="00C90438">
        <w:t>Paragraph</w:t>
      </w:r>
      <w:proofErr w:type="gramEnd"/>
      <w:r w:rsidR="00C90438">
        <w:t> 2</w:t>
      </w:r>
      <w:r w:rsidR="000110A4">
        <w:t>90</w:t>
      </w:r>
      <w:r w:rsidR="00C90438">
        <w:noBreakHyphen/>
      </w:r>
      <w:r w:rsidR="000110A4">
        <w:t xml:space="preserve">55(7)(b) in </w:t>
      </w:r>
      <w:r w:rsidR="00C90438">
        <w:t>Schedule 1</w:t>
      </w:r>
    </w:p>
    <w:p w14:paraId="19506CAF" w14:textId="77777777" w:rsidR="000110A4" w:rsidRDefault="000110A4" w:rsidP="00C90438">
      <w:pPr>
        <w:pStyle w:val="Item"/>
      </w:pPr>
      <w:r>
        <w:t>Omit “the product ruling”, substitute “the ruling”.</w:t>
      </w:r>
    </w:p>
    <w:p w14:paraId="3D662707" w14:textId="77777777" w:rsidR="006A5BF5" w:rsidRDefault="003839D4" w:rsidP="00C90438">
      <w:pPr>
        <w:pStyle w:val="ItemHead"/>
      </w:pPr>
      <w:proofErr w:type="gramStart"/>
      <w:r>
        <w:t>24</w:t>
      </w:r>
      <w:r w:rsidR="00D04491">
        <w:t xml:space="preserve">  After</w:t>
      </w:r>
      <w:proofErr w:type="gramEnd"/>
      <w:r w:rsidR="00D04491">
        <w:t xml:space="preserve"> </w:t>
      </w:r>
      <w:r w:rsidR="00C90438">
        <w:t>subsection 2</w:t>
      </w:r>
      <w:r w:rsidR="00062881">
        <w:t>90</w:t>
      </w:r>
      <w:r w:rsidR="00C90438">
        <w:noBreakHyphen/>
      </w:r>
      <w:r w:rsidR="00062881">
        <w:t>55</w:t>
      </w:r>
      <w:r w:rsidR="00D04491">
        <w:t xml:space="preserve">(7) in </w:t>
      </w:r>
      <w:r w:rsidR="00C90438">
        <w:t>Schedule 1</w:t>
      </w:r>
    </w:p>
    <w:p w14:paraId="12F40CE4" w14:textId="77777777" w:rsidR="00D04491" w:rsidRDefault="00D04491" w:rsidP="00C90438">
      <w:pPr>
        <w:pStyle w:val="Item"/>
      </w:pPr>
      <w:r>
        <w:t>Insert:</w:t>
      </w:r>
    </w:p>
    <w:p w14:paraId="379F3609" w14:textId="77777777" w:rsidR="00D04491" w:rsidRDefault="00D04491" w:rsidP="00C90438">
      <w:pPr>
        <w:pStyle w:val="subsection"/>
      </w:pPr>
      <w:r w:rsidRPr="001E1E56">
        <w:tab/>
        <w:t>(</w:t>
      </w:r>
      <w:r>
        <w:t>7A</w:t>
      </w:r>
      <w:r w:rsidRPr="001E1E56">
        <w:t>)</w:t>
      </w:r>
      <w:r w:rsidRPr="001E1E56">
        <w:tab/>
        <w:t>The other entity referred to in paragraph (</w:t>
      </w:r>
      <w:r>
        <w:t>7</w:t>
      </w:r>
      <w:r w:rsidRPr="001E1E56">
        <w:t>)(</w:t>
      </w:r>
      <w:r>
        <w:t>a</w:t>
      </w:r>
      <w:r w:rsidRPr="001E1E56">
        <w:t>) does not include</w:t>
      </w:r>
      <w:r>
        <w:t>:</w:t>
      </w:r>
    </w:p>
    <w:p w14:paraId="71E8BB60" w14:textId="77777777" w:rsidR="00D04491" w:rsidRDefault="00D04491" w:rsidP="00C90438">
      <w:pPr>
        <w:pStyle w:val="paragraph"/>
      </w:pPr>
      <w:r>
        <w:lastRenderedPageBreak/>
        <w:tab/>
        <w:t>(a)</w:t>
      </w:r>
      <w:r>
        <w:tab/>
        <w:t xml:space="preserve">if the entity </w:t>
      </w:r>
      <w:r w:rsidR="00701218">
        <w:t xml:space="preserve">mentioned first in </w:t>
      </w:r>
      <w:r w:rsidR="00C90438">
        <w:t>subsection (</w:t>
      </w:r>
      <w:r w:rsidR="00701218">
        <w:t xml:space="preserve">7) </w:t>
      </w:r>
      <w:r>
        <w:t>is a partner in a partnership:</w:t>
      </w:r>
    </w:p>
    <w:p w14:paraId="0869565A" w14:textId="77777777" w:rsidR="00D04491" w:rsidRDefault="00D04491" w:rsidP="00C90438">
      <w:pPr>
        <w:pStyle w:val="paragraphsub"/>
      </w:pPr>
      <w:r>
        <w:tab/>
        <w:t>(i)</w:t>
      </w:r>
      <w:r>
        <w:tab/>
        <w:t>the partnership; or</w:t>
      </w:r>
    </w:p>
    <w:p w14:paraId="4C227391" w14:textId="77777777" w:rsidR="00D04491" w:rsidRDefault="00D04491" w:rsidP="00C90438">
      <w:pPr>
        <w:pStyle w:val="paragraphsub"/>
      </w:pPr>
      <w:r>
        <w:tab/>
        <w:t>(ii)</w:t>
      </w:r>
      <w:r>
        <w:tab/>
        <w:t>someone who was a partner in the partnership when the alleged conduct occurred; or</w:t>
      </w:r>
    </w:p>
    <w:p w14:paraId="60B85658" w14:textId="77777777" w:rsidR="00D04491" w:rsidRDefault="00D04491" w:rsidP="00C90438">
      <w:pPr>
        <w:pStyle w:val="paragraph"/>
      </w:pPr>
      <w:r>
        <w:tab/>
        <w:t>(b)</w:t>
      </w:r>
      <w:r>
        <w:tab/>
        <w:t xml:space="preserve">if the entity </w:t>
      </w:r>
      <w:r w:rsidR="00A3337C">
        <w:t xml:space="preserve">mentioned first in </w:t>
      </w:r>
      <w:r w:rsidR="00C90438">
        <w:t>subsection (</w:t>
      </w:r>
      <w:r w:rsidR="00A3337C">
        <w:t xml:space="preserve">7) </w:t>
      </w:r>
      <w:r>
        <w:t>is a trustee of a trust:</w:t>
      </w:r>
    </w:p>
    <w:p w14:paraId="1AD5518D" w14:textId="77777777" w:rsidR="00D04491" w:rsidRDefault="00D04491" w:rsidP="00C90438">
      <w:pPr>
        <w:pStyle w:val="paragraphsub"/>
      </w:pPr>
      <w:r>
        <w:tab/>
        <w:t>(i)</w:t>
      </w:r>
      <w:r>
        <w:tab/>
        <w:t>the trust; or</w:t>
      </w:r>
    </w:p>
    <w:p w14:paraId="04A65110" w14:textId="77777777" w:rsidR="00D04491" w:rsidRDefault="00D04491" w:rsidP="00C90438">
      <w:pPr>
        <w:pStyle w:val="paragraphsub"/>
      </w:pPr>
      <w:r>
        <w:tab/>
        <w:t>(ii)</w:t>
      </w:r>
      <w:r>
        <w:tab/>
      </w:r>
      <w:r w:rsidR="00A3337C">
        <w:t>if the trust has more than one trustee—</w:t>
      </w:r>
      <w:r>
        <w:t>someone who was also a trustee of the trust when the alleged conduct occurred.</w:t>
      </w:r>
    </w:p>
    <w:p w14:paraId="7B80872F" w14:textId="77777777" w:rsidR="0016009B" w:rsidRDefault="003839D4" w:rsidP="00C90438">
      <w:pPr>
        <w:pStyle w:val="ItemHead"/>
      </w:pPr>
      <w:proofErr w:type="gramStart"/>
      <w:r>
        <w:t>25</w:t>
      </w:r>
      <w:r w:rsidR="0016009B">
        <w:t xml:space="preserve">  </w:t>
      </w:r>
      <w:r w:rsidR="00C90438">
        <w:t>Paragraph</w:t>
      </w:r>
      <w:proofErr w:type="gramEnd"/>
      <w:r w:rsidR="00C90438">
        <w:t> 2</w:t>
      </w:r>
      <w:r w:rsidR="0016009B">
        <w:t>90</w:t>
      </w:r>
      <w:r w:rsidR="00C90438">
        <w:noBreakHyphen/>
      </w:r>
      <w:r w:rsidR="0016009B">
        <w:t xml:space="preserve">60(1)(a) in </w:t>
      </w:r>
      <w:r w:rsidR="00C90438">
        <w:t>Schedule 1</w:t>
      </w:r>
    </w:p>
    <w:p w14:paraId="0CCF1502" w14:textId="77777777" w:rsidR="0016009B" w:rsidRDefault="0016009B" w:rsidP="00C90438">
      <w:pPr>
        <w:pStyle w:val="Item"/>
      </w:pPr>
      <w:r>
        <w:t>Repeal the paragraph, substitute:</w:t>
      </w:r>
    </w:p>
    <w:p w14:paraId="7F6595CF" w14:textId="77777777" w:rsidR="0016009B" w:rsidRDefault="0016009B" w:rsidP="00C90438">
      <w:pPr>
        <w:pStyle w:val="paragraph"/>
      </w:pPr>
      <w:r>
        <w:tab/>
        <w:t>(a)</w:t>
      </w:r>
      <w:r>
        <w:tab/>
      </w:r>
      <w:r w:rsidRPr="0016009B">
        <w:t>the entity</w:t>
      </w:r>
      <w:r>
        <w:t>:</w:t>
      </w:r>
    </w:p>
    <w:p w14:paraId="77312D38" w14:textId="77777777" w:rsidR="0016009B" w:rsidRDefault="0016009B" w:rsidP="00C90438">
      <w:pPr>
        <w:pStyle w:val="paragraphsub"/>
      </w:pPr>
      <w:r>
        <w:tab/>
        <w:t>(i)</w:t>
      </w:r>
      <w:r>
        <w:tab/>
      </w:r>
      <w:r w:rsidRPr="0016009B">
        <w:t>markets the scheme</w:t>
      </w:r>
      <w:r>
        <w:t>;</w:t>
      </w:r>
      <w:r w:rsidRPr="0016009B">
        <w:t xml:space="preserve"> or</w:t>
      </w:r>
    </w:p>
    <w:p w14:paraId="34A0A379" w14:textId="77777777" w:rsidR="0016009B" w:rsidRPr="0016009B" w:rsidRDefault="0016009B" w:rsidP="00C90438">
      <w:pPr>
        <w:pStyle w:val="paragraphsub"/>
      </w:pPr>
      <w:r>
        <w:tab/>
        <w:t>(ii)</w:t>
      </w:r>
      <w:r>
        <w:tab/>
      </w:r>
      <w:r w:rsidRPr="0016009B">
        <w:t>otherwise encourages the growth of the scheme or interest in it; and</w:t>
      </w:r>
    </w:p>
    <w:p w14:paraId="11AC229D" w14:textId="77777777" w:rsidR="00516529" w:rsidRDefault="003839D4" w:rsidP="00C90438">
      <w:pPr>
        <w:pStyle w:val="ItemHead"/>
      </w:pPr>
      <w:proofErr w:type="gramStart"/>
      <w:r>
        <w:t>26</w:t>
      </w:r>
      <w:r w:rsidR="00516529">
        <w:t xml:space="preserve">  </w:t>
      </w:r>
      <w:r w:rsidR="00C90438">
        <w:t>Paragraph</w:t>
      </w:r>
      <w:proofErr w:type="gramEnd"/>
      <w:r w:rsidR="00C90438">
        <w:t> 2</w:t>
      </w:r>
      <w:r w:rsidR="00BD5007">
        <w:t>90</w:t>
      </w:r>
      <w:r w:rsidR="00C90438">
        <w:noBreakHyphen/>
      </w:r>
      <w:r w:rsidR="00BD5007">
        <w:t xml:space="preserve">60(1)(b) </w:t>
      </w:r>
      <w:r w:rsidR="00516529">
        <w:t xml:space="preserve">in </w:t>
      </w:r>
      <w:r w:rsidR="00C90438">
        <w:t>Schedule 1</w:t>
      </w:r>
    </w:p>
    <w:p w14:paraId="13B8A9B8" w14:textId="77777777" w:rsidR="00516529" w:rsidRPr="00516529" w:rsidRDefault="00BD5007" w:rsidP="00C90438">
      <w:pPr>
        <w:pStyle w:val="Item"/>
      </w:pPr>
      <w:r>
        <w:t>Omit “consideration”, substitute “a benefit”</w:t>
      </w:r>
      <w:r w:rsidR="00F65BB6">
        <w:t>.</w:t>
      </w:r>
    </w:p>
    <w:p w14:paraId="2E53B2AA" w14:textId="77777777" w:rsidR="00231FC4" w:rsidRDefault="003839D4" w:rsidP="00C90438">
      <w:pPr>
        <w:pStyle w:val="ItemHead"/>
      </w:pPr>
      <w:proofErr w:type="gramStart"/>
      <w:r>
        <w:t>27</w:t>
      </w:r>
      <w:r w:rsidR="00231FC4">
        <w:t xml:space="preserve">  </w:t>
      </w:r>
      <w:r w:rsidR="003E5A40">
        <w:t>After</w:t>
      </w:r>
      <w:proofErr w:type="gramEnd"/>
      <w:r w:rsidR="003E5A40">
        <w:t xml:space="preserve"> </w:t>
      </w:r>
      <w:r w:rsidR="00C90438">
        <w:t>subsection 2</w:t>
      </w:r>
      <w:r w:rsidR="00231FC4">
        <w:t>90</w:t>
      </w:r>
      <w:r w:rsidR="00C90438">
        <w:noBreakHyphen/>
      </w:r>
      <w:r w:rsidR="00231FC4">
        <w:t>65(1)</w:t>
      </w:r>
      <w:r w:rsidR="00952E4C">
        <w:t xml:space="preserve"> in </w:t>
      </w:r>
      <w:r w:rsidR="00C90438">
        <w:t>Schedule 1</w:t>
      </w:r>
    </w:p>
    <w:p w14:paraId="5BF9EDC9" w14:textId="77777777" w:rsidR="00231FC4" w:rsidRDefault="003E5A40" w:rsidP="00C90438">
      <w:pPr>
        <w:pStyle w:val="Item"/>
      </w:pPr>
      <w:r>
        <w:t>Insert</w:t>
      </w:r>
      <w:r w:rsidR="00231FC4">
        <w:t>:</w:t>
      </w:r>
    </w:p>
    <w:p w14:paraId="1E24238B" w14:textId="77777777" w:rsidR="003E5A40" w:rsidRPr="00952E4C" w:rsidRDefault="003E5A40" w:rsidP="00C90438">
      <w:pPr>
        <w:pStyle w:val="subsection"/>
      </w:pPr>
      <w:r w:rsidRPr="00952E4C">
        <w:tab/>
        <w:t>(1</w:t>
      </w:r>
      <w:r>
        <w:t>A</w:t>
      </w:r>
      <w:r w:rsidRPr="00952E4C">
        <w:t>)</w:t>
      </w:r>
      <w:r w:rsidRPr="00952E4C">
        <w:tab/>
        <w:t xml:space="preserve">A </w:t>
      </w:r>
      <w:r w:rsidR="00C90438" w:rsidRPr="00C90438">
        <w:rPr>
          <w:position w:val="6"/>
          <w:sz w:val="16"/>
        </w:rPr>
        <w:t>*</w:t>
      </w:r>
      <w:r w:rsidRPr="00952E4C">
        <w:t>scheme</w:t>
      </w:r>
      <w:r>
        <w:t xml:space="preserve"> </w:t>
      </w:r>
      <w:r w:rsidRPr="00952E4C">
        <w:t xml:space="preserve">is </w:t>
      </w:r>
      <w:r>
        <w:t xml:space="preserve">also </w:t>
      </w:r>
      <w:r w:rsidRPr="00952E4C">
        <w:t xml:space="preserve">a </w:t>
      </w:r>
      <w:r w:rsidRPr="00952E4C">
        <w:rPr>
          <w:b/>
          <w:i/>
        </w:rPr>
        <w:t>tax exploitation scheme</w:t>
      </w:r>
      <w:r w:rsidRPr="00952E4C">
        <w:t xml:space="preserve"> if, at the time of the conduct mentioned in </w:t>
      </w:r>
      <w:r w:rsidR="00C90438">
        <w:t>subsection 2</w:t>
      </w:r>
      <w:r w:rsidRPr="00952E4C">
        <w:t>90</w:t>
      </w:r>
      <w:r w:rsidR="00C90438">
        <w:noBreakHyphen/>
      </w:r>
      <w:r w:rsidRPr="00952E4C">
        <w:t>50(1):</w:t>
      </w:r>
    </w:p>
    <w:p w14:paraId="6B745812" w14:textId="77777777" w:rsidR="003E5A40" w:rsidRDefault="003E5A40" w:rsidP="00C90438">
      <w:pPr>
        <w:pStyle w:val="paragraph"/>
      </w:pPr>
      <w:r>
        <w:tab/>
        <w:t>(a)</w:t>
      </w:r>
      <w:r>
        <w:tab/>
        <w:t>one of these conditions is satisfied:</w:t>
      </w:r>
    </w:p>
    <w:p w14:paraId="69639CCD" w14:textId="77777777" w:rsidR="003E5A40" w:rsidRDefault="003E5A40" w:rsidP="00C90438">
      <w:pPr>
        <w:pStyle w:val="paragraphsub"/>
      </w:pPr>
      <w:r>
        <w:tab/>
        <w:t>(i)</w:t>
      </w:r>
      <w:r>
        <w:tab/>
        <w:t xml:space="preserve">if the scheme has been </w:t>
      </w:r>
      <w:proofErr w:type="gramStart"/>
      <w:r>
        <w:t>implemented—</w:t>
      </w:r>
      <w:r w:rsidR="00C90438">
        <w:t>Part I</w:t>
      </w:r>
      <w:r>
        <w:t>VA</w:t>
      </w:r>
      <w:proofErr w:type="gramEnd"/>
      <w:r>
        <w:t xml:space="preserve"> of the </w:t>
      </w:r>
      <w:r w:rsidRPr="00952E4C">
        <w:rPr>
          <w:i/>
        </w:rPr>
        <w:t xml:space="preserve">Income Tax Assessment Act 1936 </w:t>
      </w:r>
      <w:r>
        <w:t xml:space="preserve">applies to the scheme </w:t>
      </w:r>
      <w:r w:rsidRPr="00952E4C">
        <w:t xml:space="preserve">because of section 177DA </w:t>
      </w:r>
      <w:r>
        <w:t xml:space="preserve">or 177J </w:t>
      </w:r>
      <w:r w:rsidRPr="00952E4C">
        <w:t>of that Act</w:t>
      </w:r>
      <w:r>
        <w:t>;</w:t>
      </w:r>
    </w:p>
    <w:p w14:paraId="2D8364D4" w14:textId="77777777" w:rsidR="003E5A40" w:rsidRDefault="003E5A40" w:rsidP="00C90438">
      <w:pPr>
        <w:pStyle w:val="paragraphsub"/>
      </w:pPr>
      <w:r>
        <w:tab/>
        <w:t>(ii)</w:t>
      </w:r>
      <w:r>
        <w:tab/>
        <w:t>if the scheme has not been implemented—</w:t>
      </w:r>
      <w:r w:rsidRPr="00952E4C">
        <w:t>it is reasonable to conclude that</w:t>
      </w:r>
      <w:r>
        <w:t xml:space="preserve"> </w:t>
      </w:r>
      <w:r w:rsidR="00C90438">
        <w:t>Part I</w:t>
      </w:r>
      <w:r>
        <w:t>VA of th</w:t>
      </w:r>
      <w:r w:rsidR="003839D4">
        <w:t>at Act</w:t>
      </w:r>
      <w:r w:rsidRPr="00952E4C">
        <w:rPr>
          <w:i/>
        </w:rPr>
        <w:t xml:space="preserve"> </w:t>
      </w:r>
      <w:r>
        <w:t xml:space="preserve">would apply to the scheme </w:t>
      </w:r>
      <w:r w:rsidRPr="00952E4C">
        <w:t xml:space="preserve">because of section 177DA </w:t>
      </w:r>
      <w:r>
        <w:t xml:space="preserve">or 177J </w:t>
      </w:r>
      <w:r w:rsidRPr="00952E4C">
        <w:t>of that Act</w:t>
      </w:r>
      <w:r>
        <w:t>; and</w:t>
      </w:r>
    </w:p>
    <w:p w14:paraId="24BFD243" w14:textId="77777777" w:rsidR="003E5A40" w:rsidRDefault="003E5A40" w:rsidP="00C90438">
      <w:pPr>
        <w:pStyle w:val="paragraph"/>
      </w:pPr>
      <w:r>
        <w:tab/>
        <w:t>(b)</w:t>
      </w:r>
      <w:r>
        <w:tab/>
        <w:t>one of these conditions is satisfied:</w:t>
      </w:r>
    </w:p>
    <w:p w14:paraId="6DF2257C" w14:textId="77777777" w:rsidR="003E5A40" w:rsidRDefault="003E5A40" w:rsidP="00C90438">
      <w:pPr>
        <w:pStyle w:val="paragraphsub"/>
      </w:pPr>
      <w:r>
        <w:tab/>
        <w:t>(i)</w:t>
      </w:r>
      <w:r>
        <w:tab/>
        <w:t xml:space="preserve">if the scheme has been implemented—it is reasonable to conclude that </w:t>
      </w:r>
      <w:r w:rsidRPr="00952E4C">
        <w:t xml:space="preserve">an entity that (alone or with others) entered into or carried out the scheme, or part of it, did so for a principal purpose of, or for more than one principal purpose that includes a purpose of, that entity </w:t>
      </w:r>
      <w:r w:rsidRPr="00952E4C">
        <w:lastRenderedPageBreak/>
        <w:t xml:space="preserve">or another entity getting a scheme benefit from the </w:t>
      </w:r>
      <w:proofErr w:type="gramStart"/>
      <w:r w:rsidRPr="00952E4C">
        <w:t>scheme;</w:t>
      </w:r>
      <w:proofErr w:type="gramEnd"/>
    </w:p>
    <w:p w14:paraId="7D94FB62" w14:textId="77777777" w:rsidR="003E5A40" w:rsidRDefault="003E5A40" w:rsidP="00C90438">
      <w:pPr>
        <w:pStyle w:val="paragraphsub"/>
      </w:pPr>
      <w:r>
        <w:tab/>
        <w:t>(ii)</w:t>
      </w:r>
      <w:r>
        <w:tab/>
        <w:t xml:space="preserve">if the scheme has not been implemented—it is reasonable to conclude that if </w:t>
      </w:r>
      <w:r w:rsidRPr="00952E4C">
        <w:t xml:space="preserve">an entity (alone or with others) had </w:t>
      </w:r>
      <w:proofErr w:type="gramStart"/>
      <w:r w:rsidRPr="00952E4C">
        <w:t>entered into</w:t>
      </w:r>
      <w:proofErr w:type="gramEnd"/>
      <w:r w:rsidRPr="00952E4C">
        <w:t xml:space="preserve"> or carried out the scheme, it would have done so</w:t>
      </w:r>
      <w:r>
        <w:t xml:space="preserve"> f</w:t>
      </w:r>
      <w:r w:rsidRPr="00952E4C">
        <w:t>or a principal purpose of, or for more than one principal purpose that includes a purpose of, that entity or another entity getting a scheme benefit from the scheme</w:t>
      </w:r>
      <w:r>
        <w:t>; and</w:t>
      </w:r>
    </w:p>
    <w:p w14:paraId="577CC9D3" w14:textId="77777777" w:rsidR="003E5A40" w:rsidRPr="003E5A40" w:rsidRDefault="003E5A40" w:rsidP="00C90438">
      <w:pPr>
        <w:pStyle w:val="paragraph"/>
      </w:pPr>
      <w:r w:rsidRPr="003E5A40">
        <w:tab/>
        <w:t>(</w:t>
      </w:r>
      <w:r>
        <w:t>c</w:t>
      </w:r>
      <w:r w:rsidRPr="003E5A40">
        <w:t>)</w:t>
      </w:r>
      <w:r w:rsidRPr="003E5A40">
        <w:tab/>
        <w:t>one of these conditions is satisfied:</w:t>
      </w:r>
    </w:p>
    <w:p w14:paraId="69577ACB" w14:textId="77777777" w:rsidR="003E5A40" w:rsidRDefault="003E5A40" w:rsidP="00C90438">
      <w:pPr>
        <w:pStyle w:val="paragraphsub"/>
      </w:pPr>
      <w:r>
        <w:tab/>
        <w:t>(i)</w:t>
      </w:r>
      <w:r>
        <w:tab/>
        <w:t xml:space="preserve">if the scheme has been implemented—it is not </w:t>
      </w:r>
      <w:r w:rsidR="00C90438" w:rsidRPr="00C90438">
        <w:rPr>
          <w:position w:val="6"/>
          <w:sz w:val="16"/>
        </w:rPr>
        <w:t>*</w:t>
      </w:r>
      <w:r>
        <w:t xml:space="preserve">reasonably arguable that the scheme benefit is available at </w:t>
      </w:r>
      <w:proofErr w:type="gramStart"/>
      <w:r>
        <w:t>law;</w:t>
      </w:r>
      <w:proofErr w:type="gramEnd"/>
    </w:p>
    <w:p w14:paraId="5C0EA11A" w14:textId="77777777" w:rsidR="003E5A40" w:rsidRPr="003E5A40" w:rsidRDefault="003E5A40" w:rsidP="00C90438">
      <w:pPr>
        <w:pStyle w:val="paragraphsub"/>
      </w:pPr>
      <w:r>
        <w:tab/>
        <w:t>(ii)</w:t>
      </w:r>
      <w:r>
        <w:tab/>
        <w:t>if the scheme has not been implemented—it is not reasonably arguable that the scheme benefit would be available at law if the scheme were implemented.</w:t>
      </w:r>
    </w:p>
    <w:p w14:paraId="384736BE" w14:textId="77777777" w:rsidR="00B23F4E" w:rsidRDefault="003839D4" w:rsidP="00C90438">
      <w:pPr>
        <w:pStyle w:val="ItemHead"/>
      </w:pPr>
      <w:proofErr w:type="gramStart"/>
      <w:r>
        <w:t>28</w:t>
      </w:r>
      <w:r w:rsidR="00B23F4E">
        <w:t xml:space="preserve">  </w:t>
      </w:r>
      <w:r w:rsidR="00C90438">
        <w:t>Section</w:t>
      </w:r>
      <w:proofErr w:type="gramEnd"/>
      <w:r w:rsidR="00C90438">
        <w:t> 2</w:t>
      </w:r>
      <w:r w:rsidR="00B23F4E">
        <w:t>90</w:t>
      </w:r>
      <w:r w:rsidR="00C90438">
        <w:noBreakHyphen/>
      </w:r>
      <w:r w:rsidR="00B23F4E">
        <w:t xml:space="preserve">120 in </w:t>
      </w:r>
      <w:r w:rsidR="00C90438">
        <w:t>Schedule 1</w:t>
      </w:r>
    </w:p>
    <w:p w14:paraId="1F0BD7C4" w14:textId="77777777" w:rsidR="00B23F4E" w:rsidRDefault="00B23F4E" w:rsidP="00C90438">
      <w:pPr>
        <w:pStyle w:val="Item"/>
      </w:pPr>
      <w:r>
        <w:t>After “(1)”, insert “, (1A)”.</w:t>
      </w:r>
    </w:p>
    <w:p w14:paraId="24612B48" w14:textId="77777777" w:rsidR="00C8278D" w:rsidRDefault="003839D4" w:rsidP="00C90438">
      <w:pPr>
        <w:pStyle w:val="ItemHead"/>
      </w:pPr>
      <w:proofErr w:type="gramStart"/>
      <w:r>
        <w:t>29</w:t>
      </w:r>
      <w:r w:rsidR="00C8278D">
        <w:t xml:space="preserve">  </w:t>
      </w:r>
      <w:r w:rsidR="00C90438">
        <w:t>Paragraph</w:t>
      </w:r>
      <w:proofErr w:type="gramEnd"/>
      <w:r w:rsidR="00C90438">
        <w:t> 2</w:t>
      </w:r>
      <w:r w:rsidR="00C8278D">
        <w:t>90</w:t>
      </w:r>
      <w:r w:rsidR="00C90438">
        <w:noBreakHyphen/>
      </w:r>
      <w:r w:rsidR="00C8278D">
        <w:t xml:space="preserve">135(a) in </w:t>
      </w:r>
      <w:r w:rsidR="00C90438">
        <w:t>Schedule 1</w:t>
      </w:r>
    </w:p>
    <w:p w14:paraId="3EC64206" w14:textId="77777777" w:rsidR="00C8278D" w:rsidRDefault="00C8278D" w:rsidP="00C90438">
      <w:pPr>
        <w:pStyle w:val="Item"/>
      </w:pPr>
      <w:r>
        <w:t>Omit “</w:t>
      </w:r>
      <w:r w:rsidR="00C90438" w:rsidRPr="00C90438">
        <w:rPr>
          <w:position w:val="6"/>
          <w:sz w:val="16"/>
        </w:rPr>
        <w:t>*</w:t>
      </w:r>
      <w:r>
        <w:t>product ruling”, substitute “</w:t>
      </w:r>
      <w:r w:rsidR="00C90438" w:rsidRPr="00C90438">
        <w:rPr>
          <w:position w:val="6"/>
          <w:sz w:val="16"/>
        </w:rPr>
        <w:t>*</w:t>
      </w:r>
      <w:r>
        <w:t xml:space="preserve">public ruling, </w:t>
      </w:r>
      <w:r w:rsidR="00C90438" w:rsidRPr="00C90438">
        <w:rPr>
          <w:position w:val="6"/>
          <w:sz w:val="16"/>
        </w:rPr>
        <w:t>*</w:t>
      </w:r>
      <w:r>
        <w:t xml:space="preserve">private ruling or </w:t>
      </w:r>
      <w:r w:rsidR="00C90438" w:rsidRPr="00C90438">
        <w:rPr>
          <w:position w:val="6"/>
          <w:sz w:val="16"/>
        </w:rPr>
        <w:t>*</w:t>
      </w:r>
      <w:r>
        <w:t>oral ruling”.</w:t>
      </w:r>
    </w:p>
    <w:p w14:paraId="56DFA3FD" w14:textId="77777777" w:rsidR="00236D2A" w:rsidRDefault="003839D4" w:rsidP="00C90438">
      <w:pPr>
        <w:pStyle w:val="ItemHead"/>
      </w:pPr>
      <w:proofErr w:type="gramStart"/>
      <w:r>
        <w:t>30</w:t>
      </w:r>
      <w:r w:rsidR="00236D2A">
        <w:t xml:space="preserve">  At</w:t>
      </w:r>
      <w:proofErr w:type="gramEnd"/>
      <w:r w:rsidR="00236D2A">
        <w:t xml:space="preserve"> the end of </w:t>
      </w:r>
      <w:r w:rsidR="00C90438">
        <w:t>section 4</w:t>
      </w:r>
      <w:r w:rsidR="00236D2A">
        <w:t>44</w:t>
      </w:r>
      <w:r w:rsidR="00C90438">
        <w:noBreakHyphen/>
      </w:r>
      <w:r w:rsidR="00236D2A">
        <w:t>30</w:t>
      </w:r>
      <w:r w:rsidR="00EB2A71">
        <w:t xml:space="preserve"> in </w:t>
      </w:r>
      <w:r w:rsidR="00C90438">
        <w:t>Schedule 1</w:t>
      </w:r>
    </w:p>
    <w:p w14:paraId="5CA30982" w14:textId="77777777" w:rsidR="00236D2A" w:rsidRDefault="00236D2A" w:rsidP="00C90438">
      <w:pPr>
        <w:pStyle w:val="Item"/>
      </w:pPr>
      <w:r>
        <w:t>Add:</w:t>
      </w:r>
    </w:p>
    <w:p w14:paraId="75B0AFF1" w14:textId="77777777" w:rsidR="00A54A82" w:rsidRDefault="00EB2A71" w:rsidP="00C90438">
      <w:pPr>
        <w:pStyle w:val="subsection"/>
      </w:pPr>
      <w:r>
        <w:tab/>
        <w:t>(5)</w:t>
      </w:r>
      <w:r>
        <w:tab/>
        <w:t xml:space="preserve">If a civil penalty may be imposed in relation to a contravention of a provision of </w:t>
      </w:r>
      <w:r w:rsidRPr="00EB2A71">
        <w:t xml:space="preserve">this Schedule or an </w:t>
      </w:r>
      <w:r w:rsidR="00C90438" w:rsidRPr="00C90438">
        <w:rPr>
          <w:position w:val="6"/>
          <w:sz w:val="16"/>
        </w:rPr>
        <w:t>*</w:t>
      </w:r>
      <w:r w:rsidRPr="00EB2A71">
        <w:t>indirect tax law</w:t>
      </w:r>
      <w:r w:rsidR="00A54A82">
        <w:t>:</w:t>
      </w:r>
    </w:p>
    <w:p w14:paraId="165AAA16" w14:textId="77777777" w:rsidR="00236D2A" w:rsidRDefault="00A54A82" w:rsidP="00C90438">
      <w:pPr>
        <w:pStyle w:val="paragraph"/>
      </w:pPr>
      <w:r>
        <w:tab/>
        <w:t>(a)</w:t>
      </w:r>
      <w:r>
        <w:tab/>
      </w:r>
      <w:r w:rsidR="00C90438">
        <w:t>subsection (</w:t>
      </w:r>
      <w:r w:rsidR="00EF050B">
        <w:t xml:space="preserve">3) </w:t>
      </w:r>
      <w:r w:rsidR="00EB2A71" w:rsidRPr="00EB2A71">
        <w:t xml:space="preserve">applies to a contravention of </w:t>
      </w:r>
      <w:r w:rsidR="00EB2A71">
        <w:t xml:space="preserve">the provision </w:t>
      </w:r>
      <w:r w:rsidR="00EB2A71" w:rsidRPr="00EB2A71">
        <w:t>in a corresponding way to the way in which it applies to an offence</w:t>
      </w:r>
      <w:r>
        <w:t>; and</w:t>
      </w:r>
    </w:p>
    <w:p w14:paraId="2F3BD972" w14:textId="77777777" w:rsidR="00A54A82" w:rsidRDefault="00A54A82" w:rsidP="00C90438">
      <w:pPr>
        <w:pStyle w:val="paragraph"/>
      </w:pPr>
      <w:r>
        <w:tab/>
        <w:t>(b)</w:t>
      </w:r>
      <w:r>
        <w:tab/>
      </w:r>
      <w:r w:rsidR="00C90438">
        <w:t>subsection (</w:t>
      </w:r>
      <w:r>
        <w:t>4) does not apply.</w:t>
      </w:r>
    </w:p>
    <w:p w14:paraId="2611C0E2" w14:textId="77777777" w:rsidR="00A54A82" w:rsidRDefault="003839D4" w:rsidP="00C90438">
      <w:pPr>
        <w:pStyle w:val="ItemHead"/>
      </w:pPr>
      <w:proofErr w:type="gramStart"/>
      <w:r>
        <w:t>31</w:t>
      </w:r>
      <w:r w:rsidR="00A54A82">
        <w:t xml:space="preserve">  At</w:t>
      </w:r>
      <w:proofErr w:type="gramEnd"/>
      <w:r w:rsidR="00A54A82">
        <w:t xml:space="preserve"> the end of </w:t>
      </w:r>
      <w:r w:rsidR="00C90438">
        <w:t>Division 4</w:t>
      </w:r>
      <w:r w:rsidR="00A54A82">
        <w:t xml:space="preserve">44 in </w:t>
      </w:r>
      <w:r w:rsidR="00C90438">
        <w:t>Schedule 1</w:t>
      </w:r>
    </w:p>
    <w:p w14:paraId="1221691C" w14:textId="77777777" w:rsidR="00A54A82" w:rsidRDefault="00A54A82" w:rsidP="00C90438">
      <w:pPr>
        <w:pStyle w:val="Item"/>
      </w:pPr>
      <w:r>
        <w:t>Add:</w:t>
      </w:r>
    </w:p>
    <w:p w14:paraId="26CA03D5" w14:textId="77777777" w:rsidR="00A54A82" w:rsidRDefault="00C90438" w:rsidP="00C90438">
      <w:pPr>
        <w:pStyle w:val="ActHead4"/>
      </w:pPr>
      <w:r w:rsidRPr="00611239">
        <w:rPr>
          <w:rStyle w:val="CharSubdNo"/>
        </w:rPr>
        <w:t>Subdivision 4</w:t>
      </w:r>
      <w:r w:rsidR="00A54A82" w:rsidRPr="00611239">
        <w:rPr>
          <w:rStyle w:val="CharSubdNo"/>
        </w:rPr>
        <w:t>44</w:t>
      </w:r>
      <w:r w:rsidRPr="00611239">
        <w:rPr>
          <w:rStyle w:val="CharSubdNo"/>
        </w:rPr>
        <w:noBreakHyphen/>
      </w:r>
      <w:r w:rsidR="00A54A82" w:rsidRPr="00611239">
        <w:rPr>
          <w:rStyle w:val="CharSubdNo"/>
        </w:rPr>
        <w:t>F</w:t>
      </w:r>
      <w:r w:rsidR="00A54A82">
        <w:t>—</w:t>
      </w:r>
      <w:r w:rsidR="00A54A82" w:rsidRPr="00611239">
        <w:rPr>
          <w:rStyle w:val="CharSubdText"/>
        </w:rPr>
        <w:t>Trusts</w:t>
      </w:r>
    </w:p>
    <w:p w14:paraId="2F01BFBF" w14:textId="77777777" w:rsidR="00511E15" w:rsidRDefault="00511E15" w:rsidP="00C90438">
      <w:pPr>
        <w:pStyle w:val="TofSectsHeading"/>
      </w:pPr>
      <w:r>
        <w:t>Table of sections</w:t>
      </w:r>
    </w:p>
    <w:p w14:paraId="7125D328" w14:textId="77777777" w:rsidR="0025440B" w:rsidRDefault="0025440B" w:rsidP="0025440B">
      <w:pPr>
        <w:pStyle w:val="TofSectsSection"/>
      </w:pPr>
      <w:bookmarkStart w:id="0" w:name="Heading"/>
      <w:bookmarkStart w:id="1" w:name="_Hlk145320875"/>
      <w:r w:rsidRPr="00611239">
        <w:rPr>
          <w:rStyle w:val="CharSectno"/>
        </w:rPr>
        <w:t>444</w:t>
      </w:r>
      <w:r w:rsidRPr="00611239">
        <w:rPr>
          <w:rStyle w:val="CharSectno"/>
        </w:rPr>
        <w:noBreakHyphen/>
        <w:t>120</w:t>
      </w:r>
      <w:r>
        <w:tab/>
        <w:t>Trusts</w:t>
      </w:r>
    </w:p>
    <w:bookmarkEnd w:id="0"/>
    <w:p w14:paraId="53229E64" w14:textId="77777777" w:rsidR="00A54A82" w:rsidRDefault="00A54A82" w:rsidP="00C90438">
      <w:pPr>
        <w:pStyle w:val="ActHead5"/>
      </w:pPr>
      <w:r w:rsidRPr="00611239">
        <w:rPr>
          <w:rStyle w:val="CharSectno"/>
        </w:rPr>
        <w:lastRenderedPageBreak/>
        <w:t>444</w:t>
      </w:r>
      <w:r w:rsidR="00C90438" w:rsidRPr="00611239">
        <w:rPr>
          <w:rStyle w:val="CharSectno"/>
        </w:rPr>
        <w:noBreakHyphen/>
      </w:r>
      <w:proofErr w:type="gramStart"/>
      <w:r w:rsidRPr="00611239">
        <w:rPr>
          <w:rStyle w:val="CharSectno"/>
        </w:rPr>
        <w:t>120</w:t>
      </w:r>
      <w:r>
        <w:t xml:space="preserve">  Trusts</w:t>
      </w:r>
      <w:proofErr w:type="gramEnd"/>
    </w:p>
    <w:bookmarkEnd w:id="1"/>
    <w:p w14:paraId="72233BB7" w14:textId="77777777" w:rsidR="00A54A82" w:rsidRPr="00A54A82" w:rsidRDefault="00A54A82" w:rsidP="00C90438">
      <w:pPr>
        <w:pStyle w:val="subsection"/>
      </w:pPr>
      <w:r>
        <w:tab/>
        <w:t>(1)</w:t>
      </w:r>
      <w:r>
        <w:tab/>
        <w:t xml:space="preserve">If a civil penalty may be imposed in relation to a contravention of a provision of </w:t>
      </w:r>
      <w:r w:rsidRPr="00EB2A71">
        <w:t xml:space="preserve">this Schedule or an </w:t>
      </w:r>
      <w:r w:rsidR="00C90438" w:rsidRPr="00C90438">
        <w:rPr>
          <w:position w:val="6"/>
          <w:sz w:val="16"/>
        </w:rPr>
        <w:t>*</w:t>
      </w:r>
      <w:r w:rsidRPr="00EB2A71">
        <w:t>indirect tax law</w:t>
      </w:r>
      <w:r>
        <w:t>, a contravention of the provision by a trust i</w:t>
      </w:r>
      <w:r w:rsidRPr="00A54A82">
        <w:t>s taken to have been committed by the trustee of the trust, or, if the trust has more than one trustee, by each of the trustees.</w:t>
      </w:r>
    </w:p>
    <w:p w14:paraId="4CB6D012" w14:textId="77777777" w:rsidR="00A54A82" w:rsidRPr="00A54A82" w:rsidRDefault="00A54A82" w:rsidP="00C90438">
      <w:pPr>
        <w:pStyle w:val="SubsectionHead"/>
      </w:pPr>
      <w:r w:rsidRPr="00A54A82">
        <w:t>Joint and several liability</w:t>
      </w:r>
    </w:p>
    <w:p w14:paraId="1C590E4B" w14:textId="77777777" w:rsidR="00A54A82" w:rsidRDefault="00A54A82" w:rsidP="00C90438">
      <w:pPr>
        <w:pStyle w:val="subsection"/>
      </w:pPr>
      <w:r>
        <w:tab/>
        <w:t>(2)</w:t>
      </w:r>
      <w:r>
        <w:tab/>
        <w:t>If an amount is payable under this section by more than one entity, those entities are jointly and severally liable to pay the amount.</w:t>
      </w:r>
    </w:p>
    <w:p w14:paraId="1F861F3A" w14:textId="77777777" w:rsidR="00A916C1" w:rsidRPr="00F65BB6" w:rsidRDefault="003839D4" w:rsidP="00C90438">
      <w:pPr>
        <w:pStyle w:val="Transitional"/>
      </w:pPr>
      <w:proofErr w:type="gramStart"/>
      <w:r>
        <w:t>32</w:t>
      </w:r>
      <w:r w:rsidR="00A916C1" w:rsidRPr="00F65BB6">
        <w:t xml:space="preserve">  Application</w:t>
      </w:r>
      <w:proofErr w:type="gramEnd"/>
    </w:p>
    <w:p w14:paraId="7768AE96" w14:textId="77777777" w:rsidR="00A916C1" w:rsidRDefault="00034529" w:rsidP="00C90438">
      <w:pPr>
        <w:pStyle w:val="Subitem"/>
      </w:pPr>
      <w:r>
        <w:t>(1)</w:t>
      </w:r>
      <w:r>
        <w:tab/>
        <w:t>Subject to subitem (2), the amendments made by this Schedule apply in relation to conduct engaged in on or after the commencement of this Schedule.</w:t>
      </w:r>
    </w:p>
    <w:p w14:paraId="05FEAB61" w14:textId="77777777" w:rsidR="00034529" w:rsidRPr="002827CD" w:rsidRDefault="00034529" w:rsidP="00C90438">
      <w:pPr>
        <w:pStyle w:val="Subitem"/>
      </w:pPr>
      <w:r>
        <w:t>(2)</w:t>
      </w:r>
      <w:r>
        <w:tab/>
        <w:t xml:space="preserve">The </w:t>
      </w:r>
      <w:r w:rsidR="002827CD">
        <w:t xml:space="preserve">amendments made by items </w:t>
      </w:r>
      <w:r w:rsidR="003839D4">
        <w:t>15</w:t>
      </w:r>
      <w:r w:rsidR="002827CD">
        <w:t xml:space="preserve"> and </w:t>
      </w:r>
      <w:r w:rsidR="00DB1E13">
        <w:t>1</w:t>
      </w:r>
      <w:r w:rsidR="003839D4">
        <w:t>7</w:t>
      </w:r>
      <w:r w:rsidR="00DB1E13">
        <w:t xml:space="preserve"> </w:t>
      </w:r>
      <w:r w:rsidR="002827CD">
        <w:t>appl</w:t>
      </w:r>
      <w:r w:rsidR="00DB1E13">
        <w:t>y</w:t>
      </w:r>
      <w:r w:rsidR="002827CD">
        <w:t xml:space="preserve"> </w:t>
      </w:r>
      <w:r w:rsidR="00B23F4E">
        <w:t xml:space="preserve">in relation </w:t>
      </w:r>
      <w:r w:rsidR="002827CD">
        <w:t>to conduct engaged in before, on or after the commencement of this Schedule.</w:t>
      </w:r>
    </w:p>
    <w:sectPr w:rsidR="00034529" w:rsidRPr="002827CD" w:rsidSect="00C90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E022" w14:textId="77777777" w:rsidR="00C229D5" w:rsidRDefault="00C229D5" w:rsidP="00664C63">
      <w:pPr>
        <w:spacing w:line="240" w:lineRule="auto"/>
      </w:pPr>
      <w:r>
        <w:separator/>
      </w:r>
    </w:p>
  </w:endnote>
  <w:endnote w:type="continuationSeparator" w:id="0">
    <w:p w14:paraId="5EDCEC3B" w14:textId="77777777" w:rsidR="00C229D5" w:rsidRDefault="00C229D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72A9" w14:textId="77777777" w:rsidR="00664C63" w:rsidRPr="00BB4623" w:rsidRDefault="00664C63" w:rsidP="00C90438">
    <w:pPr>
      <w:pBdr>
        <w:top w:val="single" w:sz="6" w:space="1" w:color="auto"/>
      </w:pBdr>
      <w:spacing w:before="120"/>
      <w:jc w:val="right"/>
      <w:rPr>
        <w:sz w:val="18"/>
      </w:rPr>
    </w:pPr>
  </w:p>
  <w:p w14:paraId="1CD98E52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13599DB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C7A4" w14:textId="77777777" w:rsidR="0095602D" w:rsidRDefault="0095602D" w:rsidP="00C90438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3D1BEDB0" w14:textId="77777777" w:rsidTr="00A91C76">
      <w:trPr>
        <w:trHeight w:val="280"/>
      </w:trPr>
      <w:tc>
        <w:tcPr>
          <w:tcW w:w="7087" w:type="dxa"/>
        </w:tcPr>
        <w:p w14:paraId="4A8DCDC5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332BB77B" w14:textId="77777777" w:rsidTr="00A91C76">
      <w:tc>
        <w:tcPr>
          <w:tcW w:w="7087" w:type="dxa"/>
        </w:tcPr>
        <w:p w14:paraId="737A3AB9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F2AAF4B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7CE1ECA" wp14:editId="597FDF1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16682" w14:textId="77777777" w:rsidR="00931D06" w:rsidRPr="00324EB0" w:rsidRDefault="00DE39B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1E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5016682" w14:textId="77777777" w:rsidR="00931D06" w:rsidRPr="00324EB0" w:rsidRDefault="00DE39B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378" w14:textId="77777777" w:rsidR="00664C63" w:rsidRPr="00BB4623" w:rsidRDefault="00664C63" w:rsidP="00C904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7781" w14:textId="77777777" w:rsidR="00C229D5" w:rsidRDefault="00C229D5" w:rsidP="00664C63">
      <w:pPr>
        <w:spacing w:line="240" w:lineRule="auto"/>
      </w:pPr>
      <w:r>
        <w:separator/>
      </w:r>
    </w:p>
  </w:footnote>
  <w:footnote w:type="continuationSeparator" w:id="0">
    <w:p w14:paraId="0C6CCAA7" w14:textId="77777777" w:rsidR="00C229D5" w:rsidRDefault="00C229D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95D7" w14:textId="77777777" w:rsidR="00664C63" w:rsidRPr="00BB4623" w:rsidRDefault="00664C63" w:rsidP="00664C63">
    <w:pPr>
      <w:rPr>
        <w:sz w:val="24"/>
      </w:rPr>
    </w:pPr>
  </w:p>
  <w:p w14:paraId="5C450A68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7009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940303B" wp14:editId="2E874E2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E0F35" w14:textId="77777777" w:rsidR="00931D06" w:rsidRPr="00324EB0" w:rsidRDefault="00DE39B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0303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99E0F35" w14:textId="77777777" w:rsidR="00931D06" w:rsidRPr="00324EB0" w:rsidRDefault="00DE39B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1084CCA2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509C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44585322">
    <w:abstractNumId w:val="9"/>
  </w:num>
  <w:num w:numId="2" w16cid:durableId="922764624">
    <w:abstractNumId w:val="7"/>
  </w:num>
  <w:num w:numId="3" w16cid:durableId="1699426222">
    <w:abstractNumId w:val="6"/>
  </w:num>
  <w:num w:numId="4" w16cid:durableId="1125923877">
    <w:abstractNumId w:val="5"/>
  </w:num>
  <w:num w:numId="5" w16cid:durableId="76295743">
    <w:abstractNumId w:val="4"/>
  </w:num>
  <w:num w:numId="6" w16cid:durableId="1763381160">
    <w:abstractNumId w:val="8"/>
  </w:num>
  <w:num w:numId="7" w16cid:durableId="2002269624">
    <w:abstractNumId w:val="3"/>
  </w:num>
  <w:num w:numId="8" w16cid:durableId="1278179656">
    <w:abstractNumId w:val="2"/>
  </w:num>
  <w:num w:numId="9" w16cid:durableId="984431279">
    <w:abstractNumId w:val="1"/>
  </w:num>
  <w:num w:numId="10" w16cid:durableId="1850439973">
    <w:abstractNumId w:val="0"/>
  </w:num>
  <w:num w:numId="11" w16cid:durableId="1028794158">
    <w:abstractNumId w:val="11"/>
  </w:num>
  <w:num w:numId="12" w16cid:durableId="1232735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6903"/>
    <w:rsid w:val="000110A4"/>
    <w:rsid w:val="000136AF"/>
    <w:rsid w:val="00014B9A"/>
    <w:rsid w:val="00022F1E"/>
    <w:rsid w:val="00034529"/>
    <w:rsid w:val="00055714"/>
    <w:rsid w:val="00055D20"/>
    <w:rsid w:val="000614BF"/>
    <w:rsid w:val="00062881"/>
    <w:rsid w:val="000653D5"/>
    <w:rsid w:val="00073C5A"/>
    <w:rsid w:val="00087033"/>
    <w:rsid w:val="000C74F9"/>
    <w:rsid w:val="000D05EF"/>
    <w:rsid w:val="000D3899"/>
    <w:rsid w:val="000E39DB"/>
    <w:rsid w:val="000F21C1"/>
    <w:rsid w:val="000F4126"/>
    <w:rsid w:val="001016D1"/>
    <w:rsid w:val="0010240E"/>
    <w:rsid w:val="0010745C"/>
    <w:rsid w:val="00110463"/>
    <w:rsid w:val="0011206D"/>
    <w:rsid w:val="0016009B"/>
    <w:rsid w:val="00166C2F"/>
    <w:rsid w:val="00182C9A"/>
    <w:rsid w:val="0018435F"/>
    <w:rsid w:val="001939E1"/>
    <w:rsid w:val="00195382"/>
    <w:rsid w:val="001B0106"/>
    <w:rsid w:val="001B0F61"/>
    <w:rsid w:val="001C69C4"/>
    <w:rsid w:val="001D16C7"/>
    <w:rsid w:val="001D71D7"/>
    <w:rsid w:val="001E1E56"/>
    <w:rsid w:val="001E3590"/>
    <w:rsid w:val="001E7407"/>
    <w:rsid w:val="002015A0"/>
    <w:rsid w:val="0021250A"/>
    <w:rsid w:val="002277A0"/>
    <w:rsid w:val="00231FC4"/>
    <w:rsid w:val="00236D2A"/>
    <w:rsid w:val="00240749"/>
    <w:rsid w:val="0025440B"/>
    <w:rsid w:val="00273117"/>
    <w:rsid w:val="002827CD"/>
    <w:rsid w:val="00296415"/>
    <w:rsid w:val="00297ECB"/>
    <w:rsid w:val="002B1D6F"/>
    <w:rsid w:val="002C085A"/>
    <w:rsid w:val="002D043A"/>
    <w:rsid w:val="002E6903"/>
    <w:rsid w:val="002F08B3"/>
    <w:rsid w:val="002F1B33"/>
    <w:rsid w:val="00313C6F"/>
    <w:rsid w:val="0033411C"/>
    <w:rsid w:val="00334771"/>
    <w:rsid w:val="003415D3"/>
    <w:rsid w:val="00345C2F"/>
    <w:rsid w:val="00352B0F"/>
    <w:rsid w:val="00356B71"/>
    <w:rsid w:val="003839D4"/>
    <w:rsid w:val="003A6111"/>
    <w:rsid w:val="003B0F1E"/>
    <w:rsid w:val="003C0FD4"/>
    <w:rsid w:val="003D0317"/>
    <w:rsid w:val="003D0BFE"/>
    <w:rsid w:val="003D2D96"/>
    <w:rsid w:val="003D5700"/>
    <w:rsid w:val="003D615F"/>
    <w:rsid w:val="003E5A4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43F6D"/>
    <w:rsid w:val="00485DAA"/>
    <w:rsid w:val="00496F97"/>
    <w:rsid w:val="004A0F5D"/>
    <w:rsid w:val="004D5EA9"/>
    <w:rsid w:val="004E3680"/>
    <w:rsid w:val="004F5D24"/>
    <w:rsid w:val="00500F6D"/>
    <w:rsid w:val="005104CE"/>
    <w:rsid w:val="00511E15"/>
    <w:rsid w:val="00516529"/>
    <w:rsid w:val="00516B8D"/>
    <w:rsid w:val="00537FBC"/>
    <w:rsid w:val="00543850"/>
    <w:rsid w:val="00584052"/>
    <w:rsid w:val="00584811"/>
    <w:rsid w:val="00593AA6"/>
    <w:rsid w:val="00594161"/>
    <w:rsid w:val="00594749"/>
    <w:rsid w:val="005A4B0B"/>
    <w:rsid w:val="005A6F34"/>
    <w:rsid w:val="005B4067"/>
    <w:rsid w:val="005C3F41"/>
    <w:rsid w:val="005C5800"/>
    <w:rsid w:val="005D4DEA"/>
    <w:rsid w:val="005D67DD"/>
    <w:rsid w:val="005F5B70"/>
    <w:rsid w:val="00600219"/>
    <w:rsid w:val="00611239"/>
    <w:rsid w:val="00611C2E"/>
    <w:rsid w:val="00641A3F"/>
    <w:rsid w:val="006444FB"/>
    <w:rsid w:val="0065106B"/>
    <w:rsid w:val="006527A6"/>
    <w:rsid w:val="00657CF6"/>
    <w:rsid w:val="00664C63"/>
    <w:rsid w:val="00677CC2"/>
    <w:rsid w:val="00681A4A"/>
    <w:rsid w:val="00691351"/>
    <w:rsid w:val="0069207B"/>
    <w:rsid w:val="006A5BF5"/>
    <w:rsid w:val="006A7140"/>
    <w:rsid w:val="006B51F1"/>
    <w:rsid w:val="006C7F8C"/>
    <w:rsid w:val="006D3764"/>
    <w:rsid w:val="006E00B4"/>
    <w:rsid w:val="006E4AB2"/>
    <w:rsid w:val="00700B2C"/>
    <w:rsid w:val="00701218"/>
    <w:rsid w:val="00706793"/>
    <w:rsid w:val="00713084"/>
    <w:rsid w:val="007132B6"/>
    <w:rsid w:val="007173B8"/>
    <w:rsid w:val="00731E00"/>
    <w:rsid w:val="00732A85"/>
    <w:rsid w:val="007346C2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B5172"/>
    <w:rsid w:val="007B69A7"/>
    <w:rsid w:val="007D5212"/>
    <w:rsid w:val="007E4CC8"/>
    <w:rsid w:val="00822DE3"/>
    <w:rsid w:val="00830815"/>
    <w:rsid w:val="00856A31"/>
    <w:rsid w:val="008754D0"/>
    <w:rsid w:val="00883892"/>
    <w:rsid w:val="008A6470"/>
    <w:rsid w:val="008C6BD1"/>
    <w:rsid w:val="008D02B0"/>
    <w:rsid w:val="008D0EE0"/>
    <w:rsid w:val="008E05CA"/>
    <w:rsid w:val="008E2D56"/>
    <w:rsid w:val="00931D06"/>
    <w:rsid w:val="00932377"/>
    <w:rsid w:val="00932FA3"/>
    <w:rsid w:val="00935F4B"/>
    <w:rsid w:val="00952E4C"/>
    <w:rsid w:val="0095602D"/>
    <w:rsid w:val="009620C2"/>
    <w:rsid w:val="00992F4C"/>
    <w:rsid w:val="009B6223"/>
    <w:rsid w:val="00A120DD"/>
    <w:rsid w:val="00A231E2"/>
    <w:rsid w:val="00A25627"/>
    <w:rsid w:val="00A3337C"/>
    <w:rsid w:val="00A36C29"/>
    <w:rsid w:val="00A415B9"/>
    <w:rsid w:val="00A54A82"/>
    <w:rsid w:val="00A64912"/>
    <w:rsid w:val="00A70A74"/>
    <w:rsid w:val="00A916C1"/>
    <w:rsid w:val="00AA3B8A"/>
    <w:rsid w:val="00AA5445"/>
    <w:rsid w:val="00AB3525"/>
    <w:rsid w:val="00AB511B"/>
    <w:rsid w:val="00AB5A90"/>
    <w:rsid w:val="00AC7D2E"/>
    <w:rsid w:val="00AD27B3"/>
    <w:rsid w:val="00AD5641"/>
    <w:rsid w:val="00AE59F7"/>
    <w:rsid w:val="00AE7BD7"/>
    <w:rsid w:val="00B05DED"/>
    <w:rsid w:val="00B143DF"/>
    <w:rsid w:val="00B23F4E"/>
    <w:rsid w:val="00B26413"/>
    <w:rsid w:val="00B30BBF"/>
    <w:rsid w:val="00B33B3C"/>
    <w:rsid w:val="00B340B6"/>
    <w:rsid w:val="00B3608C"/>
    <w:rsid w:val="00B372A6"/>
    <w:rsid w:val="00B429C2"/>
    <w:rsid w:val="00B61C25"/>
    <w:rsid w:val="00B70C99"/>
    <w:rsid w:val="00B70E56"/>
    <w:rsid w:val="00B70ED1"/>
    <w:rsid w:val="00B82E96"/>
    <w:rsid w:val="00B84A4F"/>
    <w:rsid w:val="00B97FE1"/>
    <w:rsid w:val="00BC30F2"/>
    <w:rsid w:val="00BC32E9"/>
    <w:rsid w:val="00BD1655"/>
    <w:rsid w:val="00BD5007"/>
    <w:rsid w:val="00BE719A"/>
    <w:rsid w:val="00BE720A"/>
    <w:rsid w:val="00C16ED1"/>
    <w:rsid w:val="00C229D5"/>
    <w:rsid w:val="00C36B3D"/>
    <w:rsid w:val="00C37F13"/>
    <w:rsid w:val="00C42BF8"/>
    <w:rsid w:val="00C50043"/>
    <w:rsid w:val="00C53114"/>
    <w:rsid w:val="00C723B9"/>
    <w:rsid w:val="00C7573B"/>
    <w:rsid w:val="00C77D10"/>
    <w:rsid w:val="00C8278D"/>
    <w:rsid w:val="00C90438"/>
    <w:rsid w:val="00CA0D95"/>
    <w:rsid w:val="00CB0EA8"/>
    <w:rsid w:val="00CC2374"/>
    <w:rsid w:val="00CC42D8"/>
    <w:rsid w:val="00CC64BF"/>
    <w:rsid w:val="00CC7A09"/>
    <w:rsid w:val="00CD3527"/>
    <w:rsid w:val="00CD63D4"/>
    <w:rsid w:val="00CF0BB2"/>
    <w:rsid w:val="00CF4975"/>
    <w:rsid w:val="00D04491"/>
    <w:rsid w:val="00D13441"/>
    <w:rsid w:val="00D27B06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B1E13"/>
    <w:rsid w:val="00DD314D"/>
    <w:rsid w:val="00DD364D"/>
    <w:rsid w:val="00DE39B5"/>
    <w:rsid w:val="00E05704"/>
    <w:rsid w:val="00E1363F"/>
    <w:rsid w:val="00E54CAB"/>
    <w:rsid w:val="00E74DC7"/>
    <w:rsid w:val="00E85CB9"/>
    <w:rsid w:val="00E94998"/>
    <w:rsid w:val="00EA0AEA"/>
    <w:rsid w:val="00EB2A71"/>
    <w:rsid w:val="00ED1A6C"/>
    <w:rsid w:val="00ED28EF"/>
    <w:rsid w:val="00ED600D"/>
    <w:rsid w:val="00EE25A8"/>
    <w:rsid w:val="00EE6DCC"/>
    <w:rsid w:val="00EF050B"/>
    <w:rsid w:val="00EF2E3A"/>
    <w:rsid w:val="00F0132A"/>
    <w:rsid w:val="00F078DC"/>
    <w:rsid w:val="00F13827"/>
    <w:rsid w:val="00F32344"/>
    <w:rsid w:val="00F4339D"/>
    <w:rsid w:val="00F5076A"/>
    <w:rsid w:val="00F65BB6"/>
    <w:rsid w:val="00F71234"/>
    <w:rsid w:val="00F8103A"/>
    <w:rsid w:val="00F873B1"/>
    <w:rsid w:val="00F962DE"/>
    <w:rsid w:val="00FA3991"/>
    <w:rsid w:val="00FB7BF3"/>
    <w:rsid w:val="00FC104F"/>
    <w:rsid w:val="00FC36CF"/>
    <w:rsid w:val="00FE014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2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043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5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5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5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5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5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0438"/>
  </w:style>
  <w:style w:type="paragraph" w:customStyle="1" w:styleId="OPCParaBase">
    <w:name w:val="OPCParaBase"/>
    <w:qFormat/>
    <w:rsid w:val="00C9043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043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043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043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043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043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9043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043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043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043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043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0438"/>
  </w:style>
  <w:style w:type="paragraph" w:customStyle="1" w:styleId="Blocks">
    <w:name w:val="Blocks"/>
    <w:aliases w:val="bb"/>
    <w:basedOn w:val="OPCParaBase"/>
    <w:qFormat/>
    <w:rsid w:val="00C9043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04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043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0438"/>
    <w:rPr>
      <w:i/>
    </w:rPr>
  </w:style>
  <w:style w:type="paragraph" w:customStyle="1" w:styleId="BoxList">
    <w:name w:val="BoxList"/>
    <w:aliases w:val="bl"/>
    <w:basedOn w:val="BoxText"/>
    <w:qFormat/>
    <w:rsid w:val="00C9043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043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043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0438"/>
    <w:pPr>
      <w:ind w:left="1985" w:hanging="851"/>
    </w:pPr>
  </w:style>
  <w:style w:type="character" w:customStyle="1" w:styleId="CharAmPartNo">
    <w:name w:val="CharAmPartNo"/>
    <w:basedOn w:val="OPCCharBase"/>
    <w:qFormat/>
    <w:rsid w:val="00C90438"/>
  </w:style>
  <w:style w:type="character" w:customStyle="1" w:styleId="CharAmPartText">
    <w:name w:val="CharAmPartText"/>
    <w:basedOn w:val="OPCCharBase"/>
    <w:qFormat/>
    <w:rsid w:val="00C90438"/>
  </w:style>
  <w:style w:type="character" w:customStyle="1" w:styleId="CharAmSchNo">
    <w:name w:val="CharAmSchNo"/>
    <w:basedOn w:val="OPCCharBase"/>
    <w:qFormat/>
    <w:rsid w:val="00C90438"/>
  </w:style>
  <w:style w:type="character" w:customStyle="1" w:styleId="CharAmSchText">
    <w:name w:val="CharAmSchText"/>
    <w:basedOn w:val="OPCCharBase"/>
    <w:qFormat/>
    <w:rsid w:val="00C90438"/>
  </w:style>
  <w:style w:type="character" w:customStyle="1" w:styleId="CharBoldItalic">
    <w:name w:val="CharBoldItalic"/>
    <w:basedOn w:val="OPCCharBase"/>
    <w:uiPriority w:val="1"/>
    <w:qFormat/>
    <w:rsid w:val="00C9043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0438"/>
  </w:style>
  <w:style w:type="character" w:customStyle="1" w:styleId="CharChapText">
    <w:name w:val="CharChapText"/>
    <w:basedOn w:val="OPCCharBase"/>
    <w:uiPriority w:val="1"/>
    <w:qFormat/>
    <w:rsid w:val="00C90438"/>
  </w:style>
  <w:style w:type="character" w:customStyle="1" w:styleId="CharDivNo">
    <w:name w:val="CharDivNo"/>
    <w:basedOn w:val="OPCCharBase"/>
    <w:uiPriority w:val="1"/>
    <w:qFormat/>
    <w:rsid w:val="00C90438"/>
  </w:style>
  <w:style w:type="character" w:customStyle="1" w:styleId="CharDivText">
    <w:name w:val="CharDivText"/>
    <w:basedOn w:val="OPCCharBase"/>
    <w:uiPriority w:val="1"/>
    <w:qFormat/>
    <w:rsid w:val="00C90438"/>
  </w:style>
  <w:style w:type="character" w:customStyle="1" w:styleId="CharItalic">
    <w:name w:val="CharItalic"/>
    <w:basedOn w:val="OPCCharBase"/>
    <w:uiPriority w:val="1"/>
    <w:qFormat/>
    <w:rsid w:val="00C90438"/>
    <w:rPr>
      <w:i/>
    </w:rPr>
  </w:style>
  <w:style w:type="character" w:customStyle="1" w:styleId="CharPartNo">
    <w:name w:val="CharPartNo"/>
    <w:basedOn w:val="OPCCharBase"/>
    <w:uiPriority w:val="1"/>
    <w:qFormat/>
    <w:rsid w:val="00C90438"/>
  </w:style>
  <w:style w:type="character" w:customStyle="1" w:styleId="CharPartText">
    <w:name w:val="CharPartText"/>
    <w:basedOn w:val="OPCCharBase"/>
    <w:uiPriority w:val="1"/>
    <w:qFormat/>
    <w:rsid w:val="00C90438"/>
  </w:style>
  <w:style w:type="character" w:customStyle="1" w:styleId="CharSectno">
    <w:name w:val="CharSectno"/>
    <w:basedOn w:val="OPCCharBase"/>
    <w:qFormat/>
    <w:rsid w:val="00C90438"/>
  </w:style>
  <w:style w:type="character" w:customStyle="1" w:styleId="CharSubdNo">
    <w:name w:val="CharSubdNo"/>
    <w:basedOn w:val="OPCCharBase"/>
    <w:uiPriority w:val="1"/>
    <w:qFormat/>
    <w:rsid w:val="00C90438"/>
  </w:style>
  <w:style w:type="character" w:customStyle="1" w:styleId="CharSubdText">
    <w:name w:val="CharSubdText"/>
    <w:basedOn w:val="OPCCharBase"/>
    <w:uiPriority w:val="1"/>
    <w:qFormat/>
    <w:rsid w:val="00C90438"/>
  </w:style>
  <w:style w:type="paragraph" w:customStyle="1" w:styleId="CTA--">
    <w:name w:val="CTA --"/>
    <w:basedOn w:val="OPCParaBase"/>
    <w:next w:val="Normal"/>
    <w:rsid w:val="00C9043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043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043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043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043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043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043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043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043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043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043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043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043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043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9043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043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04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043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04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04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043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043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043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043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043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043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043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043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043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043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043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043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043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043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043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043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043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043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043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043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043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043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043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043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043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043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043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043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043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043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043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04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043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043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043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9043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9043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9043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043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043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043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043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043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043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043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90438"/>
    <w:rPr>
      <w:sz w:val="16"/>
    </w:rPr>
  </w:style>
  <w:style w:type="table" w:customStyle="1" w:styleId="CFlag">
    <w:name w:val="CFlag"/>
    <w:basedOn w:val="TableNormal"/>
    <w:uiPriority w:val="99"/>
    <w:rsid w:val="00C90438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9043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90438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90438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9043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9043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043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043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043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043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043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043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043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043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0438"/>
  </w:style>
  <w:style w:type="character" w:customStyle="1" w:styleId="CharSubPartNoCASA">
    <w:name w:val="CharSubPartNo(CASA)"/>
    <w:basedOn w:val="OPCCharBase"/>
    <w:uiPriority w:val="1"/>
    <w:rsid w:val="00C90438"/>
  </w:style>
  <w:style w:type="paragraph" w:customStyle="1" w:styleId="ENoteTTIndentHeadingSub">
    <w:name w:val="ENoteTTIndentHeadingSub"/>
    <w:aliases w:val="enTTHis"/>
    <w:basedOn w:val="OPCParaBase"/>
    <w:rsid w:val="00C9043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043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043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043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9043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9043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04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0438"/>
    <w:rPr>
      <w:sz w:val="22"/>
    </w:rPr>
  </w:style>
  <w:style w:type="paragraph" w:customStyle="1" w:styleId="SOTextNote">
    <w:name w:val="SO TextNote"/>
    <w:aliases w:val="sont"/>
    <w:basedOn w:val="SOText"/>
    <w:qFormat/>
    <w:rsid w:val="00C9043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043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0438"/>
    <w:rPr>
      <w:sz w:val="22"/>
    </w:rPr>
  </w:style>
  <w:style w:type="paragraph" w:customStyle="1" w:styleId="FileName">
    <w:name w:val="FileName"/>
    <w:basedOn w:val="Normal"/>
    <w:rsid w:val="00C90438"/>
  </w:style>
  <w:style w:type="paragraph" w:customStyle="1" w:styleId="TableHeading">
    <w:name w:val="TableHeading"/>
    <w:aliases w:val="th"/>
    <w:basedOn w:val="OPCParaBase"/>
    <w:next w:val="Tabletext"/>
    <w:rsid w:val="00C9043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043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043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043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043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043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043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043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043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04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043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043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9043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043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9043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043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9043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04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04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04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90438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9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90438"/>
  </w:style>
  <w:style w:type="character" w:customStyle="1" w:styleId="Heading1Char">
    <w:name w:val="Heading 1 Char"/>
    <w:basedOn w:val="DefaultParagraphFont"/>
    <w:link w:val="Heading1"/>
    <w:uiPriority w:val="9"/>
    <w:rsid w:val="005165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52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52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52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52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5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5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8</Pages>
  <Words>1678</Words>
  <Characters>8274</Characters>
  <Application>Microsoft Office Word</Application>
  <DocSecurity>2</DocSecurity>
  <PresentationFormat/>
  <Lines>250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2023: PWC Response—promoter penalty laws reform - Exposure Draft</vt:lpstr>
    </vt:vector>
  </TitlesOfParts>
  <Manager/>
  <Company/>
  <LinksUpToDate>false</LinksUpToDate>
  <CharactersWithSpaces>9778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Consultation) Bill 2023: PWC Response—promoter penalty laws reform - Exposure Draft</dc:title>
  <dc:subject/>
  <dc:creator/>
  <cp:keywords/>
  <dc:description/>
  <cp:lastModifiedBy/>
  <cp:revision>1</cp:revision>
  <cp:lastPrinted>2023-09-11T00:23:00Z</cp:lastPrinted>
  <dcterms:created xsi:type="dcterms:W3CDTF">2023-09-11T00:35:00Z</dcterms:created>
  <dcterms:modified xsi:type="dcterms:W3CDTF">2023-09-15T01:25:00Z</dcterms:modified>
  <cp:category/>
  <cp:contentStatus/>
  <dc:language/>
  <cp:version/>
</cp:coreProperties>
</file>