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0CF00258"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CBDB4BA" wp14:editId="34CB00CA">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E96AD54" w14:textId="77777777" w:rsidR="00A652B8" w:rsidRPr="006D0240" w:rsidRDefault="00A652B8" w:rsidP="001D4EAA">
          <w:pPr>
            <w:pStyle w:val="Header"/>
            <w:spacing w:after="1320"/>
            <w:jc w:val="left"/>
          </w:pPr>
        </w:p>
        <w:p w14:paraId="258454AC" w14:textId="5743B362" w:rsidR="00A652B8" w:rsidRPr="001D4EAA" w:rsidRDefault="00580344" w:rsidP="001D4EAA">
          <w:pPr>
            <w:pStyle w:val="Title"/>
          </w:pPr>
          <w:r>
            <w:t xml:space="preserve">Vapour Recovery Units </w:t>
          </w:r>
          <w:r w:rsidR="008C22AA">
            <w:t xml:space="preserve">- </w:t>
          </w:r>
          <w:r w:rsidR="00F015F5">
            <w:t>Single Rate</w:t>
          </w:r>
        </w:p>
        <w:p w14:paraId="60B1065A" w14:textId="77777777" w:rsidR="00A652B8" w:rsidRPr="001D4EAA" w:rsidRDefault="00A652B8" w:rsidP="00082FC2">
          <w:pPr>
            <w:pStyle w:val="Subtitle"/>
            <w:spacing w:after="240"/>
          </w:pPr>
          <w:r>
            <w:t>Consultation paper</w:t>
          </w:r>
        </w:p>
        <w:p w14:paraId="024D898F" w14:textId="6034037E" w:rsidR="00A652B8" w:rsidRDefault="00A275D2" w:rsidP="001D4EAA">
          <w:pPr>
            <w:pStyle w:val="ReportDate"/>
            <w:rPr>
              <w:rFonts w:ascii="Rockwell" w:hAnsi="Rockwell"/>
              <w:sz w:val="24"/>
            </w:rPr>
          </w:pPr>
          <w:r>
            <w:rPr>
              <w:rStyle w:val="ReportDateChar"/>
            </w:rPr>
            <w:t>September</w:t>
          </w:r>
          <w:r w:rsidR="00E0680C">
            <w:rPr>
              <w:rStyle w:val="ReportDateChar"/>
            </w:rPr>
            <w:t xml:space="preserve"> </w:t>
          </w:r>
          <w:r w:rsidR="00F015F5">
            <w:rPr>
              <w:rStyle w:val="ReportDateChar"/>
            </w:rPr>
            <w:t>2023</w:t>
          </w:r>
        </w:p>
        <w:p w14:paraId="6A0D2D0A" w14:textId="77777777" w:rsidR="00A652B8" w:rsidRDefault="00A652B8" w:rsidP="00775702">
          <w:pPr>
            <w:spacing w:after="1640"/>
          </w:pPr>
        </w:p>
        <w:p w14:paraId="1685D22B" w14:textId="77777777" w:rsidR="00A652B8" w:rsidRDefault="00A652B8" w:rsidP="00775702">
          <w:pPr>
            <w:spacing w:after="1640"/>
          </w:pPr>
        </w:p>
        <w:p w14:paraId="26DC86ED" w14:textId="77777777" w:rsidR="00A652B8" w:rsidRDefault="00A652B8">
          <w:pPr>
            <w:spacing w:before="0" w:after="160" w:line="259" w:lineRule="auto"/>
          </w:pPr>
          <w:r>
            <w:br w:type="page"/>
          </w:r>
        </w:p>
      </w:sdtContent>
    </w:sdt>
    <w:p w14:paraId="7530FAA0"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F99A07D" w14:textId="4D09CB42" w:rsidR="000E0B74" w:rsidRDefault="000E0B74" w:rsidP="003C350F">
      <w:pPr>
        <w:spacing w:before="0" w:after="160" w:line="259" w:lineRule="auto"/>
      </w:pPr>
      <w:r w:rsidRPr="00661BF0">
        <w:lastRenderedPageBreak/>
        <w:t xml:space="preserve">© Commonwealth of Australia </w:t>
      </w:r>
      <w:r w:rsidRPr="003C350F">
        <w:t>20</w:t>
      </w:r>
      <w:r w:rsidR="00EF2FBF" w:rsidRPr="003C350F">
        <w:t>2</w:t>
      </w:r>
      <w:r w:rsidR="004D5463" w:rsidRPr="003C350F">
        <w:t>3</w:t>
      </w:r>
    </w:p>
    <w:p w14:paraId="33AEAB5C" w14:textId="0053E0D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EF0BAFE" w14:textId="77777777" w:rsidR="000E0B74" w:rsidRDefault="000E0B74" w:rsidP="000E0B74">
      <w:pPr>
        <w:pStyle w:val="ChartGraphic"/>
        <w:jc w:val="left"/>
      </w:pPr>
      <w:r w:rsidRPr="00E56DFB">
        <w:rPr>
          <w:noProof/>
          <w:lang w:eastAsia="zh-CN"/>
        </w:rPr>
        <w:drawing>
          <wp:inline distT="0" distB="0" distL="0" distR="0" wp14:anchorId="755A809F" wp14:editId="2C055191">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442828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06976B17" w14:textId="77777777" w:rsidR="000E0B74" w:rsidRPr="0031276E" w:rsidRDefault="000E0B74" w:rsidP="0031276E">
      <w:pPr>
        <w:spacing w:before="240"/>
        <w:rPr>
          <w:b/>
        </w:rPr>
      </w:pPr>
      <w:r w:rsidRPr="0031276E">
        <w:rPr>
          <w:b/>
        </w:rPr>
        <w:t>Treasury material used ‘as supplied’</w:t>
      </w:r>
    </w:p>
    <w:p w14:paraId="79F3FB3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FFA419B" w14:textId="0FA942C8" w:rsidR="000E0B74" w:rsidRPr="00A13A11" w:rsidRDefault="000E0B74" w:rsidP="000E0B74">
      <w:pPr>
        <w:ind w:firstLine="720"/>
      </w:pPr>
      <w:r w:rsidRPr="002F1BC2">
        <w:rPr>
          <w:i/>
        </w:rPr>
        <w:t xml:space="preserve">Source: The </w:t>
      </w:r>
      <w:r w:rsidRPr="002F1BC2">
        <w:rPr>
          <w:i/>
          <w:iCs/>
        </w:rPr>
        <w:t>Australian Government the Treasury</w:t>
      </w:r>
    </w:p>
    <w:p w14:paraId="5EB3A74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D24618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7BF1824" w14:textId="505A0545" w:rsidR="000E0B74" w:rsidRPr="006627B4" w:rsidRDefault="000E0B74" w:rsidP="000E0B74">
      <w:pPr>
        <w:ind w:firstLine="720"/>
      </w:pPr>
      <w:r w:rsidRPr="002F1BC2">
        <w:rPr>
          <w:i/>
        </w:rPr>
        <w:t>Based on The Australian Government the Treasury data</w:t>
      </w:r>
      <w:r w:rsidRPr="006627B4">
        <w:t xml:space="preserve"> </w:t>
      </w:r>
    </w:p>
    <w:p w14:paraId="290E0694" w14:textId="77777777" w:rsidR="000E0B74" w:rsidRPr="006627B4" w:rsidRDefault="000E0B74" w:rsidP="000E0B74">
      <w:pPr>
        <w:spacing w:before="240"/>
        <w:rPr>
          <w:b/>
        </w:rPr>
      </w:pPr>
      <w:r w:rsidRPr="006627B4">
        <w:rPr>
          <w:b/>
        </w:rPr>
        <w:t>Use of the Coat of Arms</w:t>
      </w:r>
    </w:p>
    <w:p w14:paraId="1A1F2C0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474693" w:rsidRPr="00770ED6">
          <w:rPr>
            <w:rStyle w:val="Hyperlink"/>
          </w:rPr>
          <w:t>www.pmc.gov.au/government/commonwealth-coat-arms</w:t>
        </w:r>
      </w:hyperlink>
      <w:r w:rsidRPr="004A7BC2">
        <w:t>).</w:t>
      </w:r>
    </w:p>
    <w:p w14:paraId="38E85D89" w14:textId="77777777" w:rsidR="000E0B74" w:rsidRPr="006627B4" w:rsidRDefault="000E0B74" w:rsidP="000E0B74">
      <w:pPr>
        <w:spacing w:before="240"/>
        <w:rPr>
          <w:b/>
        </w:rPr>
      </w:pPr>
      <w:r>
        <w:rPr>
          <w:b/>
        </w:rPr>
        <w:t>Other u</w:t>
      </w:r>
      <w:r w:rsidRPr="006627B4">
        <w:rPr>
          <w:b/>
        </w:rPr>
        <w:t>ses</w:t>
      </w:r>
    </w:p>
    <w:p w14:paraId="45592091" w14:textId="77777777" w:rsidR="000E0B74" w:rsidRPr="006627B4" w:rsidRDefault="000E0B74" w:rsidP="000E0B74">
      <w:r>
        <w:t>E</w:t>
      </w:r>
      <w:r w:rsidRPr="006627B4">
        <w:t>nquiries regarding this licence and any other use of this document are welcome at:</w:t>
      </w:r>
    </w:p>
    <w:p w14:paraId="074345AD"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AD4C003"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0ED6F57B" w14:textId="77777777" w:rsidR="000E0B74" w:rsidRPr="00354FBB" w:rsidRDefault="000E0B74" w:rsidP="00354FBB">
      <w:pPr>
        <w:pStyle w:val="Heading1"/>
      </w:pPr>
      <w:bookmarkStart w:id="0" w:name="_Toc134433602"/>
      <w:r w:rsidRPr="00354FBB">
        <w:lastRenderedPageBreak/>
        <w:t>Contents</w:t>
      </w:r>
      <w:bookmarkEnd w:id="0"/>
    </w:p>
    <w:p w14:paraId="6458E6FA" w14:textId="6A54C09F" w:rsidR="006375E3"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4433602" w:history="1">
        <w:r w:rsidR="006375E3" w:rsidRPr="00BB2E33">
          <w:rPr>
            <w:rStyle w:val="Hyperlink"/>
          </w:rPr>
          <w:t>Contents</w:t>
        </w:r>
        <w:r w:rsidR="006375E3">
          <w:rPr>
            <w:webHidden/>
          </w:rPr>
          <w:tab/>
        </w:r>
        <w:r w:rsidR="006375E3">
          <w:rPr>
            <w:webHidden/>
          </w:rPr>
          <w:fldChar w:fldCharType="begin"/>
        </w:r>
        <w:r w:rsidR="006375E3">
          <w:rPr>
            <w:webHidden/>
          </w:rPr>
          <w:instrText xml:space="preserve"> PAGEREF _Toc134433602 \h </w:instrText>
        </w:r>
        <w:r w:rsidR="006375E3">
          <w:rPr>
            <w:webHidden/>
          </w:rPr>
        </w:r>
        <w:r w:rsidR="006375E3">
          <w:rPr>
            <w:webHidden/>
          </w:rPr>
          <w:fldChar w:fldCharType="separate"/>
        </w:r>
        <w:r w:rsidR="00B6589B">
          <w:rPr>
            <w:webHidden/>
          </w:rPr>
          <w:t>ii</w:t>
        </w:r>
        <w:r w:rsidR="006375E3">
          <w:rPr>
            <w:webHidden/>
          </w:rPr>
          <w:fldChar w:fldCharType="end"/>
        </w:r>
      </w:hyperlink>
    </w:p>
    <w:p w14:paraId="41A1F6F0" w14:textId="46221ADA" w:rsidR="006375E3" w:rsidRDefault="009E26C5">
      <w:pPr>
        <w:pStyle w:val="TOC1"/>
        <w:rPr>
          <w:rFonts w:asciiTheme="minorHAnsi" w:eastAsiaTheme="minorEastAsia" w:hAnsiTheme="minorHAnsi" w:cstheme="minorBidi"/>
          <w:b w:val="0"/>
          <w:color w:val="auto"/>
        </w:rPr>
      </w:pPr>
      <w:hyperlink w:anchor="_Toc134433603" w:history="1">
        <w:r w:rsidR="006375E3" w:rsidRPr="00BB2E33">
          <w:rPr>
            <w:rStyle w:val="Hyperlink"/>
          </w:rPr>
          <w:t>Consultation Process</w:t>
        </w:r>
        <w:r w:rsidR="006375E3">
          <w:rPr>
            <w:webHidden/>
          </w:rPr>
          <w:tab/>
        </w:r>
        <w:r w:rsidR="006375E3">
          <w:rPr>
            <w:webHidden/>
          </w:rPr>
          <w:fldChar w:fldCharType="begin"/>
        </w:r>
        <w:r w:rsidR="006375E3">
          <w:rPr>
            <w:webHidden/>
          </w:rPr>
          <w:instrText xml:space="preserve"> PAGEREF _Toc134433603 \h </w:instrText>
        </w:r>
        <w:r w:rsidR="006375E3">
          <w:rPr>
            <w:webHidden/>
          </w:rPr>
        </w:r>
        <w:r w:rsidR="006375E3">
          <w:rPr>
            <w:webHidden/>
          </w:rPr>
          <w:fldChar w:fldCharType="separate"/>
        </w:r>
        <w:r w:rsidR="00B6589B">
          <w:rPr>
            <w:webHidden/>
          </w:rPr>
          <w:t>3</w:t>
        </w:r>
        <w:r w:rsidR="006375E3">
          <w:rPr>
            <w:webHidden/>
          </w:rPr>
          <w:fldChar w:fldCharType="end"/>
        </w:r>
      </w:hyperlink>
    </w:p>
    <w:p w14:paraId="7D8B2129" w14:textId="60D4FFDD" w:rsidR="006375E3" w:rsidRDefault="009E26C5">
      <w:pPr>
        <w:pStyle w:val="TOC2"/>
        <w:rPr>
          <w:rFonts w:asciiTheme="minorHAnsi" w:eastAsiaTheme="minorEastAsia" w:hAnsiTheme="minorHAnsi" w:cstheme="minorBidi"/>
          <w:color w:val="auto"/>
          <w:szCs w:val="22"/>
        </w:rPr>
      </w:pPr>
      <w:hyperlink w:anchor="_Toc134433604" w:history="1">
        <w:r w:rsidR="006375E3" w:rsidRPr="00BB2E33">
          <w:rPr>
            <w:rStyle w:val="Hyperlink"/>
          </w:rPr>
          <w:t>Request for feedback and comments</w:t>
        </w:r>
        <w:r w:rsidR="006375E3">
          <w:rPr>
            <w:webHidden/>
          </w:rPr>
          <w:tab/>
        </w:r>
        <w:r w:rsidR="006375E3">
          <w:rPr>
            <w:webHidden/>
          </w:rPr>
          <w:fldChar w:fldCharType="begin"/>
        </w:r>
        <w:r w:rsidR="006375E3">
          <w:rPr>
            <w:webHidden/>
          </w:rPr>
          <w:instrText xml:space="preserve"> PAGEREF _Toc134433604 \h </w:instrText>
        </w:r>
        <w:r w:rsidR="006375E3">
          <w:rPr>
            <w:webHidden/>
          </w:rPr>
        </w:r>
        <w:r w:rsidR="006375E3">
          <w:rPr>
            <w:webHidden/>
          </w:rPr>
          <w:fldChar w:fldCharType="separate"/>
        </w:r>
        <w:r w:rsidR="00B6589B">
          <w:rPr>
            <w:webHidden/>
          </w:rPr>
          <w:t>3</w:t>
        </w:r>
        <w:r w:rsidR="006375E3">
          <w:rPr>
            <w:webHidden/>
          </w:rPr>
          <w:fldChar w:fldCharType="end"/>
        </w:r>
      </w:hyperlink>
    </w:p>
    <w:p w14:paraId="5D842923" w14:textId="55BAD04E" w:rsidR="006375E3" w:rsidRDefault="009E26C5">
      <w:pPr>
        <w:pStyle w:val="TOC1"/>
        <w:rPr>
          <w:rFonts w:asciiTheme="minorHAnsi" w:eastAsiaTheme="minorEastAsia" w:hAnsiTheme="minorHAnsi" w:cstheme="minorBidi"/>
          <w:b w:val="0"/>
          <w:color w:val="auto"/>
        </w:rPr>
      </w:pPr>
      <w:hyperlink w:anchor="_Toc134433605" w:history="1">
        <w:r w:rsidR="006375E3" w:rsidRPr="00BB2E33">
          <w:rPr>
            <w:rStyle w:val="Hyperlink"/>
          </w:rPr>
          <w:t>Single Rate for Vapour Recovery Units</w:t>
        </w:r>
        <w:r w:rsidR="006375E3">
          <w:rPr>
            <w:webHidden/>
          </w:rPr>
          <w:tab/>
        </w:r>
        <w:r w:rsidR="006375E3">
          <w:rPr>
            <w:webHidden/>
          </w:rPr>
          <w:fldChar w:fldCharType="begin"/>
        </w:r>
        <w:r w:rsidR="006375E3">
          <w:rPr>
            <w:webHidden/>
          </w:rPr>
          <w:instrText xml:space="preserve"> PAGEREF _Toc134433605 \h </w:instrText>
        </w:r>
        <w:r w:rsidR="006375E3">
          <w:rPr>
            <w:webHidden/>
          </w:rPr>
        </w:r>
        <w:r w:rsidR="006375E3">
          <w:rPr>
            <w:webHidden/>
          </w:rPr>
          <w:fldChar w:fldCharType="separate"/>
        </w:r>
        <w:r w:rsidR="00B6589B">
          <w:rPr>
            <w:webHidden/>
          </w:rPr>
          <w:t>4</w:t>
        </w:r>
        <w:r w:rsidR="006375E3">
          <w:rPr>
            <w:webHidden/>
          </w:rPr>
          <w:fldChar w:fldCharType="end"/>
        </w:r>
      </w:hyperlink>
    </w:p>
    <w:p w14:paraId="322B1EAC" w14:textId="048B8CF1" w:rsidR="006375E3" w:rsidRDefault="009E26C5">
      <w:pPr>
        <w:pStyle w:val="TOC2"/>
        <w:rPr>
          <w:rFonts w:asciiTheme="minorHAnsi" w:eastAsiaTheme="minorEastAsia" w:hAnsiTheme="minorHAnsi" w:cstheme="minorBidi"/>
          <w:color w:val="auto"/>
          <w:szCs w:val="22"/>
        </w:rPr>
      </w:pPr>
      <w:hyperlink w:anchor="_Toc134433606" w:history="1">
        <w:r w:rsidR="006375E3" w:rsidRPr="00BB2E33">
          <w:rPr>
            <w:rStyle w:val="Hyperlink"/>
          </w:rPr>
          <w:t>Introduction</w:t>
        </w:r>
        <w:r w:rsidR="006375E3">
          <w:rPr>
            <w:webHidden/>
          </w:rPr>
          <w:tab/>
        </w:r>
        <w:r w:rsidR="006375E3">
          <w:rPr>
            <w:webHidden/>
          </w:rPr>
          <w:fldChar w:fldCharType="begin"/>
        </w:r>
        <w:r w:rsidR="006375E3">
          <w:rPr>
            <w:webHidden/>
          </w:rPr>
          <w:instrText xml:space="preserve"> PAGEREF _Toc134433606 \h </w:instrText>
        </w:r>
        <w:r w:rsidR="006375E3">
          <w:rPr>
            <w:webHidden/>
          </w:rPr>
        </w:r>
        <w:r w:rsidR="006375E3">
          <w:rPr>
            <w:webHidden/>
          </w:rPr>
          <w:fldChar w:fldCharType="separate"/>
        </w:r>
        <w:r w:rsidR="00B6589B">
          <w:rPr>
            <w:webHidden/>
          </w:rPr>
          <w:t>4</w:t>
        </w:r>
        <w:r w:rsidR="006375E3">
          <w:rPr>
            <w:webHidden/>
          </w:rPr>
          <w:fldChar w:fldCharType="end"/>
        </w:r>
      </w:hyperlink>
    </w:p>
    <w:p w14:paraId="3B448919" w14:textId="497FD767" w:rsidR="006375E3" w:rsidRDefault="009E26C5">
      <w:pPr>
        <w:pStyle w:val="TOC2"/>
      </w:pPr>
      <w:hyperlink w:anchor="_Toc134433607" w:history="1">
        <w:r w:rsidR="006375E3" w:rsidRPr="00BB2E33">
          <w:rPr>
            <w:rStyle w:val="Hyperlink"/>
          </w:rPr>
          <w:t>Purpose</w:t>
        </w:r>
        <w:r w:rsidR="006375E3">
          <w:rPr>
            <w:webHidden/>
          </w:rPr>
          <w:tab/>
        </w:r>
        <w:r w:rsidR="006375E3">
          <w:rPr>
            <w:webHidden/>
          </w:rPr>
          <w:fldChar w:fldCharType="begin"/>
        </w:r>
        <w:r w:rsidR="006375E3">
          <w:rPr>
            <w:webHidden/>
          </w:rPr>
          <w:instrText xml:space="preserve"> PAGEREF _Toc134433607 \h </w:instrText>
        </w:r>
        <w:r w:rsidR="006375E3">
          <w:rPr>
            <w:webHidden/>
          </w:rPr>
        </w:r>
        <w:r w:rsidR="006375E3">
          <w:rPr>
            <w:webHidden/>
          </w:rPr>
          <w:fldChar w:fldCharType="separate"/>
        </w:r>
        <w:r w:rsidR="00B6589B">
          <w:rPr>
            <w:webHidden/>
          </w:rPr>
          <w:t>4</w:t>
        </w:r>
        <w:r w:rsidR="006375E3">
          <w:rPr>
            <w:webHidden/>
          </w:rPr>
          <w:fldChar w:fldCharType="end"/>
        </w:r>
      </w:hyperlink>
    </w:p>
    <w:p w14:paraId="215DF59B" w14:textId="5B9B32FD" w:rsidR="00AA0BBB" w:rsidRDefault="009E26C5" w:rsidP="00AA0BBB">
      <w:pPr>
        <w:pStyle w:val="TOC2"/>
        <w:rPr>
          <w:rFonts w:asciiTheme="minorHAnsi" w:eastAsiaTheme="minorEastAsia" w:hAnsiTheme="minorHAnsi" w:cstheme="minorBidi"/>
          <w:color w:val="auto"/>
          <w:szCs w:val="22"/>
        </w:rPr>
      </w:pPr>
      <w:hyperlink w:anchor="Discussion" w:history="1">
        <w:r w:rsidR="00AA0BBB">
          <w:rPr>
            <w:rStyle w:val="Hyperlink"/>
          </w:rPr>
          <w:t>Discussio</w:t>
        </w:r>
        <w:r w:rsidR="00823A92">
          <w:rPr>
            <w:rStyle w:val="Hyperlink"/>
          </w:rPr>
          <w:t>n</w:t>
        </w:r>
        <w:r w:rsidR="00AA0BBB">
          <w:rPr>
            <w:webHidden/>
          </w:rPr>
          <w:tab/>
        </w:r>
      </w:hyperlink>
      <w:r w:rsidR="00AA0BBB">
        <w:t>4</w:t>
      </w:r>
    </w:p>
    <w:p w14:paraId="3CE798FF" w14:textId="67068DA2" w:rsidR="006375E3" w:rsidRDefault="009E26C5">
      <w:pPr>
        <w:pStyle w:val="TOC2"/>
        <w:rPr>
          <w:rFonts w:asciiTheme="minorHAnsi" w:eastAsiaTheme="minorEastAsia" w:hAnsiTheme="minorHAnsi" w:cstheme="minorBidi"/>
          <w:color w:val="auto"/>
          <w:szCs w:val="22"/>
        </w:rPr>
      </w:pPr>
      <w:hyperlink w:anchor="Appendix" w:history="1">
        <w:r w:rsidR="0033355B">
          <w:rPr>
            <w:rStyle w:val="Hyperlink"/>
          </w:rPr>
          <w:t>Append</w:t>
        </w:r>
        <w:r w:rsidR="003E5CA7">
          <w:rPr>
            <w:rStyle w:val="Hyperlink"/>
          </w:rPr>
          <w:t>ix</w:t>
        </w:r>
        <w:r w:rsidR="006375E3">
          <w:rPr>
            <w:webHidden/>
          </w:rPr>
          <w:tab/>
        </w:r>
      </w:hyperlink>
      <w:r w:rsidR="003E5CA7">
        <w:t>7</w:t>
      </w:r>
    </w:p>
    <w:p w14:paraId="3D5BBF62" w14:textId="77777777"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3C9F416" w14:textId="77777777" w:rsidR="000E0B74" w:rsidRDefault="000E0B74" w:rsidP="00354FBB">
      <w:pPr>
        <w:pStyle w:val="Heading1"/>
      </w:pPr>
      <w:bookmarkStart w:id="1" w:name="_Toc134433603"/>
      <w:bookmarkStart w:id="2" w:name="_Toc432067103"/>
      <w:r>
        <w:lastRenderedPageBreak/>
        <w:t>Consultation Process</w:t>
      </w:r>
      <w:bookmarkEnd w:id="1"/>
    </w:p>
    <w:p w14:paraId="75A5AF87" w14:textId="77777777" w:rsidR="000E0B74" w:rsidRDefault="000E0B74" w:rsidP="000E0B74">
      <w:pPr>
        <w:pStyle w:val="Heading2"/>
      </w:pPr>
      <w:bookmarkStart w:id="3" w:name="_Toc134433604"/>
      <w:r>
        <w:t>Request for feedback and comments</w:t>
      </w:r>
      <w:bookmarkEnd w:id="3"/>
    </w:p>
    <w:p w14:paraId="5810CDD8" w14:textId="2DE71D1A" w:rsidR="001B7504" w:rsidRPr="00D61C41" w:rsidRDefault="001B7504" w:rsidP="001B7504">
      <w:r w:rsidRPr="00234FAE">
        <w:t>You can submit responses to this consultation up until </w:t>
      </w:r>
      <w:r w:rsidR="000E5004" w:rsidRPr="00234FAE">
        <w:t>03 October</w:t>
      </w:r>
      <w:r w:rsidRPr="00234FAE">
        <w:t xml:space="preserve"> 2023.</w:t>
      </w:r>
      <w:r w:rsidRPr="00D61C41">
        <w:t> </w:t>
      </w:r>
    </w:p>
    <w:p w14:paraId="17B5C4CB" w14:textId="77777777" w:rsidR="001B7504" w:rsidRPr="00D61C41" w:rsidRDefault="001B7504" w:rsidP="001B7504">
      <w:r w:rsidRPr="00D61C41">
        <w:t>While submissions may be lodged electronically or by post, electronic lodgement is preferred. For accessibility reasons, please submit responses sent via email in a Word or RTF format. An additional PDF version may also be submitted.</w:t>
      </w:r>
    </w:p>
    <w:p w14:paraId="334B53BF" w14:textId="77777777" w:rsidR="001B7504" w:rsidRPr="00D61C41" w:rsidRDefault="001B7504" w:rsidP="001B7504">
      <w:r w:rsidRPr="00D42080">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p>
    <w:p w14:paraId="6BD8A279" w14:textId="77777777" w:rsidR="001B7504" w:rsidRPr="00D61C41" w:rsidRDefault="001B7504" w:rsidP="001B7504">
      <w:r w:rsidRPr="00D61C41">
        <w:t>Legal requirements, such as those imposed by the </w:t>
      </w:r>
      <w:r w:rsidRPr="00D61C41">
        <w:rPr>
          <w:i/>
          <w:iCs/>
        </w:rPr>
        <w:t>Freedom of Information Act 1982</w:t>
      </w:r>
      <w:r w:rsidRPr="00D61C41">
        <w:t>, may affect the confidentiality of your submission.</w:t>
      </w:r>
    </w:p>
    <w:p w14:paraId="70DDDEDC" w14:textId="77777777" w:rsidR="001B7504" w:rsidRPr="00D61C41" w:rsidRDefault="001B7504" w:rsidP="001B7504">
      <w:r w:rsidRPr="00D61C41">
        <w:t>View our </w:t>
      </w:r>
      <w:hyperlink r:id="rId18" w:tooltip="Guidelines for submissions to consultations on Treasury" w:history="1">
        <w:r w:rsidRPr="00D61C41">
          <w:rPr>
            <w:rStyle w:val="Hyperlink"/>
          </w:rPr>
          <w:t>submission guidelines</w:t>
        </w:r>
      </w:hyperlink>
      <w:r w:rsidRPr="00D61C41">
        <w:t> for further information.</w:t>
      </w:r>
    </w:p>
    <w:p w14:paraId="27621691" w14:textId="76582B70" w:rsidR="000E0B74" w:rsidRDefault="000E0B74" w:rsidP="00257AEE">
      <w:pPr>
        <w:pStyle w:val="Heading3noTOC"/>
      </w:pPr>
      <w:r>
        <w:t xml:space="preserve">Closing date for submissions: </w:t>
      </w:r>
      <w:sdt>
        <w:sdtPr>
          <w:rPr>
            <w:rStyle w:val="Heading3Char"/>
          </w:rPr>
          <w:id w:val="1454836312"/>
          <w:placeholder>
            <w:docPart w:val="13A771F71BAB4D9C903ED8493CC5CD42"/>
          </w:placeholder>
          <w:date w:fullDate="2023-10-03T00:00:00Z">
            <w:dateFormat w:val="dd MMMM yyyy"/>
            <w:lid w:val="en-AU"/>
            <w:storeMappedDataAs w:val="dateTime"/>
            <w:calendar w:val="gregorian"/>
          </w:date>
        </w:sdtPr>
        <w:sdtEndPr>
          <w:rPr>
            <w:rStyle w:val="DefaultParagraphFont"/>
            <w:rFonts w:cs="Calibri"/>
            <w:b/>
          </w:rPr>
        </w:sdtEndPr>
        <w:sdtContent>
          <w:r w:rsidR="00960E52">
            <w:rPr>
              <w:rStyle w:val="Heading3Char"/>
            </w:rPr>
            <w:t>03 October 2023</w:t>
          </w:r>
        </w:sdtContent>
      </w:sdt>
    </w:p>
    <w:tbl>
      <w:tblPr>
        <w:tblStyle w:val="TableGrid"/>
        <w:tblW w:w="0" w:type="auto"/>
        <w:tblLook w:val="04A0" w:firstRow="1" w:lastRow="0" w:firstColumn="1" w:lastColumn="0" w:noHBand="0" w:noVBand="1"/>
      </w:tblPr>
      <w:tblGrid>
        <w:gridCol w:w="1516"/>
        <w:gridCol w:w="7554"/>
      </w:tblGrid>
      <w:tr w:rsidR="000E0B74" w:rsidRPr="00B85F47" w14:paraId="79333947"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79087D88"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55C4C7D6" w14:textId="7F013D6D" w:rsidR="000E0B74" w:rsidRPr="00B85F47" w:rsidRDefault="004E1DA3" w:rsidP="00516785">
            <w:pPr>
              <w:spacing w:before="96" w:after="96"/>
              <w:rPr>
                <w:sz w:val="22"/>
                <w:szCs w:val="22"/>
              </w:rPr>
            </w:pPr>
            <w:r>
              <w:rPr>
                <w:szCs w:val="22"/>
              </w:rPr>
              <w:t>Indirecttax@treasury.gov.au</w:t>
            </w:r>
          </w:p>
        </w:tc>
      </w:tr>
      <w:tr w:rsidR="000E0B74" w:rsidRPr="00B85F47" w14:paraId="6B841434" w14:textId="77777777" w:rsidTr="00B85F47">
        <w:tc>
          <w:tcPr>
            <w:tcW w:w="1526" w:type="dxa"/>
          </w:tcPr>
          <w:p w14:paraId="3D293F25" w14:textId="77777777" w:rsidR="000E0B74" w:rsidRPr="00B85F47" w:rsidRDefault="000E0B74" w:rsidP="0017089D">
            <w:pPr>
              <w:rPr>
                <w:sz w:val="22"/>
                <w:szCs w:val="22"/>
              </w:rPr>
            </w:pPr>
            <w:r w:rsidRPr="00B85F47">
              <w:rPr>
                <w:sz w:val="22"/>
                <w:szCs w:val="22"/>
              </w:rPr>
              <w:t>Mail</w:t>
            </w:r>
          </w:p>
          <w:p w14:paraId="72684D13" w14:textId="77777777" w:rsidR="008D7F38" w:rsidRPr="00B85F47" w:rsidRDefault="008D7F38" w:rsidP="0017089D">
            <w:pPr>
              <w:rPr>
                <w:sz w:val="22"/>
                <w:szCs w:val="22"/>
              </w:rPr>
            </w:pPr>
          </w:p>
          <w:p w14:paraId="2661BB8E" w14:textId="77777777" w:rsidR="008D7F38" w:rsidRPr="00B85F47" w:rsidRDefault="008D7F38" w:rsidP="0017089D">
            <w:pPr>
              <w:rPr>
                <w:sz w:val="22"/>
                <w:szCs w:val="22"/>
              </w:rPr>
            </w:pPr>
          </w:p>
        </w:tc>
        <w:tc>
          <w:tcPr>
            <w:tcW w:w="7654" w:type="dxa"/>
          </w:tcPr>
          <w:p w14:paraId="0E64EE90" w14:textId="0F21511E" w:rsidR="000E0B74" w:rsidRPr="00B85F47" w:rsidRDefault="001F2321" w:rsidP="0017089D">
            <w:pPr>
              <w:pStyle w:val="SingleParagraph"/>
              <w:rPr>
                <w:rFonts w:cs="Arial"/>
                <w:sz w:val="22"/>
                <w:szCs w:val="22"/>
              </w:rPr>
            </w:pPr>
            <w:r>
              <w:rPr>
                <w:rFonts w:cs="Arial"/>
                <w:szCs w:val="22"/>
              </w:rPr>
              <w:t xml:space="preserve">Tax Framework, Indirect, </w:t>
            </w:r>
            <w:r w:rsidR="00284048">
              <w:rPr>
                <w:rFonts w:cs="Arial"/>
                <w:szCs w:val="22"/>
              </w:rPr>
              <w:t>Industry and State Taxes Branch</w:t>
            </w:r>
          </w:p>
          <w:p w14:paraId="5120B1B9" w14:textId="6C826161" w:rsidR="000E0B74" w:rsidRPr="00B85F47" w:rsidRDefault="00BD0EAC" w:rsidP="0017089D">
            <w:pPr>
              <w:pStyle w:val="SingleParagraph"/>
              <w:rPr>
                <w:rFonts w:cs="Arial"/>
                <w:sz w:val="22"/>
                <w:szCs w:val="22"/>
              </w:rPr>
            </w:pPr>
            <w:r>
              <w:rPr>
                <w:rFonts w:cs="Arial"/>
                <w:szCs w:val="22"/>
              </w:rPr>
              <w:t>Personal</w:t>
            </w:r>
            <w:r w:rsidR="00342190">
              <w:rPr>
                <w:rFonts w:cs="Arial"/>
                <w:szCs w:val="22"/>
              </w:rPr>
              <w:t xml:space="preserve"> and Indirect Tax and Charities Division</w:t>
            </w:r>
          </w:p>
          <w:p w14:paraId="6E4EF4E0"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6151A14"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2964FE6"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2658343B" w14:textId="77777777" w:rsidTr="00B85F47">
        <w:tc>
          <w:tcPr>
            <w:tcW w:w="1526" w:type="dxa"/>
          </w:tcPr>
          <w:p w14:paraId="4507ED13" w14:textId="77777777" w:rsidR="000E0B74" w:rsidRPr="00B85F47" w:rsidRDefault="000E0B74" w:rsidP="0017089D">
            <w:pPr>
              <w:rPr>
                <w:sz w:val="22"/>
                <w:szCs w:val="22"/>
              </w:rPr>
            </w:pPr>
            <w:r w:rsidRPr="00B85F47">
              <w:rPr>
                <w:sz w:val="22"/>
                <w:szCs w:val="22"/>
              </w:rPr>
              <w:t>Enquiries</w:t>
            </w:r>
          </w:p>
        </w:tc>
        <w:tc>
          <w:tcPr>
            <w:tcW w:w="7654" w:type="dxa"/>
          </w:tcPr>
          <w:p w14:paraId="5C1ED82E" w14:textId="3B28A733" w:rsidR="000E0B74" w:rsidRPr="00B85F47" w:rsidRDefault="000E0B74" w:rsidP="0017089D">
            <w:pPr>
              <w:rPr>
                <w:sz w:val="22"/>
                <w:szCs w:val="22"/>
              </w:rPr>
            </w:pPr>
            <w:r w:rsidRPr="00B85F47">
              <w:rPr>
                <w:rFonts w:cs="Arial"/>
                <w:sz w:val="22"/>
                <w:szCs w:val="22"/>
              </w:rPr>
              <w:t xml:space="preserve">Enquiries can be initially directed to </w:t>
            </w:r>
            <w:r w:rsidR="00342190">
              <w:rPr>
                <w:rFonts w:cs="Arial"/>
                <w:sz w:val="22"/>
                <w:szCs w:val="22"/>
              </w:rPr>
              <w:t xml:space="preserve">the </w:t>
            </w:r>
            <w:r w:rsidR="005B21A9">
              <w:rPr>
                <w:rFonts w:cs="Arial"/>
                <w:sz w:val="22"/>
                <w:szCs w:val="22"/>
              </w:rPr>
              <w:t>Indirect Tax Unit</w:t>
            </w:r>
          </w:p>
        </w:tc>
      </w:tr>
      <w:tr w:rsidR="000E0B74" w:rsidRPr="00B85F47" w14:paraId="2C7DBE12" w14:textId="77777777" w:rsidTr="00B85F47">
        <w:tc>
          <w:tcPr>
            <w:tcW w:w="1526" w:type="dxa"/>
          </w:tcPr>
          <w:p w14:paraId="20D874E8" w14:textId="77777777" w:rsidR="000E0B74" w:rsidRPr="00B85F47" w:rsidRDefault="000E0B74" w:rsidP="0017089D">
            <w:pPr>
              <w:rPr>
                <w:sz w:val="22"/>
                <w:szCs w:val="22"/>
              </w:rPr>
            </w:pPr>
            <w:r w:rsidRPr="00B85F47">
              <w:rPr>
                <w:sz w:val="22"/>
                <w:szCs w:val="22"/>
              </w:rPr>
              <w:t>Phone</w:t>
            </w:r>
          </w:p>
        </w:tc>
        <w:tc>
          <w:tcPr>
            <w:tcW w:w="7654" w:type="dxa"/>
          </w:tcPr>
          <w:p w14:paraId="2B09A7F9" w14:textId="0C3192B7" w:rsidR="000E0B74" w:rsidRPr="00B85F47" w:rsidRDefault="000E0B74" w:rsidP="0017089D">
            <w:pPr>
              <w:rPr>
                <w:sz w:val="22"/>
                <w:szCs w:val="22"/>
              </w:rPr>
            </w:pPr>
            <w:r w:rsidRPr="00B85F47">
              <w:rPr>
                <w:rFonts w:cs="Arial"/>
                <w:sz w:val="22"/>
                <w:szCs w:val="22"/>
              </w:rPr>
              <w:t xml:space="preserve">02 6263 </w:t>
            </w:r>
            <w:r w:rsidR="00AA3138" w:rsidRPr="006649F0">
              <w:rPr>
                <w:rFonts w:cs="Arial"/>
                <w:szCs w:val="22"/>
              </w:rPr>
              <w:t>2111</w:t>
            </w:r>
          </w:p>
        </w:tc>
      </w:tr>
      <w:bookmarkEnd w:id="2"/>
    </w:tbl>
    <w:p w14:paraId="6EF17E5F" w14:textId="77777777" w:rsidR="00E10D39" w:rsidRDefault="00E10D39" w:rsidP="0007102C"/>
    <w:p w14:paraId="4189E771" w14:textId="26E4C535" w:rsidR="00A16E03" w:rsidRDefault="00A16E03" w:rsidP="00A16E03">
      <w:r>
        <w:t>The principles outlined in this paper have not received Government approval and are not yet law. As a consequence, this paper is merely a guide as to how the principles might operate.</w:t>
      </w:r>
    </w:p>
    <w:p w14:paraId="6280A74D" w14:textId="77777777" w:rsidR="008D7F38" w:rsidRPr="008D7F38" w:rsidRDefault="008D7F38" w:rsidP="008D7F38"/>
    <w:p w14:paraId="7C9F1939" w14:textId="77777777" w:rsidR="00E10D39" w:rsidRDefault="00E10D39">
      <w:pPr>
        <w:spacing w:before="0" w:after="160" w:line="259" w:lineRule="auto"/>
        <w:rPr>
          <w:rFonts w:cs="Arial"/>
          <w:color w:val="004A7F"/>
          <w:kern w:val="32"/>
          <w:sz w:val="48"/>
          <w:szCs w:val="36"/>
        </w:rPr>
      </w:pPr>
      <w:r>
        <w:br w:type="page"/>
      </w:r>
    </w:p>
    <w:p w14:paraId="7E97A141" w14:textId="16B4DAB3" w:rsidR="000E0B74" w:rsidRDefault="00D17876" w:rsidP="00354FBB">
      <w:pPr>
        <w:pStyle w:val="Heading1"/>
      </w:pPr>
      <w:bookmarkStart w:id="4" w:name="_Toc134433605"/>
      <w:r>
        <w:lastRenderedPageBreak/>
        <w:t>Single Rate for Vapour Recovery Units</w:t>
      </w:r>
      <w:bookmarkEnd w:id="4"/>
    </w:p>
    <w:p w14:paraId="1A123D11" w14:textId="084B03AA" w:rsidR="000E0B74" w:rsidRDefault="000E0B74" w:rsidP="008043EA">
      <w:pPr>
        <w:pStyle w:val="Heading2"/>
      </w:pPr>
      <w:bookmarkStart w:id="5" w:name="_Toc306887371"/>
      <w:bookmarkStart w:id="6" w:name="_Toc432064635"/>
      <w:bookmarkStart w:id="7" w:name="_Toc134433606"/>
      <w:r>
        <w:t>Introduction</w:t>
      </w:r>
      <w:bookmarkEnd w:id="5"/>
      <w:bookmarkEnd w:id="6"/>
      <w:bookmarkEnd w:id="7"/>
    </w:p>
    <w:p w14:paraId="43BCA6FD" w14:textId="0413AD30" w:rsidR="00DD437E" w:rsidRPr="002B30C9" w:rsidRDefault="00DD437E" w:rsidP="00E10D39">
      <w:pPr>
        <w:rPr>
          <w:rFonts w:eastAsia="Calibri Light" w:cs="Calibri Light"/>
          <w:szCs w:val="22"/>
        </w:rPr>
      </w:pPr>
      <w:r>
        <w:rPr>
          <w:rFonts w:eastAsia="Calibri"/>
        </w:rPr>
        <w:t xml:space="preserve">The Government is consulting on a single </w:t>
      </w:r>
      <w:r w:rsidR="003F3DC9">
        <w:rPr>
          <w:rFonts w:eastAsia="Calibri"/>
        </w:rPr>
        <w:t>rate for businesses to calculate and claim</w:t>
      </w:r>
      <w:r w:rsidR="008457E3">
        <w:rPr>
          <w:rFonts w:eastAsia="Calibri"/>
        </w:rPr>
        <w:t xml:space="preserve"> </w:t>
      </w:r>
      <w:r w:rsidR="008457E3">
        <w:t xml:space="preserve">excise refunds on returned petroleum </w:t>
      </w:r>
      <w:r w:rsidR="00FD6D28">
        <w:t xml:space="preserve">recovered </w:t>
      </w:r>
      <w:r w:rsidR="003A3F3F">
        <w:t>through</w:t>
      </w:r>
      <w:r w:rsidR="008457E3">
        <w:rPr>
          <w:rFonts w:eastAsia="Calibri"/>
        </w:rPr>
        <w:t xml:space="preserve"> </w:t>
      </w:r>
      <w:r w:rsidR="0024672C">
        <w:rPr>
          <w:rFonts w:eastAsia="Calibri"/>
        </w:rPr>
        <w:t xml:space="preserve">a </w:t>
      </w:r>
      <w:r w:rsidR="003F3DC9">
        <w:rPr>
          <w:rFonts w:eastAsia="Calibri"/>
        </w:rPr>
        <w:t>Vapour Recovery Unit (VRU). This change was announced by the previous Government in the March 2022</w:t>
      </w:r>
      <w:r w:rsidR="00635D4F">
        <w:rPr>
          <w:rFonts w:eastAsia="Calibri"/>
        </w:rPr>
        <w:t>-23 Budget</w:t>
      </w:r>
      <w:r w:rsidR="002B30C9">
        <w:rPr>
          <w:rFonts w:eastAsia="Calibri"/>
        </w:rPr>
        <w:t xml:space="preserve"> as part of the </w:t>
      </w:r>
      <w:r w:rsidR="002B30C9" w:rsidRPr="004D5463">
        <w:rPr>
          <w:rFonts w:eastAsia="Calibri"/>
          <w:i/>
          <w:iCs/>
        </w:rPr>
        <w:t>Streamlining excise administration for fuel and alcohol</w:t>
      </w:r>
      <w:r w:rsidR="002B30C9">
        <w:rPr>
          <w:rFonts w:eastAsia="Calibri"/>
          <w:i/>
          <w:iCs/>
        </w:rPr>
        <w:t xml:space="preserve"> deregulation</w:t>
      </w:r>
      <w:r w:rsidR="002B30C9" w:rsidRPr="004D5463">
        <w:rPr>
          <w:rFonts w:eastAsia="Calibri"/>
          <w:i/>
          <w:iCs/>
        </w:rPr>
        <w:t xml:space="preserve"> package</w:t>
      </w:r>
      <w:r w:rsidR="00783BFB">
        <w:rPr>
          <w:rFonts w:eastAsia="Calibri"/>
        </w:rPr>
        <w:t xml:space="preserve">, with the start date </w:t>
      </w:r>
      <w:r w:rsidR="007000BF">
        <w:rPr>
          <w:rFonts w:eastAsia="Calibri"/>
        </w:rPr>
        <w:t>delayed</w:t>
      </w:r>
      <w:r w:rsidR="00803E21">
        <w:rPr>
          <w:rFonts w:eastAsia="Calibri"/>
        </w:rPr>
        <w:t xml:space="preserve"> by the Government</w:t>
      </w:r>
      <w:r w:rsidR="00783BFB">
        <w:rPr>
          <w:rFonts w:eastAsia="Calibri"/>
        </w:rPr>
        <w:t xml:space="preserve"> from 1 July 2023 </w:t>
      </w:r>
      <w:r w:rsidR="00FF26E3">
        <w:rPr>
          <w:rFonts w:eastAsia="Calibri"/>
        </w:rPr>
        <w:t>to 1 July 2024</w:t>
      </w:r>
      <w:r w:rsidR="008A43C7">
        <w:rPr>
          <w:rFonts w:eastAsia="Calibri"/>
        </w:rPr>
        <w:t xml:space="preserve"> in the May 2023-24 Budget. </w:t>
      </w:r>
    </w:p>
    <w:p w14:paraId="26C35090" w14:textId="70DB6A19" w:rsidR="000E0B74" w:rsidRDefault="000E0B74" w:rsidP="000E0B74">
      <w:pPr>
        <w:pStyle w:val="Heading2"/>
      </w:pPr>
      <w:bookmarkStart w:id="8" w:name="_Toc306887372"/>
      <w:bookmarkStart w:id="9" w:name="_Toc432064636"/>
      <w:bookmarkStart w:id="10" w:name="_Toc134433607"/>
      <w:r>
        <w:t>Purpose</w:t>
      </w:r>
      <w:bookmarkEnd w:id="8"/>
      <w:bookmarkEnd w:id="9"/>
      <w:bookmarkEnd w:id="10"/>
    </w:p>
    <w:p w14:paraId="0EDE0CCE" w14:textId="090AB9B8" w:rsidR="00164C01" w:rsidRDefault="1298CDD1" w:rsidP="00E10D39">
      <w:pPr>
        <w:rPr>
          <w:rFonts w:eastAsia="Calibri"/>
        </w:rPr>
      </w:pPr>
      <w:r w:rsidRPr="5157B274">
        <w:rPr>
          <w:rFonts w:eastAsia="Calibri"/>
        </w:rPr>
        <w:t>The</w:t>
      </w:r>
      <w:r w:rsidR="7F96CF0C" w:rsidRPr="5157B274">
        <w:rPr>
          <w:rFonts w:eastAsia="Calibri"/>
        </w:rPr>
        <w:t xml:space="preserve"> Government is</w:t>
      </w:r>
      <w:r w:rsidRPr="5157B274">
        <w:rPr>
          <w:rFonts w:eastAsia="Calibri"/>
        </w:rPr>
        <w:t xml:space="preserve"> </w:t>
      </w:r>
      <w:r w:rsidR="0163B700" w:rsidRPr="5157B274">
        <w:rPr>
          <w:rFonts w:eastAsia="Calibri"/>
        </w:rPr>
        <w:t>consulting</w:t>
      </w:r>
      <w:r w:rsidRPr="5157B274">
        <w:rPr>
          <w:rFonts w:eastAsia="Calibri"/>
        </w:rPr>
        <w:t xml:space="preserve"> on</w:t>
      </w:r>
      <w:r w:rsidR="0163B700" w:rsidRPr="5157B274">
        <w:rPr>
          <w:rFonts w:eastAsia="Calibri"/>
        </w:rPr>
        <w:t xml:space="preserve"> a </w:t>
      </w:r>
      <w:r w:rsidR="7F96CF0C" w:rsidRPr="5157B274">
        <w:rPr>
          <w:rFonts w:eastAsia="Calibri"/>
        </w:rPr>
        <w:t>single</w:t>
      </w:r>
      <w:r w:rsidRPr="5157B274">
        <w:rPr>
          <w:rFonts w:eastAsia="Calibri"/>
        </w:rPr>
        <w:t xml:space="preserve"> average</w:t>
      </w:r>
      <w:r w:rsidR="5A39A494" w:rsidRPr="5157B274">
        <w:rPr>
          <w:rFonts w:eastAsia="Calibri"/>
        </w:rPr>
        <w:t xml:space="preserve"> ben</w:t>
      </w:r>
      <w:r w:rsidR="1D21C28F" w:rsidRPr="5157B274">
        <w:rPr>
          <w:rFonts w:eastAsia="Calibri"/>
        </w:rPr>
        <w:t>chmark</w:t>
      </w:r>
      <w:r w:rsidRPr="5157B274">
        <w:rPr>
          <w:rFonts w:eastAsia="Calibri"/>
        </w:rPr>
        <w:t xml:space="preserve"> recovery rate </w:t>
      </w:r>
      <w:r w:rsidR="7DEF761B" w:rsidRPr="5157B274">
        <w:rPr>
          <w:rFonts w:eastAsia="Calibri"/>
        </w:rPr>
        <w:t xml:space="preserve">for </w:t>
      </w:r>
      <w:r w:rsidR="347D9A68" w:rsidRPr="5157B274">
        <w:rPr>
          <w:rFonts w:eastAsia="Calibri"/>
        </w:rPr>
        <w:t xml:space="preserve">use by businesses to calculate and </w:t>
      </w:r>
      <w:r w:rsidR="3272FAC1" w:rsidRPr="5157B274">
        <w:rPr>
          <w:rFonts w:eastAsia="Calibri"/>
        </w:rPr>
        <w:t xml:space="preserve">claim </w:t>
      </w:r>
      <w:r w:rsidR="00BE40A0">
        <w:rPr>
          <w:rFonts w:eastAsia="Calibri"/>
        </w:rPr>
        <w:t xml:space="preserve">excise refunds </w:t>
      </w:r>
      <w:r w:rsidR="008C594F">
        <w:t>on returned</w:t>
      </w:r>
      <w:r w:rsidR="00BA7271">
        <w:t xml:space="preserve"> duty paid</w:t>
      </w:r>
      <w:r w:rsidR="008C594F">
        <w:t xml:space="preserve"> petroleum recovered through</w:t>
      </w:r>
      <w:r w:rsidR="008C594F">
        <w:rPr>
          <w:rFonts w:eastAsia="Calibri"/>
        </w:rPr>
        <w:t xml:space="preserve"> a Vapour Recovery Unit (VRU)</w:t>
      </w:r>
      <w:r w:rsidR="3272FAC1" w:rsidRPr="5157B274">
        <w:rPr>
          <w:rFonts w:eastAsia="Calibri"/>
        </w:rPr>
        <w:t xml:space="preserve">. </w:t>
      </w:r>
    </w:p>
    <w:p w14:paraId="794B6CF4" w14:textId="4415B349" w:rsidR="0063404C" w:rsidRDefault="00164C01" w:rsidP="00E10D39">
      <w:pPr>
        <w:rPr>
          <w:rFonts w:eastAsia="Calibri"/>
        </w:rPr>
      </w:pPr>
      <w:r w:rsidRPr="00547E78">
        <w:t xml:space="preserve">A refund of excise duty can be claimed where vapour that is </w:t>
      </w:r>
      <w:r>
        <w:t>collected from</w:t>
      </w:r>
      <w:r w:rsidRPr="00547E78">
        <w:t xml:space="preserve"> a tank at a service station is returned to the </w:t>
      </w:r>
      <w:r w:rsidR="00185213">
        <w:t xml:space="preserve">licensed </w:t>
      </w:r>
      <w:r w:rsidRPr="00547E78">
        <w:t>fuel terminal</w:t>
      </w:r>
      <w:r w:rsidR="003A2C7B">
        <w:t xml:space="preserve"> or refinery</w:t>
      </w:r>
      <w:r w:rsidRPr="00547E78">
        <w:t xml:space="preserve"> and converted back into liquid fuel using a </w:t>
      </w:r>
      <w:r>
        <w:t>VRU</w:t>
      </w:r>
      <w:r>
        <w:rPr>
          <w:rStyle w:val="FootnoteReference"/>
        </w:rPr>
        <w:footnoteReference w:id="2"/>
      </w:r>
      <w:r>
        <w:t>.</w:t>
      </w:r>
      <w:r w:rsidR="0063404C">
        <w:t xml:space="preserve"> </w:t>
      </w:r>
      <w:r w:rsidR="008E1156">
        <w:rPr>
          <w:rFonts w:eastAsia="Calibri"/>
        </w:rPr>
        <w:t>Currently, each established VRU is required to be tested by certified, independent testers every six months to establish the rate at which vapours are converted into liquid at a particular VRU. The</w:t>
      </w:r>
      <w:r w:rsidR="003765AC">
        <w:rPr>
          <w:rFonts w:eastAsia="Calibri"/>
        </w:rPr>
        <w:t xml:space="preserve"> re</w:t>
      </w:r>
      <w:r w:rsidR="00AC4F7E">
        <w:rPr>
          <w:rFonts w:eastAsia="Calibri"/>
        </w:rPr>
        <w:t>sults fro</w:t>
      </w:r>
      <w:r w:rsidR="0088765C">
        <w:rPr>
          <w:rFonts w:eastAsia="Calibri"/>
        </w:rPr>
        <w:t>m the</w:t>
      </w:r>
      <w:r w:rsidR="008E1156">
        <w:rPr>
          <w:rFonts w:eastAsia="Calibri"/>
        </w:rPr>
        <w:t xml:space="preserve">se tests are used to calculate </w:t>
      </w:r>
      <w:r w:rsidR="002777A6">
        <w:rPr>
          <w:rFonts w:eastAsia="Calibri"/>
        </w:rPr>
        <w:t>excise</w:t>
      </w:r>
      <w:r w:rsidR="00196FB1">
        <w:rPr>
          <w:rFonts w:eastAsia="Calibri"/>
        </w:rPr>
        <w:t xml:space="preserve"> </w:t>
      </w:r>
      <w:r w:rsidR="008E1156">
        <w:rPr>
          <w:rFonts w:eastAsia="Calibri"/>
        </w:rPr>
        <w:t>refunds</w:t>
      </w:r>
      <w:r w:rsidR="002777A6">
        <w:rPr>
          <w:rFonts w:eastAsia="Calibri"/>
        </w:rPr>
        <w:t xml:space="preserve"> on returned vapours</w:t>
      </w:r>
      <w:r w:rsidR="008E1156">
        <w:rPr>
          <w:rFonts w:eastAsia="Calibri"/>
        </w:rPr>
        <w:t xml:space="preserve">. This process is a burden on businesses. </w:t>
      </w:r>
    </w:p>
    <w:p w14:paraId="252563EC" w14:textId="2389A34A" w:rsidR="008E1156" w:rsidRDefault="00D909E9" w:rsidP="00E10D39">
      <w:pPr>
        <w:rPr>
          <w:rFonts w:eastAsia="Calibri"/>
        </w:rPr>
      </w:pPr>
      <w:r>
        <w:rPr>
          <w:rFonts w:eastAsia="Calibri"/>
        </w:rPr>
        <w:t>The establishment of a single rat</w:t>
      </w:r>
      <w:r w:rsidR="00F47689">
        <w:rPr>
          <w:rFonts w:eastAsia="Calibri"/>
        </w:rPr>
        <w:t xml:space="preserve">e </w:t>
      </w:r>
      <w:r w:rsidR="00F47689" w:rsidRPr="5AA4F90C">
        <w:rPr>
          <w:rFonts w:eastAsia="Calibri"/>
        </w:rPr>
        <w:t>is expected to result in a regulatory sav</w:t>
      </w:r>
      <w:r w:rsidR="00E60724">
        <w:rPr>
          <w:rFonts w:eastAsia="Calibri"/>
        </w:rPr>
        <w:t>ing</w:t>
      </w:r>
      <w:r w:rsidR="00F47689" w:rsidRPr="5AA4F90C">
        <w:rPr>
          <w:rFonts w:eastAsia="Calibri"/>
        </w:rPr>
        <w:t xml:space="preserve"> for businesses</w:t>
      </w:r>
      <w:r w:rsidR="00F47689">
        <w:rPr>
          <w:rFonts w:eastAsia="Calibri"/>
        </w:rPr>
        <w:t xml:space="preserve"> through t</w:t>
      </w:r>
      <w:r w:rsidR="00B800CD" w:rsidRPr="5AA4F90C">
        <w:rPr>
          <w:rFonts w:eastAsia="Calibri"/>
        </w:rPr>
        <w:t>he reduction in frequency of testing of VRUs</w:t>
      </w:r>
      <w:r w:rsidR="00B800CD">
        <w:rPr>
          <w:rFonts w:eastAsia="Calibri"/>
        </w:rPr>
        <w:t xml:space="preserve"> </w:t>
      </w:r>
      <w:r w:rsidR="00B800CD" w:rsidRPr="5AA4F90C">
        <w:rPr>
          <w:rFonts w:eastAsia="Calibri"/>
        </w:rPr>
        <w:t xml:space="preserve">and </w:t>
      </w:r>
      <w:r w:rsidR="00E721C8">
        <w:rPr>
          <w:rFonts w:eastAsia="Calibri"/>
        </w:rPr>
        <w:t>the</w:t>
      </w:r>
      <w:r w:rsidR="00B800CD" w:rsidRPr="5AA4F90C">
        <w:rPr>
          <w:rFonts w:eastAsia="Calibri"/>
        </w:rPr>
        <w:t xml:space="preserve"> resources businesses dedicate to claiming the refund relative to the amount of the refunds received</w:t>
      </w:r>
      <w:r w:rsidR="00F47689">
        <w:rPr>
          <w:rFonts w:eastAsia="Calibri"/>
        </w:rPr>
        <w:t>.</w:t>
      </w:r>
      <w:r w:rsidR="004E4CCC">
        <w:rPr>
          <w:rFonts w:eastAsia="Calibri"/>
        </w:rPr>
        <w:t xml:space="preserve"> The establishment of a single rate will remove the need for regular testing </w:t>
      </w:r>
      <w:r w:rsidR="00344C7B">
        <w:rPr>
          <w:rFonts w:eastAsia="Calibri"/>
        </w:rPr>
        <w:t xml:space="preserve">of VRU units </w:t>
      </w:r>
      <w:r w:rsidR="004E4CCC">
        <w:rPr>
          <w:rFonts w:eastAsia="Calibri"/>
        </w:rPr>
        <w:t xml:space="preserve">for </w:t>
      </w:r>
      <w:r w:rsidR="000A644F">
        <w:rPr>
          <w:rFonts w:eastAsia="Calibri"/>
        </w:rPr>
        <w:t xml:space="preserve">the </w:t>
      </w:r>
      <w:r w:rsidR="00BC3184">
        <w:rPr>
          <w:rFonts w:eastAsia="Calibri"/>
        </w:rPr>
        <w:t>purpose</w:t>
      </w:r>
      <w:r w:rsidR="0002664B">
        <w:rPr>
          <w:rFonts w:eastAsia="Calibri"/>
        </w:rPr>
        <w:t xml:space="preserve"> of claiming a</w:t>
      </w:r>
      <w:r w:rsidR="001F3F19">
        <w:rPr>
          <w:rFonts w:eastAsia="Calibri"/>
        </w:rPr>
        <w:t xml:space="preserve">n excise refund on returned </w:t>
      </w:r>
      <w:r w:rsidR="00B36C1D">
        <w:rPr>
          <w:rFonts w:eastAsia="Calibri"/>
        </w:rPr>
        <w:t>petroleum however,</w:t>
      </w:r>
      <w:r w:rsidR="0002664B">
        <w:rPr>
          <w:rFonts w:eastAsia="Calibri"/>
        </w:rPr>
        <w:t xml:space="preserve"> </w:t>
      </w:r>
      <w:r w:rsidR="001715F4">
        <w:rPr>
          <w:rFonts w:eastAsia="Calibri"/>
        </w:rPr>
        <w:t>t</w:t>
      </w:r>
      <w:r w:rsidR="0002664B">
        <w:rPr>
          <w:rFonts w:eastAsia="Calibri"/>
        </w:rPr>
        <w:t xml:space="preserve">here may be other </w:t>
      </w:r>
      <w:r w:rsidR="00F93048">
        <w:rPr>
          <w:rFonts w:eastAsia="Calibri"/>
        </w:rPr>
        <w:t xml:space="preserve">non-tax </w:t>
      </w:r>
      <w:r w:rsidR="0002664B">
        <w:rPr>
          <w:rFonts w:eastAsia="Calibri"/>
        </w:rPr>
        <w:t xml:space="preserve">reasons </w:t>
      </w:r>
      <w:r w:rsidR="00F93048">
        <w:rPr>
          <w:rFonts w:eastAsia="Calibri"/>
        </w:rPr>
        <w:t xml:space="preserve">why </w:t>
      </w:r>
      <w:r w:rsidR="00006CF6">
        <w:rPr>
          <w:rFonts w:eastAsia="Calibri"/>
        </w:rPr>
        <w:t xml:space="preserve">some </w:t>
      </w:r>
      <w:r w:rsidR="00F93048">
        <w:rPr>
          <w:rFonts w:eastAsia="Calibri"/>
        </w:rPr>
        <w:t>testing may still be required.</w:t>
      </w:r>
    </w:p>
    <w:p w14:paraId="0824ADAA" w14:textId="7E304205" w:rsidR="00767F99" w:rsidRDefault="3272FAC1" w:rsidP="00E10D39">
      <w:pPr>
        <w:rPr>
          <w:rFonts w:eastAsia="Calibri"/>
        </w:rPr>
      </w:pPr>
      <w:r w:rsidRPr="5157B274">
        <w:rPr>
          <w:rFonts w:eastAsia="Calibri"/>
        </w:rPr>
        <w:t>This consultation paper covers the proposed average</w:t>
      </w:r>
      <w:r w:rsidR="69F9FDAA" w:rsidRPr="5157B274">
        <w:rPr>
          <w:rFonts w:eastAsia="Calibri"/>
        </w:rPr>
        <w:t xml:space="preserve"> </w:t>
      </w:r>
      <w:r w:rsidR="57EE58F4" w:rsidRPr="5157B274">
        <w:rPr>
          <w:rFonts w:eastAsia="Calibri"/>
        </w:rPr>
        <w:t>r</w:t>
      </w:r>
      <w:r w:rsidR="69F9FDAA" w:rsidRPr="5157B274">
        <w:rPr>
          <w:rFonts w:eastAsia="Calibri"/>
        </w:rPr>
        <w:t>ecovery</w:t>
      </w:r>
      <w:r w:rsidRPr="5157B274">
        <w:rPr>
          <w:rFonts w:eastAsia="Calibri"/>
        </w:rPr>
        <w:t xml:space="preserve"> rate</w:t>
      </w:r>
      <w:r w:rsidR="648BECB1" w:rsidRPr="5157B274">
        <w:rPr>
          <w:rFonts w:eastAsia="Calibri"/>
        </w:rPr>
        <w:t xml:space="preserve"> and </w:t>
      </w:r>
      <w:r w:rsidR="007B54CA">
        <w:rPr>
          <w:rFonts w:eastAsia="Calibri"/>
        </w:rPr>
        <w:t xml:space="preserve">a proposed simplified </w:t>
      </w:r>
      <w:r w:rsidR="4EC43D79" w:rsidRPr="5157B274">
        <w:rPr>
          <w:rFonts w:eastAsia="Calibri"/>
        </w:rPr>
        <w:t>formula</w:t>
      </w:r>
      <w:r w:rsidR="65862EE2" w:rsidRPr="5157B274">
        <w:rPr>
          <w:rFonts w:eastAsia="Calibri"/>
        </w:rPr>
        <w:t xml:space="preserve"> in which it is employed</w:t>
      </w:r>
      <w:r w:rsidR="00676436">
        <w:rPr>
          <w:rFonts w:eastAsia="Calibri"/>
        </w:rPr>
        <w:t xml:space="preserve"> </w:t>
      </w:r>
      <w:r w:rsidR="00676436" w:rsidRPr="00676436">
        <w:rPr>
          <w:rFonts w:eastAsia="Calibri"/>
        </w:rPr>
        <w:t>to calculate the volume of returned duty paid petroleum recovered through a VRU</w:t>
      </w:r>
      <w:r w:rsidR="721F873B" w:rsidRPr="5157B274">
        <w:rPr>
          <w:rFonts w:eastAsia="Calibri"/>
        </w:rPr>
        <w:t>.</w:t>
      </w:r>
      <w:r w:rsidR="1E400874" w:rsidRPr="5157B274">
        <w:rPr>
          <w:rFonts w:eastAsia="Calibri"/>
        </w:rPr>
        <w:t xml:space="preserve"> </w:t>
      </w:r>
      <w:r w:rsidR="721F873B" w:rsidRPr="5157B274">
        <w:rPr>
          <w:rFonts w:eastAsia="Calibri"/>
        </w:rPr>
        <w:t>I</w:t>
      </w:r>
      <w:r w:rsidR="4DED1D75" w:rsidRPr="5157B274">
        <w:rPr>
          <w:rFonts w:eastAsia="Calibri"/>
        </w:rPr>
        <w:t>t</w:t>
      </w:r>
      <w:r w:rsidR="1E400874" w:rsidRPr="5157B274">
        <w:rPr>
          <w:rFonts w:eastAsia="Calibri"/>
        </w:rPr>
        <w:t xml:space="preserve"> will inform the drafting of legislation and </w:t>
      </w:r>
      <w:r w:rsidR="1298CDD1" w:rsidRPr="5157B274">
        <w:rPr>
          <w:rFonts w:eastAsia="Calibri"/>
        </w:rPr>
        <w:t>explanatory material</w:t>
      </w:r>
      <w:r w:rsidR="14CFCAFE" w:rsidRPr="5157B274">
        <w:rPr>
          <w:rFonts w:eastAsia="Calibri"/>
        </w:rPr>
        <w:t>s</w:t>
      </w:r>
      <w:r w:rsidR="48187A95" w:rsidRPr="5157B274">
        <w:rPr>
          <w:rFonts w:eastAsia="Calibri"/>
        </w:rPr>
        <w:t xml:space="preserve"> </w:t>
      </w:r>
      <w:r w:rsidR="1E400874" w:rsidRPr="5157B274">
        <w:rPr>
          <w:rFonts w:eastAsia="Calibri"/>
        </w:rPr>
        <w:t>to implement the</w:t>
      </w:r>
      <w:r w:rsidR="1298CDD1" w:rsidRPr="5157B274">
        <w:rPr>
          <w:rFonts w:eastAsia="Calibri"/>
        </w:rPr>
        <w:t xml:space="preserve"> measure.</w:t>
      </w:r>
      <w:r w:rsidR="00A47982">
        <w:rPr>
          <w:rFonts w:eastAsia="Calibri"/>
        </w:rPr>
        <w:t xml:space="preserve"> </w:t>
      </w:r>
    </w:p>
    <w:p w14:paraId="41024A05" w14:textId="631440F6" w:rsidR="00281C36" w:rsidRDefault="009D6C42" w:rsidP="006C2C74">
      <w:pPr>
        <w:pStyle w:val="Heading1"/>
        <w:rPr>
          <w:rFonts w:eastAsia="Calibri"/>
        </w:rPr>
      </w:pPr>
      <w:bookmarkStart w:id="11" w:name="Discussion"/>
      <w:bookmarkStart w:id="12" w:name="_Hlk138752946"/>
      <w:r w:rsidRPr="00976F27">
        <w:rPr>
          <w:rFonts w:eastAsia="Calibri"/>
        </w:rPr>
        <w:t>Discussion</w:t>
      </w:r>
      <w:bookmarkEnd w:id="11"/>
      <w:r>
        <w:rPr>
          <w:rFonts w:eastAsia="Calibri"/>
        </w:rPr>
        <w:t xml:space="preserve"> Questions</w:t>
      </w:r>
    </w:p>
    <w:p w14:paraId="17694DAC" w14:textId="3B00E2BA" w:rsidR="00886932" w:rsidRPr="004D5463" w:rsidRDefault="00886932" w:rsidP="006C2C74">
      <w:pPr>
        <w:pStyle w:val="Heading2"/>
        <w:rPr>
          <w:rFonts w:eastAsia="Calibri"/>
        </w:rPr>
      </w:pPr>
      <w:r>
        <w:rPr>
          <w:rFonts w:eastAsia="Calibri"/>
        </w:rPr>
        <w:t>Proposed Average Recovery Rate</w:t>
      </w:r>
    </w:p>
    <w:bookmarkEnd w:id="12"/>
    <w:p w14:paraId="1A77EF43" w14:textId="5B61941A" w:rsidR="00F03C6B" w:rsidRDefault="1B72993C" w:rsidP="00F03C6B">
      <w:pPr>
        <w:rPr>
          <w:rFonts w:eastAsia="Calibri"/>
        </w:rPr>
      </w:pPr>
      <w:r w:rsidRPr="4B5BDD7C">
        <w:rPr>
          <w:rFonts w:eastAsia="Calibri"/>
        </w:rPr>
        <w:t>Th</w:t>
      </w:r>
      <w:r w:rsidR="001C1307">
        <w:rPr>
          <w:rFonts w:eastAsia="Calibri"/>
        </w:rPr>
        <w:t xml:space="preserve">e Government </w:t>
      </w:r>
      <w:r w:rsidR="00C432DE">
        <w:rPr>
          <w:rFonts w:eastAsia="Calibri"/>
        </w:rPr>
        <w:t xml:space="preserve">is seeking comments on </w:t>
      </w:r>
      <w:r w:rsidR="003479C5">
        <w:rPr>
          <w:rFonts w:eastAsia="Calibri"/>
        </w:rPr>
        <w:t>introducing a new average</w:t>
      </w:r>
      <w:r w:rsidR="00D7407E">
        <w:rPr>
          <w:rFonts w:eastAsia="Calibri"/>
        </w:rPr>
        <w:t xml:space="preserve"> recovery rate for </w:t>
      </w:r>
      <w:r w:rsidR="00103B1F">
        <w:rPr>
          <w:rFonts w:eastAsia="Calibri"/>
        </w:rPr>
        <w:t xml:space="preserve">VRUs </w:t>
      </w:r>
      <w:r w:rsidR="00E67B90">
        <w:rPr>
          <w:rFonts w:eastAsia="Calibri"/>
        </w:rPr>
        <w:t>(</w:t>
      </w:r>
      <w:r w:rsidR="00E67B90" w:rsidRPr="00C3090C">
        <w:rPr>
          <w:rFonts w:eastAsia="Calibri"/>
          <w:bCs/>
        </w:rPr>
        <w:t>R</w:t>
      </w:r>
      <w:r w:rsidR="00E67B90" w:rsidRPr="00C3090C">
        <w:rPr>
          <w:rFonts w:eastAsia="Calibri"/>
          <w:bCs/>
          <w:vertAlign w:val="subscript"/>
        </w:rPr>
        <w:t>av</w:t>
      </w:r>
      <w:r w:rsidR="00372202">
        <w:rPr>
          <w:rFonts w:eastAsia="Calibri"/>
        </w:rPr>
        <w:t>)</w:t>
      </w:r>
      <w:r w:rsidR="002A3935">
        <w:rPr>
          <w:rStyle w:val="FootnoteReference"/>
          <w:rFonts w:eastAsia="Calibri"/>
        </w:rPr>
        <w:footnoteReference w:id="3"/>
      </w:r>
      <w:r w:rsidR="00372202">
        <w:rPr>
          <w:rFonts w:eastAsia="Calibri"/>
        </w:rPr>
        <w:t xml:space="preserve"> </w:t>
      </w:r>
      <w:r w:rsidR="00D7407E">
        <w:rPr>
          <w:rFonts w:eastAsia="Calibri"/>
        </w:rPr>
        <w:t xml:space="preserve">which </w:t>
      </w:r>
      <w:r w:rsidR="1C2970CA" w:rsidRPr="4B5BDD7C">
        <w:rPr>
          <w:rFonts w:eastAsia="Calibri"/>
        </w:rPr>
        <w:t xml:space="preserve">is </w:t>
      </w:r>
      <w:r w:rsidRPr="4B5BDD7C">
        <w:rPr>
          <w:rFonts w:eastAsia="Calibri"/>
        </w:rPr>
        <w:t xml:space="preserve">determined </w:t>
      </w:r>
      <w:r w:rsidR="4826DF32" w:rsidRPr="4B5BDD7C">
        <w:rPr>
          <w:rFonts w:eastAsia="Calibri"/>
        </w:rPr>
        <w:t>by</w:t>
      </w:r>
      <w:r w:rsidRPr="4B5BDD7C">
        <w:rPr>
          <w:rFonts w:eastAsia="Calibri"/>
        </w:rPr>
        <w:t xml:space="preserve"> averaging the </w:t>
      </w:r>
      <w:r w:rsidR="00A94513">
        <w:rPr>
          <w:rFonts w:eastAsia="Calibri"/>
        </w:rPr>
        <w:t xml:space="preserve">VRU </w:t>
      </w:r>
      <w:r w:rsidR="00D0133E">
        <w:rPr>
          <w:rFonts w:eastAsia="Calibri"/>
        </w:rPr>
        <w:t>e</w:t>
      </w:r>
      <w:r w:rsidR="00D0133E" w:rsidRPr="4B5BDD7C">
        <w:rPr>
          <w:rFonts w:eastAsia="Calibri"/>
        </w:rPr>
        <w:t>fficiency (E)</w:t>
      </w:r>
      <w:r w:rsidR="00AE3A11">
        <w:rPr>
          <w:rFonts w:eastAsia="Calibri"/>
        </w:rPr>
        <w:t xml:space="preserve"> values</w:t>
      </w:r>
      <w:r w:rsidR="00D0133E" w:rsidRPr="4B5BDD7C">
        <w:rPr>
          <w:rFonts w:eastAsia="Calibri"/>
        </w:rPr>
        <w:t xml:space="preserve"> and </w:t>
      </w:r>
      <w:r w:rsidR="00D0133E" w:rsidRPr="003A06D4">
        <w:rPr>
          <w:rFonts w:eastAsia="Calibri"/>
        </w:rPr>
        <w:t>f</w:t>
      </w:r>
      <w:r w:rsidR="00D0133E" w:rsidRPr="004D5463">
        <w:rPr>
          <w:rFonts w:eastAsia="Calibri"/>
        </w:rPr>
        <w:t>raction of hydrocarbon vapour in gas entering the VRU (Y</w:t>
      </w:r>
      <w:r w:rsidR="00D0133E" w:rsidRPr="004D5463">
        <w:rPr>
          <w:rFonts w:eastAsia="Calibri"/>
          <w:vertAlign w:val="superscript"/>
        </w:rPr>
        <w:t>in</w:t>
      </w:r>
      <w:r w:rsidR="00D0133E">
        <w:rPr>
          <w:rFonts w:eastAsia="Calibri"/>
        </w:rPr>
        <w:t>)</w:t>
      </w:r>
      <w:r w:rsidR="00D0133E" w:rsidRPr="4B5BDD7C">
        <w:rPr>
          <w:rFonts w:eastAsia="Calibri"/>
        </w:rPr>
        <w:t xml:space="preserve"> </w:t>
      </w:r>
      <w:r w:rsidRPr="4B5BDD7C">
        <w:rPr>
          <w:rFonts w:eastAsia="Calibri"/>
        </w:rPr>
        <w:t xml:space="preserve">of bi-annual test results over the </w:t>
      </w:r>
      <w:r w:rsidR="7750D096" w:rsidRPr="4B5BDD7C">
        <w:rPr>
          <w:rFonts w:eastAsia="Calibri"/>
        </w:rPr>
        <w:t>5-year</w:t>
      </w:r>
      <w:r w:rsidRPr="4B5BDD7C">
        <w:rPr>
          <w:rFonts w:eastAsia="Calibri"/>
        </w:rPr>
        <w:t xml:space="preserve"> period </w:t>
      </w:r>
      <w:r w:rsidR="1C2970CA" w:rsidRPr="4B5BDD7C">
        <w:rPr>
          <w:rFonts w:eastAsia="Calibri"/>
        </w:rPr>
        <w:t xml:space="preserve">from </w:t>
      </w:r>
      <w:r w:rsidRPr="4B5BDD7C">
        <w:rPr>
          <w:rFonts w:eastAsia="Calibri"/>
        </w:rPr>
        <w:t>2017</w:t>
      </w:r>
      <w:r w:rsidR="1C2970CA" w:rsidRPr="4B5BDD7C">
        <w:rPr>
          <w:rFonts w:eastAsia="Calibri"/>
        </w:rPr>
        <w:t xml:space="preserve"> to </w:t>
      </w:r>
      <w:r w:rsidRPr="4B5BDD7C">
        <w:rPr>
          <w:rFonts w:eastAsia="Calibri"/>
        </w:rPr>
        <w:t xml:space="preserve">2022 (10 </w:t>
      </w:r>
      <w:r w:rsidR="1C2970CA" w:rsidRPr="4B5BDD7C">
        <w:rPr>
          <w:rFonts w:eastAsia="Calibri"/>
        </w:rPr>
        <w:t xml:space="preserve">test </w:t>
      </w:r>
      <w:r w:rsidRPr="4B5BDD7C">
        <w:rPr>
          <w:rFonts w:eastAsia="Calibri"/>
        </w:rPr>
        <w:t>results</w:t>
      </w:r>
      <w:r w:rsidR="0060146A">
        <w:rPr>
          <w:rFonts w:eastAsia="Calibri"/>
        </w:rPr>
        <w:t xml:space="preserve"> per VRU</w:t>
      </w:r>
      <w:r w:rsidRPr="4B5BDD7C">
        <w:rPr>
          <w:rFonts w:eastAsia="Calibri"/>
        </w:rPr>
        <w:t>), that was provided by industry for 17 VRU sites across Australia</w:t>
      </w:r>
      <w:r w:rsidRPr="00CA2C4A">
        <w:rPr>
          <w:rFonts w:eastAsia="Calibri"/>
        </w:rPr>
        <w:t>.</w:t>
      </w:r>
      <w:r w:rsidR="004D5E03">
        <w:rPr>
          <w:rStyle w:val="FootnoteReference"/>
          <w:rFonts w:eastAsia="Calibri"/>
        </w:rPr>
        <w:footnoteReference w:id="4"/>
      </w:r>
      <w:r w:rsidRPr="00CA2C4A">
        <w:rPr>
          <w:rFonts w:eastAsia="Calibri"/>
        </w:rPr>
        <w:t xml:space="preserve"> </w:t>
      </w:r>
      <w:r w:rsidR="00F03C6B" w:rsidRPr="004D5463">
        <w:rPr>
          <w:rFonts w:eastAsia="Calibri"/>
        </w:rPr>
        <w:t xml:space="preserve">Data points for </w:t>
      </w:r>
      <w:r w:rsidR="00E870E9" w:rsidRPr="004D5463">
        <w:rPr>
          <w:rFonts w:eastAsia="Calibri"/>
        </w:rPr>
        <w:t>Y</w:t>
      </w:r>
      <w:r w:rsidR="00E870E9" w:rsidRPr="004D5463">
        <w:rPr>
          <w:rFonts w:eastAsia="Calibri"/>
          <w:vertAlign w:val="superscript"/>
        </w:rPr>
        <w:t>in</w:t>
      </w:r>
      <w:r w:rsidR="00E870E9" w:rsidRPr="004D5463">
        <w:rPr>
          <w:rFonts w:eastAsia="Calibri"/>
        </w:rPr>
        <w:t xml:space="preserve"> </w:t>
      </w:r>
      <w:r w:rsidR="00E870E9" w:rsidRPr="004D5463">
        <w:rPr>
          <w:rFonts w:eastAsia="Calibri"/>
        </w:rPr>
        <w:lastRenderedPageBreak/>
        <w:t xml:space="preserve">and low </w:t>
      </w:r>
      <w:r w:rsidR="00F03C6B" w:rsidRPr="004D5463">
        <w:rPr>
          <w:rFonts w:eastAsia="Calibri"/>
        </w:rPr>
        <w:t>E of greater than 1 standard deviation were treated as outliers and removed</w:t>
      </w:r>
      <w:r w:rsidR="00E870E9" w:rsidRPr="004D5463">
        <w:rPr>
          <w:rFonts w:eastAsia="Calibri"/>
        </w:rPr>
        <w:t xml:space="preserve"> </w:t>
      </w:r>
      <w:r w:rsidR="008F52B3" w:rsidRPr="004D5463">
        <w:rPr>
          <w:rFonts w:eastAsia="Calibri"/>
        </w:rPr>
        <w:t xml:space="preserve">prior to </w:t>
      </w:r>
      <w:r w:rsidR="00415CD8" w:rsidRPr="004D5463">
        <w:rPr>
          <w:rFonts w:eastAsia="Calibri"/>
        </w:rPr>
        <w:t xml:space="preserve">calculating </w:t>
      </w:r>
      <w:r w:rsidR="00FA3253" w:rsidRPr="004D5463">
        <w:rPr>
          <w:rFonts w:eastAsia="Calibri"/>
        </w:rPr>
        <w:t xml:space="preserve">the </w:t>
      </w:r>
      <w:r w:rsidR="00F77C37" w:rsidRPr="00CA2C4A">
        <w:rPr>
          <w:rFonts w:eastAsia="Calibri"/>
        </w:rPr>
        <w:t xml:space="preserve">average </w:t>
      </w:r>
      <w:r w:rsidR="00FA3253" w:rsidRPr="00CA2C4A">
        <w:rPr>
          <w:rFonts w:eastAsia="Calibri"/>
        </w:rPr>
        <w:t>recovery rate.</w:t>
      </w:r>
    </w:p>
    <w:p w14:paraId="78030291" w14:textId="1B518E66" w:rsidR="00732B35" w:rsidRPr="004D5463" w:rsidRDefault="00FC17EB" w:rsidP="00732B35">
      <w:pPr>
        <w:rPr>
          <w:bCs/>
        </w:rPr>
      </w:pPr>
      <w:r>
        <w:rPr>
          <w:rFonts w:eastAsia="Calibri"/>
          <w:bCs/>
        </w:rPr>
        <w:t>Using this approach, t</w:t>
      </w:r>
      <w:r w:rsidR="00732B35" w:rsidRPr="004D5463">
        <w:rPr>
          <w:rFonts w:eastAsia="Calibri"/>
          <w:bCs/>
        </w:rPr>
        <w:t>he proposed R</w:t>
      </w:r>
      <w:r w:rsidR="00732B35" w:rsidRPr="004D5463">
        <w:rPr>
          <w:rFonts w:eastAsia="Calibri"/>
          <w:bCs/>
          <w:vertAlign w:val="subscript"/>
        </w:rPr>
        <w:t>av</w:t>
      </w:r>
      <w:r w:rsidR="00732B35" w:rsidRPr="004D5463">
        <w:rPr>
          <w:rFonts w:eastAsia="Calibri"/>
          <w:bCs/>
        </w:rPr>
        <w:t xml:space="preserve"> </w:t>
      </w:r>
      <w:r w:rsidR="00732B35" w:rsidRPr="001B05A4">
        <w:rPr>
          <w:rFonts w:eastAsia="Calibri"/>
          <w:bCs/>
        </w:rPr>
        <w:t>for duty</w:t>
      </w:r>
      <w:r w:rsidR="00626F56">
        <w:rPr>
          <w:rFonts w:eastAsia="Calibri"/>
          <w:bCs/>
        </w:rPr>
        <w:t>-</w:t>
      </w:r>
      <w:r w:rsidR="00732B35" w:rsidRPr="001B05A4">
        <w:rPr>
          <w:rFonts w:eastAsia="Calibri"/>
          <w:bCs/>
        </w:rPr>
        <w:t>paid liquid fuel recovered from vapours within an excise licensed premise</w:t>
      </w:r>
      <w:r w:rsidR="00732B35">
        <w:rPr>
          <w:rFonts w:eastAsia="Calibri"/>
          <w:bCs/>
        </w:rPr>
        <w:t xml:space="preserve"> is</w:t>
      </w:r>
      <w:r w:rsidR="00732B35" w:rsidRPr="004D5463">
        <w:rPr>
          <w:rFonts w:eastAsia="Calibri"/>
          <w:bCs/>
        </w:rPr>
        <w:t xml:space="preserve"> </w:t>
      </w:r>
      <w:r w:rsidR="00732B35" w:rsidRPr="00906FE4">
        <w:rPr>
          <w:rFonts w:eastAsia="Calibri"/>
          <w:b/>
        </w:rPr>
        <w:t>0.00064</w:t>
      </w:r>
      <w:r w:rsidR="001A5EF0">
        <w:rPr>
          <w:rFonts w:eastAsia="Calibri"/>
          <w:b/>
        </w:rPr>
        <w:t>4</w:t>
      </w:r>
      <w:r w:rsidR="00B10743">
        <w:rPr>
          <w:rFonts w:eastAsia="Calibri"/>
          <w:b/>
        </w:rPr>
        <w:t>2</w:t>
      </w:r>
      <w:r w:rsidR="00732B35" w:rsidRPr="00906FE4">
        <w:rPr>
          <w:rFonts w:eastAsia="Calibri"/>
          <w:b/>
        </w:rPr>
        <w:t xml:space="preserve"> (0.0644</w:t>
      </w:r>
      <w:r w:rsidR="00B10743">
        <w:rPr>
          <w:rFonts w:eastAsia="Calibri"/>
          <w:b/>
        </w:rPr>
        <w:t>2</w:t>
      </w:r>
      <w:r w:rsidR="00732B35">
        <w:rPr>
          <w:rFonts w:eastAsia="Calibri"/>
          <w:b/>
        </w:rPr>
        <w:t xml:space="preserve"> per cent</w:t>
      </w:r>
      <w:r w:rsidR="00732B35" w:rsidRPr="00906FE4">
        <w:rPr>
          <w:rFonts w:eastAsia="Calibri"/>
          <w:b/>
        </w:rPr>
        <w:t>)</w:t>
      </w:r>
      <w:r w:rsidR="00096F91">
        <w:rPr>
          <w:rStyle w:val="FootnoteReference"/>
          <w:rFonts w:eastAsia="Calibri"/>
          <w:b/>
        </w:rPr>
        <w:footnoteReference w:id="5"/>
      </w:r>
      <w:r w:rsidR="00732B35" w:rsidRPr="00906FE4">
        <w:rPr>
          <w:rFonts w:eastAsia="Calibri"/>
          <w:b/>
        </w:rPr>
        <w:t>.</w:t>
      </w:r>
    </w:p>
    <w:p w14:paraId="40C1C5A2" w14:textId="586DC7BF" w:rsidR="000E0B74" w:rsidRDefault="6AA1AE5E" w:rsidP="00E10D39">
      <w:pPr>
        <w:rPr>
          <w:rFonts w:eastAsia="Calibri"/>
        </w:rPr>
      </w:pPr>
      <w:r w:rsidRPr="59CAF5EE">
        <w:rPr>
          <w:rFonts w:eastAsia="Calibri"/>
        </w:rPr>
        <w:t>It is anticipated</w:t>
      </w:r>
      <w:r w:rsidR="53134D15" w:rsidRPr="59CAF5EE">
        <w:rPr>
          <w:rFonts w:eastAsia="Calibri"/>
        </w:rPr>
        <w:t xml:space="preserve"> that</w:t>
      </w:r>
      <w:r w:rsidRPr="59CAF5EE">
        <w:rPr>
          <w:rFonts w:eastAsia="Calibri"/>
        </w:rPr>
        <w:t xml:space="preserve"> the use of th</w:t>
      </w:r>
      <w:r w:rsidR="1E77EF62" w:rsidRPr="59CAF5EE">
        <w:rPr>
          <w:rFonts w:eastAsia="Calibri"/>
        </w:rPr>
        <w:t>is</w:t>
      </w:r>
      <w:r w:rsidR="53134D15" w:rsidRPr="59CAF5EE">
        <w:rPr>
          <w:rFonts w:eastAsia="Calibri"/>
        </w:rPr>
        <w:t xml:space="preserve"> proposed</w:t>
      </w:r>
      <w:r w:rsidRPr="59CAF5EE">
        <w:rPr>
          <w:rFonts w:eastAsia="Calibri"/>
        </w:rPr>
        <w:t xml:space="preserve"> R</w:t>
      </w:r>
      <w:r w:rsidRPr="004D5463">
        <w:rPr>
          <w:rFonts w:eastAsia="Calibri"/>
          <w:vertAlign w:val="subscript"/>
        </w:rPr>
        <w:t>av</w:t>
      </w:r>
      <w:r w:rsidRPr="59CAF5EE">
        <w:rPr>
          <w:rFonts w:eastAsia="Calibri"/>
        </w:rPr>
        <w:t xml:space="preserve"> will result in a statistically distributed variance of excise refund claims</w:t>
      </w:r>
      <w:r w:rsidR="53134D15" w:rsidRPr="59CAF5EE">
        <w:rPr>
          <w:rFonts w:eastAsia="Calibri"/>
        </w:rPr>
        <w:t>,</w:t>
      </w:r>
      <w:r w:rsidRPr="59CAF5EE">
        <w:rPr>
          <w:rFonts w:eastAsia="Calibri"/>
        </w:rPr>
        <w:t xml:space="preserve"> compared to the current use of individual recovery rates for each VRU. That is</w:t>
      </w:r>
      <w:r w:rsidR="00E345D6">
        <w:rPr>
          <w:rFonts w:eastAsia="Calibri"/>
        </w:rPr>
        <w:t>,</w:t>
      </w:r>
      <w:r w:rsidRPr="59CAF5EE">
        <w:rPr>
          <w:rFonts w:eastAsia="Calibri"/>
        </w:rPr>
        <w:t xml:space="preserve"> on a VRU site basis</w:t>
      </w:r>
      <w:r w:rsidR="000D09F8">
        <w:rPr>
          <w:rFonts w:eastAsia="Calibri"/>
        </w:rPr>
        <w:t xml:space="preserve">, compared to the current </w:t>
      </w:r>
      <w:r w:rsidR="00EE28D8">
        <w:rPr>
          <w:rFonts w:eastAsia="Calibri"/>
        </w:rPr>
        <w:t>arrangements,</w:t>
      </w:r>
      <w:r w:rsidR="00EE28D8" w:rsidRPr="59CAF5EE">
        <w:rPr>
          <w:rFonts w:eastAsia="Calibri"/>
        </w:rPr>
        <w:t xml:space="preserve"> some</w:t>
      </w:r>
      <w:r w:rsidRPr="59CAF5EE">
        <w:rPr>
          <w:rFonts w:eastAsia="Calibri"/>
        </w:rPr>
        <w:t xml:space="preserve"> refund claims will be higher, some lower and others roughly the same.</w:t>
      </w:r>
    </w:p>
    <w:p w14:paraId="6DBB8B4A" w14:textId="340016DA" w:rsidR="00BE5152" w:rsidRDefault="00BA2062" w:rsidP="006C2C74">
      <w:pPr>
        <w:pStyle w:val="Heading3"/>
      </w:pPr>
      <w:r>
        <w:t>Discussion question</w:t>
      </w:r>
      <w:r w:rsidR="00CA6BA1">
        <w:t xml:space="preserve"> 1</w:t>
      </w:r>
    </w:p>
    <w:p w14:paraId="1C29DC6B" w14:textId="77739F1F" w:rsidR="00010DC5" w:rsidRDefault="00170D4B" w:rsidP="00BE5152">
      <w:r>
        <w:t>Does the method</w:t>
      </w:r>
      <w:r w:rsidR="00724946">
        <w:t>ology</w:t>
      </w:r>
      <w:r>
        <w:t xml:space="preserve"> </w:t>
      </w:r>
      <w:r w:rsidR="00F40A74">
        <w:t xml:space="preserve">for </w:t>
      </w:r>
      <w:r w:rsidR="00E76203">
        <w:t xml:space="preserve">determining </w:t>
      </w:r>
      <w:r w:rsidR="00F40A74">
        <w:t>the</w:t>
      </w:r>
      <w:r w:rsidR="00F35F9F">
        <w:t xml:space="preserve"> </w:t>
      </w:r>
      <w:r w:rsidR="003C00C9">
        <w:t xml:space="preserve">proposed </w:t>
      </w:r>
      <w:r w:rsidR="00F35F9F">
        <w:t>single</w:t>
      </w:r>
      <w:r w:rsidR="00E30FA5">
        <w:t xml:space="preserve"> </w:t>
      </w:r>
      <w:r w:rsidR="00934D75" w:rsidRPr="00C3090C">
        <w:rPr>
          <w:rFonts w:eastAsia="Calibri"/>
          <w:bCs/>
        </w:rPr>
        <w:t>R</w:t>
      </w:r>
      <w:r w:rsidR="00934D75" w:rsidRPr="00C3090C">
        <w:rPr>
          <w:rFonts w:eastAsia="Calibri"/>
          <w:bCs/>
          <w:vertAlign w:val="subscript"/>
        </w:rPr>
        <w:t>av</w:t>
      </w:r>
      <w:r w:rsidR="00934D75" w:rsidRPr="00C3090C">
        <w:rPr>
          <w:rFonts w:eastAsia="Calibri"/>
          <w:bCs/>
        </w:rPr>
        <w:t xml:space="preserve"> </w:t>
      </w:r>
      <w:r w:rsidR="00E8207F">
        <w:t>present any</w:t>
      </w:r>
      <w:r w:rsidR="00010DC5">
        <w:t xml:space="preserve"> </w:t>
      </w:r>
      <w:r w:rsidR="005B26E8">
        <w:t>issue</w:t>
      </w:r>
      <w:r w:rsidR="00E8207F">
        <w:t>s</w:t>
      </w:r>
      <w:r w:rsidR="00010DC5">
        <w:t>?</w:t>
      </w:r>
    </w:p>
    <w:p w14:paraId="63A5F799" w14:textId="1830EAC9" w:rsidR="000E0B74" w:rsidRDefault="005652EA" w:rsidP="00884F31">
      <w:pPr>
        <w:pStyle w:val="Heading2"/>
      </w:pPr>
      <w:bookmarkStart w:id="13" w:name="_Hlk138167756"/>
      <w:r>
        <w:t xml:space="preserve">Proposed formula for </w:t>
      </w:r>
      <w:r w:rsidR="00414BC1">
        <w:t xml:space="preserve">calculating volume of liquid recovered using </w:t>
      </w:r>
      <w:r w:rsidR="009729CD">
        <w:t>the new average recovery rate</w:t>
      </w:r>
    </w:p>
    <w:bookmarkEnd w:id="13"/>
    <w:p w14:paraId="5E189346" w14:textId="5B5CA86E" w:rsidR="00FC797C" w:rsidRPr="00FC797C" w:rsidRDefault="00FC797C" w:rsidP="00FC797C">
      <w:r w:rsidRPr="00FC797C">
        <w:t xml:space="preserve">The </w:t>
      </w:r>
      <w:r w:rsidR="00FD4E4A" w:rsidRPr="00FC797C">
        <w:t>formulaic approach</w:t>
      </w:r>
      <w:r w:rsidRPr="00FC797C">
        <w:t xml:space="preserve"> for calculating </w:t>
      </w:r>
      <w:r w:rsidR="007F61E9">
        <w:t>excise</w:t>
      </w:r>
      <w:r w:rsidRPr="00FC797C">
        <w:t xml:space="preserve"> refunds of </w:t>
      </w:r>
      <w:r w:rsidRPr="00FC797C">
        <w:rPr>
          <w:i/>
          <w:iCs/>
        </w:rPr>
        <w:t xml:space="preserve">liquid </w:t>
      </w:r>
      <w:r w:rsidRPr="00FC797C">
        <w:t xml:space="preserve">petroleum, which have been returned to an excise licensed premise, </w:t>
      </w:r>
      <w:r w:rsidR="006B363E">
        <w:t>from</w:t>
      </w:r>
      <w:r w:rsidR="006B363E" w:rsidRPr="00FC797C">
        <w:t xml:space="preserve"> </w:t>
      </w:r>
      <w:r w:rsidRPr="00FC797C">
        <w:t xml:space="preserve">recovered petroleum vapours using a VRU </w:t>
      </w:r>
      <w:r w:rsidR="00074E65">
        <w:t>w</w:t>
      </w:r>
      <w:r w:rsidR="00185883">
        <w:t>a</w:t>
      </w:r>
      <w:r w:rsidR="00074E65" w:rsidRPr="00FC797C">
        <w:t xml:space="preserve">s </w:t>
      </w:r>
      <w:r w:rsidRPr="00FC797C">
        <w:t>agreed upon by both the ATO and the petroleum industry</w:t>
      </w:r>
      <w:r w:rsidR="00185883">
        <w:t xml:space="preserve"> as an equitable </w:t>
      </w:r>
      <w:r w:rsidR="00A07AEE">
        <w:t>me</w:t>
      </w:r>
      <w:r w:rsidR="0038595F">
        <w:t>thod</w:t>
      </w:r>
      <w:r w:rsidRPr="00FC797C">
        <w:t xml:space="preserve">. It is based on the two-year trial of the VRU testing process as originally described in a </w:t>
      </w:r>
      <w:r w:rsidR="008D54A3">
        <w:t>consul</w:t>
      </w:r>
      <w:r w:rsidR="003825A5">
        <w:t xml:space="preserve">tation </w:t>
      </w:r>
      <w:r w:rsidRPr="00FC797C">
        <w:t xml:space="preserve">paper prepared by Professor David Trimm - </w:t>
      </w:r>
      <w:r w:rsidRPr="00FC797C">
        <w:rPr>
          <w:i/>
        </w:rPr>
        <w:t xml:space="preserve">Vapour Recovery in the Petroleum Industry, </w:t>
      </w:r>
      <w:r w:rsidRPr="00FC797C">
        <w:t xml:space="preserve">(July 1998). It has been in place </w:t>
      </w:r>
      <w:r w:rsidR="00D309CA">
        <w:t>as an administrative policy within the ATO</w:t>
      </w:r>
      <w:r w:rsidRPr="00FC797C">
        <w:t xml:space="preserve"> since April 2002.</w:t>
      </w:r>
    </w:p>
    <w:p w14:paraId="6FD6D3D8" w14:textId="315C6483" w:rsidR="00FC797C" w:rsidRDefault="00FC797C" w:rsidP="00FC797C">
      <w:r w:rsidRPr="00FC797C">
        <w:t>The</w:t>
      </w:r>
      <w:r w:rsidR="00E130C2">
        <w:t xml:space="preserve"> proposed</w:t>
      </w:r>
      <w:r w:rsidRPr="00FC797C">
        <w:t xml:space="preserve"> </w:t>
      </w:r>
      <w:r w:rsidR="001C5BD9">
        <w:t xml:space="preserve">new </w:t>
      </w:r>
      <w:r w:rsidRPr="00FC797C">
        <w:t>formula in which R</w:t>
      </w:r>
      <w:r w:rsidRPr="00FC797C">
        <w:rPr>
          <w:vertAlign w:val="subscript"/>
        </w:rPr>
        <w:t>av</w:t>
      </w:r>
      <w:r w:rsidRPr="00FC797C">
        <w:t xml:space="preserve"> is employed (Equation 1) is a variation of Prof</w:t>
      </w:r>
      <w:r w:rsidR="006435FA">
        <w:t>essor</w:t>
      </w:r>
      <w:r w:rsidRPr="00FC797C">
        <w:t xml:space="preserve"> Trimm’s formula as described in the original paper</w:t>
      </w:r>
      <w:r w:rsidR="00626C7C">
        <w:t xml:space="preserve"> (which can be found in at</w:t>
      </w:r>
      <w:r w:rsidR="00360817">
        <w:t>tachment A)</w:t>
      </w:r>
      <w:r w:rsidRPr="00FC797C">
        <w:t xml:space="preserve"> </w:t>
      </w:r>
      <w:r w:rsidR="007D1C9B">
        <w:t>that</w:t>
      </w:r>
      <w:r w:rsidR="007D1C9B" w:rsidRPr="00FC797C">
        <w:t xml:space="preserve"> </w:t>
      </w:r>
      <w:r w:rsidRPr="00FC797C">
        <w:t>is currently used by industry participants:</w:t>
      </w:r>
    </w:p>
    <w:p w14:paraId="6FB3D2D4" w14:textId="77777777" w:rsidR="00DA05B7" w:rsidRPr="00FC797C" w:rsidRDefault="00DA05B7" w:rsidP="00FC797C"/>
    <w:p w14:paraId="4D6FAEBA" w14:textId="6842AC3E" w:rsidR="00DA05B7" w:rsidRPr="00FC797C" w:rsidRDefault="00DA05B7" w:rsidP="006C2C74">
      <w:pPr>
        <w:jc w:val="center"/>
        <w:rPr>
          <w:b/>
          <w:sz w:val="20"/>
        </w:rPr>
      </w:pPr>
      <w:r w:rsidRPr="00FC797C">
        <w:rPr>
          <w:b/>
          <w:sz w:val="20"/>
        </w:rPr>
        <w:t>Equation 1</w:t>
      </w:r>
    </w:p>
    <w:p w14:paraId="1F8A097F" w14:textId="508EEA3D" w:rsidR="00FC797C" w:rsidRPr="00FC797C" w:rsidRDefault="00FC797C" w:rsidP="00FC797C"/>
    <w:p w14:paraId="0D9B02B7" w14:textId="77777777" w:rsidR="00FC797C" w:rsidRPr="00FC797C" w:rsidRDefault="00FC797C" w:rsidP="006B11E9">
      <w:pPr>
        <w:jc w:val="center"/>
      </w:pPr>
      <w:r w:rsidRPr="00FC797C">
        <w:rPr>
          <w:b/>
          <w:bCs/>
        </w:rPr>
        <w:t>Volume of liquid = Volume of gas entering the unit x R</w:t>
      </w:r>
      <w:r w:rsidRPr="00FC797C">
        <w:rPr>
          <w:b/>
          <w:bCs/>
          <w:vertAlign w:val="subscript"/>
        </w:rPr>
        <w:t>av</w:t>
      </w:r>
    </w:p>
    <w:p w14:paraId="09D28616" w14:textId="77777777" w:rsidR="00FC797C" w:rsidRPr="00FC797C" w:rsidRDefault="00FC797C" w:rsidP="00FC797C">
      <w:r w:rsidRPr="00FC797C">
        <w:t>Where:</w:t>
      </w:r>
    </w:p>
    <w:p w14:paraId="6C6EAC57" w14:textId="3BEBF5C0" w:rsidR="00FC797C" w:rsidRPr="00FC797C" w:rsidRDefault="00FC797C" w:rsidP="00FC797C">
      <w:r w:rsidRPr="00FC797C">
        <w:rPr>
          <w:b/>
          <w:bCs/>
        </w:rPr>
        <w:t xml:space="preserve">Volume of liquid </w:t>
      </w:r>
      <w:r w:rsidRPr="00FC797C">
        <w:t>= volume of duty</w:t>
      </w:r>
      <w:r w:rsidR="00726535">
        <w:t>-</w:t>
      </w:r>
      <w:r w:rsidRPr="00FC797C">
        <w:t xml:space="preserve">paid liquid </w:t>
      </w:r>
      <w:r w:rsidR="002130C9">
        <w:t>petroleum</w:t>
      </w:r>
      <w:r w:rsidR="000A5120" w:rsidRPr="00FC797C">
        <w:t xml:space="preserve"> </w:t>
      </w:r>
      <w:r w:rsidRPr="00FC797C">
        <w:t>recovered from vapours on which the excise refund can be claimed</w:t>
      </w:r>
    </w:p>
    <w:p w14:paraId="6CD68834" w14:textId="463745E6" w:rsidR="00FC797C" w:rsidRPr="00FC797C" w:rsidRDefault="00FC797C" w:rsidP="00FC797C">
      <w:r w:rsidRPr="00FC797C">
        <w:rPr>
          <w:b/>
          <w:bCs/>
        </w:rPr>
        <w:t xml:space="preserve">Volume of gas entering the unit </w:t>
      </w:r>
      <w:r w:rsidRPr="00FC797C">
        <w:t xml:space="preserve">= volume of motor fuel throughput (gasoline, </w:t>
      </w:r>
      <w:r w:rsidR="004273C4">
        <w:t>gasoline</w:t>
      </w:r>
      <w:r w:rsidR="004273C4" w:rsidRPr="00FC797C">
        <w:t xml:space="preserve"> </w:t>
      </w:r>
      <w:r w:rsidRPr="00FC797C">
        <w:t>blends</w:t>
      </w:r>
      <w:r w:rsidR="00623F25">
        <w:t>, diesel</w:t>
      </w:r>
      <w:r w:rsidRPr="00FC797C">
        <w:t xml:space="preserve"> and diesel</w:t>
      </w:r>
      <w:r w:rsidR="003574D9">
        <w:t xml:space="preserve"> blends</w:t>
      </w:r>
      <w:r w:rsidR="004478AE">
        <w:t>)</w:t>
      </w:r>
      <w:r w:rsidRPr="00FC797C">
        <w:t xml:space="preserve"> loaded into tankers connected to a VRU and entered into home consumption</w:t>
      </w:r>
      <w:r w:rsidR="004478AE">
        <w:t>.</w:t>
      </w:r>
    </w:p>
    <w:p w14:paraId="7D3423CE" w14:textId="157447F9" w:rsidR="00FC797C" w:rsidRPr="00FC797C" w:rsidRDefault="00FC797C" w:rsidP="00FC797C">
      <w:r w:rsidRPr="00FC797C">
        <w:rPr>
          <w:b/>
          <w:bCs/>
        </w:rPr>
        <w:t>R</w:t>
      </w:r>
      <w:r w:rsidRPr="004D5463">
        <w:rPr>
          <w:b/>
          <w:bCs/>
          <w:vertAlign w:val="subscript"/>
        </w:rPr>
        <w:t>av</w:t>
      </w:r>
      <w:r w:rsidRPr="00FC797C">
        <w:rPr>
          <w:b/>
          <w:bCs/>
        </w:rPr>
        <w:t xml:space="preserve"> </w:t>
      </w:r>
      <w:r w:rsidRPr="00FC797C">
        <w:t>= 0.00064</w:t>
      </w:r>
      <w:r w:rsidR="001A5EF0">
        <w:t>4</w:t>
      </w:r>
      <w:r w:rsidR="00B10743">
        <w:t>2</w:t>
      </w:r>
    </w:p>
    <w:p w14:paraId="5B4D69D5" w14:textId="0C7608A7" w:rsidR="00B5685A" w:rsidRDefault="00CA6BA1" w:rsidP="006C2C74">
      <w:pPr>
        <w:pStyle w:val="Heading3"/>
      </w:pPr>
      <w:bookmarkStart w:id="14" w:name="_Hlk138163355"/>
      <w:r>
        <w:t>Discussion question 2</w:t>
      </w:r>
    </w:p>
    <w:bookmarkEnd w:id="14"/>
    <w:p w14:paraId="7DE4EAF5" w14:textId="78E5E759" w:rsidR="00CB318E" w:rsidRDefault="00B5685A" w:rsidP="00B5685A">
      <w:r>
        <w:t xml:space="preserve">Does the new simplified formula (Equation 1) employing </w:t>
      </w:r>
      <w:r w:rsidRPr="00C3090C">
        <w:rPr>
          <w:rFonts w:eastAsia="Calibri"/>
          <w:bCs/>
        </w:rPr>
        <w:t>R</w:t>
      </w:r>
      <w:r w:rsidRPr="00C3090C">
        <w:rPr>
          <w:rFonts w:eastAsia="Calibri"/>
          <w:bCs/>
          <w:vertAlign w:val="subscript"/>
        </w:rPr>
        <w:t>av</w:t>
      </w:r>
      <w:r w:rsidRPr="00C3090C">
        <w:rPr>
          <w:rFonts w:eastAsia="Calibri"/>
          <w:bCs/>
        </w:rPr>
        <w:t xml:space="preserve"> </w:t>
      </w:r>
      <w:r>
        <w:t>for use in calculating volumes of liquid petroleum on which a refund can be claimed meet the objective of the</w:t>
      </w:r>
      <w:r w:rsidR="00B06170">
        <w:t xml:space="preserve"> </w:t>
      </w:r>
      <w:r w:rsidR="00B06170">
        <w:rPr>
          <w:rFonts w:eastAsia="Calibri"/>
        </w:rPr>
        <w:t>March 2022-23 Budget</w:t>
      </w:r>
      <w:r>
        <w:t xml:space="preserve"> measure? </w:t>
      </w:r>
    </w:p>
    <w:p w14:paraId="18D0145B" w14:textId="5EE8BF14" w:rsidR="00B62C41" w:rsidRDefault="00B62C41" w:rsidP="006C2C74">
      <w:pPr>
        <w:pStyle w:val="Heading2"/>
      </w:pPr>
      <w:r>
        <w:lastRenderedPageBreak/>
        <w:t xml:space="preserve">Proposed </w:t>
      </w:r>
      <w:r w:rsidR="00A14CEF">
        <w:t xml:space="preserve">refund </w:t>
      </w:r>
      <w:r w:rsidR="00907260">
        <w:t xml:space="preserve">cut-off threshold </w:t>
      </w:r>
      <w:r w:rsidR="002B2871">
        <w:t xml:space="preserve">when </w:t>
      </w:r>
      <w:r>
        <w:t>using the new average recovery rate</w:t>
      </w:r>
    </w:p>
    <w:p w14:paraId="3003B436" w14:textId="14E07562" w:rsidR="00B74AC2" w:rsidRDefault="00B62C41" w:rsidP="00B62C41">
      <w:pPr>
        <w:rPr>
          <w:i/>
        </w:rPr>
      </w:pPr>
      <w:r w:rsidRPr="00FC797C">
        <w:t>Prof</w:t>
      </w:r>
      <w:r>
        <w:t>essor</w:t>
      </w:r>
      <w:r w:rsidRPr="00FC797C">
        <w:t xml:space="preserve"> Trimm’s formula</w:t>
      </w:r>
      <w:r>
        <w:t xml:space="preserve"> </w:t>
      </w:r>
      <w:r w:rsidR="00E65B40">
        <w:t>assumed</w:t>
      </w:r>
      <w:r>
        <w:t xml:space="preserve"> </w:t>
      </w:r>
      <w:r w:rsidR="003413BA">
        <w:t>that</w:t>
      </w:r>
      <w:r>
        <w:t xml:space="preserve"> the fraction of diesel vapour in the gas entering the VRU is zero</w:t>
      </w:r>
      <w:r w:rsidR="002A2F29">
        <w:t xml:space="preserve"> as the higher boiling temperature of dies</w:t>
      </w:r>
      <w:r w:rsidR="005F5E19">
        <w:t xml:space="preserve">el </w:t>
      </w:r>
      <w:r w:rsidR="000F109D">
        <w:t xml:space="preserve">means it </w:t>
      </w:r>
      <w:r w:rsidR="000F109D" w:rsidRPr="0081250D">
        <w:t>produces significant</w:t>
      </w:r>
      <w:r w:rsidR="000F109D">
        <w:t>ly less</w:t>
      </w:r>
      <w:r w:rsidR="000F109D" w:rsidRPr="0081250D">
        <w:t xml:space="preserve"> hydrocarbon vapours in the space above the liquid</w:t>
      </w:r>
      <w:r w:rsidR="000F109D">
        <w:t xml:space="preserve"> compared to gasoline</w:t>
      </w:r>
      <w:r w:rsidR="00001C05">
        <w:t>.</w:t>
      </w:r>
      <w:r w:rsidR="006A061E" w:rsidRPr="006A061E">
        <w:rPr>
          <w:i/>
          <w:iCs/>
        </w:rPr>
        <w:t xml:space="preserve"> </w:t>
      </w:r>
    </w:p>
    <w:p w14:paraId="314049A3" w14:textId="67187571" w:rsidR="00B62C41" w:rsidRDefault="003B5B09" w:rsidP="00B62C41">
      <w:r>
        <w:t>Currently, i</w:t>
      </w:r>
      <w:r w:rsidR="006A251E">
        <w:t>n order for recoveries calculated for a particular VRU to be acceptable for refund purposes, the test results ha</w:t>
      </w:r>
      <w:r w:rsidR="005C0B33">
        <w:t>ve</w:t>
      </w:r>
      <w:r w:rsidR="006A251E">
        <w:t xml:space="preserve"> to be reflective of the diesel</w:t>
      </w:r>
      <w:r w:rsidR="00963538">
        <w:t xml:space="preserve"> to </w:t>
      </w:r>
      <w:r w:rsidR="006A251E">
        <w:t>gasoline loading patterns during the relevant duty period.</w:t>
      </w:r>
      <w:r w:rsidR="00B62C41">
        <w:t xml:space="preserve"> </w:t>
      </w:r>
      <w:r w:rsidR="006D5D92">
        <w:t>Where the</w:t>
      </w:r>
      <w:r w:rsidR="00870573">
        <w:t xml:space="preserve"> ratio</w:t>
      </w:r>
      <w:r w:rsidR="00E42CD1">
        <w:t xml:space="preserve"> of</w:t>
      </w:r>
      <w:r w:rsidR="006D5D92">
        <w:t xml:space="preserve"> </w:t>
      </w:r>
      <w:r w:rsidR="00E42CD1">
        <w:t>diesel</w:t>
      </w:r>
      <w:r w:rsidR="00097B44">
        <w:t xml:space="preserve"> to </w:t>
      </w:r>
      <w:r w:rsidR="00E42CD1">
        <w:t xml:space="preserve">gasoline </w:t>
      </w:r>
      <w:r w:rsidR="00D05972">
        <w:t>i</w:t>
      </w:r>
      <w:r w:rsidR="00DA1BD7">
        <w:t xml:space="preserve">s greater than </w:t>
      </w:r>
      <w:r w:rsidR="00DA1BD7">
        <w:rPr>
          <w:rFonts w:cs="Calibri Light"/>
        </w:rPr>
        <w:t>±</w:t>
      </w:r>
      <w:r w:rsidR="00DA1BD7">
        <w:t>15 % of that during the test period</w:t>
      </w:r>
      <w:r w:rsidR="009E33A4">
        <w:t>,</w:t>
      </w:r>
      <w:r w:rsidR="00DA1BD7">
        <w:t xml:space="preserve"> </w:t>
      </w:r>
      <w:r w:rsidR="008E00BB">
        <w:t xml:space="preserve">adjusted values </w:t>
      </w:r>
      <w:r w:rsidR="00B3617D">
        <w:t>a</w:t>
      </w:r>
      <w:r w:rsidR="00F570DC">
        <w:t xml:space="preserve">re calculated for </w:t>
      </w:r>
      <w:r w:rsidR="000B679F">
        <w:t xml:space="preserve">the </w:t>
      </w:r>
      <w:r w:rsidR="00F570DC" w:rsidRPr="003A06D4">
        <w:rPr>
          <w:rFonts w:eastAsia="Calibri"/>
        </w:rPr>
        <w:t>f</w:t>
      </w:r>
      <w:r w:rsidR="00F570DC" w:rsidRPr="004D5463">
        <w:rPr>
          <w:rFonts w:eastAsia="Calibri"/>
        </w:rPr>
        <w:t>raction of hydrocarbon vapour in gas entering the VRU (Y</w:t>
      </w:r>
      <w:r w:rsidR="00F570DC" w:rsidRPr="004D5463">
        <w:rPr>
          <w:rFonts w:eastAsia="Calibri"/>
          <w:vertAlign w:val="superscript"/>
        </w:rPr>
        <w:t>in</w:t>
      </w:r>
      <w:r w:rsidR="00F570DC">
        <w:rPr>
          <w:rFonts w:eastAsia="Calibri"/>
        </w:rPr>
        <w:t>)</w:t>
      </w:r>
      <w:r w:rsidR="000B679F">
        <w:rPr>
          <w:rFonts w:eastAsia="Calibri"/>
        </w:rPr>
        <w:t xml:space="preserve">, the </w:t>
      </w:r>
      <w:r w:rsidR="000B679F" w:rsidRPr="003A06D4">
        <w:rPr>
          <w:rFonts w:eastAsia="Calibri"/>
        </w:rPr>
        <w:t>f</w:t>
      </w:r>
      <w:r w:rsidR="000B679F" w:rsidRPr="004D5463">
        <w:rPr>
          <w:rFonts w:eastAsia="Calibri"/>
        </w:rPr>
        <w:t xml:space="preserve">raction of hydrocarbon vapour in gas </w:t>
      </w:r>
      <w:r w:rsidR="000B679F">
        <w:rPr>
          <w:rFonts w:eastAsia="Calibri"/>
        </w:rPr>
        <w:t>leaving</w:t>
      </w:r>
      <w:r w:rsidR="000B679F" w:rsidRPr="004D5463">
        <w:rPr>
          <w:rFonts w:eastAsia="Calibri"/>
        </w:rPr>
        <w:t xml:space="preserve"> the VRU (Y</w:t>
      </w:r>
      <w:r w:rsidR="000B679F">
        <w:rPr>
          <w:rFonts w:eastAsia="Calibri"/>
          <w:vertAlign w:val="superscript"/>
        </w:rPr>
        <w:t>out</w:t>
      </w:r>
      <w:r w:rsidR="000B679F">
        <w:rPr>
          <w:rFonts w:eastAsia="Calibri"/>
        </w:rPr>
        <w:t>)</w:t>
      </w:r>
      <w:r w:rsidR="00F570DC" w:rsidRPr="4B5BDD7C">
        <w:rPr>
          <w:rFonts w:eastAsia="Calibri"/>
        </w:rPr>
        <w:t xml:space="preserve"> </w:t>
      </w:r>
      <w:r w:rsidR="00E65AAF">
        <w:rPr>
          <w:rFonts w:eastAsia="Calibri"/>
        </w:rPr>
        <w:t xml:space="preserve">and consequently the </w:t>
      </w:r>
      <w:r w:rsidR="00F570DC">
        <w:rPr>
          <w:rFonts w:eastAsia="Calibri"/>
        </w:rPr>
        <w:t>e</w:t>
      </w:r>
      <w:r w:rsidR="00F570DC" w:rsidRPr="4B5BDD7C">
        <w:rPr>
          <w:rFonts w:eastAsia="Calibri"/>
        </w:rPr>
        <w:t>fficiency (E)</w:t>
      </w:r>
      <w:r w:rsidR="00F570DC">
        <w:rPr>
          <w:rFonts w:eastAsia="Calibri"/>
        </w:rPr>
        <w:t xml:space="preserve"> values</w:t>
      </w:r>
      <w:r w:rsidR="00F570DC" w:rsidRPr="4B5BDD7C">
        <w:rPr>
          <w:rFonts w:eastAsia="Calibri"/>
        </w:rPr>
        <w:t xml:space="preserve"> and</w:t>
      </w:r>
      <w:r w:rsidR="00F570DC">
        <w:rPr>
          <w:rFonts w:eastAsia="Calibri"/>
        </w:rPr>
        <w:t xml:space="preserve"> </w:t>
      </w:r>
      <w:r w:rsidR="001E3EBA">
        <w:t>the volume of liquid recovered.</w:t>
      </w:r>
    </w:p>
    <w:p w14:paraId="09329550" w14:textId="5231C8C7" w:rsidR="00B92D8C" w:rsidRDefault="00804A6E" w:rsidP="00B5685A">
      <w:r>
        <w:t>As the</w:t>
      </w:r>
      <w:r w:rsidR="00E51772">
        <w:t xml:space="preserve"> new</w:t>
      </w:r>
      <w:r>
        <w:t xml:space="preserve"> </w:t>
      </w:r>
      <w:r w:rsidR="000F3234" w:rsidRPr="00FC797C">
        <w:rPr>
          <w:b/>
          <w:bCs/>
        </w:rPr>
        <w:t>R</w:t>
      </w:r>
      <w:r w:rsidR="000F3234" w:rsidRPr="004D5463">
        <w:rPr>
          <w:b/>
          <w:bCs/>
          <w:vertAlign w:val="subscript"/>
        </w:rPr>
        <w:t>av</w:t>
      </w:r>
      <w:r w:rsidR="000F3234">
        <w:rPr>
          <w:b/>
          <w:bCs/>
          <w:vertAlign w:val="subscript"/>
        </w:rPr>
        <w:t xml:space="preserve"> </w:t>
      </w:r>
      <w:r w:rsidR="003D584C">
        <w:t xml:space="preserve"> is based on </w:t>
      </w:r>
      <w:r w:rsidR="00AE6D8F">
        <w:t xml:space="preserve">the </w:t>
      </w:r>
      <w:r w:rsidR="003D584C">
        <w:t>average</w:t>
      </w:r>
      <w:r w:rsidR="00AE6D8F">
        <w:t xml:space="preserve"> </w:t>
      </w:r>
      <w:r w:rsidR="00414E31" w:rsidRPr="004D5463">
        <w:rPr>
          <w:rFonts w:eastAsia="Calibri"/>
        </w:rPr>
        <w:t>Y</w:t>
      </w:r>
      <w:r w:rsidR="00414E31" w:rsidRPr="004D5463">
        <w:rPr>
          <w:rFonts w:eastAsia="Calibri"/>
          <w:vertAlign w:val="superscript"/>
        </w:rPr>
        <w:t>in</w:t>
      </w:r>
      <w:r w:rsidR="00414E31">
        <w:rPr>
          <w:rFonts w:eastAsia="Calibri"/>
        </w:rPr>
        <w:t xml:space="preserve"> </w:t>
      </w:r>
      <w:r w:rsidR="004F2241">
        <w:rPr>
          <w:rFonts w:eastAsia="Calibri"/>
        </w:rPr>
        <w:t xml:space="preserve">and E values for </w:t>
      </w:r>
      <w:r w:rsidR="004F2241" w:rsidRPr="4B5BDD7C">
        <w:rPr>
          <w:rFonts w:eastAsia="Calibri"/>
        </w:rPr>
        <w:t>17 VRU sites across Australia</w:t>
      </w:r>
      <w:r w:rsidR="004E5713">
        <w:rPr>
          <w:rFonts w:eastAsia="Calibri"/>
        </w:rPr>
        <w:t xml:space="preserve">, </w:t>
      </w:r>
      <w:r w:rsidR="0026482B">
        <w:rPr>
          <w:rFonts w:eastAsia="Calibri"/>
        </w:rPr>
        <w:t>the</w:t>
      </w:r>
      <w:r w:rsidR="000D2C4A">
        <w:rPr>
          <w:rFonts w:eastAsia="Calibri"/>
        </w:rPr>
        <w:t>re is no ‘</w:t>
      </w:r>
      <w:r w:rsidR="00E56166">
        <w:rPr>
          <w:rFonts w:eastAsia="Calibri"/>
        </w:rPr>
        <w:t>true</w:t>
      </w:r>
      <w:r w:rsidR="000D2C4A">
        <w:rPr>
          <w:rFonts w:eastAsia="Calibri"/>
        </w:rPr>
        <w:t xml:space="preserve">’ </w:t>
      </w:r>
      <w:r w:rsidR="0026482B">
        <w:rPr>
          <w:rFonts w:eastAsia="Calibri"/>
        </w:rPr>
        <w:t xml:space="preserve"> </w:t>
      </w:r>
      <w:r w:rsidR="00AD297E">
        <w:t>diesel</w:t>
      </w:r>
      <w:r w:rsidR="00ED0A6A">
        <w:t xml:space="preserve"> to </w:t>
      </w:r>
      <w:r w:rsidR="00AD297E">
        <w:t>gasoline loading pattern for the test period</w:t>
      </w:r>
      <w:r w:rsidR="00E56166">
        <w:t xml:space="preserve"> with which to measure </w:t>
      </w:r>
      <w:r w:rsidR="00003513">
        <w:t xml:space="preserve">against </w:t>
      </w:r>
      <w:r w:rsidR="00E56166">
        <w:t>the loading patterns during the relevant duty period</w:t>
      </w:r>
      <w:r w:rsidR="00B92D8C">
        <w:t>.</w:t>
      </w:r>
    </w:p>
    <w:p w14:paraId="1679A504" w14:textId="4A6CBD96" w:rsidR="00CB318E" w:rsidRDefault="00ED65F7" w:rsidP="00B5685A">
      <w:r>
        <w:t>I</w:t>
      </w:r>
      <w:r w:rsidR="00D279FA">
        <w:t xml:space="preserve">n line with the deregulation proposal </w:t>
      </w:r>
      <w:r w:rsidR="009E03BB">
        <w:t xml:space="preserve">to reduce </w:t>
      </w:r>
      <w:r w:rsidR="002A04F9">
        <w:t xml:space="preserve">the complexity </w:t>
      </w:r>
      <w:r w:rsidR="00E6391A">
        <w:t>of claiming VRU refunds</w:t>
      </w:r>
      <w:r w:rsidR="00EF5E4B">
        <w:t xml:space="preserve">, </w:t>
      </w:r>
      <w:r w:rsidR="006F06D1">
        <w:t xml:space="preserve">it is proposed that </w:t>
      </w:r>
      <w:r w:rsidR="00C04874">
        <w:t xml:space="preserve">excise </w:t>
      </w:r>
      <w:r w:rsidR="00030357">
        <w:t xml:space="preserve">duty </w:t>
      </w:r>
      <w:r w:rsidR="007C43FF">
        <w:t xml:space="preserve">refunds </w:t>
      </w:r>
      <w:r w:rsidR="002A1B44">
        <w:t xml:space="preserve">will only </w:t>
      </w:r>
      <w:r w:rsidR="007E2305">
        <w:t>be applicable when the diesel</w:t>
      </w:r>
      <w:r w:rsidR="001601C9">
        <w:t xml:space="preserve"> to </w:t>
      </w:r>
      <w:r w:rsidR="007E2305">
        <w:t xml:space="preserve">gasoline loading pattern </w:t>
      </w:r>
      <w:r w:rsidR="00045917">
        <w:t>ratio</w:t>
      </w:r>
      <w:r w:rsidR="007E2305">
        <w:t xml:space="preserve"> during the relevant duty period is</w:t>
      </w:r>
      <w:r w:rsidR="00C25488">
        <w:t xml:space="preserve"> not</w:t>
      </w:r>
      <w:r w:rsidR="007E2305">
        <w:t xml:space="preserve"> </w:t>
      </w:r>
      <w:r w:rsidR="000E4DC7">
        <w:t>greater</w:t>
      </w:r>
      <w:r w:rsidR="007E2305">
        <w:t xml:space="preserve"> than </w:t>
      </w:r>
      <w:r w:rsidR="000E4DC7">
        <w:t>75:25</w:t>
      </w:r>
      <w:r w:rsidR="004D67E6">
        <w:t xml:space="preserve"> and</w:t>
      </w:r>
      <w:r w:rsidR="004D67E6" w:rsidRPr="004D67E6">
        <w:t xml:space="preserve"> </w:t>
      </w:r>
      <w:r w:rsidR="004D67E6">
        <w:t>no adjustments will be required</w:t>
      </w:r>
      <w:r w:rsidR="00776774">
        <w:t>.</w:t>
      </w:r>
    </w:p>
    <w:p w14:paraId="64960FA9" w14:textId="342849C7" w:rsidR="003574DB" w:rsidRDefault="003574DB" w:rsidP="006C2C74">
      <w:pPr>
        <w:pStyle w:val="Heading3"/>
      </w:pPr>
      <w:r>
        <w:t>Discussion question 3</w:t>
      </w:r>
    </w:p>
    <w:p w14:paraId="46008366" w14:textId="6D45D9B9" w:rsidR="00082FC2" w:rsidRDefault="005469AD" w:rsidP="008361B4">
      <w:r>
        <w:t xml:space="preserve">Does the use of a </w:t>
      </w:r>
      <w:r w:rsidR="0083432C">
        <w:t xml:space="preserve">refund </w:t>
      </w:r>
      <w:r w:rsidR="000825E8">
        <w:t xml:space="preserve">cut-off </w:t>
      </w:r>
      <w:r w:rsidR="0083432C">
        <w:t>threshold, wh</w:t>
      </w:r>
      <w:r w:rsidR="00F25470">
        <w:t xml:space="preserve">en the </w:t>
      </w:r>
      <w:r w:rsidR="00435811">
        <w:t>diesel</w:t>
      </w:r>
      <w:r w:rsidR="00BC63AA">
        <w:t xml:space="preserve"> to </w:t>
      </w:r>
      <w:r w:rsidR="00435811">
        <w:t xml:space="preserve">gasoline </w:t>
      </w:r>
      <w:r w:rsidR="00CC174F">
        <w:t xml:space="preserve">loading pattern </w:t>
      </w:r>
      <w:r w:rsidR="00435811">
        <w:t>ratio</w:t>
      </w:r>
      <w:r w:rsidR="000825E8">
        <w:t xml:space="preserve"> </w:t>
      </w:r>
      <w:r w:rsidR="001F793C">
        <w:t xml:space="preserve">is </w:t>
      </w:r>
      <w:r w:rsidR="00097173">
        <w:t>greater</w:t>
      </w:r>
      <w:r w:rsidR="001910AD">
        <w:t xml:space="preserve"> than </w:t>
      </w:r>
      <w:r w:rsidR="00BD16CA">
        <w:t>7</w:t>
      </w:r>
      <w:r w:rsidR="000D2F52">
        <w:t>5:25</w:t>
      </w:r>
      <w:r w:rsidR="003356C1">
        <w:t xml:space="preserve"> during the relevant duty period</w:t>
      </w:r>
      <w:r w:rsidR="001910AD">
        <w:t xml:space="preserve"> </w:t>
      </w:r>
      <w:r w:rsidR="00F97EB4">
        <w:t xml:space="preserve">(with </w:t>
      </w:r>
      <w:r w:rsidR="0063772D">
        <w:t>no requirement for adjustment</w:t>
      </w:r>
      <w:r w:rsidR="00F97EB4">
        <w:t>)</w:t>
      </w:r>
      <w:r w:rsidR="0063772D">
        <w:t xml:space="preserve"> </w:t>
      </w:r>
      <w:r w:rsidR="001910AD">
        <w:t xml:space="preserve">address the </w:t>
      </w:r>
      <w:r w:rsidR="00746E7E">
        <w:t>diesel</w:t>
      </w:r>
      <w:r w:rsidR="00BC63AA">
        <w:t xml:space="preserve"> to </w:t>
      </w:r>
      <w:r w:rsidR="001910AD">
        <w:t xml:space="preserve">gasoline </w:t>
      </w:r>
      <w:r w:rsidR="001910AD" w:rsidRPr="00742E5F">
        <w:t>throughput</w:t>
      </w:r>
      <w:r w:rsidR="001910AD">
        <w:t xml:space="preserve"> equitably</w:t>
      </w:r>
      <w:r w:rsidR="00333EA1">
        <w:t>, and if not c</w:t>
      </w:r>
      <w:r w:rsidR="005A55A1">
        <w:t>an you suggest a more equitable method?</w:t>
      </w:r>
    </w:p>
    <w:p w14:paraId="2E3A2345" w14:textId="77777777" w:rsidR="00E2588F" w:rsidRDefault="00E2588F" w:rsidP="008361B4"/>
    <w:p w14:paraId="1E203A58" w14:textId="202A5D8A" w:rsidR="00E2588F" w:rsidRDefault="00E2588F">
      <w:pPr>
        <w:spacing w:before="0" w:after="160" w:line="259" w:lineRule="auto"/>
      </w:pPr>
      <w:r>
        <w:br w:type="page"/>
      </w:r>
    </w:p>
    <w:p w14:paraId="6819E2BC" w14:textId="1A604A17" w:rsidR="00627E48" w:rsidRDefault="00627E48" w:rsidP="00627E48">
      <w:pPr>
        <w:pStyle w:val="Heading1"/>
        <w:rPr>
          <w:rFonts w:eastAsia="Calibri"/>
        </w:rPr>
      </w:pPr>
      <w:bookmarkStart w:id="15" w:name="Appendix"/>
      <w:r>
        <w:rPr>
          <w:rFonts w:eastAsia="Calibri"/>
        </w:rPr>
        <w:lastRenderedPageBreak/>
        <w:t>Appendix</w:t>
      </w:r>
      <w:bookmarkEnd w:id="15"/>
      <w:r>
        <w:rPr>
          <w:rFonts w:eastAsia="Calibri"/>
        </w:rPr>
        <w:t xml:space="preserve"> </w:t>
      </w:r>
      <w:r w:rsidR="00EB4B38">
        <w:rPr>
          <w:rFonts w:eastAsia="Calibri"/>
        </w:rPr>
        <w:t>A</w:t>
      </w:r>
    </w:p>
    <w:p w14:paraId="441C4141" w14:textId="131CF3E8" w:rsidR="00627E48" w:rsidRPr="004D5463" w:rsidRDefault="00D856A5" w:rsidP="00627E48">
      <w:pPr>
        <w:pStyle w:val="Heading2"/>
        <w:rPr>
          <w:rFonts w:eastAsia="Calibri"/>
        </w:rPr>
      </w:pPr>
      <w:r>
        <w:rPr>
          <w:rFonts w:eastAsia="Calibri"/>
        </w:rPr>
        <w:t>D</w:t>
      </w:r>
      <w:r w:rsidRPr="00D856A5">
        <w:rPr>
          <w:rFonts w:eastAsia="Calibri"/>
        </w:rPr>
        <w:t xml:space="preserve">erivation of </w:t>
      </w:r>
      <w:r w:rsidRPr="00D856A5">
        <w:rPr>
          <w:rFonts w:eastAsia="Calibri"/>
          <w:bCs/>
        </w:rPr>
        <w:t>R</w:t>
      </w:r>
      <w:r w:rsidRPr="00D856A5">
        <w:rPr>
          <w:rFonts w:eastAsia="Calibri"/>
          <w:bCs/>
          <w:vertAlign w:val="subscript"/>
        </w:rPr>
        <w:t>av</w:t>
      </w:r>
      <w:r w:rsidRPr="00D856A5">
        <w:rPr>
          <w:rFonts w:eastAsia="Calibri"/>
        </w:rPr>
        <w:t xml:space="preserve"> </w:t>
      </w:r>
    </w:p>
    <w:p w14:paraId="4FF4435F" w14:textId="20A23560" w:rsidR="00DC3C8C" w:rsidRDefault="00DC3C8C" w:rsidP="00DC3C8C">
      <w:pPr>
        <w:spacing w:after="0"/>
        <w:rPr>
          <w:rFonts w:cstheme="minorHAnsi"/>
        </w:rPr>
      </w:pPr>
      <w:r w:rsidRPr="006947C6">
        <w:rPr>
          <w:rFonts w:cstheme="minorHAnsi"/>
        </w:rPr>
        <w:t xml:space="preserve">The </w:t>
      </w:r>
      <w:r w:rsidR="00F206B9">
        <w:rPr>
          <w:rFonts w:cstheme="minorHAnsi"/>
        </w:rPr>
        <w:t>formulaic approach</w:t>
      </w:r>
      <w:r w:rsidR="00245656" w:rsidRPr="00245656">
        <w:rPr>
          <w:rFonts w:asciiTheme="minorHAnsi" w:hAnsiTheme="minorHAnsi" w:cstheme="minorHAnsi"/>
          <w:szCs w:val="22"/>
        </w:rPr>
        <w:t xml:space="preserve"> </w:t>
      </w:r>
      <w:r w:rsidR="00245656" w:rsidRPr="009B5799">
        <w:rPr>
          <w:rFonts w:cs="Calibri Light"/>
          <w:szCs w:val="22"/>
        </w:rPr>
        <w:t xml:space="preserve">agreed upon by both the ATO and the petroleum industry as </w:t>
      </w:r>
      <w:r w:rsidR="007538DA" w:rsidRPr="009B5799">
        <w:rPr>
          <w:rFonts w:cs="Calibri Light"/>
          <w:szCs w:val="22"/>
        </w:rPr>
        <w:t xml:space="preserve">described </w:t>
      </w:r>
      <w:r w:rsidR="000D6D9E" w:rsidRPr="009B5799">
        <w:rPr>
          <w:rFonts w:cs="Calibri Light"/>
          <w:szCs w:val="22"/>
        </w:rPr>
        <w:t>on page</w:t>
      </w:r>
      <w:r w:rsidR="00892C08" w:rsidRPr="009B5799">
        <w:rPr>
          <w:rFonts w:cs="Calibri Light"/>
          <w:szCs w:val="22"/>
        </w:rPr>
        <w:t xml:space="preserve">s 18-21 </w:t>
      </w:r>
      <w:r w:rsidR="00A73CB0" w:rsidRPr="009B5799">
        <w:rPr>
          <w:rFonts w:cs="Calibri Light"/>
          <w:szCs w:val="22"/>
        </w:rPr>
        <w:t>of the</w:t>
      </w:r>
      <w:r w:rsidR="00A73CB0">
        <w:rPr>
          <w:rFonts w:asciiTheme="minorHAnsi" w:hAnsiTheme="minorHAnsi" w:cstheme="minorHAnsi"/>
          <w:szCs w:val="22"/>
        </w:rPr>
        <w:t xml:space="preserve"> </w:t>
      </w:r>
      <w:r w:rsidR="00A73CB0">
        <w:t xml:space="preserve">consultation </w:t>
      </w:r>
      <w:r w:rsidR="00A73CB0" w:rsidRPr="00FC797C">
        <w:t xml:space="preserve">paper prepared by Professor David Trimm - </w:t>
      </w:r>
      <w:r w:rsidR="00A73CB0" w:rsidRPr="00FC797C">
        <w:rPr>
          <w:i/>
        </w:rPr>
        <w:t xml:space="preserve">Vapour Recovery in the Petroleum Industry, </w:t>
      </w:r>
      <w:r w:rsidR="00A73CB0" w:rsidRPr="00FC797C">
        <w:t>(July 1998)</w:t>
      </w:r>
      <w:r w:rsidR="000D6D9E">
        <w:rPr>
          <w:rFonts w:asciiTheme="minorHAnsi" w:hAnsiTheme="minorHAnsi" w:cstheme="minorHAnsi"/>
          <w:szCs w:val="22"/>
        </w:rPr>
        <w:t xml:space="preserve"> </w:t>
      </w:r>
      <w:r w:rsidRPr="006947C6">
        <w:rPr>
          <w:rFonts w:cstheme="minorHAnsi"/>
        </w:rPr>
        <w:t>is:</w:t>
      </w:r>
      <w:r>
        <w:rPr>
          <w:rFonts w:cstheme="minorHAnsi"/>
        </w:rPr>
        <w:t xml:space="preserve"> </w:t>
      </w:r>
    </w:p>
    <w:p w14:paraId="6A4B11EC" w14:textId="53814630" w:rsidR="00C95745" w:rsidRPr="009B5799" w:rsidRDefault="00C95745" w:rsidP="009B5799">
      <w:pPr>
        <w:spacing w:after="0"/>
        <w:jc w:val="center"/>
        <w:rPr>
          <w:rFonts w:cs="Calibri Light"/>
          <w:sz w:val="18"/>
          <w:szCs w:val="18"/>
        </w:rPr>
      </w:pPr>
      <w:r w:rsidRPr="000B5380">
        <w:rPr>
          <w:rFonts w:cs="Calibri Light"/>
          <w:b/>
          <w:sz w:val="18"/>
          <w:szCs w:val="18"/>
        </w:rPr>
        <w:t>Equation 2</w:t>
      </w:r>
    </w:p>
    <w:tbl>
      <w:tblPr>
        <w:tblStyle w:val="TableGrid"/>
        <w:tblpPr w:leftFromText="180" w:rightFromText="180" w:vertAnchor="text" w:horzAnchor="page" w:tblpX="2132" w:tblpY="208"/>
        <w:tblW w:w="0" w:type="auto"/>
        <w:shd w:val="clear" w:color="auto" w:fill="FFFFFF" w:themeFill="background1"/>
        <w:tblLook w:val="04A0" w:firstRow="1" w:lastRow="0" w:firstColumn="1" w:lastColumn="0" w:noHBand="0" w:noVBand="1"/>
      </w:tblPr>
      <w:tblGrid>
        <w:gridCol w:w="2552"/>
        <w:gridCol w:w="3685"/>
      </w:tblGrid>
      <w:tr w:rsidR="00DC3C8C" w14:paraId="68AB2E4A" w14:textId="77777777" w:rsidTr="00B6589B">
        <w:trPr>
          <w:cnfStyle w:val="100000000000" w:firstRow="1" w:lastRow="0" w:firstColumn="0" w:lastColumn="0" w:oddVBand="0" w:evenVBand="0" w:oddHBand="0" w:evenHBand="0" w:firstRowFirstColumn="0" w:firstRowLastColumn="0" w:lastRowFirstColumn="0" w:lastRowLastColumn="0"/>
        </w:trPr>
        <w:tc>
          <w:tcPr>
            <w:tcW w:w="2552" w:type="dxa"/>
            <w:vMerge w:val="restart"/>
            <w:shd w:val="clear" w:color="auto" w:fill="FFFFFF" w:themeFill="background1"/>
            <w:vAlign w:val="center"/>
          </w:tcPr>
          <w:p w14:paraId="68C975BE" w14:textId="77777777" w:rsidR="00DC3C8C" w:rsidRPr="000B5380" w:rsidRDefault="00DC3C8C">
            <w:pPr>
              <w:spacing w:before="96" w:after="96"/>
              <w:jc w:val="right"/>
              <w:rPr>
                <w:rFonts w:cs="Calibri Light"/>
                <w:b w:val="0"/>
                <w:color w:val="595959" w:themeColor="text1" w:themeTint="A6"/>
              </w:rPr>
            </w:pPr>
            <w:r w:rsidRPr="000B5380">
              <w:rPr>
                <w:rFonts w:cs="Calibri Light"/>
                <w:color w:val="595959" w:themeColor="text1" w:themeTint="A6"/>
              </w:rPr>
              <w:t>Volume of liquid =</w:t>
            </w:r>
          </w:p>
        </w:tc>
        <w:tc>
          <w:tcPr>
            <w:tcW w:w="3685" w:type="dxa"/>
            <w:tcBorders>
              <w:bottom w:val="single" w:sz="4" w:space="0" w:color="auto"/>
            </w:tcBorders>
            <w:shd w:val="clear" w:color="auto" w:fill="FFFFFF" w:themeFill="background1"/>
          </w:tcPr>
          <w:p w14:paraId="13B6D8E3" w14:textId="77777777" w:rsidR="00DC3C8C" w:rsidRPr="000B5380" w:rsidRDefault="00DC3C8C">
            <w:pPr>
              <w:spacing w:before="96" w:after="96"/>
              <w:jc w:val="center"/>
              <w:rPr>
                <w:rFonts w:cs="Calibri Light"/>
                <w:b w:val="0"/>
                <w:color w:val="595959" w:themeColor="text1" w:themeTint="A6"/>
              </w:rPr>
            </w:pPr>
            <w:r w:rsidRPr="000B5380">
              <w:rPr>
                <w:rFonts w:cs="Calibri Light"/>
                <w:color w:val="595959" w:themeColor="text1" w:themeTint="A6"/>
              </w:rPr>
              <w:t>Volume of gas entering the unit x Y</w:t>
            </w:r>
            <w:r w:rsidRPr="000B5380">
              <w:rPr>
                <w:rFonts w:cs="Calibri Light"/>
                <w:color w:val="595959" w:themeColor="text1" w:themeTint="A6"/>
                <w:vertAlign w:val="superscript"/>
              </w:rPr>
              <w:t>in</w:t>
            </w:r>
            <w:r w:rsidRPr="000B5380">
              <w:rPr>
                <w:rFonts w:cs="Calibri Light"/>
                <w:color w:val="595959" w:themeColor="text1" w:themeTint="A6"/>
              </w:rPr>
              <w:t xml:space="preserve"> x E x F</w:t>
            </w:r>
          </w:p>
        </w:tc>
      </w:tr>
      <w:tr w:rsidR="00DC3C8C" w14:paraId="260D8ED9" w14:textId="77777777" w:rsidTr="00B6589B">
        <w:tc>
          <w:tcPr>
            <w:tcW w:w="2552" w:type="dxa"/>
            <w:vMerge/>
            <w:shd w:val="clear" w:color="auto" w:fill="FFFFFF" w:themeFill="background1"/>
          </w:tcPr>
          <w:p w14:paraId="0A1BC512" w14:textId="77777777" w:rsidR="00DC3C8C" w:rsidRPr="000B5380" w:rsidRDefault="00DC3C8C">
            <w:pPr>
              <w:rPr>
                <w:rFonts w:cs="Calibri Light"/>
                <w:b/>
                <w:color w:val="595959" w:themeColor="text1" w:themeTint="A6"/>
              </w:rPr>
            </w:pPr>
          </w:p>
        </w:tc>
        <w:tc>
          <w:tcPr>
            <w:tcW w:w="3685" w:type="dxa"/>
            <w:tcBorders>
              <w:top w:val="single" w:sz="4" w:space="0" w:color="auto"/>
            </w:tcBorders>
            <w:shd w:val="clear" w:color="auto" w:fill="FFFFFF" w:themeFill="background1"/>
          </w:tcPr>
          <w:p w14:paraId="66640480" w14:textId="77777777" w:rsidR="00DC3C8C" w:rsidRPr="000B5380" w:rsidRDefault="00DC3C8C">
            <w:pPr>
              <w:jc w:val="center"/>
              <w:rPr>
                <w:rFonts w:cs="Calibri Light"/>
                <w:b/>
                <w:color w:val="595959" w:themeColor="text1" w:themeTint="A6"/>
              </w:rPr>
            </w:pPr>
            <w:r w:rsidRPr="000B5380">
              <w:rPr>
                <w:rFonts w:cs="Calibri Light"/>
                <w:b/>
                <w:color w:val="595959" w:themeColor="text1" w:themeTint="A6"/>
              </w:rPr>
              <w:t>23.6455</w:t>
            </w:r>
          </w:p>
        </w:tc>
      </w:tr>
    </w:tbl>
    <w:p w14:paraId="712DE755" w14:textId="77777777" w:rsidR="00DC3C8C" w:rsidRPr="000B5380" w:rsidRDefault="00DC3C8C" w:rsidP="00DC3C8C">
      <w:pPr>
        <w:spacing w:after="0"/>
        <w:rPr>
          <w:rFonts w:cs="Calibri Light"/>
          <w:b/>
        </w:rPr>
      </w:pPr>
      <w:r w:rsidRPr="000B5380">
        <w:rPr>
          <w:rFonts w:cs="Calibri Light"/>
          <w:b/>
        </w:rPr>
        <w:t xml:space="preserve"> </w:t>
      </w:r>
    </w:p>
    <w:p w14:paraId="0910932E" w14:textId="77777777" w:rsidR="00DC3C8C" w:rsidRPr="000B5380" w:rsidRDefault="00DC3C8C" w:rsidP="00DC3C8C">
      <w:pPr>
        <w:spacing w:after="0"/>
        <w:rPr>
          <w:rFonts w:cs="Calibri Light"/>
        </w:rPr>
      </w:pPr>
    </w:p>
    <w:p w14:paraId="5BEB0362" w14:textId="77777777" w:rsidR="00DC3C8C" w:rsidRPr="000B5380" w:rsidRDefault="00DC3C8C" w:rsidP="00DC3C8C">
      <w:pPr>
        <w:spacing w:after="0"/>
        <w:rPr>
          <w:rFonts w:cs="Calibri Light"/>
          <w:b/>
        </w:rPr>
      </w:pPr>
    </w:p>
    <w:p w14:paraId="066342E5" w14:textId="7D120AFE" w:rsidR="00DC3C8C" w:rsidRPr="009B5799" w:rsidRDefault="00DC3C8C" w:rsidP="00DC3C8C">
      <w:pPr>
        <w:pStyle w:val="NoSpacing"/>
        <w:jc w:val="both"/>
        <w:rPr>
          <w:rFonts w:ascii="Calibri Light" w:hAnsi="Calibri Light" w:cs="Calibri Light"/>
          <w:lang w:eastAsia="en-AU"/>
        </w:rPr>
      </w:pPr>
      <w:r w:rsidRPr="009B5799">
        <w:rPr>
          <w:rFonts w:ascii="Calibri Light" w:hAnsi="Calibri Light" w:cs="Calibri Light"/>
          <w:lang w:eastAsia="en-AU"/>
        </w:rPr>
        <w:t>Where</w:t>
      </w:r>
      <w:r w:rsidR="00420E42">
        <w:rPr>
          <w:rFonts w:ascii="Calibri Light" w:hAnsi="Calibri Light" w:cs="Calibri Light"/>
          <w:noProof/>
          <w:lang w:eastAsia="en-AU"/>
        </w:rPr>
        <w:t>:</w:t>
      </w:r>
    </w:p>
    <w:p w14:paraId="290A118D" w14:textId="77777777" w:rsidR="00DC3C8C" w:rsidRPr="009B5799" w:rsidRDefault="00DC3C8C" w:rsidP="00DC3C8C">
      <w:pPr>
        <w:pStyle w:val="NoSpacing"/>
        <w:jc w:val="both"/>
        <w:rPr>
          <w:rFonts w:ascii="Calibri Light" w:hAnsi="Calibri Light" w:cs="Calibri Light"/>
          <w:color w:val="000000" w:themeColor="text1"/>
        </w:rPr>
      </w:pPr>
      <w:r w:rsidRPr="009B5799">
        <w:rPr>
          <w:rFonts w:ascii="Calibri Light" w:hAnsi="Calibri Light" w:cs="Calibri Light"/>
          <w:b/>
          <w:color w:val="000000" w:themeColor="text1"/>
        </w:rPr>
        <w:t xml:space="preserve">Volume of liquid </w:t>
      </w:r>
      <w:r w:rsidRPr="009B5799">
        <w:rPr>
          <w:rFonts w:ascii="Calibri Light" w:hAnsi="Calibri Light" w:cs="Calibri Light"/>
          <w:color w:val="595959" w:themeColor="text1" w:themeTint="A6"/>
        </w:rPr>
        <w:t xml:space="preserve">= </w:t>
      </w:r>
      <w:r w:rsidRPr="009B5799">
        <w:rPr>
          <w:rFonts w:ascii="Calibri Light" w:hAnsi="Calibri Light" w:cs="Calibri Light"/>
          <w:color w:val="000000" w:themeColor="text1"/>
        </w:rPr>
        <w:t>volume of excisable liquid fuel on which the refund can be claimed</w:t>
      </w:r>
    </w:p>
    <w:p w14:paraId="02501735" w14:textId="77777777" w:rsidR="00DC3C8C" w:rsidRPr="009B5799" w:rsidRDefault="00DC3C8C" w:rsidP="00DC3C8C">
      <w:pPr>
        <w:pStyle w:val="NoSpacing"/>
        <w:jc w:val="both"/>
        <w:rPr>
          <w:rFonts w:ascii="Calibri Light" w:hAnsi="Calibri Light" w:cs="Calibri Light"/>
          <w:color w:val="000000" w:themeColor="text1"/>
        </w:rPr>
      </w:pPr>
      <w:r w:rsidRPr="009B5799">
        <w:rPr>
          <w:rFonts w:ascii="Calibri Light" w:hAnsi="Calibri Light" w:cs="Calibri Light"/>
          <w:b/>
          <w:color w:val="000000" w:themeColor="text1"/>
        </w:rPr>
        <w:t xml:space="preserve">Volume of gas entering the unit </w:t>
      </w:r>
      <w:r w:rsidRPr="009B5799">
        <w:rPr>
          <w:rFonts w:ascii="Calibri Light" w:hAnsi="Calibri Light" w:cs="Calibri Light"/>
          <w:color w:val="000000" w:themeColor="text1"/>
        </w:rPr>
        <w:t>= volume of fuel throughput entered into home consumption</w:t>
      </w:r>
    </w:p>
    <w:p w14:paraId="5596FC95" w14:textId="77777777" w:rsidR="00DC3C8C" w:rsidRPr="009B5799" w:rsidRDefault="00DC3C8C" w:rsidP="00DC3C8C">
      <w:pPr>
        <w:pStyle w:val="NoSpacing"/>
        <w:jc w:val="both"/>
        <w:rPr>
          <w:rFonts w:ascii="Calibri Light" w:hAnsi="Calibri Light" w:cs="Calibri Light"/>
        </w:rPr>
      </w:pPr>
      <w:r w:rsidRPr="009B5799">
        <w:rPr>
          <w:rFonts w:ascii="Calibri Light" w:hAnsi="Calibri Light" w:cs="Calibri Light"/>
          <w:b/>
        </w:rPr>
        <w:t>Y</w:t>
      </w:r>
      <w:r w:rsidRPr="009B5799">
        <w:rPr>
          <w:rFonts w:ascii="Calibri Light" w:hAnsi="Calibri Light" w:cs="Calibri Light"/>
          <w:b/>
          <w:vertAlign w:val="superscript"/>
        </w:rPr>
        <w:t>in</w:t>
      </w:r>
      <w:r w:rsidRPr="009B5799">
        <w:rPr>
          <w:rFonts w:ascii="Calibri Light" w:hAnsi="Calibri Light" w:cs="Calibri Light"/>
        </w:rPr>
        <w:t>= Fraction of hydrocarbon vapour in gas entering the VRU</w:t>
      </w:r>
    </w:p>
    <w:p w14:paraId="1C64C00B" w14:textId="77777777" w:rsidR="00DC3C8C" w:rsidRPr="009B5799" w:rsidRDefault="00DC3C8C" w:rsidP="00DC3C8C">
      <w:pPr>
        <w:pStyle w:val="NoSpacing"/>
        <w:jc w:val="both"/>
        <w:rPr>
          <w:rFonts w:ascii="Calibri Light" w:hAnsi="Calibri Light" w:cs="Calibri Light"/>
        </w:rPr>
      </w:pPr>
      <w:r w:rsidRPr="009B5799">
        <w:rPr>
          <w:rFonts w:ascii="Calibri Light" w:hAnsi="Calibri Light" w:cs="Calibri Light"/>
          <w:b/>
        </w:rPr>
        <w:t>E</w:t>
      </w:r>
      <w:r w:rsidRPr="009B5799">
        <w:rPr>
          <w:rFonts w:ascii="Calibri Light" w:hAnsi="Calibri Light" w:cs="Calibri Light"/>
        </w:rPr>
        <w:t xml:space="preserve"> =   VRU efficiency</w:t>
      </w:r>
    </w:p>
    <w:p w14:paraId="60281D4B" w14:textId="77777777" w:rsidR="00DC3C8C" w:rsidRPr="009B5799" w:rsidRDefault="00DC3C8C" w:rsidP="00DC3C8C">
      <w:pPr>
        <w:pStyle w:val="NoSpacing"/>
        <w:jc w:val="both"/>
        <w:rPr>
          <w:rFonts w:ascii="Calibri Light" w:hAnsi="Calibri Light" w:cs="Calibri Light"/>
        </w:rPr>
      </w:pPr>
      <w:r w:rsidRPr="009B5799">
        <w:rPr>
          <w:rFonts w:ascii="Calibri Light" w:hAnsi="Calibri Light" w:cs="Calibri Light"/>
          <w:b/>
        </w:rPr>
        <w:t>F</w:t>
      </w:r>
      <w:r w:rsidRPr="009B5799">
        <w:rPr>
          <w:rFonts w:ascii="Calibri Light" w:hAnsi="Calibri Light" w:cs="Calibri Light"/>
        </w:rPr>
        <w:t xml:space="preserve"> =   Vapour to liquid conversion factor (0.10925)</w:t>
      </w:r>
    </w:p>
    <w:p w14:paraId="7DF8A208" w14:textId="77777777" w:rsidR="00DC3C8C" w:rsidRPr="009B5799" w:rsidRDefault="00DC3C8C" w:rsidP="00DC3C8C">
      <w:pPr>
        <w:pStyle w:val="NoSpacing"/>
        <w:jc w:val="both"/>
        <w:rPr>
          <w:rFonts w:ascii="Calibri Light" w:hAnsi="Calibri Light" w:cs="Calibri Light"/>
          <w:b/>
          <w:u w:val="single"/>
        </w:rPr>
      </w:pPr>
    </w:p>
    <w:p w14:paraId="5DA9676A" w14:textId="28928A6F" w:rsidR="00C95745" w:rsidRPr="000B5380" w:rsidRDefault="00DC3C8C" w:rsidP="00DA631F">
      <w:pPr>
        <w:spacing w:after="0"/>
        <w:rPr>
          <w:rFonts w:cs="Calibri Light"/>
        </w:rPr>
      </w:pPr>
      <w:r w:rsidRPr="009B5799">
        <w:rPr>
          <w:rFonts w:eastAsiaTheme="minorHAnsi" w:cs="Calibri Light"/>
          <w:szCs w:val="22"/>
          <w:lang w:eastAsia="en-US"/>
        </w:rPr>
        <w:t>The variables Y</w:t>
      </w:r>
      <w:r w:rsidRPr="009B5799">
        <w:rPr>
          <w:rFonts w:eastAsiaTheme="minorHAnsi" w:cs="Calibri Light"/>
          <w:szCs w:val="22"/>
          <w:vertAlign w:val="superscript"/>
          <w:lang w:eastAsia="en-US"/>
        </w:rPr>
        <w:t>in</w:t>
      </w:r>
      <w:r w:rsidRPr="009B5799">
        <w:rPr>
          <w:rFonts w:eastAsiaTheme="minorHAnsi" w:cs="Calibri Light"/>
          <w:szCs w:val="22"/>
          <w:lang w:eastAsia="en-US"/>
        </w:rPr>
        <w:t xml:space="preserve"> and E need to be established by independent accredited testing every six months and be available for consideration by the ATO within six weeks of the test being successfully completed. </w:t>
      </w:r>
      <w:r w:rsidR="00C42CD0" w:rsidRPr="000B5380">
        <w:rPr>
          <w:rFonts w:cs="Calibri Light"/>
        </w:rPr>
        <w:t>Equation 1</w:t>
      </w:r>
      <w:r w:rsidR="00DA631F" w:rsidRPr="000B5380">
        <w:rPr>
          <w:rFonts w:cs="Calibri Light"/>
        </w:rPr>
        <w:t xml:space="preserve"> is a variation of Prof. Trimm’s original formula in Equation </w:t>
      </w:r>
      <w:r w:rsidR="00C42CD0" w:rsidRPr="000B5380">
        <w:rPr>
          <w:rFonts w:cs="Calibri Light"/>
        </w:rPr>
        <w:t>2</w:t>
      </w:r>
      <w:r w:rsidR="00DA631F" w:rsidRPr="000B5380">
        <w:rPr>
          <w:rFonts w:cs="Calibri Light"/>
        </w:rPr>
        <w:t>:</w:t>
      </w:r>
    </w:p>
    <w:p w14:paraId="1A74A85E" w14:textId="537486A0" w:rsidR="00DA631F" w:rsidRPr="009B5799" w:rsidRDefault="00C95745" w:rsidP="009B5799">
      <w:pPr>
        <w:spacing w:before="240" w:after="0"/>
        <w:jc w:val="center"/>
        <w:rPr>
          <w:rFonts w:cs="Calibri Light"/>
          <w:b/>
          <w:sz w:val="18"/>
          <w:szCs w:val="18"/>
        </w:rPr>
      </w:pPr>
      <w:r w:rsidRPr="009B5799">
        <w:rPr>
          <w:rFonts w:cs="Calibri Light"/>
          <w:b/>
          <w:sz w:val="18"/>
          <w:szCs w:val="18"/>
        </w:rPr>
        <w:t>Equation 1</w:t>
      </w:r>
    </w:p>
    <w:p w14:paraId="6CC8BEC9" w14:textId="485E97AB" w:rsidR="00DA631F" w:rsidRPr="00F2263A" w:rsidRDefault="00DA631F" w:rsidP="00496E13">
      <w:pPr>
        <w:spacing w:after="0"/>
        <w:jc w:val="center"/>
        <w:rPr>
          <w:rFonts w:cs="Calibri Light"/>
          <w:sz w:val="20"/>
        </w:rPr>
      </w:pPr>
      <w:r w:rsidRPr="00F2263A">
        <w:rPr>
          <w:rFonts w:cs="Calibri Light"/>
          <w:b/>
          <w:color w:val="595959" w:themeColor="text1" w:themeTint="A6"/>
          <w:sz w:val="20"/>
        </w:rPr>
        <w:t xml:space="preserve">Volume of liquid = Volume of gas entering the unit x </w:t>
      </w:r>
      <w:r w:rsidRPr="00F2263A">
        <w:rPr>
          <w:rFonts w:cs="Calibri Light"/>
          <w:b/>
          <w:color w:val="FF0000"/>
          <w:sz w:val="20"/>
        </w:rPr>
        <w:t>R</w:t>
      </w:r>
      <w:r w:rsidRPr="00F2263A">
        <w:rPr>
          <w:rFonts w:cs="Calibri Light"/>
          <w:b/>
          <w:color w:val="FF0000"/>
          <w:sz w:val="20"/>
          <w:vertAlign w:val="subscript"/>
        </w:rPr>
        <w:t>av</w:t>
      </w:r>
    </w:p>
    <w:p w14:paraId="45889655" w14:textId="77777777" w:rsidR="00F71D25" w:rsidRDefault="00F71D25" w:rsidP="00DA631F">
      <w:pPr>
        <w:pStyle w:val="NoSpacing"/>
        <w:jc w:val="both"/>
        <w:rPr>
          <w:rFonts w:ascii="Calibri Light" w:hAnsi="Calibri Light" w:cs="Calibri Light"/>
          <w:noProof/>
          <w:lang w:eastAsia="en-AU"/>
        </w:rPr>
      </w:pPr>
    </w:p>
    <w:p w14:paraId="6C4C218C" w14:textId="6408ED68" w:rsidR="00DA631F" w:rsidRPr="009B5799" w:rsidRDefault="00DA631F" w:rsidP="00DA631F">
      <w:pPr>
        <w:pStyle w:val="NoSpacing"/>
        <w:jc w:val="both"/>
        <w:rPr>
          <w:rFonts w:ascii="Calibri Light" w:hAnsi="Calibri Light" w:cs="Calibri Light"/>
        </w:rPr>
      </w:pPr>
      <w:r w:rsidRPr="009B5799">
        <w:rPr>
          <w:rFonts w:ascii="Calibri Light" w:hAnsi="Calibri Light" w:cs="Calibri Light"/>
          <w:lang w:eastAsia="en-AU"/>
        </w:rPr>
        <w:t>Where:</w:t>
      </w:r>
    </w:p>
    <w:p w14:paraId="652332E9" w14:textId="5C5CD000" w:rsidR="00C95745" w:rsidRPr="005402AE" w:rsidRDefault="00C95745" w:rsidP="003A4F8F">
      <w:pPr>
        <w:spacing w:before="0"/>
        <w:jc w:val="center"/>
      </w:pPr>
      <w:r w:rsidRPr="000B5380">
        <w:rPr>
          <w:rFonts w:cs="Calibri Light"/>
          <w:b/>
          <w:sz w:val="18"/>
          <w:szCs w:val="18"/>
        </w:rPr>
        <w:t>Equation 3</w:t>
      </w:r>
    </w:p>
    <w:p w14:paraId="3FAFF3DE" w14:textId="77777777" w:rsidR="00DA631F" w:rsidRPr="00F2263A" w:rsidRDefault="00DA631F" w:rsidP="00B421F7">
      <w:pPr>
        <w:spacing w:before="0" w:after="0"/>
        <w:jc w:val="center"/>
        <w:rPr>
          <w:rFonts w:cs="Calibri Light"/>
          <w:b/>
          <w:sz w:val="20"/>
        </w:rPr>
      </w:pPr>
      <w:r w:rsidRPr="00F2263A">
        <w:rPr>
          <w:rFonts w:cs="Calibri Light"/>
          <w:b/>
          <w:color w:val="FF0000"/>
          <w:sz w:val="20"/>
        </w:rPr>
        <w:t>R</w:t>
      </w:r>
      <w:r w:rsidRPr="00F2263A">
        <w:rPr>
          <w:rFonts w:cs="Calibri Light"/>
          <w:b/>
          <w:color w:val="FF0000"/>
          <w:sz w:val="20"/>
          <w:vertAlign w:val="subscript"/>
        </w:rPr>
        <w:t>av</w:t>
      </w:r>
      <w:r w:rsidRPr="00F2263A">
        <w:rPr>
          <w:rFonts w:cs="Calibri Light"/>
          <w:sz w:val="20"/>
        </w:rPr>
        <w:t xml:space="preserve"> </w:t>
      </w:r>
      <w:r w:rsidRPr="00F2263A">
        <w:rPr>
          <w:rFonts w:cs="Calibri Light"/>
          <w:b/>
          <w:sz w:val="20"/>
        </w:rPr>
        <w:t xml:space="preserve">= </w:t>
      </w:r>
      <w:r w:rsidRPr="00F2263A">
        <w:rPr>
          <w:rFonts w:cs="Calibri Light"/>
          <w:b/>
          <w:color w:val="595959" w:themeColor="text1" w:themeTint="A6"/>
          <w:sz w:val="20"/>
        </w:rPr>
        <w:t>Y</w:t>
      </w:r>
      <w:r w:rsidRPr="00F2263A">
        <w:rPr>
          <w:rFonts w:cs="Calibri Light"/>
          <w:b/>
          <w:color w:val="595959" w:themeColor="text1" w:themeTint="A6"/>
          <w:sz w:val="20"/>
          <w:vertAlign w:val="superscript"/>
        </w:rPr>
        <w:t>in</w:t>
      </w:r>
      <w:r w:rsidRPr="00F2263A">
        <w:rPr>
          <w:rFonts w:cs="Calibri Light"/>
          <w:b/>
          <w:color w:val="595959" w:themeColor="text1" w:themeTint="A6"/>
          <w:sz w:val="20"/>
          <w:vertAlign w:val="subscript"/>
        </w:rPr>
        <w:t>av</w:t>
      </w:r>
      <w:r w:rsidRPr="00F2263A">
        <w:rPr>
          <w:rFonts w:cs="Calibri Light"/>
          <w:b/>
          <w:color w:val="595959" w:themeColor="text1" w:themeTint="A6"/>
          <w:sz w:val="20"/>
        </w:rPr>
        <w:t xml:space="preserve"> x E</w:t>
      </w:r>
      <w:r w:rsidRPr="00F2263A">
        <w:rPr>
          <w:rFonts w:cs="Calibri Light"/>
          <w:b/>
          <w:color w:val="595959" w:themeColor="text1" w:themeTint="A6"/>
          <w:sz w:val="20"/>
          <w:vertAlign w:val="subscript"/>
        </w:rPr>
        <w:t>av</w:t>
      </w:r>
      <w:r w:rsidRPr="00F2263A">
        <w:rPr>
          <w:rFonts w:cs="Calibri Light"/>
          <w:b/>
          <w:color w:val="595959" w:themeColor="text1" w:themeTint="A6"/>
          <w:sz w:val="20"/>
        </w:rPr>
        <w:t xml:space="preserve"> x F / 23.6455</w:t>
      </w:r>
    </w:p>
    <w:p w14:paraId="05ADD76F" w14:textId="302643FF" w:rsidR="00DA631F" w:rsidRPr="000B5380" w:rsidRDefault="00DA631F" w:rsidP="009B5799">
      <w:pPr>
        <w:spacing w:after="0"/>
        <w:jc w:val="right"/>
        <w:rPr>
          <w:rFonts w:cs="Calibri Light"/>
        </w:rPr>
      </w:pPr>
      <w:r w:rsidRPr="000B5380">
        <w:rPr>
          <w:rFonts w:cs="Calibri Light"/>
        </w:rPr>
        <w:tab/>
      </w:r>
      <w:r w:rsidRPr="000B5380">
        <w:rPr>
          <w:rFonts w:cs="Calibri Light"/>
        </w:rPr>
        <w:tab/>
      </w:r>
    </w:p>
    <w:p w14:paraId="792E7272" w14:textId="77777777" w:rsidR="00DA631F" w:rsidRPr="009B5799" w:rsidRDefault="00DA631F" w:rsidP="00DA631F">
      <w:pPr>
        <w:pStyle w:val="NoSpacing"/>
        <w:jc w:val="both"/>
        <w:rPr>
          <w:rFonts w:ascii="Calibri Light" w:hAnsi="Calibri Light" w:cs="Calibri Light"/>
        </w:rPr>
      </w:pPr>
      <w:r w:rsidRPr="009B5799">
        <w:rPr>
          <w:rFonts w:ascii="Calibri Light" w:hAnsi="Calibri Light" w:cs="Calibri Light"/>
          <w:b/>
        </w:rPr>
        <w:t>R</w:t>
      </w:r>
      <w:r w:rsidRPr="009B5799">
        <w:rPr>
          <w:rFonts w:ascii="Calibri Light" w:hAnsi="Calibri Light" w:cs="Calibri Light"/>
          <w:b/>
          <w:vertAlign w:val="subscript"/>
        </w:rPr>
        <w:t>av</w:t>
      </w:r>
      <w:r w:rsidRPr="009B5799">
        <w:rPr>
          <w:rFonts w:ascii="Calibri Light" w:hAnsi="Calibri Light" w:cs="Calibri Light"/>
        </w:rPr>
        <w:t>: Average recovery rate of all VRU’s tested over 5 year period 2017-2022</w:t>
      </w:r>
    </w:p>
    <w:p w14:paraId="05E9774E" w14:textId="77777777" w:rsidR="00DA631F" w:rsidRPr="009B5799" w:rsidRDefault="00DA631F" w:rsidP="00DA631F">
      <w:pPr>
        <w:pStyle w:val="NoSpacing"/>
        <w:jc w:val="both"/>
        <w:rPr>
          <w:rFonts w:ascii="Calibri Light" w:hAnsi="Calibri Light" w:cs="Calibri Light"/>
        </w:rPr>
      </w:pPr>
      <w:r w:rsidRPr="009B5799">
        <w:rPr>
          <w:rFonts w:ascii="Calibri Light" w:hAnsi="Calibri Light" w:cs="Calibri Light"/>
          <w:b/>
        </w:rPr>
        <w:t>Y</w:t>
      </w:r>
      <w:r w:rsidRPr="009B5799">
        <w:rPr>
          <w:rFonts w:ascii="Calibri Light" w:hAnsi="Calibri Light" w:cs="Calibri Light"/>
          <w:b/>
          <w:vertAlign w:val="superscript"/>
        </w:rPr>
        <w:t>in</w:t>
      </w:r>
      <w:r w:rsidRPr="009B5799">
        <w:rPr>
          <w:rFonts w:ascii="Calibri Light" w:hAnsi="Calibri Light" w:cs="Calibri Light"/>
          <w:b/>
          <w:vertAlign w:val="subscript"/>
        </w:rPr>
        <w:t>av</w:t>
      </w:r>
      <w:r w:rsidRPr="009B5799">
        <w:rPr>
          <w:rFonts w:ascii="Calibri Light" w:hAnsi="Calibri Light" w:cs="Calibri Light"/>
        </w:rPr>
        <w:t>: Average of fraction of hydrocarbon vapour in gas entering all VRU’s tested over the 5 year period</w:t>
      </w:r>
    </w:p>
    <w:p w14:paraId="6892906C" w14:textId="5F3978E3" w:rsidR="00DA631F" w:rsidRPr="009B5799" w:rsidRDefault="00DA631F" w:rsidP="00DA631F">
      <w:pPr>
        <w:pStyle w:val="NoSpacing"/>
        <w:jc w:val="both"/>
        <w:rPr>
          <w:rFonts w:ascii="Calibri Light" w:hAnsi="Calibri Light" w:cs="Calibri Light"/>
        </w:rPr>
      </w:pPr>
      <w:r w:rsidRPr="009B5799">
        <w:rPr>
          <w:rFonts w:ascii="Calibri Light" w:hAnsi="Calibri Light" w:cs="Calibri Light"/>
          <w:b/>
        </w:rPr>
        <w:t>E</w:t>
      </w:r>
      <w:r w:rsidRPr="009B5799">
        <w:rPr>
          <w:rFonts w:ascii="Calibri Light" w:hAnsi="Calibri Light" w:cs="Calibri Light"/>
          <w:b/>
          <w:vertAlign w:val="subscript"/>
        </w:rPr>
        <w:t>av</w:t>
      </w:r>
      <w:r w:rsidRPr="009B5799">
        <w:rPr>
          <w:rFonts w:ascii="Calibri Light" w:hAnsi="Calibri Light" w:cs="Calibri Light"/>
        </w:rPr>
        <w:t xml:space="preserve">:   Average efficiency of </w:t>
      </w:r>
      <w:r w:rsidR="001D224E" w:rsidRPr="009B5799">
        <w:rPr>
          <w:rFonts w:ascii="Calibri Light" w:hAnsi="Calibri Light" w:cs="Calibri Light"/>
        </w:rPr>
        <w:t>all</w:t>
      </w:r>
      <w:r w:rsidRPr="009B5799">
        <w:rPr>
          <w:rFonts w:ascii="Calibri Light" w:hAnsi="Calibri Light" w:cs="Calibri Light"/>
        </w:rPr>
        <w:t xml:space="preserve"> VRU’s tested over the 5 year period</w:t>
      </w:r>
    </w:p>
    <w:p w14:paraId="59BB7C10" w14:textId="77777777" w:rsidR="00DA631F" w:rsidRPr="009B5799" w:rsidRDefault="00DA631F" w:rsidP="00DA631F">
      <w:pPr>
        <w:pStyle w:val="NoSpacing"/>
        <w:jc w:val="both"/>
        <w:rPr>
          <w:rFonts w:ascii="Calibri Light" w:hAnsi="Calibri Light" w:cs="Calibri Light"/>
        </w:rPr>
      </w:pPr>
      <w:r w:rsidRPr="009B5799">
        <w:rPr>
          <w:rFonts w:ascii="Calibri Light" w:hAnsi="Calibri Light" w:cs="Calibri Light"/>
          <w:b/>
        </w:rPr>
        <w:t>F</w:t>
      </w:r>
      <w:r w:rsidRPr="009B5799">
        <w:rPr>
          <w:rFonts w:ascii="Calibri Light" w:hAnsi="Calibri Light" w:cs="Calibri Light"/>
        </w:rPr>
        <w:t>:   Vapour to liquid conversion factor (0.10925)</w:t>
      </w:r>
    </w:p>
    <w:p w14:paraId="0893632F" w14:textId="77777777" w:rsidR="00DA631F" w:rsidRPr="009B5799" w:rsidRDefault="00DA631F" w:rsidP="00DA631F">
      <w:pPr>
        <w:pStyle w:val="NoSpacing"/>
        <w:jc w:val="both"/>
        <w:rPr>
          <w:rFonts w:ascii="Calibri Light" w:hAnsi="Calibri Light" w:cs="Calibri Light"/>
          <w:b/>
          <w:u w:val="single"/>
        </w:rPr>
      </w:pPr>
    </w:p>
    <w:p w14:paraId="474C1FAA" w14:textId="6E35B76C" w:rsidR="00DA631F" w:rsidRPr="000B5380" w:rsidRDefault="00DA631F" w:rsidP="00DA631F">
      <w:pPr>
        <w:spacing w:after="0"/>
        <w:rPr>
          <w:rFonts w:cs="Calibri Light"/>
        </w:rPr>
      </w:pPr>
      <w:r w:rsidRPr="000B5380">
        <w:rPr>
          <w:rFonts w:cs="Calibri Light"/>
        </w:rPr>
        <w:t>VRU testing data obtained over the 5 year</w:t>
      </w:r>
      <w:r w:rsidR="00A12F78" w:rsidRPr="000B5380">
        <w:rPr>
          <w:rFonts w:cs="Calibri Light"/>
        </w:rPr>
        <w:t>s</w:t>
      </w:r>
      <w:r w:rsidRPr="000B5380">
        <w:rPr>
          <w:rFonts w:cs="Calibri Light"/>
        </w:rPr>
        <w:t xml:space="preserve"> provided an average Y</w:t>
      </w:r>
      <w:r w:rsidRPr="000B5380">
        <w:rPr>
          <w:rFonts w:cs="Calibri Light"/>
          <w:vertAlign w:val="superscript"/>
        </w:rPr>
        <w:t>in</w:t>
      </w:r>
      <w:r w:rsidRPr="000B5380">
        <w:rPr>
          <w:rFonts w:cs="Calibri Light"/>
        </w:rPr>
        <w:t xml:space="preserve"> (Y</w:t>
      </w:r>
      <w:r w:rsidRPr="000B5380">
        <w:rPr>
          <w:rFonts w:cs="Calibri Light"/>
          <w:vertAlign w:val="superscript"/>
        </w:rPr>
        <w:t>in</w:t>
      </w:r>
      <w:r w:rsidRPr="000B5380">
        <w:rPr>
          <w:rFonts w:cs="Calibri Light"/>
          <w:vertAlign w:val="subscript"/>
        </w:rPr>
        <w:t>av</w:t>
      </w:r>
      <w:r w:rsidRPr="000B5380">
        <w:rPr>
          <w:rFonts w:cs="Calibri Light"/>
        </w:rPr>
        <w:t>) of 0.1406 (14.06%) and average Efficiency (E</w:t>
      </w:r>
      <w:r w:rsidRPr="000B5380">
        <w:rPr>
          <w:rFonts w:cs="Calibri Light"/>
          <w:vertAlign w:val="subscript"/>
        </w:rPr>
        <w:t>av</w:t>
      </w:r>
      <w:r w:rsidRPr="000B5380">
        <w:rPr>
          <w:rFonts w:cs="Calibri Light"/>
        </w:rPr>
        <w:t xml:space="preserve">) of 0.9917 (99.17%). </w:t>
      </w:r>
    </w:p>
    <w:p w14:paraId="4E678D88" w14:textId="77777777" w:rsidR="00DA631F" w:rsidRPr="000B5380" w:rsidRDefault="00DA631F" w:rsidP="00DA631F">
      <w:pPr>
        <w:spacing w:after="0"/>
        <w:rPr>
          <w:rFonts w:cs="Calibri Light"/>
        </w:rPr>
      </w:pPr>
      <w:r w:rsidRPr="000B5380">
        <w:rPr>
          <w:rFonts w:cs="Calibri Light"/>
        </w:rPr>
        <w:t>Transposing  Y</w:t>
      </w:r>
      <w:r w:rsidRPr="000B5380">
        <w:rPr>
          <w:rFonts w:cs="Calibri Light"/>
          <w:vertAlign w:val="superscript"/>
        </w:rPr>
        <w:t>in</w:t>
      </w:r>
      <w:r w:rsidRPr="000B5380">
        <w:rPr>
          <w:rFonts w:cs="Calibri Light"/>
          <w:vertAlign w:val="subscript"/>
        </w:rPr>
        <w:t>av</w:t>
      </w:r>
      <w:r w:rsidRPr="000B5380">
        <w:rPr>
          <w:rFonts w:cs="Calibri Light"/>
        </w:rPr>
        <w:t>, E</w:t>
      </w:r>
      <w:r w:rsidRPr="000B5380">
        <w:rPr>
          <w:rFonts w:cs="Calibri Light"/>
          <w:vertAlign w:val="subscript"/>
        </w:rPr>
        <w:t>av</w:t>
      </w:r>
      <w:r w:rsidRPr="000B5380">
        <w:rPr>
          <w:rFonts w:cs="Calibri Light"/>
        </w:rPr>
        <w:t xml:space="preserve"> and F into Equation 3 results in:</w:t>
      </w:r>
    </w:p>
    <w:p w14:paraId="75AD6CE6" w14:textId="77777777" w:rsidR="00DA631F" w:rsidRPr="000B5380" w:rsidRDefault="00DA631F" w:rsidP="00DA631F">
      <w:pPr>
        <w:spacing w:after="0"/>
        <w:rPr>
          <w:rFonts w:cs="Calibri Light"/>
        </w:rPr>
      </w:pPr>
      <w:r w:rsidRPr="000B5380">
        <w:rPr>
          <w:rFonts w:cs="Calibri Light"/>
        </w:rPr>
        <w:tab/>
      </w:r>
    </w:p>
    <w:p w14:paraId="1937B33C" w14:textId="296B8C12" w:rsidR="00DA631F" w:rsidRPr="000B5380" w:rsidRDefault="00DA631F" w:rsidP="00DA631F">
      <w:pPr>
        <w:spacing w:after="0"/>
        <w:jc w:val="center"/>
        <w:rPr>
          <w:rFonts w:cs="Calibri Light"/>
          <w:b/>
        </w:rPr>
      </w:pPr>
      <w:r w:rsidRPr="000B5380">
        <w:rPr>
          <w:rFonts w:cs="Calibri Light"/>
          <w:b/>
          <w:color w:val="FF0000"/>
        </w:rPr>
        <w:t>R</w:t>
      </w:r>
      <w:r w:rsidRPr="000B5380">
        <w:rPr>
          <w:rFonts w:cs="Calibri Light"/>
          <w:b/>
          <w:color w:val="FF0000"/>
          <w:vertAlign w:val="subscript"/>
        </w:rPr>
        <w:t>av</w:t>
      </w:r>
      <w:r w:rsidRPr="000B5380">
        <w:rPr>
          <w:rFonts w:cs="Calibri Light"/>
        </w:rPr>
        <w:t xml:space="preserve"> </w:t>
      </w:r>
      <w:r w:rsidRPr="000B5380">
        <w:rPr>
          <w:rFonts w:cs="Calibri Light"/>
          <w:b/>
        </w:rPr>
        <w:t xml:space="preserve">= 0.1406 x 0.9917 x </w:t>
      </w:r>
      <w:r w:rsidR="0013760A" w:rsidRPr="000B5380">
        <w:rPr>
          <w:rFonts w:cs="Calibri Light"/>
          <w:b/>
          <w:bCs/>
        </w:rPr>
        <w:t>0</w:t>
      </w:r>
      <w:r w:rsidRPr="000B5380">
        <w:rPr>
          <w:rFonts w:cs="Calibri Light"/>
          <w:b/>
        </w:rPr>
        <w:t>.10925 / 23.6455</w:t>
      </w:r>
    </w:p>
    <w:p w14:paraId="08E3CC0F" w14:textId="0D539E19" w:rsidR="00DA631F" w:rsidRPr="000B5380" w:rsidRDefault="00DA631F" w:rsidP="00DA631F">
      <w:pPr>
        <w:spacing w:after="0"/>
        <w:jc w:val="center"/>
        <w:rPr>
          <w:rFonts w:cs="Calibri Light"/>
          <w:b/>
        </w:rPr>
      </w:pPr>
      <w:r w:rsidRPr="000B5380">
        <w:rPr>
          <w:rFonts w:cs="Calibri Light"/>
          <w:b/>
          <w:color w:val="FF0000"/>
        </w:rPr>
        <w:t>R</w:t>
      </w:r>
      <w:r w:rsidRPr="000B5380">
        <w:rPr>
          <w:rFonts w:cs="Calibri Light"/>
          <w:b/>
          <w:color w:val="FF0000"/>
          <w:vertAlign w:val="subscript"/>
        </w:rPr>
        <w:t>av</w:t>
      </w:r>
      <w:r w:rsidRPr="000B5380">
        <w:rPr>
          <w:rFonts w:cs="Calibri Light"/>
          <w:b/>
        </w:rPr>
        <w:t xml:space="preserve"> =0.000644</w:t>
      </w:r>
      <w:r w:rsidR="0097190D">
        <w:rPr>
          <w:rFonts w:cs="Calibri Light"/>
          <w:b/>
        </w:rPr>
        <w:t>2</w:t>
      </w:r>
      <w:r w:rsidRPr="000B5380">
        <w:rPr>
          <w:rFonts w:cs="Calibri Light"/>
          <w:b/>
        </w:rPr>
        <w:t xml:space="preserve"> (rounded at </w:t>
      </w:r>
      <w:r w:rsidR="0097190D">
        <w:rPr>
          <w:rFonts w:cs="Calibri Light"/>
          <w:b/>
        </w:rPr>
        <w:t>7</w:t>
      </w:r>
      <w:r w:rsidRPr="000B5380">
        <w:rPr>
          <w:rFonts w:cs="Calibri Light"/>
          <w:b/>
          <w:vertAlign w:val="superscript"/>
        </w:rPr>
        <w:t>th</w:t>
      </w:r>
      <w:r w:rsidRPr="000B5380">
        <w:rPr>
          <w:rFonts w:cs="Calibri Light"/>
          <w:b/>
        </w:rPr>
        <w:t xml:space="preserve"> decimal place)</w:t>
      </w:r>
    </w:p>
    <w:p w14:paraId="261804F6" w14:textId="77777777" w:rsidR="00DA631F" w:rsidRPr="000B5380" w:rsidRDefault="00DA631F" w:rsidP="00DA631F">
      <w:pPr>
        <w:spacing w:after="0"/>
        <w:rPr>
          <w:rFonts w:cs="Calibri Light"/>
        </w:rPr>
      </w:pPr>
    </w:p>
    <w:p w14:paraId="276011AF" w14:textId="6D189127" w:rsidR="00EB4B38" w:rsidRPr="00BE4772" w:rsidRDefault="00DA631F" w:rsidP="00DA631F">
      <w:pPr>
        <w:pStyle w:val="Maintext"/>
        <w:tabs>
          <w:tab w:val="left" w:pos="426"/>
        </w:tabs>
        <w:rPr>
          <w:rFonts w:ascii="Calibri Light" w:hAnsi="Calibri Light" w:cs="Calibri Light"/>
        </w:rPr>
      </w:pPr>
      <w:r w:rsidRPr="003A4F8F">
        <w:rPr>
          <w:rFonts w:ascii="Calibri Light" w:hAnsi="Calibri Light" w:cs="Calibri Light"/>
        </w:rPr>
        <w:t xml:space="preserve">Transposing the calculated average recovery rate </w:t>
      </w:r>
      <w:r w:rsidRPr="003A4F8F">
        <w:rPr>
          <w:rFonts w:ascii="Calibri Light" w:hAnsi="Calibri Light" w:cs="Calibri Light"/>
          <w:color w:val="000000" w:themeColor="text1"/>
        </w:rPr>
        <w:t>R</w:t>
      </w:r>
      <w:r w:rsidRPr="003A4F8F">
        <w:rPr>
          <w:rFonts w:ascii="Calibri Light" w:hAnsi="Calibri Light" w:cs="Calibri Light"/>
          <w:color w:val="000000" w:themeColor="text1"/>
          <w:vertAlign w:val="subscript"/>
        </w:rPr>
        <w:t>av</w:t>
      </w:r>
      <w:r w:rsidRPr="003A4F8F">
        <w:rPr>
          <w:rFonts w:ascii="Calibri Light" w:hAnsi="Calibri Light" w:cs="Calibri Light"/>
          <w:color w:val="000000" w:themeColor="text1"/>
        </w:rPr>
        <w:t xml:space="preserve"> </w:t>
      </w:r>
      <w:r w:rsidRPr="003A4F8F">
        <w:rPr>
          <w:rFonts w:ascii="Calibri Light" w:hAnsi="Calibri Light" w:cs="Calibri Light"/>
        </w:rPr>
        <w:t xml:space="preserve">into equation </w:t>
      </w:r>
      <w:r w:rsidR="00E06828">
        <w:rPr>
          <w:rFonts w:ascii="Calibri Light" w:hAnsi="Calibri Light" w:cs="Calibri Light"/>
        </w:rPr>
        <w:t>1</w:t>
      </w:r>
      <w:r w:rsidRPr="003A4F8F">
        <w:rPr>
          <w:rFonts w:ascii="Calibri Light" w:hAnsi="Calibri Light" w:cs="Calibri Light"/>
        </w:rPr>
        <w:t xml:space="preserve"> provides for a conversion factor</w:t>
      </w:r>
      <w:r>
        <w:rPr>
          <w:rFonts w:ascii="Calibri Light" w:hAnsi="Calibri Light" w:cs="Calibri Light"/>
        </w:rPr>
        <w:t xml:space="preserve"> </w:t>
      </w:r>
      <w:r w:rsidR="00017D91">
        <w:rPr>
          <w:rFonts w:ascii="Calibri Light" w:hAnsi="Calibri Light" w:cs="Calibri Light"/>
        </w:rPr>
        <w:t>o</w:t>
      </w:r>
      <w:r w:rsidRPr="00BE4772">
        <w:rPr>
          <w:rFonts w:ascii="Calibri Light" w:hAnsi="Calibri Light" w:cs="Calibri Light"/>
        </w:rPr>
        <w:t>f</w:t>
      </w:r>
      <w:r w:rsidR="00434DF1">
        <w:rPr>
          <w:rFonts w:ascii="Calibri Light" w:hAnsi="Calibri Light" w:cs="Calibri Light"/>
        </w:rPr>
        <w:t xml:space="preserve"> </w:t>
      </w:r>
      <w:r w:rsidRPr="00BE4772">
        <w:rPr>
          <w:rFonts w:ascii="Calibri Light" w:hAnsi="Calibri Light" w:cs="Calibri Light"/>
        </w:rPr>
        <w:t>0.000644</w:t>
      </w:r>
      <w:r w:rsidR="0097190D">
        <w:rPr>
          <w:rFonts w:ascii="Calibri Light" w:hAnsi="Calibri Light" w:cs="Calibri Light"/>
        </w:rPr>
        <w:t>2</w:t>
      </w:r>
      <w:r w:rsidRPr="00BE4772">
        <w:rPr>
          <w:rFonts w:ascii="Calibri Light" w:hAnsi="Calibri Light" w:cs="Calibri Light"/>
        </w:rPr>
        <w:t xml:space="preserve"> (0.0644</w:t>
      </w:r>
      <w:r w:rsidR="0097190D">
        <w:rPr>
          <w:rFonts w:ascii="Calibri Light" w:hAnsi="Calibri Light" w:cs="Calibri Light"/>
        </w:rPr>
        <w:t>2</w:t>
      </w:r>
      <w:r w:rsidRPr="00BE4772">
        <w:rPr>
          <w:rFonts w:ascii="Calibri Light" w:hAnsi="Calibri Light" w:cs="Calibri Light"/>
        </w:rPr>
        <w:t xml:space="preserve">%). </w:t>
      </w:r>
    </w:p>
    <w:p w14:paraId="135C8FAB" w14:textId="36C2C063" w:rsidR="00B960F4" w:rsidRDefault="00B960F4" w:rsidP="00B960F4">
      <w:pPr>
        <w:pStyle w:val="Heading1"/>
        <w:rPr>
          <w:rFonts w:eastAsia="Calibri"/>
        </w:rPr>
      </w:pPr>
      <w:r>
        <w:rPr>
          <w:rFonts w:eastAsia="Calibri"/>
        </w:rPr>
        <w:lastRenderedPageBreak/>
        <w:t xml:space="preserve">Appendix </w:t>
      </w:r>
      <w:r w:rsidR="00DF5C9B">
        <w:rPr>
          <w:rFonts w:eastAsia="Calibri"/>
        </w:rPr>
        <w:t>B</w:t>
      </w:r>
    </w:p>
    <w:p w14:paraId="1903604F" w14:textId="64BF6101" w:rsidR="00082FC2" w:rsidRPr="00640938" w:rsidRDefault="00093B57" w:rsidP="009C6268">
      <w:pPr>
        <w:pStyle w:val="Heading2"/>
        <w:rPr>
          <w:rFonts w:asciiTheme="minorHAnsi" w:hAnsiTheme="minorHAnsi" w:cstheme="minorHAnsi"/>
          <w:vertAlign w:val="subscript"/>
        </w:rPr>
      </w:pPr>
      <w:r w:rsidRPr="00BE4772">
        <w:rPr>
          <w:rFonts w:asciiTheme="minorHAnsi" w:hAnsiTheme="minorHAnsi" w:cstheme="minorHAnsi"/>
        </w:rPr>
        <w:t xml:space="preserve">Average efficiency </w:t>
      </w:r>
      <w:r w:rsidR="00192768" w:rsidRPr="00BE4772">
        <w:rPr>
          <w:rFonts w:asciiTheme="minorHAnsi" w:hAnsiTheme="minorHAnsi" w:cstheme="minorHAnsi"/>
        </w:rPr>
        <w:t xml:space="preserve">(E) </w:t>
      </w:r>
      <w:r w:rsidRPr="00BE4772">
        <w:rPr>
          <w:rFonts w:asciiTheme="minorHAnsi" w:hAnsiTheme="minorHAnsi" w:cstheme="minorHAnsi"/>
        </w:rPr>
        <w:t>and Average of fraction of hydrocarbon vapour in gas entering VRU</w:t>
      </w:r>
      <w:r w:rsidR="00192768" w:rsidRPr="00BE4772">
        <w:rPr>
          <w:rFonts w:asciiTheme="minorHAnsi" w:hAnsiTheme="minorHAnsi" w:cstheme="minorHAnsi"/>
        </w:rPr>
        <w:t xml:space="preserve"> (</w:t>
      </w:r>
      <w:r w:rsidR="00192768" w:rsidRPr="00640938">
        <w:rPr>
          <w:rFonts w:asciiTheme="minorHAnsi" w:hAnsiTheme="minorHAnsi" w:cstheme="minorHAnsi"/>
          <w:color w:val="000000"/>
          <w:szCs w:val="22"/>
        </w:rPr>
        <w:t>Y</w:t>
      </w:r>
      <w:r w:rsidR="00192768" w:rsidRPr="0036110F">
        <w:rPr>
          <w:rFonts w:asciiTheme="minorHAnsi" w:hAnsiTheme="minorHAnsi" w:cstheme="minorHAnsi"/>
          <w:color w:val="000000"/>
          <w:szCs w:val="22"/>
          <w:vertAlign w:val="superscript"/>
        </w:rPr>
        <w:t>in</w:t>
      </w:r>
      <w:r w:rsidR="00E717D5" w:rsidRPr="00640938">
        <w:rPr>
          <w:rFonts w:asciiTheme="minorHAnsi" w:hAnsiTheme="minorHAnsi" w:cstheme="minorHAnsi"/>
        </w:rPr>
        <w:t>)</w:t>
      </w:r>
      <w:r w:rsidR="00C23730">
        <w:rPr>
          <w:rFonts w:asciiTheme="minorHAnsi" w:hAnsiTheme="minorHAnsi" w:cstheme="minorHAnsi"/>
        </w:rPr>
        <w:t xml:space="preserve"> </w:t>
      </w:r>
      <w:r w:rsidR="004A5297" w:rsidRPr="00640938">
        <w:rPr>
          <w:rFonts w:asciiTheme="minorHAnsi" w:hAnsiTheme="minorHAnsi" w:cstheme="minorHAnsi"/>
        </w:rPr>
        <w:t xml:space="preserve">used </w:t>
      </w:r>
      <w:r w:rsidR="00C66683" w:rsidRPr="00640938">
        <w:rPr>
          <w:rFonts w:asciiTheme="minorHAnsi" w:hAnsiTheme="minorHAnsi" w:cstheme="minorHAnsi"/>
        </w:rPr>
        <w:t>to calculate R</w:t>
      </w:r>
      <w:r w:rsidR="00C66683" w:rsidRPr="00640938">
        <w:rPr>
          <w:rFonts w:asciiTheme="minorHAnsi" w:hAnsiTheme="minorHAnsi" w:cstheme="minorHAnsi"/>
          <w:vertAlign w:val="subscript"/>
        </w:rPr>
        <w:t>av</w:t>
      </w:r>
    </w:p>
    <w:tbl>
      <w:tblPr>
        <w:tblW w:w="9214" w:type="dxa"/>
        <w:tblLayout w:type="fixed"/>
        <w:tblLook w:val="04A0" w:firstRow="1" w:lastRow="0" w:firstColumn="1" w:lastColumn="0" w:noHBand="0" w:noVBand="1"/>
      </w:tblPr>
      <w:tblGrid>
        <w:gridCol w:w="1300"/>
        <w:gridCol w:w="1900"/>
        <w:gridCol w:w="78"/>
        <w:gridCol w:w="1642"/>
        <w:gridCol w:w="337"/>
        <w:gridCol w:w="623"/>
        <w:gridCol w:w="1066"/>
        <w:gridCol w:w="289"/>
        <w:gridCol w:w="1325"/>
        <w:gridCol w:w="654"/>
      </w:tblGrid>
      <w:tr w:rsidR="00DF5030" w:rsidRPr="00DF5030" w14:paraId="0D5130E6" w14:textId="77777777" w:rsidTr="00DE6333">
        <w:trPr>
          <w:trHeight w:val="900"/>
        </w:trPr>
        <w:tc>
          <w:tcPr>
            <w:tcW w:w="1300" w:type="dxa"/>
            <w:tcBorders>
              <w:top w:val="nil"/>
              <w:left w:val="nil"/>
              <w:bottom w:val="single" w:sz="4" w:space="0" w:color="8EA9DB"/>
              <w:right w:val="nil"/>
            </w:tcBorders>
            <w:shd w:val="clear" w:color="D9E1F2" w:fill="D9E1F2"/>
            <w:vAlign w:val="bottom"/>
            <w:hideMark/>
          </w:tcPr>
          <w:p w14:paraId="72691AA4" w14:textId="77777777" w:rsidR="00DF5030" w:rsidRPr="00DF5030" w:rsidRDefault="00DF5030" w:rsidP="00DF5030">
            <w:pPr>
              <w:spacing w:before="0" w:after="0"/>
              <w:rPr>
                <w:rFonts w:ascii="Calibri" w:hAnsi="Calibri" w:cs="Calibri"/>
                <w:b/>
                <w:bCs/>
                <w:color w:val="000000"/>
                <w:szCs w:val="22"/>
              </w:rPr>
            </w:pPr>
            <w:r w:rsidRPr="00DF5030">
              <w:rPr>
                <w:rFonts w:ascii="Calibri" w:hAnsi="Calibri" w:cs="Calibri"/>
                <w:b/>
                <w:bCs/>
                <w:color w:val="000000"/>
                <w:szCs w:val="22"/>
              </w:rPr>
              <w:t xml:space="preserve">Vapour Recovery Unit </w:t>
            </w:r>
          </w:p>
        </w:tc>
        <w:tc>
          <w:tcPr>
            <w:tcW w:w="1978" w:type="dxa"/>
            <w:gridSpan w:val="2"/>
            <w:tcBorders>
              <w:top w:val="nil"/>
              <w:left w:val="nil"/>
              <w:bottom w:val="single" w:sz="4" w:space="0" w:color="8EA9DB"/>
              <w:right w:val="nil"/>
            </w:tcBorders>
            <w:shd w:val="clear" w:color="D9E1F2" w:fill="D9E1F2"/>
            <w:vAlign w:val="bottom"/>
            <w:hideMark/>
          </w:tcPr>
          <w:p w14:paraId="45300961" w14:textId="68957567" w:rsidR="00DF5030" w:rsidRPr="00DF5030" w:rsidRDefault="00DF5030" w:rsidP="00DF5030">
            <w:pPr>
              <w:spacing w:before="0" w:after="0"/>
              <w:rPr>
                <w:rFonts w:ascii="Calibri" w:hAnsi="Calibri" w:cs="Calibri"/>
                <w:b/>
                <w:bCs/>
                <w:color w:val="000000"/>
                <w:szCs w:val="22"/>
              </w:rPr>
            </w:pPr>
            <w:r w:rsidRPr="00DF5030">
              <w:rPr>
                <w:rFonts w:ascii="Calibri" w:hAnsi="Calibri" w:cs="Calibri"/>
                <w:b/>
                <w:bCs/>
                <w:color w:val="000000"/>
                <w:szCs w:val="22"/>
              </w:rPr>
              <w:t>Average of Y</w:t>
            </w:r>
            <w:r w:rsidRPr="00735679">
              <w:rPr>
                <w:rFonts w:ascii="Calibri" w:hAnsi="Calibri" w:cs="Calibri"/>
                <w:b/>
                <w:bCs/>
                <w:color w:val="000000"/>
                <w:szCs w:val="22"/>
                <w:vertAlign w:val="superscript"/>
              </w:rPr>
              <w:t>in</w:t>
            </w:r>
            <w:r w:rsidRPr="00DF5030">
              <w:rPr>
                <w:rFonts w:ascii="Calibri" w:hAnsi="Calibri" w:cs="Calibri"/>
                <w:b/>
                <w:bCs/>
                <w:color w:val="000000"/>
                <w:szCs w:val="22"/>
              </w:rPr>
              <w:t xml:space="preserve"> (%)</w:t>
            </w:r>
          </w:p>
        </w:tc>
        <w:tc>
          <w:tcPr>
            <w:tcW w:w="1979" w:type="dxa"/>
            <w:gridSpan w:val="2"/>
            <w:tcBorders>
              <w:top w:val="nil"/>
              <w:left w:val="nil"/>
              <w:bottom w:val="single" w:sz="4" w:space="0" w:color="8EA9DB"/>
              <w:right w:val="nil"/>
            </w:tcBorders>
            <w:shd w:val="clear" w:color="D9E1F2" w:fill="D9E1F2"/>
            <w:vAlign w:val="bottom"/>
            <w:hideMark/>
          </w:tcPr>
          <w:p w14:paraId="5EE49532" w14:textId="4A7DE5BF" w:rsidR="00DF5030" w:rsidRPr="00DF5030" w:rsidRDefault="00DF5030" w:rsidP="00DF5030">
            <w:pPr>
              <w:spacing w:before="0" w:after="0"/>
              <w:rPr>
                <w:rFonts w:ascii="Calibri" w:hAnsi="Calibri" w:cs="Calibri"/>
                <w:b/>
                <w:bCs/>
                <w:color w:val="000000"/>
                <w:szCs w:val="22"/>
              </w:rPr>
            </w:pPr>
            <w:r w:rsidRPr="00DF5030">
              <w:rPr>
                <w:rFonts w:ascii="Calibri" w:hAnsi="Calibri" w:cs="Calibri"/>
                <w:b/>
                <w:bCs/>
                <w:color w:val="000000"/>
                <w:szCs w:val="22"/>
              </w:rPr>
              <w:t>Std</w:t>
            </w:r>
            <w:r w:rsidR="00022F43">
              <w:rPr>
                <w:rFonts w:ascii="Calibri" w:hAnsi="Calibri" w:cs="Calibri"/>
                <w:b/>
                <w:bCs/>
                <w:color w:val="000000"/>
                <w:szCs w:val="22"/>
              </w:rPr>
              <w:t xml:space="preserve"> </w:t>
            </w:r>
            <w:r w:rsidRPr="00DF5030">
              <w:rPr>
                <w:rFonts w:ascii="Calibri" w:hAnsi="Calibri" w:cs="Calibri"/>
                <w:b/>
                <w:bCs/>
                <w:color w:val="000000"/>
                <w:szCs w:val="22"/>
              </w:rPr>
              <w:t>Dev of Average Y</w:t>
            </w:r>
            <w:r w:rsidRPr="00735679">
              <w:rPr>
                <w:rFonts w:ascii="Calibri" w:hAnsi="Calibri" w:cs="Calibri"/>
                <w:b/>
                <w:bCs/>
                <w:color w:val="000000"/>
                <w:szCs w:val="22"/>
                <w:vertAlign w:val="superscript"/>
              </w:rPr>
              <w:t xml:space="preserve">in </w:t>
            </w:r>
            <w:r w:rsidRPr="00DF5030">
              <w:rPr>
                <w:rFonts w:ascii="Calibri" w:hAnsi="Calibri" w:cs="Calibri"/>
                <w:b/>
                <w:bCs/>
                <w:color w:val="000000"/>
                <w:szCs w:val="22"/>
              </w:rPr>
              <w:t>(%)2</w:t>
            </w:r>
          </w:p>
        </w:tc>
        <w:tc>
          <w:tcPr>
            <w:tcW w:w="1978" w:type="dxa"/>
            <w:gridSpan w:val="3"/>
            <w:tcBorders>
              <w:top w:val="nil"/>
              <w:left w:val="nil"/>
              <w:bottom w:val="single" w:sz="4" w:space="0" w:color="8EA9DB"/>
              <w:right w:val="nil"/>
            </w:tcBorders>
            <w:shd w:val="clear" w:color="D9E1F2" w:fill="D9E1F2"/>
            <w:vAlign w:val="bottom"/>
            <w:hideMark/>
          </w:tcPr>
          <w:p w14:paraId="023C7988" w14:textId="77777777" w:rsidR="00DF5030" w:rsidRPr="00DF5030" w:rsidRDefault="00DF5030" w:rsidP="00DF5030">
            <w:pPr>
              <w:spacing w:before="0" w:after="0"/>
              <w:rPr>
                <w:rFonts w:ascii="Calibri" w:hAnsi="Calibri" w:cs="Calibri"/>
                <w:b/>
                <w:bCs/>
                <w:color w:val="000000"/>
                <w:szCs w:val="22"/>
              </w:rPr>
            </w:pPr>
            <w:r w:rsidRPr="00DF5030">
              <w:rPr>
                <w:rFonts w:ascii="Calibri" w:hAnsi="Calibri" w:cs="Calibri"/>
                <w:b/>
                <w:bCs/>
                <w:color w:val="000000"/>
                <w:szCs w:val="22"/>
              </w:rPr>
              <w:t xml:space="preserve">Average of Unit Efficiency (E%) </w:t>
            </w:r>
          </w:p>
        </w:tc>
        <w:tc>
          <w:tcPr>
            <w:tcW w:w="1979" w:type="dxa"/>
            <w:gridSpan w:val="2"/>
            <w:tcBorders>
              <w:top w:val="nil"/>
              <w:left w:val="nil"/>
              <w:bottom w:val="single" w:sz="4" w:space="0" w:color="8EA9DB"/>
              <w:right w:val="nil"/>
            </w:tcBorders>
            <w:shd w:val="clear" w:color="D9E1F2" w:fill="D9E1F2"/>
            <w:vAlign w:val="bottom"/>
            <w:hideMark/>
          </w:tcPr>
          <w:p w14:paraId="650F0C21" w14:textId="77777777" w:rsidR="00DF5030" w:rsidRPr="00DF5030" w:rsidRDefault="00DF5030" w:rsidP="00DF5030">
            <w:pPr>
              <w:spacing w:before="0" w:after="0"/>
              <w:rPr>
                <w:rFonts w:ascii="Calibri" w:hAnsi="Calibri" w:cs="Calibri"/>
                <w:b/>
                <w:bCs/>
                <w:color w:val="000000"/>
                <w:szCs w:val="22"/>
              </w:rPr>
            </w:pPr>
            <w:r w:rsidRPr="00DF5030">
              <w:rPr>
                <w:rFonts w:ascii="Calibri" w:hAnsi="Calibri" w:cs="Calibri"/>
                <w:b/>
                <w:bCs/>
                <w:color w:val="000000"/>
                <w:szCs w:val="22"/>
              </w:rPr>
              <w:t>StdDev of Unit Efficiency (E%) 2</w:t>
            </w:r>
          </w:p>
        </w:tc>
      </w:tr>
      <w:tr w:rsidR="00DF5030" w:rsidRPr="00DF5030" w14:paraId="0CFD8B1F" w14:textId="77777777" w:rsidTr="00DE6333">
        <w:trPr>
          <w:trHeight w:val="300"/>
        </w:trPr>
        <w:tc>
          <w:tcPr>
            <w:tcW w:w="1300" w:type="dxa"/>
            <w:tcBorders>
              <w:top w:val="nil"/>
              <w:left w:val="nil"/>
              <w:bottom w:val="nil"/>
              <w:right w:val="nil"/>
            </w:tcBorders>
            <w:shd w:val="clear" w:color="auto" w:fill="auto"/>
            <w:noWrap/>
            <w:vAlign w:val="bottom"/>
            <w:hideMark/>
          </w:tcPr>
          <w:p w14:paraId="7ECDA90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w:t>
            </w:r>
          </w:p>
        </w:tc>
        <w:tc>
          <w:tcPr>
            <w:tcW w:w="1978" w:type="dxa"/>
            <w:gridSpan w:val="2"/>
            <w:tcBorders>
              <w:top w:val="nil"/>
              <w:left w:val="nil"/>
              <w:bottom w:val="nil"/>
              <w:right w:val="nil"/>
            </w:tcBorders>
            <w:shd w:val="clear" w:color="auto" w:fill="auto"/>
            <w:noWrap/>
            <w:vAlign w:val="bottom"/>
            <w:hideMark/>
          </w:tcPr>
          <w:p w14:paraId="32DADB65"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13.45</w:t>
            </w:r>
          </w:p>
        </w:tc>
        <w:tc>
          <w:tcPr>
            <w:tcW w:w="1979" w:type="dxa"/>
            <w:gridSpan w:val="2"/>
            <w:tcBorders>
              <w:top w:val="nil"/>
              <w:left w:val="nil"/>
              <w:bottom w:val="nil"/>
              <w:right w:val="nil"/>
            </w:tcBorders>
            <w:shd w:val="clear" w:color="auto" w:fill="auto"/>
            <w:noWrap/>
            <w:vAlign w:val="bottom"/>
            <w:hideMark/>
          </w:tcPr>
          <w:p w14:paraId="111F87C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6.29</w:t>
            </w:r>
          </w:p>
        </w:tc>
        <w:tc>
          <w:tcPr>
            <w:tcW w:w="1978" w:type="dxa"/>
            <w:gridSpan w:val="3"/>
            <w:tcBorders>
              <w:top w:val="nil"/>
              <w:left w:val="nil"/>
              <w:bottom w:val="nil"/>
              <w:right w:val="nil"/>
            </w:tcBorders>
            <w:shd w:val="clear" w:color="auto" w:fill="auto"/>
            <w:noWrap/>
            <w:vAlign w:val="bottom"/>
            <w:hideMark/>
          </w:tcPr>
          <w:p w14:paraId="01A8F88C"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99.42</w:t>
            </w:r>
          </w:p>
        </w:tc>
        <w:tc>
          <w:tcPr>
            <w:tcW w:w="1979" w:type="dxa"/>
            <w:gridSpan w:val="2"/>
            <w:tcBorders>
              <w:top w:val="nil"/>
              <w:left w:val="nil"/>
              <w:bottom w:val="nil"/>
              <w:right w:val="nil"/>
            </w:tcBorders>
            <w:shd w:val="clear" w:color="auto" w:fill="auto"/>
            <w:noWrap/>
            <w:vAlign w:val="bottom"/>
            <w:hideMark/>
          </w:tcPr>
          <w:p w14:paraId="4A53D41F"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0.43</w:t>
            </w:r>
          </w:p>
        </w:tc>
      </w:tr>
      <w:tr w:rsidR="00DF5030" w:rsidRPr="00DF5030" w14:paraId="79B29332" w14:textId="77777777" w:rsidTr="00DE6333">
        <w:trPr>
          <w:trHeight w:val="300"/>
        </w:trPr>
        <w:tc>
          <w:tcPr>
            <w:tcW w:w="1300" w:type="dxa"/>
            <w:tcBorders>
              <w:top w:val="nil"/>
              <w:left w:val="nil"/>
              <w:bottom w:val="nil"/>
              <w:right w:val="nil"/>
            </w:tcBorders>
            <w:shd w:val="clear" w:color="auto" w:fill="auto"/>
            <w:noWrap/>
            <w:vAlign w:val="bottom"/>
            <w:hideMark/>
          </w:tcPr>
          <w:p w14:paraId="75CEEBB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w:t>
            </w:r>
          </w:p>
        </w:tc>
        <w:tc>
          <w:tcPr>
            <w:tcW w:w="1978" w:type="dxa"/>
            <w:gridSpan w:val="2"/>
            <w:tcBorders>
              <w:top w:val="nil"/>
              <w:left w:val="nil"/>
              <w:bottom w:val="nil"/>
              <w:right w:val="nil"/>
            </w:tcBorders>
            <w:shd w:val="clear" w:color="auto" w:fill="auto"/>
            <w:noWrap/>
            <w:vAlign w:val="bottom"/>
            <w:hideMark/>
          </w:tcPr>
          <w:p w14:paraId="1E36BCC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14.21</w:t>
            </w:r>
          </w:p>
        </w:tc>
        <w:tc>
          <w:tcPr>
            <w:tcW w:w="1979" w:type="dxa"/>
            <w:gridSpan w:val="2"/>
            <w:tcBorders>
              <w:top w:val="nil"/>
              <w:left w:val="nil"/>
              <w:bottom w:val="nil"/>
              <w:right w:val="nil"/>
            </w:tcBorders>
            <w:shd w:val="clear" w:color="auto" w:fill="auto"/>
            <w:noWrap/>
            <w:vAlign w:val="bottom"/>
            <w:hideMark/>
          </w:tcPr>
          <w:p w14:paraId="34F5EA2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5.65</w:t>
            </w:r>
          </w:p>
        </w:tc>
        <w:tc>
          <w:tcPr>
            <w:tcW w:w="1978" w:type="dxa"/>
            <w:gridSpan w:val="3"/>
            <w:tcBorders>
              <w:top w:val="nil"/>
              <w:left w:val="nil"/>
              <w:bottom w:val="nil"/>
              <w:right w:val="nil"/>
            </w:tcBorders>
            <w:shd w:val="clear" w:color="auto" w:fill="auto"/>
            <w:noWrap/>
            <w:vAlign w:val="bottom"/>
            <w:hideMark/>
          </w:tcPr>
          <w:p w14:paraId="5924A04D"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98.94</w:t>
            </w:r>
          </w:p>
        </w:tc>
        <w:tc>
          <w:tcPr>
            <w:tcW w:w="1979" w:type="dxa"/>
            <w:gridSpan w:val="2"/>
            <w:tcBorders>
              <w:top w:val="nil"/>
              <w:left w:val="nil"/>
              <w:bottom w:val="nil"/>
              <w:right w:val="nil"/>
            </w:tcBorders>
            <w:shd w:val="clear" w:color="auto" w:fill="auto"/>
            <w:noWrap/>
            <w:vAlign w:val="bottom"/>
            <w:hideMark/>
          </w:tcPr>
          <w:p w14:paraId="6D26846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0.90</w:t>
            </w:r>
          </w:p>
        </w:tc>
      </w:tr>
      <w:tr w:rsidR="00DF5030" w:rsidRPr="00DF5030" w14:paraId="58B0F209" w14:textId="77777777" w:rsidTr="00DE6333">
        <w:trPr>
          <w:trHeight w:val="300"/>
        </w:trPr>
        <w:tc>
          <w:tcPr>
            <w:tcW w:w="1300" w:type="dxa"/>
            <w:tcBorders>
              <w:top w:val="nil"/>
              <w:left w:val="nil"/>
              <w:bottom w:val="nil"/>
              <w:right w:val="nil"/>
            </w:tcBorders>
            <w:shd w:val="clear" w:color="auto" w:fill="auto"/>
            <w:noWrap/>
            <w:vAlign w:val="bottom"/>
            <w:hideMark/>
          </w:tcPr>
          <w:p w14:paraId="52C5EA76"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3</w:t>
            </w:r>
          </w:p>
        </w:tc>
        <w:tc>
          <w:tcPr>
            <w:tcW w:w="1978" w:type="dxa"/>
            <w:gridSpan w:val="2"/>
            <w:tcBorders>
              <w:top w:val="nil"/>
              <w:left w:val="nil"/>
              <w:bottom w:val="nil"/>
              <w:right w:val="nil"/>
            </w:tcBorders>
            <w:shd w:val="clear" w:color="auto" w:fill="auto"/>
            <w:noWrap/>
            <w:vAlign w:val="bottom"/>
            <w:hideMark/>
          </w:tcPr>
          <w:p w14:paraId="0DC0901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14.06</w:t>
            </w:r>
          </w:p>
        </w:tc>
        <w:tc>
          <w:tcPr>
            <w:tcW w:w="1979" w:type="dxa"/>
            <w:gridSpan w:val="2"/>
            <w:tcBorders>
              <w:top w:val="nil"/>
              <w:left w:val="nil"/>
              <w:bottom w:val="nil"/>
              <w:right w:val="nil"/>
            </w:tcBorders>
            <w:shd w:val="clear" w:color="auto" w:fill="auto"/>
            <w:noWrap/>
            <w:vAlign w:val="bottom"/>
            <w:hideMark/>
          </w:tcPr>
          <w:p w14:paraId="2F650A1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5.32</w:t>
            </w:r>
          </w:p>
        </w:tc>
        <w:tc>
          <w:tcPr>
            <w:tcW w:w="1978" w:type="dxa"/>
            <w:gridSpan w:val="3"/>
            <w:tcBorders>
              <w:top w:val="nil"/>
              <w:left w:val="nil"/>
              <w:bottom w:val="nil"/>
              <w:right w:val="nil"/>
            </w:tcBorders>
            <w:shd w:val="clear" w:color="auto" w:fill="auto"/>
            <w:noWrap/>
            <w:vAlign w:val="bottom"/>
            <w:hideMark/>
          </w:tcPr>
          <w:p w14:paraId="5241DE1D"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99.57</w:t>
            </w:r>
          </w:p>
        </w:tc>
        <w:tc>
          <w:tcPr>
            <w:tcW w:w="1979" w:type="dxa"/>
            <w:gridSpan w:val="2"/>
            <w:tcBorders>
              <w:top w:val="nil"/>
              <w:left w:val="nil"/>
              <w:bottom w:val="nil"/>
              <w:right w:val="nil"/>
            </w:tcBorders>
            <w:shd w:val="clear" w:color="auto" w:fill="auto"/>
            <w:noWrap/>
            <w:vAlign w:val="bottom"/>
            <w:hideMark/>
          </w:tcPr>
          <w:p w14:paraId="43F2E7BC"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0.29</w:t>
            </w:r>
          </w:p>
        </w:tc>
      </w:tr>
      <w:tr w:rsidR="00DF5030" w:rsidRPr="00DF5030" w14:paraId="092F0685" w14:textId="77777777" w:rsidTr="00DE6333">
        <w:trPr>
          <w:trHeight w:val="300"/>
        </w:trPr>
        <w:tc>
          <w:tcPr>
            <w:tcW w:w="1300" w:type="dxa"/>
            <w:tcBorders>
              <w:top w:val="nil"/>
              <w:left w:val="nil"/>
              <w:bottom w:val="nil"/>
              <w:right w:val="nil"/>
            </w:tcBorders>
            <w:shd w:val="clear" w:color="auto" w:fill="auto"/>
            <w:noWrap/>
            <w:vAlign w:val="bottom"/>
            <w:hideMark/>
          </w:tcPr>
          <w:p w14:paraId="17421BD6"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w:t>
            </w:r>
          </w:p>
        </w:tc>
        <w:tc>
          <w:tcPr>
            <w:tcW w:w="1978" w:type="dxa"/>
            <w:gridSpan w:val="2"/>
            <w:tcBorders>
              <w:top w:val="nil"/>
              <w:left w:val="nil"/>
              <w:bottom w:val="nil"/>
              <w:right w:val="nil"/>
            </w:tcBorders>
            <w:shd w:val="clear" w:color="auto" w:fill="auto"/>
            <w:noWrap/>
            <w:vAlign w:val="bottom"/>
            <w:hideMark/>
          </w:tcPr>
          <w:p w14:paraId="5E32AF0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18.79</w:t>
            </w:r>
          </w:p>
        </w:tc>
        <w:tc>
          <w:tcPr>
            <w:tcW w:w="1979" w:type="dxa"/>
            <w:gridSpan w:val="2"/>
            <w:tcBorders>
              <w:top w:val="nil"/>
              <w:left w:val="nil"/>
              <w:bottom w:val="nil"/>
              <w:right w:val="nil"/>
            </w:tcBorders>
            <w:shd w:val="clear" w:color="auto" w:fill="auto"/>
            <w:noWrap/>
            <w:vAlign w:val="bottom"/>
            <w:hideMark/>
          </w:tcPr>
          <w:p w14:paraId="59720BB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5.47</w:t>
            </w:r>
          </w:p>
        </w:tc>
        <w:tc>
          <w:tcPr>
            <w:tcW w:w="1978" w:type="dxa"/>
            <w:gridSpan w:val="3"/>
            <w:tcBorders>
              <w:top w:val="nil"/>
              <w:left w:val="nil"/>
              <w:bottom w:val="nil"/>
              <w:right w:val="nil"/>
            </w:tcBorders>
            <w:shd w:val="clear" w:color="auto" w:fill="auto"/>
            <w:noWrap/>
            <w:vAlign w:val="bottom"/>
            <w:hideMark/>
          </w:tcPr>
          <w:p w14:paraId="073859B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99.29</w:t>
            </w:r>
          </w:p>
        </w:tc>
        <w:tc>
          <w:tcPr>
            <w:tcW w:w="1979" w:type="dxa"/>
            <w:gridSpan w:val="2"/>
            <w:tcBorders>
              <w:top w:val="nil"/>
              <w:left w:val="nil"/>
              <w:bottom w:val="nil"/>
              <w:right w:val="nil"/>
            </w:tcBorders>
            <w:shd w:val="clear" w:color="auto" w:fill="auto"/>
            <w:noWrap/>
            <w:vAlign w:val="bottom"/>
            <w:hideMark/>
          </w:tcPr>
          <w:p w14:paraId="17D6094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0.47</w:t>
            </w:r>
          </w:p>
        </w:tc>
      </w:tr>
      <w:tr w:rsidR="00DF5030" w:rsidRPr="00DF5030" w14:paraId="606E0635" w14:textId="77777777" w:rsidTr="00DE6333">
        <w:trPr>
          <w:trHeight w:val="300"/>
        </w:trPr>
        <w:tc>
          <w:tcPr>
            <w:tcW w:w="1300" w:type="dxa"/>
            <w:tcBorders>
              <w:top w:val="nil"/>
              <w:left w:val="nil"/>
              <w:bottom w:val="nil"/>
              <w:right w:val="nil"/>
            </w:tcBorders>
            <w:shd w:val="clear" w:color="auto" w:fill="auto"/>
            <w:noWrap/>
            <w:vAlign w:val="bottom"/>
            <w:hideMark/>
          </w:tcPr>
          <w:p w14:paraId="6C19DD5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w:t>
            </w:r>
          </w:p>
        </w:tc>
        <w:tc>
          <w:tcPr>
            <w:tcW w:w="1978" w:type="dxa"/>
            <w:gridSpan w:val="2"/>
            <w:tcBorders>
              <w:top w:val="nil"/>
              <w:left w:val="nil"/>
              <w:bottom w:val="nil"/>
              <w:right w:val="nil"/>
            </w:tcBorders>
            <w:shd w:val="clear" w:color="auto" w:fill="auto"/>
            <w:noWrap/>
            <w:vAlign w:val="bottom"/>
            <w:hideMark/>
          </w:tcPr>
          <w:p w14:paraId="374DB903"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11.84</w:t>
            </w:r>
          </w:p>
        </w:tc>
        <w:tc>
          <w:tcPr>
            <w:tcW w:w="1979" w:type="dxa"/>
            <w:gridSpan w:val="2"/>
            <w:tcBorders>
              <w:top w:val="nil"/>
              <w:left w:val="nil"/>
              <w:bottom w:val="nil"/>
              <w:right w:val="nil"/>
            </w:tcBorders>
            <w:shd w:val="clear" w:color="auto" w:fill="auto"/>
            <w:noWrap/>
            <w:vAlign w:val="bottom"/>
            <w:hideMark/>
          </w:tcPr>
          <w:p w14:paraId="3BBF708C"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4.05</w:t>
            </w:r>
          </w:p>
        </w:tc>
        <w:tc>
          <w:tcPr>
            <w:tcW w:w="1978" w:type="dxa"/>
            <w:gridSpan w:val="3"/>
            <w:tcBorders>
              <w:top w:val="nil"/>
              <w:left w:val="nil"/>
              <w:bottom w:val="nil"/>
              <w:right w:val="nil"/>
            </w:tcBorders>
            <w:shd w:val="clear" w:color="auto" w:fill="auto"/>
            <w:noWrap/>
            <w:vAlign w:val="bottom"/>
            <w:hideMark/>
          </w:tcPr>
          <w:p w14:paraId="3A4D7723"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99.31</w:t>
            </w:r>
          </w:p>
        </w:tc>
        <w:tc>
          <w:tcPr>
            <w:tcW w:w="1979" w:type="dxa"/>
            <w:gridSpan w:val="2"/>
            <w:tcBorders>
              <w:top w:val="nil"/>
              <w:left w:val="nil"/>
              <w:bottom w:val="nil"/>
              <w:right w:val="nil"/>
            </w:tcBorders>
            <w:shd w:val="clear" w:color="auto" w:fill="auto"/>
            <w:noWrap/>
            <w:vAlign w:val="bottom"/>
            <w:hideMark/>
          </w:tcPr>
          <w:p w14:paraId="48E0501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0.49</w:t>
            </w:r>
          </w:p>
        </w:tc>
      </w:tr>
      <w:tr w:rsidR="00DF5030" w:rsidRPr="00DF5030" w14:paraId="0B2DD1E4" w14:textId="77777777" w:rsidTr="00DE6333">
        <w:trPr>
          <w:trHeight w:val="300"/>
        </w:trPr>
        <w:tc>
          <w:tcPr>
            <w:tcW w:w="1300" w:type="dxa"/>
            <w:tcBorders>
              <w:top w:val="nil"/>
              <w:left w:val="nil"/>
              <w:bottom w:val="nil"/>
              <w:right w:val="nil"/>
            </w:tcBorders>
            <w:shd w:val="clear" w:color="auto" w:fill="auto"/>
            <w:noWrap/>
            <w:vAlign w:val="bottom"/>
            <w:hideMark/>
          </w:tcPr>
          <w:p w14:paraId="77F0F66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6</w:t>
            </w:r>
          </w:p>
        </w:tc>
        <w:tc>
          <w:tcPr>
            <w:tcW w:w="1978" w:type="dxa"/>
            <w:gridSpan w:val="2"/>
            <w:tcBorders>
              <w:top w:val="nil"/>
              <w:left w:val="nil"/>
              <w:bottom w:val="nil"/>
              <w:right w:val="nil"/>
            </w:tcBorders>
            <w:shd w:val="clear" w:color="auto" w:fill="auto"/>
            <w:noWrap/>
            <w:vAlign w:val="bottom"/>
            <w:hideMark/>
          </w:tcPr>
          <w:p w14:paraId="7229640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7.78</w:t>
            </w:r>
          </w:p>
        </w:tc>
        <w:tc>
          <w:tcPr>
            <w:tcW w:w="1979" w:type="dxa"/>
            <w:gridSpan w:val="2"/>
            <w:tcBorders>
              <w:top w:val="nil"/>
              <w:left w:val="nil"/>
              <w:bottom w:val="nil"/>
              <w:right w:val="nil"/>
            </w:tcBorders>
            <w:shd w:val="clear" w:color="auto" w:fill="auto"/>
            <w:noWrap/>
            <w:vAlign w:val="bottom"/>
            <w:hideMark/>
          </w:tcPr>
          <w:p w14:paraId="38EFF4C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2.94</w:t>
            </w:r>
          </w:p>
        </w:tc>
        <w:tc>
          <w:tcPr>
            <w:tcW w:w="1978" w:type="dxa"/>
            <w:gridSpan w:val="3"/>
            <w:tcBorders>
              <w:top w:val="nil"/>
              <w:left w:val="nil"/>
              <w:bottom w:val="nil"/>
              <w:right w:val="nil"/>
            </w:tcBorders>
            <w:shd w:val="clear" w:color="auto" w:fill="auto"/>
            <w:noWrap/>
            <w:vAlign w:val="bottom"/>
            <w:hideMark/>
          </w:tcPr>
          <w:p w14:paraId="688F5195"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99.27</w:t>
            </w:r>
          </w:p>
        </w:tc>
        <w:tc>
          <w:tcPr>
            <w:tcW w:w="1979" w:type="dxa"/>
            <w:gridSpan w:val="2"/>
            <w:tcBorders>
              <w:top w:val="nil"/>
              <w:left w:val="nil"/>
              <w:bottom w:val="nil"/>
              <w:right w:val="nil"/>
            </w:tcBorders>
            <w:shd w:val="clear" w:color="auto" w:fill="auto"/>
            <w:noWrap/>
            <w:vAlign w:val="bottom"/>
            <w:hideMark/>
          </w:tcPr>
          <w:p w14:paraId="5D39BDA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0.43</w:t>
            </w:r>
          </w:p>
        </w:tc>
      </w:tr>
      <w:tr w:rsidR="00DF5030" w:rsidRPr="00DF5030" w14:paraId="2D68F0B5" w14:textId="77777777" w:rsidTr="00DE6333">
        <w:trPr>
          <w:trHeight w:val="300"/>
        </w:trPr>
        <w:tc>
          <w:tcPr>
            <w:tcW w:w="1300" w:type="dxa"/>
            <w:tcBorders>
              <w:top w:val="nil"/>
              <w:left w:val="nil"/>
              <w:bottom w:val="nil"/>
              <w:right w:val="nil"/>
            </w:tcBorders>
            <w:shd w:val="clear" w:color="auto" w:fill="auto"/>
            <w:noWrap/>
            <w:vAlign w:val="bottom"/>
            <w:hideMark/>
          </w:tcPr>
          <w:p w14:paraId="77D9D4F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7</w:t>
            </w:r>
          </w:p>
        </w:tc>
        <w:tc>
          <w:tcPr>
            <w:tcW w:w="1978" w:type="dxa"/>
            <w:gridSpan w:val="2"/>
            <w:tcBorders>
              <w:top w:val="nil"/>
              <w:left w:val="nil"/>
              <w:bottom w:val="nil"/>
              <w:right w:val="nil"/>
            </w:tcBorders>
            <w:shd w:val="clear" w:color="auto" w:fill="auto"/>
            <w:noWrap/>
            <w:vAlign w:val="bottom"/>
            <w:hideMark/>
          </w:tcPr>
          <w:p w14:paraId="7ACC1052"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11.73</w:t>
            </w:r>
          </w:p>
        </w:tc>
        <w:tc>
          <w:tcPr>
            <w:tcW w:w="1979" w:type="dxa"/>
            <w:gridSpan w:val="2"/>
            <w:tcBorders>
              <w:top w:val="nil"/>
              <w:left w:val="nil"/>
              <w:bottom w:val="nil"/>
              <w:right w:val="nil"/>
            </w:tcBorders>
            <w:shd w:val="clear" w:color="auto" w:fill="auto"/>
            <w:noWrap/>
            <w:vAlign w:val="bottom"/>
            <w:hideMark/>
          </w:tcPr>
          <w:p w14:paraId="019B1F1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3.53</w:t>
            </w:r>
          </w:p>
        </w:tc>
        <w:tc>
          <w:tcPr>
            <w:tcW w:w="1978" w:type="dxa"/>
            <w:gridSpan w:val="3"/>
            <w:tcBorders>
              <w:top w:val="nil"/>
              <w:left w:val="nil"/>
              <w:bottom w:val="nil"/>
              <w:right w:val="nil"/>
            </w:tcBorders>
            <w:shd w:val="clear" w:color="auto" w:fill="auto"/>
            <w:noWrap/>
            <w:vAlign w:val="bottom"/>
            <w:hideMark/>
          </w:tcPr>
          <w:p w14:paraId="37046E3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99.63</w:t>
            </w:r>
          </w:p>
        </w:tc>
        <w:tc>
          <w:tcPr>
            <w:tcW w:w="1979" w:type="dxa"/>
            <w:gridSpan w:val="2"/>
            <w:tcBorders>
              <w:top w:val="nil"/>
              <w:left w:val="nil"/>
              <w:bottom w:val="nil"/>
              <w:right w:val="nil"/>
            </w:tcBorders>
            <w:shd w:val="clear" w:color="auto" w:fill="auto"/>
            <w:noWrap/>
            <w:vAlign w:val="bottom"/>
            <w:hideMark/>
          </w:tcPr>
          <w:p w14:paraId="40057BB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0.58</w:t>
            </w:r>
          </w:p>
        </w:tc>
      </w:tr>
      <w:tr w:rsidR="00DF5030" w:rsidRPr="00DF5030" w14:paraId="66D8E374" w14:textId="77777777" w:rsidTr="00DE6333">
        <w:trPr>
          <w:trHeight w:val="300"/>
        </w:trPr>
        <w:tc>
          <w:tcPr>
            <w:tcW w:w="1300" w:type="dxa"/>
            <w:tcBorders>
              <w:top w:val="nil"/>
              <w:left w:val="nil"/>
              <w:bottom w:val="nil"/>
              <w:right w:val="nil"/>
            </w:tcBorders>
            <w:shd w:val="clear" w:color="auto" w:fill="auto"/>
            <w:noWrap/>
            <w:vAlign w:val="bottom"/>
            <w:hideMark/>
          </w:tcPr>
          <w:p w14:paraId="2DE70A93"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8</w:t>
            </w:r>
          </w:p>
        </w:tc>
        <w:tc>
          <w:tcPr>
            <w:tcW w:w="1978" w:type="dxa"/>
            <w:gridSpan w:val="2"/>
            <w:tcBorders>
              <w:top w:val="nil"/>
              <w:left w:val="nil"/>
              <w:bottom w:val="nil"/>
              <w:right w:val="nil"/>
            </w:tcBorders>
            <w:shd w:val="clear" w:color="auto" w:fill="auto"/>
            <w:noWrap/>
            <w:vAlign w:val="bottom"/>
            <w:hideMark/>
          </w:tcPr>
          <w:p w14:paraId="138D736F"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14.44</w:t>
            </w:r>
          </w:p>
        </w:tc>
        <w:tc>
          <w:tcPr>
            <w:tcW w:w="1979" w:type="dxa"/>
            <w:gridSpan w:val="2"/>
            <w:tcBorders>
              <w:top w:val="nil"/>
              <w:left w:val="nil"/>
              <w:bottom w:val="nil"/>
              <w:right w:val="nil"/>
            </w:tcBorders>
            <w:shd w:val="clear" w:color="auto" w:fill="auto"/>
            <w:noWrap/>
            <w:vAlign w:val="bottom"/>
            <w:hideMark/>
          </w:tcPr>
          <w:p w14:paraId="34922E7C"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5.78</w:t>
            </w:r>
          </w:p>
        </w:tc>
        <w:tc>
          <w:tcPr>
            <w:tcW w:w="1978" w:type="dxa"/>
            <w:gridSpan w:val="3"/>
            <w:tcBorders>
              <w:top w:val="nil"/>
              <w:left w:val="nil"/>
              <w:bottom w:val="nil"/>
              <w:right w:val="nil"/>
            </w:tcBorders>
            <w:shd w:val="clear" w:color="auto" w:fill="auto"/>
            <w:noWrap/>
            <w:vAlign w:val="bottom"/>
            <w:hideMark/>
          </w:tcPr>
          <w:p w14:paraId="670E179F"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99.45</w:t>
            </w:r>
          </w:p>
        </w:tc>
        <w:tc>
          <w:tcPr>
            <w:tcW w:w="1979" w:type="dxa"/>
            <w:gridSpan w:val="2"/>
            <w:tcBorders>
              <w:top w:val="nil"/>
              <w:left w:val="nil"/>
              <w:bottom w:val="nil"/>
              <w:right w:val="nil"/>
            </w:tcBorders>
            <w:shd w:val="clear" w:color="auto" w:fill="auto"/>
            <w:noWrap/>
            <w:vAlign w:val="bottom"/>
            <w:hideMark/>
          </w:tcPr>
          <w:p w14:paraId="22AD2108"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0.36</w:t>
            </w:r>
          </w:p>
        </w:tc>
      </w:tr>
      <w:tr w:rsidR="00DF5030" w:rsidRPr="00DF5030" w14:paraId="24BF9CF9" w14:textId="77777777" w:rsidTr="00DE6333">
        <w:trPr>
          <w:trHeight w:val="300"/>
        </w:trPr>
        <w:tc>
          <w:tcPr>
            <w:tcW w:w="1300" w:type="dxa"/>
            <w:tcBorders>
              <w:top w:val="nil"/>
              <w:left w:val="nil"/>
              <w:bottom w:val="nil"/>
              <w:right w:val="nil"/>
            </w:tcBorders>
            <w:shd w:val="clear" w:color="auto" w:fill="auto"/>
            <w:noWrap/>
            <w:vAlign w:val="bottom"/>
            <w:hideMark/>
          </w:tcPr>
          <w:p w14:paraId="299AD825"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w:t>
            </w:r>
          </w:p>
        </w:tc>
        <w:tc>
          <w:tcPr>
            <w:tcW w:w="1978" w:type="dxa"/>
            <w:gridSpan w:val="2"/>
            <w:tcBorders>
              <w:top w:val="nil"/>
              <w:left w:val="nil"/>
              <w:bottom w:val="nil"/>
              <w:right w:val="nil"/>
            </w:tcBorders>
            <w:shd w:val="clear" w:color="auto" w:fill="auto"/>
            <w:noWrap/>
            <w:vAlign w:val="bottom"/>
            <w:hideMark/>
          </w:tcPr>
          <w:p w14:paraId="3462D8B6"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13.59</w:t>
            </w:r>
          </w:p>
        </w:tc>
        <w:tc>
          <w:tcPr>
            <w:tcW w:w="1979" w:type="dxa"/>
            <w:gridSpan w:val="2"/>
            <w:tcBorders>
              <w:top w:val="nil"/>
              <w:left w:val="nil"/>
              <w:bottom w:val="nil"/>
              <w:right w:val="nil"/>
            </w:tcBorders>
            <w:shd w:val="clear" w:color="auto" w:fill="auto"/>
            <w:noWrap/>
            <w:vAlign w:val="bottom"/>
            <w:hideMark/>
          </w:tcPr>
          <w:p w14:paraId="4F208CB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3.52</w:t>
            </w:r>
          </w:p>
        </w:tc>
        <w:tc>
          <w:tcPr>
            <w:tcW w:w="1978" w:type="dxa"/>
            <w:gridSpan w:val="3"/>
            <w:tcBorders>
              <w:top w:val="nil"/>
              <w:left w:val="nil"/>
              <w:bottom w:val="nil"/>
              <w:right w:val="nil"/>
            </w:tcBorders>
            <w:shd w:val="clear" w:color="auto" w:fill="auto"/>
            <w:noWrap/>
            <w:vAlign w:val="bottom"/>
            <w:hideMark/>
          </w:tcPr>
          <w:p w14:paraId="2EC33713"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98.36</w:t>
            </w:r>
          </w:p>
        </w:tc>
        <w:tc>
          <w:tcPr>
            <w:tcW w:w="1979" w:type="dxa"/>
            <w:gridSpan w:val="2"/>
            <w:tcBorders>
              <w:top w:val="nil"/>
              <w:left w:val="nil"/>
              <w:bottom w:val="nil"/>
              <w:right w:val="nil"/>
            </w:tcBorders>
            <w:shd w:val="clear" w:color="auto" w:fill="auto"/>
            <w:noWrap/>
            <w:vAlign w:val="bottom"/>
            <w:hideMark/>
          </w:tcPr>
          <w:p w14:paraId="1224B1A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1.83</w:t>
            </w:r>
          </w:p>
        </w:tc>
      </w:tr>
      <w:tr w:rsidR="00DF5030" w:rsidRPr="00DF5030" w14:paraId="34C4EFBC" w14:textId="77777777" w:rsidTr="00DE6333">
        <w:trPr>
          <w:trHeight w:val="300"/>
        </w:trPr>
        <w:tc>
          <w:tcPr>
            <w:tcW w:w="1300" w:type="dxa"/>
            <w:tcBorders>
              <w:top w:val="nil"/>
              <w:left w:val="nil"/>
              <w:bottom w:val="nil"/>
              <w:right w:val="nil"/>
            </w:tcBorders>
            <w:shd w:val="clear" w:color="auto" w:fill="auto"/>
            <w:noWrap/>
            <w:vAlign w:val="bottom"/>
            <w:hideMark/>
          </w:tcPr>
          <w:p w14:paraId="65F5BF5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10</w:t>
            </w:r>
          </w:p>
        </w:tc>
        <w:tc>
          <w:tcPr>
            <w:tcW w:w="1978" w:type="dxa"/>
            <w:gridSpan w:val="2"/>
            <w:tcBorders>
              <w:top w:val="nil"/>
              <w:left w:val="nil"/>
              <w:bottom w:val="nil"/>
              <w:right w:val="nil"/>
            </w:tcBorders>
            <w:shd w:val="clear" w:color="auto" w:fill="auto"/>
            <w:noWrap/>
            <w:vAlign w:val="bottom"/>
            <w:hideMark/>
          </w:tcPr>
          <w:p w14:paraId="1FBB5AD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7.50</w:t>
            </w:r>
          </w:p>
        </w:tc>
        <w:tc>
          <w:tcPr>
            <w:tcW w:w="1979" w:type="dxa"/>
            <w:gridSpan w:val="2"/>
            <w:tcBorders>
              <w:top w:val="nil"/>
              <w:left w:val="nil"/>
              <w:bottom w:val="nil"/>
              <w:right w:val="nil"/>
            </w:tcBorders>
            <w:shd w:val="clear" w:color="auto" w:fill="auto"/>
            <w:noWrap/>
            <w:vAlign w:val="bottom"/>
            <w:hideMark/>
          </w:tcPr>
          <w:p w14:paraId="71995800"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3.59</w:t>
            </w:r>
          </w:p>
        </w:tc>
        <w:tc>
          <w:tcPr>
            <w:tcW w:w="1978" w:type="dxa"/>
            <w:gridSpan w:val="3"/>
            <w:tcBorders>
              <w:top w:val="nil"/>
              <w:left w:val="nil"/>
              <w:bottom w:val="nil"/>
              <w:right w:val="nil"/>
            </w:tcBorders>
            <w:shd w:val="clear" w:color="auto" w:fill="auto"/>
            <w:noWrap/>
            <w:vAlign w:val="bottom"/>
            <w:hideMark/>
          </w:tcPr>
          <w:p w14:paraId="22D1ED0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96.48</w:t>
            </w:r>
          </w:p>
        </w:tc>
        <w:tc>
          <w:tcPr>
            <w:tcW w:w="1979" w:type="dxa"/>
            <w:gridSpan w:val="2"/>
            <w:tcBorders>
              <w:top w:val="nil"/>
              <w:left w:val="nil"/>
              <w:bottom w:val="nil"/>
              <w:right w:val="nil"/>
            </w:tcBorders>
            <w:shd w:val="clear" w:color="auto" w:fill="auto"/>
            <w:noWrap/>
            <w:vAlign w:val="bottom"/>
            <w:hideMark/>
          </w:tcPr>
          <w:p w14:paraId="6A7F67F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2.15</w:t>
            </w:r>
          </w:p>
        </w:tc>
      </w:tr>
      <w:tr w:rsidR="00DF5030" w:rsidRPr="00DF5030" w14:paraId="3A165388" w14:textId="77777777" w:rsidTr="00DE6333">
        <w:trPr>
          <w:trHeight w:val="300"/>
        </w:trPr>
        <w:tc>
          <w:tcPr>
            <w:tcW w:w="1300" w:type="dxa"/>
            <w:tcBorders>
              <w:top w:val="nil"/>
              <w:left w:val="nil"/>
              <w:bottom w:val="nil"/>
              <w:right w:val="nil"/>
            </w:tcBorders>
            <w:shd w:val="clear" w:color="auto" w:fill="auto"/>
            <w:noWrap/>
            <w:vAlign w:val="bottom"/>
            <w:hideMark/>
          </w:tcPr>
          <w:p w14:paraId="022DDA30"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11</w:t>
            </w:r>
          </w:p>
        </w:tc>
        <w:tc>
          <w:tcPr>
            <w:tcW w:w="1978" w:type="dxa"/>
            <w:gridSpan w:val="2"/>
            <w:tcBorders>
              <w:top w:val="nil"/>
              <w:left w:val="nil"/>
              <w:bottom w:val="nil"/>
              <w:right w:val="nil"/>
            </w:tcBorders>
            <w:shd w:val="clear" w:color="auto" w:fill="auto"/>
            <w:noWrap/>
            <w:vAlign w:val="bottom"/>
            <w:hideMark/>
          </w:tcPr>
          <w:p w14:paraId="3418239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21.52</w:t>
            </w:r>
          </w:p>
        </w:tc>
        <w:tc>
          <w:tcPr>
            <w:tcW w:w="1979" w:type="dxa"/>
            <w:gridSpan w:val="2"/>
            <w:tcBorders>
              <w:top w:val="nil"/>
              <w:left w:val="nil"/>
              <w:bottom w:val="nil"/>
              <w:right w:val="nil"/>
            </w:tcBorders>
            <w:shd w:val="clear" w:color="auto" w:fill="auto"/>
            <w:noWrap/>
            <w:vAlign w:val="bottom"/>
            <w:hideMark/>
          </w:tcPr>
          <w:p w14:paraId="1D19AAD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4.38</w:t>
            </w:r>
          </w:p>
        </w:tc>
        <w:tc>
          <w:tcPr>
            <w:tcW w:w="1978" w:type="dxa"/>
            <w:gridSpan w:val="3"/>
            <w:tcBorders>
              <w:top w:val="nil"/>
              <w:left w:val="nil"/>
              <w:bottom w:val="nil"/>
              <w:right w:val="nil"/>
            </w:tcBorders>
            <w:shd w:val="clear" w:color="auto" w:fill="auto"/>
            <w:noWrap/>
            <w:vAlign w:val="bottom"/>
            <w:hideMark/>
          </w:tcPr>
          <w:p w14:paraId="7CBB4B1F"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99.33</w:t>
            </w:r>
          </w:p>
        </w:tc>
        <w:tc>
          <w:tcPr>
            <w:tcW w:w="1979" w:type="dxa"/>
            <w:gridSpan w:val="2"/>
            <w:tcBorders>
              <w:top w:val="nil"/>
              <w:left w:val="nil"/>
              <w:bottom w:val="nil"/>
              <w:right w:val="nil"/>
            </w:tcBorders>
            <w:shd w:val="clear" w:color="auto" w:fill="auto"/>
            <w:noWrap/>
            <w:vAlign w:val="bottom"/>
            <w:hideMark/>
          </w:tcPr>
          <w:p w14:paraId="383DE8BC"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0.85</w:t>
            </w:r>
          </w:p>
        </w:tc>
      </w:tr>
      <w:tr w:rsidR="00DF5030" w:rsidRPr="00DF5030" w14:paraId="118224CA" w14:textId="77777777" w:rsidTr="00DE6333">
        <w:trPr>
          <w:trHeight w:val="300"/>
        </w:trPr>
        <w:tc>
          <w:tcPr>
            <w:tcW w:w="1300" w:type="dxa"/>
            <w:tcBorders>
              <w:top w:val="nil"/>
              <w:left w:val="nil"/>
              <w:bottom w:val="nil"/>
              <w:right w:val="nil"/>
            </w:tcBorders>
            <w:shd w:val="clear" w:color="auto" w:fill="auto"/>
            <w:noWrap/>
            <w:vAlign w:val="bottom"/>
            <w:hideMark/>
          </w:tcPr>
          <w:p w14:paraId="058F5D1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12</w:t>
            </w:r>
          </w:p>
        </w:tc>
        <w:tc>
          <w:tcPr>
            <w:tcW w:w="1978" w:type="dxa"/>
            <w:gridSpan w:val="2"/>
            <w:tcBorders>
              <w:top w:val="nil"/>
              <w:left w:val="nil"/>
              <w:bottom w:val="nil"/>
              <w:right w:val="nil"/>
            </w:tcBorders>
            <w:shd w:val="clear" w:color="auto" w:fill="auto"/>
            <w:noWrap/>
            <w:vAlign w:val="bottom"/>
            <w:hideMark/>
          </w:tcPr>
          <w:p w14:paraId="67F2857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12.32</w:t>
            </w:r>
          </w:p>
        </w:tc>
        <w:tc>
          <w:tcPr>
            <w:tcW w:w="1979" w:type="dxa"/>
            <w:gridSpan w:val="2"/>
            <w:tcBorders>
              <w:top w:val="nil"/>
              <w:left w:val="nil"/>
              <w:bottom w:val="nil"/>
              <w:right w:val="nil"/>
            </w:tcBorders>
            <w:shd w:val="clear" w:color="auto" w:fill="auto"/>
            <w:noWrap/>
            <w:vAlign w:val="bottom"/>
            <w:hideMark/>
          </w:tcPr>
          <w:p w14:paraId="5DF7A8E2"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6.21</w:t>
            </w:r>
          </w:p>
        </w:tc>
        <w:tc>
          <w:tcPr>
            <w:tcW w:w="1978" w:type="dxa"/>
            <w:gridSpan w:val="3"/>
            <w:tcBorders>
              <w:top w:val="nil"/>
              <w:left w:val="nil"/>
              <w:bottom w:val="nil"/>
              <w:right w:val="nil"/>
            </w:tcBorders>
            <w:shd w:val="clear" w:color="auto" w:fill="auto"/>
            <w:noWrap/>
            <w:vAlign w:val="bottom"/>
            <w:hideMark/>
          </w:tcPr>
          <w:p w14:paraId="0116C0D8"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99.26</w:t>
            </w:r>
          </w:p>
        </w:tc>
        <w:tc>
          <w:tcPr>
            <w:tcW w:w="1979" w:type="dxa"/>
            <w:gridSpan w:val="2"/>
            <w:tcBorders>
              <w:top w:val="nil"/>
              <w:left w:val="nil"/>
              <w:bottom w:val="nil"/>
              <w:right w:val="nil"/>
            </w:tcBorders>
            <w:shd w:val="clear" w:color="auto" w:fill="auto"/>
            <w:noWrap/>
            <w:vAlign w:val="bottom"/>
            <w:hideMark/>
          </w:tcPr>
          <w:p w14:paraId="60F0D0A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0.75</w:t>
            </w:r>
          </w:p>
        </w:tc>
      </w:tr>
      <w:tr w:rsidR="00DF5030" w:rsidRPr="00DF5030" w14:paraId="228E9541" w14:textId="77777777" w:rsidTr="00DE6333">
        <w:trPr>
          <w:trHeight w:val="300"/>
        </w:trPr>
        <w:tc>
          <w:tcPr>
            <w:tcW w:w="1300" w:type="dxa"/>
            <w:tcBorders>
              <w:top w:val="nil"/>
              <w:left w:val="nil"/>
              <w:bottom w:val="nil"/>
              <w:right w:val="nil"/>
            </w:tcBorders>
            <w:shd w:val="clear" w:color="auto" w:fill="auto"/>
            <w:noWrap/>
            <w:vAlign w:val="bottom"/>
            <w:hideMark/>
          </w:tcPr>
          <w:p w14:paraId="48CA1134"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13</w:t>
            </w:r>
          </w:p>
        </w:tc>
        <w:tc>
          <w:tcPr>
            <w:tcW w:w="1978" w:type="dxa"/>
            <w:gridSpan w:val="2"/>
            <w:tcBorders>
              <w:top w:val="nil"/>
              <w:left w:val="nil"/>
              <w:bottom w:val="nil"/>
              <w:right w:val="nil"/>
            </w:tcBorders>
            <w:shd w:val="clear" w:color="auto" w:fill="auto"/>
            <w:noWrap/>
            <w:vAlign w:val="bottom"/>
            <w:hideMark/>
          </w:tcPr>
          <w:p w14:paraId="0B02DE1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29.79</w:t>
            </w:r>
          </w:p>
        </w:tc>
        <w:tc>
          <w:tcPr>
            <w:tcW w:w="1979" w:type="dxa"/>
            <w:gridSpan w:val="2"/>
            <w:tcBorders>
              <w:top w:val="nil"/>
              <w:left w:val="nil"/>
              <w:bottom w:val="nil"/>
              <w:right w:val="nil"/>
            </w:tcBorders>
            <w:shd w:val="clear" w:color="auto" w:fill="auto"/>
            <w:noWrap/>
            <w:vAlign w:val="bottom"/>
            <w:hideMark/>
          </w:tcPr>
          <w:p w14:paraId="080F0F45"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4.19</w:t>
            </w:r>
          </w:p>
        </w:tc>
        <w:tc>
          <w:tcPr>
            <w:tcW w:w="1978" w:type="dxa"/>
            <w:gridSpan w:val="3"/>
            <w:tcBorders>
              <w:top w:val="nil"/>
              <w:left w:val="nil"/>
              <w:bottom w:val="nil"/>
              <w:right w:val="nil"/>
            </w:tcBorders>
            <w:shd w:val="clear" w:color="auto" w:fill="auto"/>
            <w:noWrap/>
            <w:vAlign w:val="bottom"/>
            <w:hideMark/>
          </w:tcPr>
          <w:p w14:paraId="44C987A8"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99.89</w:t>
            </w:r>
          </w:p>
        </w:tc>
        <w:tc>
          <w:tcPr>
            <w:tcW w:w="1979" w:type="dxa"/>
            <w:gridSpan w:val="2"/>
            <w:tcBorders>
              <w:top w:val="nil"/>
              <w:left w:val="nil"/>
              <w:bottom w:val="nil"/>
              <w:right w:val="nil"/>
            </w:tcBorders>
            <w:shd w:val="clear" w:color="auto" w:fill="auto"/>
            <w:noWrap/>
            <w:vAlign w:val="bottom"/>
            <w:hideMark/>
          </w:tcPr>
          <w:p w14:paraId="02661DB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0.10</w:t>
            </w:r>
          </w:p>
        </w:tc>
      </w:tr>
      <w:tr w:rsidR="00DF5030" w:rsidRPr="00DF5030" w14:paraId="78E275D4" w14:textId="77777777" w:rsidTr="00DE6333">
        <w:trPr>
          <w:trHeight w:val="300"/>
        </w:trPr>
        <w:tc>
          <w:tcPr>
            <w:tcW w:w="1300" w:type="dxa"/>
            <w:tcBorders>
              <w:top w:val="nil"/>
              <w:left w:val="nil"/>
              <w:bottom w:val="nil"/>
              <w:right w:val="nil"/>
            </w:tcBorders>
            <w:shd w:val="clear" w:color="auto" w:fill="auto"/>
            <w:noWrap/>
            <w:vAlign w:val="bottom"/>
            <w:hideMark/>
          </w:tcPr>
          <w:p w14:paraId="530092B1"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14</w:t>
            </w:r>
          </w:p>
        </w:tc>
        <w:tc>
          <w:tcPr>
            <w:tcW w:w="1978" w:type="dxa"/>
            <w:gridSpan w:val="2"/>
            <w:tcBorders>
              <w:top w:val="nil"/>
              <w:left w:val="nil"/>
              <w:bottom w:val="nil"/>
              <w:right w:val="nil"/>
            </w:tcBorders>
            <w:shd w:val="clear" w:color="auto" w:fill="auto"/>
            <w:noWrap/>
            <w:vAlign w:val="bottom"/>
            <w:hideMark/>
          </w:tcPr>
          <w:p w14:paraId="580863FF"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10.73</w:t>
            </w:r>
          </w:p>
        </w:tc>
        <w:tc>
          <w:tcPr>
            <w:tcW w:w="1979" w:type="dxa"/>
            <w:gridSpan w:val="2"/>
            <w:tcBorders>
              <w:top w:val="nil"/>
              <w:left w:val="nil"/>
              <w:bottom w:val="nil"/>
              <w:right w:val="nil"/>
            </w:tcBorders>
            <w:shd w:val="clear" w:color="auto" w:fill="auto"/>
            <w:noWrap/>
            <w:vAlign w:val="bottom"/>
            <w:hideMark/>
          </w:tcPr>
          <w:p w14:paraId="54F1035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4.20</w:t>
            </w:r>
          </w:p>
        </w:tc>
        <w:tc>
          <w:tcPr>
            <w:tcW w:w="1978" w:type="dxa"/>
            <w:gridSpan w:val="3"/>
            <w:tcBorders>
              <w:top w:val="nil"/>
              <w:left w:val="nil"/>
              <w:bottom w:val="nil"/>
              <w:right w:val="nil"/>
            </w:tcBorders>
            <w:shd w:val="clear" w:color="auto" w:fill="auto"/>
            <w:noWrap/>
            <w:vAlign w:val="bottom"/>
            <w:hideMark/>
          </w:tcPr>
          <w:p w14:paraId="3D1A8C1B"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99.59</w:t>
            </w:r>
          </w:p>
        </w:tc>
        <w:tc>
          <w:tcPr>
            <w:tcW w:w="1979" w:type="dxa"/>
            <w:gridSpan w:val="2"/>
            <w:tcBorders>
              <w:top w:val="nil"/>
              <w:left w:val="nil"/>
              <w:bottom w:val="nil"/>
              <w:right w:val="nil"/>
            </w:tcBorders>
            <w:shd w:val="clear" w:color="auto" w:fill="auto"/>
            <w:noWrap/>
            <w:vAlign w:val="bottom"/>
            <w:hideMark/>
          </w:tcPr>
          <w:p w14:paraId="3E7DBDAD"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0.23</w:t>
            </w:r>
          </w:p>
        </w:tc>
      </w:tr>
      <w:tr w:rsidR="00DF5030" w:rsidRPr="00DF5030" w14:paraId="2B36F566" w14:textId="77777777" w:rsidTr="00DE6333">
        <w:trPr>
          <w:trHeight w:val="300"/>
        </w:trPr>
        <w:tc>
          <w:tcPr>
            <w:tcW w:w="1300" w:type="dxa"/>
            <w:tcBorders>
              <w:top w:val="nil"/>
              <w:left w:val="nil"/>
              <w:bottom w:val="nil"/>
              <w:right w:val="nil"/>
            </w:tcBorders>
            <w:shd w:val="clear" w:color="auto" w:fill="auto"/>
            <w:noWrap/>
            <w:vAlign w:val="bottom"/>
            <w:hideMark/>
          </w:tcPr>
          <w:p w14:paraId="22CF3A02"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15</w:t>
            </w:r>
          </w:p>
        </w:tc>
        <w:tc>
          <w:tcPr>
            <w:tcW w:w="1978" w:type="dxa"/>
            <w:gridSpan w:val="2"/>
            <w:tcBorders>
              <w:top w:val="nil"/>
              <w:left w:val="nil"/>
              <w:bottom w:val="nil"/>
              <w:right w:val="nil"/>
            </w:tcBorders>
            <w:shd w:val="clear" w:color="auto" w:fill="auto"/>
            <w:noWrap/>
            <w:vAlign w:val="bottom"/>
            <w:hideMark/>
          </w:tcPr>
          <w:p w14:paraId="02F1191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9.37</w:t>
            </w:r>
          </w:p>
        </w:tc>
        <w:tc>
          <w:tcPr>
            <w:tcW w:w="1979" w:type="dxa"/>
            <w:gridSpan w:val="2"/>
            <w:tcBorders>
              <w:top w:val="nil"/>
              <w:left w:val="nil"/>
              <w:bottom w:val="nil"/>
              <w:right w:val="nil"/>
            </w:tcBorders>
            <w:shd w:val="clear" w:color="auto" w:fill="auto"/>
            <w:noWrap/>
            <w:vAlign w:val="bottom"/>
            <w:hideMark/>
          </w:tcPr>
          <w:p w14:paraId="765C9AA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4.94</w:t>
            </w:r>
          </w:p>
        </w:tc>
        <w:tc>
          <w:tcPr>
            <w:tcW w:w="1978" w:type="dxa"/>
            <w:gridSpan w:val="3"/>
            <w:tcBorders>
              <w:top w:val="nil"/>
              <w:left w:val="nil"/>
              <w:bottom w:val="nil"/>
              <w:right w:val="nil"/>
            </w:tcBorders>
            <w:shd w:val="clear" w:color="auto" w:fill="auto"/>
            <w:noWrap/>
            <w:vAlign w:val="bottom"/>
            <w:hideMark/>
          </w:tcPr>
          <w:p w14:paraId="59A649A5"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99.30</w:t>
            </w:r>
          </w:p>
        </w:tc>
        <w:tc>
          <w:tcPr>
            <w:tcW w:w="1979" w:type="dxa"/>
            <w:gridSpan w:val="2"/>
            <w:tcBorders>
              <w:top w:val="nil"/>
              <w:left w:val="nil"/>
              <w:bottom w:val="nil"/>
              <w:right w:val="nil"/>
            </w:tcBorders>
            <w:shd w:val="clear" w:color="auto" w:fill="auto"/>
            <w:noWrap/>
            <w:vAlign w:val="bottom"/>
            <w:hideMark/>
          </w:tcPr>
          <w:p w14:paraId="5B642046"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0.27</w:t>
            </w:r>
          </w:p>
        </w:tc>
      </w:tr>
      <w:tr w:rsidR="00DF5030" w:rsidRPr="00DF5030" w14:paraId="7AEB7A1F" w14:textId="77777777" w:rsidTr="00DE6333">
        <w:trPr>
          <w:trHeight w:val="300"/>
        </w:trPr>
        <w:tc>
          <w:tcPr>
            <w:tcW w:w="1300" w:type="dxa"/>
            <w:tcBorders>
              <w:top w:val="nil"/>
              <w:left w:val="nil"/>
              <w:bottom w:val="nil"/>
              <w:right w:val="nil"/>
            </w:tcBorders>
            <w:shd w:val="clear" w:color="auto" w:fill="auto"/>
            <w:noWrap/>
            <w:vAlign w:val="bottom"/>
            <w:hideMark/>
          </w:tcPr>
          <w:p w14:paraId="767106F8"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16</w:t>
            </w:r>
          </w:p>
        </w:tc>
        <w:tc>
          <w:tcPr>
            <w:tcW w:w="1978" w:type="dxa"/>
            <w:gridSpan w:val="2"/>
            <w:tcBorders>
              <w:top w:val="nil"/>
              <w:left w:val="nil"/>
              <w:bottom w:val="nil"/>
              <w:right w:val="nil"/>
            </w:tcBorders>
            <w:shd w:val="clear" w:color="auto" w:fill="auto"/>
            <w:noWrap/>
            <w:vAlign w:val="bottom"/>
            <w:hideMark/>
          </w:tcPr>
          <w:p w14:paraId="69254BC8"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10.79</w:t>
            </w:r>
          </w:p>
        </w:tc>
        <w:tc>
          <w:tcPr>
            <w:tcW w:w="1979" w:type="dxa"/>
            <w:gridSpan w:val="2"/>
            <w:tcBorders>
              <w:top w:val="nil"/>
              <w:left w:val="nil"/>
              <w:bottom w:val="nil"/>
              <w:right w:val="nil"/>
            </w:tcBorders>
            <w:shd w:val="clear" w:color="auto" w:fill="auto"/>
            <w:noWrap/>
            <w:vAlign w:val="bottom"/>
            <w:hideMark/>
          </w:tcPr>
          <w:p w14:paraId="56D922E1"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4.44</w:t>
            </w:r>
          </w:p>
        </w:tc>
        <w:tc>
          <w:tcPr>
            <w:tcW w:w="1978" w:type="dxa"/>
            <w:gridSpan w:val="3"/>
            <w:tcBorders>
              <w:top w:val="nil"/>
              <w:left w:val="nil"/>
              <w:bottom w:val="nil"/>
              <w:right w:val="nil"/>
            </w:tcBorders>
            <w:shd w:val="clear" w:color="auto" w:fill="auto"/>
            <w:noWrap/>
            <w:vAlign w:val="bottom"/>
            <w:hideMark/>
          </w:tcPr>
          <w:p w14:paraId="631BE8CE"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99.76</w:t>
            </w:r>
          </w:p>
        </w:tc>
        <w:tc>
          <w:tcPr>
            <w:tcW w:w="1979" w:type="dxa"/>
            <w:gridSpan w:val="2"/>
            <w:tcBorders>
              <w:top w:val="nil"/>
              <w:left w:val="nil"/>
              <w:bottom w:val="nil"/>
              <w:right w:val="nil"/>
            </w:tcBorders>
            <w:shd w:val="clear" w:color="auto" w:fill="auto"/>
            <w:noWrap/>
            <w:vAlign w:val="bottom"/>
            <w:hideMark/>
          </w:tcPr>
          <w:p w14:paraId="40BF0339"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0.17</w:t>
            </w:r>
          </w:p>
        </w:tc>
      </w:tr>
      <w:tr w:rsidR="00DF5030" w:rsidRPr="00DF5030" w14:paraId="01934123" w14:textId="77777777" w:rsidTr="00DE6333">
        <w:trPr>
          <w:trHeight w:val="300"/>
        </w:trPr>
        <w:tc>
          <w:tcPr>
            <w:tcW w:w="1300" w:type="dxa"/>
            <w:tcBorders>
              <w:top w:val="nil"/>
              <w:left w:val="nil"/>
              <w:bottom w:val="nil"/>
              <w:right w:val="nil"/>
            </w:tcBorders>
            <w:shd w:val="clear" w:color="auto" w:fill="auto"/>
            <w:noWrap/>
            <w:vAlign w:val="bottom"/>
            <w:hideMark/>
          </w:tcPr>
          <w:p w14:paraId="36B8DDFD"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17</w:t>
            </w:r>
          </w:p>
        </w:tc>
        <w:tc>
          <w:tcPr>
            <w:tcW w:w="1978" w:type="dxa"/>
            <w:gridSpan w:val="2"/>
            <w:tcBorders>
              <w:top w:val="nil"/>
              <w:left w:val="nil"/>
              <w:bottom w:val="nil"/>
              <w:right w:val="nil"/>
            </w:tcBorders>
            <w:shd w:val="clear" w:color="auto" w:fill="auto"/>
            <w:noWrap/>
            <w:vAlign w:val="bottom"/>
            <w:hideMark/>
          </w:tcPr>
          <w:p w14:paraId="6D290DF2"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17.19</w:t>
            </w:r>
          </w:p>
        </w:tc>
        <w:tc>
          <w:tcPr>
            <w:tcW w:w="1979" w:type="dxa"/>
            <w:gridSpan w:val="2"/>
            <w:tcBorders>
              <w:top w:val="nil"/>
              <w:left w:val="nil"/>
              <w:bottom w:val="nil"/>
              <w:right w:val="nil"/>
            </w:tcBorders>
            <w:shd w:val="clear" w:color="auto" w:fill="auto"/>
            <w:noWrap/>
            <w:vAlign w:val="bottom"/>
            <w:hideMark/>
          </w:tcPr>
          <w:p w14:paraId="5B08F15A"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5.19</w:t>
            </w:r>
          </w:p>
        </w:tc>
        <w:tc>
          <w:tcPr>
            <w:tcW w:w="1978" w:type="dxa"/>
            <w:gridSpan w:val="3"/>
            <w:tcBorders>
              <w:top w:val="nil"/>
              <w:left w:val="nil"/>
              <w:bottom w:val="nil"/>
              <w:right w:val="nil"/>
            </w:tcBorders>
            <w:shd w:val="clear" w:color="auto" w:fill="auto"/>
            <w:noWrap/>
            <w:vAlign w:val="bottom"/>
            <w:hideMark/>
          </w:tcPr>
          <w:p w14:paraId="011FEE07"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99.01</w:t>
            </w:r>
          </w:p>
        </w:tc>
        <w:tc>
          <w:tcPr>
            <w:tcW w:w="1979" w:type="dxa"/>
            <w:gridSpan w:val="2"/>
            <w:tcBorders>
              <w:top w:val="nil"/>
              <w:left w:val="nil"/>
              <w:bottom w:val="nil"/>
              <w:right w:val="nil"/>
            </w:tcBorders>
            <w:shd w:val="clear" w:color="auto" w:fill="auto"/>
            <w:noWrap/>
            <w:vAlign w:val="bottom"/>
            <w:hideMark/>
          </w:tcPr>
          <w:p w14:paraId="40FB3E56" w14:textId="77777777" w:rsidR="00DF5030" w:rsidRPr="00DF5030" w:rsidRDefault="00DF5030" w:rsidP="008E74F8">
            <w:pPr>
              <w:spacing w:before="0" w:after="0"/>
              <w:jc w:val="center"/>
              <w:rPr>
                <w:rFonts w:ascii="Calibri" w:hAnsi="Calibri" w:cs="Calibri"/>
                <w:color w:val="000000"/>
                <w:szCs w:val="22"/>
              </w:rPr>
            </w:pPr>
            <w:r w:rsidRPr="00DF5030">
              <w:rPr>
                <w:rFonts w:ascii="Calibri" w:hAnsi="Calibri" w:cs="Calibri"/>
                <w:color w:val="000000"/>
                <w:szCs w:val="22"/>
              </w:rPr>
              <w:t>2.25</w:t>
            </w:r>
          </w:p>
        </w:tc>
      </w:tr>
      <w:tr w:rsidR="00DF5030" w:rsidRPr="00DF5030" w14:paraId="0EE1C529" w14:textId="77777777" w:rsidTr="00DE6333">
        <w:trPr>
          <w:trHeight w:val="300"/>
        </w:trPr>
        <w:tc>
          <w:tcPr>
            <w:tcW w:w="1300" w:type="dxa"/>
            <w:tcBorders>
              <w:top w:val="nil"/>
              <w:left w:val="nil"/>
              <w:bottom w:val="nil"/>
              <w:right w:val="nil"/>
            </w:tcBorders>
            <w:shd w:val="clear" w:color="auto" w:fill="auto"/>
            <w:noWrap/>
            <w:vAlign w:val="bottom"/>
            <w:hideMark/>
          </w:tcPr>
          <w:p w14:paraId="09369D22" w14:textId="77777777" w:rsidR="00DF5030" w:rsidRPr="00DF5030" w:rsidRDefault="00DF5030" w:rsidP="00DF5030">
            <w:pPr>
              <w:spacing w:before="0" w:after="0"/>
              <w:jc w:val="right"/>
              <w:rPr>
                <w:rFonts w:ascii="Calibri" w:hAnsi="Calibri" w:cs="Calibri"/>
                <w:color w:val="000000"/>
                <w:szCs w:val="22"/>
              </w:rPr>
            </w:pPr>
          </w:p>
        </w:tc>
        <w:tc>
          <w:tcPr>
            <w:tcW w:w="1900" w:type="dxa"/>
            <w:tcBorders>
              <w:top w:val="nil"/>
              <w:left w:val="nil"/>
              <w:bottom w:val="nil"/>
              <w:right w:val="nil"/>
            </w:tcBorders>
            <w:shd w:val="clear" w:color="auto" w:fill="auto"/>
            <w:noWrap/>
            <w:vAlign w:val="bottom"/>
            <w:hideMark/>
          </w:tcPr>
          <w:p w14:paraId="0F36C46C" w14:textId="77777777" w:rsidR="00DF5030" w:rsidRPr="00DF5030" w:rsidRDefault="00DF5030" w:rsidP="00DF5030">
            <w:pPr>
              <w:spacing w:before="0" w:after="0"/>
              <w:rPr>
                <w:rFonts w:ascii="Times New Roman" w:hAnsi="Times New Roman"/>
                <w:sz w:val="20"/>
              </w:rPr>
            </w:pPr>
          </w:p>
        </w:tc>
        <w:tc>
          <w:tcPr>
            <w:tcW w:w="1720" w:type="dxa"/>
            <w:gridSpan w:val="2"/>
            <w:tcBorders>
              <w:top w:val="nil"/>
              <w:left w:val="nil"/>
              <w:bottom w:val="nil"/>
              <w:right w:val="nil"/>
            </w:tcBorders>
            <w:shd w:val="clear" w:color="auto" w:fill="auto"/>
            <w:noWrap/>
            <w:vAlign w:val="bottom"/>
            <w:hideMark/>
          </w:tcPr>
          <w:p w14:paraId="431A2283" w14:textId="77777777" w:rsidR="00DF5030" w:rsidRPr="00DF5030" w:rsidRDefault="00DF5030" w:rsidP="00DF5030">
            <w:pPr>
              <w:spacing w:before="0" w:after="0"/>
              <w:rPr>
                <w:rFonts w:ascii="Times New Roman" w:hAnsi="Times New Roman"/>
                <w:sz w:val="20"/>
              </w:rPr>
            </w:pPr>
          </w:p>
        </w:tc>
        <w:tc>
          <w:tcPr>
            <w:tcW w:w="2026" w:type="dxa"/>
            <w:gridSpan w:val="3"/>
            <w:tcBorders>
              <w:top w:val="nil"/>
              <w:left w:val="nil"/>
              <w:bottom w:val="nil"/>
              <w:right w:val="nil"/>
            </w:tcBorders>
            <w:shd w:val="clear" w:color="auto" w:fill="auto"/>
            <w:noWrap/>
            <w:vAlign w:val="bottom"/>
            <w:hideMark/>
          </w:tcPr>
          <w:p w14:paraId="5CAAD16B" w14:textId="77777777" w:rsidR="00DF5030" w:rsidRPr="00DF5030" w:rsidRDefault="00DF5030" w:rsidP="00DF5030">
            <w:pPr>
              <w:spacing w:before="0" w:after="0"/>
              <w:rPr>
                <w:rFonts w:ascii="Times New Roman" w:hAnsi="Times New Roman"/>
                <w:sz w:val="20"/>
              </w:rPr>
            </w:pPr>
          </w:p>
        </w:tc>
        <w:tc>
          <w:tcPr>
            <w:tcW w:w="2268" w:type="dxa"/>
            <w:gridSpan w:val="3"/>
            <w:tcBorders>
              <w:top w:val="nil"/>
              <w:left w:val="nil"/>
              <w:bottom w:val="nil"/>
              <w:right w:val="nil"/>
            </w:tcBorders>
            <w:shd w:val="clear" w:color="auto" w:fill="auto"/>
            <w:noWrap/>
            <w:vAlign w:val="bottom"/>
            <w:hideMark/>
          </w:tcPr>
          <w:p w14:paraId="2030E584" w14:textId="77777777" w:rsidR="00DF5030" w:rsidRPr="00DF5030" w:rsidRDefault="00DF5030" w:rsidP="00DF5030">
            <w:pPr>
              <w:spacing w:before="0" w:after="0"/>
              <w:rPr>
                <w:rFonts w:ascii="Times New Roman" w:hAnsi="Times New Roman"/>
                <w:sz w:val="20"/>
              </w:rPr>
            </w:pPr>
          </w:p>
        </w:tc>
      </w:tr>
      <w:tr w:rsidR="005F4C1A" w:rsidRPr="00DF5030" w14:paraId="61DED1D4" w14:textId="77777777" w:rsidTr="00DE6333">
        <w:trPr>
          <w:gridAfter w:val="1"/>
          <w:wAfter w:w="654" w:type="dxa"/>
          <w:trHeight w:val="300"/>
        </w:trPr>
        <w:tc>
          <w:tcPr>
            <w:tcW w:w="1300" w:type="dxa"/>
            <w:tcBorders>
              <w:top w:val="nil"/>
              <w:left w:val="nil"/>
              <w:bottom w:val="nil"/>
              <w:right w:val="nil"/>
            </w:tcBorders>
            <w:shd w:val="clear" w:color="auto" w:fill="auto"/>
            <w:noWrap/>
            <w:vAlign w:val="bottom"/>
            <w:hideMark/>
          </w:tcPr>
          <w:p w14:paraId="06555EF6" w14:textId="4587D818" w:rsidR="005F4C1A" w:rsidRPr="00DF5030" w:rsidRDefault="005F4C1A" w:rsidP="003C1424">
            <w:pPr>
              <w:spacing w:before="0" w:after="0"/>
              <w:rPr>
                <w:rFonts w:ascii="Times New Roman" w:hAnsi="Times New Roman"/>
                <w:sz w:val="20"/>
              </w:rPr>
            </w:pPr>
            <w:r w:rsidRPr="00DF5030">
              <w:rPr>
                <w:rFonts w:ascii="Calibri" w:hAnsi="Calibri" w:cs="Calibri"/>
                <w:b/>
                <w:bCs/>
                <w:color w:val="000000"/>
                <w:szCs w:val="22"/>
              </w:rPr>
              <w:t> </w:t>
            </w:r>
          </w:p>
        </w:tc>
        <w:tc>
          <w:tcPr>
            <w:tcW w:w="1900"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1428A52A" w14:textId="6D4A3878" w:rsidR="005F4C1A" w:rsidRPr="00DF5030" w:rsidRDefault="008B4B01" w:rsidP="003C1424">
            <w:pPr>
              <w:spacing w:before="0" w:after="0"/>
              <w:jc w:val="center"/>
              <w:rPr>
                <w:rFonts w:ascii="Calibri" w:hAnsi="Calibri" w:cs="Calibri"/>
                <w:b/>
                <w:bCs/>
                <w:color w:val="000000"/>
                <w:szCs w:val="22"/>
              </w:rPr>
            </w:pPr>
            <w:r>
              <w:rPr>
                <w:rFonts w:ascii="Calibri" w:hAnsi="Calibri" w:cs="Calibri"/>
                <w:b/>
                <w:bCs/>
                <w:color w:val="000000"/>
                <w:szCs w:val="22"/>
              </w:rPr>
              <w:t xml:space="preserve">Total </w:t>
            </w:r>
            <w:r w:rsidR="005F4C1A" w:rsidRPr="00DF5030">
              <w:rPr>
                <w:rFonts w:ascii="Calibri" w:hAnsi="Calibri" w:cs="Calibri"/>
                <w:b/>
                <w:bCs/>
                <w:color w:val="000000"/>
                <w:szCs w:val="22"/>
              </w:rPr>
              <w:t>Average</w:t>
            </w:r>
          </w:p>
        </w:tc>
        <w:tc>
          <w:tcPr>
            <w:tcW w:w="2680" w:type="dxa"/>
            <w:gridSpan w:val="4"/>
            <w:tcBorders>
              <w:top w:val="nil"/>
              <w:left w:val="nil"/>
              <w:bottom w:val="nil"/>
              <w:right w:val="nil"/>
            </w:tcBorders>
            <w:shd w:val="clear" w:color="auto" w:fill="auto"/>
            <w:noWrap/>
            <w:vAlign w:val="bottom"/>
            <w:hideMark/>
          </w:tcPr>
          <w:p w14:paraId="3307F646" w14:textId="77777777" w:rsidR="005F4C1A" w:rsidRPr="00DF5030" w:rsidRDefault="005F4C1A" w:rsidP="003C1424">
            <w:pPr>
              <w:spacing w:before="0" w:after="0"/>
              <w:jc w:val="center"/>
              <w:rPr>
                <w:rFonts w:ascii="Calibri" w:hAnsi="Calibri" w:cs="Calibri"/>
                <w:b/>
                <w:bCs/>
                <w:color w:val="000000"/>
                <w:szCs w:val="22"/>
              </w:rPr>
            </w:pPr>
          </w:p>
        </w:tc>
        <w:tc>
          <w:tcPr>
            <w:tcW w:w="2680" w:type="dxa"/>
            <w:gridSpan w:val="3"/>
            <w:tcBorders>
              <w:top w:val="nil"/>
              <w:left w:val="nil"/>
              <w:bottom w:val="nil"/>
              <w:right w:val="nil"/>
            </w:tcBorders>
            <w:shd w:val="clear" w:color="auto" w:fill="auto"/>
            <w:noWrap/>
            <w:vAlign w:val="bottom"/>
            <w:hideMark/>
          </w:tcPr>
          <w:p w14:paraId="537F9E0A" w14:textId="77777777" w:rsidR="005F4C1A" w:rsidRPr="00DF5030" w:rsidRDefault="005F4C1A" w:rsidP="003C1424">
            <w:pPr>
              <w:spacing w:before="0" w:after="0"/>
              <w:rPr>
                <w:rFonts w:ascii="Times New Roman" w:hAnsi="Times New Roman"/>
                <w:sz w:val="20"/>
              </w:rPr>
            </w:pPr>
          </w:p>
        </w:tc>
      </w:tr>
      <w:tr w:rsidR="005F4C1A" w:rsidRPr="00DF5030" w14:paraId="66DEF0E7" w14:textId="77777777" w:rsidTr="00DE6333">
        <w:trPr>
          <w:gridAfter w:val="1"/>
          <w:wAfter w:w="654" w:type="dxa"/>
          <w:trHeight w:val="300"/>
        </w:trPr>
        <w:tc>
          <w:tcPr>
            <w:tcW w:w="1300" w:type="dxa"/>
            <w:tcBorders>
              <w:top w:val="nil"/>
              <w:left w:val="nil"/>
              <w:bottom w:val="nil"/>
              <w:right w:val="nil"/>
            </w:tcBorders>
            <w:shd w:val="clear" w:color="auto" w:fill="auto"/>
            <w:noWrap/>
            <w:vAlign w:val="bottom"/>
            <w:hideMark/>
          </w:tcPr>
          <w:p w14:paraId="3C2496F2" w14:textId="6DBC4C5C" w:rsidR="005F4C1A" w:rsidRPr="00DF5030" w:rsidRDefault="005F4C1A" w:rsidP="003C1424">
            <w:pPr>
              <w:spacing w:before="0" w:after="0"/>
              <w:rPr>
                <w:rFonts w:ascii="Times New Roman" w:hAnsi="Times New Roman"/>
                <w:sz w:val="20"/>
              </w:rPr>
            </w:pPr>
            <w:r w:rsidRPr="00DF5030">
              <w:rPr>
                <w:rFonts w:ascii="Calibri" w:hAnsi="Calibri" w:cs="Calibri"/>
                <w:color w:val="000000"/>
                <w:szCs w:val="22"/>
              </w:rPr>
              <w:t>Av</w:t>
            </w:r>
            <w:r w:rsidR="000D6E36">
              <w:rPr>
                <w:rFonts w:ascii="Calibri" w:hAnsi="Calibri" w:cs="Calibri"/>
                <w:color w:val="000000"/>
                <w:szCs w:val="22"/>
              </w:rPr>
              <w:t xml:space="preserve"> </w:t>
            </w:r>
            <w:r w:rsidRPr="00DF5030">
              <w:rPr>
                <w:rFonts w:ascii="Calibri" w:hAnsi="Calibri" w:cs="Calibri"/>
                <w:color w:val="000000"/>
                <w:szCs w:val="22"/>
              </w:rPr>
              <w:t>Y</w:t>
            </w:r>
            <w:r w:rsidRPr="00735679">
              <w:rPr>
                <w:rFonts w:ascii="Calibri" w:hAnsi="Calibri" w:cs="Calibri"/>
                <w:color w:val="000000"/>
                <w:szCs w:val="22"/>
                <w:vertAlign w:val="superscript"/>
              </w:rPr>
              <w:t>in</w:t>
            </w:r>
          </w:p>
        </w:tc>
        <w:tc>
          <w:tcPr>
            <w:tcW w:w="1900" w:type="dxa"/>
            <w:tcBorders>
              <w:top w:val="nil"/>
              <w:left w:val="single" w:sz="4" w:space="0" w:color="auto"/>
              <w:bottom w:val="single" w:sz="4" w:space="0" w:color="auto"/>
              <w:right w:val="single" w:sz="4" w:space="0" w:color="auto"/>
            </w:tcBorders>
            <w:shd w:val="clear" w:color="auto" w:fill="auto"/>
            <w:noWrap/>
            <w:vAlign w:val="bottom"/>
          </w:tcPr>
          <w:p w14:paraId="62BF8F17" w14:textId="2B9E76A8" w:rsidR="005F4C1A" w:rsidRPr="00DF5030" w:rsidRDefault="005F4C1A" w:rsidP="003C1424">
            <w:pPr>
              <w:spacing w:before="0" w:after="0"/>
              <w:jc w:val="center"/>
              <w:rPr>
                <w:rFonts w:ascii="Calibri" w:hAnsi="Calibri" w:cs="Calibri"/>
                <w:color w:val="000000"/>
                <w:szCs w:val="22"/>
              </w:rPr>
            </w:pPr>
            <w:r w:rsidRPr="00DF5030">
              <w:rPr>
                <w:rFonts w:ascii="Calibri" w:hAnsi="Calibri" w:cs="Calibri"/>
                <w:color w:val="000000"/>
                <w:szCs w:val="22"/>
              </w:rPr>
              <w:t>14.06</w:t>
            </w:r>
          </w:p>
        </w:tc>
        <w:tc>
          <w:tcPr>
            <w:tcW w:w="2680" w:type="dxa"/>
            <w:gridSpan w:val="4"/>
            <w:tcBorders>
              <w:top w:val="nil"/>
              <w:left w:val="nil"/>
              <w:bottom w:val="nil"/>
              <w:right w:val="nil"/>
            </w:tcBorders>
            <w:shd w:val="clear" w:color="auto" w:fill="auto"/>
            <w:noWrap/>
            <w:vAlign w:val="bottom"/>
            <w:hideMark/>
          </w:tcPr>
          <w:p w14:paraId="01C66CE4" w14:textId="77777777" w:rsidR="005F4C1A" w:rsidRPr="00DF5030" w:rsidRDefault="005F4C1A" w:rsidP="003C1424">
            <w:pPr>
              <w:spacing w:before="0" w:after="0"/>
              <w:jc w:val="center"/>
              <w:rPr>
                <w:rFonts w:ascii="Calibri" w:hAnsi="Calibri" w:cs="Calibri"/>
                <w:color w:val="000000"/>
                <w:szCs w:val="22"/>
              </w:rPr>
            </w:pPr>
          </w:p>
        </w:tc>
        <w:tc>
          <w:tcPr>
            <w:tcW w:w="2680" w:type="dxa"/>
            <w:gridSpan w:val="3"/>
            <w:tcBorders>
              <w:top w:val="nil"/>
              <w:left w:val="nil"/>
              <w:bottom w:val="nil"/>
              <w:right w:val="nil"/>
            </w:tcBorders>
            <w:shd w:val="clear" w:color="auto" w:fill="auto"/>
            <w:noWrap/>
            <w:vAlign w:val="bottom"/>
            <w:hideMark/>
          </w:tcPr>
          <w:p w14:paraId="344C1C1A" w14:textId="77777777" w:rsidR="005F4C1A" w:rsidRPr="00DF5030" w:rsidRDefault="005F4C1A" w:rsidP="003C1424">
            <w:pPr>
              <w:spacing w:before="0" w:after="0"/>
              <w:rPr>
                <w:rFonts w:ascii="Times New Roman" w:hAnsi="Times New Roman"/>
                <w:sz w:val="20"/>
              </w:rPr>
            </w:pPr>
          </w:p>
        </w:tc>
      </w:tr>
      <w:tr w:rsidR="005F4C1A" w:rsidRPr="00DF5030" w14:paraId="7DF3AE04" w14:textId="77777777" w:rsidTr="00DE6333">
        <w:trPr>
          <w:gridAfter w:val="1"/>
          <w:wAfter w:w="654" w:type="dxa"/>
          <w:trHeight w:val="300"/>
        </w:trPr>
        <w:tc>
          <w:tcPr>
            <w:tcW w:w="1300" w:type="dxa"/>
            <w:tcBorders>
              <w:top w:val="nil"/>
              <w:left w:val="nil"/>
              <w:bottom w:val="nil"/>
              <w:right w:val="nil"/>
            </w:tcBorders>
            <w:shd w:val="clear" w:color="auto" w:fill="auto"/>
            <w:noWrap/>
            <w:vAlign w:val="bottom"/>
            <w:hideMark/>
          </w:tcPr>
          <w:p w14:paraId="11CCCE80" w14:textId="6AA5777D" w:rsidR="005F4C1A" w:rsidRPr="00DF5030" w:rsidRDefault="000D6E36" w:rsidP="003C1424">
            <w:pPr>
              <w:spacing w:before="0" w:after="0"/>
              <w:rPr>
                <w:rFonts w:ascii="Times New Roman" w:hAnsi="Times New Roman"/>
                <w:sz w:val="20"/>
              </w:rPr>
            </w:pPr>
            <w:r>
              <w:rPr>
                <w:rFonts w:ascii="Calibri" w:hAnsi="Calibri" w:cs="Calibri"/>
                <w:color w:val="000000"/>
                <w:szCs w:val="22"/>
              </w:rPr>
              <w:t xml:space="preserve">Av </w:t>
            </w:r>
            <w:r w:rsidR="005F4C1A" w:rsidRPr="00DF5030">
              <w:rPr>
                <w:rFonts w:ascii="Calibri" w:hAnsi="Calibri" w:cs="Calibri"/>
                <w:color w:val="000000"/>
                <w:szCs w:val="22"/>
              </w:rPr>
              <w:t>Unit Eff</w:t>
            </w:r>
          </w:p>
        </w:tc>
        <w:tc>
          <w:tcPr>
            <w:tcW w:w="1900" w:type="dxa"/>
            <w:tcBorders>
              <w:top w:val="nil"/>
              <w:left w:val="single" w:sz="4" w:space="0" w:color="auto"/>
              <w:bottom w:val="single" w:sz="4" w:space="0" w:color="auto"/>
              <w:right w:val="single" w:sz="4" w:space="0" w:color="auto"/>
            </w:tcBorders>
            <w:shd w:val="clear" w:color="auto" w:fill="auto"/>
            <w:noWrap/>
            <w:vAlign w:val="bottom"/>
          </w:tcPr>
          <w:p w14:paraId="791AAC49" w14:textId="5421AD11" w:rsidR="005F4C1A" w:rsidRPr="00DF5030" w:rsidRDefault="005F4C1A" w:rsidP="003C1424">
            <w:pPr>
              <w:spacing w:before="0" w:after="0"/>
              <w:jc w:val="center"/>
              <w:rPr>
                <w:rFonts w:ascii="Calibri" w:hAnsi="Calibri" w:cs="Calibri"/>
                <w:color w:val="000000"/>
                <w:szCs w:val="22"/>
              </w:rPr>
            </w:pPr>
            <w:r w:rsidRPr="00DF5030">
              <w:rPr>
                <w:rFonts w:ascii="Calibri" w:hAnsi="Calibri" w:cs="Calibri"/>
                <w:color w:val="000000"/>
                <w:szCs w:val="22"/>
              </w:rPr>
              <w:t>99.17</w:t>
            </w:r>
          </w:p>
        </w:tc>
        <w:tc>
          <w:tcPr>
            <w:tcW w:w="2680" w:type="dxa"/>
            <w:gridSpan w:val="4"/>
            <w:tcBorders>
              <w:top w:val="nil"/>
              <w:left w:val="nil"/>
              <w:bottom w:val="nil"/>
              <w:right w:val="nil"/>
            </w:tcBorders>
            <w:shd w:val="clear" w:color="auto" w:fill="auto"/>
            <w:noWrap/>
            <w:vAlign w:val="bottom"/>
            <w:hideMark/>
          </w:tcPr>
          <w:p w14:paraId="18400B5F" w14:textId="77777777" w:rsidR="005F4C1A" w:rsidRPr="00DF5030" w:rsidRDefault="005F4C1A" w:rsidP="003C1424">
            <w:pPr>
              <w:spacing w:before="0" w:after="0"/>
              <w:jc w:val="center"/>
              <w:rPr>
                <w:rFonts w:ascii="Calibri" w:hAnsi="Calibri" w:cs="Calibri"/>
                <w:color w:val="000000"/>
                <w:szCs w:val="22"/>
              </w:rPr>
            </w:pPr>
          </w:p>
        </w:tc>
        <w:tc>
          <w:tcPr>
            <w:tcW w:w="2680" w:type="dxa"/>
            <w:gridSpan w:val="3"/>
            <w:tcBorders>
              <w:top w:val="nil"/>
              <w:left w:val="nil"/>
              <w:bottom w:val="nil"/>
              <w:right w:val="nil"/>
            </w:tcBorders>
            <w:shd w:val="clear" w:color="auto" w:fill="auto"/>
            <w:noWrap/>
            <w:vAlign w:val="bottom"/>
            <w:hideMark/>
          </w:tcPr>
          <w:p w14:paraId="6C010397" w14:textId="77777777" w:rsidR="005F4C1A" w:rsidRPr="00DF5030" w:rsidRDefault="005F4C1A" w:rsidP="003C1424">
            <w:pPr>
              <w:spacing w:before="0" w:after="0"/>
              <w:rPr>
                <w:rFonts w:ascii="Times New Roman" w:hAnsi="Times New Roman"/>
                <w:sz w:val="20"/>
              </w:rPr>
            </w:pPr>
          </w:p>
        </w:tc>
      </w:tr>
    </w:tbl>
    <w:p w14:paraId="55BE3517" w14:textId="65EC742A" w:rsidR="007E30F6" w:rsidRPr="007E30F6" w:rsidRDefault="00EA5A27" w:rsidP="007E30F6">
      <w:r>
        <w:t>*</w:t>
      </w:r>
      <w:r w:rsidR="002D4AE9">
        <w:t xml:space="preserve">Averages are taken from raw data provided by industry to the ATO. </w:t>
      </w:r>
    </w:p>
    <w:sectPr w:rsidR="007E30F6" w:rsidRPr="007E30F6" w:rsidSect="009927E5">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CAD9" w14:textId="77777777" w:rsidR="00632D91" w:rsidRDefault="00632D91">
      <w:pPr>
        <w:spacing w:before="0" w:after="0"/>
      </w:pPr>
      <w:r>
        <w:separator/>
      </w:r>
    </w:p>
  </w:endnote>
  <w:endnote w:type="continuationSeparator" w:id="0">
    <w:p w14:paraId="5C03C115" w14:textId="77777777" w:rsidR="00632D91" w:rsidRDefault="00632D91">
      <w:pPr>
        <w:spacing w:before="0" w:after="0"/>
      </w:pPr>
      <w:r>
        <w:continuationSeparator/>
      </w:r>
    </w:p>
  </w:endnote>
  <w:endnote w:type="continuationNotice" w:id="1">
    <w:p w14:paraId="55FDF952" w14:textId="77777777" w:rsidR="00632D91" w:rsidRDefault="00632D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4D9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2BB3" w14:textId="338FCB13" w:rsidR="009927E5" w:rsidRPr="008043EA" w:rsidRDefault="009927E5" w:rsidP="0009151A">
    <w:r w:rsidRPr="00742366">
      <w:rPr>
        <w:noProof/>
      </w:rPr>
      <w:drawing>
        <wp:anchor distT="0" distB="0" distL="114300" distR="114300" simplePos="0" relativeHeight="251658241" behindDoc="1" locked="1" layoutInCell="1" allowOverlap="1" wp14:anchorId="17725D82" wp14:editId="1979F588">
          <wp:simplePos x="0" y="0"/>
          <wp:positionH relativeFrom="margin">
            <wp:posOffset>5459095</wp:posOffset>
          </wp:positionH>
          <wp:positionV relativeFrom="page">
            <wp:posOffset>3280410</wp:posOffset>
          </wp:positionV>
          <wp:extent cx="7574280" cy="1043940"/>
          <wp:effectExtent l="762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6CD29CF" wp14:editId="37C9EE60">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9E26C5">
      <w:fldChar w:fldCharType="begin"/>
    </w:r>
    <w:r w:rsidR="009E26C5">
      <w:instrText>STYLEREF  "Heading 1"  \* MERGEFORMAT</w:instrText>
    </w:r>
    <w:r w:rsidR="009E26C5">
      <w:fldChar w:fldCharType="separate"/>
    </w:r>
    <w:r w:rsidR="00B6589B">
      <w:rPr>
        <w:noProof/>
      </w:rPr>
      <w:t>Contents</w:t>
    </w:r>
    <w:r w:rsidR="009E26C5">
      <w:rPr>
        <w:noProof/>
      </w:rPr>
      <w:fldChar w:fldCharType="end"/>
    </w:r>
    <w:r>
      <w:t xml:space="preserve"> | </w:t>
    </w:r>
    <w:r>
      <w:fldChar w:fldCharType="begin"/>
    </w:r>
    <w:r>
      <w:instrText xml:space="preserve"> PAGE   \* MERGEFORMAT </w:instrText>
    </w:r>
    <w:r>
      <w:fldChar w:fldCharType="separate"/>
    </w:r>
    <w:r>
      <w:t>1</w:t>
    </w:r>
    <w:r>
      <w:fldChar w:fldCharType="end"/>
    </w:r>
  </w:p>
  <w:p w14:paraId="223633B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1F3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C024" w14:textId="6E122437" w:rsidR="00E81A40" w:rsidRPr="00E13E90" w:rsidRDefault="00E81A40" w:rsidP="00E13E90">
    <w:pPr>
      <w:pStyle w:val="Footer"/>
    </w:pPr>
    <w:r w:rsidRPr="00742366">
      <w:drawing>
        <wp:anchor distT="0" distB="0" distL="114300" distR="114300" simplePos="0" relativeHeight="251658243" behindDoc="1" locked="1" layoutInCell="1" allowOverlap="1" wp14:anchorId="61F0E25B" wp14:editId="7128B46B">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19E5446" wp14:editId="7213CE61">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9E26C5">
      <w:fldChar w:fldCharType="begin"/>
    </w:r>
    <w:r w:rsidR="009E26C5">
      <w:instrText>STYLEREF  "Heading 1"  \* MERGEFORMAT</w:instrText>
    </w:r>
    <w:r w:rsidR="009E26C5">
      <w:fldChar w:fldCharType="separate"/>
    </w:r>
    <w:r w:rsidR="009E26C5">
      <w:t>Appendix B</w:t>
    </w:r>
    <w:r w:rsidR="009E26C5">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6E99"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D9FD" w14:textId="77777777" w:rsidR="00632D91" w:rsidRDefault="00632D91">
      <w:pPr>
        <w:spacing w:before="0" w:after="0"/>
      </w:pPr>
      <w:r>
        <w:separator/>
      </w:r>
    </w:p>
  </w:footnote>
  <w:footnote w:type="continuationSeparator" w:id="0">
    <w:p w14:paraId="15497E8E" w14:textId="77777777" w:rsidR="00632D91" w:rsidRDefault="00632D91">
      <w:pPr>
        <w:spacing w:before="0" w:after="0"/>
      </w:pPr>
      <w:r>
        <w:continuationSeparator/>
      </w:r>
    </w:p>
  </w:footnote>
  <w:footnote w:type="continuationNotice" w:id="1">
    <w:p w14:paraId="7F968F9F" w14:textId="77777777" w:rsidR="00632D91" w:rsidRDefault="00632D91">
      <w:pPr>
        <w:spacing w:before="0" w:after="0"/>
      </w:pPr>
    </w:p>
  </w:footnote>
  <w:footnote w:id="2">
    <w:p w14:paraId="49DF2BC6" w14:textId="77777777" w:rsidR="00164C01" w:rsidRDefault="00164C01" w:rsidP="00164C01">
      <w:pPr>
        <w:pStyle w:val="FootnoteText"/>
      </w:pPr>
      <w:r>
        <w:rPr>
          <w:rStyle w:val="FootnoteReference"/>
        </w:rPr>
        <w:footnoteRef/>
      </w:r>
      <w:r>
        <w:t xml:space="preserve"> Refunds of duty for excisable goods returned to a licensed premise are paid pursuant to Item 7 of the table in </w:t>
      </w:r>
      <w:hyperlink r:id="rId1">
        <w:r w:rsidRPr="4A34A76D">
          <w:rPr>
            <w:rStyle w:val="Hyperlink"/>
          </w:rPr>
          <w:t>Schedule 1 to Excise Regulation</w:t>
        </w:r>
      </w:hyperlink>
      <w:r>
        <w:t>.  Excise duty refunds under Item 7 are not subject to any time constraints (</w:t>
      </w:r>
      <w:hyperlink r:id="rId2">
        <w:r w:rsidRPr="4A34A76D">
          <w:rPr>
            <w:rStyle w:val="Hyperlink"/>
          </w:rPr>
          <w:t>Section 11</w:t>
        </w:r>
      </w:hyperlink>
      <w:r>
        <w:t xml:space="preserve"> of Excise Regulation 2015). </w:t>
      </w:r>
    </w:p>
  </w:footnote>
  <w:footnote w:id="3">
    <w:p w14:paraId="3BAAD185" w14:textId="72F6A794" w:rsidR="002A3935" w:rsidRDefault="002A3935">
      <w:pPr>
        <w:pStyle w:val="FootnoteText"/>
      </w:pPr>
      <w:r>
        <w:rPr>
          <w:rStyle w:val="FootnoteReference"/>
        </w:rPr>
        <w:footnoteRef/>
      </w:r>
      <w:r>
        <w:t xml:space="preserve"> </w:t>
      </w:r>
      <w:r w:rsidR="00790C73">
        <w:t xml:space="preserve">See </w:t>
      </w:r>
      <w:r w:rsidR="003B16B3">
        <w:t>A</w:t>
      </w:r>
      <w:r w:rsidR="00790C73">
        <w:t>ppendi</w:t>
      </w:r>
      <w:r w:rsidR="00AE683F">
        <w:t>x</w:t>
      </w:r>
      <w:r w:rsidR="00790C73">
        <w:t xml:space="preserve"> </w:t>
      </w:r>
      <w:r w:rsidR="00D8211F">
        <w:t>A</w:t>
      </w:r>
      <w:r w:rsidR="007E2FE6">
        <w:t xml:space="preserve"> </w:t>
      </w:r>
      <w:r w:rsidR="00790C73">
        <w:t>f</w:t>
      </w:r>
      <w:r w:rsidR="00767F5C">
        <w:t>or</w:t>
      </w:r>
      <w:r w:rsidR="005F7808">
        <w:t xml:space="preserve"> derivation </w:t>
      </w:r>
      <w:r w:rsidR="00E2588F">
        <w:t xml:space="preserve">of </w:t>
      </w:r>
      <w:r w:rsidR="00E2588F" w:rsidRPr="00C3090C">
        <w:rPr>
          <w:rFonts w:eastAsia="Calibri"/>
          <w:bCs/>
        </w:rPr>
        <w:t>R</w:t>
      </w:r>
      <w:r w:rsidR="00E2588F" w:rsidRPr="00C3090C">
        <w:rPr>
          <w:rFonts w:eastAsia="Calibri"/>
          <w:bCs/>
          <w:vertAlign w:val="subscript"/>
        </w:rPr>
        <w:t>av</w:t>
      </w:r>
      <w:r w:rsidR="00591206">
        <w:rPr>
          <w:rFonts w:eastAsia="Calibri"/>
          <w:bCs/>
          <w:vertAlign w:val="subscript"/>
        </w:rPr>
        <w:t>.</w:t>
      </w:r>
      <w:r w:rsidR="00AE683F" w:rsidRPr="00AE683F">
        <w:t xml:space="preserve"> </w:t>
      </w:r>
    </w:p>
  </w:footnote>
  <w:footnote w:id="4">
    <w:p w14:paraId="3A14B553" w14:textId="4111C0AA" w:rsidR="004D5E03" w:rsidRDefault="004D5E03" w:rsidP="004D5E03">
      <w:pPr>
        <w:pStyle w:val="FootnoteText"/>
      </w:pPr>
      <w:r>
        <w:rPr>
          <w:rStyle w:val="FootnoteReference"/>
        </w:rPr>
        <w:footnoteRef/>
      </w:r>
      <w:r>
        <w:t xml:space="preserve"> See Appendix B for consolidated data</w:t>
      </w:r>
      <w:r w:rsidR="00591206">
        <w:t>.</w:t>
      </w:r>
    </w:p>
  </w:footnote>
  <w:footnote w:id="5">
    <w:p w14:paraId="65567571" w14:textId="67A48282" w:rsidR="00096F91" w:rsidRDefault="00096F91">
      <w:pPr>
        <w:pStyle w:val="FootnoteText"/>
      </w:pPr>
      <w:r w:rsidRPr="00EB5F1C">
        <w:rPr>
          <w:rStyle w:val="FootnoteReference"/>
        </w:rPr>
        <w:footnoteRef/>
      </w:r>
      <w:r w:rsidRPr="00EB5F1C">
        <w:t xml:space="preserve"> </w:t>
      </w:r>
      <w:r w:rsidR="00690360" w:rsidRPr="00EB5F1C">
        <w:t xml:space="preserve">This figure has been determined </w:t>
      </w:r>
      <w:r w:rsidR="00B53F16" w:rsidRPr="00EB5F1C">
        <w:t>using data provided by industry to the ATO.</w:t>
      </w:r>
      <w:r w:rsidR="00B53F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52DF"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E9C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D364"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AC1F"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58CA9C3C" wp14:editId="6FD88EF3">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0EC8"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5D75CB"/>
    <w:multiLevelType w:val="hybridMultilevel"/>
    <w:tmpl w:val="9D9E24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7B023E"/>
    <w:multiLevelType w:val="hybridMultilevel"/>
    <w:tmpl w:val="D2663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0D2021"/>
    <w:multiLevelType w:val="multilevel"/>
    <w:tmpl w:val="72F8140E"/>
    <w:numStyleLink w:val="OutlineList"/>
  </w:abstractNum>
  <w:abstractNum w:abstractNumId="12" w15:restartNumberingAfterBreak="0">
    <w:nsid w:val="6268780C"/>
    <w:multiLevelType w:val="hybridMultilevel"/>
    <w:tmpl w:val="8A64C3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6"/>
  </w:num>
  <w:num w:numId="2">
    <w:abstractNumId w:val="0"/>
  </w:num>
  <w:num w:numId="3">
    <w:abstractNumId w:val="8"/>
  </w:num>
  <w:num w:numId="4">
    <w:abstractNumId w:val="2"/>
  </w:num>
  <w:num w:numId="5">
    <w:abstractNumId w:val="3"/>
  </w:num>
  <w:num w:numId="6">
    <w:abstractNumId w:val="11"/>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4"/>
  </w:num>
  <w:num w:numId="12">
    <w:abstractNumId w:val="11"/>
  </w:num>
  <w:num w:numId="13">
    <w:abstractNumId w:val="5"/>
  </w:num>
  <w:num w:numId="14">
    <w:abstractNumId w:val="7"/>
  </w:num>
  <w:num w:numId="15">
    <w:abstractNumId w:val="5"/>
  </w:num>
  <w:num w:numId="1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6"/>
  </w:num>
  <w:num w:numId="21">
    <w:abstractNumId w:val="6"/>
  </w:num>
  <w:num w:numId="22">
    <w:abstractNumId w:val="6"/>
  </w:num>
  <w:num w:numId="23">
    <w:abstractNumId w:val="6"/>
  </w:num>
  <w:num w:numId="24">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7"/>
  </w:num>
  <w:num w:numId="26">
    <w:abstractNumId w:val="4"/>
  </w:num>
  <w:num w:numId="27">
    <w:abstractNumId w:val="4"/>
  </w:num>
  <w:num w:numId="28">
    <w:abstractNumId w:val="4"/>
  </w:num>
  <w:num w:numId="29">
    <w:abstractNumId w:val="3"/>
  </w:num>
  <w:num w:numId="30">
    <w:abstractNumId w:val="8"/>
  </w:num>
  <w:num w:numId="31">
    <w:abstractNumId w:val="11"/>
  </w:num>
  <w:num w:numId="32">
    <w:abstractNumId w:val="11"/>
  </w:num>
  <w:num w:numId="33">
    <w:abstractNumId w:val="11"/>
  </w:num>
  <w:num w:numId="34">
    <w:abstractNumId w:val="2"/>
  </w:num>
  <w:num w:numId="35">
    <w:abstractNumId w:val="5"/>
  </w:num>
  <w:num w:numId="36">
    <w:abstractNumId w:val="12"/>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B2"/>
    <w:rsid w:val="00000A59"/>
    <w:rsid w:val="00000CAC"/>
    <w:rsid w:val="0000145F"/>
    <w:rsid w:val="00001C05"/>
    <w:rsid w:val="000029B8"/>
    <w:rsid w:val="00002ACE"/>
    <w:rsid w:val="00002F51"/>
    <w:rsid w:val="0000344B"/>
    <w:rsid w:val="00003513"/>
    <w:rsid w:val="00003B6A"/>
    <w:rsid w:val="000050AB"/>
    <w:rsid w:val="00005A53"/>
    <w:rsid w:val="00006561"/>
    <w:rsid w:val="00006CF6"/>
    <w:rsid w:val="000075D6"/>
    <w:rsid w:val="000104E2"/>
    <w:rsid w:val="00010CF3"/>
    <w:rsid w:val="00010DC5"/>
    <w:rsid w:val="00010DD3"/>
    <w:rsid w:val="00011024"/>
    <w:rsid w:val="00011111"/>
    <w:rsid w:val="00011725"/>
    <w:rsid w:val="0001188B"/>
    <w:rsid w:val="00012120"/>
    <w:rsid w:val="000123FE"/>
    <w:rsid w:val="00012C62"/>
    <w:rsid w:val="00013047"/>
    <w:rsid w:val="000146A1"/>
    <w:rsid w:val="00014A5D"/>
    <w:rsid w:val="00014B5F"/>
    <w:rsid w:val="00015EEF"/>
    <w:rsid w:val="00016486"/>
    <w:rsid w:val="00017D91"/>
    <w:rsid w:val="00022F43"/>
    <w:rsid w:val="000234BE"/>
    <w:rsid w:val="000239BE"/>
    <w:rsid w:val="00024281"/>
    <w:rsid w:val="000248F6"/>
    <w:rsid w:val="00024BC7"/>
    <w:rsid w:val="0002544D"/>
    <w:rsid w:val="00025E04"/>
    <w:rsid w:val="00025FD2"/>
    <w:rsid w:val="0002664B"/>
    <w:rsid w:val="00026FB8"/>
    <w:rsid w:val="0002772B"/>
    <w:rsid w:val="00030357"/>
    <w:rsid w:val="0003080D"/>
    <w:rsid w:val="000322B9"/>
    <w:rsid w:val="00032FD0"/>
    <w:rsid w:val="0003329E"/>
    <w:rsid w:val="00035064"/>
    <w:rsid w:val="000351DC"/>
    <w:rsid w:val="00040EF3"/>
    <w:rsid w:val="000412F8"/>
    <w:rsid w:val="00041A8B"/>
    <w:rsid w:val="0004200D"/>
    <w:rsid w:val="00042481"/>
    <w:rsid w:val="0004274D"/>
    <w:rsid w:val="00042CD3"/>
    <w:rsid w:val="000443AD"/>
    <w:rsid w:val="00044B07"/>
    <w:rsid w:val="00044C0A"/>
    <w:rsid w:val="00045917"/>
    <w:rsid w:val="00046C28"/>
    <w:rsid w:val="00046C61"/>
    <w:rsid w:val="00047C9E"/>
    <w:rsid w:val="0005050F"/>
    <w:rsid w:val="00050B9B"/>
    <w:rsid w:val="00051D60"/>
    <w:rsid w:val="00053A25"/>
    <w:rsid w:val="00054145"/>
    <w:rsid w:val="00054352"/>
    <w:rsid w:val="0005439A"/>
    <w:rsid w:val="000548A2"/>
    <w:rsid w:val="0005524B"/>
    <w:rsid w:val="0005616B"/>
    <w:rsid w:val="000565F8"/>
    <w:rsid w:val="000566C0"/>
    <w:rsid w:val="00056880"/>
    <w:rsid w:val="00056ACA"/>
    <w:rsid w:val="000575E1"/>
    <w:rsid w:val="000603BD"/>
    <w:rsid w:val="0006192F"/>
    <w:rsid w:val="00061E68"/>
    <w:rsid w:val="000622E1"/>
    <w:rsid w:val="00063709"/>
    <w:rsid w:val="00063809"/>
    <w:rsid w:val="00063B61"/>
    <w:rsid w:val="000640E6"/>
    <w:rsid w:val="0006413B"/>
    <w:rsid w:val="000643E7"/>
    <w:rsid w:val="000647B1"/>
    <w:rsid w:val="00064F6B"/>
    <w:rsid w:val="00065A10"/>
    <w:rsid w:val="00066AD5"/>
    <w:rsid w:val="00066B88"/>
    <w:rsid w:val="000675D1"/>
    <w:rsid w:val="000707B2"/>
    <w:rsid w:val="0007102C"/>
    <w:rsid w:val="000710B1"/>
    <w:rsid w:val="00071CB8"/>
    <w:rsid w:val="00072352"/>
    <w:rsid w:val="00073521"/>
    <w:rsid w:val="00073530"/>
    <w:rsid w:val="00074336"/>
    <w:rsid w:val="00074E65"/>
    <w:rsid w:val="000757C3"/>
    <w:rsid w:val="00075CE0"/>
    <w:rsid w:val="000768F7"/>
    <w:rsid w:val="00076BBB"/>
    <w:rsid w:val="000775DE"/>
    <w:rsid w:val="00080CE4"/>
    <w:rsid w:val="000825E8"/>
    <w:rsid w:val="00082FC2"/>
    <w:rsid w:val="000831DE"/>
    <w:rsid w:val="000858F2"/>
    <w:rsid w:val="000860DC"/>
    <w:rsid w:val="000873E5"/>
    <w:rsid w:val="00087A20"/>
    <w:rsid w:val="00087FAF"/>
    <w:rsid w:val="00090B5D"/>
    <w:rsid w:val="0009151A"/>
    <w:rsid w:val="00093B57"/>
    <w:rsid w:val="00095048"/>
    <w:rsid w:val="000951DF"/>
    <w:rsid w:val="000968F4"/>
    <w:rsid w:val="00096C19"/>
    <w:rsid w:val="00096C29"/>
    <w:rsid w:val="00096F91"/>
    <w:rsid w:val="00097173"/>
    <w:rsid w:val="000973F5"/>
    <w:rsid w:val="00097954"/>
    <w:rsid w:val="00097974"/>
    <w:rsid w:val="000979E3"/>
    <w:rsid w:val="00097B44"/>
    <w:rsid w:val="000A0BCE"/>
    <w:rsid w:val="000A1B8D"/>
    <w:rsid w:val="000A2CA8"/>
    <w:rsid w:val="000A2EDE"/>
    <w:rsid w:val="000A3056"/>
    <w:rsid w:val="000A3D1C"/>
    <w:rsid w:val="000A5120"/>
    <w:rsid w:val="000A638F"/>
    <w:rsid w:val="000A644F"/>
    <w:rsid w:val="000A7027"/>
    <w:rsid w:val="000A75A8"/>
    <w:rsid w:val="000A7E6F"/>
    <w:rsid w:val="000A7F75"/>
    <w:rsid w:val="000B1223"/>
    <w:rsid w:val="000B2202"/>
    <w:rsid w:val="000B3A02"/>
    <w:rsid w:val="000B4FE0"/>
    <w:rsid w:val="000B52BB"/>
    <w:rsid w:val="000B5380"/>
    <w:rsid w:val="000B561C"/>
    <w:rsid w:val="000B6261"/>
    <w:rsid w:val="000B679F"/>
    <w:rsid w:val="000B74DF"/>
    <w:rsid w:val="000B761E"/>
    <w:rsid w:val="000B7C5D"/>
    <w:rsid w:val="000C03B4"/>
    <w:rsid w:val="000C0681"/>
    <w:rsid w:val="000C19EF"/>
    <w:rsid w:val="000C403A"/>
    <w:rsid w:val="000C4342"/>
    <w:rsid w:val="000C45EF"/>
    <w:rsid w:val="000C5549"/>
    <w:rsid w:val="000C57BE"/>
    <w:rsid w:val="000C5B01"/>
    <w:rsid w:val="000C5F40"/>
    <w:rsid w:val="000C6133"/>
    <w:rsid w:val="000C6A07"/>
    <w:rsid w:val="000C6F8C"/>
    <w:rsid w:val="000C7399"/>
    <w:rsid w:val="000C763F"/>
    <w:rsid w:val="000C7858"/>
    <w:rsid w:val="000D09F8"/>
    <w:rsid w:val="000D104D"/>
    <w:rsid w:val="000D1284"/>
    <w:rsid w:val="000D2C4A"/>
    <w:rsid w:val="000D2F52"/>
    <w:rsid w:val="000D398E"/>
    <w:rsid w:val="000D4768"/>
    <w:rsid w:val="000D4AFD"/>
    <w:rsid w:val="000D591A"/>
    <w:rsid w:val="000D5A69"/>
    <w:rsid w:val="000D6D9E"/>
    <w:rsid w:val="000D6E36"/>
    <w:rsid w:val="000E0307"/>
    <w:rsid w:val="000E0B74"/>
    <w:rsid w:val="000E0DF0"/>
    <w:rsid w:val="000E0DF4"/>
    <w:rsid w:val="000E21C2"/>
    <w:rsid w:val="000E23E1"/>
    <w:rsid w:val="000E2B6B"/>
    <w:rsid w:val="000E2FDD"/>
    <w:rsid w:val="000E444F"/>
    <w:rsid w:val="000E4DC7"/>
    <w:rsid w:val="000E4F29"/>
    <w:rsid w:val="000E5004"/>
    <w:rsid w:val="000E61C5"/>
    <w:rsid w:val="000E68FE"/>
    <w:rsid w:val="000E78BE"/>
    <w:rsid w:val="000E7AF1"/>
    <w:rsid w:val="000F0BF8"/>
    <w:rsid w:val="000F0C5E"/>
    <w:rsid w:val="000F109D"/>
    <w:rsid w:val="000F1576"/>
    <w:rsid w:val="000F19F4"/>
    <w:rsid w:val="000F237F"/>
    <w:rsid w:val="000F3234"/>
    <w:rsid w:val="000F4116"/>
    <w:rsid w:val="000F45DB"/>
    <w:rsid w:val="000F57FD"/>
    <w:rsid w:val="000F5F6A"/>
    <w:rsid w:val="000F64A7"/>
    <w:rsid w:val="000F7517"/>
    <w:rsid w:val="000F7D45"/>
    <w:rsid w:val="00100B07"/>
    <w:rsid w:val="00100B4F"/>
    <w:rsid w:val="00100C2F"/>
    <w:rsid w:val="00101C9F"/>
    <w:rsid w:val="00102778"/>
    <w:rsid w:val="00103608"/>
    <w:rsid w:val="00103B1F"/>
    <w:rsid w:val="00104DB7"/>
    <w:rsid w:val="00105076"/>
    <w:rsid w:val="001051BB"/>
    <w:rsid w:val="0010579D"/>
    <w:rsid w:val="00105E02"/>
    <w:rsid w:val="001119D9"/>
    <w:rsid w:val="00112BD4"/>
    <w:rsid w:val="0011303F"/>
    <w:rsid w:val="00114276"/>
    <w:rsid w:val="001144EF"/>
    <w:rsid w:val="001159A2"/>
    <w:rsid w:val="001175BF"/>
    <w:rsid w:val="001178FC"/>
    <w:rsid w:val="00121E7E"/>
    <w:rsid w:val="00121EA6"/>
    <w:rsid w:val="001222B3"/>
    <w:rsid w:val="00123440"/>
    <w:rsid w:val="0012426D"/>
    <w:rsid w:val="0012543F"/>
    <w:rsid w:val="0012672F"/>
    <w:rsid w:val="001268E9"/>
    <w:rsid w:val="0012708F"/>
    <w:rsid w:val="00130F6A"/>
    <w:rsid w:val="001311FB"/>
    <w:rsid w:val="001325F2"/>
    <w:rsid w:val="00132B49"/>
    <w:rsid w:val="0013320A"/>
    <w:rsid w:val="00134FC1"/>
    <w:rsid w:val="00135638"/>
    <w:rsid w:val="00135C55"/>
    <w:rsid w:val="00136BC8"/>
    <w:rsid w:val="001373C4"/>
    <w:rsid w:val="00137512"/>
    <w:rsid w:val="0013760A"/>
    <w:rsid w:val="001377C4"/>
    <w:rsid w:val="00137BDC"/>
    <w:rsid w:val="0014091C"/>
    <w:rsid w:val="00140C91"/>
    <w:rsid w:val="001435CF"/>
    <w:rsid w:val="001437CC"/>
    <w:rsid w:val="00144596"/>
    <w:rsid w:val="001445E9"/>
    <w:rsid w:val="0014574B"/>
    <w:rsid w:val="00146485"/>
    <w:rsid w:val="00146793"/>
    <w:rsid w:val="0014703B"/>
    <w:rsid w:val="00147367"/>
    <w:rsid w:val="00147CEA"/>
    <w:rsid w:val="0015055F"/>
    <w:rsid w:val="00150A32"/>
    <w:rsid w:val="00150E8C"/>
    <w:rsid w:val="001511F3"/>
    <w:rsid w:val="001523E0"/>
    <w:rsid w:val="001528A2"/>
    <w:rsid w:val="00152FEC"/>
    <w:rsid w:val="00153A61"/>
    <w:rsid w:val="00153D21"/>
    <w:rsid w:val="001553CC"/>
    <w:rsid w:val="00160170"/>
    <w:rsid w:val="001601C9"/>
    <w:rsid w:val="00160241"/>
    <w:rsid w:val="00160585"/>
    <w:rsid w:val="001606A5"/>
    <w:rsid w:val="001606CF"/>
    <w:rsid w:val="0016128D"/>
    <w:rsid w:val="0016244B"/>
    <w:rsid w:val="001634CE"/>
    <w:rsid w:val="00163516"/>
    <w:rsid w:val="00163600"/>
    <w:rsid w:val="00164176"/>
    <w:rsid w:val="00164C01"/>
    <w:rsid w:val="0016599A"/>
    <w:rsid w:val="00165EC5"/>
    <w:rsid w:val="0016628F"/>
    <w:rsid w:val="0017089D"/>
    <w:rsid w:val="00170949"/>
    <w:rsid w:val="00170ABF"/>
    <w:rsid w:val="00170D4B"/>
    <w:rsid w:val="001713F2"/>
    <w:rsid w:val="001715F4"/>
    <w:rsid w:val="0017476C"/>
    <w:rsid w:val="00174F91"/>
    <w:rsid w:val="0017703D"/>
    <w:rsid w:val="00177054"/>
    <w:rsid w:val="00177590"/>
    <w:rsid w:val="00180C42"/>
    <w:rsid w:val="00181C7E"/>
    <w:rsid w:val="0018441B"/>
    <w:rsid w:val="00185213"/>
    <w:rsid w:val="00185581"/>
    <w:rsid w:val="00185883"/>
    <w:rsid w:val="001858BE"/>
    <w:rsid w:val="00185A0E"/>
    <w:rsid w:val="00186201"/>
    <w:rsid w:val="00187354"/>
    <w:rsid w:val="0018764C"/>
    <w:rsid w:val="00187D5F"/>
    <w:rsid w:val="00190CAB"/>
    <w:rsid w:val="0019101A"/>
    <w:rsid w:val="001910AD"/>
    <w:rsid w:val="001923C2"/>
    <w:rsid w:val="00192768"/>
    <w:rsid w:val="001942D9"/>
    <w:rsid w:val="00195E50"/>
    <w:rsid w:val="00196FB1"/>
    <w:rsid w:val="001A097F"/>
    <w:rsid w:val="001A10C3"/>
    <w:rsid w:val="001A2859"/>
    <w:rsid w:val="001A4410"/>
    <w:rsid w:val="001A4BBF"/>
    <w:rsid w:val="001A5441"/>
    <w:rsid w:val="001A5EF0"/>
    <w:rsid w:val="001B0BF6"/>
    <w:rsid w:val="001B3B30"/>
    <w:rsid w:val="001B443C"/>
    <w:rsid w:val="001B5067"/>
    <w:rsid w:val="001B5BC0"/>
    <w:rsid w:val="001B5D10"/>
    <w:rsid w:val="001B6D3F"/>
    <w:rsid w:val="001B7504"/>
    <w:rsid w:val="001B7933"/>
    <w:rsid w:val="001C11DD"/>
    <w:rsid w:val="001C123E"/>
    <w:rsid w:val="001C1307"/>
    <w:rsid w:val="001C15DD"/>
    <w:rsid w:val="001C1AB1"/>
    <w:rsid w:val="001C2528"/>
    <w:rsid w:val="001C358D"/>
    <w:rsid w:val="001C3955"/>
    <w:rsid w:val="001C4028"/>
    <w:rsid w:val="001C40B0"/>
    <w:rsid w:val="001C5BD9"/>
    <w:rsid w:val="001C5BF3"/>
    <w:rsid w:val="001C6377"/>
    <w:rsid w:val="001C6E38"/>
    <w:rsid w:val="001C7015"/>
    <w:rsid w:val="001C7CA3"/>
    <w:rsid w:val="001D024E"/>
    <w:rsid w:val="001D040C"/>
    <w:rsid w:val="001D0CB0"/>
    <w:rsid w:val="001D16CC"/>
    <w:rsid w:val="001D224E"/>
    <w:rsid w:val="001D2588"/>
    <w:rsid w:val="001D2CBA"/>
    <w:rsid w:val="001D4602"/>
    <w:rsid w:val="001D4C17"/>
    <w:rsid w:val="001D4EAA"/>
    <w:rsid w:val="001D6559"/>
    <w:rsid w:val="001E1300"/>
    <w:rsid w:val="001E1413"/>
    <w:rsid w:val="001E20F9"/>
    <w:rsid w:val="001E3EBA"/>
    <w:rsid w:val="001E5A1E"/>
    <w:rsid w:val="001E5D8F"/>
    <w:rsid w:val="001E5EC9"/>
    <w:rsid w:val="001E5F56"/>
    <w:rsid w:val="001E6B4C"/>
    <w:rsid w:val="001E6D4F"/>
    <w:rsid w:val="001E6ED9"/>
    <w:rsid w:val="001E72B4"/>
    <w:rsid w:val="001E7735"/>
    <w:rsid w:val="001F04A0"/>
    <w:rsid w:val="001F08F4"/>
    <w:rsid w:val="001F09E5"/>
    <w:rsid w:val="001F1B5A"/>
    <w:rsid w:val="001F2321"/>
    <w:rsid w:val="001F2EE0"/>
    <w:rsid w:val="001F3F19"/>
    <w:rsid w:val="001F448E"/>
    <w:rsid w:val="001F493C"/>
    <w:rsid w:val="001F4A6E"/>
    <w:rsid w:val="001F5162"/>
    <w:rsid w:val="001F772A"/>
    <w:rsid w:val="001F793C"/>
    <w:rsid w:val="00200703"/>
    <w:rsid w:val="00200943"/>
    <w:rsid w:val="00201099"/>
    <w:rsid w:val="0020277B"/>
    <w:rsid w:val="002037B8"/>
    <w:rsid w:val="00203FA4"/>
    <w:rsid w:val="002040E2"/>
    <w:rsid w:val="00204297"/>
    <w:rsid w:val="002043A7"/>
    <w:rsid w:val="00204820"/>
    <w:rsid w:val="00206414"/>
    <w:rsid w:val="00210657"/>
    <w:rsid w:val="0021109D"/>
    <w:rsid w:val="00211889"/>
    <w:rsid w:val="0021287A"/>
    <w:rsid w:val="002128CF"/>
    <w:rsid w:val="002130C9"/>
    <w:rsid w:val="0021354E"/>
    <w:rsid w:val="002144C2"/>
    <w:rsid w:val="0021542B"/>
    <w:rsid w:val="002159D0"/>
    <w:rsid w:val="00216F99"/>
    <w:rsid w:val="00217DD5"/>
    <w:rsid w:val="00220BFF"/>
    <w:rsid w:val="0022190E"/>
    <w:rsid w:val="00221BF1"/>
    <w:rsid w:val="00223EF5"/>
    <w:rsid w:val="002244FC"/>
    <w:rsid w:val="00230B08"/>
    <w:rsid w:val="00230BC8"/>
    <w:rsid w:val="00231049"/>
    <w:rsid w:val="002314D2"/>
    <w:rsid w:val="00232677"/>
    <w:rsid w:val="00232928"/>
    <w:rsid w:val="00232A0A"/>
    <w:rsid w:val="00234B78"/>
    <w:rsid w:val="00234DFA"/>
    <w:rsid w:val="00234FAE"/>
    <w:rsid w:val="002350F6"/>
    <w:rsid w:val="002354A6"/>
    <w:rsid w:val="0023670A"/>
    <w:rsid w:val="002372A6"/>
    <w:rsid w:val="00237CEF"/>
    <w:rsid w:val="00240DCC"/>
    <w:rsid w:val="00240ED2"/>
    <w:rsid w:val="00240EF9"/>
    <w:rsid w:val="002430E8"/>
    <w:rsid w:val="0024328E"/>
    <w:rsid w:val="002433D6"/>
    <w:rsid w:val="00244734"/>
    <w:rsid w:val="00244DF3"/>
    <w:rsid w:val="00245656"/>
    <w:rsid w:val="00245728"/>
    <w:rsid w:val="0024595C"/>
    <w:rsid w:val="00245C3D"/>
    <w:rsid w:val="00245C89"/>
    <w:rsid w:val="0024672C"/>
    <w:rsid w:val="00247813"/>
    <w:rsid w:val="002516E8"/>
    <w:rsid w:val="002527F9"/>
    <w:rsid w:val="00253CA0"/>
    <w:rsid w:val="002541D7"/>
    <w:rsid w:val="00255152"/>
    <w:rsid w:val="00255E40"/>
    <w:rsid w:val="002570C2"/>
    <w:rsid w:val="002572EF"/>
    <w:rsid w:val="00257AEE"/>
    <w:rsid w:val="00257FA4"/>
    <w:rsid w:val="0026099D"/>
    <w:rsid w:val="00260F23"/>
    <w:rsid w:val="00261272"/>
    <w:rsid w:val="00261559"/>
    <w:rsid w:val="00261AEA"/>
    <w:rsid w:val="00262484"/>
    <w:rsid w:val="00262C0C"/>
    <w:rsid w:val="00262D76"/>
    <w:rsid w:val="0026357E"/>
    <w:rsid w:val="00263B6C"/>
    <w:rsid w:val="00263F0A"/>
    <w:rsid w:val="00264264"/>
    <w:rsid w:val="0026482B"/>
    <w:rsid w:val="00266910"/>
    <w:rsid w:val="00266F2E"/>
    <w:rsid w:val="00267602"/>
    <w:rsid w:val="00270802"/>
    <w:rsid w:val="00272163"/>
    <w:rsid w:val="0027259D"/>
    <w:rsid w:val="0027263D"/>
    <w:rsid w:val="00272740"/>
    <w:rsid w:val="00272B10"/>
    <w:rsid w:val="00274005"/>
    <w:rsid w:val="00274C42"/>
    <w:rsid w:val="00275528"/>
    <w:rsid w:val="0027590B"/>
    <w:rsid w:val="002776F6"/>
    <w:rsid w:val="002777A6"/>
    <w:rsid w:val="00277FCD"/>
    <w:rsid w:val="002806AA"/>
    <w:rsid w:val="00281598"/>
    <w:rsid w:val="00281C36"/>
    <w:rsid w:val="00282217"/>
    <w:rsid w:val="00283D22"/>
    <w:rsid w:val="00284048"/>
    <w:rsid w:val="00285969"/>
    <w:rsid w:val="00286A2E"/>
    <w:rsid w:val="00287A82"/>
    <w:rsid w:val="00291079"/>
    <w:rsid w:val="00292890"/>
    <w:rsid w:val="002932B1"/>
    <w:rsid w:val="002940EC"/>
    <w:rsid w:val="0029474E"/>
    <w:rsid w:val="00295788"/>
    <w:rsid w:val="00296394"/>
    <w:rsid w:val="00296971"/>
    <w:rsid w:val="002A04F9"/>
    <w:rsid w:val="002A0606"/>
    <w:rsid w:val="002A16C2"/>
    <w:rsid w:val="002A1B44"/>
    <w:rsid w:val="002A208D"/>
    <w:rsid w:val="002A2F29"/>
    <w:rsid w:val="002A2F9F"/>
    <w:rsid w:val="002A3935"/>
    <w:rsid w:val="002A486C"/>
    <w:rsid w:val="002A4D77"/>
    <w:rsid w:val="002A5D3D"/>
    <w:rsid w:val="002A6D3E"/>
    <w:rsid w:val="002A71C9"/>
    <w:rsid w:val="002A7379"/>
    <w:rsid w:val="002A7F3E"/>
    <w:rsid w:val="002B0326"/>
    <w:rsid w:val="002B0DCF"/>
    <w:rsid w:val="002B0EA3"/>
    <w:rsid w:val="002B2024"/>
    <w:rsid w:val="002B21E6"/>
    <w:rsid w:val="002B2871"/>
    <w:rsid w:val="002B309F"/>
    <w:rsid w:val="002B30C9"/>
    <w:rsid w:val="002B3829"/>
    <w:rsid w:val="002B3BD5"/>
    <w:rsid w:val="002B45AA"/>
    <w:rsid w:val="002B4B75"/>
    <w:rsid w:val="002B4D4D"/>
    <w:rsid w:val="002B5470"/>
    <w:rsid w:val="002B5C39"/>
    <w:rsid w:val="002B6184"/>
    <w:rsid w:val="002B6E1B"/>
    <w:rsid w:val="002B70EA"/>
    <w:rsid w:val="002B734A"/>
    <w:rsid w:val="002B7A64"/>
    <w:rsid w:val="002C1BD7"/>
    <w:rsid w:val="002C1EEE"/>
    <w:rsid w:val="002C217E"/>
    <w:rsid w:val="002C218E"/>
    <w:rsid w:val="002C2E5F"/>
    <w:rsid w:val="002C363B"/>
    <w:rsid w:val="002C3BCD"/>
    <w:rsid w:val="002C437C"/>
    <w:rsid w:val="002C5D88"/>
    <w:rsid w:val="002C65D0"/>
    <w:rsid w:val="002C7539"/>
    <w:rsid w:val="002D0B39"/>
    <w:rsid w:val="002D1F90"/>
    <w:rsid w:val="002D2AD0"/>
    <w:rsid w:val="002D2D6F"/>
    <w:rsid w:val="002D39A1"/>
    <w:rsid w:val="002D4881"/>
    <w:rsid w:val="002D488F"/>
    <w:rsid w:val="002D4AE9"/>
    <w:rsid w:val="002E01F3"/>
    <w:rsid w:val="002E09E7"/>
    <w:rsid w:val="002E1CB5"/>
    <w:rsid w:val="002E30D0"/>
    <w:rsid w:val="002E3E33"/>
    <w:rsid w:val="002E4099"/>
    <w:rsid w:val="002E4855"/>
    <w:rsid w:val="002E4893"/>
    <w:rsid w:val="002E4E34"/>
    <w:rsid w:val="002E5915"/>
    <w:rsid w:val="002E6900"/>
    <w:rsid w:val="002E6CCA"/>
    <w:rsid w:val="002E72C0"/>
    <w:rsid w:val="002F1839"/>
    <w:rsid w:val="002F185E"/>
    <w:rsid w:val="002F47B6"/>
    <w:rsid w:val="002F4AA0"/>
    <w:rsid w:val="002F58A4"/>
    <w:rsid w:val="002F617F"/>
    <w:rsid w:val="002F75D2"/>
    <w:rsid w:val="002F7AFB"/>
    <w:rsid w:val="00300009"/>
    <w:rsid w:val="0030014C"/>
    <w:rsid w:val="00302E77"/>
    <w:rsid w:val="00303082"/>
    <w:rsid w:val="0030313D"/>
    <w:rsid w:val="0030563D"/>
    <w:rsid w:val="003061BA"/>
    <w:rsid w:val="00306940"/>
    <w:rsid w:val="0031181F"/>
    <w:rsid w:val="0031195D"/>
    <w:rsid w:val="003122F4"/>
    <w:rsid w:val="0031276E"/>
    <w:rsid w:val="00312924"/>
    <w:rsid w:val="003135E2"/>
    <w:rsid w:val="00313D74"/>
    <w:rsid w:val="00314B31"/>
    <w:rsid w:val="00314BEB"/>
    <w:rsid w:val="00314EC8"/>
    <w:rsid w:val="00314F04"/>
    <w:rsid w:val="00315863"/>
    <w:rsid w:val="00315FCF"/>
    <w:rsid w:val="003173A3"/>
    <w:rsid w:val="003176AC"/>
    <w:rsid w:val="00320A68"/>
    <w:rsid w:val="00321754"/>
    <w:rsid w:val="00321CFE"/>
    <w:rsid w:val="00321EDE"/>
    <w:rsid w:val="00322941"/>
    <w:rsid w:val="00323832"/>
    <w:rsid w:val="003268D5"/>
    <w:rsid w:val="00327222"/>
    <w:rsid w:val="003274F8"/>
    <w:rsid w:val="00330789"/>
    <w:rsid w:val="00330FD5"/>
    <w:rsid w:val="00331DF2"/>
    <w:rsid w:val="00332346"/>
    <w:rsid w:val="0033263C"/>
    <w:rsid w:val="0033355B"/>
    <w:rsid w:val="00333ACC"/>
    <w:rsid w:val="00333EA1"/>
    <w:rsid w:val="003356C1"/>
    <w:rsid w:val="003402E8"/>
    <w:rsid w:val="00340F80"/>
    <w:rsid w:val="003413BA"/>
    <w:rsid w:val="003414DD"/>
    <w:rsid w:val="00341FEE"/>
    <w:rsid w:val="00342190"/>
    <w:rsid w:val="003423CC"/>
    <w:rsid w:val="003428B2"/>
    <w:rsid w:val="00342C02"/>
    <w:rsid w:val="003433A9"/>
    <w:rsid w:val="003434D9"/>
    <w:rsid w:val="00344779"/>
    <w:rsid w:val="00344C7B"/>
    <w:rsid w:val="00344DD0"/>
    <w:rsid w:val="00345F45"/>
    <w:rsid w:val="00346344"/>
    <w:rsid w:val="003467CD"/>
    <w:rsid w:val="003479C5"/>
    <w:rsid w:val="00347DD5"/>
    <w:rsid w:val="003500DF"/>
    <w:rsid w:val="00350E51"/>
    <w:rsid w:val="00351249"/>
    <w:rsid w:val="00351536"/>
    <w:rsid w:val="003521E2"/>
    <w:rsid w:val="003527A5"/>
    <w:rsid w:val="003528D8"/>
    <w:rsid w:val="00353E67"/>
    <w:rsid w:val="00354652"/>
    <w:rsid w:val="003549FD"/>
    <w:rsid w:val="00354A6E"/>
    <w:rsid w:val="00354D27"/>
    <w:rsid w:val="00354FBB"/>
    <w:rsid w:val="003574D9"/>
    <w:rsid w:val="003574DB"/>
    <w:rsid w:val="00357984"/>
    <w:rsid w:val="00360817"/>
    <w:rsid w:val="00361023"/>
    <w:rsid w:val="0036110F"/>
    <w:rsid w:val="00361542"/>
    <w:rsid w:val="00362592"/>
    <w:rsid w:val="0036572A"/>
    <w:rsid w:val="00366A46"/>
    <w:rsid w:val="00367AD2"/>
    <w:rsid w:val="00367C9C"/>
    <w:rsid w:val="00370BE4"/>
    <w:rsid w:val="00371102"/>
    <w:rsid w:val="003720BF"/>
    <w:rsid w:val="00372202"/>
    <w:rsid w:val="003722BB"/>
    <w:rsid w:val="003727F3"/>
    <w:rsid w:val="00372C7E"/>
    <w:rsid w:val="0037355E"/>
    <w:rsid w:val="003765AC"/>
    <w:rsid w:val="0037670C"/>
    <w:rsid w:val="003769D1"/>
    <w:rsid w:val="003772F2"/>
    <w:rsid w:val="00377EC5"/>
    <w:rsid w:val="0038013D"/>
    <w:rsid w:val="00380E71"/>
    <w:rsid w:val="00380FD4"/>
    <w:rsid w:val="003813A8"/>
    <w:rsid w:val="003825A5"/>
    <w:rsid w:val="00382F07"/>
    <w:rsid w:val="0038387C"/>
    <w:rsid w:val="003839F0"/>
    <w:rsid w:val="00383B62"/>
    <w:rsid w:val="00383F24"/>
    <w:rsid w:val="0038588B"/>
    <w:rsid w:val="003858A6"/>
    <w:rsid w:val="0038595F"/>
    <w:rsid w:val="0038722D"/>
    <w:rsid w:val="00387EE8"/>
    <w:rsid w:val="0039191E"/>
    <w:rsid w:val="00391C14"/>
    <w:rsid w:val="0039200B"/>
    <w:rsid w:val="0039259A"/>
    <w:rsid w:val="00392DCC"/>
    <w:rsid w:val="00393BED"/>
    <w:rsid w:val="00394955"/>
    <w:rsid w:val="00396379"/>
    <w:rsid w:val="00396A15"/>
    <w:rsid w:val="00397915"/>
    <w:rsid w:val="00397A2A"/>
    <w:rsid w:val="003A06D4"/>
    <w:rsid w:val="003A081E"/>
    <w:rsid w:val="003A1835"/>
    <w:rsid w:val="003A199F"/>
    <w:rsid w:val="003A1DA1"/>
    <w:rsid w:val="003A2C7B"/>
    <w:rsid w:val="003A33A1"/>
    <w:rsid w:val="003A3AAA"/>
    <w:rsid w:val="003A3F3F"/>
    <w:rsid w:val="003A492D"/>
    <w:rsid w:val="003A4F8F"/>
    <w:rsid w:val="003A4FD5"/>
    <w:rsid w:val="003A5E37"/>
    <w:rsid w:val="003A60F0"/>
    <w:rsid w:val="003A6258"/>
    <w:rsid w:val="003A6596"/>
    <w:rsid w:val="003A72A3"/>
    <w:rsid w:val="003A79B4"/>
    <w:rsid w:val="003B16B3"/>
    <w:rsid w:val="003B1E9C"/>
    <w:rsid w:val="003B373E"/>
    <w:rsid w:val="003B4F04"/>
    <w:rsid w:val="003B589A"/>
    <w:rsid w:val="003B5B09"/>
    <w:rsid w:val="003B6C46"/>
    <w:rsid w:val="003B6F78"/>
    <w:rsid w:val="003C00C9"/>
    <w:rsid w:val="003C0A95"/>
    <w:rsid w:val="003C1080"/>
    <w:rsid w:val="003C10D4"/>
    <w:rsid w:val="003C1424"/>
    <w:rsid w:val="003C1BBB"/>
    <w:rsid w:val="003C2CFC"/>
    <w:rsid w:val="003C3017"/>
    <w:rsid w:val="003C350F"/>
    <w:rsid w:val="003C3786"/>
    <w:rsid w:val="003C435F"/>
    <w:rsid w:val="003C496D"/>
    <w:rsid w:val="003C4EAD"/>
    <w:rsid w:val="003C6389"/>
    <w:rsid w:val="003C7EBC"/>
    <w:rsid w:val="003D02A7"/>
    <w:rsid w:val="003D0359"/>
    <w:rsid w:val="003D1E04"/>
    <w:rsid w:val="003D25C4"/>
    <w:rsid w:val="003D34B6"/>
    <w:rsid w:val="003D5345"/>
    <w:rsid w:val="003D584C"/>
    <w:rsid w:val="003D644B"/>
    <w:rsid w:val="003D6767"/>
    <w:rsid w:val="003D678C"/>
    <w:rsid w:val="003D79E4"/>
    <w:rsid w:val="003E0B35"/>
    <w:rsid w:val="003E109C"/>
    <w:rsid w:val="003E297A"/>
    <w:rsid w:val="003E2ADC"/>
    <w:rsid w:val="003E2FB0"/>
    <w:rsid w:val="003E3014"/>
    <w:rsid w:val="003E38B0"/>
    <w:rsid w:val="003E42FF"/>
    <w:rsid w:val="003E4960"/>
    <w:rsid w:val="003E4D87"/>
    <w:rsid w:val="003E4E2C"/>
    <w:rsid w:val="003E5CA7"/>
    <w:rsid w:val="003E5EAC"/>
    <w:rsid w:val="003E6C34"/>
    <w:rsid w:val="003E7AC5"/>
    <w:rsid w:val="003F097D"/>
    <w:rsid w:val="003F0F9A"/>
    <w:rsid w:val="003F22AE"/>
    <w:rsid w:val="003F274E"/>
    <w:rsid w:val="003F2C90"/>
    <w:rsid w:val="003F2CB2"/>
    <w:rsid w:val="003F3DC9"/>
    <w:rsid w:val="003F3F46"/>
    <w:rsid w:val="003F49F2"/>
    <w:rsid w:val="003F5EE5"/>
    <w:rsid w:val="003F71F2"/>
    <w:rsid w:val="003F752E"/>
    <w:rsid w:val="003F7601"/>
    <w:rsid w:val="004007CC"/>
    <w:rsid w:val="00401A5C"/>
    <w:rsid w:val="00403553"/>
    <w:rsid w:val="00403A37"/>
    <w:rsid w:val="004045CB"/>
    <w:rsid w:val="00404E21"/>
    <w:rsid w:val="00405EAA"/>
    <w:rsid w:val="004075FE"/>
    <w:rsid w:val="00407CC8"/>
    <w:rsid w:val="00407EB6"/>
    <w:rsid w:val="004102C6"/>
    <w:rsid w:val="00410805"/>
    <w:rsid w:val="00412DB8"/>
    <w:rsid w:val="00412E60"/>
    <w:rsid w:val="00413256"/>
    <w:rsid w:val="0041355D"/>
    <w:rsid w:val="004136C5"/>
    <w:rsid w:val="00413BCC"/>
    <w:rsid w:val="00413D39"/>
    <w:rsid w:val="00414826"/>
    <w:rsid w:val="00414835"/>
    <w:rsid w:val="00414BC1"/>
    <w:rsid w:val="00414E31"/>
    <w:rsid w:val="00414EC2"/>
    <w:rsid w:val="00415CD8"/>
    <w:rsid w:val="00416762"/>
    <w:rsid w:val="00416B79"/>
    <w:rsid w:val="00420312"/>
    <w:rsid w:val="00420E42"/>
    <w:rsid w:val="004211F7"/>
    <w:rsid w:val="00421351"/>
    <w:rsid w:val="004222AE"/>
    <w:rsid w:val="00422BC9"/>
    <w:rsid w:val="00422F50"/>
    <w:rsid w:val="00424235"/>
    <w:rsid w:val="004247FC"/>
    <w:rsid w:val="0042509B"/>
    <w:rsid w:val="004250BE"/>
    <w:rsid w:val="00425477"/>
    <w:rsid w:val="00426245"/>
    <w:rsid w:val="00426941"/>
    <w:rsid w:val="004273C4"/>
    <w:rsid w:val="004302E4"/>
    <w:rsid w:val="0043034C"/>
    <w:rsid w:val="00430CFE"/>
    <w:rsid w:val="00431179"/>
    <w:rsid w:val="00434241"/>
    <w:rsid w:val="00434DF1"/>
    <w:rsid w:val="0043565E"/>
    <w:rsid w:val="00435811"/>
    <w:rsid w:val="00435B7F"/>
    <w:rsid w:val="00437049"/>
    <w:rsid w:val="00437456"/>
    <w:rsid w:val="00437D60"/>
    <w:rsid w:val="004402F3"/>
    <w:rsid w:val="004422C1"/>
    <w:rsid w:val="0044351C"/>
    <w:rsid w:val="0044459D"/>
    <w:rsid w:val="00445265"/>
    <w:rsid w:val="00446F12"/>
    <w:rsid w:val="00447065"/>
    <w:rsid w:val="0044718D"/>
    <w:rsid w:val="00447592"/>
    <w:rsid w:val="004478A8"/>
    <w:rsid w:val="004478AE"/>
    <w:rsid w:val="00447A79"/>
    <w:rsid w:val="004504BD"/>
    <w:rsid w:val="004504FA"/>
    <w:rsid w:val="004519C9"/>
    <w:rsid w:val="00451A3D"/>
    <w:rsid w:val="0045375F"/>
    <w:rsid w:val="00453A61"/>
    <w:rsid w:val="004545BD"/>
    <w:rsid w:val="004559CE"/>
    <w:rsid w:val="004561DE"/>
    <w:rsid w:val="004563F0"/>
    <w:rsid w:val="00456F23"/>
    <w:rsid w:val="00457382"/>
    <w:rsid w:val="00457580"/>
    <w:rsid w:val="00457D16"/>
    <w:rsid w:val="00460B9C"/>
    <w:rsid w:val="00460D08"/>
    <w:rsid w:val="00460FE7"/>
    <w:rsid w:val="0046193E"/>
    <w:rsid w:val="0046201C"/>
    <w:rsid w:val="004633F5"/>
    <w:rsid w:val="0046470A"/>
    <w:rsid w:val="00465197"/>
    <w:rsid w:val="00465436"/>
    <w:rsid w:val="00466440"/>
    <w:rsid w:val="004718E1"/>
    <w:rsid w:val="00474693"/>
    <w:rsid w:val="00475B7B"/>
    <w:rsid w:val="00475CDC"/>
    <w:rsid w:val="00475F34"/>
    <w:rsid w:val="00475F4D"/>
    <w:rsid w:val="00476117"/>
    <w:rsid w:val="004762EA"/>
    <w:rsid w:val="00477087"/>
    <w:rsid w:val="00477471"/>
    <w:rsid w:val="004801DD"/>
    <w:rsid w:val="00480DC9"/>
    <w:rsid w:val="00480E07"/>
    <w:rsid w:val="00481373"/>
    <w:rsid w:val="00481622"/>
    <w:rsid w:val="0048197D"/>
    <w:rsid w:val="004821EC"/>
    <w:rsid w:val="00482558"/>
    <w:rsid w:val="004825CF"/>
    <w:rsid w:val="00482865"/>
    <w:rsid w:val="00482AD1"/>
    <w:rsid w:val="00483049"/>
    <w:rsid w:val="00483269"/>
    <w:rsid w:val="00483DEC"/>
    <w:rsid w:val="00485DCB"/>
    <w:rsid w:val="004877E9"/>
    <w:rsid w:val="00487D67"/>
    <w:rsid w:val="004910C3"/>
    <w:rsid w:val="00492A6C"/>
    <w:rsid w:val="00492A9E"/>
    <w:rsid w:val="00492FCB"/>
    <w:rsid w:val="004932A4"/>
    <w:rsid w:val="00493318"/>
    <w:rsid w:val="00493813"/>
    <w:rsid w:val="004938D1"/>
    <w:rsid w:val="00493904"/>
    <w:rsid w:val="004951A8"/>
    <w:rsid w:val="0049520D"/>
    <w:rsid w:val="00495D65"/>
    <w:rsid w:val="00495F44"/>
    <w:rsid w:val="00496E13"/>
    <w:rsid w:val="0049720D"/>
    <w:rsid w:val="004A04C9"/>
    <w:rsid w:val="004A0634"/>
    <w:rsid w:val="004A077D"/>
    <w:rsid w:val="004A1071"/>
    <w:rsid w:val="004A2187"/>
    <w:rsid w:val="004A3285"/>
    <w:rsid w:val="004A3E5E"/>
    <w:rsid w:val="004A5297"/>
    <w:rsid w:val="004A6302"/>
    <w:rsid w:val="004A6D16"/>
    <w:rsid w:val="004A7127"/>
    <w:rsid w:val="004A7576"/>
    <w:rsid w:val="004A7BC2"/>
    <w:rsid w:val="004B03B5"/>
    <w:rsid w:val="004B0910"/>
    <w:rsid w:val="004B0A77"/>
    <w:rsid w:val="004B0FD0"/>
    <w:rsid w:val="004B13D3"/>
    <w:rsid w:val="004B2C12"/>
    <w:rsid w:val="004B2D24"/>
    <w:rsid w:val="004B3161"/>
    <w:rsid w:val="004B3CC1"/>
    <w:rsid w:val="004B3FB9"/>
    <w:rsid w:val="004B40F7"/>
    <w:rsid w:val="004B4154"/>
    <w:rsid w:val="004B499C"/>
    <w:rsid w:val="004B583B"/>
    <w:rsid w:val="004B6262"/>
    <w:rsid w:val="004B669F"/>
    <w:rsid w:val="004B6A31"/>
    <w:rsid w:val="004B7B0B"/>
    <w:rsid w:val="004C0CBE"/>
    <w:rsid w:val="004C1491"/>
    <w:rsid w:val="004C1CB5"/>
    <w:rsid w:val="004C2385"/>
    <w:rsid w:val="004C480B"/>
    <w:rsid w:val="004C514A"/>
    <w:rsid w:val="004C6D08"/>
    <w:rsid w:val="004C70CF"/>
    <w:rsid w:val="004D05CB"/>
    <w:rsid w:val="004D0D6B"/>
    <w:rsid w:val="004D1CD5"/>
    <w:rsid w:val="004D20EE"/>
    <w:rsid w:val="004D26D3"/>
    <w:rsid w:val="004D41FE"/>
    <w:rsid w:val="004D5355"/>
    <w:rsid w:val="004D5463"/>
    <w:rsid w:val="004D56D1"/>
    <w:rsid w:val="004D5E03"/>
    <w:rsid w:val="004D5E72"/>
    <w:rsid w:val="004D6025"/>
    <w:rsid w:val="004D67E6"/>
    <w:rsid w:val="004D6976"/>
    <w:rsid w:val="004D79A1"/>
    <w:rsid w:val="004D7E9D"/>
    <w:rsid w:val="004E0F71"/>
    <w:rsid w:val="004E0FE3"/>
    <w:rsid w:val="004E19BA"/>
    <w:rsid w:val="004E1DA3"/>
    <w:rsid w:val="004E22A6"/>
    <w:rsid w:val="004E2888"/>
    <w:rsid w:val="004E38D0"/>
    <w:rsid w:val="004E3C8A"/>
    <w:rsid w:val="004E4CCC"/>
    <w:rsid w:val="004E5144"/>
    <w:rsid w:val="004E5185"/>
    <w:rsid w:val="004E5713"/>
    <w:rsid w:val="004E7137"/>
    <w:rsid w:val="004E722A"/>
    <w:rsid w:val="004F1164"/>
    <w:rsid w:val="004F2241"/>
    <w:rsid w:val="004F2C08"/>
    <w:rsid w:val="004F36B5"/>
    <w:rsid w:val="004F49A2"/>
    <w:rsid w:val="004F4BFD"/>
    <w:rsid w:val="004F4CA5"/>
    <w:rsid w:val="004F553F"/>
    <w:rsid w:val="004F7605"/>
    <w:rsid w:val="00501AEF"/>
    <w:rsid w:val="005023EC"/>
    <w:rsid w:val="005024FB"/>
    <w:rsid w:val="00502686"/>
    <w:rsid w:val="00503ED8"/>
    <w:rsid w:val="0050420E"/>
    <w:rsid w:val="0050436B"/>
    <w:rsid w:val="0050534F"/>
    <w:rsid w:val="00506B17"/>
    <w:rsid w:val="00511815"/>
    <w:rsid w:val="00511E08"/>
    <w:rsid w:val="0051203D"/>
    <w:rsid w:val="005125BF"/>
    <w:rsid w:val="00513338"/>
    <w:rsid w:val="005136AE"/>
    <w:rsid w:val="00513AEA"/>
    <w:rsid w:val="00513FC4"/>
    <w:rsid w:val="00514953"/>
    <w:rsid w:val="00515C04"/>
    <w:rsid w:val="00516663"/>
    <w:rsid w:val="00516785"/>
    <w:rsid w:val="00516A27"/>
    <w:rsid w:val="00516B3F"/>
    <w:rsid w:val="0051734D"/>
    <w:rsid w:val="00520595"/>
    <w:rsid w:val="00520BB5"/>
    <w:rsid w:val="0052145F"/>
    <w:rsid w:val="00522631"/>
    <w:rsid w:val="00523829"/>
    <w:rsid w:val="0052419D"/>
    <w:rsid w:val="005253F7"/>
    <w:rsid w:val="00525C98"/>
    <w:rsid w:val="0052775A"/>
    <w:rsid w:val="005301BB"/>
    <w:rsid w:val="005301F8"/>
    <w:rsid w:val="00530208"/>
    <w:rsid w:val="00531121"/>
    <w:rsid w:val="005312FC"/>
    <w:rsid w:val="0053187C"/>
    <w:rsid w:val="00531C57"/>
    <w:rsid w:val="00531F5B"/>
    <w:rsid w:val="00532267"/>
    <w:rsid w:val="00532FE3"/>
    <w:rsid w:val="00534713"/>
    <w:rsid w:val="0053481D"/>
    <w:rsid w:val="00535520"/>
    <w:rsid w:val="00535B6C"/>
    <w:rsid w:val="00535BA2"/>
    <w:rsid w:val="00535F93"/>
    <w:rsid w:val="0053603D"/>
    <w:rsid w:val="00536F39"/>
    <w:rsid w:val="005375D9"/>
    <w:rsid w:val="005402AE"/>
    <w:rsid w:val="005406A8"/>
    <w:rsid w:val="00540737"/>
    <w:rsid w:val="0054096C"/>
    <w:rsid w:val="00540E69"/>
    <w:rsid w:val="005417EE"/>
    <w:rsid w:val="00542995"/>
    <w:rsid w:val="0054456F"/>
    <w:rsid w:val="00544CF9"/>
    <w:rsid w:val="00545126"/>
    <w:rsid w:val="005469AD"/>
    <w:rsid w:val="005477CB"/>
    <w:rsid w:val="00547E78"/>
    <w:rsid w:val="00547E80"/>
    <w:rsid w:val="00547F8F"/>
    <w:rsid w:val="00550C45"/>
    <w:rsid w:val="0055110D"/>
    <w:rsid w:val="00551447"/>
    <w:rsid w:val="00552529"/>
    <w:rsid w:val="00553419"/>
    <w:rsid w:val="005534CC"/>
    <w:rsid w:val="0055458D"/>
    <w:rsid w:val="005552A3"/>
    <w:rsid w:val="0055543A"/>
    <w:rsid w:val="00555B97"/>
    <w:rsid w:val="00555D14"/>
    <w:rsid w:val="00556471"/>
    <w:rsid w:val="00557DA9"/>
    <w:rsid w:val="005603F7"/>
    <w:rsid w:val="0056045B"/>
    <w:rsid w:val="0056049B"/>
    <w:rsid w:val="00561040"/>
    <w:rsid w:val="0056271A"/>
    <w:rsid w:val="00562B8D"/>
    <w:rsid w:val="005652EA"/>
    <w:rsid w:val="00566429"/>
    <w:rsid w:val="0056667B"/>
    <w:rsid w:val="00567A25"/>
    <w:rsid w:val="005704F3"/>
    <w:rsid w:val="005708F4"/>
    <w:rsid w:val="00571FEF"/>
    <w:rsid w:val="005725F6"/>
    <w:rsid w:val="005732B8"/>
    <w:rsid w:val="005733D4"/>
    <w:rsid w:val="00573A19"/>
    <w:rsid w:val="0057518C"/>
    <w:rsid w:val="00575E29"/>
    <w:rsid w:val="00580344"/>
    <w:rsid w:val="005803E6"/>
    <w:rsid w:val="00580C07"/>
    <w:rsid w:val="00583716"/>
    <w:rsid w:val="005848B5"/>
    <w:rsid w:val="0058536C"/>
    <w:rsid w:val="00585708"/>
    <w:rsid w:val="005859C0"/>
    <w:rsid w:val="005868DE"/>
    <w:rsid w:val="00586FCC"/>
    <w:rsid w:val="0058760B"/>
    <w:rsid w:val="005878EC"/>
    <w:rsid w:val="00587BEF"/>
    <w:rsid w:val="00587E75"/>
    <w:rsid w:val="005900A8"/>
    <w:rsid w:val="005905D2"/>
    <w:rsid w:val="0059068E"/>
    <w:rsid w:val="00590C9F"/>
    <w:rsid w:val="00591206"/>
    <w:rsid w:val="00591AA2"/>
    <w:rsid w:val="00591B54"/>
    <w:rsid w:val="00591CD7"/>
    <w:rsid w:val="00592439"/>
    <w:rsid w:val="00593CF2"/>
    <w:rsid w:val="0059478E"/>
    <w:rsid w:val="005953DD"/>
    <w:rsid w:val="00596D95"/>
    <w:rsid w:val="00596E91"/>
    <w:rsid w:val="005A0402"/>
    <w:rsid w:val="005A3A17"/>
    <w:rsid w:val="005A3DB1"/>
    <w:rsid w:val="005A55A1"/>
    <w:rsid w:val="005A64E2"/>
    <w:rsid w:val="005B0026"/>
    <w:rsid w:val="005B21A9"/>
    <w:rsid w:val="005B26E8"/>
    <w:rsid w:val="005B283C"/>
    <w:rsid w:val="005B43E3"/>
    <w:rsid w:val="005B53AF"/>
    <w:rsid w:val="005B5653"/>
    <w:rsid w:val="005C0091"/>
    <w:rsid w:val="005C0859"/>
    <w:rsid w:val="005C0B33"/>
    <w:rsid w:val="005C6437"/>
    <w:rsid w:val="005C7395"/>
    <w:rsid w:val="005C7675"/>
    <w:rsid w:val="005C7DDD"/>
    <w:rsid w:val="005D0DC5"/>
    <w:rsid w:val="005D176B"/>
    <w:rsid w:val="005D21F5"/>
    <w:rsid w:val="005D288A"/>
    <w:rsid w:val="005D2FAF"/>
    <w:rsid w:val="005D4D30"/>
    <w:rsid w:val="005D6083"/>
    <w:rsid w:val="005D75AA"/>
    <w:rsid w:val="005D76E2"/>
    <w:rsid w:val="005E0031"/>
    <w:rsid w:val="005E33D8"/>
    <w:rsid w:val="005E366D"/>
    <w:rsid w:val="005E5A4B"/>
    <w:rsid w:val="005E627B"/>
    <w:rsid w:val="005E657B"/>
    <w:rsid w:val="005E6668"/>
    <w:rsid w:val="005E7777"/>
    <w:rsid w:val="005F0114"/>
    <w:rsid w:val="005F06CC"/>
    <w:rsid w:val="005F0DCB"/>
    <w:rsid w:val="005F322C"/>
    <w:rsid w:val="005F43DF"/>
    <w:rsid w:val="005F4C1A"/>
    <w:rsid w:val="005F57D6"/>
    <w:rsid w:val="005F5E19"/>
    <w:rsid w:val="005F60D8"/>
    <w:rsid w:val="005F60EF"/>
    <w:rsid w:val="005F625C"/>
    <w:rsid w:val="005F6AF5"/>
    <w:rsid w:val="005F7808"/>
    <w:rsid w:val="005F7B1B"/>
    <w:rsid w:val="005F7B9F"/>
    <w:rsid w:val="005F7F32"/>
    <w:rsid w:val="00600A03"/>
    <w:rsid w:val="00600ACE"/>
    <w:rsid w:val="00600DDB"/>
    <w:rsid w:val="0060146A"/>
    <w:rsid w:val="006016A6"/>
    <w:rsid w:val="006018B8"/>
    <w:rsid w:val="00601D65"/>
    <w:rsid w:val="00603300"/>
    <w:rsid w:val="006042D0"/>
    <w:rsid w:val="00604430"/>
    <w:rsid w:val="0060567F"/>
    <w:rsid w:val="00605958"/>
    <w:rsid w:val="0060595B"/>
    <w:rsid w:val="00605AFD"/>
    <w:rsid w:val="00607182"/>
    <w:rsid w:val="00607C7C"/>
    <w:rsid w:val="006100ED"/>
    <w:rsid w:val="0061127C"/>
    <w:rsid w:val="0061145E"/>
    <w:rsid w:val="006118DA"/>
    <w:rsid w:val="00612090"/>
    <w:rsid w:val="00612324"/>
    <w:rsid w:val="006123D4"/>
    <w:rsid w:val="00612BDE"/>
    <w:rsid w:val="00612D94"/>
    <w:rsid w:val="0061418B"/>
    <w:rsid w:val="006153A6"/>
    <w:rsid w:val="00615D1E"/>
    <w:rsid w:val="00616E02"/>
    <w:rsid w:val="006205EF"/>
    <w:rsid w:val="00621C63"/>
    <w:rsid w:val="006221D2"/>
    <w:rsid w:val="00623D53"/>
    <w:rsid w:val="00623F25"/>
    <w:rsid w:val="00623F6D"/>
    <w:rsid w:val="006242D2"/>
    <w:rsid w:val="00624CED"/>
    <w:rsid w:val="00625F0A"/>
    <w:rsid w:val="00626C7C"/>
    <w:rsid w:val="00626F56"/>
    <w:rsid w:val="00627E48"/>
    <w:rsid w:val="0063094A"/>
    <w:rsid w:val="006311D4"/>
    <w:rsid w:val="00632915"/>
    <w:rsid w:val="00632D91"/>
    <w:rsid w:val="00633F7E"/>
    <w:rsid w:val="0063404C"/>
    <w:rsid w:val="0063471E"/>
    <w:rsid w:val="00635902"/>
    <w:rsid w:val="00635D4F"/>
    <w:rsid w:val="006362EC"/>
    <w:rsid w:val="00636B6D"/>
    <w:rsid w:val="00636DA4"/>
    <w:rsid w:val="00637082"/>
    <w:rsid w:val="0063744E"/>
    <w:rsid w:val="006375E3"/>
    <w:rsid w:val="0063772D"/>
    <w:rsid w:val="00637B3B"/>
    <w:rsid w:val="00637BAB"/>
    <w:rsid w:val="00637C14"/>
    <w:rsid w:val="00640519"/>
    <w:rsid w:val="0064058B"/>
    <w:rsid w:val="00640938"/>
    <w:rsid w:val="00641278"/>
    <w:rsid w:val="00641292"/>
    <w:rsid w:val="00642193"/>
    <w:rsid w:val="00642255"/>
    <w:rsid w:val="00642A2F"/>
    <w:rsid w:val="00642EE2"/>
    <w:rsid w:val="006435FA"/>
    <w:rsid w:val="00644392"/>
    <w:rsid w:val="00644A2C"/>
    <w:rsid w:val="006511BA"/>
    <w:rsid w:val="00652FD7"/>
    <w:rsid w:val="006532F3"/>
    <w:rsid w:val="00653695"/>
    <w:rsid w:val="00653754"/>
    <w:rsid w:val="0065381D"/>
    <w:rsid w:val="00655346"/>
    <w:rsid w:val="00656356"/>
    <w:rsid w:val="00656C9D"/>
    <w:rsid w:val="006628E0"/>
    <w:rsid w:val="00662AFB"/>
    <w:rsid w:val="0066370F"/>
    <w:rsid w:val="00663B9F"/>
    <w:rsid w:val="006644F8"/>
    <w:rsid w:val="006649F0"/>
    <w:rsid w:val="0066572A"/>
    <w:rsid w:val="00665F1A"/>
    <w:rsid w:val="00666174"/>
    <w:rsid w:val="00666BFB"/>
    <w:rsid w:val="00667BD8"/>
    <w:rsid w:val="00670ED0"/>
    <w:rsid w:val="006716FC"/>
    <w:rsid w:val="006719DB"/>
    <w:rsid w:val="0067235D"/>
    <w:rsid w:val="00673D74"/>
    <w:rsid w:val="0067430C"/>
    <w:rsid w:val="006744DC"/>
    <w:rsid w:val="00674BA5"/>
    <w:rsid w:val="006755BF"/>
    <w:rsid w:val="00675DBA"/>
    <w:rsid w:val="00676176"/>
    <w:rsid w:val="00676436"/>
    <w:rsid w:val="00677B87"/>
    <w:rsid w:val="00680D66"/>
    <w:rsid w:val="00681418"/>
    <w:rsid w:val="006814C5"/>
    <w:rsid w:val="0068150A"/>
    <w:rsid w:val="00681B41"/>
    <w:rsid w:val="00681C8D"/>
    <w:rsid w:val="00681FD4"/>
    <w:rsid w:val="0068258D"/>
    <w:rsid w:val="00684770"/>
    <w:rsid w:val="00686165"/>
    <w:rsid w:val="00686209"/>
    <w:rsid w:val="0068748B"/>
    <w:rsid w:val="00687E5A"/>
    <w:rsid w:val="00690360"/>
    <w:rsid w:val="0069046A"/>
    <w:rsid w:val="00690FDA"/>
    <w:rsid w:val="00691124"/>
    <w:rsid w:val="00691162"/>
    <w:rsid w:val="006911A5"/>
    <w:rsid w:val="00691356"/>
    <w:rsid w:val="00691577"/>
    <w:rsid w:val="00691CB5"/>
    <w:rsid w:val="0069274B"/>
    <w:rsid w:val="0069489C"/>
    <w:rsid w:val="00696D8D"/>
    <w:rsid w:val="00697F59"/>
    <w:rsid w:val="00697F5B"/>
    <w:rsid w:val="006A017F"/>
    <w:rsid w:val="006A05C3"/>
    <w:rsid w:val="006A061E"/>
    <w:rsid w:val="006A0D1C"/>
    <w:rsid w:val="006A0ECB"/>
    <w:rsid w:val="006A1AC8"/>
    <w:rsid w:val="006A215C"/>
    <w:rsid w:val="006A251E"/>
    <w:rsid w:val="006A27A6"/>
    <w:rsid w:val="006A2D84"/>
    <w:rsid w:val="006A3C4C"/>
    <w:rsid w:val="006A3EF2"/>
    <w:rsid w:val="006A3FEB"/>
    <w:rsid w:val="006A4119"/>
    <w:rsid w:val="006A4261"/>
    <w:rsid w:val="006A433B"/>
    <w:rsid w:val="006A4EE7"/>
    <w:rsid w:val="006A5E16"/>
    <w:rsid w:val="006A647A"/>
    <w:rsid w:val="006A6EE1"/>
    <w:rsid w:val="006B030A"/>
    <w:rsid w:val="006B0E6C"/>
    <w:rsid w:val="006B11E9"/>
    <w:rsid w:val="006B1D34"/>
    <w:rsid w:val="006B25F7"/>
    <w:rsid w:val="006B35B7"/>
    <w:rsid w:val="006B363E"/>
    <w:rsid w:val="006B41F3"/>
    <w:rsid w:val="006B4A61"/>
    <w:rsid w:val="006B56E8"/>
    <w:rsid w:val="006B5DCE"/>
    <w:rsid w:val="006B5E7C"/>
    <w:rsid w:val="006B66DD"/>
    <w:rsid w:val="006B71CB"/>
    <w:rsid w:val="006C2AED"/>
    <w:rsid w:val="006C2C74"/>
    <w:rsid w:val="006C5128"/>
    <w:rsid w:val="006C55FC"/>
    <w:rsid w:val="006C6435"/>
    <w:rsid w:val="006C645D"/>
    <w:rsid w:val="006D0811"/>
    <w:rsid w:val="006D0DD5"/>
    <w:rsid w:val="006D149F"/>
    <w:rsid w:val="006D2E1F"/>
    <w:rsid w:val="006D353D"/>
    <w:rsid w:val="006D42C7"/>
    <w:rsid w:val="006D5D92"/>
    <w:rsid w:val="006D6D75"/>
    <w:rsid w:val="006D6FAC"/>
    <w:rsid w:val="006D7FFA"/>
    <w:rsid w:val="006E07E3"/>
    <w:rsid w:val="006E0D52"/>
    <w:rsid w:val="006E0E3C"/>
    <w:rsid w:val="006E252A"/>
    <w:rsid w:val="006E2640"/>
    <w:rsid w:val="006E3154"/>
    <w:rsid w:val="006E3CC3"/>
    <w:rsid w:val="006E640C"/>
    <w:rsid w:val="006E6904"/>
    <w:rsid w:val="006E6D4D"/>
    <w:rsid w:val="006E7EFD"/>
    <w:rsid w:val="006F06D1"/>
    <w:rsid w:val="006F1A34"/>
    <w:rsid w:val="006F24FF"/>
    <w:rsid w:val="006F2983"/>
    <w:rsid w:val="006F3C78"/>
    <w:rsid w:val="006F52B3"/>
    <w:rsid w:val="006F54FB"/>
    <w:rsid w:val="006F656C"/>
    <w:rsid w:val="006F6B24"/>
    <w:rsid w:val="006F7D9F"/>
    <w:rsid w:val="007000BF"/>
    <w:rsid w:val="00700B5D"/>
    <w:rsid w:val="00700C17"/>
    <w:rsid w:val="007030C2"/>
    <w:rsid w:val="007031A8"/>
    <w:rsid w:val="00704F5A"/>
    <w:rsid w:val="00706BD5"/>
    <w:rsid w:val="00707014"/>
    <w:rsid w:val="0071006B"/>
    <w:rsid w:val="00710E13"/>
    <w:rsid w:val="00711316"/>
    <w:rsid w:val="00711826"/>
    <w:rsid w:val="00711F88"/>
    <w:rsid w:val="007139FD"/>
    <w:rsid w:val="00714622"/>
    <w:rsid w:val="00714CB3"/>
    <w:rsid w:val="00715495"/>
    <w:rsid w:val="00715D6E"/>
    <w:rsid w:val="00716499"/>
    <w:rsid w:val="00716690"/>
    <w:rsid w:val="007170EB"/>
    <w:rsid w:val="00717804"/>
    <w:rsid w:val="00717DAC"/>
    <w:rsid w:val="0072085E"/>
    <w:rsid w:val="00720BF2"/>
    <w:rsid w:val="00720FEB"/>
    <w:rsid w:val="00721207"/>
    <w:rsid w:val="00721659"/>
    <w:rsid w:val="007220ED"/>
    <w:rsid w:val="00724276"/>
    <w:rsid w:val="0072479C"/>
    <w:rsid w:val="00724946"/>
    <w:rsid w:val="00725D0E"/>
    <w:rsid w:val="00726535"/>
    <w:rsid w:val="00726F69"/>
    <w:rsid w:val="00730DD8"/>
    <w:rsid w:val="00731814"/>
    <w:rsid w:val="0073188F"/>
    <w:rsid w:val="00731ACB"/>
    <w:rsid w:val="00732B35"/>
    <w:rsid w:val="00733F00"/>
    <w:rsid w:val="007342FB"/>
    <w:rsid w:val="00734335"/>
    <w:rsid w:val="00734A73"/>
    <w:rsid w:val="00735057"/>
    <w:rsid w:val="00735679"/>
    <w:rsid w:val="00735F3B"/>
    <w:rsid w:val="00737AA4"/>
    <w:rsid w:val="00737B4A"/>
    <w:rsid w:val="007413C1"/>
    <w:rsid w:val="00741576"/>
    <w:rsid w:val="0074201D"/>
    <w:rsid w:val="00742993"/>
    <w:rsid w:val="00742E5F"/>
    <w:rsid w:val="00744B1E"/>
    <w:rsid w:val="00744F9A"/>
    <w:rsid w:val="00745A87"/>
    <w:rsid w:val="00746E7E"/>
    <w:rsid w:val="00747785"/>
    <w:rsid w:val="007505F6"/>
    <w:rsid w:val="0075327F"/>
    <w:rsid w:val="007538DA"/>
    <w:rsid w:val="00753D97"/>
    <w:rsid w:val="0075572B"/>
    <w:rsid w:val="00755836"/>
    <w:rsid w:val="007558CB"/>
    <w:rsid w:val="0075648B"/>
    <w:rsid w:val="007574D2"/>
    <w:rsid w:val="00757816"/>
    <w:rsid w:val="00760CDD"/>
    <w:rsid w:val="0076112D"/>
    <w:rsid w:val="00761C7A"/>
    <w:rsid w:val="00761F40"/>
    <w:rsid w:val="00763074"/>
    <w:rsid w:val="007630C3"/>
    <w:rsid w:val="007641F6"/>
    <w:rsid w:val="00764DBA"/>
    <w:rsid w:val="00765433"/>
    <w:rsid w:val="00765545"/>
    <w:rsid w:val="00765F13"/>
    <w:rsid w:val="00767F5C"/>
    <w:rsid w:val="00767F99"/>
    <w:rsid w:val="0077038E"/>
    <w:rsid w:val="00770B07"/>
    <w:rsid w:val="0077135A"/>
    <w:rsid w:val="00771A86"/>
    <w:rsid w:val="007721B9"/>
    <w:rsid w:val="007739DC"/>
    <w:rsid w:val="00773C9F"/>
    <w:rsid w:val="007751A7"/>
    <w:rsid w:val="0077521D"/>
    <w:rsid w:val="00775702"/>
    <w:rsid w:val="0077673D"/>
    <w:rsid w:val="00776774"/>
    <w:rsid w:val="00777736"/>
    <w:rsid w:val="00777B8F"/>
    <w:rsid w:val="00781289"/>
    <w:rsid w:val="00781D2F"/>
    <w:rsid w:val="007821FE"/>
    <w:rsid w:val="007824DC"/>
    <w:rsid w:val="00783343"/>
    <w:rsid w:val="00783BFB"/>
    <w:rsid w:val="0078509F"/>
    <w:rsid w:val="007858A0"/>
    <w:rsid w:val="00785B30"/>
    <w:rsid w:val="007868A3"/>
    <w:rsid w:val="007868E6"/>
    <w:rsid w:val="007878BB"/>
    <w:rsid w:val="00787CAA"/>
    <w:rsid w:val="00790C73"/>
    <w:rsid w:val="00791871"/>
    <w:rsid w:val="00791C4C"/>
    <w:rsid w:val="0079273D"/>
    <w:rsid w:val="00793622"/>
    <w:rsid w:val="007939B6"/>
    <w:rsid w:val="00794024"/>
    <w:rsid w:val="00794499"/>
    <w:rsid w:val="00794726"/>
    <w:rsid w:val="007951EC"/>
    <w:rsid w:val="007954BD"/>
    <w:rsid w:val="007957DB"/>
    <w:rsid w:val="007959DC"/>
    <w:rsid w:val="00795CA4"/>
    <w:rsid w:val="00795F67"/>
    <w:rsid w:val="0079686C"/>
    <w:rsid w:val="00796A2E"/>
    <w:rsid w:val="00797965"/>
    <w:rsid w:val="007A0A8B"/>
    <w:rsid w:val="007A0BFD"/>
    <w:rsid w:val="007A28D5"/>
    <w:rsid w:val="007A2ADB"/>
    <w:rsid w:val="007A2F4A"/>
    <w:rsid w:val="007A330B"/>
    <w:rsid w:val="007A38F0"/>
    <w:rsid w:val="007A3996"/>
    <w:rsid w:val="007A3BE1"/>
    <w:rsid w:val="007A5044"/>
    <w:rsid w:val="007B0456"/>
    <w:rsid w:val="007B2B8C"/>
    <w:rsid w:val="007B322D"/>
    <w:rsid w:val="007B54CA"/>
    <w:rsid w:val="007B6C25"/>
    <w:rsid w:val="007B7539"/>
    <w:rsid w:val="007B7D13"/>
    <w:rsid w:val="007C0F44"/>
    <w:rsid w:val="007C1AA4"/>
    <w:rsid w:val="007C2C87"/>
    <w:rsid w:val="007C3E16"/>
    <w:rsid w:val="007C40CC"/>
    <w:rsid w:val="007C43FF"/>
    <w:rsid w:val="007C4F8B"/>
    <w:rsid w:val="007C59C0"/>
    <w:rsid w:val="007C7ED3"/>
    <w:rsid w:val="007C7FF7"/>
    <w:rsid w:val="007D1C9B"/>
    <w:rsid w:val="007D27AC"/>
    <w:rsid w:val="007D3D6C"/>
    <w:rsid w:val="007D4060"/>
    <w:rsid w:val="007D414C"/>
    <w:rsid w:val="007D4689"/>
    <w:rsid w:val="007D5602"/>
    <w:rsid w:val="007D5AA6"/>
    <w:rsid w:val="007D5C10"/>
    <w:rsid w:val="007D6948"/>
    <w:rsid w:val="007D6FA9"/>
    <w:rsid w:val="007D7AD0"/>
    <w:rsid w:val="007E11D6"/>
    <w:rsid w:val="007E2305"/>
    <w:rsid w:val="007E2A2A"/>
    <w:rsid w:val="007E2AB9"/>
    <w:rsid w:val="007E2FE6"/>
    <w:rsid w:val="007E30F6"/>
    <w:rsid w:val="007E32F6"/>
    <w:rsid w:val="007E41B6"/>
    <w:rsid w:val="007E42D2"/>
    <w:rsid w:val="007E5A9A"/>
    <w:rsid w:val="007E613E"/>
    <w:rsid w:val="007E6456"/>
    <w:rsid w:val="007E7530"/>
    <w:rsid w:val="007F030C"/>
    <w:rsid w:val="007F3713"/>
    <w:rsid w:val="007F4F10"/>
    <w:rsid w:val="007F5284"/>
    <w:rsid w:val="007F5A2D"/>
    <w:rsid w:val="007F5FDA"/>
    <w:rsid w:val="007F61E9"/>
    <w:rsid w:val="007F6847"/>
    <w:rsid w:val="007F78D5"/>
    <w:rsid w:val="00800AD3"/>
    <w:rsid w:val="00800E2A"/>
    <w:rsid w:val="00802F0F"/>
    <w:rsid w:val="00803A73"/>
    <w:rsid w:val="00803E21"/>
    <w:rsid w:val="00803F84"/>
    <w:rsid w:val="008043EA"/>
    <w:rsid w:val="00804A6E"/>
    <w:rsid w:val="00804CF4"/>
    <w:rsid w:val="00804F2A"/>
    <w:rsid w:val="00805174"/>
    <w:rsid w:val="0080525A"/>
    <w:rsid w:val="008053E3"/>
    <w:rsid w:val="00805A1D"/>
    <w:rsid w:val="008065E0"/>
    <w:rsid w:val="0080688C"/>
    <w:rsid w:val="00810137"/>
    <w:rsid w:val="0081068D"/>
    <w:rsid w:val="0081124E"/>
    <w:rsid w:val="00811D34"/>
    <w:rsid w:val="00814439"/>
    <w:rsid w:val="00815526"/>
    <w:rsid w:val="00815A24"/>
    <w:rsid w:val="008174E3"/>
    <w:rsid w:val="00817876"/>
    <w:rsid w:val="00820F37"/>
    <w:rsid w:val="00820FBE"/>
    <w:rsid w:val="00821C86"/>
    <w:rsid w:val="00822E6C"/>
    <w:rsid w:val="008232FB"/>
    <w:rsid w:val="008236C5"/>
    <w:rsid w:val="008239C1"/>
    <w:rsid w:val="00823A66"/>
    <w:rsid w:val="00823A92"/>
    <w:rsid w:val="00823FF7"/>
    <w:rsid w:val="00824481"/>
    <w:rsid w:val="008247C0"/>
    <w:rsid w:val="008275BE"/>
    <w:rsid w:val="00827C4C"/>
    <w:rsid w:val="0083048C"/>
    <w:rsid w:val="008320DC"/>
    <w:rsid w:val="00832822"/>
    <w:rsid w:val="00832AAB"/>
    <w:rsid w:val="00832F60"/>
    <w:rsid w:val="0083369D"/>
    <w:rsid w:val="00834243"/>
    <w:rsid w:val="0083432C"/>
    <w:rsid w:val="008361B4"/>
    <w:rsid w:val="00836596"/>
    <w:rsid w:val="00837319"/>
    <w:rsid w:val="008378B5"/>
    <w:rsid w:val="00837D0F"/>
    <w:rsid w:val="0084026A"/>
    <w:rsid w:val="00840336"/>
    <w:rsid w:val="008406E4"/>
    <w:rsid w:val="00840910"/>
    <w:rsid w:val="0084099C"/>
    <w:rsid w:val="008413A6"/>
    <w:rsid w:val="00841F1B"/>
    <w:rsid w:val="00843378"/>
    <w:rsid w:val="008443E4"/>
    <w:rsid w:val="008447E7"/>
    <w:rsid w:val="00845042"/>
    <w:rsid w:val="008457E3"/>
    <w:rsid w:val="00847634"/>
    <w:rsid w:val="0085071F"/>
    <w:rsid w:val="008515AA"/>
    <w:rsid w:val="00851E5D"/>
    <w:rsid w:val="0085204D"/>
    <w:rsid w:val="00853806"/>
    <w:rsid w:val="00855618"/>
    <w:rsid w:val="008556E4"/>
    <w:rsid w:val="00855899"/>
    <w:rsid w:val="0085595D"/>
    <w:rsid w:val="00855AD7"/>
    <w:rsid w:val="00855F2B"/>
    <w:rsid w:val="00856181"/>
    <w:rsid w:val="00856AFF"/>
    <w:rsid w:val="0085734F"/>
    <w:rsid w:val="008578BF"/>
    <w:rsid w:val="00857969"/>
    <w:rsid w:val="008579A7"/>
    <w:rsid w:val="00860969"/>
    <w:rsid w:val="00860AED"/>
    <w:rsid w:val="00860E9E"/>
    <w:rsid w:val="00861D18"/>
    <w:rsid w:val="008621D8"/>
    <w:rsid w:val="008639A1"/>
    <w:rsid w:val="00863CEC"/>
    <w:rsid w:val="008641BD"/>
    <w:rsid w:val="00864236"/>
    <w:rsid w:val="00864337"/>
    <w:rsid w:val="008648DB"/>
    <w:rsid w:val="00864CE8"/>
    <w:rsid w:val="008655D2"/>
    <w:rsid w:val="008679E9"/>
    <w:rsid w:val="00870573"/>
    <w:rsid w:val="00871993"/>
    <w:rsid w:val="008730C0"/>
    <w:rsid w:val="0087354A"/>
    <w:rsid w:val="00876EA8"/>
    <w:rsid w:val="00876FA5"/>
    <w:rsid w:val="00877E20"/>
    <w:rsid w:val="00882589"/>
    <w:rsid w:val="00882D77"/>
    <w:rsid w:val="00883320"/>
    <w:rsid w:val="00884471"/>
    <w:rsid w:val="00884F31"/>
    <w:rsid w:val="008856E8"/>
    <w:rsid w:val="00886505"/>
    <w:rsid w:val="00886932"/>
    <w:rsid w:val="0088740F"/>
    <w:rsid w:val="00887412"/>
    <w:rsid w:val="0088765C"/>
    <w:rsid w:val="00891EBF"/>
    <w:rsid w:val="00892C08"/>
    <w:rsid w:val="00892F4C"/>
    <w:rsid w:val="00894A38"/>
    <w:rsid w:val="0089685C"/>
    <w:rsid w:val="00896980"/>
    <w:rsid w:val="00897768"/>
    <w:rsid w:val="008A0007"/>
    <w:rsid w:val="008A1187"/>
    <w:rsid w:val="008A1EF2"/>
    <w:rsid w:val="008A2896"/>
    <w:rsid w:val="008A2952"/>
    <w:rsid w:val="008A2A96"/>
    <w:rsid w:val="008A4118"/>
    <w:rsid w:val="008A43C7"/>
    <w:rsid w:val="008A475E"/>
    <w:rsid w:val="008A48F5"/>
    <w:rsid w:val="008A4AE4"/>
    <w:rsid w:val="008A5A85"/>
    <w:rsid w:val="008A5DC8"/>
    <w:rsid w:val="008A726D"/>
    <w:rsid w:val="008A76D6"/>
    <w:rsid w:val="008A7F8C"/>
    <w:rsid w:val="008A7FA7"/>
    <w:rsid w:val="008B0315"/>
    <w:rsid w:val="008B043B"/>
    <w:rsid w:val="008B080F"/>
    <w:rsid w:val="008B1499"/>
    <w:rsid w:val="008B22E7"/>
    <w:rsid w:val="008B2B32"/>
    <w:rsid w:val="008B2C58"/>
    <w:rsid w:val="008B332A"/>
    <w:rsid w:val="008B367C"/>
    <w:rsid w:val="008B4B01"/>
    <w:rsid w:val="008B4BF8"/>
    <w:rsid w:val="008B4E2D"/>
    <w:rsid w:val="008B5162"/>
    <w:rsid w:val="008B536B"/>
    <w:rsid w:val="008B5A08"/>
    <w:rsid w:val="008B5E5A"/>
    <w:rsid w:val="008B7895"/>
    <w:rsid w:val="008C0B7C"/>
    <w:rsid w:val="008C0E16"/>
    <w:rsid w:val="008C22AA"/>
    <w:rsid w:val="008C2AD5"/>
    <w:rsid w:val="008C3C06"/>
    <w:rsid w:val="008C3F5B"/>
    <w:rsid w:val="008C504B"/>
    <w:rsid w:val="008C594F"/>
    <w:rsid w:val="008C5C89"/>
    <w:rsid w:val="008C6064"/>
    <w:rsid w:val="008C62DB"/>
    <w:rsid w:val="008C70C9"/>
    <w:rsid w:val="008D01D9"/>
    <w:rsid w:val="008D1705"/>
    <w:rsid w:val="008D2637"/>
    <w:rsid w:val="008D28A0"/>
    <w:rsid w:val="008D339F"/>
    <w:rsid w:val="008D3E31"/>
    <w:rsid w:val="008D4F66"/>
    <w:rsid w:val="008D54A3"/>
    <w:rsid w:val="008D7F38"/>
    <w:rsid w:val="008E00BB"/>
    <w:rsid w:val="008E0EDC"/>
    <w:rsid w:val="008E1156"/>
    <w:rsid w:val="008E4A4B"/>
    <w:rsid w:val="008E5355"/>
    <w:rsid w:val="008E5E1C"/>
    <w:rsid w:val="008E628B"/>
    <w:rsid w:val="008E6292"/>
    <w:rsid w:val="008E74F8"/>
    <w:rsid w:val="008E75AB"/>
    <w:rsid w:val="008F01A0"/>
    <w:rsid w:val="008F1524"/>
    <w:rsid w:val="008F2ADD"/>
    <w:rsid w:val="008F3AD7"/>
    <w:rsid w:val="008F52AE"/>
    <w:rsid w:val="008F52B3"/>
    <w:rsid w:val="008F5A2E"/>
    <w:rsid w:val="008F5E76"/>
    <w:rsid w:val="008F5F84"/>
    <w:rsid w:val="008F7462"/>
    <w:rsid w:val="008F7641"/>
    <w:rsid w:val="00901312"/>
    <w:rsid w:val="009043A9"/>
    <w:rsid w:val="00904567"/>
    <w:rsid w:val="00905AB8"/>
    <w:rsid w:val="00906FE4"/>
    <w:rsid w:val="00907260"/>
    <w:rsid w:val="00910E11"/>
    <w:rsid w:val="009150F5"/>
    <w:rsid w:val="00916F35"/>
    <w:rsid w:val="00921736"/>
    <w:rsid w:val="009219C9"/>
    <w:rsid w:val="0092266D"/>
    <w:rsid w:val="00923C2F"/>
    <w:rsid w:val="009249AD"/>
    <w:rsid w:val="00925132"/>
    <w:rsid w:val="00925AA5"/>
    <w:rsid w:val="00925C27"/>
    <w:rsid w:val="00926FDB"/>
    <w:rsid w:val="009274F0"/>
    <w:rsid w:val="009302A2"/>
    <w:rsid w:val="009312E8"/>
    <w:rsid w:val="009326A9"/>
    <w:rsid w:val="00932C33"/>
    <w:rsid w:val="00934D75"/>
    <w:rsid w:val="00936517"/>
    <w:rsid w:val="009368A5"/>
    <w:rsid w:val="00937241"/>
    <w:rsid w:val="0093795F"/>
    <w:rsid w:val="00937B0A"/>
    <w:rsid w:val="0094019D"/>
    <w:rsid w:val="00941665"/>
    <w:rsid w:val="00942224"/>
    <w:rsid w:val="00942C11"/>
    <w:rsid w:val="009431DA"/>
    <w:rsid w:val="00944CDC"/>
    <w:rsid w:val="00945043"/>
    <w:rsid w:val="0094555C"/>
    <w:rsid w:val="009458D6"/>
    <w:rsid w:val="009461C2"/>
    <w:rsid w:val="009461E2"/>
    <w:rsid w:val="009461FB"/>
    <w:rsid w:val="0094623B"/>
    <w:rsid w:val="009465B1"/>
    <w:rsid w:val="00946FE3"/>
    <w:rsid w:val="009470F4"/>
    <w:rsid w:val="009477B3"/>
    <w:rsid w:val="00947AE4"/>
    <w:rsid w:val="00947BC5"/>
    <w:rsid w:val="00950469"/>
    <w:rsid w:val="00950F9C"/>
    <w:rsid w:val="009516C3"/>
    <w:rsid w:val="009520E1"/>
    <w:rsid w:val="009522CB"/>
    <w:rsid w:val="00952C08"/>
    <w:rsid w:val="009530FF"/>
    <w:rsid w:val="009531A6"/>
    <w:rsid w:val="0095451E"/>
    <w:rsid w:val="00954AC4"/>
    <w:rsid w:val="00955FDF"/>
    <w:rsid w:val="00956552"/>
    <w:rsid w:val="00957384"/>
    <w:rsid w:val="0095782F"/>
    <w:rsid w:val="00960E52"/>
    <w:rsid w:val="00961630"/>
    <w:rsid w:val="009617E6"/>
    <w:rsid w:val="0096202C"/>
    <w:rsid w:val="0096202E"/>
    <w:rsid w:val="00962E0A"/>
    <w:rsid w:val="009634C1"/>
    <w:rsid w:val="00963538"/>
    <w:rsid w:val="00963D91"/>
    <w:rsid w:val="00963E8D"/>
    <w:rsid w:val="00964034"/>
    <w:rsid w:val="0096565E"/>
    <w:rsid w:val="00965E0B"/>
    <w:rsid w:val="00967481"/>
    <w:rsid w:val="0097190D"/>
    <w:rsid w:val="00972172"/>
    <w:rsid w:val="0097282D"/>
    <w:rsid w:val="009728E0"/>
    <w:rsid w:val="009729CD"/>
    <w:rsid w:val="00972E73"/>
    <w:rsid w:val="00972F32"/>
    <w:rsid w:val="009732EC"/>
    <w:rsid w:val="0097536C"/>
    <w:rsid w:val="00976F27"/>
    <w:rsid w:val="009774EA"/>
    <w:rsid w:val="009776F6"/>
    <w:rsid w:val="009801E6"/>
    <w:rsid w:val="0098107E"/>
    <w:rsid w:val="009812F8"/>
    <w:rsid w:val="00981370"/>
    <w:rsid w:val="00981F67"/>
    <w:rsid w:val="009821CE"/>
    <w:rsid w:val="009832C4"/>
    <w:rsid w:val="009852CF"/>
    <w:rsid w:val="0098546D"/>
    <w:rsid w:val="0098575A"/>
    <w:rsid w:val="00985BAE"/>
    <w:rsid w:val="00985C27"/>
    <w:rsid w:val="00985D2E"/>
    <w:rsid w:val="00986462"/>
    <w:rsid w:val="009867D0"/>
    <w:rsid w:val="00986A0E"/>
    <w:rsid w:val="00986CEF"/>
    <w:rsid w:val="009875B9"/>
    <w:rsid w:val="00991052"/>
    <w:rsid w:val="00991FD5"/>
    <w:rsid w:val="0099216B"/>
    <w:rsid w:val="009922ED"/>
    <w:rsid w:val="009927E5"/>
    <w:rsid w:val="00992CB4"/>
    <w:rsid w:val="00993214"/>
    <w:rsid w:val="0099343F"/>
    <w:rsid w:val="00993D04"/>
    <w:rsid w:val="009959A9"/>
    <w:rsid w:val="00995C99"/>
    <w:rsid w:val="009971D5"/>
    <w:rsid w:val="00997CDB"/>
    <w:rsid w:val="009A0BCD"/>
    <w:rsid w:val="009A0C4B"/>
    <w:rsid w:val="009A2E9D"/>
    <w:rsid w:val="009A4255"/>
    <w:rsid w:val="009A44F8"/>
    <w:rsid w:val="009A469F"/>
    <w:rsid w:val="009A4BDE"/>
    <w:rsid w:val="009A5297"/>
    <w:rsid w:val="009A55B7"/>
    <w:rsid w:val="009A5A7F"/>
    <w:rsid w:val="009A5F65"/>
    <w:rsid w:val="009A658F"/>
    <w:rsid w:val="009A668A"/>
    <w:rsid w:val="009A685B"/>
    <w:rsid w:val="009A6A46"/>
    <w:rsid w:val="009A6FF5"/>
    <w:rsid w:val="009A7C7B"/>
    <w:rsid w:val="009B0590"/>
    <w:rsid w:val="009B11E8"/>
    <w:rsid w:val="009B1A09"/>
    <w:rsid w:val="009B1A65"/>
    <w:rsid w:val="009B2E0C"/>
    <w:rsid w:val="009B4135"/>
    <w:rsid w:val="009B4D02"/>
    <w:rsid w:val="009B5799"/>
    <w:rsid w:val="009B5E0E"/>
    <w:rsid w:val="009B67AC"/>
    <w:rsid w:val="009B6E0C"/>
    <w:rsid w:val="009C3373"/>
    <w:rsid w:val="009C3647"/>
    <w:rsid w:val="009C36EA"/>
    <w:rsid w:val="009C3C35"/>
    <w:rsid w:val="009C3C83"/>
    <w:rsid w:val="009C4385"/>
    <w:rsid w:val="009C5974"/>
    <w:rsid w:val="009C5B67"/>
    <w:rsid w:val="009C6268"/>
    <w:rsid w:val="009C6387"/>
    <w:rsid w:val="009C64AD"/>
    <w:rsid w:val="009C7721"/>
    <w:rsid w:val="009C7900"/>
    <w:rsid w:val="009D04A8"/>
    <w:rsid w:val="009D0845"/>
    <w:rsid w:val="009D0A92"/>
    <w:rsid w:val="009D14F6"/>
    <w:rsid w:val="009D16DF"/>
    <w:rsid w:val="009D25FC"/>
    <w:rsid w:val="009D2646"/>
    <w:rsid w:val="009D3272"/>
    <w:rsid w:val="009D5DA8"/>
    <w:rsid w:val="009D5EF7"/>
    <w:rsid w:val="009D6B94"/>
    <w:rsid w:val="009D6C42"/>
    <w:rsid w:val="009D6CAA"/>
    <w:rsid w:val="009E03BB"/>
    <w:rsid w:val="009E21A1"/>
    <w:rsid w:val="009E26C5"/>
    <w:rsid w:val="009E33A4"/>
    <w:rsid w:val="009E3520"/>
    <w:rsid w:val="009E354D"/>
    <w:rsid w:val="009E4E0C"/>
    <w:rsid w:val="009E5AB7"/>
    <w:rsid w:val="009E6BB5"/>
    <w:rsid w:val="009E733D"/>
    <w:rsid w:val="009F0208"/>
    <w:rsid w:val="009F2800"/>
    <w:rsid w:val="009F2A86"/>
    <w:rsid w:val="009F2CD1"/>
    <w:rsid w:val="009F3A7E"/>
    <w:rsid w:val="009F3C31"/>
    <w:rsid w:val="009F7D57"/>
    <w:rsid w:val="00A0066B"/>
    <w:rsid w:val="00A02644"/>
    <w:rsid w:val="00A031CA"/>
    <w:rsid w:val="00A03719"/>
    <w:rsid w:val="00A03B82"/>
    <w:rsid w:val="00A04179"/>
    <w:rsid w:val="00A0529F"/>
    <w:rsid w:val="00A05747"/>
    <w:rsid w:val="00A05DF4"/>
    <w:rsid w:val="00A068D4"/>
    <w:rsid w:val="00A07AEE"/>
    <w:rsid w:val="00A07C53"/>
    <w:rsid w:val="00A07EE3"/>
    <w:rsid w:val="00A116AD"/>
    <w:rsid w:val="00A11781"/>
    <w:rsid w:val="00A125D3"/>
    <w:rsid w:val="00A12917"/>
    <w:rsid w:val="00A12F78"/>
    <w:rsid w:val="00A14CEB"/>
    <w:rsid w:val="00A14CEF"/>
    <w:rsid w:val="00A153D5"/>
    <w:rsid w:val="00A153E8"/>
    <w:rsid w:val="00A15F7C"/>
    <w:rsid w:val="00A16266"/>
    <w:rsid w:val="00A16E03"/>
    <w:rsid w:val="00A20DC8"/>
    <w:rsid w:val="00A22BE7"/>
    <w:rsid w:val="00A24825"/>
    <w:rsid w:val="00A24F31"/>
    <w:rsid w:val="00A25468"/>
    <w:rsid w:val="00A25828"/>
    <w:rsid w:val="00A2597F"/>
    <w:rsid w:val="00A25A90"/>
    <w:rsid w:val="00A260CD"/>
    <w:rsid w:val="00A26C5E"/>
    <w:rsid w:val="00A275D2"/>
    <w:rsid w:val="00A30C58"/>
    <w:rsid w:val="00A30CAA"/>
    <w:rsid w:val="00A321BB"/>
    <w:rsid w:val="00A323F8"/>
    <w:rsid w:val="00A33BF1"/>
    <w:rsid w:val="00A349AB"/>
    <w:rsid w:val="00A3549F"/>
    <w:rsid w:val="00A358E2"/>
    <w:rsid w:val="00A36ED1"/>
    <w:rsid w:val="00A3749B"/>
    <w:rsid w:val="00A40A09"/>
    <w:rsid w:val="00A40A5F"/>
    <w:rsid w:val="00A4189C"/>
    <w:rsid w:val="00A42FE5"/>
    <w:rsid w:val="00A43847"/>
    <w:rsid w:val="00A43C54"/>
    <w:rsid w:val="00A44315"/>
    <w:rsid w:val="00A44378"/>
    <w:rsid w:val="00A443A3"/>
    <w:rsid w:val="00A46D43"/>
    <w:rsid w:val="00A47841"/>
    <w:rsid w:val="00A47982"/>
    <w:rsid w:val="00A5055E"/>
    <w:rsid w:val="00A50D86"/>
    <w:rsid w:val="00A5179E"/>
    <w:rsid w:val="00A51F5E"/>
    <w:rsid w:val="00A520D8"/>
    <w:rsid w:val="00A52650"/>
    <w:rsid w:val="00A52E03"/>
    <w:rsid w:val="00A5303C"/>
    <w:rsid w:val="00A5352E"/>
    <w:rsid w:val="00A53B17"/>
    <w:rsid w:val="00A53FC6"/>
    <w:rsid w:val="00A569C1"/>
    <w:rsid w:val="00A572F6"/>
    <w:rsid w:val="00A573D0"/>
    <w:rsid w:val="00A57C48"/>
    <w:rsid w:val="00A601E1"/>
    <w:rsid w:val="00A61865"/>
    <w:rsid w:val="00A61C36"/>
    <w:rsid w:val="00A628B3"/>
    <w:rsid w:val="00A62E42"/>
    <w:rsid w:val="00A64A71"/>
    <w:rsid w:val="00A64E92"/>
    <w:rsid w:val="00A652B8"/>
    <w:rsid w:val="00A659DE"/>
    <w:rsid w:val="00A66882"/>
    <w:rsid w:val="00A67299"/>
    <w:rsid w:val="00A67304"/>
    <w:rsid w:val="00A709A9"/>
    <w:rsid w:val="00A71F98"/>
    <w:rsid w:val="00A72380"/>
    <w:rsid w:val="00A73CB0"/>
    <w:rsid w:val="00A73EB5"/>
    <w:rsid w:val="00A74CBA"/>
    <w:rsid w:val="00A7530A"/>
    <w:rsid w:val="00A7649E"/>
    <w:rsid w:val="00A76C7C"/>
    <w:rsid w:val="00A7795E"/>
    <w:rsid w:val="00A81F91"/>
    <w:rsid w:val="00A82121"/>
    <w:rsid w:val="00A82CC1"/>
    <w:rsid w:val="00A84131"/>
    <w:rsid w:val="00A85C15"/>
    <w:rsid w:val="00A85EE4"/>
    <w:rsid w:val="00A90B58"/>
    <w:rsid w:val="00A912A3"/>
    <w:rsid w:val="00A91D09"/>
    <w:rsid w:val="00A94513"/>
    <w:rsid w:val="00A96A96"/>
    <w:rsid w:val="00A97DF8"/>
    <w:rsid w:val="00A97ED1"/>
    <w:rsid w:val="00AA0BBB"/>
    <w:rsid w:val="00AA0BE9"/>
    <w:rsid w:val="00AA1196"/>
    <w:rsid w:val="00AA15E8"/>
    <w:rsid w:val="00AA3138"/>
    <w:rsid w:val="00AA3F8D"/>
    <w:rsid w:val="00AA4B3C"/>
    <w:rsid w:val="00AA523B"/>
    <w:rsid w:val="00AA66FB"/>
    <w:rsid w:val="00AB0621"/>
    <w:rsid w:val="00AB1042"/>
    <w:rsid w:val="00AB1860"/>
    <w:rsid w:val="00AB299C"/>
    <w:rsid w:val="00AB5E86"/>
    <w:rsid w:val="00AB64C1"/>
    <w:rsid w:val="00AB6791"/>
    <w:rsid w:val="00AB6B0B"/>
    <w:rsid w:val="00AB7421"/>
    <w:rsid w:val="00AB7D63"/>
    <w:rsid w:val="00AC0DFC"/>
    <w:rsid w:val="00AC0E37"/>
    <w:rsid w:val="00AC0FF5"/>
    <w:rsid w:val="00AC33EB"/>
    <w:rsid w:val="00AC4F7E"/>
    <w:rsid w:val="00AC594E"/>
    <w:rsid w:val="00AC72D3"/>
    <w:rsid w:val="00AD0EAB"/>
    <w:rsid w:val="00AD19D3"/>
    <w:rsid w:val="00AD1D94"/>
    <w:rsid w:val="00AD25B6"/>
    <w:rsid w:val="00AD297E"/>
    <w:rsid w:val="00AD4E2F"/>
    <w:rsid w:val="00AD6E9B"/>
    <w:rsid w:val="00AD71BF"/>
    <w:rsid w:val="00AE0A78"/>
    <w:rsid w:val="00AE0CE9"/>
    <w:rsid w:val="00AE0EC4"/>
    <w:rsid w:val="00AE276C"/>
    <w:rsid w:val="00AE2F90"/>
    <w:rsid w:val="00AE32EC"/>
    <w:rsid w:val="00AE37BC"/>
    <w:rsid w:val="00AE3A11"/>
    <w:rsid w:val="00AE4EA5"/>
    <w:rsid w:val="00AE5599"/>
    <w:rsid w:val="00AE59A2"/>
    <w:rsid w:val="00AE5A3B"/>
    <w:rsid w:val="00AE5BA5"/>
    <w:rsid w:val="00AE5FD0"/>
    <w:rsid w:val="00AE65FC"/>
    <w:rsid w:val="00AE683F"/>
    <w:rsid w:val="00AE69C3"/>
    <w:rsid w:val="00AE6D8F"/>
    <w:rsid w:val="00AE7761"/>
    <w:rsid w:val="00AE7C56"/>
    <w:rsid w:val="00AF01DA"/>
    <w:rsid w:val="00AF119A"/>
    <w:rsid w:val="00AF18B4"/>
    <w:rsid w:val="00AF2352"/>
    <w:rsid w:val="00AF3758"/>
    <w:rsid w:val="00AF3930"/>
    <w:rsid w:val="00AF5A99"/>
    <w:rsid w:val="00AF6714"/>
    <w:rsid w:val="00AF71E3"/>
    <w:rsid w:val="00B0019C"/>
    <w:rsid w:val="00B00AE1"/>
    <w:rsid w:val="00B01F5A"/>
    <w:rsid w:val="00B02DF0"/>
    <w:rsid w:val="00B0337D"/>
    <w:rsid w:val="00B04AA4"/>
    <w:rsid w:val="00B04BB6"/>
    <w:rsid w:val="00B04EF0"/>
    <w:rsid w:val="00B0524E"/>
    <w:rsid w:val="00B05373"/>
    <w:rsid w:val="00B06170"/>
    <w:rsid w:val="00B06565"/>
    <w:rsid w:val="00B0697D"/>
    <w:rsid w:val="00B07B20"/>
    <w:rsid w:val="00B10743"/>
    <w:rsid w:val="00B10E6F"/>
    <w:rsid w:val="00B15C4D"/>
    <w:rsid w:val="00B162F9"/>
    <w:rsid w:val="00B16394"/>
    <w:rsid w:val="00B16D7F"/>
    <w:rsid w:val="00B17913"/>
    <w:rsid w:val="00B20397"/>
    <w:rsid w:val="00B2066B"/>
    <w:rsid w:val="00B20EBF"/>
    <w:rsid w:val="00B2122C"/>
    <w:rsid w:val="00B2239A"/>
    <w:rsid w:val="00B22EAE"/>
    <w:rsid w:val="00B23891"/>
    <w:rsid w:val="00B24626"/>
    <w:rsid w:val="00B24B75"/>
    <w:rsid w:val="00B24D03"/>
    <w:rsid w:val="00B30FCF"/>
    <w:rsid w:val="00B3149D"/>
    <w:rsid w:val="00B31BF1"/>
    <w:rsid w:val="00B32D72"/>
    <w:rsid w:val="00B333BF"/>
    <w:rsid w:val="00B339F4"/>
    <w:rsid w:val="00B33F9E"/>
    <w:rsid w:val="00B34305"/>
    <w:rsid w:val="00B3537C"/>
    <w:rsid w:val="00B3617D"/>
    <w:rsid w:val="00B36C1D"/>
    <w:rsid w:val="00B36DC0"/>
    <w:rsid w:val="00B3735A"/>
    <w:rsid w:val="00B37C8B"/>
    <w:rsid w:val="00B412A0"/>
    <w:rsid w:val="00B41F8A"/>
    <w:rsid w:val="00B4202B"/>
    <w:rsid w:val="00B42158"/>
    <w:rsid w:val="00B421F7"/>
    <w:rsid w:val="00B4248F"/>
    <w:rsid w:val="00B45098"/>
    <w:rsid w:val="00B4694E"/>
    <w:rsid w:val="00B47692"/>
    <w:rsid w:val="00B47FED"/>
    <w:rsid w:val="00B50B6F"/>
    <w:rsid w:val="00B51653"/>
    <w:rsid w:val="00B517EF"/>
    <w:rsid w:val="00B51A08"/>
    <w:rsid w:val="00B51D4F"/>
    <w:rsid w:val="00B51E68"/>
    <w:rsid w:val="00B53E0B"/>
    <w:rsid w:val="00B53F16"/>
    <w:rsid w:val="00B553C7"/>
    <w:rsid w:val="00B5612F"/>
    <w:rsid w:val="00B56672"/>
    <w:rsid w:val="00B5685A"/>
    <w:rsid w:val="00B56D13"/>
    <w:rsid w:val="00B56ECA"/>
    <w:rsid w:val="00B604A1"/>
    <w:rsid w:val="00B605BA"/>
    <w:rsid w:val="00B6079E"/>
    <w:rsid w:val="00B6153D"/>
    <w:rsid w:val="00B62ACC"/>
    <w:rsid w:val="00B62C41"/>
    <w:rsid w:val="00B63323"/>
    <w:rsid w:val="00B63EF4"/>
    <w:rsid w:val="00B6589B"/>
    <w:rsid w:val="00B678EE"/>
    <w:rsid w:val="00B67C10"/>
    <w:rsid w:val="00B70346"/>
    <w:rsid w:val="00B70624"/>
    <w:rsid w:val="00B709C2"/>
    <w:rsid w:val="00B7195D"/>
    <w:rsid w:val="00B71E8E"/>
    <w:rsid w:val="00B71F0B"/>
    <w:rsid w:val="00B74AC2"/>
    <w:rsid w:val="00B770FF"/>
    <w:rsid w:val="00B77319"/>
    <w:rsid w:val="00B800CD"/>
    <w:rsid w:val="00B80868"/>
    <w:rsid w:val="00B80A29"/>
    <w:rsid w:val="00B81BB2"/>
    <w:rsid w:val="00B82EF9"/>
    <w:rsid w:val="00B83A6D"/>
    <w:rsid w:val="00B8435F"/>
    <w:rsid w:val="00B84A6B"/>
    <w:rsid w:val="00B854FA"/>
    <w:rsid w:val="00B85501"/>
    <w:rsid w:val="00B85F47"/>
    <w:rsid w:val="00B87644"/>
    <w:rsid w:val="00B878CE"/>
    <w:rsid w:val="00B87927"/>
    <w:rsid w:val="00B87AD3"/>
    <w:rsid w:val="00B87E26"/>
    <w:rsid w:val="00B903EC"/>
    <w:rsid w:val="00B907F9"/>
    <w:rsid w:val="00B91409"/>
    <w:rsid w:val="00B922B5"/>
    <w:rsid w:val="00B92619"/>
    <w:rsid w:val="00B92D8C"/>
    <w:rsid w:val="00B9315C"/>
    <w:rsid w:val="00B934BF"/>
    <w:rsid w:val="00B9387B"/>
    <w:rsid w:val="00B9419D"/>
    <w:rsid w:val="00B954A3"/>
    <w:rsid w:val="00B95CC6"/>
    <w:rsid w:val="00B960F4"/>
    <w:rsid w:val="00B96F66"/>
    <w:rsid w:val="00BA095B"/>
    <w:rsid w:val="00BA110C"/>
    <w:rsid w:val="00BA2062"/>
    <w:rsid w:val="00BA402A"/>
    <w:rsid w:val="00BA4A7D"/>
    <w:rsid w:val="00BA4AA7"/>
    <w:rsid w:val="00BA7271"/>
    <w:rsid w:val="00BA72B2"/>
    <w:rsid w:val="00BB1669"/>
    <w:rsid w:val="00BB17CE"/>
    <w:rsid w:val="00BB18F9"/>
    <w:rsid w:val="00BB213A"/>
    <w:rsid w:val="00BB26CC"/>
    <w:rsid w:val="00BB3B13"/>
    <w:rsid w:val="00BB52C1"/>
    <w:rsid w:val="00BB5639"/>
    <w:rsid w:val="00BB6040"/>
    <w:rsid w:val="00BB73D1"/>
    <w:rsid w:val="00BB7F77"/>
    <w:rsid w:val="00BC060B"/>
    <w:rsid w:val="00BC0E3E"/>
    <w:rsid w:val="00BC2568"/>
    <w:rsid w:val="00BC30B1"/>
    <w:rsid w:val="00BC3184"/>
    <w:rsid w:val="00BC31B8"/>
    <w:rsid w:val="00BC3FE6"/>
    <w:rsid w:val="00BC5030"/>
    <w:rsid w:val="00BC5420"/>
    <w:rsid w:val="00BC5C6E"/>
    <w:rsid w:val="00BC63AA"/>
    <w:rsid w:val="00BC65AC"/>
    <w:rsid w:val="00BC65C5"/>
    <w:rsid w:val="00BC7271"/>
    <w:rsid w:val="00BC7808"/>
    <w:rsid w:val="00BC7E40"/>
    <w:rsid w:val="00BD0284"/>
    <w:rsid w:val="00BD0EAC"/>
    <w:rsid w:val="00BD1604"/>
    <w:rsid w:val="00BD16CA"/>
    <w:rsid w:val="00BD3C95"/>
    <w:rsid w:val="00BD3F98"/>
    <w:rsid w:val="00BD54B2"/>
    <w:rsid w:val="00BD5650"/>
    <w:rsid w:val="00BD5B9D"/>
    <w:rsid w:val="00BD5FB3"/>
    <w:rsid w:val="00BD624D"/>
    <w:rsid w:val="00BE06E6"/>
    <w:rsid w:val="00BE0B1D"/>
    <w:rsid w:val="00BE1603"/>
    <w:rsid w:val="00BE18EE"/>
    <w:rsid w:val="00BE1AD5"/>
    <w:rsid w:val="00BE2312"/>
    <w:rsid w:val="00BE24BF"/>
    <w:rsid w:val="00BE40A0"/>
    <w:rsid w:val="00BE4285"/>
    <w:rsid w:val="00BE4603"/>
    <w:rsid w:val="00BE4772"/>
    <w:rsid w:val="00BE5152"/>
    <w:rsid w:val="00BE5E73"/>
    <w:rsid w:val="00BE66D9"/>
    <w:rsid w:val="00BE7119"/>
    <w:rsid w:val="00BF0713"/>
    <w:rsid w:val="00BF0910"/>
    <w:rsid w:val="00BF1F90"/>
    <w:rsid w:val="00BF2694"/>
    <w:rsid w:val="00BF27F8"/>
    <w:rsid w:val="00BF3D70"/>
    <w:rsid w:val="00BF3E65"/>
    <w:rsid w:val="00BF41F6"/>
    <w:rsid w:val="00BF6FEA"/>
    <w:rsid w:val="00C00612"/>
    <w:rsid w:val="00C00D13"/>
    <w:rsid w:val="00C0121C"/>
    <w:rsid w:val="00C012CB"/>
    <w:rsid w:val="00C03247"/>
    <w:rsid w:val="00C036E0"/>
    <w:rsid w:val="00C04100"/>
    <w:rsid w:val="00C04652"/>
    <w:rsid w:val="00C04874"/>
    <w:rsid w:val="00C051A1"/>
    <w:rsid w:val="00C053CB"/>
    <w:rsid w:val="00C0581E"/>
    <w:rsid w:val="00C12834"/>
    <w:rsid w:val="00C12B9B"/>
    <w:rsid w:val="00C12D3B"/>
    <w:rsid w:val="00C13C33"/>
    <w:rsid w:val="00C14879"/>
    <w:rsid w:val="00C16AD0"/>
    <w:rsid w:val="00C20665"/>
    <w:rsid w:val="00C21E44"/>
    <w:rsid w:val="00C23438"/>
    <w:rsid w:val="00C236ED"/>
    <w:rsid w:val="00C23730"/>
    <w:rsid w:val="00C23BBC"/>
    <w:rsid w:val="00C24278"/>
    <w:rsid w:val="00C2502C"/>
    <w:rsid w:val="00C25488"/>
    <w:rsid w:val="00C256E1"/>
    <w:rsid w:val="00C25E67"/>
    <w:rsid w:val="00C301B1"/>
    <w:rsid w:val="00C30297"/>
    <w:rsid w:val="00C310FC"/>
    <w:rsid w:val="00C31FF6"/>
    <w:rsid w:val="00C33D82"/>
    <w:rsid w:val="00C34231"/>
    <w:rsid w:val="00C34FF7"/>
    <w:rsid w:val="00C3539F"/>
    <w:rsid w:val="00C3552C"/>
    <w:rsid w:val="00C365F7"/>
    <w:rsid w:val="00C3673D"/>
    <w:rsid w:val="00C36ED9"/>
    <w:rsid w:val="00C373BE"/>
    <w:rsid w:val="00C37ACB"/>
    <w:rsid w:val="00C403F8"/>
    <w:rsid w:val="00C404D8"/>
    <w:rsid w:val="00C405F1"/>
    <w:rsid w:val="00C41C93"/>
    <w:rsid w:val="00C41ED1"/>
    <w:rsid w:val="00C42CD0"/>
    <w:rsid w:val="00C432DE"/>
    <w:rsid w:val="00C4357E"/>
    <w:rsid w:val="00C4467A"/>
    <w:rsid w:val="00C4519F"/>
    <w:rsid w:val="00C46D93"/>
    <w:rsid w:val="00C518BB"/>
    <w:rsid w:val="00C51AF7"/>
    <w:rsid w:val="00C52238"/>
    <w:rsid w:val="00C52A64"/>
    <w:rsid w:val="00C5332C"/>
    <w:rsid w:val="00C54E4E"/>
    <w:rsid w:val="00C56662"/>
    <w:rsid w:val="00C5690B"/>
    <w:rsid w:val="00C57195"/>
    <w:rsid w:val="00C6096D"/>
    <w:rsid w:val="00C63120"/>
    <w:rsid w:val="00C641EB"/>
    <w:rsid w:val="00C64450"/>
    <w:rsid w:val="00C656D3"/>
    <w:rsid w:val="00C65E8E"/>
    <w:rsid w:val="00C663AB"/>
    <w:rsid w:val="00C66683"/>
    <w:rsid w:val="00C67D7B"/>
    <w:rsid w:val="00C728D1"/>
    <w:rsid w:val="00C7362D"/>
    <w:rsid w:val="00C74751"/>
    <w:rsid w:val="00C74C0C"/>
    <w:rsid w:val="00C74D72"/>
    <w:rsid w:val="00C773BC"/>
    <w:rsid w:val="00C775EE"/>
    <w:rsid w:val="00C77740"/>
    <w:rsid w:val="00C80C69"/>
    <w:rsid w:val="00C81A68"/>
    <w:rsid w:val="00C829FA"/>
    <w:rsid w:val="00C84A91"/>
    <w:rsid w:val="00C84CF8"/>
    <w:rsid w:val="00C84FCA"/>
    <w:rsid w:val="00C85072"/>
    <w:rsid w:val="00C85314"/>
    <w:rsid w:val="00C87554"/>
    <w:rsid w:val="00C87A1F"/>
    <w:rsid w:val="00C922AA"/>
    <w:rsid w:val="00C92B17"/>
    <w:rsid w:val="00C92EF7"/>
    <w:rsid w:val="00C93D9A"/>
    <w:rsid w:val="00C946D9"/>
    <w:rsid w:val="00C95630"/>
    <w:rsid w:val="00C95745"/>
    <w:rsid w:val="00C95BD1"/>
    <w:rsid w:val="00C977F6"/>
    <w:rsid w:val="00C97EC8"/>
    <w:rsid w:val="00CA0054"/>
    <w:rsid w:val="00CA1400"/>
    <w:rsid w:val="00CA2C4A"/>
    <w:rsid w:val="00CA3073"/>
    <w:rsid w:val="00CA409A"/>
    <w:rsid w:val="00CA46D6"/>
    <w:rsid w:val="00CA4BC0"/>
    <w:rsid w:val="00CA4D7A"/>
    <w:rsid w:val="00CA60B5"/>
    <w:rsid w:val="00CA652C"/>
    <w:rsid w:val="00CA6BA1"/>
    <w:rsid w:val="00CA785F"/>
    <w:rsid w:val="00CB2520"/>
    <w:rsid w:val="00CB2D35"/>
    <w:rsid w:val="00CB318E"/>
    <w:rsid w:val="00CB31C4"/>
    <w:rsid w:val="00CB60E1"/>
    <w:rsid w:val="00CB7076"/>
    <w:rsid w:val="00CB7589"/>
    <w:rsid w:val="00CC0B96"/>
    <w:rsid w:val="00CC174F"/>
    <w:rsid w:val="00CC1C8D"/>
    <w:rsid w:val="00CC33FB"/>
    <w:rsid w:val="00CC3980"/>
    <w:rsid w:val="00CC559D"/>
    <w:rsid w:val="00CC5D85"/>
    <w:rsid w:val="00CC5E6D"/>
    <w:rsid w:val="00CC70C3"/>
    <w:rsid w:val="00CC7858"/>
    <w:rsid w:val="00CD0EC8"/>
    <w:rsid w:val="00CD2C1D"/>
    <w:rsid w:val="00CD3294"/>
    <w:rsid w:val="00CD6421"/>
    <w:rsid w:val="00CD654B"/>
    <w:rsid w:val="00CD6A77"/>
    <w:rsid w:val="00CD6BD4"/>
    <w:rsid w:val="00CD75D6"/>
    <w:rsid w:val="00CD783A"/>
    <w:rsid w:val="00CE01B0"/>
    <w:rsid w:val="00CE223E"/>
    <w:rsid w:val="00CE23E6"/>
    <w:rsid w:val="00CE2CA3"/>
    <w:rsid w:val="00CE3444"/>
    <w:rsid w:val="00CE44A6"/>
    <w:rsid w:val="00CE455C"/>
    <w:rsid w:val="00CE51A6"/>
    <w:rsid w:val="00CE5B0C"/>
    <w:rsid w:val="00CE65D3"/>
    <w:rsid w:val="00CE717A"/>
    <w:rsid w:val="00CE7B04"/>
    <w:rsid w:val="00CF154A"/>
    <w:rsid w:val="00CF1EC2"/>
    <w:rsid w:val="00CF2D95"/>
    <w:rsid w:val="00CF2DE4"/>
    <w:rsid w:val="00CF2EED"/>
    <w:rsid w:val="00CF3405"/>
    <w:rsid w:val="00CF3867"/>
    <w:rsid w:val="00CF4212"/>
    <w:rsid w:val="00CF4C98"/>
    <w:rsid w:val="00CF564F"/>
    <w:rsid w:val="00CF6D90"/>
    <w:rsid w:val="00CF779D"/>
    <w:rsid w:val="00CF7B8E"/>
    <w:rsid w:val="00D00E8A"/>
    <w:rsid w:val="00D0133E"/>
    <w:rsid w:val="00D01A03"/>
    <w:rsid w:val="00D0293D"/>
    <w:rsid w:val="00D03B6D"/>
    <w:rsid w:val="00D04628"/>
    <w:rsid w:val="00D05972"/>
    <w:rsid w:val="00D06266"/>
    <w:rsid w:val="00D062C6"/>
    <w:rsid w:val="00D10806"/>
    <w:rsid w:val="00D13383"/>
    <w:rsid w:val="00D14538"/>
    <w:rsid w:val="00D145F5"/>
    <w:rsid w:val="00D14C69"/>
    <w:rsid w:val="00D16336"/>
    <w:rsid w:val="00D16881"/>
    <w:rsid w:val="00D16A3D"/>
    <w:rsid w:val="00D17876"/>
    <w:rsid w:val="00D17B5E"/>
    <w:rsid w:val="00D17D27"/>
    <w:rsid w:val="00D208BD"/>
    <w:rsid w:val="00D21AB1"/>
    <w:rsid w:val="00D21D1C"/>
    <w:rsid w:val="00D23615"/>
    <w:rsid w:val="00D24BC5"/>
    <w:rsid w:val="00D259EB"/>
    <w:rsid w:val="00D26341"/>
    <w:rsid w:val="00D26980"/>
    <w:rsid w:val="00D26F72"/>
    <w:rsid w:val="00D279FA"/>
    <w:rsid w:val="00D304BF"/>
    <w:rsid w:val="00D309CA"/>
    <w:rsid w:val="00D30B42"/>
    <w:rsid w:val="00D30C99"/>
    <w:rsid w:val="00D328C8"/>
    <w:rsid w:val="00D3389E"/>
    <w:rsid w:val="00D34331"/>
    <w:rsid w:val="00D34FF5"/>
    <w:rsid w:val="00D355F0"/>
    <w:rsid w:val="00D36600"/>
    <w:rsid w:val="00D4072D"/>
    <w:rsid w:val="00D40887"/>
    <w:rsid w:val="00D412CB"/>
    <w:rsid w:val="00D41C6A"/>
    <w:rsid w:val="00D42080"/>
    <w:rsid w:val="00D43879"/>
    <w:rsid w:val="00D43FB4"/>
    <w:rsid w:val="00D44295"/>
    <w:rsid w:val="00D444DC"/>
    <w:rsid w:val="00D44D0A"/>
    <w:rsid w:val="00D45AF8"/>
    <w:rsid w:val="00D461E2"/>
    <w:rsid w:val="00D476BA"/>
    <w:rsid w:val="00D516F1"/>
    <w:rsid w:val="00D51C05"/>
    <w:rsid w:val="00D526B3"/>
    <w:rsid w:val="00D52898"/>
    <w:rsid w:val="00D53001"/>
    <w:rsid w:val="00D53E25"/>
    <w:rsid w:val="00D5498B"/>
    <w:rsid w:val="00D55CCC"/>
    <w:rsid w:val="00D607AD"/>
    <w:rsid w:val="00D61242"/>
    <w:rsid w:val="00D6149E"/>
    <w:rsid w:val="00D615BB"/>
    <w:rsid w:val="00D6209A"/>
    <w:rsid w:val="00D627DE"/>
    <w:rsid w:val="00D62F25"/>
    <w:rsid w:val="00D64ECC"/>
    <w:rsid w:val="00D66022"/>
    <w:rsid w:val="00D66151"/>
    <w:rsid w:val="00D673B8"/>
    <w:rsid w:val="00D67886"/>
    <w:rsid w:val="00D708EC"/>
    <w:rsid w:val="00D71362"/>
    <w:rsid w:val="00D71E5E"/>
    <w:rsid w:val="00D73344"/>
    <w:rsid w:val="00D73696"/>
    <w:rsid w:val="00D73987"/>
    <w:rsid w:val="00D7407E"/>
    <w:rsid w:val="00D7500A"/>
    <w:rsid w:val="00D76101"/>
    <w:rsid w:val="00D768FF"/>
    <w:rsid w:val="00D819B4"/>
    <w:rsid w:val="00D81C48"/>
    <w:rsid w:val="00D8211F"/>
    <w:rsid w:val="00D8246B"/>
    <w:rsid w:val="00D82C57"/>
    <w:rsid w:val="00D83BD9"/>
    <w:rsid w:val="00D83EC6"/>
    <w:rsid w:val="00D84701"/>
    <w:rsid w:val="00D85219"/>
    <w:rsid w:val="00D856A5"/>
    <w:rsid w:val="00D8578C"/>
    <w:rsid w:val="00D85B78"/>
    <w:rsid w:val="00D85C59"/>
    <w:rsid w:val="00D86B3B"/>
    <w:rsid w:val="00D9044D"/>
    <w:rsid w:val="00D90667"/>
    <w:rsid w:val="00D909E9"/>
    <w:rsid w:val="00D9193E"/>
    <w:rsid w:val="00D91A9E"/>
    <w:rsid w:val="00D91AD7"/>
    <w:rsid w:val="00D92E05"/>
    <w:rsid w:val="00D93359"/>
    <w:rsid w:val="00D949EF"/>
    <w:rsid w:val="00D9567E"/>
    <w:rsid w:val="00D95BF4"/>
    <w:rsid w:val="00D95FB9"/>
    <w:rsid w:val="00DA022A"/>
    <w:rsid w:val="00DA03B7"/>
    <w:rsid w:val="00DA05B7"/>
    <w:rsid w:val="00DA0BF4"/>
    <w:rsid w:val="00DA1619"/>
    <w:rsid w:val="00DA1BD7"/>
    <w:rsid w:val="00DA2394"/>
    <w:rsid w:val="00DA2933"/>
    <w:rsid w:val="00DA2BCA"/>
    <w:rsid w:val="00DA46F0"/>
    <w:rsid w:val="00DA5EA5"/>
    <w:rsid w:val="00DA623A"/>
    <w:rsid w:val="00DA631F"/>
    <w:rsid w:val="00DA686B"/>
    <w:rsid w:val="00DA7421"/>
    <w:rsid w:val="00DA7FDF"/>
    <w:rsid w:val="00DB3663"/>
    <w:rsid w:val="00DB44EC"/>
    <w:rsid w:val="00DB4F3B"/>
    <w:rsid w:val="00DB588F"/>
    <w:rsid w:val="00DB596C"/>
    <w:rsid w:val="00DB5C40"/>
    <w:rsid w:val="00DB7F09"/>
    <w:rsid w:val="00DC00E8"/>
    <w:rsid w:val="00DC1950"/>
    <w:rsid w:val="00DC27C6"/>
    <w:rsid w:val="00DC3A7E"/>
    <w:rsid w:val="00DC3C8C"/>
    <w:rsid w:val="00DC42F0"/>
    <w:rsid w:val="00DC5819"/>
    <w:rsid w:val="00DC58F1"/>
    <w:rsid w:val="00DC6EEE"/>
    <w:rsid w:val="00DC7135"/>
    <w:rsid w:val="00DD0312"/>
    <w:rsid w:val="00DD1026"/>
    <w:rsid w:val="00DD1EA8"/>
    <w:rsid w:val="00DD241F"/>
    <w:rsid w:val="00DD2521"/>
    <w:rsid w:val="00DD367B"/>
    <w:rsid w:val="00DD437E"/>
    <w:rsid w:val="00DD64F8"/>
    <w:rsid w:val="00DD6A66"/>
    <w:rsid w:val="00DD6D7F"/>
    <w:rsid w:val="00DD743D"/>
    <w:rsid w:val="00DD7C71"/>
    <w:rsid w:val="00DE156C"/>
    <w:rsid w:val="00DE23D7"/>
    <w:rsid w:val="00DE2752"/>
    <w:rsid w:val="00DE3432"/>
    <w:rsid w:val="00DE4ACD"/>
    <w:rsid w:val="00DE50D1"/>
    <w:rsid w:val="00DE53E7"/>
    <w:rsid w:val="00DE59C5"/>
    <w:rsid w:val="00DE6019"/>
    <w:rsid w:val="00DE6333"/>
    <w:rsid w:val="00DE7ADF"/>
    <w:rsid w:val="00DF14B0"/>
    <w:rsid w:val="00DF185A"/>
    <w:rsid w:val="00DF2910"/>
    <w:rsid w:val="00DF43CD"/>
    <w:rsid w:val="00DF4486"/>
    <w:rsid w:val="00DF5030"/>
    <w:rsid w:val="00DF5C9B"/>
    <w:rsid w:val="00DF655A"/>
    <w:rsid w:val="00DF71A9"/>
    <w:rsid w:val="00DF7219"/>
    <w:rsid w:val="00DF7B78"/>
    <w:rsid w:val="00DF7C15"/>
    <w:rsid w:val="00E007D3"/>
    <w:rsid w:val="00E019E9"/>
    <w:rsid w:val="00E01BC3"/>
    <w:rsid w:val="00E02641"/>
    <w:rsid w:val="00E02718"/>
    <w:rsid w:val="00E02BA7"/>
    <w:rsid w:val="00E0303B"/>
    <w:rsid w:val="00E030C8"/>
    <w:rsid w:val="00E049F9"/>
    <w:rsid w:val="00E05AE5"/>
    <w:rsid w:val="00E05D31"/>
    <w:rsid w:val="00E0680C"/>
    <w:rsid w:val="00E06828"/>
    <w:rsid w:val="00E07227"/>
    <w:rsid w:val="00E07263"/>
    <w:rsid w:val="00E101A7"/>
    <w:rsid w:val="00E10D39"/>
    <w:rsid w:val="00E1136B"/>
    <w:rsid w:val="00E11B2D"/>
    <w:rsid w:val="00E12E19"/>
    <w:rsid w:val="00E1301D"/>
    <w:rsid w:val="00E130C2"/>
    <w:rsid w:val="00E13E90"/>
    <w:rsid w:val="00E14177"/>
    <w:rsid w:val="00E14539"/>
    <w:rsid w:val="00E147A7"/>
    <w:rsid w:val="00E14F31"/>
    <w:rsid w:val="00E15CD1"/>
    <w:rsid w:val="00E15EFD"/>
    <w:rsid w:val="00E16266"/>
    <w:rsid w:val="00E17D58"/>
    <w:rsid w:val="00E21227"/>
    <w:rsid w:val="00E214D1"/>
    <w:rsid w:val="00E220E9"/>
    <w:rsid w:val="00E22D51"/>
    <w:rsid w:val="00E23028"/>
    <w:rsid w:val="00E230D8"/>
    <w:rsid w:val="00E2384E"/>
    <w:rsid w:val="00E23C87"/>
    <w:rsid w:val="00E23FEF"/>
    <w:rsid w:val="00E24668"/>
    <w:rsid w:val="00E252AA"/>
    <w:rsid w:val="00E2588F"/>
    <w:rsid w:val="00E25D9D"/>
    <w:rsid w:val="00E262D1"/>
    <w:rsid w:val="00E267BF"/>
    <w:rsid w:val="00E26ED0"/>
    <w:rsid w:val="00E275E0"/>
    <w:rsid w:val="00E3014B"/>
    <w:rsid w:val="00E30FA5"/>
    <w:rsid w:val="00E31E59"/>
    <w:rsid w:val="00E3285A"/>
    <w:rsid w:val="00E32AC5"/>
    <w:rsid w:val="00E3386C"/>
    <w:rsid w:val="00E345D6"/>
    <w:rsid w:val="00E352CB"/>
    <w:rsid w:val="00E35FA1"/>
    <w:rsid w:val="00E362B8"/>
    <w:rsid w:val="00E376A0"/>
    <w:rsid w:val="00E40682"/>
    <w:rsid w:val="00E41477"/>
    <w:rsid w:val="00E42015"/>
    <w:rsid w:val="00E42CD1"/>
    <w:rsid w:val="00E4353B"/>
    <w:rsid w:val="00E449C9"/>
    <w:rsid w:val="00E449FF"/>
    <w:rsid w:val="00E44AB8"/>
    <w:rsid w:val="00E45FB8"/>
    <w:rsid w:val="00E46521"/>
    <w:rsid w:val="00E46CF7"/>
    <w:rsid w:val="00E474B6"/>
    <w:rsid w:val="00E47A6F"/>
    <w:rsid w:val="00E500B5"/>
    <w:rsid w:val="00E50159"/>
    <w:rsid w:val="00E50E7C"/>
    <w:rsid w:val="00E51265"/>
    <w:rsid w:val="00E51545"/>
    <w:rsid w:val="00E51772"/>
    <w:rsid w:val="00E519D9"/>
    <w:rsid w:val="00E51B41"/>
    <w:rsid w:val="00E51D32"/>
    <w:rsid w:val="00E51D6B"/>
    <w:rsid w:val="00E52788"/>
    <w:rsid w:val="00E5322A"/>
    <w:rsid w:val="00E53542"/>
    <w:rsid w:val="00E54C94"/>
    <w:rsid w:val="00E55326"/>
    <w:rsid w:val="00E56166"/>
    <w:rsid w:val="00E56C88"/>
    <w:rsid w:val="00E56D98"/>
    <w:rsid w:val="00E578C1"/>
    <w:rsid w:val="00E57F6B"/>
    <w:rsid w:val="00E60724"/>
    <w:rsid w:val="00E60797"/>
    <w:rsid w:val="00E6109C"/>
    <w:rsid w:val="00E617B8"/>
    <w:rsid w:val="00E62692"/>
    <w:rsid w:val="00E63603"/>
    <w:rsid w:val="00E6391A"/>
    <w:rsid w:val="00E65216"/>
    <w:rsid w:val="00E65581"/>
    <w:rsid w:val="00E65AAF"/>
    <w:rsid w:val="00E65B40"/>
    <w:rsid w:val="00E65D4B"/>
    <w:rsid w:val="00E65E1D"/>
    <w:rsid w:val="00E66F8A"/>
    <w:rsid w:val="00E67324"/>
    <w:rsid w:val="00E67B90"/>
    <w:rsid w:val="00E67CC7"/>
    <w:rsid w:val="00E67E7A"/>
    <w:rsid w:val="00E70953"/>
    <w:rsid w:val="00E70AA3"/>
    <w:rsid w:val="00E711D7"/>
    <w:rsid w:val="00E717D5"/>
    <w:rsid w:val="00E71E68"/>
    <w:rsid w:val="00E721C8"/>
    <w:rsid w:val="00E72622"/>
    <w:rsid w:val="00E72FDF"/>
    <w:rsid w:val="00E7470A"/>
    <w:rsid w:val="00E7473C"/>
    <w:rsid w:val="00E75B74"/>
    <w:rsid w:val="00E75C66"/>
    <w:rsid w:val="00E76203"/>
    <w:rsid w:val="00E771D4"/>
    <w:rsid w:val="00E77295"/>
    <w:rsid w:val="00E81A40"/>
    <w:rsid w:val="00E8207F"/>
    <w:rsid w:val="00E8257B"/>
    <w:rsid w:val="00E82CCF"/>
    <w:rsid w:val="00E83E87"/>
    <w:rsid w:val="00E84E92"/>
    <w:rsid w:val="00E85047"/>
    <w:rsid w:val="00E851A4"/>
    <w:rsid w:val="00E8668F"/>
    <w:rsid w:val="00E870E9"/>
    <w:rsid w:val="00E87C8C"/>
    <w:rsid w:val="00E902B0"/>
    <w:rsid w:val="00E902E8"/>
    <w:rsid w:val="00E91857"/>
    <w:rsid w:val="00E92B4A"/>
    <w:rsid w:val="00E940DC"/>
    <w:rsid w:val="00E94276"/>
    <w:rsid w:val="00E945F2"/>
    <w:rsid w:val="00E94A35"/>
    <w:rsid w:val="00E94CE3"/>
    <w:rsid w:val="00E95906"/>
    <w:rsid w:val="00E96650"/>
    <w:rsid w:val="00EA0C47"/>
    <w:rsid w:val="00EA0E80"/>
    <w:rsid w:val="00EA18BE"/>
    <w:rsid w:val="00EA1C2A"/>
    <w:rsid w:val="00EA1D49"/>
    <w:rsid w:val="00EA2044"/>
    <w:rsid w:val="00EA303F"/>
    <w:rsid w:val="00EA4388"/>
    <w:rsid w:val="00EA5882"/>
    <w:rsid w:val="00EA58D1"/>
    <w:rsid w:val="00EA5A27"/>
    <w:rsid w:val="00EA5B27"/>
    <w:rsid w:val="00EA5F74"/>
    <w:rsid w:val="00EA633C"/>
    <w:rsid w:val="00EA67ED"/>
    <w:rsid w:val="00EA7743"/>
    <w:rsid w:val="00EB030F"/>
    <w:rsid w:val="00EB2757"/>
    <w:rsid w:val="00EB38C9"/>
    <w:rsid w:val="00EB4A40"/>
    <w:rsid w:val="00EB4B38"/>
    <w:rsid w:val="00EB52F1"/>
    <w:rsid w:val="00EB58B3"/>
    <w:rsid w:val="00EB5F1C"/>
    <w:rsid w:val="00EB69AF"/>
    <w:rsid w:val="00EB6BFB"/>
    <w:rsid w:val="00EC07DB"/>
    <w:rsid w:val="00EC146D"/>
    <w:rsid w:val="00EC1E20"/>
    <w:rsid w:val="00EC1E51"/>
    <w:rsid w:val="00EC24C9"/>
    <w:rsid w:val="00EC265B"/>
    <w:rsid w:val="00EC28D7"/>
    <w:rsid w:val="00EC3902"/>
    <w:rsid w:val="00EC469E"/>
    <w:rsid w:val="00EC4747"/>
    <w:rsid w:val="00EC675F"/>
    <w:rsid w:val="00EC6840"/>
    <w:rsid w:val="00EC6B16"/>
    <w:rsid w:val="00EC7089"/>
    <w:rsid w:val="00EC7287"/>
    <w:rsid w:val="00ED0A6A"/>
    <w:rsid w:val="00ED0CB6"/>
    <w:rsid w:val="00ED14FB"/>
    <w:rsid w:val="00ED2300"/>
    <w:rsid w:val="00ED321F"/>
    <w:rsid w:val="00ED4993"/>
    <w:rsid w:val="00ED50FA"/>
    <w:rsid w:val="00ED5C9C"/>
    <w:rsid w:val="00ED5D95"/>
    <w:rsid w:val="00ED5F71"/>
    <w:rsid w:val="00ED65F7"/>
    <w:rsid w:val="00ED75DE"/>
    <w:rsid w:val="00EE13CD"/>
    <w:rsid w:val="00EE28D8"/>
    <w:rsid w:val="00EE323D"/>
    <w:rsid w:val="00EE45E1"/>
    <w:rsid w:val="00EE4D8C"/>
    <w:rsid w:val="00EE4F24"/>
    <w:rsid w:val="00EE6557"/>
    <w:rsid w:val="00EE677F"/>
    <w:rsid w:val="00EE6BA6"/>
    <w:rsid w:val="00EE6EBA"/>
    <w:rsid w:val="00EE7345"/>
    <w:rsid w:val="00EF054E"/>
    <w:rsid w:val="00EF05DE"/>
    <w:rsid w:val="00EF0E40"/>
    <w:rsid w:val="00EF1372"/>
    <w:rsid w:val="00EF1B31"/>
    <w:rsid w:val="00EF1D7B"/>
    <w:rsid w:val="00EF2717"/>
    <w:rsid w:val="00EF2FBF"/>
    <w:rsid w:val="00EF4AA5"/>
    <w:rsid w:val="00EF5B6D"/>
    <w:rsid w:val="00EF5E4B"/>
    <w:rsid w:val="00EF62BF"/>
    <w:rsid w:val="00EF72F9"/>
    <w:rsid w:val="00EF7509"/>
    <w:rsid w:val="00F0082D"/>
    <w:rsid w:val="00F01323"/>
    <w:rsid w:val="00F013FA"/>
    <w:rsid w:val="00F015F5"/>
    <w:rsid w:val="00F0250E"/>
    <w:rsid w:val="00F02819"/>
    <w:rsid w:val="00F03C6B"/>
    <w:rsid w:val="00F04D2B"/>
    <w:rsid w:val="00F04F7E"/>
    <w:rsid w:val="00F057E0"/>
    <w:rsid w:val="00F05F24"/>
    <w:rsid w:val="00F07464"/>
    <w:rsid w:val="00F0756E"/>
    <w:rsid w:val="00F07A13"/>
    <w:rsid w:val="00F07C90"/>
    <w:rsid w:val="00F07E58"/>
    <w:rsid w:val="00F1083F"/>
    <w:rsid w:val="00F11355"/>
    <w:rsid w:val="00F114E4"/>
    <w:rsid w:val="00F115C6"/>
    <w:rsid w:val="00F11E85"/>
    <w:rsid w:val="00F12F9D"/>
    <w:rsid w:val="00F13AF1"/>
    <w:rsid w:val="00F14110"/>
    <w:rsid w:val="00F16DAA"/>
    <w:rsid w:val="00F1741F"/>
    <w:rsid w:val="00F17F4B"/>
    <w:rsid w:val="00F20469"/>
    <w:rsid w:val="00F206B9"/>
    <w:rsid w:val="00F21E5B"/>
    <w:rsid w:val="00F2263A"/>
    <w:rsid w:val="00F2263C"/>
    <w:rsid w:val="00F22A23"/>
    <w:rsid w:val="00F2440D"/>
    <w:rsid w:val="00F245C6"/>
    <w:rsid w:val="00F24F30"/>
    <w:rsid w:val="00F24F3A"/>
    <w:rsid w:val="00F25470"/>
    <w:rsid w:val="00F2624E"/>
    <w:rsid w:val="00F27796"/>
    <w:rsid w:val="00F303D9"/>
    <w:rsid w:val="00F3071A"/>
    <w:rsid w:val="00F30760"/>
    <w:rsid w:val="00F30F55"/>
    <w:rsid w:val="00F319A1"/>
    <w:rsid w:val="00F327B4"/>
    <w:rsid w:val="00F32916"/>
    <w:rsid w:val="00F32B12"/>
    <w:rsid w:val="00F330CC"/>
    <w:rsid w:val="00F3397F"/>
    <w:rsid w:val="00F34066"/>
    <w:rsid w:val="00F340A4"/>
    <w:rsid w:val="00F347A4"/>
    <w:rsid w:val="00F355FA"/>
    <w:rsid w:val="00F35F9F"/>
    <w:rsid w:val="00F3641D"/>
    <w:rsid w:val="00F37682"/>
    <w:rsid w:val="00F37D98"/>
    <w:rsid w:val="00F37DB7"/>
    <w:rsid w:val="00F40A74"/>
    <w:rsid w:val="00F42815"/>
    <w:rsid w:val="00F43ABB"/>
    <w:rsid w:val="00F44853"/>
    <w:rsid w:val="00F45EE6"/>
    <w:rsid w:val="00F45FB9"/>
    <w:rsid w:val="00F468FC"/>
    <w:rsid w:val="00F47021"/>
    <w:rsid w:val="00F47689"/>
    <w:rsid w:val="00F509EE"/>
    <w:rsid w:val="00F516D4"/>
    <w:rsid w:val="00F51FFD"/>
    <w:rsid w:val="00F52E09"/>
    <w:rsid w:val="00F5314B"/>
    <w:rsid w:val="00F54920"/>
    <w:rsid w:val="00F54B34"/>
    <w:rsid w:val="00F557B5"/>
    <w:rsid w:val="00F55C1A"/>
    <w:rsid w:val="00F56CF8"/>
    <w:rsid w:val="00F570DC"/>
    <w:rsid w:val="00F57335"/>
    <w:rsid w:val="00F574FC"/>
    <w:rsid w:val="00F578F5"/>
    <w:rsid w:val="00F57FFC"/>
    <w:rsid w:val="00F60A3E"/>
    <w:rsid w:val="00F60F03"/>
    <w:rsid w:val="00F6136E"/>
    <w:rsid w:val="00F63BEF"/>
    <w:rsid w:val="00F647B2"/>
    <w:rsid w:val="00F64A9D"/>
    <w:rsid w:val="00F64E3C"/>
    <w:rsid w:val="00F6545C"/>
    <w:rsid w:val="00F65C3F"/>
    <w:rsid w:val="00F65D36"/>
    <w:rsid w:val="00F66352"/>
    <w:rsid w:val="00F66AFA"/>
    <w:rsid w:val="00F66B9F"/>
    <w:rsid w:val="00F6758D"/>
    <w:rsid w:val="00F676B0"/>
    <w:rsid w:val="00F67D6D"/>
    <w:rsid w:val="00F71A0E"/>
    <w:rsid w:val="00F71D25"/>
    <w:rsid w:val="00F72A6E"/>
    <w:rsid w:val="00F72FC3"/>
    <w:rsid w:val="00F731A9"/>
    <w:rsid w:val="00F73CFF"/>
    <w:rsid w:val="00F747C1"/>
    <w:rsid w:val="00F74846"/>
    <w:rsid w:val="00F75483"/>
    <w:rsid w:val="00F779F6"/>
    <w:rsid w:val="00F77C37"/>
    <w:rsid w:val="00F8083B"/>
    <w:rsid w:val="00F80FBB"/>
    <w:rsid w:val="00F822CE"/>
    <w:rsid w:val="00F829EE"/>
    <w:rsid w:val="00F84C40"/>
    <w:rsid w:val="00F84ED5"/>
    <w:rsid w:val="00F859E4"/>
    <w:rsid w:val="00F85B87"/>
    <w:rsid w:val="00F86199"/>
    <w:rsid w:val="00F861A7"/>
    <w:rsid w:val="00F86E17"/>
    <w:rsid w:val="00F86FC5"/>
    <w:rsid w:val="00F900E7"/>
    <w:rsid w:val="00F901B8"/>
    <w:rsid w:val="00F90C45"/>
    <w:rsid w:val="00F92279"/>
    <w:rsid w:val="00F92389"/>
    <w:rsid w:val="00F93048"/>
    <w:rsid w:val="00F95A23"/>
    <w:rsid w:val="00F95ECF"/>
    <w:rsid w:val="00F9644F"/>
    <w:rsid w:val="00F96709"/>
    <w:rsid w:val="00F96A36"/>
    <w:rsid w:val="00F96C3B"/>
    <w:rsid w:val="00F96D7B"/>
    <w:rsid w:val="00F97EB4"/>
    <w:rsid w:val="00FA0213"/>
    <w:rsid w:val="00FA1079"/>
    <w:rsid w:val="00FA1D30"/>
    <w:rsid w:val="00FA1D43"/>
    <w:rsid w:val="00FA3253"/>
    <w:rsid w:val="00FA370B"/>
    <w:rsid w:val="00FA4786"/>
    <w:rsid w:val="00FA580C"/>
    <w:rsid w:val="00FA5A5A"/>
    <w:rsid w:val="00FA65A3"/>
    <w:rsid w:val="00FB0DA5"/>
    <w:rsid w:val="00FB1157"/>
    <w:rsid w:val="00FB2CE8"/>
    <w:rsid w:val="00FB2F5C"/>
    <w:rsid w:val="00FB3431"/>
    <w:rsid w:val="00FB4260"/>
    <w:rsid w:val="00FB46EC"/>
    <w:rsid w:val="00FB53BC"/>
    <w:rsid w:val="00FB64AA"/>
    <w:rsid w:val="00FC17EB"/>
    <w:rsid w:val="00FC21A8"/>
    <w:rsid w:val="00FC21EF"/>
    <w:rsid w:val="00FC2B30"/>
    <w:rsid w:val="00FC337D"/>
    <w:rsid w:val="00FC35AA"/>
    <w:rsid w:val="00FC49B4"/>
    <w:rsid w:val="00FC6073"/>
    <w:rsid w:val="00FC6ADA"/>
    <w:rsid w:val="00FC6C45"/>
    <w:rsid w:val="00FC797C"/>
    <w:rsid w:val="00FC7C3B"/>
    <w:rsid w:val="00FD02DB"/>
    <w:rsid w:val="00FD0339"/>
    <w:rsid w:val="00FD046B"/>
    <w:rsid w:val="00FD0706"/>
    <w:rsid w:val="00FD0AB6"/>
    <w:rsid w:val="00FD0E76"/>
    <w:rsid w:val="00FD136B"/>
    <w:rsid w:val="00FD4941"/>
    <w:rsid w:val="00FD4E4A"/>
    <w:rsid w:val="00FD6356"/>
    <w:rsid w:val="00FD6D28"/>
    <w:rsid w:val="00FD715A"/>
    <w:rsid w:val="00FD73F7"/>
    <w:rsid w:val="00FD7D45"/>
    <w:rsid w:val="00FD7DF0"/>
    <w:rsid w:val="00FE0045"/>
    <w:rsid w:val="00FE01CD"/>
    <w:rsid w:val="00FE020D"/>
    <w:rsid w:val="00FE1418"/>
    <w:rsid w:val="00FE5F40"/>
    <w:rsid w:val="00FE6014"/>
    <w:rsid w:val="00FE60E3"/>
    <w:rsid w:val="00FE7B1B"/>
    <w:rsid w:val="00FF1683"/>
    <w:rsid w:val="00FF1CD6"/>
    <w:rsid w:val="00FF26E3"/>
    <w:rsid w:val="00FF28E5"/>
    <w:rsid w:val="00FF4FD3"/>
    <w:rsid w:val="00FF54F8"/>
    <w:rsid w:val="00FF5778"/>
    <w:rsid w:val="00FF586E"/>
    <w:rsid w:val="00FF6983"/>
    <w:rsid w:val="00FF7968"/>
    <w:rsid w:val="00FF7B2C"/>
    <w:rsid w:val="013AF4C9"/>
    <w:rsid w:val="0163B700"/>
    <w:rsid w:val="01939394"/>
    <w:rsid w:val="0335843C"/>
    <w:rsid w:val="0508D784"/>
    <w:rsid w:val="05BE0B00"/>
    <w:rsid w:val="06C21E9F"/>
    <w:rsid w:val="08325AFF"/>
    <w:rsid w:val="094AC4A4"/>
    <w:rsid w:val="0C17BA65"/>
    <w:rsid w:val="0C9DB357"/>
    <w:rsid w:val="10ACF94C"/>
    <w:rsid w:val="11774112"/>
    <w:rsid w:val="1219F3D5"/>
    <w:rsid w:val="1251525E"/>
    <w:rsid w:val="1298CDD1"/>
    <w:rsid w:val="14CFCAFE"/>
    <w:rsid w:val="156D4057"/>
    <w:rsid w:val="163CB82F"/>
    <w:rsid w:val="167B2187"/>
    <w:rsid w:val="18D07B5E"/>
    <w:rsid w:val="1AF98FD6"/>
    <w:rsid w:val="1B72993C"/>
    <w:rsid w:val="1C2970CA"/>
    <w:rsid w:val="1D21C28F"/>
    <w:rsid w:val="1E400874"/>
    <w:rsid w:val="1E77EF62"/>
    <w:rsid w:val="1F677E52"/>
    <w:rsid w:val="1F81F1A6"/>
    <w:rsid w:val="23E16F43"/>
    <w:rsid w:val="2D433828"/>
    <w:rsid w:val="2EDFC6A6"/>
    <w:rsid w:val="2F360352"/>
    <w:rsid w:val="3272FAC1"/>
    <w:rsid w:val="328C4DCB"/>
    <w:rsid w:val="343ECEE2"/>
    <w:rsid w:val="347D9A68"/>
    <w:rsid w:val="34AEA6F9"/>
    <w:rsid w:val="35429601"/>
    <w:rsid w:val="3563DC12"/>
    <w:rsid w:val="357CDBB2"/>
    <w:rsid w:val="35A4835B"/>
    <w:rsid w:val="368C4C14"/>
    <w:rsid w:val="3705AC1D"/>
    <w:rsid w:val="38235921"/>
    <w:rsid w:val="3AE8AC7A"/>
    <w:rsid w:val="40B32220"/>
    <w:rsid w:val="415A61C7"/>
    <w:rsid w:val="420CF2F1"/>
    <w:rsid w:val="437AD1A9"/>
    <w:rsid w:val="47212EA5"/>
    <w:rsid w:val="479D603B"/>
    <w:rsid w:val="47DCDEFA"/>
    <w:rsid w:val="48187A95"/>
    <w:rsid w:val="4826DF32"/>
    <w:rsid w:val="4A34A76D"/>
    <w:rsid w:val="4B5BDD7C"/>
    <w:rsid w:val="4C1829C6"/>
    <w:rsid w:val="4CEA5406"/>
    <w:rsid w:val="4DED1D75"/>
    <w:rsid w:val="4E6D6FC5"/>
    <w:rsid w:val="4EC43D79"/>
    <w:rsid w:val="4F981116"/>
    <w:rsid w:val="50A9B144"/>
    <w:rsid w:val="5157B274"/>
    <w:rsid w:val="51D4DA03"/>
    <w:rsid w:val="53134D15"/>
    <w:rsid w:val="57A29495"/>
    <w:rsid w:val="57EE58F4"/>
    <w:rsid w:val="59CAF5EE"/>
    <w:rsid w:val="5A39A494"/>
    <w:rsid w:val="5A987F81"/>
    <w:rsid w:val="5AA4F90C"/>
    <w:rsid w:val="5C95D6BA"/>
    <w:rsid w:val="5D4B696C"/>
    <w:rsid w:val="5D9EE6F9"/>
    <w:rsid w:val="62B345E5"/>
    <w:rsid w:val="648BECB1"/>
    <w:rsid w:val="65862EE2"/>
    <w:rsid w:val="65870D3B"/>
    <w:rsid w:val="6602C0BB"/>
    <w:rsid w:val="668FA9C6"/>
    <w:rsid w:val="68343AF5"/>
    <w:rsid w:val="68ABC46D"/>
    <w:rsid w:val="68B1564C"/>
    <w:rsid w:val="69355380"/>
    <w:rsid w:val="69F9FDAA"/>
    <w:rsid w:val="6AA1AE5E"/>
    <w:rsid w:val="6D841793"/>
    <w:rsid w:val="6EE6B0DC"/>
    <w:rsid w:val="71E07ACF"/>
    <w:rsid w:val="721F873B"/>
    <w:rsid w:val="733E5026"/>
    <w:rsid w:val="738E2BF2"/>
    <w:rsid w:val="73A6EC6E"/>
    <w:rsid w:val="761B5730"/>
    <w:rsid w:val="7750D096"/>
    <w:rsid w:val="780192BA"/>
    <w:rsid w:val="7915DAF4"/>
    <w:rsid w:val="7A078E5E"/>
    <w:rsid w:val="7C0D923D"/>
    <w:rsid w:val="7DEF761B"/>
    <w:rsid w:val="7E90C552"/>
    <w:rsid w:val="7F80569F"/>
    <w:rsid w:val="7F96CF0C"/>
    <w:rsid w:val="7FD568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9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tabs>
        <w:tab w:val="clear" w:pos="851"/>
        <w:tab w:val="num" w:pos="360"/>
      </w:tabs>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tabs>
        <w:tab w:val="clear" w:pos="1134"/>
        <w:tab w:val="num" w:pos="360"/>
      </w:tabs>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1B7504"/>
    <w:rPr>
      <w:sz w:val="16"/>
      <w:szCs w:val="16"/>
    </w:rPr>
  </w:style>
  <w:style w:type="paragraph" w:styleId="CommentText">
    <w:name w:val="annotation text"/>
    <w:basedOn w:val="Normal"/>
    <w:link w:val="CommentTextChar"/>
    <w:uiPriority w:val="99"/>
    <w:unhideWhenUsed/>
    <w:rsid w:val="001B7504"/>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B7504"/>
    <w:rPr>
      <w:sz w:val="20"/>
      <w:szCs w:val="20"/>
    </w:rPr>
  </w:style>
  <w:style w:type="paragraph" w:styleId="CommentSubject">
    <w:name w:val="annotation subject"/>
    <w:basedOn w:val="CommentText"/>
    <w:next w:val="CommentText"/>
    <w:link w:val="CommentSubjectChar"/>
    <w:uiPriority w:val="99"/>
    <w:semiHidden/>
    <w:unhideWhenUsed/>
    <w:rsid w:val="001B7504"/>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uiPriority w:val="99"/>
    <w:semiHidden/>
    <w:rsid w:val="001B7504"/>
    <w:rPr>
      <w:rFonts w:ascii="Calibri Light" w:eastAsia="Times New Roman" w:hAnsi="Calibri Light" w:cs="Times New Roman"/>
      <w:b/>
      <w:bCs/>
      <w:sz w:val="20"/>
      <w:szCs w:val="20"/>
      <w:lang w:eastAsia="en-AU"/>
    </w:rPr>
  </w:style>
  <w:style w:type="paragraph" w:styleId="Revision">
    <w:name w:val="Revision"/>
    <w:hidden/>
    <w:uiPriority w:val="99"/>
    <w:semiHidden/>
    <w:rsid w:val="00D208BD"/>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DA623A"/>
    <w:rPr>
      <w:color w:val="844D9E" w:themeColor="followedHyperlink"/>
      <w:u w:val="single"/>
    </w:rPr>
  </w:style>
  <w:style w:type="character" w:customStyle="1" w:styleId="ui-provider">
    <w:name w:val="ui-provider"/>
    <w:basedOn w:val="DefaultParagraphFont"/>
    <w:rsid w:val="00F16DAA"/>
  </w:style>
  <w:style w:type="paragraph" w:styleId="NoSpacing">
    <w:name w:val="No Spacing"/>
    <w:uiPriority w:val="1"/>
    <w:qFormat/>
    <w:rsid w:val="00D17B5E"/>
    <w:pPr>
      <w:spacing w:after="0" w:line="240" w:lineRule="auto"/>
    </w:pPr>
  </w:style>
  <w:style w:type="paragraph" w:customStyle="1" w:styleId="Maintext">
    <w:name w:val="Main text"/>
    <w:basedOn w:val="Normal"/>
    <w:link w:val="MaintextCharChar"/>
    <w:rsid w:val="00D17B5E"/>
    <w:pPr>
      <w:spacing w:before="0" w:after="0"/>
    </w:pPr>
    <w:rPr>
      <w:rFonts w:ascii="Arial" w:hAnsi="Arial"/>
      <w:szCs w:val="24"/>
    </w:rPr>
  </w:style>
  <w:style w:type="character" w:customStyle="1" w:styleId="MaintextCharChar">
    <w:name w:val="Main text Char Char"/>
    <w:link w:val="Maintext"/>
    <w:rsid w:val="00D17B5E"/>
    <w:rPr>
      <w:rFonts w:ascii="Arial" w:eastAsia="Times New Roman" w:hAnsi="Arial"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https://treasury.gov.au/submission-guidelines"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classic.austlii.edu.au/au/legis/cth/consol_reg/er2015171/s11.html" TargetMode="External"/><Relationship Id="rId1" Type="http://schemas.openxmlformats.org/officeDocument/2006/relationships/hyperlink" Target="http://classic.austlii.edu.au/au/legis/cth/consol_reg/er2015171/sch1.htm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771F71BAB4D9C903ED8493CC5CD42"/>
        <w:category>
          <w:name w:val="General"/>
          <w:gallery w:val="placeholder"/>
        </w:category>
        <w:types>
          <w:type w:val="bbPlcHdr"/>
        </w:types>
        <w:behaviors>
          <w:behavior w:val="content"/>
        </w:behaviors>
        <w:guid w:val="{79FB179F-1632-454A-B6F6-04C79CA7A991}"/>
      </w:docPartPr>
      <w:docPartBody>
        <w:p w:rsidR="00F3397F" w:rsidRDefault="00F3397F">
          <w:pPr>
            <w:pStyle w:val="13A771F71BAB4D9C903ED8493CC5CD42"/>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7F"/>
    <w:rsid w:val="000838B0"/>
    <w:rsid w:val="000939CB"/>
    <w:rsid w:val="000D2074"/>
    <w:rsid w:val="00117058"/>
    <w:rsid w:val="001520A1"/>
    <w:rsid w:val="00220A99"/>
    <w:rsid w:val="0032245F"/>
    <w:rsid w:val="00351C9C"/>
    <w:rsid w:val="003E21E5"/>
    <w:rsid w:val="004030D0"/>
    <w:rsid w:val="00406941"/>
    <w:rsid w:val="00441D1E"/>
    <w:rsid w:val="00495D83"/>
    <w:rsid w:val="004A545A"/>
    <w:rsid w:val="004B3A15"/>
    <w:rsid w:val="00521792"/>
    <w:rsid w:val="0053398A"/>
    <w:rsid w:val="005B5BDD"/>
    <w:rsid w:val="0068724A"/>
    <w:rsid w:val="006B794C"/>
    <w:rsid w:val="00743F88"/>
    <w:rsid w:val="0085099E"/>
    <w:rsid w:val="00931DC2"/>
    <w:rsid w:val="00976B0C"/>
    <w:rsid w:val="00982A03"/>
    <w:rsid w:val="00A26A54"/>
    <w:rsid w:val="00A27EAA"/>
    <w:rsid w:val="00B332DB"/>
    <w:rsid w:val="00CD1779"/>
    <w:rsid w:val="00D16F71"/>
    <w:rsid w:val="00D96FBC"/>
    <w:rsid w:val="00DE1B53"/>
    <w:rsid w:val="00E44357"/>
    <w:rsid w:val="00F17024"/>
    <w:rsid w:val="00F30A22"/>
    <w:rsid w:val="00F3397F"/>
    <w:rsid w:val="00FE50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97F"/>
    <w:rPr>
      <w:color w:val="808080"/>
    </w:rPr>
  </w:style>
  <w:style w:type="paragraph" w:customStyle="1" w:styleId="13A771F71BAB4D9C903ED8493CC5CD42">
    <w:name w:val="13A771F71BAB4D9C903ED8493CC5C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2018</Words>
  <Characters>10375</Characters>
  <Application>Microsoft Office Word</Application>
  <DocSecurity>0</DocSecurity>
  <Lines>333</Lines>
  <Paragraphs>206</Paragraphs>
  <ScaleCrop>false</ScaleCrop>
  <HeadingPairs>
    <vt:vector size="2" baseType="variant">
      <vt:variant>
        <vt:lpstr>Title</vt:lpstr>
      </vt:variant>
      <vt:variant>
        <vt:i4>1</vt:i4>
      </vt:variant>
    </vt:vector>
  </HeadingPairs>
  <TitlesOfParts>
    <vt:vector size="1" baseType="lpstr">
      <vt:lpstr>Vapour Recovery Units - single rate - consultation paper</vt:lpstr>
    </vt:vector>
  </TitlesOfParts>
  <Company/>
  <LinksUpToDate>false</LinksUpToDate>
  <CharactersWithSpaces>12221</CharactersWithSpaces>
  <SharedDoc>false</SharedDoc>
  <HLinks>
    <vt:vector size="96" baseType="variant">
      <vt:variant>
        <vt:i4>5898256</vt:i4>
      </vt:variant>
      <vt:variant>
        <vt:i4>66</vt:i4>
      </vt:variant>
      <vt:variant>
        <vt:i4>0</vt:i4>
      </vt:variant>
      <vt:variant>
        <vt:i4>5</vt:i4>
      </vt:variant>
      <vt:variant>
        <vt:lpwstr>https://treasury.gov.au/submission-guidelines</vt:lpwstr>
      </vt:variant>
      <vt:variant>
        <vt:lpwstr/>
      </vt:variant>
      <vt:variant>
        <vt:i4>1245232</vt:i4>
      </vt:variant>
      <vt:variant>
        <vt:i4>59</vt:i4>
      </vt:variant>
      <vt:variant>
        <vt:i4>0</vt:i4>
      </vt:variant>
      <vt:variant>
        <vt:i4>5</vt:i4>
      </vt:variant>
      <vt:variant>
        <vt:lpwstr/>
      </vt:variant>
      <vt:variant>
        <vt:lpwstr>_Toc134433609</vt:lpwstr>
      </vt:variant>
      <vt:variant>
        <vt:i4>1245232</vt:i4>
      </vt:variant>
      <vt:variant>
        <vt:i4>53</vt:i4>
      </vt:variant>
      <vt:variant>
        <vt:i4>0</vt:i4>
      </vt:variant>
      <vt:variant>
        <vt:i4>5</vt:i4>
      </vt:variant>
      <vt:variant>
        <vt:lpwstr/>
      </vt:variant>
      <vt:variant>
        <vt:lpwstr>_Toc134433608</vt:lpwstr>
      </vt:variant>
      <vt:variant>
        <vt:i4>1245232</vt:i4>
      </vt:variant>
      <vt:variant>
        <vt:i4>47</vt:i4>
      </vt:variant>
      <vt:variant>
        <vt:i4>0</vt:i4>
      </vt:variant>
      <vt:variant>
        <vt:i4>5</vt:i4>
      </vt:variant>
      <vt:variant>
        <vt:lpwstr/>
      </vt:variant>
      <vt:variant>
        <vt:lpwstr>_Toc134433607</vt:lpwstr>
      </vt:variant>
      <vt:variant>
        <vt:i4>1245232</vt:i4>
      </vt:variant>
      <vt:variant>
        <vt:i4>41</vt:i4>
      </vt:variant>
      <vt:variant>
        <vt:i4>0</vt:i4>
      </vt:variant>
      <vt:variant>
        <vt:i4>5</vt:i4>
      </vt:variant>
      <vt:variant>
        <vt:lpwstr/>
      </vt:variant>
      <vt:variant>
        <vt:lpwstr>_Toc134433606</vt:lpwstr>
      </vt:variant>
      <vt:variant>
        <vt:i4>1245232</vt:i4>
      </vt:variant>
      <vt:variant>
        <vt:i4>35</vt:i4>
      </vt:variant>
      <vt:variant>
        <vt:i4>0</vt:i4>
      </vt:variant>
      <vt:variant>
        <vt:i4>5</vt:i4>
      </vt:variant>
      <vt:variant>
        <vt:lpwstr/>
      </vt:variant>
      <vt:variant>
        <vt:lpwstr>_Toc134433605</vt:lpwstr>
      </vt:variant>
      <vt:variant>
        <vt:i4>1245232</vt:i4>
      </vt:variant>
      <vt:variant>
        <vt:i4>29</vt:i4>
      </vt:variant>
      <vt:variant>
        <vt:i4>0</vt:i4>
      </vt:variant>
      <vt:variant>
        <vt:i4>5</vt:i4>
      </vt:variant>
      <vt:variant>
        <vt:lpwstr/>
      </vt:variant>
      <vt:variant>
        <vt:lpwstr>_Toc134433604</vt:lpwstr>
      </vt:variant>
      <vt:variant>
        <vt:i4>1245232</vt:i4>
      </vt:variant>
      <vt:variant>
        <vt:i4>23</vt:i4>
      </vt:variant>
      <vt:variant>
        <vt:i4>0</vt:i4>
      </vt:variant>
      <vt:variant>
        <vt:i4>5</vt:i4>
      </vt:variant>
      <vt:variant>
        <vt:lpwstr/>
      </vt:variant>
      <vt:variant>
        <vt:lpwstr>_Toc134433603</vt:lpwstr>
      </vt:variant>
      <vt:variant>
        <vt:i4>1245232</vt:i4>
      </vt:variant>
      <vt:variant>
        <vt:i4>17</vt:i4>
      </vt:variant>
      <vt:variant>
        <vt:i4>0</vt:i4>
      </vt:variant>
      <vt:variant>
        <vt:i4>5</vt:i4>
      </vt:variant>
      <vt:variant>
        <vt:lpwstr/>
      </vt:variant>
      <vt:variant>
        <vt:lpwstr>_Toc134433602</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6881370</vt:i4>
      </vt:variant>
      <vt:variant>
        <vt:i4>3</vt:i4>
      </vt:variant>
      <vt:variant>
        <vt:i4>0</vt:i4>
      </vt:variant>
      <vt:variant>
        <vt:i4>5</vt:i4>
      </vt:variant>
      <vt:variant>
        <vt:lpwstr>http://classic.austlii.edu.au/au/legis/cth/consol_reg/er2015171/s11.html</vt:lpwstr>
      </vt:variant>
      <vt:variant>
        <vt:lpwstr/>
      </vt:variant>
      <vt:variant>
        <vt:i4>3735644</vt:i4>
      </vt:variant>
      <vt:variant>
        <vt:i4>0</vt:i4>
      </vt:variant>
      <vt:variant>
        <vt:i4>0</vt:i4>
      </vt:variant>
      <vt:variant>
        <vt:i4>5</vt:i4>
      </vt:variant>
      <vt:variant>
        <vt:lpwstr>http://classic.austlii.edu.au/au/legis/cth/consol_reg/er2015171/sch1.html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Vapour Recovery Units - single rate - consultation paper</dc:title>
  <dc:subject/>
  <dc:creator/>
  <cp:keywords/>
  <dc:description/>
  <cp:lastModifiedBy/>
  <cp:revision>1</cp:revision>
  <dcterms:created xsi:type="dcterms:W3CDTF">2023-09-22T01:26:00Z</dcterms:created>
  <dcterms:modified xsi:type="dcterms:W3CDTF">2023-09-22T01:27:00Z</dcterms:modified>
  <cp:category/>
  <cp:contentStatus/>
</cp:coreProperties>
</file>